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A02CC6" w14:textId="77777777" w:rsidR="009B26BC" w:rsidRPr="00105F7F" w:rsidRDefault="009B26BC" w:rsidP="00220BD1">
      <w:pPr>
        <w:pStyle w:val="TtuloTDC"/>
        <w:spacing w:line="360" w:lineRule="auto"/>
        <w:jc w:val="both"/>
        <w:rPr>
          <w:rFonts w:eastAsia="Times New Roman" w:cs="Times New Roman"/>
          <w:b w:val="0"/>
          <w:color w:val="FF0000"/>
          <w:szCs w:val="22"/>
          <w:lang w:val="es-ES" w:eastAsia="es-ES"/>
        </w:rPr>
      </w:pPr>
    </w:p>
    <w:sdt>
      <w:sdtPr>
        <w:rPr>
          <w:rFonts w:ascii="Times New Roman" w:eastAsia="Times New Roman" w:hAnsi="Times New Roman" w:cs="Times New Roman"/>
          <w:b w:val="0"/>
          <w:color w:val="FF0000"/>
          <w:sz w:val="20"/>
          <w:szCs w:val="22"/>
          <w:lang w:val="es-ES" w:eastAsia="es-ES"/>
        </w:rPr>
        <w:id w:val="309064069"/>
        <w:docPartObj>
          <w:docPartGallery w:val="Table of Contents"/>
          <w:docPartUnique/>
        </w:docPartObj>
      </w:sdtPr>
      <w:sdtEndPr>
        <w:rPr>
          <w:bCs/>
          <w:szCs w:val="20"/>
        </w:rPr>
      </w:sdtEndPr>
      <w:sdtContent>
        <w:p w14:paraId="25C7F9DF" w14:textId="3D05371F" w:rsidR="007935E5" w:rsidRPr="00C40BD1" w:rsidRDefault="007935E5" w:rsidP="00220BD1">
          <w:pPr>
            <w:pStyle w:val="TtuloTDC"/>
            <w:spacing w:line="360" w:lineRule="auto"/>
            <w:rPr>
              <w:b w:val="0"/>
              <w:bCs/>
              <w:color w:val="auto"/>
              <w:szCs w:val="22"/>
              <w:lang w:val="es-ES"/>
            </w:rPr>
          </w:pPr>
          <w:r w:rsidRPr="00C40BD1">
            <w:rPr>
              <w:b w:val="0"/>
              <w:bCs/>
              <w:color w:val="auto"/>
              <w:szCs w:val="22"/>
              <w:lang w:val="es-ES"/>
            </w:rPr>
            <w:t xml:space="preserve">RESOLUCIÓN DEL RECURSO DE REVISIÓN </w:t>
          </w:r>
          <w:r w:rsidR="00105F7F" w:rsidRPr="00C40BD1">
            <w:rPr>
              <w:b w:val="0"/>
              <w:bCs/>
              <w:color w:val="auto"/>
              <w:szCs w:val="22"/>
              <w:lang w:val="es-ES"/>
            </w:rPr>
            <w:t>14371</w:t>
          </w:r>
          <w:r w:rsidR="007E4295" w:rsidRPr="00C40BD1">
            <w:rPr>
              <w:b w:val="0"/>
              <w:bCs/>
              <w:color w:val="auto"/>
              <w:szCs w:val="22"/>
              <w:lang w:val="es-ES"/>
            </w:rPr>
            <w:t>/INFOEM/IP/RR/2025</w:t>
          </w:r>
        </w:p>
        <w:p w14:paraId="569CD10F" w14:textId="77777777" w:rsidR="00684330" w:rsidRPr="00C40BD1" w:rsidRDefault="00684330" w:rsidP="00220BD1">
          <w:pPr>
            <w:spacing w:line="360" w:lineRule="auto"/>
            <w:rPr>
              <w:color w:val="FF0000"/>
              <w:lang w:val="es-ES" w:eastAsia="es-MX"/>
            </w:rPr>
          </w:pPr>
        </w:p>
        <w:p w14:paraId="7436A2C6" w14:textId="77777777" w:rsidR="006A4526" w:rsidRPr="00C40BD1" w:rsidRDefault="006A4526" w:rsidP="00220BD1">
          <w:pPr>
            <w:spacing w:line="360" w:lineRule="auto"/>
            <w:rPr>
              <w:rFonts w:ascii="Palatino Linotype" w:hAnsi="Palatino Linotype"/>
              <w:color w:val="FF0000"/>
              <w:sz w:val="22"/>
              <w:szCs w:val="22"/>
              <w:lang w:val="es-ES" w:eastAsia="es-MX"/>
            </w:rPr>
          </w:pPr>
        </w:p>
        <w:p w14:paraId="02557F17" w14:textId="77777777" w:rsidR="009E3382" w:rsidRPr="00C40BD1" w:rsidRDefault="007935E5">
          <w:pPr>
            <w:pStyle w:val="TDC1"/>
            <w:rPr>
              <w:rFonts w:ascii="Palatino Linotype" w:eastAsiaTheme="minorEastAsia" w:hAnsi="Palatino Linotype" w:cstheme="minorBidi"/>
              <w:noProof/>
              <w:sz w:val="22"/>
              <w:szCs w:val="22"/>
              <w:lang w:eastAsia="es-MX"/>
            </w:rPr>
          </w:pPr>
          <w:r w:rsidRPr="00C40BD1">
            <w:rPr>
              <w:rFonts w:ascii="Palatino Linotype" w:hAnsi="Palatino Linotype"/>
              <w:bCs/>
              <w:color w:val="FF0000"/>
              <w:sz w:val="22"/>
              <w:szCs w:val="22"/>
            </w:rPr>
            <w:fldChar w:fldCharType="begin"/>
          </w:r>
          <w:r w:rsidRPr="00C40BD1">
            <w:rPr>
              <w:rFonts w:ascii="Palatino Linotype" w:hAnsi="Palatino Linotype"/>
              <w:bCs/>
              <w:color w:val="FF0000"/>
              <w:sz w:val="22"/>
              <w:szCs w:val="22"/>
            </w:rPr>
            <w:instrText xml:space="preserve"> TOC \o "1-3" \h \z \u </w:instrText>
          </w:r>
          <w:r w:rsidRPr="00C40BD1">
            <w:rPr>
              <w:rFonts w:ascii="Palatino Linotype" w:hAnsi="Palatino Linotype"/>
              <w:bCs/>
              <w:color w:val="FF0000"/>
              <w:sz w:val="22"/>
              <w:szCs w:val="22"/>
            </w:rPr>
            <w:fldChar w:fldCharType="separate"/>
          </w:r>
          <w:hyperlink w:anchor="_Toc221197385" w:history="1">
            <w:r w:rsidR="009E3382" w:rsidRPr="00C40BD1">
              <w:rPr>
                <w:rStyle w:val="Hipervnculo"/>
                <w:rFonts w:ascii="Palatino Linotype" w:hAnsi="Palatino Linotype"/>
                <w:noProof/>
                <w:sz w:val="22"/>
                <w:szCs w:val="22"/>
              </w:rPr>
              <w:t>A N T E C E D E N T E S</w:t>
            </w:r>
            <w:r w:rsidR="009E3382" w:rsidRPr="00C40BD1">
              <w:rPr>
                <w:rFonts w:ascii="Palatino Linotype" w:hAnsi="Palatino Linotype"/>
                <w:noProof/>
                <w:webHidden/>
                <w:sz w:val="22"/>
                <w:szCs w:val="22"/>
              </w:rPr>
              <w:tab/>
            </w:r>
            <w:r w:rsidR="009E3382" w:rsidRPr="00C40BD1">
              <w:rPr>
                <w:rFonts w:ascii="Palatino Linotype" w:hAnsi="Palatino Linotype"/>
                <w:noProof/>
                <w:webHidden/>
                <w:sz w:val="22"/>
                <w:szCs w:val="22"/>
              </w:rPr>
              <w:fldChar w:fldCharType="begin"/>
            </w:r>
            <w:r w:rsidR="009E3382" w:rsidRPr="00C40BD1">
              <w:rPr>
                <w:rFonts w:ascii="Palatino Linotype" w:hAnsi="Palatino Linotype"/>
                <w:noProof/>
                <w:webHidden/>
                <w:sz w:val="22"/>
                <w:szCs w:val="22"/>
              </w:rPr>
              <w:instrText xml:space="preserve"> PAGEREF _Toc221197385 \h </w:instrText>
            </w:r>
            <w:r w:rsidR="009E3382" w:rsidRPr="00C40BD1">
              <w:rPr>
                <w:rFonts w:ascii="Palatino Linotype" w:hAnsi="Palatino Linotype"/>
                <w:noProof/>
                <w:webHidden/>
                <w:sz w:val="22"/>
                <w:szCs w:val="22"/>
              </w:rPr>
            </w:r>
            <w:r w:rsidR="009E3382" w:rsidRPr="00C40BD1">
              <w:rPr>
                <w:rFonts w:ascii="Palatino Linotype" w:hAnsi="Palatino Linotype"/>
                <w:noProof/>
                <w:webHidden/>
                <w:sz w:val="22"/>
                <w:szCs w:val="22"/>
              </w:rPr>
              <w:fldChar w:fldCharType="separate"/>
            </w:r>
            <w:r w:rsidR="008352F7">
              <w:rPr>
                <w:rFonts w:ascii="Palatino Linotype" w:hAnsi="Palatino Linotype"/>
                <w:noProof/>
                <w:webHidden/>
                <w:sz w:val="22"/>
                <w:szCs w:val="22"/>
              </w:rPr>
              <w:t>2</w:t>
            </w:r>
            <w:r w:rsidR="009E3382" w:rsidRPr="00C40BD1">
              <w:rPr>
                <w:rFonts w:ascii="Palatino Linotype" w:hAnsi="Palatino Linotype"/>
                <w:noProof/>
                <w:webHidden/>
                <w:sz w:val="22"/>
                <w:szCs w:val="22"/>
              </w:rPr>
              <w:fldChar w:fldCharType="end"/>
            </w:r>
          </w:hyperlink>
        </w:p>
        <w:p w14:paraId="24F93FD7" w14:textId="77777777" w:rsidR="009E3382" w:rsidRPr="00C40BD1" w:rsidRDefault="00000000">
          <w:pPr>
            <w:pStyle w:val="TDC2"/>
            <w:tabs>
              <w:tab w:val="right" w:leader="dot" w:pos="9034"/>
            </w:tabs>
            <w:rPr>
              <w:rFonts w:ascii="Palatino Linotype" w:eastAsiaTheme="minorEastAsia" w:hAnsi="Palatino Linotype" w:cstheme="minorBidi"/>
              <w:noProof/>
              <w:sz w:val="22"/>
              <w:szCs w:val="22"/>
              <w:lang w:eastAsia="es-MX"/>
            </w:rPr>
          </w:pPr>
          <w:hyperlink w:anchor="_Toc221197386" w:history="1">
            <w:r w:rsidR="009E3382" w:rsidRPr="00C40BD1">
              <w:rPr>
                <w:rStyle w:val="Hipervnculo"/>
                <w:rFonts w:ascii="Palatino Linotype" w:hAnsi="Palatino Linotype"/>
                <w:noProof/>
                <w:sz w:val="22"/>
                <w:szCs w:val="22"/>
              </w:rPr>
              <w:t>I. Presentación de la solicitud de información</w:t>
            </w:r>
            <w:r w:rsidR="009E3382" w:rsidRPr="00C40BD1">
              <w:rPr>
                <w:rFonts w:ascii="Palatino Linotype" w:hAnsi="Palatino Linotype"/>
                <w:noProof/>
                <w:webHidden/>
                <w:sz w:val="22"/>
                <w:szCs w:val="22"/>
              </w:rPr>
              <w:tab/>
            </w:r>
            <w:r w:rsidR="009E3382" w:rsidRPr="00C40BD1">
              <w:rPr>
                <w:rFonts w:ascii="Palatino Linotype" w:hAnsi="Palatino Linotype"/>
                <w:noProof/>
                <w:webHidden/>
                <w:sz w:val="22"/>
                <w:szCs w:val="22"/>
              </w:rPr>
              <w:fldChar w:fldCharType="begin"/>
            </w:r>
            <w:r w:rsidR="009E3382" w:rsidRPr="00C40BD1">
              <w:rPr>
                <w:rFonts w:ascii="Palatino Linotype" w:hAnsi="Palatino Linotype"/>
                <w:noProof/>
                <w:webHidden/>
                <w:sz w:val="22"/>
                <w:szCs w:val="22"/>
              </w:rPr>
              <w:instrText xml:space="preserve"> PAGEREF _Toc221197386 \h </w:instrText>
            </w:r>
            <w:r w:rsidR="009E3382" w:rsidRPr="00C40BD1">
              <w:rPr>
                <w:rFonts w:ascii="Palatino Linotype" w:hAnsi="Palatino Linotype"/>
                <w:noProof/>
                <w:webHidden/>
                <w:sz w:val="22"/>
                <w:szCs w:val="22"/>
              </w:rPr>
            </w:r>
            <w:r w:rsidR="009E3382" w:rsidRPr="00C40BD1">
              <w:rPr>
                <w:rFonts w:ascii="Palatino Linotype" w:hAnsi="Palatino Linotype"/>
                <w:noProof/>
                <w:webHidden/>
                <w:sz w:val="22"/>
                <w:szCs w:val="22"/>
              </w:rPr>
              <w:fldChar w:fldCharType="separate"/>
            </w:r>
            <w:r w:rsidR="008352F7">
              <w:rPr>
                <w:rFonts w:ascii="Palatino Linotype" w:hAnsi="Palatino Linotype"/>
                <w:noProof/>
                <w:webHidden/>
                <w:sz w:val="22"/>
                <w:szCs w:val="22"/>
              </w:rPr>
              <w:t>2</w:t>
            </w:r>
            <w:r w:rsidR="009E3382" w:rsidRPr="00C40BD1">
              <w:rPr>
                <w:rFonts w:ascii="Palatino Linotype" w:hAnsi="Palatino Linotype"/>
                <w:noProof/>
                <w:webHidden/>
                <w:sz w:val="22"/>
                <w:szCs w:val="22"/>
              </w:rPr>
              <w:fldChar w:fldCharType="end"/>
            </w:r>
          </w:hyperlink>
        </w:p>
        <w:p w14:paraId="0912F493" w14:textId="77777777" w:rsidR="009E3382" w:rsidRPr="00C40BD1" w:rsidRDefault="00000000">
          <w:pPr>
            <w:pStyle w:val="TDC2"/>
            <w:tabs>
              <w:tab w:val="right" w:leader="dot" w:pos="9034"/>
            </w:tabs>
            <w:rPr>
              <w:rFonts w:ascii="Palatino Linotype" w:eastAsiaTheme="minorEastAsia" w:hAnsi="Palatino Linotype" w:cstheme="minorBidi"/>
              <w:noProof/>
              <w:sz w:val="22"/>
              <w:szCs w:val="22"/>
              <w:lang w:eastAsia="es-MX"/>
            </w:rPr>
          </w:pPr>
          <w:hyperlink w:anchor="_Toc221197387" w:history="1">
            <w:r w:rsidR="009E3382" w:rsidRPr="00C40BD1">
              <w:rPr>
                <w:rStyle w:val="Hipervnculo"/>
                <w:rFonts w:ascii="Palatino Linotype" w:hAnsi="Palatino Linotype"/>
                <w:noProof/>
                <w:sz w:val="22"/>
                <w:szCs w:val="22"/>
              </w:rPr>
              <w:t>II.  Respuesta del Sujeto Obligado</w:t>
            </w:r>
            <w:r w:rsidR="009E3382" w:rsidRPr="00C40BD1">
              <w:rPr>
                <w:rFonts w:ascii="Palatino Linotype" w:hAnsi="Palatino Linotype"/>
                <w:noProof/>
                <w:webHidden/>
                <w:sz w:val="22"/>
                <w:szCs w:val="22"/>
              </w:rPr>
              <w:tab/>
            </w:r>
            <w:r w:rsidR="009E3382" w:rsidRPr="00C40BD1">
              <w:rPr>
                <w:rFonts w:ascii="Palatino Linotype" w:hAnsi="Palatino Linotype"/>
                <w:noProof/>
                <w:webHidden/>
                <w:sz w:val="22"/>
                <w:szCs w:val="22"/>
              </w:rPr>
              <w:fldChar w:fldCharType="begin"/>
            </w:r>
            <w:r w:rsidR="009E3382" w:rsidRPr="00C40BD1">
              <w:rPr>
                <w:rFonts w:ascii="Palatino Linotype" w:hAnsi="Palatino Linotype"/>
                <w:noProof/>
                <w:webHidden/>
                <w:sz w:val="22"/>
                <w:szCs w:val="22"/>
              </w:rPr>
              <w:instrText xml:space="preserve"> PAGEREF _Toc221197387 \h </w:instrText>
            </w:r>
            <w:r w:rsidR="009E3382" w:rsidRPr="00C40BD1">
              <w:rPr>
                <w:rFonts w:ascii="Palatino Linotype" w:hAnsi="Palatino Linotype"/>
                <w:noProof/>
                <w:webHidden/>
                <w:sz w:val="22"/>
                <w:szCs w:val="22"/>
              </w:rPr>
            </w:r>
            <w:r w:rsidR="009E3382" w:rsidRPr="00C40BD1">
              <w:rPr>
                <w:rFonts w:ascii="Palatino Linotype" w:hAnsi="Palatino Linotype"/>
                <w:noProof/>
                <w:webHidden/>
                <w:sz w:val="22"/>
                <w:szCs w:val="22"/>
              </w:rPr>
              <w:fldChar w:fldCharType="separate"/>
            </w:r>
            <w:r w:rsidR="008352F7">
              <w:rPr>
                <w:rFonts w:ascii="Palatino Linotype" w:hAnsi="Palatino Linotype"/>
                <w:noProof/>
                <w:webHidden/>
                <w:sz w:val="22"/>
                <w:szCs w:val="22"/>
              </w:rPr>
              <w:t>3</w:t>
            </w:r>
            <w:r w:rsidR="009E3382" w:rsidRPr="00C40BD1">
              <w:rPr>
                <w:rFonts w:ascii="Palatino Linotype" w:hAnsi="Palatino Linotype"/>
                <w:noProof/>
                <w:webHidden/>
                <w:sz w:val="22"/>
                <w:szCs w:val="22"/>
              </w:rPr>
              <w:fldChar w:fldCharType="end"/>
            </w:r>
          </w:hyperlink>
        </w:p>
        <w:p w14:paraId="373D713D" w14:textId="77777777" w:rsidR="009E3382" w:rsidRPr="00C40BD1" w:rsidRDefault="00000000">
          <w:pPr>
            <w:pStyle w:val="TDC2"/>
            <w:tabs>
              <w:tab w:val="right" w:leader="dot" w:pos="9034"/>
            </w:tabs>
            <w:rPr>
              <w:rFonts w:ascii="Palatino Linotype" w:eastAsiaTheme="minorEastAsia" w:hAnsi="Palatino Linotype" w:cstheme="minorBidi"/>
              <w:noProof/>
              <w:sz w:val="22"/>
              <w:szCs w:val="22"/>
              <w:lang w:eastAsia="es-MX"/>
            </w:rPr>
          </w:pPr>
          <w:hyperlink w:anchor="_Toc221197388" w:history="1">
            <w:r w:rsidR="009E3382" w:rsidRPr="00C40BD1">
              <w:rPr>
                <w:rStyle w:val="Hipervnculo"/>
                <w:rFonts w:ascii="Palatino Linotype" w:hAnsi="Palatino Linotype"/>
                <w:noProof/>
                <w:sz w:val="22"/>
                <w:szCs w:val="22"/>
                <w:lang w:eastAsia="en-US"/>
              </w:rPr>
              <w:t>III. Interposición del Recurso de Revisión</w:t>
            </w:r>
            <w:r w:rsidR="009E3382" w:rsidRPr="00C40BD1">
              <w:rPr>
                <w:rFonts w:ascii="Palatino Linotype" w:hAnsi="Palatino Linotype"/>
                <w:noProof/>
                <w:webHidden/>
                <w:sz w:val="22"/>
                <w:szCs w:val="22"/>
              </w:rPr>
              <w:tab/>
            </w:r>
            <w:r w:rsidR="009E3382" w:rsidRPr="00C40BD1">
              <w:rPr>
                <w:rFonts w:ascii="Palatino Linotype" w:hAnsi="Palatino Linotype"/>
                <w:noProof/>
                <w:webHidden/>
                <w:sz w:val="22"/>
                <w:szCs w:val="22"/>
              </w:rPr>
              <w:fldChar w:fldCharType="begin"/>
            </w:r>
            <w:r w:rsidR="009E3382" w:rsidRPr="00C40BD1">
              <w:rPr>
                <w:rFonts w:ascii="Palatino Linotype" w:hAnsi="Palatino Linotype"/>
                <w:noProof/>
                <w:webHidden/>
                <w:sz w:val="22"/>
                <w:szCs w:val="22"/>
              </w:rPr>
              <w:instrText xml:space="preserve"> PAGEREF _Toc221197388 \h </w:instrText>
            </w:r>
            <w:r w:rsidR="009E3382" w:rsidRPr="00C40BD1">
              <w:rPr>
                <w:rFonts w:ascii="Palatino Linotype" w:hAnsi="Palatino Linotype"/>
                <w:noProof/>
                <w:webHidden/>
                <w:sz w:val="22"/>
                <w:szCs w:val="22"/>
              </w:rPr>
            </w:r>
            <w:r w:rsidR="009E3382" w:rsidRPr="00C40BD1">
              <w:rPr>
                <w:rFonts w:ascii="Palatino Linotype" w:hAnsi="Palatino Linotype"/>
                <w:noProof/>
                <w:webHidden/>
                <w:sz w:val="22"/>
                <w:szCs w:val="22"/>
              </w:rPr>
              <w:fldChar w:fldCharType="separate"/>
            </w:r>
            <w:r w:rsidR="008352F7">
              <w:rPr>
                <w:rFonts w:ascii="Palatino Linotype" w:hAnsi="Palatino Linotype"/>
                <w:noProof/>
                <w:webHidden/>
                <w:sz w:val="22"/>
                <w:szCs w:val="22"/>
              </w:rPr>
              <w:t>3</w:t>
            </w:r>
            <w:r w:rsidR="009E3382" w:rsidRPr="00C40BD1">
              <w:rPr>
                <w:rFonts w:ascii="Palatino Linotype" w:hAnsi="Palatino Linotype"/>
                <w:noProof/>
                <w:webHidden/>
                <w:sz w:val="22"/>
                <w:szCs w:val="22"/>
              </w:rPr>
              <w:fldChar w:fldCharType="end"/>
            </w:r>
          </w:hyperlink>
        </w:p>
        <w:p w14:paraId="4B2DEFBA" w14:textId="77777777" w:rsidR="009E3382" w:rsidRPr="00C40BD1" w:rsidRDefault="00000000">
          <w:pPr>
            <w:pStyle w:val="TDC2"/>
            <w:tabs>
              <w:tab w:val="right" w:leader="dot" w:pos="9034"/>
            </w:tabs>
            <w:rPr>
              <w:rFonts w:ascii="Palatino Linotype" w:eastAsiaTheme="minorEastAsia" w:hAnsi="Palatino Linotype" w:cstheme="minorBidi"/>
              <w:noProof/>
              <w:sz w:val="22"/>
              <w:szCs w:val="22"/>
              <w:lang w:eastAsia="es-MX"/>
            </w:rPr>
          </w:pPr>
          <w:hyperlink w:anchor="_Toc221197389" w:history="1">
            <w:r w:rsidR="009E3382" w:rsidRPr="00C40BD1">
              <w:rPr>
                <w:rStyle w:val="Hipervnculo"/>
                <w:rFonts w:ascii="Palatino Linotype" w:hAnsi="Palatino Linotype"/>
                <w:noProof/>
                <w:sz w:val="22"/>
                <w:szCs w:val="22"/>
                <w:lang w:eastAsia="en-US"/>
              </w:rPr>
              <w:t>IV. Trámite del Recurso de Revisión ante el Instituto</w:t>
            </w:r>
            <w:r w:rsidR="009E3382" w:rsidRPr="00C40BD1">
              <w:rPr>
                <w:rFonts w:ascii="Palatino Linotype" w:hAnsi="Palatino Linotype"/>
                <w:noProof/>
                <w:webHidden/>
                <w:sz w:val="22"/>
                <w:szCs w:val="22"/>
              </w:rPr>
              <w:tab/>
            </w:r>
            <w:r w:rsidR="009E3382" w:rsidRPr="00C40BD1">
              <w:rPr>
                <w:rFonts w:ascii="Palatino Linotype" w:hAnsi="Palatino Linotype"/>
                <w:noProof/>
                <w:webHidden/>
                <w:sz w:val="22"/>
                <w:szCs w:val="22"/>
              </w:rPr>
              <w:fldChar w:fldCharType="begin"/>
            </w:r>
            <w:r w:rsidR="009E3382" w:rsidRPr="00C40BD1">
              <w:rPr>
                <w:rFonts w:ascii="Palatino Linotype" w:hAnsi="Palatino Linotype"/>
                <w:noProof/>
                <w:webHidden/>
                <w:sz w:val="22"/>
                <w:szCs w:val="22"/>
              </w:rPr>
              <w:instrText xml:space="preserve"> PAGEREF _Toc221197389 \h </w:instrText>
            </w:r>
            <w:r w:rsidR="009E3382" w:rsidRPr="00C40BD1">
              <w:rPr>
                <w:rFonts w:ascii="Palatino Linotype" w:hAnsi="Palatino Linotype"/>
                <w:noProof/>
                <w:webHidden/>
                <w:sz w:val="22"/>
                <w:szCs w:val="22"/>
              </w:rPr>
            </w:r>
            <w:r w:rsidR="009E3382" w:rsidRPr="00C40BD1">
              <w:rPr>
                <w:rFonts w:ascii="Palatino Linotype" w:hAnsi="Palatino Linotype"/>
                <w:noProof/>
                <w:webHidden/>
                <w:sz w:val="22"/>
                <w:szCs w:val="22"/>
              </w:rPr>
              <w:fldChar w:fldCharType="separate"/>
            </w:r>
            <w:r w:rsidR="008352F7">
              <w:rPr>
                <w:rFonts w:ascii="Palatino Linotype" w:hAnsi="Palatino Linotype"/>
                <w:noProof/>
                <w:webHidden/>
                <w:sz w:val="22"/>
                <w:szCs w:val="22"/>
              </w:rPr>
              <w:t>5</w:t>
            </w:r>
            <w:r w:rsidR="009E3382" w:rsidRPr="00C40BD1">
              <w:rPr>
                <w:rFonts w:ascii="Palatino Linotype" w:hAnsi="Palatino Linotype"/>
                <w:noProof/>
                <w:webHidden/>
                <w:sz w:val="22"/>
                <w:szCs w:val="22"/>
              </w:rPr>
              <w:fldChar w:fldCharType="end"/>
            </w:r>
          </w:hyperlink>
        </w:p>
        <w:p w14:paraId="3C527FBF" w14:textId="77777777" w:rsidR="009E3382" w:rsidRPr="00C40BD1" w:rsidRDefault="00000000">
          <w:pPr>
            <w:pStyle w:val="TDC1"/>
            <w:rPr>
              <w:rFonts w:ascii="Palatino Linotype" w:eastAsiaTheme="minorEastAsia" w:hAnsi="Palatino Linotype" w:cstheme="minorBidi"/>
              <w:noProof/>
              <w:sz w:val="22"/>
              <w:szCs w:val="22"/>
              <w:lang w:eastAsia="es-MX"/>
            </w:rPr>
          </w:pPr>
          <w:hyperlink w:anchor="_Toc221197390" w:history="1">
            <w:r w:rsidR="009E3382" w:rsidRPr="00C40BD1">
              <w:rPr>
                <w:rStyle w:val="Hipervnculo"/>
                <w:rFonts w:ascii="Palatino Linotype" w:hAnsi="Palatino Linotype"/>
                <w:noProof/>
                <w:sz w:val="22"/>
                <w:szCs w:val="22"/>
                <w:lang w:val="es-ES"/>
              </w:rPr>
              <w:t>C O N S I D E R A N D O S</w:t>
            </w:r>
            <w:r w:rsidR="009E3382" w:rsidRPr="00C40BD1">
              <w:rPr>
                <w:rFonts w:ascii="Palatino Linotype" w:hAnsi="Palatino Linotype"/>
                <w:noProof/>
                <w:webHidden/>
                <w:sz w:val="22"/>
                <w:szCs w:val="22"/>
              </w:rPr>
              <w:tab/>
            </w:r>
            <w:r w:rsidR="009E3382" w:rsidRPr="00C40BD1">
              <w:rPr>
                <w:rFonts w:ascii="Palatino Linotype" w:hAnsi="Palatino Linotype"/>
                <w:noProof/>
                <w:webHidden/>
                <w:sz w:val="22"/>
                <w:szCs w:val="22"/>
              </w:rPr>
              <w:fldChar w:fldCharType="begin"/>
            </w:r>
            <w:r w:rsidR="009E3382" w:rsidRPr="00C40BD1">
              <w:rPr>
                <w:rFonts w:ascii="Palatino Linotype" w:hAnsi="Palatino Linotype"/>
                <w:noProof/>
                <w:webHidden/>
                <w:sz w:val="22"/>
                <w:szCs w:val="22"/>
              </w:rPr>
              <w:instrText xml:space="preserve"> PAGEREF _Toc221197390 \h </w:instrText>
            </w:r>
            <w:r w:rsidR="009E3382" w:rsidRPr="00C40BD1">
              <w:rPr>
                <w:rFonts w:ascii="Palatino Linotype" w:hAnsi="Palatino Linotype"/>
                <w:noProof/>
                <w:webHidden/>
                <w:sz w:val="22"/>
                <w:szCs w:val="22"/>
              </w:rPr>
            </w:r>
            <w:r w:rsidR="009E3382" w:rsidRPr="00C40BD1">
              <w:rPr>
                <w:rFonts w:ascii="Palatino Linotype" w:hAnsi="Palatino Linotype"/>
                <w:noProof/>
                <w:webHidden/>
                <w:sz w:val="22"/>
                <w:szCs w:val="22"/>
              </w:rPr>
              <w:fldChar w:fldCharType="separate"/>
            </w:r>
            <w:r w:rsidR="008352F7">
              <w:rPr>
                <w:rFonts w:ascii="Palatino Linotype" w:hAnsi="Palatino Linotype"/>
                <w:noProof/>
                <w:webHidden/>
                <w:sz w:val="22"/>
                <w:szCs w:val="22"/>
              </w:rPr>
              <w:t>7</w:t>
            </w:r>
            <w:r w:rsidR="009E3382" w:rsidRPr="00C40BD1">
              <w:rPr>
                <w:rFonts w:ascii="Palatino Linotype" w:hAnsi="Palatino Linotype"/>
                <w:noProof/>
                <w:webHidden/>
                <w:sz w:val="22"/>
                <w:szCs w:val="22"/>
              </w:rPr>
              <w:fldChar w:fldCharType="end"/>
            </w:r>
          </w:hyperlink>
        </w:p>
        <w:p w14:paraId="43FB9FAC" w14:textId="77777777" w:rsidR="009E3382" w:rsidRPr="00C40BD1" w:rsidRDefault="00000000">
          <w:pPr>
            <w:pStyle w:val="TDC2"/>
            <w:tabs>
              <w:tab w:val="right" w:leader="dot" w:pos="9034"/>
            </w:tabs>
            <w:rPr>
              <w:rFonts w:ascii="Palatino Linotype" w:eastAsiaTheme="minorEastAsia" w:hAnsi="Palatino Linotype" w:cstheme="minorBidi"/>
              <w:noProof/>
              <w:sz w:val="22"/>
              <w:szCs w:val="22"/>
              <w:lang w:eastAsia="es-MX"/>
            </w:rPr>
          </w:pPr>
          <w:hyperlink w:anchor="_Toc221197391" w:history="1">
            <w:r w:rsidR="009E3382" w:rsidRPr="00C40BD1">
              <w:rPr>
                <w:rStyle w:val="Hipervnculo"/>
                <w:rFonts w:ascii="Palatino Linotype" w:eastAsia="Calibri" w:hAnsi="Palatino Linotype"/>
                <w:noProof/>
                <w:sz w:val="22"/>
                <w:szCs w:val="22"/>
                <w:lang w:val="es-ES" w:eastAsia="es-MX"/>
              </w:rPr>
              <w:t xml:space="preserve">PRIMERO. </w:t>
            </w:r>
            <w:r w:rsidR="009E3382" w:rsidRPr="00C40BD1">
              <w:rPr>
                <w:rStyle w:val="Hipervnculo"/>
                <w:rFonts w:ascii="Palatino Linotype" w:hAnsi="Palatino Linotype"/>
                <w:noProof/>
                <w:sz w:val="22"/>
                <w:szCs w:val="22"/>
                <w:lang w:val="es-ES"/>
              </w:rPr>
              <w:t>Competencia</w:t>
            </w:r>
            <w:r w:rsidR="009E3382" w:rsidRPr="00C40BD1">
              <w:rPr>
                <w:rFonts w:ascii="Palatino Linotype" w:hAnsi="Palatino Linotype"/>
                <w:noProof/>
                <w:webHidden/>
                <w:sz w:val="22"/>
                <w:szCs w:val="22"/>
              </w:rPr>
              <w:tab/>
            </w:r>
            <w:r w:rsidR="009E3382" w:rsidRPr="00C40BD1">
              <w:rPr>
                <w:rFonts w:ascii="Palatino Linotype" w:hAnsi="Palatino Linotype"/>
                <w:noProof/>
                <w:webHidden/>
                <w:sz w:val="22"/>
                <w:szCs w:val="22"/>
              </w:rPr>
              <w:fldChar w:fldCharType="begin"/>
            </w:r>
            <w:r w:rsidR="009E3382" w:rsidRPr="00C40BD1">
              <w:rPr>
                <w:rFonts w:ascii="Palatino Linotype" w:hAnsi="Palatino Linotype"/>
                <w:noProof/>
                <w:webHidden/>
                <w:sz w:val="22"/>
                <w:szCs w:val="22"/>
              </w:rPr>
              <w:instrText xml:space="preserve"> PAGEREF _Toc221197391 \h </w:instrText>
            </w:r>
            <w:r w:rsidR="009E3382" w:rsidRPr="00C40BD1">
              <w:rPr>
                <w:rFonts w:ascii="Palatino Linotype" w:hAnsi="Palatino Linotype"/>
                <w:noProof/>
                <w:webHidden/>
                <w:sz w:val="22"/>
                <w:szCs w:val="22"/>
              </w:rPr>
            </w:r>
            <w:r w:rsidR="009E3382" w:rsidRPr="00C40BD1">
              <w:rPr>
                <w:rFonts w:ascii="Palatino Linotype" w:hAnsi="Palatino Linotype"/>
                <w:noProof/>
                <w:webHidden/>
                <w:sz w:val="22"/>
                <w:szCs w:val="22"/>
              </w:rPr>
              <w:fldChar w:fldCharType="separate"/>
            </w:r>
            <w:r w:rsidR="008352F7">
              <w:rPr>
                <w:rFonts w:ascii="Palatino Linotype" w:hAnsi="Palatino Linotype"/>
                <w:noProof/>
                <w:webHidden/>
                <w:sz w:val="22"/>
                <w:szCs w:val="22"/>
              </w:rPr>
              <w:t>7</w:t>
            </w:r>
            <w:r w:rsidR="009E3382" w:rsidRPr="00C40BD1">
              <w:rPr>
                <w:rFonts w:ascii="Palatino Linotype" w:hAnsi="Palatino Linotype"/>
                <w:noProof/>
                <w:webHidden/>
                <w:sz w:val="22"/>
                <w:szCs w:val="22"/>
              </w:rPr>
              <w:fldChar w:fldCharType="end"/>
            </w:r>
          </w:hyperlink>
        </w:p>
        <w:p w14:paraId="272968CC" w14:textId="77777777" w:rsidR="009E3382" w:rsidRPr="00C40BD1" w:rsidRDefault="00000000">
          <w:pPr>
            <w:pStyle w:val="TDC2"/>
            <w:tabs>
              <w:tab w:val="right" w:leader="dot" w:pos="9034"/>
            </w:tabs>
            <w:rPr>
              <w:rFonts w:ascii="Palatino Linotype" w:eastAsiaTheme="minorEastAsia" w:hAnsi="Palatino Linotype" w:cstheme="minorBidi"/>
              <w:noProof/>
              <w:sz w:val="22"/>
              <w:szCs w:val="22"/>
              <w:lang w:eastAsia="es-MX"/>
            </w:rPr>
          </w:pPr>
          <w:hyperlink w:anchor="_Toc221197392" w:history="1">
            <w:r w:rsidR="009E3382" w:rsidRPr="00C40BD1">
              <w:rPr>
                <w:rStyle w:val="Hipervnculo"/>
                <w:rFonts w:ascii="Palatino Linotype" w:eastAsia="Calibri" w:hAnsi="Palatino Linotype"/>
                <w:noProof/>
                <w:sz w:val="22"/>
                <w:szCs w:val="22"/>
                <w:lang w:val="es-ES" w:eastAsia="es-MX"/>
              </w:rPr>
              <w:t xml:space="preserve">SEGUNDO. </w:t>
            </w:r>
            <w:r w:rsidR="009E3382" w:rsidRPr="00C40BD1">
              <w:rPr>
                <w:rStyle w:val="Hipervnculo"/>
                <w:rFonts w:ascii="Palatino Linotype" w:hAnsi="Palatino Linotype"/>
                <w:noProof/>
                <w:sz w:val="22"/>
                <w:szCs w:val="22"/>
                <w:lang w:val="es-ES"/>
              </w:rPr>
              <w:t>Causales de improcedencia y Sobreseimiento</w:t>
            </w:r>
            <w:r w:rsidR="009E3382" w:rsidRPr="00C40BD1">
              <w:rPr>
                <w:rFonts w:ascii="Palatino Linotype" w:hAnsi="Palatino Linotype"/>
                <w:noProof/>
                <w:webHidden/>
                <w:sz w:val="22"/>
                <w:szCs w:val="22"/>
              </w:rPr>
              <w:tab/>
            </w:r>
            <w:r w:rsidR="009E3382" w:rsidRPr="00C40BD1">
              <w:rPr>
                <w:rFonts w:ascii="Palatino Linotype" w:hAnsi="Palatino Linotype"/>
                <w:noProof/>
                <w:webHidden/>
                <w:sz w:val="22"/>
                <w:szCs w:val="22"/>
              </w:rPr>
              <w:fldChar w:fldCharType="begin"/>
            </w:r>
            <w:r w:rsidR="009E3382" w:rsidRPr="00C40BD1">
              <w:rPr>
                <w:rFonts w:ascii="Palatino Linotype" w:hAnsi="Palatino Linotype"/>
                <w:noProof/>
                <w:webHidden/>
                <w:sz w:val="22"/>
                <w:szCs w:val="22"/>
              </w:rPr>
              <w:instrText xml:space="preserve"> PAGEREF _Toc221197392 \h </w:instrText>
            </w:r>
            <w:r w:rsidR="009E3382" w:rsidRPr="00C40BD1">
              <w:rPr>
                <w:rFonts w:ascii="Palatino Linotype" w:hAnsi="Palatino Linotype"/>
                <w:noProof/>
                <w:webHidden/>
                <w:sz w:val="22"/>
                <w:szCs w:val="22"/>
              </w:rPr>
            </w:r>
            <w:r w:rsidR="009E3382" w:rsidRPr="00C40BD1">
              <w:rPr>
                <w:rFonts w:ascii="Palatino Linotype" w:hAnsi="Palatino Linotype"/>
                <w:noProof/>
                <w:webHidden/>
                <w:sz w:val="22"/>
                <w:szCs w:val="22"/>
              </w:rPr>
              <w:fldChar w:fldCharType="separate"/>
            </w:r>
            <w:r w:rsidR="008352F7">
              <w:rPr>
                <w:rFonts w:ascii="Palatino Linotype" w:hAnsi="Palatino Linotype"/>
                <w:noProof/>
                <w:webHidden/>
                <w:sz w:val="22"/>
                <w:szCs w:val="22"/>
              </w:rPr>
              <w:t>7</w:t>
            </w:r>
            <w:r w:rsidR="009E3382" w:rsidRPr="00C40BD1">
              <w:rPr>
                <w:rFonts w:ascii="Palatino Linotype" w:hAnsi="Palatino Linotype"/>
                <w:noProof/>
                <w:webHidden/>
                <w:sz w:val="22"/>
                <w:szCs w:val="22"/>
              </w:rPr>
              <w:fldChar w:fldCharType="end"/>
            </w:r>
          </w:hyperlink>
        </w:p>
        <w:p w14:paraId="7AA60F61" w14:textId="77777777" w:rsidR="009E3382" w:rsidRPr="00C40BD1" w:rsidRDefault="00000000">
          <w:pPr>
            <w:pStyle w:val="TDC2"/>
            <w:tabs>
              <w:tab w:val="right" w:leader="dot" w:pos="9034"/>
            </w:tabs>
            <w:rPr>
              <w:rFonts w:ascii="Palatino Linotype" w:eastAsiaTheme="minorEastAsia" w:hAnsi="Palatino Linotype" w:cstheme="minorBidi"/>
              <w:noProof/>
              <w:sz w:val="22"/>
              <w:szCs w:val="22"/>
              <w:lang w:eastAsia="es-MX"/>
            </w:rPr>
          </w:pPr>
          <w:hyperlink w:anchor="_Toc221197393" w:history="1">
            <w:r w:rsidR="009E3382" w:rsidRPr="00C40BD1">
              <w:rPr>
                <w:rStyle w:val="Hipervnculo"/>
                <w:rFonts w:ascii="Palatino Linotype" w:hAnsi="Palatino Linotype"/>
                <w:noProof/>
                <w:sz w:val="22"/>
                <w:szCs w:val="22"/>
                <w:lang w:val="es-ES"/>
              </w:rPr>
              <w:t>TERCERO. Determinación de la Controversia</w:t>
            </w:r>
            <w:r w:rsidR="009E3382" w:rsidRPr="00C40BD1">
              <w:rPr>
                <w:rFonts w:ascii="Palatino Linotype" w:hAnsi="Palatino Linotype"/>
                <w:noProof/>
                <w:webHidden/>
                <w:sz w:val="22"/>
                <w:szCs w:val="22"/>
              </w:rPr>
              <w:tab/>
            </w:r>
            <w:r w:rsidR="009E3382" w:rsidRPr="00C40BD1">
              <w:rPr>
                <w:rFonts w:ascii="Palatino Linotype" w:hAnsi="Palatino Linotype"/>
                <w:noProof/>
                <w:webHidden/>
                <w:sz w:val="22"/>
                <w:szCs w:val="22"/>
              </w:rPr>
              <w:fldChar w:fldCharType="begin"/>
            </w:r>
            <w:r w:rsidR="009E3382" w:rsidRPr="00C40BD1">
              <w:rPr>
                <w:rFonts w:ascii="Palatino Linotype" w:hAnsi="Palatino Linotype"/>
                <w:noProof/>
                <w:webHidden/>
                <w:sz w:val="22"/>
                <w:szCs w:val="22"/>
              </w:rPr>
              <w:instrText xml:space="preserve"> PAGEREF _Toc221197393 \h </w:instrText>
            </w:r>
            <w:r w:rsidR="009E3382" w:rsidRPr="00C40BD1">
              <w:rPr>
                <w:rFonts w:ascii="Palatino Linotype" w:hAnsi="Palatino Linotype"/>
                <w:noProof/>
                <w:webHidden/>
                <w:sz w:val="22"/>
                <w:szCs w:val="22"/>
              </w:rPr>
            </w:r>
            <w:r w:rsidR="009E3382" w:rsidRPr="00C40BD1">
              <w:rPr>
                <w:rFonts w:ascii="Palatino Linotype" w:hAnsi="Palatino Linotype"/>
                <w:noProof/>
                <w:webHidden/>
                <w:sz w:val="22"/>
                <w:szCs w:val="22"/>
              </w:rPr>
              <w:fldChar w:fldCharType="separate"/>
            </w:r>
            <w:r w:rsidR="008352F7">
              <w:rPr>
                <w:rFonts w:ascii="Palatino Linotype" w:hAnsi="Palatino Linotype"/>
                <w:noProof/>
                <w:webHidden/>
                <w:sz w:val="22"/>
                <w:szCs w:val="22"/>
              </w:rPr>
              <w:t>9</w:t>
            </w:r>
            <w:r w:rsidR="009E3382" w:rsidRPr="00C40BD1">
              <w:rPr>
                <w:rFonts w:ascii="Palatino Linotype" w:hAnsi="Palatino Linotype"/>
                <w:noProof/>
                <w:webHidden/>
                <w:sz w:val="22"/>
                <w:szCs w:val="22"/>
              </w:rPr>
              <w:fldChar w:fldCharType="end"/>
            </w:r>
          </w:hyperlink>
        </w:p>
        <w:p w14:paraId="4FA9020F" w14:textId="77777777" w:rsidR="009E3382" w:rsidRPr="00C40BD1" w:rsidRDefault="00000000">
          <w:pPr>
            <w:pStyle w:val="TDC2"/>
            <w:tabs>
              <w:tab w:val="right" w:leader="dot" w:pos="9034"/>
            </w:tabs>
            <w:rPr>
              <w:rFonts w:ascii="Palatino Linotype" w:eastAsiaTheme="minorEastAsia" w:hAnsi="Palatino Linotype" w:cstheme="minorBidi"/>
              <w:noProof/>
              <w:sz w:val="22"/>
              <w:szCs w:val="22"/>
              <w:lang w:eastAsia="es-MX"/>
            </w:rPr>
          </w:pPr>
          <w:hyperlink w:anchor="_Toc221197394" w:history="1">
            <w:r w:rsidR="009E3382" w:rsidRPr="00C40BD1">
              <w:rPr>
                <w:rStyle w:val="Hipervnculo"/>
                <w:rFonts w:ascii="Palatino Linotype" w:hAnsi="Palatino Linotype"/>
                <w:noProof/>
                <w:sz w:val="22"/>
                <w:szCs w:val="22"/>
                <w:lang w:val="es-ES"/>
              </w:rPr>
              <w:t xml:space="preserve">CUARTO. </w:t>
            </w:r>
            <w:r w:rsidR="009E3382" w:rsidRPr="00C40BD1">
              <w:rPr>
                <w:rStyle w:val="Hipervnculo"/>
                <w:rFonts w:ascii="Palatino Linotype" w:hAnsi="Palatino Linotype"/>
                <w:noProof/>
                <w:sz w:val="22"/>
                <w:szCs w:val="22"/>
              </w:rPr>
              <w:t>Marco normativo aplicable en materia de transparencia y acceso a la información pública</w:t>
            </w:r>
            <w:r w:rsidR="009E3382" w:rsidRPr="00C40BD1">
              <w:rPr>
                <w:rFonts w:ascii="Palatino Linotype" w:hAnsi="Palatino Linotype"/>
                <w:noProof/>
                <w:webHidden/>
                <w:sz w:val="22"/>
                <w:szCs w:val="22"/>
              </w:rPr>
              <w:tab/>
            </w:r>
            <w:r w:rsidR="009E3382" w:rsidRPr="00C40BD1">
              <w:rPr>
                <w:rFonts w:ascii="Palatino Linotype" w:hAnsi="Palatino Linotype"/>
                <w:noProof/>
                <w:webHidden/>
                <w:sz w:val="22"/>
                <w:szCs w:val="22"/>
              </w:rPr>
              <w:fldChar w:fldCharType="begin"/>
            </w:r>
            <w:r w:rsidR="009E3382" w:rsidRPr="00C40BD1">
              <w:rPr>
                <w:rFonts w:ascii="Palatino Linotype" w:hAnsi="Palatino Linotype"/>
                <w:noProof/>
                <w:webHidden/>
                <w:sz w:val="22"/>
                <w:szCs w:val="22"/>
              </w:rPr>
              <w:instrText xml:space="preserve"> PAGEREF _Toc221197394 \h </w:instrText>
            </w:r>
            <w:r w:rsidR="009E3382" w:rsidRPr="00C40BD1">
              <w:rPr>
                <w:rFonts w:ascii="Palatino Linotype" w:hAnsi="Palatino Linotype"/>
                <w:noProof/>
                <w:webHidden/>
                <w:sz w:val="22"/>
                <w:szCs w:val="22"/>
              </w:rPr>
            </w:r>
            <w:r w:rsidR="009E3382" w:rsidRPr="00C40BD1">
              <w:rPr>
                <w:rFonts w:ascii="Palatino Linotype" w:hAnsi="Palatino Linotype"/>
                <w:noProof/>
                <w:webHidden/>
                <w:sz w:val="22"/>
                <w:szCs w:val="22"/>
              </w:rPr>
              <w:fldChar w:fldCharType="separate"/>
            </w:r>
            <w:r w:rsidR="008352F7">
              <w:rPr>
                <w:rFonts w:ascii="Palatino Linotype" w:hAnsi="Palatino Linotype"/>
                <w:noProof/>
                <w:webHidden/>
                <w:sz w:val="22"/>
                <w:szCs w:val="22"/>
              </w:rPr>
              <w:t>10</w:t>
            </w:r>
            <w:r w:rsidR="009E3382" w:rsidRPr="00C40BD1">
              <w:rPr>
                <w:rFonts w:ascii="Palatino Linotype" w:hAnsi="Palatino Linotype"/>
                <w:noProof/>
                <w:webHidden/>
                <w:sz w:val="22"/>
                <w:szCs w:val="22"/>
              </w:rPr>
              <w:fldChar w:fldCharType="end"/>
            </w:r>
          </w:hyperlink>
        </w:p>
        <w:p w14:paraId="21C0E32D" w14:textId="77777777" w:rsidR="009E3382" w:rsidRPr="00C40BD1" w:rsidRDefault="00000000">
          <w:pPr>
            <w:pStyle w:val="TDC2"/>
            <w:tabs>
              <w:tab w:val="right" w:leader="dot" w:pos="9034"/>
            </w:tabs>
            <w:rPr>
              <w:rFonts w:ascii="Palatino Linotype" w:eastAsiaTheme="minorEastAsia" w:hAnsi="Palatino Linotype" w:cstheme="minorBidi"/>
              <w:noProof/>
              <w:sz w:val="22"/>
              <w:szCs w:val="22"/>
              <w:lang w:eastAsia="es-MX"/>
            </w:rPr>
          </w:pPr>
          <w:hyperlink w:anchor="_Toc221197395" w:history="1">
            <w:r w:rsidR="009E3382" w:rsidRPr="00C40BD1">
              <w:rPr>
                <w:rStyle w:val="Hipervnculo"/>
                <w:rFonts w:ascii="Palatino Linotype" w:hAnsi="Palatino Linotype"/>
                <w:noProof/>
                <w:sz w:val="22"/>
                <w:szCs w:val="22"/>
                <w:lang w:val="es-ES"/>
              </w:rPr>
              <w:t>QUINTO. Estudio de Fondo</w:t>
            </w:r>
            <w:r w:rsidR="009E3382" w:rsidRPr="00C40BD1">
              <w:rPr>
                <w:rFonts w:ascii="Palatino Linotype" w:hAnsi="Palatino Linotype"/>
                <w:noProof/>
                <w:webHidden/>
                <w:sz w:val="22"/>
                <w:szCs w:val="22"/>
              </w:rPr>
              <w:tab/>
            </w:r>
            <w:r w:rsidR="009E3382" w:rsidRPr="00C40BD1">
              <w:rPr>
                <w:rFonts w:ascii="Palatino Linotype" w:hAnsi="Palatino Linotype"/>
                <w:noProof/>
                <w:webHidden/>
                <w:sz w:val="22"/>
                <w:szCs w:val="22"/>
              </w:rPr>
              <w:fldChar w:fldCharType="begin"/>
            </w:r>
            <w:r w:rsidR="009E3382" w:rsidRPr="00C40BD1">
              <w:rPr>
                <w:rFonts w:ascii="Palatino Linotype" w:hAnsi="Palatino Linotype"/>
                <w:noProof/>
                <w:webHidden/>
                <w:sz w:val="22"/>
                <w:szCs w:val="22"/>
              </w:rPr>
              <w:instrText xml:space="preserve"> PAGEREF _Toc221197395 \h </w:instrText>
            </w:r>
            <w:r w:rsidR="009E3382" w:rsidRPr="00C40BD1">
              <w:rPr>
                <w:rFonts w:ascii="Palatino Linotype" w:hAnsi="Palatino Linotype"/>
                <w:noProof/>
                <w:webHidden/>
                <w:sz w:val="22"/>
                <w:szCs w:val="22"/>
              </w:rPr>
            </w:r>
            <w:r w:rsidR="009E3382" w:rsidRPr="00C40BD1">
              <w:rPr>
                <w:rFonts w:ascii="Palatino Linotype" w:hAnsi="Palatino Linotype"/>
                <w:noProof/>
                <w:webHidden/>
                <w:sz w:val="22"/>
                <w:szCs w:val="22"/>
              </w:rPr>
              <w:fldChar w:fldCharType="separate"/>
            </w:r>
            <w:r w:rsidR="008352F7">
              <w:rPr>
                <w:rFonts w:ascii="Palatino Linotype" w:hAnsi="Palatino Linotype"/>
                <w:noProof/>
                <w:webHidden/>
                <w:sz w:val="22"/>
                <w:szCs w:val="22"/>
              </w:rPr>
              <w:t>12</w:t>
            </w:r>
            <w:r w:rsidR="009E3382" w:rsidRPr="00C40BD1">
              <w:rPr>
                <w:rFonts w:ascii="Palatino Linotype" w:hAnsi="Palatino Linotype"/>
                <w:noProof/>
                <w:webHidden/>
                <w:sz w:val="22"/>
                <w:szCs w:val="22"/>
              </w:rPr>
              <w:fldChar w:fldCharType="end"/>
            </w:r>
          </w:hyperlink>
        </w:p>
        <w:p w14:paraId="7FD7F422" w14:textId="77777777" w:rsidR="009E3382" w:rsidRPr="00C40BD1" w:rsidRDefault="00000000">
          <w:pPr>
            <w:pStyle w:val="TDC2"/>
            <w:tabs>
              <w:tab w:val="right" w:leader="dot" w:pos="9034"/>
            </w:tabs>
            <w:rPr>
              <w:rFonts w:ascii="Palatino Linotype" w:eastAsiaTheme="minorEastAsia" w:hAnsi="Palatino Linotype" w:cstheme="minorBidi"/>
              <w:noProof/>
              <w:sz w:val="22"/>
              <w:szCs w:val="22"/>
              <w:lang w:eastAsia="es-MX"/>
            </w:rPr>
          </w:pPr>
          <w:hyperlink w:anchor="_Toc221197396" w:history="1">
            <w:r w:rsidR="009E3382" w:rsidRPr="00C40BD1">
              <w:rPr>
                <w:rStyle w:val="Hipervnculo"/>
                <w:rFonts w:ascii="Palatino Linotype" w:hAnsi="Palatino Linotype"/>
                <w:noProof/>
                <w:sz w:val="22"/>
                <w:szCs w:val="22"/>
              </w:rPr>
              <w:t>SEXTO. Decisión</w:t>
            </w:r>
            <w:r w:rsidR="009E3382" w:rsidRPr="00C40BD1">
              <w:rPr>
                <w:rFonts w:ascii="Palatino Linotype" w:hAnsi="Palatino Linotype"/>
                <w:noProof/>
                <w:webHidden/>
                <w:sz w:val="22"/>
                <w:szCs w:val="22"/>
              </w:rPr>
              <w:tab/>
            </w:r>
            <w:r w:rsidR="009E3382" w:rsidRPr="00C40BD1">
              <w:rPr>
                <w:rFonts w:ascii="Palatino Linotype" w:hAnsi="Palatino Linotype"/>
                <w:noProof/>
                <w:webHidden/>
                <w:sz w:val="22"/>
                <w:szCs w:val="22"/>
              </w:rPr>
              <w:fldChar w:fldCharType="begin"/>
            </w:r>
            <w:r w:rsidR="009E3382" w:rsidRPr="00C40BD1">
              <w:rPr>
                <w:rFonts w:ascii="Palatino Linotype" w:hAnsi="Palatino Linotype"/>
                <w:noProof/>
                <w:webHidden/>
                <w:sz w:val="22"/>
                <w:szCs w:val="22"/>
              </w:rPr>
              <w:instrText xml:space="preserve"> PAGEREF _Toc221197396 \h </w:instrText>
            </w:r>
            <w:r w:rsidR="009E3382" w:rsidRPr="00C40BD1">
              <w:rPr>
                <w:rFonts w:ascii="Palatino Linotype" w:hAnsi="Palatino Linotype"/>
                <w:noProof/>
                <w:webHidden/>
                <w:sz w:val="22"/>
                <w:szCs w:val="22"/>
              </w:rPr>
            </w:r>
            <w:r w:rsidR="009E3382" w:rsidRPr="00C40BD1">
              <w:rPr>
                <w:rFonts w:ascii="Palatino Linotype" w:hAnsi="Palatino Linotype"/>
                <w:noProof/>
                <w:webHidden/>
                <w:sz w:val="22"/>
                <w:szCs w:val="22"/>
              </w:rPr>
              <w:fldChar w:fldCharType="separate"/>
            </w:r>
            <w:r w:rsidR="008352F7">
              <w:rPr>
                <w:rFonts w:ascii="Palatino Linotype" w:hAnsi="Palatino Linotype"/>
                <w:noProof/>
                <w:webHidden/>
                <w:sz w:val="22"/>
                <w:szCs w:val="22"/>
              </w:rPr>
              <w:t>28</w:t>
            </w:r>
            <w:r w:rsidR="009E3382" w:rsidRPr="00C40BD1">
              <w:rPr>
                <w:rFonts w:ascii="Palatino Linotype" w:hAnsi="Palatino Linotype"/>
                <w:noProof/>
                <w:webHidden/>
                <w:sz w:val="22"/>
                <w:szCs w:val="22"/>
              </w:rPr>
              <w:fldChar w:fldCharType="end"/>
            </w:r>
          </w:hyperlink>
        </w:p>
        <w:p w14:paraId="1ABDC4CC" w14:textId="77777777" w:rsidR="009E3382" w:rsidRPr="00C40BD1" w:rsidRDefault="00000000">
          <w:pPr>
            <w:pStyle w:val="TDC2"/>
            <w:tabs>
              <w:tab w:val="right" w:leader="dot" w:pos="9034"/>
            </w:tabs>
            <w:rPr>
              <w:rFonts w:ascii="Palatino Linotype" w:eastAsiaTheme="minorEastAsia" w:hAnsi="Palatino Linotype" w:cstheme="minorBidi"/>
              <w:noProof/>
              <w:sz w:val="22"/>
              <w:szCs w:val="22"/>
              <w:lang w:eastAsia="es-MX"/>
            </w:rPr>
          </w:pPr>
          <w:hyperlink w:anchor="_Toc221197397" w:history="1">
            <w:r w:rsidR="009E3382" w:rsidRPr="00C40BD1">
              <w:rPr>
                <w:rStyle w:val="Hipervnculo"/>
                <w:rFonts w:ascii="Palatino Linotype" w:hAnsi="Palatino Linotype"/>
                <w:noProof/>
                <w:sz w:val="22"/>
                <w:szCs w:val="22"/>
              </w:rPr>
              <w:t>SÉPTIMO. Vista a la Secretaría</w:t>
            </w:r>
            <w:r w:rsidR="009E3382" w:rsidRPr="00C40BD1">
              <w:rPr>
                <w:rStyle w:val="Hipervnculo"/>
                <w:rFonts w:ascii="Palatino Linotype" w:hAnsi="Palatino Linotype"/>
                <w:noProof/>
                <w:sz w:val="22"/>
                <w:szCs w:val="22"/>
                <w:lang w:val="x-none"/>
              </w:rPr>
              <w:t xml:space="preserve"> Técnica del </w:t>
            </w:r>
            <w:r w:rsidR="009E3382" w:rsidRPr="00C40BD1">
              <w:rPr>
                <w:rStyle w:val="Hipervnculo"/>
                <w:rFonts w:ascii="Palatino Linotype" w:hAnsi="Palatino Linotype"/>
                <w:noProof/>
                <w:sz w:val="22"/>
                <w:szCs w:val="22"/>
              </w:rPr>
              <w:t>Pleno</w:t>
            </w:r>
            <w:r w:rsidR="009E3382" w:rsidRPr="00C40BD1">
              <w:rPr>
                <w:rFonts w:ascii="Palatino Linotype" w:hAnsi="Palatino Linotype"/>
                <w:noProof/>
                <w:webHidden/>
                <w:sz w:val="22"/>
                <w:szCs w:val="22"/>
              </w:rPr>
              <w:tab/>
            </w:r>
            <w:r w:rsidR="009E3382" w:rsidRPr="00C40BD1">
              <w:rPr>
                <w:rFonts w:ascii="Palatino Linotype" w:hAnsi="Palatino Linotype"/>
                <w:noProof/>
                <w:webHidden/>
                <w:sz w:val="22"/>
                <w:szCs w:val="22"/>
              </w:rPr>
              <w:fldChar w:fldCharType="begin"/>
            </w:r>
            <w:r w:rsidR="009E3382" w:rsidRPr="00C40BD1">
              <w:rPr>
                <w:rFonts w:ascii="Palatino Linotype" w:hAnsi="Palatino Linotype"/>
                <w:noProof/>
                <w:webHidden/>
                <w:sz w:val="22"/>
                <w:szCs w:val="22"/>
              </w:rPr>
              <w:instrText xml:space="preserve"> PAGEREF _Toc221197397 \h </w:instrText>
            </w:r>
            <w:r w:rsidR="009E3382" w:rsidRPr="00C40BD1">
              <w:rPr>
                <w:rFonts w:ascii="Palatino Linotype" w:hAnsi="Palatino Linotype"/>
                <w:noProof/>
                <w:webHidden/>
                <w:sz w:val="22"/>
                <w:szCs w:val="22"/>
              </w:rPr>
            </w:r>
            <w:r w:rsidR="009E3382" w:rsidRPr="00C40BD1">
              <w:rPr>
                <w:rFonts w:ascii="Palatino Linotype" w:hAnsi="Palatino Linotype"/>
                <w:noProof/>
                <w:webHidden/>
                <w:sz w:val="22"/>
                <w:szCs w:val="22"/>
              </w:rPr>
              <w:fldChar w:fldCharType="separate"/>
            </w:r>
            <w:r w:rsidR="008352F7">
              <w:rPr>
                <w:rFonts w:ascii="Palatino Linotype" w:hAnsi="Palatino Linotype"/>
                <w:noProof/>
                <w:webHidden/>
                <w:sz w:val="22"/>
                <w:szCs w:val="22"/>
              </w:rPr>
              <w:t>28</w:t>
            </w:r>
            <w:r w:rsidR="009E3382" w:rsidRPr="00C40BD1">
              <w:rPr>
                <w:rFonts w:ascii="Palatino Linotype" w:hAnsi="Palatino Linotype"/>
                <w:noProof/>
                <w:webHidden/>
                <w:sz w:val="22"/>
                <w:szCs w:val="22"/>
              </w:rPr>
              <w:fldChar w:fldCharType="end"/>
            </w:r>
          </w:hyperlink>
        </w:p>
        <w:p w14:paraId="7D33971A" w14:textId="77777777" w:rsidR="009E3382" w:rsidRPr="00C40BD1" w:rsidRDefault="00000000">
          <w:pPr>
            <w:pStyle w:val="TDC1"/>
            <w:rPr>
              <w:rFonts w:ascii="Palatino Linotype" w:eastAsiaTheme="minorEastAsia" w:hAnsi="Palatino Linotype" w:cstheme="minorBidi"/>
              <w:noProof/>
              <w:sz w:val="22"/>
              <w:szCs w:val="22"/>
              <w:lang w:eastAsia="es-MX"/>
            </w:rPr>
          </w:pPr>
          <w:hyperlink w:anchor="_Toc221197398" w:history="1">
            <w:r w:rsidR="009E3382" w:rsidRPr="00C40BD1">
              <w:rPr>
                <w:rStyle w:val="Hipervnculo"/>
                <w:rFonts w:ascii="Palatino Linotype" w:hAnsi="Palatino Linotype"/>
                <w:noProof/>
                <w:sz w:val="22"/>
                <w:szCs w:val="22"/>
              </w:rPr>
              <w:t>R E S U E L V E</w:t>
            </w:r>
            <w:r w:rsidR="009E3382" w:rsidRPr="00C40BD1">
              <w:rPr>
                <w:rFonts w:ascii="Palatino Linotype" w:hAnsi="Palatino Linotype"/>
                <w:noProof/>
                <w:webHidden/>
                <w:sz w:val="22"/>
                <w:szCs w:val="22"/>
              </w:rPr>
              <w:tab/>
            </w:r>
            <w:r w:rsidR="009E3382" w:rsidRPr="00C40BD1">
              <w:rPr>
                <w:rFonts w:ascii="Palatino Linotype" w:hAnsi="Palatino Linotype"/>
                <w:noProof/>
                <w:webHidden/>
                <w:sz w:val="22"/>
                <w:szCs w:val="22"/>
              </w:rPr>
              <w:fldChar w:fldCharType="begin"/>
            </w:r>
            <w:r w:rsidR="009E3382" w:rsidRPr="00C40BD1">
              <w:rPr>
                <w:rFonts w:ascii="Palatino Linotype" w:hAnsi="Palatino Linotype"/>
                <w:noProof/>
                <w:webHidden/>
                <w:sz w:val="22"/>
                <w:szCs w:val="22"/>
              </w:rPr>
              <w:instrText xml:space="preserve"> PAGEREF _Toc221197398 \h </w:instrText>
            </w:r>
            <w:r w:rsidR="009E3382" w:rsidRPr="00C40BD1">
              <w:rPr>
                <w:rFonts w:ascii="Palatino Linotype" w:hAnsi="Palatino Linotype"/>
                <w:noProof/>
                <w:webHidden/>
                <w:sz w:val="22"/>
                <w:szCs w:val="22"/>
              </w:rPr>
            </w:r>
            <w:r w:rsidR="009E3382" w:rsidRPr="00C40BD1">
              <w:rPr>
                <w:rFonts w:ascii="Palatino Linotype" w:hAnsi="Palatino Linotype"/>
                <w:noProof/>
                <w:webHidden/>
                <w:sz w:val="22"/>
                <w:szCs w:val="22"/>
              </w:rPr>
              <w:fldChar w:fldCharType="separate"/>
            </w:r>
            <w:r w:rsidR="008352F7">
              <w:rPr>
                <w:rFonts w:ascii="Palatino Linotype" w:hAnsi="Palatino Linotype"/>
                <w:noProof/>
                <w:webHidden/>
                <w:sz w:val="22"/>
                <w:szCs w:val="22"/>
              </w:rPr>
              <w:t>30</w:t>
            </w:r>
            <w:r w:rsidR="009E3382" w:rsidRPr="00C40BD1">
              <w:rPr>
                <w:rFonts w:ascii="Palatino Linotype" w:hAnsi="Palatino Linotype"/>
                <w:noProof/>
                <w:webHidden/>
                <w:sz w:val="22"/>
                <w:szCs w:val="22"/>
              </w:rPr>
              <w:fldChar w:fldCharType="end"/>
            </w:r>
          </w:hyperlink>
        </w:p>
        <w:p w14:paraId="03C9AFF7" w14:textId="6EA0670C" w:rsidR="007935E5" w:rsidRPr="00C40BD1" w:rsidRDefault="007935E5" w:rsidP="00220BD1">
          <w:pPr>
            <w:spacing w:line="360" w:lineRule="auto"/>
            <w:jc w:val="both"/>
            <w:rPr>
              <w:color w:val="FF0000"/>
            </w:rPr>
          </w:pPr>
          <w:r w:rsidRPr="00C40BD1">
            <w:rPr>
              <w:rFonts w:ascii="Palatino Linotype" w:hAnsi="Palatino Linotype"/>
              <w:bCs/>
              <w:color w:val="FF0000"/>
              <w:sz w:val="22"/>
              <w:szCs w:val="22"/>
              <w:lang w:val="es-ES"/>
            </w:rPr>
            <w:fldChar w:fldCharType="end"/>
          </w:r>
        </w:p>
      </w:sdtContent>
    </w:sdt>
    <w:p w14:paraId="0ED4147D" w14:textId="16059F86" w:rsidR="00F82637" w:rsidRPr="00C40BD1" w:rsidRDefault="007935E5" w:rsidP="00220BD1">
      <w:pPr>
        <w:spacing w:line="360" w:lineRule="auto"/>
        <w:jc w:val="both"/>
        <w:rPr>
          <w:rFonts w:ascii="Palatino Linotype" w:eastAsiaTheme="minorHAnsi" w:hAnsi="Palatino Linotype" w:cs="Tahoma"/>
          <w:bCs/>
          <w:color w:val="FF0000"/>
          <w:sz w:val="22"/>
          <w:szCs w:val="22"/>
          <w:lang w:eastAsia="en-US"/>
        </w:rPr>
      </w:pPr>
      <w:r w:rsidRPr="00C40BD1">
        <w:rPr>
          <w:rFonts w:ascii="Palatino Linotype" w:eastAsiaTheme="minorHAnsi" w:hAnsi="Palatino Linotype" w:cs="Tahoma"/>
          <w:bCs/>
          <w:color w:val="FF0000"/>
          <w:sz w:val="22"/>
          <w:szCs w:val="22"/>
          <w:lang w:eastAsia="en-US"/>
        </w:rPr>
        <w:br w:type="column"/>
      </w:r>
      <w:r w:rsidR="00F82637" w:rsidRPr="00C40BD1">
        <w:rPr>
          <w:rFonts w:ascii="Palatino Linotype" w:eastAsiaTheme="minorHAnsi" w:hAnsi="Palatino Linotype" w:cs="Tahoma"/>
          <w:bCs/>
          <w:sz w:val="22"/>
          <w:szCs w:val="22"/>
          <w:lang w:eastAsia="en-US"/>
        </w:rPr>
        <w:lastRenderedPageBreak/>
        <w:t xml:space="preserve">Resolución del Pleno del Instituto de Transparencia, Acceso a la Información Pública y </w:t>
      </w:r>
      <w:r w:rsidR="00F82637" w:rsidRPr="00C40BD1">
        <w:rPr>
          <w:rFonts w:ascii="Palatino Linotype" w:hAnsi="Palatino Linotype" w:cs="Tahoma"/>
          <w:bCs/>
          <w:sz w:val="22"/>
          <w:szCs w:val="22"/>
        </w:rPr>
        <w:t>Protección de Datos Personales del Estado de México y Municipios, con domicilio en Metepec, Estado de México, de fecha</w:t>
      </w:r>
      <w:r w:rsidR="00F33150" w:rsidRPr="00C40BD1">
        <w:rPr>
          <w:rFonts w:ascii="Palatino Linotype" w:hAnsi="Palatino Linotype" w:cs="Tahoma"/>
          <w:bCs/>
          <w:sz w:val="22"/>
          <w:szCs w:val="22"/>
        </w:rPr>
        <w:t xml:space="preserve"> </w:t>
      </w:r>
      <w:r w:rsidR="00463183" w:rsidRPr="00C40BD1">
        <w:rPr>
          <w:rFonts w:ascii="Palatino Linotype" w:hAnsi="Palatino Linotype" w:cs="Tahoma"/>
          <w:bCs/>
          <w:sz w:val="22"/>
          <w:szCs w:val="22"/>
        </w:rPr>
        <w:t>cinco de febrero de dos mil veintiséis.</w:t>
      </w:r>
    </w:p>
    <w:p w14:paraId="7922BAAD" w14:textId="77777777" w:rsidR="00F82637" w:rsidRPr="00C40BD1" w:rsidRDefault="00F82637" w:rsidP="00220BD1">
      <w:pPr>
        <w:spacing w:line="360" w:lineRule="auto"/>
        <w:ind w:left="708" w:hanging="708"/>
        <w:jc w:val="both"/>
        <w:rPr>
          <w:rFonts w:ascii="Palatino Linotype" w:eastAsiaTheme="minorHAnsi" w:hAnsi="Palatino Linotype" w:cstheme="minorBidi"/>
          <w:sz w:val="22"/>
          <w:szCs w:val="22"/>
          <w:lang w:eastAsia="en-US"/>
        </w:rPr>
      </w:pPr>
    </w:p>
    <w:p w14:paraId="446072B0" w14:textId="533F582A" w:rsidR="00F82637" w:rsidRPr="00C40BD1" w:rsidRDefault="00F82637" w:rsidP="00220BD1">
      <w:pPr>
        <w:spacing w:line="360" w:lineRule="auto"/>
        <w:jc w:val="both"/>
        <w:rPr>
          <w:rFonts w:ascii="Palatino Linotype" w:eastAsiaTheme="minorHAnsi" w:hAnsi="Palatino Linotype" w:cstheme="minorBidi"/>
          <w:sz w:val="22"/>
          <w:szCs w:val="22"/>
          <w:lang w:eastAsia="en-US"/>
        </w:rPr>
      </w:pPr>
      <w:r w:rsidRPr="00C40BD1">
        <w:rPr>
          <w:rFonts w:ascii="Palatino Linotype" w:eastAsiaTheme="minorHAnsi" w:hAnsi="Palatino Linotype" w:cstheme="minorBidi"/>
          <w:b/>
          <w:bCs/>
          <w:sz w:val="22"/>
          <w:szCs w:val="22"/>
          <w:lang w:eastAsia="en-US"/>
        </w:rPr>
        <w:t xml:space="preserve">VISTO </w:t>
      </w:r>
      <w:r w:rsidRPr="00C40BD1">
        <w:rPr>
          <w:rFonts w:ascii="Palatino Linotype" w:eastAsiaTheme="minorHAnsi" w:hAnsi="Palatino Linotype" w:cstheme="minorBidi"/>
          <w:bCs/>
          <w:sz w:val="22"/>
          <w:szCs w:val="22"/>
          <w:lang w:eastAsia="en-US"/>
        </w:rPr>
        <w:t xml:space="preserve">el expediente conformado con motivo del Recurso de Revisión </w:t>
      </w:r>
      <w:r w:rsidR="00463183" w:rsidRPr="00AC70BB">
        <w:rPr>
          <w:rFonts w:ascii="Palatino Linotype" w:eastAsia="Calibri" w:hAnsi="Palatino Linotype" w:cs="Tahoma"/>
          <w:b/>
          <w:sz w:val="22"/>
          <w:szCs w:val="22"/>
          <w:lang w:eastAsia="en-US"/>
        </w:rPr>
        <w:t>14371/INFOEM/IP/RR/2025</w:t>
      </w:r>
      <w:r w:rsidRPr="00AC70BB">
        <w:rPr>
          <w:rFonts w:ascii="Palatino Linotype" w:eastAsiaTheme="minorHAnsi" w:hAnsi="Palatino Linotype" w:cstheme="minorBidi"/>
          <w:b/>
          <w:sz w:val="22"/>
          <w:szCs w:val="22"/>
          <w:lang w:eastAsia="en-US"/>
        </w:rPr>
        <w:t>,</w:t>
      </w:r>
      <w:r w:rsidRPr="00C40BD1">
        <w:rPr>
          <w:rFonts w:ascii="Palatino Linotype" w:eastAsiaTheme="minorHAnsi" w:hAnsi="Palatino Linotype" w:cstheme="minorBidi"/>
          <w:sz w:val="22"/>
          <w:szCs w:val="22"/>
          <w:lang w:eastAsia="en-US"/>
        </w:rPr>
        <w:t xml:space="preserve"> inter</w:t>
      </w:r>
      <w:r w:rsidR="001723FE" w:rsidRPr="00C40BD1">
        <w:rPr>
          <w:rFonts w:ascii="Palatino Linotype" w:eastAsiaTheme="minorHAnsi" w:hAnsi="Palatino Linotype" w:cstheme="minorBidi"/>
          <w:sz w:val="22"/>
          <w:szCs w:val="22"/>
          <w:lang w:eastAsia="en-US"/>
        </w:rPr>
        <w:t xml:space="preserve">puesto </w:t>
      </w:r>
      <w:r w:rsidR="007F28D2" w:rsidRPr="00C40BD1">
        <w:rPr>
          <w:rFonts w:ascii="Palatino Linotype" w:eastAsiaTheme="minorHAnsi" w:hAnsi="Palatino Linotype" w:cstheme="minorBidi"/>
          <w:sz w:val="22"/>
          <w:szCs w:val="22"/>
          <w:lang w:eastAsia="en-US"/>
        </w:rPr>
        <w:t>por</w:t>
      </w:r>
      <w:r w:rsidR="00EE7E77">
        <w:rPr>
          <w:rFonts w:ascii="Palatino Linotype" w:eastAsiaTheme="minorHAnsi" w:hAnsi="Palatino Linotype" w:cstheme="minorBidi"/>
          <w:sz w:val="22"/>
          <w:szCs w:val="22"/>
          <w:lang w:eastAsia="en-US"/>
        </w:rPr>
        <w:t xml:space="preserve"> </w:t>
      </w:r>
      <w:r w:rsidR="00EE7E77" w:rsidRPr="00EE7E77">
        <w:rPr>
          <w:rFonts w:ascii="Palatino Linotype" w:eastAsiaTheme="minorHAnsi" w:hAnsi="Palatino Linotype" w:cstheme="minorBidi"/>
          <w:sz w:val="22"/>
          <w:szCs w:val="22"/>
          <w:highlight w:val="black"/>
          <w:lang w:eastAsia="en-US"/>
        </w:rPr>
        <w:t>XXXXXXXXXXXXXXXXXXXX</w:t>
      </w:r>
      <w:r w:rsidR="00BA0893" w:rsidRPr="00C40BD1">
        <w:rPr>
          <w:rFonts w:ascii="Palatino Linotype" w:eastAsiaTheme="minorHAnsi" w:hAnsi="Palatino Linotype" w:cstheme="minorBidi"/>
          <w:sz w:val="22"/>
          <w:szCs w:val="22"/>
          <w:lang w:eastAsia="en-US"/>
        </w:rPr>
        <w:t xml:space="preserve">, en lo sucesivo </w:t>
      </w:r>
      <w:r w:rsidR="00281735" w:rsidRPr="00C40BD1">
        <w:rPr>
          <w:rFonts w:ascii="Palatino Linotype" w:eastAsiaTheme="minorHAnsi" w:hAnsi="Palatino Linotype" w:cstheme="minorBidi"/>
          <w:sz w:val="22"/>
          <w:szCs w:val="22"/>
          <w:lang w:eastAsia="en-US"/>
        </w:rPr>
        <w:t xml:space="preserve">persona </w:t>
      </w:r>
      <w:r w:rsidRPr="00C40BD1">
        <w:rPr>
          <w:rFonts w:ascii="Palatino Linotype" w:eastAsiaTheme="minorHAnsi" w:hAnsi="Palatino Linotype" w:cs="Tahoma"/>
          <w:sz w:val="22"/>
          <w:szCs w:val="22"/>
          <w:lang w:eastAsia="en-US"/>
        </w:rPr>
        <w:t>Recurrente o Particular</w:t>
      </w:r>
      <w:r w:rsidRPr="00C40BD1">
        <w:rPr>
          <w:rFonts w:ascii="Palatino Linotype" w:eastAsiaTheme="minorHAnsi" w:hAnsi="Palatino Linotype" w:cstheme="minorBidi"/>
          <w:sz w:val="22"/>
          <w:szCs w:val="22"/>
          <w:lang w:eastAsia="en-US"/>
        </w:rPr>
        <w:t xml:space="preserve">, en contra de la </w:t>
      </w:r>
      <w:r w:rsidR="003B4F63" w:rsidRPr="00C40BD1">
        <w:rPr>
          <w:rFonts w:ascii="Palatino Linotype" w:eastAsiaTheme="minorHAnsi" w:hAnsi="Palatino Linotype" w:cstheme="minorBidi"/>
          <w:sz w:val="22"/>
          <w:szCs w:val="22"/>
          <w:lang w:eastAsia="en-US"/>
        </w:rPr>
        <w:t xml:space="preserve">falta de </w:t>
      </w:r>
      <w:r w:rsidRPr="00C40BD1">
        <w:rPr>
          <w:rFonts w:ascii="Palatino Linotype" w:eastAsiaTheme="minorHAnsi" w:hAnsi="Palatino Linotype" w:cstheme="minorBidi"/>
          <w:sz w:val="22"/>
          <w:szCs w:val="22"/>
          <w:lang w:eastAsia="en-US"/>
        </w:rPr>
        <w:t xml:space="preserve">respuesta del Sujeto Obligado, </w:t>
      </w:r>
      <w:r w:rsidR="00AF0F74" w:rsidRPr="00AC70BB">
        <w:rPr>
          <w:rFonts w:ascii="Palatino Linotype" w:eastAsia="Calibri" w:hAnsi="Palatino Linotype" w:cs="Tahoma"/>
          <w:b/>
          <w:sz w:val="22"/>
          <w:szCs w:val="22"/>
          <w:lang w:eastAsia="en-US"/>
        </w:rPr>
        <w:t>Ayuntamiento de Tepotzotlán</w:t>
      </w:r>
      <w:r w:rsidRPr="00C40BD1">
        <w:rPr>
          <w:rFonts w:ascii="Palatino Linotype" w:eastAsiaTheme="minorHAnsi" w:hAnsi="Palatino Linotype" w:cstheme="minorBidi"/>
          <w:sz w:val="22"/>
          <w:szCs w:val="22"/>
          <w:lang w:eastAsia="en-US"/>
        </w:rPr>
        <w:t xml:space="preserve">, a la solicitud de </w:t>
      </w:r>
      <w:r w:rsidR="007E4295" w:rsidRPr="00C40BD1">
        <w:rPr>
          <w:rFonts w:ascii="Palatino Linotype" w:eastAsiaTheme="minorHAnsi" w:hAnsi="Palatino Linotype" w:cstheme="minorBidi"/>
          <w:sz w:val="22"/>
          <w:szCs w:val="22"/>
          <w:lang w:eastAsia="en-US"/>
        </w:rPr>
        <w:t xml:space="preserve">acceso a la información </w:t>
      </w:r>
      <w:proofErr w:type="gramStart"/>
      <w:r w:rsidR="007E4295" w:rsidRPr="00C40BD1">
        <w:rPr>
          <w:rFonts w:ascii="Palatino Linotype" w:eastAsiaTheme="minorHAnsi" w:hAnsi="Palatino Linotype" w:cstheme="minorBidi"/>
          <w:sz w:val="22"/>
          <w:szCs w:val="22"/>
          <w:lang w:eastAsia="en-US"/>
        </w:rPr>
        <w:t xml:space="preserve">pública </w:t>
      </w:r>
      <w:r w:rsidR="00AF0F74" w:rsidRPr="00C40BD1">
        <w:rPr>
          <w:rFonts w:ascii="Palatino Linotype" w:eastAsiaTheme="minorHAnsi" w:hAnsi="Palatino Linotype" w:cstheme="minorBidi"/>
          <w:sz w:val="22"/>
          <w:szCs w:val="22"/>
          <w:lang w:eastAsia="en-US"/>
        </w:rPr>
        <w:t> 01357</w:t>
      </w:r>
      <w:proofErr w:type="gramEnd"/>
      <w:r w:rsidR="00AF0F74" w:rsidRPr="00C40BD1">
        <w:rPr>
          <w:rFonts w:ascii="Palatino Linotype" w:eastAsiaTheme="minorHAnsi" w:hAnsi="Palatino Linotype" w:cstheme="minorBidi"/>
          <w:sz w:val="22"/>
          <w:szCs w:val="22"/>
          <w:lang w:eastAsia="en-US"/>
        </w:rPr>
        <w:t>/TEPOTZOT/IP/2025</w:t>
      </w:r>
      <w:r w:rsidRPr="00C40BD1">
        <w:rPr>
          <w:rFonts w:ascii="Palatino Linotype" w:eastAsiaTheme="minorHAnsi" w:hAnsi="Palatino Linotype" w:cstheme="minorBidi"/>
          <w:sz w:val="22"/>
          <w:szCs w:val="22"/>
          <w:lang w:eastAsia="en-US"/>
        </w:rPr>
        <w:t>, se emite la presente Resolución, con base en los Antecedentes y Considerandos que a continuación</w:t>
      </w:r>
      <w:r w:rsidRPr="00C40BD1">
        <w:rPr>
          <w:rFonts w:ascii="Palatino Linotype" w:eastAsiaTheme="minorHAnsi" w:hAnsi="Palatino Linotype" w:cstheme="minorBidi"/>
          <w:bCs/>
          <w:sz w:val="22"/>
          <w:szCs w:val="22"/>
          <w:lang w:eastAsia="en-US"/>
        </w:rPr>
        <w:t xml:space="preserve"> se exponen:</w:t>
      </w:r>
    </w:p>
    <w:p w14:paraId="38162D29" w14:textId="77777777" w:rsidR="008F4B45" w:rsidRPr="00C40BD1" w:rsidRDefault="008F4B45" w:rsidP="00220BD1">
      <w:pPr>
        <w:pStyle w:val="Subttulo"/>
        <w:spacing w:after="0" w:line="360" w:lineRule="auto"/>
        <w:rPr>
          <w:color w:val="FF0000"/>
        </w:rPr>
      </w:pPr>
    </w:p>
    <w:p w14:paraId="45CF508A" w14:textId="6496B8EC" w:rsidR="008F4B45" w:rsidRPr="00C40BD1" w:rsidRDefault="003F5E0D" w:rsidP="00220BD1">
      <w:pPr>
        <w:pStyle w:val="Ttulo1"/>
        <w:rPr>
          <w:color w:val="auto"/>
        </w:rPr>
      </w:pPr>
      <w:bookmarkStart w:id="0" w:name="_Toc221197385"/>
      <w:r w:rsidRPr="00C40BD1">
        <w:rPr>
          <w:color w:val="auto"/>
        </w:rPr>
        <w:t>A N T E C E D E N T E S</w:t>
      </w:r>
      <w:bookmarkEnd w:id="0"/>
    </w:p>
    <w:p w14:paraId="3D51A562" w14:textId="77777777" w:rsidR="008F4B45" w:rsidRPr="00C40BD1" w:rsidRDefault="008F4B45" w:rsidP="00220BD1">
      <w:pPr>
        <w:pStyle w:val="ResolucinV"/>
        <w:rPr>
          <w:color w:val="auto"/>
        </w:rPr>
      </w:pPr>
    </w:p>
    <w:p w14:paraId="07539392" w14:textId="0541120D" w:rsidR="00F469B3" w:rsidRPr="00C40BD1" w:rsidRDefault="00F469B3" w:rsidP="00220BD1">
      <w:pPr>
        <w:pStyle w:val="Ttulo2"/>
        <w:rPr>
          <w:color w:val="auto"/>
        </w:rPr>
      </w:pPr>
      <w:bookmarkStart w:id="1" w:name="_Toc221197386"/>
      <w:r w:rsidRPr="00C40BD1">
        <w:rPr>
          <w:color w:val="auto"/>
        </w:rPr>
        <w:t>I. Presentación de la solicitud de información</w:t>
      </w:r>
      <w:bookmarkEnd w:id="1"/>
    </w:p>
    <w:p w14:paraId="2C510854" w14:textId="77777777" w:rsidR="00F469B3" w:rsidRPr="00C40BD1" w:rsidRDefault="00F469B3" w:rsidP="00220BD1">
      <w:pPr>
        <w:tabs>
          <w:tab w:val="left" w:pos="567"/>
        </w:tabs>
        <w:spacing w:line="360" w:lineRule="auto"/>
        <w:jc w:val="both"/>
        <w:rPr>
          <w:rFonts w:ascii="Palatino Linotype" w:hAnsi="Palatino Linotype" w:cs="Tahoma"/>
          <w:color w:val="FF0000"/>
          <w:sz w:val="22"/>
          <w:szCs w:val="22"/>
        </w:rPr>
      </w:pPr>
    </w:p>
    <w:p w14:paraId="0F999651" w14:textId="73C88261" w:rsidR="00253EAE" w:rsidRPr="00C40BD1" w:rsidRDefault="00542F88" w:rsidP="00220BD1">
      <w:pPr>
        <w:autoSpaceDE w:val="0"/>
        <w:autoSpaceDN w:val="0"/>
        <w:adjustRightInd w:val="0"/>
        <w:spacing w:line="360" w:lineRule="auto"/>
        <w:jc w:val="both"/>
        <w:rPr>
          <w:rFonts w:ascii="Palatino Linotype" w:hAnsi="Palatino Linotype" w:cs="Tahoma"/>
          <w:sz w:val="22"/>
          <w:szCs w:val="22"/>
        </w:rPr>
      </w:pPr>
      <w:r w:rsidRPr="00C40BD1">
        <w:rPr>
          <w:rFonts w:ascii="Palatino Linotype" w:eastAsiaTheme="minorHAnsi" w:hAnsi="Palatino Linotype" w:cs="Tahoma"/>
          <w:sz w:val="22"/>
          <w:szCs w:val="22"/>
          <w:lang w:eastAsia="en-US"/>
        </w:rPr>
        <w:t xml:space="preserve">El </w:t>
      </w:r>
      <w:r w:rsidR="00AF0F74" w:rsidRPr="00C40BD1">
        <w:rPr>
          <w:rFonts w:ascii="Palatino Linotype" w:eastAsiaTheme="minorHAnsi" w:hAnsi="Palatino Linotype" w:cs="Tahoma"/>
          <w:sz w:val="22"/>
          <w:szCs w:val="22"/>
          <w:lang w:eastAsia="en-US"/>
        </w:rPr>
        <w:t xml:space="preserve">veinticuatro de noviembre de dos </w:t>
      </w:r>
      <w:r w:rsidR="00BA0893" w:rsidRPr="00C40BD1">
        <w:rPr>
          <w:rFonts w:ascii="Palatino Linotype" w:eastAsiaTheme="minorHAnsi" w:hAnsi="Palatino Linotype" w:cs="Tahoma"/>
          <w:sz w:val="22"/>
          <w:szCs w:val="22"/>
          <w:lang w:eastAsia="en-US"/>
        </w:rPr>
        <w:t>mil veinticinco</w:t>
      </w:r>
      <w:r w:rsidR="009C4785" w:rsidRPr="00C40BD1">
        <w:rPr>
          <w:rFonts w:ascii="Palatino Linotype" w:hAnsi="Palatino Linotype" w:cs="Tahoma"/>
          <w:sz w:val="22"/>
          <w:szCs w:val="22"/>
        </w:rPr>
        <w:t>,</w:t>
      </w:r>
      <w:r w:rsidR="00253EAE" w:rsidRPr="00C40BD1">
        <w:rPr>
          <w:rFonts w:ascii="Palatino Linotype" w:hAnsi="Palatino Linotype" w:cs="Tahoma"/>
          <w:sz w:val="22"/>
          <w:szCs w:val="22"/>
        </w:rPr>
        <w:t xml:space="preserve"> el Particular presentó una solicitud de acceso a la información pública, </w:t>
      </w:r>
      <w:r w:rsidR="00A909E4" w:rsidRPr="00C40BD1">
        <w:rPr>
          <w:rFonts w:ascii="Palatino Linotype" w:hAnsi="Palatino Linotype" w:cs="Tahoma"/>
          <w:sz w:val="22"/>
          <w:szCs w:val="22"/>
        </w:rPr>
        <w:t xml:space="preserve">(ya que si bien se </w:t>
      </w:r>
      <w:proofErr w:type="spellStart"/>
      <w:r w:rsidR="00A909E4" w:rsidRPr="00C40BD1">
        <w:rPr>
          <w:rFonts w:ascii="Palatino Linotype" w:hAnsi="Palatino Linotype" w:cs="Tahoma"/>
          <w:sz w:val="22"/>
          <w:szCs w:val="22"/>
        </w:rPr>
        <w:t>registro</w:t>
      </w:r>
      <w:proofErr w:type="spellEnd"/>
      <w:r w:rsidR="00A909E4" w:rsidRPr="00C40BD1">
        <w:rPr>
          <w:rFonts w:ascii="Palatino Linotype" w:hAnsi="Palatino Linotype" w:cs="Tahoma"/>
          <w:sz w:val="22"/>
          <w:szCs w:val="22"/>
        </w:rPr>
        <w:t xml:space="preserve"> el veintidós de dicho mes y año este fue inhábil por lo que se tuvo por presentada al día hábil siguiente), </w:t>
      </w:r>
      <w:r w:rsidR="00253EAE" w:rsidRPr="00C40BD1">
        <w:rPr>
          <w:rFonts w:ascii="Palatino Linotype" w:hAnsi="Palatino Linotype" w:cs="Tahoma"/>
          <w:sz w:val="22"/>
          <w:szCs w:val="22"/>
        </w:rPr>
        <w:t>a través del Sistema de Acceso a la Información Mexiquense (SAIMEX), ante el</w:t>
      </w:r>
      <w:r w:rsidR="003E16CF" w:rsidRPr="00C40BD1">
        <w:rPr>
          <w:rFonts w:ascii="Palatino Linotype" w:eastAsia="Calibri" w:hAnsi="Palatino Linotype" w:cs="Tahoma"/>
          <w:sz w:val="22"/>
          <w:szCs w:val="22"/>
          <w:lang w:eastAsia="en-US"/>
        </w:rPr>
        <w:t xml:space="preserve"> </w:t>
      </w:r>
      <w:r w:rsidR="007E4295" w:rsidRPr="00C40BD1">
        <w:rPr>
          <w:rFonts w:ascii="Palatino Linotype" w:eastAsia="Calibri" w:hAnsi="Palatino Linotype" w:cs="Tahoma"/>
          <w:bCs/>
          <w:sz w:val="22"/>
          <w:szCs w:val="22"/>
          <w:lang w:eastAsia="en-US"/>
        </w:rPr>
        <w:t xml:space="preserve">Ayuntamiento de </w:t>
      </w:r>
      <w:r w:rsidR="00AF0F74" w:rsidRPr="00C40BD1">
        <w:rPr>
          <w:rFonts w:ascii="Palatino Linotype" w:eastAsia="Calibri" w:hAnsi="Palatino Linotype" w:cs="Tahoma"/>
          <w:bCs/>
          <w:sz w:val="22"/>
          <w:szCs w:val="22"/>
          <w:lang w:eastAsia="en-US"/>
        </w:rPr>
        <w:t>Tepotzotlán</w:t>
      </w:r>
      <w:r w:rsidR="00253EAE" w:rsidRPr="00C40BD1">
        <w:rPr>
          <w:rFonts w:ascii="Palatino Linotype" w:hAnsi="Palatino Linotype"/>
          <w:bCs/>
          <w:sz w:val="22"/>
          <w:szCs w:val="22"/>
        </w:rPr>
        <w:t>,</w:t>
      </w:r>
      <w:r w:rsidR="00253EAE" w:rsidRPr="00C40BD1">
        <w:rPr>
          <w:rFonts w:ascii="Palatino Linotype" w:hAnsi="Palatino Linotype" w:cs="Tahoma"/>
          <w:bCs/>
          <w:sz w:val="22"/>
          <w:szCs w:val="22"/>
        </w:rPr>
        <w:t xml:space="preserve"> en los siguientes términos:</w:t>
      </w:r>
    </w:p>
    <w:p w14:paraId="122865B0" w14:textId="77777777" w:rsidR="00253EAE" w:rsidRPr="00C40BD1" w:rsidRDefault="00253EAE" w:rsidP="00220BD1">
      <w:pPr>
        <w:autoSpaceDE w:val="0"/>
        <w:autoSpaceDN w:val="0"/>
        <w:adjustRightInd w:val="0"/>
        <w:spacing w:line="360" w:lineRule="auto"/>
        <w:jc w:val="both"/>
        <w:rPr>
          <w:rFonts w:ascii="Palatino Linotype" w:hAnsi="Palatino Linotype" w:cs="Tahoma"/>
          <w:bCs/>
          <w:color w:val="FF0000"/>
          <w:sz w:val="22"/>
          <w:szCs w:val="22"/>
        </w:rPr>
      </w:pPr>
    </w:p>
    <w:p w14:paraId="32D1D69F" w14:textId="752B2ACF" w:rsidR="00253EAE" w:rsidRPr="00C40BD1" w:rsidRDefault="003A796B" w:rsidP="00220BD1">
      <w:pPr>
        <w:tabs>
          <w:tab w:val="left" w:pos="4667"/>
        </w:tabs>
        <w:spacing w:line="360" w:lineRule="auto"/>
        <w:ind w:left="567" w:right="567"/>
        <w:jc w:val="both"/>
        <w:rPr>
          <w:rFonts w:ascii="Palatino Linotype" w:hAnsi="Palatino Linotype" w:cs="Tahoma"/>
          <w:b/>
          <w:bCs/>
          <w:i/>
        </w:rPr>
      </w:pPr>
      <w:r w:rsidRPr="00C40BD1">
        <w:rPr>
          <w:rFonts w:ascii="Palatino Linotype" w:hAnsi="Palatino Linotype" w:cs="Tahoma"/>
          <w:b/>
          <w:bCs/>
          <w:i/>
        </w:rPr>
        <w:t>“</w:t>
      </w:r>
      <w:r w:rsidR="00253EAE" w:rsidRPr="00C40BD1">
        <w:rPr>
          <w:rFonts w:ascii="Palatino Linotype" w:hAnsi="Palatino Linotype" w:cs="Tahoma"/>
          <w:b/>
          <w:bCs/>
          <w:i/>
        </w:rPr>
        <w:t>DESCRIPCIÓN CLARA Y PRECISA DE LA INFORMACIÓN SOLICITADA</w:t>
      </w:r>
    </w:p>
    <w:p w14:paraId="372368C1" w14:textId="7902BDC3" w:rsidR="00253EAE" w:rsidRPr="00C40BD1" w:rsidRDefault="00AF0F74" w:rsidP="00220BD1">
      <w:pPr>
        <w:tabs>
          <w:tab w:val="left" w:pos="4667"/>
        </w:tabs>
        <w:spacing w:line="360" w:lineRule="auto"/>
        <w:ind w:left="567" w:right="567"/>
        <w:jc w:val="both"/>
        <w:rPr>
          <w:rFonts w:ascii="Palatino Linotype" w:hAnsi="Palatino Linotype" w:cs="Tahoma"/>
          <w:bCs/>
          <w:i/>
        </w:rPr>
      </w:pPr>
      <w:bookmarkStart w:id="2" w:name="_Hlk220412778"/>
      <w:r w:rsidRPr="00C40BD1">
        <w:rPr>
          <w:rFonts w:ascii="Palatino Linotype" w:hAnsi="Palatino Linotype" w:cs="Tahoma"/>
          <w:bCs/>
          <w:i/>
        </w:rPr>
        <w:t>Solicito copia simple de documentos que acrediten si el Ayuntamiento ha destinado recursos públicos (materiales, financieros o humanos) para: a) Transporte, instalación o mantenimiento de la estatua del ‘Señor del Nicho’. b) Obras o apoyo al predio denominado ‘Centro Cultural del Señor del Nicho’. Especificar montos, fechas y conceptos, en caso de existir</w:t>
      </w:r>
      <w:bookmarkEnd w:id="2"/>
      <w:r w:rsidRPr="00C40BD1">
        <w:rPr>
          <w:rFonts w:ascii="Palatino Linotype" w:hAnsi="Palatino Linotype" w:cs="Tahoma"/>
          <w:bCs/>
          <w:i/>
        </w:rPr>
        <w:t>.</w:t>
      </w:r>
      <w:r w:rsidR="009E1F55" w:rsidRPr="00C40BD1">
        <w:rPr>
          <w:rFonts w:ascii="Palatino Linotype" w:hAnsi="Palatino Linotype" w:cs="Tahoma"/>
          <w:bCs/>
          <w:i/>
        </w:rPr>
        <w:t>”</w:t>
      </w:r>
      <w:r w:rsidR="00071CAE" w:rsidRPr="00C40BD1">
        <w:rPr>
          <w:rFonts w:ascii="Palatino Linotype" w:hAnsi="Palatino Linotype" w:cs="Tahoma"/>
          <w:bCs/>
          <w:i/>
        </w:rPr>
        <w:t xml:space="preserve"> </w:t>
      </w:r>
      <w:r w:rsidR="00253EAE" w:rsidRPr="00C40BD1">
        <w:rPr>
          <w:rFonts w:ascii="Palatino Linotype" w:hAnsi="Palatino Linotype" w:cs="Tahoma"/>
          <w:bCs/>
          <w:i/>
        </w:rPr>
        <w:t>(Sic.)</w:t>
      </w:r>
    </w:p>
    <w:p w14:paraId="233A1DFE" w14:textId="2D10F550" w:rsidR="00AD776C" w:rsidRPr="00C40BD1" w:rsidRDefault="00AD776C" w:rsidP="00220BD1">
      <w:pPr>
        <w:tabs>
          <w:tab w:val="left" w:pos="2712"/>
        </w:tabs>
        <w:spacing w:line="360" w:lineRule="auto"/>
        <w:ind w:right="567"/>
        <w:jc w:val="both"/>
        <w:rPr>
          <w:rFonts w:ascii="Palatino Linotype" w:hAnsi="Palatino Linotype" w:cs="Tahoma"/>
          <w:bCs/>
          <w:i/>
          <w:color w:val="FF0000"/>
        </w:rPr>
      </w:pPr>
    </w:p>
    <w:p w14:paraId="328702F2" w14:textId="318B7756" w:rsidR="00253EAE" w:rsidRPr="00C40BD1" w:rsidRDefault="003A796B" w:rsidP="00220BD1">
      <w:pPr>
        <w:tabs>
          <w:tab w:val="left" w:pos="4667"/>
        </w:tabs>
        <w:spacing w:line="360" w:lineRule="auto"/>
        <w:ind w:left="567" w:right="567"/>
        <w:jc w:val="both"/>
        <w:rPr>
          <w:rFonts w:ascii="Palatino Linotype" w:hAnsi="Palatino Linotype" w:cs="Tahoma"/>
          <w:b/>
          <w:bCs/>
          <w:i/>
          <w:iCs/>
        </w:rPr>
      </w:pPr>
      <w:r w:rsidRPr="00C40BD1">
        <w:rPr>
          <w:rFonts w:ascii="Palatino Linotype" w:hAnsi="Palatino Linotype" w:cs="Tahoma"/>
          <w:b/>
          <w:bCs/>
          <w:i/>
          <w:iCs/>
        </w:rPr>
        <w:lastRenderedPageBreak/>
        <w:t>“</w:t>
      </w:r>
      <w:r w:rsidR="00253EAE" w:rsidRPr="00C40BD1">
        <w:rPr>
          <w:rFonts w:ascii="Palatino Linotype" w:hAnsi="Palatino Linotype" w:cs="Tahoma"/>
          <w:b/>
          <w:bCs/>
          <w:i/>
          <w:iCs/>
        </w:rPr>
        <w:t>MODALIDAD DE ENTREGA</w:t>
      </w:r>
    </w:p>
    <w:p w14:paraId="0088BDE8" w14:textId="4E6DDB9C" w:rsidR="00253EAE" w:rsidRPr="00C40BD1" w:rsidRDefault="00253EAE" w:rsidP="00220BD1">
      <w:pPr>
        <w:spacing w:line="360" w:lineRule="auto"/>
        <w:ind w:left="567" w:right="567"/>
        <w:jc w:val="both"/>
        <w:rPr>
          <w:rFonts w:ascii="Palatino Linotype" w:hAnsi="Palatino Linotype" w:cs="Arial"/>
          <w:bCs/>
          <w:i/>
          <w:iCs/>
        </w:rPr>
      </w:pPr>
      <w:r w:rsidRPr="00C40BD1">
        <w:rPr>
          <w:rFonts w:ascii="Palatino Linotype" w:hAnsi="Palatino Linotype" w:cs="Arial"/>
          <w:bCs/>
          <w:i/>
          <w:iCs/>
        </w:rPr>
        <w:t xml:space="preserve">A través del SAIMEX” </w:t>
      </w:r>
    </w:p>
    <w:p w14:paraId="007F8933" w14:textId="77777777" w:rsidR="00D51FC6" w:rsidRPr="00C40BD1" w:rsidRDefault="00D51FC6" w:rsidP="00220BD1">
      <w:pPr>
        <w:spacing w:line="360" w:lineRule="auto"/>
        <w:ind w:left="567" w:right="567"/>
        <w:jc w:val="both"/>
        <w:rPr>
          <w:rFonts w:ascii="Palatino Linotype" w:hAnsi="Palatino Linotype" w:cs="Arial"/>
          <w:bCs/>
          <w:i/>
          <w:iCs/>
        </w:rPr>
      </w:pPr>
    </w:p>
    <w:p w14:paraId="4A453407" w14:textId="47EE6331" w:rsidR="00F469B3" w:rsidRPr="00C40BD1" w:rsidRDefault="00D519BC" w:rsidP="00220BD1">
      <w:pPr>
        <w:pStyle w:val="Ttulo2"/>
        <w:rPr>
          <w:color w:val="auto"/>
        </w:rPr>
      </w:pPr>
      <w:bookmarkStart w:id="3" w:name="_Toc221197387"/>
      <w:r w:rsidRPr="00C40BD1">
        <w:rPr>
          <w:color w:val="auto"/>
        </w:rPr>
        <w:t>I</w:t>
      </w:r>
      <w:r w:rsidR="00AF0F74" w:rsidRPr="00C40BD1">
        <w:rPr>
          <w:color w:val="auto"/>
        </w:rPr>
        <w:t>I</w:t>
      </w:r>
      <w:r w:rsidRPr="00C40BD1">
        <w:rPr>
          <w:color w:val="auto"/>
        </w:rPr>
        <w:t xml:space="preserve">. </w:t>
      </w:r>
      <w:r w:rsidR="00F469B3" w:rsidRPr="00C40BD1">
        <w:rPr>
          <w:color w:val="auto"/>
        </w:rPr>
        <w:t xml:space="preserve"> Respuesta del Sujeto Obligado</w:t>
      </w:r>
      <w:bookmarkEnd w:id="3"/>
    </w:p>
    <w:p w14:paraId="4ED48BC3" w14:textId="77777777" w:rsidR="0053216F" w:rsidRPr="00C40BD1" w:rsidRDefault="0053216F" w:rsidP="00220BD1">
      <w:pPr>
        <w:spacing w:line="360" w:lineRule="auto"/>
        <w:jc w:val="both"/>
        <w:rPr>
          <w:rFonts w:ascii="Palatino Linotype" w:eastAsiaTheme="minorHAnsi" w:hAnsi="Palatino Linotype" w:cstheme="minorBidi"/>
          <w:sz w:val="22"/>
          <w:szCs w:val="22"/>
          <w:lang w:eastAsia="en-US"/>
        </w:rPr>
      </w:pPr>
    </w:p>
    <w:p w14:paraId="0B1EC5E0" w14:textId="07118267" w:rsidR="003942CB" w:rsidRPr="00C40BD1" w:rsidRDefault="003942CB" w:rsidP="00220BD1">
      <w:pPr>
        <w:spacing w:line="360" w:lineRule="auto"/>
        <w:jc w:val="both"/>
        <w:rPr>
          <w:rFonts w:ascii="Palatino Linotype" w:eastAsiaTheme="minorHAnsi" w:hAnsi="Palatino Linotype" w:cstheme="minorBidi"/>
          <w:sz w:val="22"/>
          <w:szCs w:val="22"/>
          <w:lang w:eastAsia="en-US"/>
        </w:rPr>
      </w:pPr>
      <w:r w:rsidRPr="00C40BD1">
        <w:rPr>
          <w:rFonts w:ascii="Palatino Linotype" w:eastAsiaTheme="minorHAnsi" w:hAnsi="Palatino Linotype" w:cstheme="minorBidi"/>
          <w:sz w:val="22"/>
          <w:szCs w:val="22"/>
          <w:lang w:eastAsia="en-US"/>
        </w:rPr>
        <w:t>De conformidad con el artículo 1</w:t>
      </w:r>
      <w:r w:rsidR="00AF0F74" w:rsidRPr="00C40BD1">
        <w:rPr>
          <w:rFonts w:ascii="Palatino Linotype" w:eastAsiaTheme="minorHAnsi" w:hAnsi="Palatino Linotype" w:cstheme="minorBidi"/>
          <w:sz w:val="22"/>
          <w:szCs w:val="22"/>
          <w:lang w:eastAsia="en-US"/>
        </w:rPr>
        <w:t>63</w:t>
      </w:r>
      <w:r w:rsidRPr="00C40BD1">
        <w:rPr>
          <w:rFonts w:ascii="Palatino Linotype" w:eastAsiaTheme="minorHAnsi" w:hAnsi="Palatino Linotype" w:cstheme="minorBidi"/>
          <w:sz w:val="22"/>
          <w:szCs w:val="22"/>
          <w:lang w:eastAsia="en-US"/>
        </w:rPr>
        <w:t>, párrafo primero de la Ley de Transparencia y Acceso a</w:t>
      </w:r>
    </w:p>
    <w:p w14:paraId="72793F33" w14:textId="36F6B881" w:rsidR="003942CB" w:rsidRPr="00C40BD1" w:rsidRDefault="003942CB" w:rsidP="00220BD1">
      <w:pPr>
        <w:spacing w:line="360" w:lineRule="auto"/>
        <w:jc w:val="both"/>
        <w:rPr>
          <w:rFonts w:ascii="Palatino Linotype" w:eastAsiaTheme="minorHAnsi" w:hAnsi="Palatino Linotype" w:cstheme="minorBidi"/>
          <w:sz w:val="22"/>
          <w:szCs w:val="22"/>
          <w:lang w:eastAsia="en-US"/>
        </w:rPr>
      </w:pPr>
      <w:r w:rsidRPr="00C40BD1">
        <w:rPr>
          <w:rFonts w:ascii="Palatino Linotype" w:eastAsiaTheme="minorHAnsi" w:hAnsi="Palatino Linotype" w:cstheme="minorBidi"/>
          <w:sz w:val="22"/>
          <w:szCs w:val="22"/>
          <w:lang w:eastAsia="en-US"/>
        </w:rPr>
        <w:t>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el</w:t>
      </w:r>
      <w:r w:rsidR="003E16CF" w:rsidRPr="00C40BD1">
        <w:rPr>
          <w:rFonts w:ascii="Palatino Linotype" w:eastAsia="Calibri" w:hAnsi="Palatino Linotype" w:cs="Tahoma"/>
          <w:b/>
          <w:bCs/>
          <w:sz w:val="22"/>
          <w:szCs w:val="22"/>
          <w:lang w:eastAsia="en-US"/>
        </w:rPr>
        <w:t xml:space="preserve"> </w:t>
      </w:r>
      <w:r w:rsidR="007E4295" w:rsidRPr="00C40BD1">
        <w:rPr>
          <w:rFonts w:ascii="Palatino Linotype" w:eastAsia="Calibri" w:hAnsi="Palatino Linotype" w:cs="Tahoma"/>
          <w:b/>
          <w:bCs/>
          <w:sz w:val="22"/>
          <w:szCs w:val="22"/>
          <w:lang w:eastAsia="en-US"/>
        </w:rPr>
        <w:t>Ayuntamiento</w:t>
      </w:r>
      <w:r w:rsidR="00AF0F74" w:rsidRPr="00C40BD1">
        <w:rPr>
          <w:rFonts w:ascii="Palatino Linotype" w:eastAsia="Calibri" w:hAnsi="Palatino Linotype" w:cs="Tahoma"/>
          <w:b/>
          <w:bCs/>
          <w:sz w:val="22"/>
          <w:szCs w:val="22"/>
          <w:lang w:eastAsia="en-US"/>
        </w:rPr>
        <w:t xml:space="preserve"> de Tepotzotlán</w:t>
      </w:r>
      <w:r w:rsidRPr="00C40BD1">
        <w:rPr>
          <w:rFonts w:ascii="Palatino Linotype" w:eastAsiaTheme="minorHAnsi" w:hAnsi="Palatino Linotype" w:cstheme="minorBidi"/>
          <w:sz w:val="22"/>
          <w:szCs w:val="22"/>
          <w:lang w:eastAsia="en-US"/>
        </w:rPr>
        <w:t xml:space="preserve">, omitió dar respuesta a la solicitud de información, por lo que se </w:t>
      </w:r>
      <w:r w:rsidRPr="00C40BD1">
        <w:rPr>
          <w:rFonts w:ascii="Palatino Linotype" w:eastAsiaTheme="minorHAnsi" w:hAnsi="Palatino Linotype" w:cstheme="minorBidi"/>
          <w:b/>
          <w:sz w:val="22"/>
          <w:szCs w:val="22"/>
          <w:lang w:eastAsia="en-US"/>
        </w:rPr>
        <w:t>configura la negativa ficta</w:t>
      </w:r>
      <w:r w:rsidRPr="00C40BD1">
        <w:rPr>
          <w:rFonts w:ascii="Palatino Linotype" w:eastAsiaTheme="minorHAnsi" w:hAnsi="Palatino Linotype" w:cstheme="minorBidi"/>
          <w:sz w:val="22"/>
          <w:szCs w:val="22"/>
          <w:lang w:eastAsia="en-US"/>
        </w:rPr>
        <w:t xml:space="preserve"> a entregar información, prevista, en los artículos 166, párrafo cuarto y 178, párrafo segundo de la Ley de Transparencia y Acceso a la Información Pública del Estado de México y Municipios.</w:t>
      </w:r>
    </w:p>
    <w:p w14:paraId="1F0AEEFF" w14:textId="77777777" w:rsidR="003942CB" w:rsidRPr="00C40BD1" w:rsidRDefault="003942CB" w:rsidP="00220BD1">
      <w:pPr>
        <w:spacing w:line="360" w:lineRule="auto"/>
        <w:jc w:val="both"/>
        <w:rPr>
          <w:rFonts w:ascii="Palatino Linotype" w:hAnsi="Palatino Linotype" w:cs="Tahoma"/>
          <w:bCs/>
          <w:iCs/>
          <w:color w:val="FF0000"/>
          <w:sz w:val="22"/>
          <w:szCs w:val="22"/>
        </w:rPr>
      </w:pPr>
    </w:p>
    <w:p w14:paraId="6E7C6651" w14:textId="1DA9CB4E" w:rsidR="00F469B3" w:rsidRPr="00C40BD1" w:rsidRDefault="00AF0F74" w:rsidP="00220BD1">
      <w:pPr>
        <w:pStyle w:val="Ttulo2"/>
        <w:rPr>
          <w:color w:val="auto"/>
          <w:lang w:eastAsia="en-US"/>
        </w:rPr>
      </w:pPr>
      <w:bookmarkStart w:id="4" w:name="_Toc221197388"/>
      <w:r w:rsidRPr="00C40BD1">
        <w:rPr>
          <w:color w:val="auto"/>
          <w:lang w:eastAsia="en-US"/>
        </w:rPr>
        <w:t>III</w:t>
      </w:r>
      <w:r w:rsidR="00F469B3" w:rsidRPr="00C40BD1">
        <w:rPr>
          <w:color w:val="auto"/>
          <w:lang w:eastAsia="en-US"/>
        </w:rPr>
        <w:t>. Interposición del Recurso de Revisión</w:t>
      </w:r>
      <w:bookmarkEnd w:id="4"/>
    </w:p>
    <w:p w14:paraId="356E2604" w14:textId="77777777" w:rsidR="00F469B3" w:rsidRPr="00C40BD1" w:rsidRDefault="00F469B3" w:rsidP="00220BD1">
      <w:pPr>
        <w:spacing w:line="360" w:lineRule="auto"/>
        <w:jc w:val="both"/>
        <w:rPr>
          <w:rFonts w:ascii="Palatino Linotype" w:eastAsiaTheme="minorHAnsi" w:hAnsi="Palatino Linotype" w:cstheme="minorBidi"/>
          <w:b/>
          <w:bCs/>
          <w:color w:val="FF0000"/>
          <w:sz w:val="22"/>
          <w:szCs w:val="22"/>
          <w:lang w:eastAsia="en-US"/>
        </w:rPr>
      </w:pPr>
    </w:p>
    <w:p w14:paraId="5DB53334" w14:textId="7D55AA14" w:rsidR="00F469B3" w:rsidRPr="00C40BD1" w:rsidRDefault="00B4118B" w:rsidP="00220BD1">
      <w:pPr>
        <w:spacing w:line="360" w:lineRule="auto"/>
        <w:jc w:val="both"/>
        <w:rPr>
          <w:rFonts w:ascii="Palatino Linotype" w:eastAsiaTheme="minorHAnsi" w:hAnsi="Palatino Linotype" w:cs="Tahoma"/>
          <w:sz w:val="22"/>
          <w:szCs w:val="22"/>
          <w:lang w:eastAsia="en-US"/>
        </w:rPr>
      </w:pPr>
      <w:r w:rsidRPr="00C40BD1">
        <w:rPr>
          <w:rFonts w:ascii="Palatino Linotype" w:eastAsiaTheme="minorHAnsi" w:hAnsi="Palatino Linotype" w:cs="Tahoma"/>
          <w:sz w:val="22"/>
          <w:szCs w:val="22"/>
          <w:lang w:eastAsia="en-US"/>
        </w:rPr>
        <w:t>El</w:t>
      </w:r>
      <w:r w:rsidR="00F469B3" w:rsidRPr="00C40BD1">
        <w:rPr>
          <w:rFonts w:ascii="Palatino Linotype" w:eastAsiaTheme="minorHAnsi" w:hAnsi="Palatino Linotype" w:cs="Tahoma"/>
          <w:sz w:val="22"/>
          <w:szCs w:val="22"/>
          <w:lang w:eastAsia="en-US"/>
        </w:rPr>
        <w:t xml:space="preserve"> </w:t>
      </w:r>
      <w:r w:rsidR="00AF0F74" w:rsidRPr="00C40BD1">
        <w:rPr>
          <w:rFonts w:ascii="Palatino Linotype" w:eastAsiaTheme="minorHAnsi" w:hAnsi="Palatino Linotype" w:cs="Tahoma"/>
          <w:sz w:val="22"/>
          <w:szCs w:val="22"/>
          <w:lang w:eastAsia="en-US"/>
        </w:rPr>
        <w:t>dieciséis de diciembre de dos mil veinticinco</w:t>
      </w:r>
      <w:r w:rsidR="00F469B3" w:rsidRPr="00C40BD1">
        <w:rPr>
          <w:rFonts w:ascii="Palatino Linotype" w:eastAsiaTheme="minorHAnsi" w:hAnsi="Palatino Linotype" w:cs="Tahoma"/>
          <w:sz w:val="22"/>
          <w:szCs w:val="22"/>
          <w:lang w:eastAsia="en-US"/>
        </w:rPr>
        <w:t xml:space="preserve">, </w:t>
      </w:r>
      <w:r w:rsidR="00F469B3" w:rsidRPr="00C40BD1">
        <w:rPr>
          <w:rFonts w:ascii="Palatino Linotype" w:eastAsiaTheme="minorHAnsi" w:hAnsi="Palatino Linotype" w:cs="Tahoma"/>
          <w:sz w:val="22"/>
          <w:szCs w:val="22"/>
          <w:lang w:val="es-ES" w:eastAsia="en-US"/>
        </w:rPr>
        <w:t xml:space="preserve">el Particular interpuso un Recurso de Revisión ante este Instituto, a través del Sistema de Acceso a la Información Mexiquense (SAIMEX), en contra de la </w:t>
      </w:r>
      <w:r w:rsidR="00542F88" w:rsidRPr="00C40BD1">
        <w:rPr>
          <w:rFonts w:ascii="Palatino Linotype" w:eastAsiaTheme="minorHAnsi" w:hAnsi="Palatino Linotype" w:cs="Tahoma"/>
          <w:sz w:val="22"/>
          <w:szCs w:val="22"/>
          <w:lang w:val="es-ES" w:eastAsia="en-US"/>
        </w:rPr>
        <w:t xml:space="preserve">falta de </w:t>
      </w:r>
      <w:r w:rsidR="00F469B3" w:rsidRPr="00C40BD1">
        <w:rPr>
          <w:rFonts w:ascii="Palatino Linotype" w:eastAsiaTheme="minorHAnsi" w:hAnsi="Palatino Linotype" w:cs="Tahoma"/>
          <w:sz w:val="22"/>
          <w:szCs w:val="22"/>
          <w:lang w:val="es-ES" w:eastAsia="en-US"/>
        </w:rPr>
        <w:t>respuesta por el</w:t>
      </w:r>
      <w:r w:rsidR="00542F88" w:rsidRPr="00C40BD1">
        <w:rPr>
          <w:rFonts w:ascii="Palatino Linotype" w:eastAsia="Calibri" w:hAnsi="Palatino Linotype" w:cs="Tahoma"/>
          <w:sz w:val="22"/>
          <w:szCs w:val="22"/>
          <w:lang w:eastAsia="en-US"/>
        </w:rPr>
        <w:t xml:space="preserve"> Sujeto Obligado</w:t>
      </w:r>
      <w:r w:rsidR="00F469B3" w:rsidRPr="00C40BD1">
        <w:rPr>
          <w:rFonts w:ascii="Palatino Linotype" w:eastAsiaTheme="minorHAnsi" w:hAnsi="Palatino Linotype" w:cs="Tahoma"/>
          <w:sz w:val="22"/>
          <w:szCs w:val="22"/>
          <w:lang w:val="es-ES" w:eastAsia="en-US"/>
        </w:rPr>
        <w:t>, a la solicitud de información</w:t>
      </w:r>
      <w:r w:rsidR="00EB0141" w:rsidRPr="00C40BD1">
        <w:rPr>
          <w:rFonts w:ascii="Palatino Linotype" w:eastAsiaTheme="minorHAnsi" w:hAnsi="Palatino Linotype" w:cs="Tahoma"/>
          <w:sz w:val="22"/>
          <w:szCs w:val="22"/>
          <w:lang w:val="es-ES" w:eastAsia="en-US"/>
        </w:rPr>
        <w:t>,</w:t>
      </w:r>
      <w:r w:rsidR="00F469B3" w:rsidRPr="00C40BD1">
        <w:rPr>
          <w:rFonts w:ascii="Palatino Linotype" w:eastAsiaTheme="minorHAnsi" w:hAnsi="Palatino Linotype" w:cs="Tahoma"/>
          <w:sz w:val="22"/>
          <w:szCs w:val="22"/>
          <w:lang w:val="es-ES" w:eastAsia="en-US"/>
        </w:rPr>
        <w:t xml:space="preserve"> en los siguientes términos: </w:t>
      </w:r>
    </w:p>
    <w:p w14:paraId="0B7A443C" w14:textId="77777777" w:rsidR="00F469B3" w:rsidRPr="00C40BD1" w:rsidRDefault="00F469B3" w:rsidP="00220BD1">
      <w:pPr>
        <w:autoSpaceDE w:val="0"/>
        <w:autoSpaceDN w:val="0"/>
        <w:adjustRightInd w:val="0"/>
        <w:spacing w:line="360" w:lineRule="auto"/>
        <w:jc w:val="both"/>
        <w:rPr>
          <w:rFonts w:ascii="Palatino Linotype" w:eastAsiaTheme="minorHAnsi" w:hAnsi="Palatino Linotype" w:cs="Tahoma"/>
          <w:color w:val="FF0000"/>
          <w:sz w:val="22"/>
          <w:szCs w:val="22"/>
          <w:lang w:eastAsia="en-US"/>
        </w:rPr>
      </w:pPr>
    </w:p>
    <w:p w14:paraId="6C986C50" w14:textId="562B1865" w:rsidR="00F469B3" w:rsidRPr="00C40BD1" w:rsidRDefault="00A90989" w:rsidP="00220BD1">
      <w:pPr>
        <w:spacing w:line="360" w:lineRule="auto"/>
        <w:ind w:left="567" w:right="567"/>
        <w:jc w:val="both"/>
        <w:rPr>
          <w:rFonts w:ascii="Palatino Linotype" w:eastAsiaTheme="minorHAnsi" w:hAnsi="Palatino Linotype" w:cstheme="minorBidi"/>
          <w:bCs/>
          <w:i/>
          <w:lang w:eastAsia="en-US"/>
        </w:rPr>
      </w:pPr>
      <w:r w:rsidRPr="00C40BD1">
        <w:rPr>
          <w:rFonts w:ascii="Palatino Linotype" w:eastAsiaTheme="minorHAnsi" w:hAnsi="Palatino Linotype" w:cstheme="minorBidi"/>
          <w:b/>
          <w:bCs/>
          <w:i/>
          <w:lang w:eastAsia="en-US"/>
        </w:rPr>
        <w:t>“</w:t>
      </w:r>
      <w:r w:rsidR="00F469B3" w:rsidRPr="00C40BD1">
        <w:rPr>
          <w:rFonts w:ascii="Palatino Linotype" w:eastAsiaTheme="minorHAnsi" w:hAnsi="Palatino Linotype" w:cstheme="minorBidi"/>
          <w:b/>
          <w:bCs/>
          <w:i/>
          <w:lang w:eastAsia="en-US"/>
        </w:rPr>
        <w:t>ACTO IMPUGNADO</w:t>
      </w:r>
    </w:p>
    <w:p w14:paraId="78A25ACF" w14:textId="2AEBC43A" w:rsidR="00C61B22" w:rsidRPr="00C40BD1" w:rsidRDefault="00AF0F74" w:rsidP="00220BD1">
      <w:pPr>
        <w:spacing w:line="360" w:lineRule="auto"/>
        <w:ind w:left="567" w:right="567"/>
        <w:jc w:val="both"/>
        <w:rPr>
          <w:rFonts w:ascii="Palatino Linotype" w:hAnsi="Palatino Linotype" w:cs="Tahoma"/>
          <w:bCs/>
          <w:i/>
        </w:rPr>
      </w:pPr>
      <w:r w:rsidRPr="00C40BD1">
        <w:rPr>
          <w:rFonts w:ascii="Palatino Linotype" w:hAnsi="Palatino Linotype" w:cs="Tahoma"/>
          <w:bCs/>
          <w:i/>
        </w:rPr>
        <w:t>Solicito copia simple de documentos que acrediten si el Ayuntamiento ha destinado recursos públicos (materiales, financieros o humanos) para: a) Transporte, instalación o mantenimiento de la estatua del ‘Señor del Nicho’. b) Obras o apoyo al predio denominado ‘Centro Cultural del Señor del Nicho’. Especificar montos, fechas y conceptos, en caso de existir.</w:t>
      </w:r>
      <w:r w:rsidR="00F469B3" w:rsidRPr="00C40BD1">
        <w:rPr>
          <w:rFonts w:ascii="Palatino Linotype" w:hAnsi="Palatino Linotype" w:cs="Tahoma"/>
          <w:bCs/>
          <w:i/>
        </w:rPr>
        <w:t>”</w:t>
      </w:r>
      <w:r w:rsidR="00C61B22" w:rsidRPr="00C40BD1">
        <w:rPr>
          <w:rFonts w:ascii="Palatino Linotype" w:hAnsi="Palatino Linotype" w:cs="Tahoma"/>
          <w:bCs/>
          <w:i/>
        </w:rPr>
        <w:t xml:space="preserve"> (Sic.)</w:t>
      </w:r>
    </w:p>
    <w:p w14:paraId="344FD83C" w14:textId="77777777" w:rsidR="00474ED7" w:rsidRPr="00C40BD1" w:rsidRDefault="00474ED7" w:rsidP="00220BD1">
      <w:pPr>
        <w:spacing w:line="360" w:lineRule="auto"/>
        <w:ind w:right="567"/>
        <w:jc w:val="both"/>
        <w:rPr>
          <w:rFonts w:ascii="Palatino Linotype" w:eastAsiaTheme="minorHAnsi" w:hAnsi="Palatino Linotype" w:cstheme="minorBidi"/>
          <w:i/>
          <w:lang w:eastAsia="en-US"/>
        </w:rPr>
      </w:pPr>
    </w:p>
    <w:p w14:paraId="20859BF5" w14:textId="7947B27B" w:rsidR="00EB0141" w:rsidRPr="00C40BD1" w:rsidRDefault="00A90989" w:rsidP="00220BD1">
      <w:pPr>
        <w:spacing w:line="360" w:lineRule="auto"/>
        <w:ind w:left="567" w:right="567"/>
        <w:rPr>
          <w:rFonts w:ascii="Palatino Linotype" w:hAnsi="Palatino Linotype" w:cs="Tahoma"/>
          <w:b/>
          <w:bCs/>
          <w:i/>
        </w:rPr>
      </w:pPr>
      <w:r w:rsidRPr="00C40BD1">
        <w:rPr>
          <w:rFonts w:ascii="Palatino Linotype" w:hAnsi="Palatino Linotype" w:cs="Tahoma"/>
          <w:b/>
          <w:bCs/>
          <w:i/>
        </w:rPr>
        <w:lastRenderedPageBreak/>
        <w:t>“</w:t>
      </w:r>
      <w:r w:rsidR="00EB0141" w:rsidRPr="00C40BD1">
        <w:rPr>
          <w:rFonts w:ascii="Palatino Linotype" w:hAnsi="Palatino Linotype" w:cs="Tahoma"/>
          <w:b/>
          <w:bCs/>
          <w:i/>
        </w:rPr>
        <w:t>RAZONES O MOTIVOS DE LA INCONFORMIDAD</w:t>
      </w:r>
    </w:p>
    <w:p w14:paraId="1FCD9373" w14:textId="4E32E87B" w:rsidR="00EB0141" w:rsidRPr="00C40BD1" w:rsidRDefault="00AF0F74" w:rsidP="00220BD1">
      <w:pPr>
        <w:spacing w:line="360" w:lineRule="auto"/>
        <w:ind w:left="567" w:right="567"/>
        <w:jc w:val="both"/>
        <w:rPr>
          <w:rFonts w:ascii="Palatino Linotype" w:hAnsi="Palatino Linotype" w:cs="Tahoma"/>
          <w:bCs/>
          <w:i/>
        </w:rPr>
      </w:pPr>
      <w:r w:rsidRPr="00C40BD1">
        <w:rPr>
          <w:rFonts w:ascii="Palatino Linotype" w:hAnsi="Palatino Linotype" w:cs="Tahoma"/>
          <w:bCs/>
          <w:i/>
        </w:rPr>
        <w:t xml:space="preserve">El Ayuntamiento de Tepotzotlán vulnera mis derechos de acceso a la información al NO emitir respuesta en tiempo, NO fundar ni motivar una inexistencia, reserva o clasificación. NO proporcionar los documentos solicitados. NO orientar, turnar ni emitir ampliación justificada. La conducta del sujeto obligado constituye una obstrucción del derecho de acceso a la información, afectándome directamente como persona solicitante, al dejarme en estado de incertidumbre jurídica sin resolución válida. En términos del </w:t>
      </w:r>
      <w:proofErr w:type="spellStart"/>
      <w:r w:rsidRPr="00C40BD1">
        <w:rPr>
          <w:rFonts w:ascii="Palatino Linotype" w:hAnsi="Palatino Linotype" w:cs="Tahoma"/>
          <w:bCs/>
          <w:i/>
        </w:rPr>
        <w:t>articulo</w:t>
      </w:r>
      <w:proofErr w:type="spellEnd"/>
      <w:r w:rsidRPr="00C40BD1">
        <w:rPr>
          <w:rFonts w:ascii="Palatino Linotype" w:hAnsi="Palatino Linotype" w:cs="Tahoma"/>
          <w:bCs/>
          <w:i/>
        </w:rPr>
        <w:t xml:space="preserve"> 6 y 8 constitucional tengo derecho a realizar mi petición y tener acceso a la información pública, así mismo de conformidad al </w:t>
      </w:r>
      <w:proofErr w:type="spellStart"/>
      <w:r w:rsidRPr="00C40BD1">
        <w:rPr>
          <w:rFonts w:ascii="Palatino Linotype" w:hAnsi="Palatino Linotype" w:cs="Tahoma"/>
          <w:bCs/>
          <w:i/>
        </w:rPr>
        <w:t>articulo</w:t>
      </w:r>
      <w:proofErr w:type="spellEnd"/>
      <w:r w:rsidRPr="00C40BD1">
        <w:rPr>
          <w:rFonts w:ascii="Palatino Linotype" w:hAnsi="Palatino Linotype" w:cs="Tahoma"/>
          <w:bCs/>
          <w:i/>
        </w:rPr>
        <w:t xml:space="preserve"> 4, 11, 15, 92, 111, 112, 150, 151, 152, 160, 162, 176, 177, 178, 179, 180, de la Ley de Transparencia y Acceso a la Información </w:t>
      </w:r>
      <w:proofErr w:type="spellStart"/>
      <w:r w:rsidRPr="00C40BD1">
        <w:rPr>
          <w:rFonts w:ascii="Palatino Linotype" w:hAnsi="Palatino Linotype" w:cs="Tahoma"/>
          <w:bCs/>
          <w:i/>
        </w:rPr>
        <w:t>Publica</w:t>
      </w:r>
      <w:proofErr w:type="spellEnd"/>
      <w:r w:rsidRPr="00C40BD1">
        <w:rPr>
          <w:rFonts w:ascii="Palatino Linotype" w:hAnsi="Palatino Linotype" w:cs="Tahoma"/>
          <w:bCs/>
          <w:i/>
        </w:rPr>
        <w:t xml:space="preserve"> del Estado de México y Municipios se hace de su conocimiento que transcurrido el plazo para darme una respuesta el ayuntamiento hizo caso omiso y nunca contesto mi solicitud de información </w:t>
      </w:r>
      <w:proofErr w:type="spellStart"/>
      <w:r w:rsidRPr="00C40BD1">
        <w:rPr>
          <w:rFonts w:ascii="Palatino Linotype" w:hAnsi="Palatino Linotype" w:cs="Tahoma"/>
          <w:bCs/>
          <w:i/>
        </w:rPr>
        <w:t>publica</w:t>
      </w:r>
      <w:proofErr w:type="spellEnd"/>
      <w:r w:rsidRPr="00C40BD1">
        <w:rPr>
          <w:rFonts w:ascii="Palatino Linotype" w:hAnsi="Palatino Linotype" w:cs="Tahoma"/>
          <w:bCs/>
          <w:i/>
        </w:rPr>
        <w:t xml:space="preserve">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De igual forma solicito que se otorgue vista al Órgano Interno de Control del Ayuntamiento para que, conforme a los artículos 194, 195, 196, 200, 213, 214, 215, 222, 223 y 224 de la citada ley, así como 49, 50, 57 y 76–81 de la Ley de Responsabilidades Administrativas del Estado de México y Municipios, lleve a cabo el 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requerida. Solicito que, de conformidad con la ley, se impongan las sanciones correspondientes a los funcionarios responsables por incumplimiento de los plazos de respuesta. En caso de inexistencia (que debe ser demostrada), se requiera al Comité de Transparencia seguir el procedimiento de verificación. En caso de que la información solicitada contenga datos personales, clasificados o confidenciales, requiero que el sujeto obligado elabore y entregue versión pública debidamente testada garantizando mi derecho de acceso a la información sin afectar los datos </w:t>
      </w:r>
      <w:r w:rsidRPr="00C40BD1">
        <w:rPr>
          <w:rFonts w:ascii="Palatino Linotype" w:hAnsi="Palatino Linotype" w:cs="Tahoma"/>
          <w:bCs/>
          <w:i/>
        </w:rPr>
        <w:lastRenderedPageBreak/>
        <w:t>protegidos. Se solicita que el testado sea estricto, proporcional y justificado, acompañado del acta del Comité de Transparencia donde conste la clasificación o determinación correspondiente.</w:t>
      </w:r>
      <w:r w:rsidR="00EB0141" w:rsidRPr="00C40BD1">
        <w:rPr>
          <w:rFonts w:ascii="Palatino Linotype" w:hAnsi="Palatino Linotype" w:cs="Tahoma"/>
          <w:bCs/>
          <w:i/>
        </w:rPr>
        <w:t>”</w:t>
      </w:r>
      <w:r w:rsidR="000D19A5" w:rsidRPr="00C40BD1">
        <w:rPr>
          <w:rFonts w:ascii="Palatino Linotype" w:hAnsi="Palatino Linotype" w:cs="Tahoma"/>
          <w:bCs/>
          <w:i/>
        </w:rPr>
        <w:t xml:space="preserve"> (Sic.)</w:t>
      </w:r>
    </w:p>
    <w:p w14:paraId="4C492E62" w14:textId="77777777" w:rsidR="006A2935" w:rsidRPr="00C40BD1" w:rsidRDefault="006A2935" w:rsidP="00220BD1">
      <w:pPr>
        <w:spacing w:line="360" w:lineRule="auto"/>
        <w:ind w:left="567" w:right="567"/>
        <w:rPr>
          <w:rFonts w:ascii="Palatino Linotype" w:hAnsi="Palatino Linotype"/>
          <w:i/>
          <w:color w:val="FF0000"/>
        </w:rPr>
      </w:pPr>
    </w:p>
    <w:p w14:paraId="2FFD3A79" w14:textId="1A751242" w:rsidR="00F469B3" w:rsidRPr="00C40BD1" w:rsidRDefault="00AF0F74" w:rsidP="00220BD1">
      <w:pPr>
        <w:pStyle w:val="Ttulo2"/>
        <w:rPr>
          <w:color w:val="auto"/>
          <w:lang w:eastAsia="en-US"/>
        </w:rPr>
      </w:pPr>
      <w:bookmarkStart w:id="5" w:name="_Toc221197389"/>
      <w:r w:rsidRPr="00C40BD1">
        <w:rPr>
          <w:color w:val="auto"/>
          <w:lang w:eastAsia="en-US"/>
        </w:rPr>
        <w:t>IV</w:t>
      </w:r>
      <w:r w:rsidR="00F469B3" w:rsidRPr="00C40BD1">
        <w:rPr>
          <w:color w:val="auto"/>
          <w:lang w:eastAsia="en-US"/>
        </w:rPr>
        <w:t>. Trámite del Recurso de Revisión ante el Instituto</w:t>
      </w:r>
      <w:bookmarkEnd w:id="5"/>
    </w:p>
    <w:p w14:paraId="7F62FC39" w14:textId="77777777" w:rsidR="00320CBA" w:rsidRPr="00C40BD1" w:rsidRDefault="00320CBA" w:rsidP="00220BD1">
      <w:pPr>
        <w:spacing w:line="360" w:lineRule="auto"/>
        <w:jc w:val="both"/>
        <w:rPr>
          <w:rFonts w:ascii="Palatino Linotype" w:eastAsiaTheme="minorHAnsi" w:hAnsi="Palatino Linotype" w:cstheme="minorBidi"/>
          <w:b/>
          <w:bCs/>
          <w:sz w:val="22"/>
          <w:szCs w:val="22"/>
          <w:lang w:eastAsia="en-US"/>
        </w:rPr>
      </w:pPr>
    </w:p>
    <w:p w14:paraId="74144DA6" w14:textId="11F8456A" w:rsidR="00F469B3" w:rsidRPr="00C40BD1" w:rsidRDefault="00F469B3" w:rsidP="00220BD1">
      <w:pPr>
        <w:spacing w:line="360" w:lineRule="auto"/>
        <w:jc w:val="both"/>
        <w:rPr>
          <w:rFonts w:ascii="Palatino Linotype" w:eastAsia="Batang" w:hAnsi="Palatino Linotype" w:cs="Tahoma"/>
          <w:bCs/>
          <w:sz w:val="22"/>
          <w:szCs w:val="22"/>
        </w:rPr>
      </w:pPr>
      <w:r w:rsidRPr="00C40BD1">
        <w:rPr>
          <w:rFonts w:ascii="Palatino Linotype" w:eastAsiaTheme="minorHAnsi" w:hAnsi="Palatino Linotype" w:cstheme="minorBidi"/>
          <w:b/>
          <w:bCs/>
          <w:sz w:val="22"/>
          <w:szCs w:val="22"/>
          <w:lang w:eastAsia="en-US"/>
        </w:rPr>
        <w:t xml:space="preserve">a) Turno del Recurso de Revisión. </w:t>
      </w:r>
      <w:r w:rsidRPr="00C40BD1">
        <w:rPr>
          <w:rFonts w:ascii="Palatino Linotype" w:eastAsiaTheme="minorHAnsi" w:hAnsi="Palatino Linotype" w:cstheme="minorBidi"/>
          <w:sz w:val="22"/>
          <w:szCs w:val="22"/>
          <w:lang w:eastAsia="en-US"/>
        </w:rPr>
        <w:t xml:space="preserve">El </w:t>
      </w:r>
      <w:r w:rsidR="00AF0F74" w:rsidRPr="00C40BD1">
        <w:rPr>
          <w:rFonts w:ascii="Palatino Linotype" w:hAnsi="Palatino Linotype" w:cs="Tahoma"/>
          <w:bCs/>
          <w:iCs/>
          <w:sz w:val="22"/>
          <w:szCs w:val="22"/>
        </w:rPr>
        <w:t xml:space="preserve">dieciséis de diciembre de dos </w:t>
      </w:r>
      <w:r w:rsidR="00CF2FD4" w:rsidRPr="00C40BD1">
        <w:rPr>
          <w:rFonts w:ascii="Palatino Linotype" w:hAnsi="Palatino Linotype" w:cs="Tahoma"/>
          <w:bCs/>
          <w:iCs/>
          <w:sz w:val="22"/>
          <w:szCs w:val="22"/>
        </w:rPr>
        <w:t>mil veintic</w:t>
      </w:r>
      <w:r w:rsidR="003E16CF" w:rsidRPr="00C40BD1">
        <w:rPr>
          <w:rFonts w:ascii="Palatino Linotype" w:hAnsi="Palatino Linotype" w:cs="Tahoma"/>
          <w:bCs/>
          <w:iCs/>
          <w:sz w:val="22"/>
          <w:szCs w:val="22"/>
        </w:rPr>
        <w:t>inco</w:t>
      </w:r>
      <w:r w:rsidRPr="00C40BD1">
        <w:rPr>
          <w:rFonts w:ascii="Palatino Linotype" w:eastAsia="Batang" w:hAnsi="Palatino Linotype" w:cs="Tahoma"/>
          <w:bCs/>
          <w:sz w:val="22"/>
          <w:szCs w:val="22"/>
        </w:rPr>
        <w:t xml:space="preserve">, el </w:t>
      </w:r>
      <w:r w:rsidRPr="00C40BD1">
        <w:rPr>
          <w:rFonts w:ascii="Palatino Linotype" w:hAnsi="Palatino Linotype" w:cs="Tahoma"/>
          <w:sz w:val="22"/>
          <w:szCs w:val="22"/>
          <w:lang w:val="es-ES"/>
        </w:rPr>
        <w:t>Sistema de Acceso a la Información Mexiquense (SAIMEX),</w:t>
      </w:r>
      <w:r w:rsidRPr="00C40BD1">
        <w:rPr>
          <w:rFonts w:ascii="Palatino Linotype" w:eastAsia="Batang" w:hAnsi="Palatino Linotype" w:cs="Tahoma"/>
          <w:bCs/>
          <w:sz w:val="22"/>
          <w:szCs w:val="22"/>
        </w:rPr>
        <w:t xml:space="preserve"> asignó el número de expediente </w:t>
      </w:r>
      <w:r w:rsidR="00C61B22" w:rsidRPr="00C40BD1">
        <w:rPr>
          <w:rFonts w:ascii="Palatino Linotype" w:eastAsia="Batang" w:hAnsi="Palatino Linotype" w:cs="Tahoma"/>
          <w:b/>
          <w:bCs/>
          <w:sz w:val="22"/>
          <w:szCs w:val="22"/>
        </w:rPr>
        <w:t>01</w:t>
      </w:r>
      <w:r w:rsidR="00AF0F74" w:rsidRPr="00C40BD1">
        <w:rPr>
          <w:rFonts w:ascii="Palatino Linotype" w:eastAsia="Batang" w:hAnsi="Palatino Linotype" w:cs="Tahoma"/>
          <w:b/>
          <w:bCs/>
          <w:sz w:val="22"/>
          <w:szCs w:val="22"/>
        </w:rPr>
        <w:t>4371</w:t>
      </w:r>
      <w:r w:rsidR="00C61B22" w:rsidRPr="00C40BD1">
        <w:rPr>
          <w:rFonts w:ascii="Palatino Linotype" w:eastAsia="Batang" w:hAnsi="Palatino Linotype" w:cs="Tahoma"/>
          <w:b/>
          <w:bCs/>
          <w:sz w:val="22"/>
          <w:szCs w:val="22"/>
        </w:rPr>
        <w:t>/INFOEM/IP/RR/2025</w:t>
      </w:r>
      <w:r w:rsidRPr="00C40BD1">
        <w:rPr>
          <w:rFonts w:ascii="Palatino Linotype" w:eastAsia="Batang" w:hAnsi="Palatino Linotype" w:cs="Tahoma"/>
          <w:bCs/>
          <w:sz w:val="22"/>
          <w:szCs w:val="22"/>
        </w:rPr>
        <w:t xml:space="preserve">, al </w:t>
      </w:r>
      <w:r w:rsidR="002464DA" w:rsidRPr="00C40BD1">
        <w:rPr>
          <w:rFonts w:ascii="Palatino Linotype" w:eastAsia="Batang" w:hAnsi="Palatino Linotype" w:cs="Tahoma"/>
          <w:bCs/>
          <w:sz w:val="22"/>
          <w:szCs w:val="22"/>
        </w:rPr>
        <w:t>M</w:t>
      </w:r>
      <w:r w:rsidRPr="00C40BD1">
        <w:rPr>
          <w:rFonts w:ascii="Palatino Linotype" w:eastAsia="Batang" w:hAnsi="Palatino Linotype" w:cs="Tahoma"/>
          <w:bCs/>
          <w:sz w:val="22"/>
          <w:szCs w:val="22"/>
        </w:rPr>
        <w:t xml:space="preserve">edio de </w:t>
      </w:r>
      <w:r w:rsidR="002464DA" w:rsidRPr="00C40BD1">
        <w:rPr>
          <w:rFonts w:ascii="Palatino Linotype" w:eastAsia="Batang" w:hAnsi="Palatino Linotype" w:cs="Tahoma"/>
          <w:bCs/>
          <w:sz w:val="22"/>
          <w:szCs w:val="22"/>
        </w:rPr>
        <w:t>I</w:t>
      </w:r>
      <w:r w:rsidRPr="00C40BD1">
        <w:rPr>
          <w:rFonts w:ascii="Palatino Linotype" w:eastAsia="Batang" w:hAnsi="Palatino Linotype" w:cs="Tahoma"/>
          <w:bCs/>
          <w:sz w:val="22"/>
          <w:szCs w:val="22"/>
        </w:rPr>
        <w:t xml:space="preserve">mpugnación que nos ocupa, con base en el sistema aprobado por el Pleno de este </w:t>
      </w:r>
      <w:r w:rsidR="00A31139" w:rsidRPr="00C40BD1">
        <w:rPr>
          <w:rFonts w:ascii="Palatino Linotype" w:eastAsia="Batang" w:hAnsi="Palatino Linotype" w:cs="Tahoma"/>
          <w:bCs/>
          <w:sz w:val="22"/>
          <w:szCs w:val="22"/>
        </w:rPr>
        <w:t>Organismo</w:t>
      </w:r>
      <w:r w:rsidRPr="00C40BD1">
        <w:rPr>
          <w:rFonts w:ascii="Palatino Linotype" w:eastAsia="Batang" w:hAnsi="Palatino Linotype" w:cs="Tahoma"/>
          <w:bCs/>
          <w:sz w:val="22"/>
          <w:szCs w:val="22"/>
        </w:rPr>
        <w:t xml:space="preserve"> Garante y lo turnó al Comisionado Ponente Luis Gustavo Parra Noriega, para los efectos del artículo 185, fracción I de la Ley de Transparencia y Acceso a la Información Pública del Estado de México y Municipios.</w:t>
      </w:r>
    </w:p>
    <w:p w14:paraId="77CF11B9" w14:textId="77777777" w:rsidR="00E06C17" w:rsidRPr="00C40BD1" w:rsidRDefault="00E06C17" w:rsidP="00220BD1">
      <w:pPr>
        <w:spacing w:line="360" w:lineRule="auto"/>
        <w:jc w:val="both"/>
        <w:rPr>
          <w:rFonts w:ascii="Palatino Linotype" w:eastAsia="Batang" w:hAnsi="Palatino Linotype" w:cs="Tahoma"/>
          <w:b/>
          <w:bCs/>
          <w:color w:val="FF0000"/>
          <w:sz w:val="22"/>
          <w:szCs w:val="22"/>
        </w:rPr>
      </w:pPr>
    </w:p>
    <w:p w14:paraId="26883477" w14:textId="3964C378" w:rsidR="00F469B3" w:rsidRPr="00C40BD1" w:rsidRDefault="006C349C" w:rsidP="00220BD1">
      <w:pPr>
        <w:spacing w:line="360" w:lineRule="auto"/>
        <w:jc w:val="both"/>
        <w:rPr>
          <w:rFonts w:ascii="Palatino Linotype" w:eastAsia="Batang" w:hAnsi="Palatino Linotype" w:cs="Tahoma"/>
          <w:bCs/>
          <w:sz w:val="22"/>
          <w:szCs w:val="22"/>
        </w:rPr>
      </w:pPr>
      <w:r w:rsidRPr="00C40BD1">
        <w:rPr>
          <w:rFonts w:ascii="Palatino Linotype" w:eastAsia="Batang" w:hAnsi="Palatino Linotype" w:cs="Tahoma"/>
          <w:b/>
          <w:bCs/>
          <w:sz w:val="22"/>
          <w:szCs w:val="22"/>
        </w:rPr>
        <w:t>b</w:t>
      </w:r>
      <w:r w:rsidR="00F469B3" w:rsidRPr="00C40BD1">
        <w:rPr>
          <w:rFonts w:ascii="Palatino Linotype" w:eastAsia="Batang" w:hAnsi="Palatino Linotype" w:cs="Tahoma"/>
          <w:b/>
          <w:bCs/>
          <w:sz w:val="22"/>
          <w:szCs w:val="22"/>
        </w:rPr>
        <w:t xml:space="preserve">) Admisión del </w:t>
      </w:r>
      <w:r w:rsidR="00F469B3" w:rsidRPr="00C40BD1">
        <w:rPr>
          <w:rFonts w:ascii="Palatino Linotype" w:hAnsi="Palatino Linotype" w:cs="Tahoma"/>
          <w:b/>
          <w:sz w:val="22"/>
          <w:szCs w:val="22"/>
        </w:rPr>
        <w:t>Recurso de Revisión</w:t>
      </w:r>
      <w:r w:rsidR="00F469B3" w:rsidRPr="00C40BD1">
        <w:rPr>
          <w:rFonts w:ascii="Palatino Linotype" w:eastAsia="Batang" w:hAnsi="Palatino Linotype" w:cs="Tahoma"/>
          <w:b/>
          <w:bCs/>
          <w:sz w:val="22"/>
          <w:szCs w:val="22"/>
          <w:lang w:val="es-ES_tradnl"/>
        </w:rPr>
        <w:t xml:space="preserve">. </w:t>
      </w:r>
      <w:r w:rsidR="000D19A5" w:rsidRPr="00C40BD1">
        <w:rPr>
          <w:rFonts w:ascii="Palatino Linotype" w:eastAsia="Batang" w:hAnsi="Palatino Linotype" w:cs="Tahoma"/>
          <w:bCs/>
          <w:sz w:val="22"/>
          <w:szCs w:val="22"/>
        </w:rPr>
        <w:t xml:space="preserve">El </w:t>
      </w:r>
      <w:r w:rsidR="00E95A07" w:rsidRPr="00C40BD1">
        <w:rPr>
          <w:rFonts w:ascii="Palatino Linotype" w:eastAsia="Batang" w:hAnsi="Palatino Linotype" w:cs="Tahoma"/>
          <w:bCs/>
          <w:sz w:val="22"/>
          <w:szCs w:val="22"/>
        </w:rPr>
        <w:t xml:space="preserve">dieciocho de diciembre de dos mil veinticinco, </w:t>
      </w:r>
      <w:r w:rsidR="00F469B3" w:rsidRPr="00C40BD1">
        <w:rPr>
          <w:rFonts w:ascii="Palatino Linotype" w:eastAsia="Batang" w:hAnsi="Palatino Linotype" w:cs="Tahoma"/>
          <w:bCs/>
          <w:sz w:val="22"/>
          <w:szCs w:val="22"/>
          <w:lang w:val="es-ES_tradnl"/>
        </w:rPr>
        <w:t xml:space="preserve">se acordó la admisión del Recurso de Revisión interpuesto por </w:t>
      </w:r>
      <w:r w:rsidR="00393C64" w:rsidRPr="00C40BD1">
        <w:rPr>
          <w:rFonts w:ascii="Palatino Linotype" w:eastAsia="Batang" w:hAnsi="Palatino Linotype" w:cs="Tahoma"/>
          <w:bCs/>
          <w:sz w:val="22"/>
          <w:szCs w:val="22"/>
          <w:lang w:val="es-ES_tradnl"/>
        </w:rPr>
        <w:t>la persona</w:t>
      </w:r>
      <w:r w:rsidR="00F469B3" w:rsidRPr="00C40BD1">
        <w:rPr>
          <w:rFonts w:ascii="Palatino Linotype" w:eastAsia="Batang" w:hAnsi="Palatino Linotype" w:cs="Tahoma"/>
          <w:bCs/>
          <w:sz w:val="22"/>
          <w:szCs w:val="22"/>
          <w:lang w:val="es-ES_tradnl"/>
        </w:rPr>
        <w:t xml:space="preserve"> Recurrente en contra del Sujeto Obligado, en términos del artículo 185, fracciones I y II de la Ley de Transparencia y Acceso a la Información Pública del Estado de México y Municipios, el cual fue notificado a las partes el</w:t>
      </w:r>
      <w:r w:rsidR="00AF673B" w:rsidRPr="00C40BD1">
        <w:rPr>
          <w:rFonts w:ascii="Palatino Linotype" w:eastAsia="Batang" w:hAnsi="Palatino Linotype" w:cs="Tahoma"/>
          <w:bCs/>
          <w:sz w:val="22"/>
          <w:szCs w:val="22"/>
          <w:lang w:val="es-ES_tradnl"/>
        </w:rPr>
        <w:t xml:space="preserve"> </w:t>
      </w:r>
      <w:r w:rsidR="00E95A07" w:rsidRPr="00C40BD1">
        <w:rPr>
          <w:rFonts w:ascii="Palatino Linotype" w:eastAsia="Batang" w:hAnsi="Palatino Linotype" w:cs="Tahoma"/>
          <w:bCs/>
          <w:sz w:val="22"/>
          <w:szCs w:val="22"/>
          <w:lang w:val="es-ES_tradnl"/>
        </w:rPr>
        <w:t>diecinueve de dicho mes y año</w:t>
      </w:r>
      <w:r w:rsidR="00F469B3" w:rsidRPr="00C40BD1">
        <w:rPr>
          <w:rFonts w:ascii="Palatino Linotype" w:eastAsia="Batang" w:hAnsi="Palatino Linotype" w:cs="Tahoma"/>
          <w:bCs/>
          <w:sz w:val="22"/>
          <w:szCs w:val="22"/>
          <w:lang w:val="es-ES_tradnl"/>
        </w:rPr>
        <w:t>, a través del Sistema de Acceso a la Información Mexiquense (SAIMEX), en el que se les otorgó un plazo de siete días hábiles posteriores a la misma, para que manifestaran lo que a su derecho conviniera y formularan alegatos.</w:t>
      </w:r>
    </w:p>
    <w:p w14:paraId="525192B2" w14:textId="77777777" w:rsidR="00F469B3" w:rsidRPr="00C40BD1" w:rsidRDefault="00F469B3" w:rsidP="00220BD1">
      <w:pPr>
        <w:spacing w:line="360" w:lineRule="auto"/>
        <w:jc w:val="both"/>
        <w:rPr>
          <w:rFonts w:ascii="Palatino Linotype" w:eastAsia="Batang" w:hAnsi="Palatino Linotype" w:cs="Tahoma"/>
          <w:bCs/>
          <w:color w:val="FF0000"/>
          <w:sz w:val="22"/>
          <w:szCs w:val="22"/>
          <w:lang w:val="es-ES_tradnl"/>
        </w:rPr>
      </w:pPr>
    </w:p>
    <w:p w14:paraId="08DD7A2E" w14:textId="3B1E3C88" w:rsidR="00C61B22" w:rsidRPr="00C40BD1" w:rsidRDefault="006C349C" w:rsidP="00220BD1">
      <w:pPr>
        <w:spacing w:line="360" w:lineRule="auto"/>
        <w:jc w:val="both"/>
        <w:rPr>
          <w:rFonts w:ascii="Palatino Linotype" w:hAnsi="Palatino Linotype" w:cs="Tahoma"/>
          <w:sz w:val="22"/>
          <w:szCs w:val="22"/>
          <w:lang w:val="es-ES_tradnl"/>
        </w:rPr>
      </w:pPr>
      <w:r w:rsidRPr="00C40BD1">
        <w:rPr>
          <w:rFonts w:ascii="Palatino Linotype" w:hAnsi="Palatino Linotype" w:cs="Tahoma"/>
          <w:b/>
          <w:sz w:val="22"/>
          <w:szCs w:val="22"/>
        </w:rPr>
        <w:t>c</w:t>
      </w:r>
      <w:r w:rsidR="00F469B3" w:rsidRPr="00C40BD1">
        <w:rPr>
          <w:rFonts w:ascii="Palatino Linotype" w:hAnsi="Palatino Linotype" w:cs="Tahoma"/>
          <w:b/>
          <w:sz w:val="22"/>
          <w:szCs w:val="22"/>
        </w:rPr>
        <w:t>)</w:t>
      </w:r>
      <w:r w:rsidR="00A31139" w:rsidRPr="00C40BD1">
        <w:rPr>
          <w:rFonts w:ascii="Palatino Linotype" w:hAnsi="Palatino Linotype" w:cs="Tahoma"/>
          <w:sz w:val="22"/>
          <w:szCs w:val="22"/>
          <w:lang w:val="es-ES_tradnl"/>
        </w:rPr>
        <w:t xml:space="preserve"> </w:t>
      </w:r>
      <w:r w:rsidR="006C5B2A" w:rsidRPr="00C40BD1">
        <w:rPr>
          <w:rFonts w:ascii="Palatino Linotype" w:hAnsi="Palatino Linotype" w:cs="Tahoma"/>
          <w:b/>
          <w:sz w:val="22"/>
          <w:szCs w:val="22"/>
          <w:lang w:val="es-ES_tradnl"/>
        </w:rPr>
        <w:t xml:space="preserve">Informe Justificado. </w:t>
      </w:r>
      <w:r w:rsidR="006C5B2A" w:rsidRPr="00C40BD1">
        <w:rPr>
          <w:rFonts w:ascii="Palatino Linotype" w:hAnsi="Palatino Linotype" w:cs="Tahoma"/>
          <w:sz w:val="22"/>
          <w:szCs w:val="22"/>
          <w:lang w:val="es-ES_tradnl"/>
        </w:rPr>
        <w:t xml:space="preserve">El </w:t>
      </w:r>
      <w:r w:rsidR="00E95A07" w:rsidRPr="00C40BD1">
        <w:rPr>
          <w:rFonts w:ascii="Palatino Linotype" w:hAnsi="Palatino Linotype" w:cs="Tahoma"/>
          <w:sz w:val="22"/>
          <w:szCs w:val="22"/>
          <w:lang w:val="es-ES_tradnl"/>
        </w:rPr>
        <w:t>veinte de enero de dos mil veintiséis</w:t>
      </w:r>
      <w:r w:rsidR="006C5B2A" w:rsidRPr="00C40BD1">
        <w:rPr>
          <w:rFonts w:ascii="Palatino Linotype" w:hAnsi="Palatino Linotype" w:cs="Tahoma"/>
          <w:sz w:val="22"/>
          <w:szCs w:val="22"/>
          <w:lang w:val="es-ES_tradnl"/>
        </w:rPr>
        <w:t>, se recibió, a través del Sistema de Acceso a la Información Mexiquense (SAIMEX), el Informe Justificado del Sujeto Obligado, a través</w:t>
      </w:r>
      <w:r w:rsidR="005A500C" w:rsidRPr="00C40BD1">
        <w:rPr>
          <w:rFonts w:ascii="Palatino Linotype" w:hAnsi="Palatino Linotype" w:cs="Tahoma"/>
          <w:sz w:val="22"/>
          <w:szCs w:val="22"/>
          <w:lang w:val="es-ES_tradnl"/>
        </w:rPr>
        <w:t xml:space="preserve"> </w:t>
      </w:r>
      <w:proofErr w:type="spellStart"/>
      <w:r w:rsidR="005A500C" w:rsidRPr="00C40BD1">
        <w:rPr>
          <w:rFonts w:ascii="Palatino Linotype" w:hAnsi="Palatino Linotype" w:cs="Tahoma"/>
          <w:sz w:val="22"/>
          <w:szCs w:val="22"/>
          <w:lang w:val="es-ES_tradnl"/>
        </w:rPr>
        <w:t xml:space="preserve">de </w:t>
      </w:r>
      <w:r w:rsidR="00E95A07" w:rsidRPr="00C40BD1">
        <w:rPr>
          <w:rFonts w:ascii="Palatino Linotype" w:hAnsi="Palatino Linotype" w:cs="Tahoma"/>
          <w:sz w:val="22"/>
          <w:szCs w:val="22"/>
          <w:lang w:val="es-ES_tradnl"/>
        </w:rPr>
        <w:t>el</w:t>
      </w:r>
      <w:proofErr w:type="spellEnd"/>
      <w:r w:rsidR="00E95A07" w:rsidRPr="00C40BD1">
        <w:rPr>
          <w:rFonts w:ascii="Palatino Linotype" w:hAnsi="Palatino Linotype" w:cs="Tahoma"/>
          <w:sz w:val="22"/>
          <w:szCs w:val="22"/>
          <w:lang w:val="es-ES_tradnl"/>
        </w:rPr>
        <w:t xml:space="preserve"> oficio </w:t>
      </w:r>
      <w:proofErr w:type="spellStart"/>
      <w:r w:rsidR="00E95A07" w:rsidRPr="00C40BD1">
        <w:rPr>
          <w:rFonts w:ascii="Palatino Linotype" w:hAnsi="Palatino Linotype" w:cs="Tahoma"/>
          <w:sz w:val="22"/>
          <w:szCs w:val="22"/>
          <w:lang w:val="es-ES_tradnl"/>
        </w:rPr>
        <w:t>DAyF</w:t>
      </w:r>
      <w:proofErr w:type="spellEnd"/>
      <w:r w:rsidR="00E95A07" w:rsidRPr="00C40BD1">
        <w:rPr>
          <w:rFonts w:ascii="Palatino Linotype" w:hAnsi="Palatino Linotype" w:cs="Tahoma"/>
          <w:sz w:val="22"/>
          <w:szCs w:val="22"/>
          <w:lang w:val="es-ES_tradnl"/>
        </w:rPr>
        <w:t>/680/2025 del diecinueve de diciembre de dos mil veinticinco, suscrito por el Director de Administración y Finanzas, dirigido a la Titular de la Unidad de Transparencia y Acceso a la Información Pública, por medio del cual se menciona lo siguiente:</w:t>
      </w:r>
    </w:p>
    <w:p w14:paraId="62DA7140" w14:textId="77777777" w:rsidR="00E95A07" w:rsidRPr="00C40BD1" w:rsidRDefault="00E95A07" w:rsidP="00220BD1">
      <w:pPr>
        <w:spacing w:line="360" w:lineRule="auto"/>
        <w:jc w:val="both"/>
        <w:rPr>
          <w:rFonts w:ascii="Palatino Linotype" w:hAnsi="Palatino Linotype" w:cs="Tahoma"/>
          <w:sz w:val="22"/>
          <w:szCs w:val="22"/>
          <w:lang w:val="es-ES_tradnl"/>
        </w:rPr>
      </w:pPr>
    </w:p>
    <w:p w14:paraId="7D41C3E1" w14:textId="589F767A" w:rsidR="00E95A07" w:rsidRPr="00C40BD1" w:rsidRDefault="00E95A07" w:rsidP="00220BD1">
      <w:pPr>
        <w:spacing w:line="360" w:lineRule="auto"/>
        <w:ind w:left="567" w:right="567"/>
        <w:jc w:val="both"/>
        <w:rPr>
          <w:rFonts w:ascii="Palatino Linotype" w:hAnsi="Palatino Linotype" w:cs="Tahoma"/>
          <w:bCs/>
          <w:i/>
        </w:rPr>
      </w:pPr>
      <w:r w:rsidRPr="00C40BD1">
        <w:rPr>
          <w:rFonts w:ascii="Palatino Linotype" w:hAnsi="Palatino Linotype" w:cs="Tahoma"/>
          <w:bCs/>
          <w:i/>
        </w:rPr>
        <w:t xml:space="preserve">“…Al respecto me permito informar a usted lo siguiente: </w:t>
      </w:r>
    </w:p>
    <w:p w14:paraId="4E793373" w14:textId="77777777" w:rsidR="00E95A07" w:rsidRPr="00C40BD1" w:rsidRDefault="00E95A07" w:rsidP="00220BD1">
      <w:pPr>
        <w:spacing w:line="360" w:lineRule="auto"/>
        <w:ind w:left="567" w:right="567"/>
        <w:jc w:val="both"/>
        <w:rPr>
          <w:rFonts w:ascii="Palatino Linotype" w:hAnsi="Palatino Linotype" w:cs="Tahoma"/>
          <w:bCs/>
          <w:i/>
        </w:rPr>
      </w:pPr>
    </w:p>
    <w:p w14:paraId="12FCF42F" w14:textId="77777777" w:rsidR="00E95A07" w:rsidRPr="00C40BD1" w:rsidRDefault="00E95A07" w:rsidP="00220BD1">
      <w:pPr>
        <w:spacing w:line="360" w:lineRule="auto"/>
        <w:ind w:left="567" w:right="567"/>
        <w:jc w:val="both"/>
        <w:rPr>
          <w:rFonts w:ascii="Palatino Linotype" w:hAnsi="Palatino Linotype" w:cs="Tahoma"/>
          <w:bCs/>
          <w:i/>
        </w:rPr>
      </w:pPr>
      <w:r w:rsidRPr="00C40BD1">
        <w:rPr>
          <w:rFonts w:ascii="Palatino Linotype" w:hAnsi="Palatino Linotype" w:cs="Tahoma"/>
          <w:bCs/>
          <w:i/>
        </w:rPr>
        <w:t xml:space="preserve">De conformidad con el artículo 12, párrafo segundo, de la citada Ley, los sujetos obligados únicamente tienen la obligación de proporcionar la información pública que obre en sus archivos y en el estado en que ésta se encuentre. Dicha disposición establece expresamente: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41C2E94" w14:textId="77777777" w:rsidR="00E95A07" w:rsidRPr="00C40BD1" w:rsidRDefault="00E95A07" w:rsidP="00220BD1">
      <w:pPr>
        <w:spacing w:line="360" w:lineRule="auto"/>
        <w:ind w:left="567" w:right="567"/>
        <w:jc w:val="both"/>
        <w:rPr>
          <w:rFonts w:ascii="Palatino Linotype" w:hAnsi="Palatino Linotype" w:cs="Tahoma"/>
          <w:bCs/>
          <w:i/>
        </w:rPr>
      </w:pPr>
    </w:p>
    <w:p w14:paraId="7154ED4F" w14:textId="77777777" w:rsidR="00E95A07" w:rsidRPr="00C40BD1" w:rsidRDefault="00E95A07" w:rsidP="00220BD1">
      <w:pPr>
        <w:spacing w:line="360" w:lineRule="auto"/>
        <w:ind w:left="567" w:right="567"/>
        <w:jc w:val="both"/>
        <w:rPr>
          <w:rFonts w:ascii="Palatino Linotype" w:hAnsi="Palatino Linotype" w:cs="Tahoma"/>
          <w:bCs/>
          <w:i/>
        </w:rPr>
      </w:pPr>
      <w:r w:rsidRPr="00C40BD1">
        <w:rPr>
          <w:rFonts w:ascii="Palatino Linotype" w:hAnsi="Palatino Linotype" w:cs="Tahoma"/>
          <w:bCs/>
          <w:i/>
        </w:rPr>
        <w:t xml:space="preserve">En virtud de lo anterior, una vez realizada la búsqueda exhaustiva y minuciosa en los registros contables de la Dirección de Administración y Finanzas no se localizó información sobre recurso público, transporte, mantenimiento, obras o apoyo al predio denominado Centro Cultural Señor del Nicho, en consecuencia, no existe información pública que pueda ser proporcionada al respecto. </w:t>
      </w:r>
    </w:p>
    <w:p w14:paraId="23081508" w14:textId="77777777" w:rsidR="00E95A07" w:rsidRPr="00C40BD1" w:rsidRDefault="00E95A07" w:rsidP="00220BD1">
      <w:pPr>
        <w:spacing w:line="360" w:lineRule="auto"/>
        <w:ind w:left="567" w:right="567"/>
        <w:jc w:val="both"/>
        <w:rPr>
          <w:rFonts w:ascii="Palatino Linotype" w:hAnsi="Palatino Linotype" w:cs="Tahoma"/>
          <w:bCs/>
          <w:i/>
        </w:rPr>
      </w:pPr>
    </w:p>
    <w:p w14:paraId="4A598654" w14:textId="4E55C7F0" w:rsidR="005B6A2D" w:rsidRPr="00C40BD1" w:rsidRDefault="00E95A07" w:rsidP="00220BD1">
      <w:pPr>
        <w:spacing w:line="360" w:lineRule="auto"/>
        <w:ind w:left="567" w:right="567"/>
        <w:jc w:val="both"/>
        <w:rPr>
          <w:rFonts w:ascii="Palatino Linotype" w:hAnsi="Palatino Linotype" w:cs="Tahoma"/>
          <w:bCs/>
          <w:i/>
        </w:rPr>
      </w:pPr>
      <w:r w:rsidRPr="00C40BD1">
        <w:rPr>
          <w:rFonts w:ascii="Palatino Linotype" w:hAnsi="Palatino Linotype" w:cs="Tahoma"/>
          <w:bCs/>
          <w:i/>
        </w:rPr>
        <w:t>Sin otro particular, le reitero a usted mi consideración más distinguida…” (Sic)</w:t>
      </w:r>
    </w:p>
    <w:p w14:paraId="65532169" w14:textId="1A6FBECD" w:rsidR="0089445C" w:rsidRPr="00C40BD1" w:rsidRDefault="0089445C" w:rsidP="00220BD1">
      <w:pPr>
        <w:spacing w:line="360" w:lineRule="auto"/>
        <w:jc w:val="both"/>
        <w:rPr>
          <w:rFonts w:ascii="Palatino Linotype" w:hAnsi="Palatino Linotype" w:cs="Tahoma"/>
          <w:b/>
          <w:color w:val="FF0000"/>
          <w:sz w:val="22"/>
          <w:szCs w:val="22"/>
          <w:lang w:val="es-ES_tradnl"/>
        </w:rPr>
      </w:pPr>
    </w:p>
    <w:p w14:paraId="193C5D46" w14:textId="0F5CB476" w:rsidR="00947608" w:rsidRPr="00C40BD1" w:rsidRDefault="006C5B2A" w:rsidP="00220BD1">
      <w:pPr>
        <w:spacing w:line="360" w:lineRule="auto"/>
        <w:jc w:val="both"/>
        <w:rPr>
          <w:rFonts w:ascii="Palatino Linotype" w:hAnsi="Palatino Linotype" w:cs="Tahoma"/>
          <w:bCs/>
          <w:i/>
          <w:lang w:val="es-ES"/>
        </w:rPr>
      </w:pPr>
      <w:r w:rsidRPr="00C40BD1">
        <w:rPr>
          <w:rFonts w:ascii="Palatino Linotype" w:hAnsi="Palatino Linotype" w:cs="Tahoma"/>
          <w:b/>
          <w:sz w:val="22"/>
          <w:szCs w:val="22"/>
          <w:lang w:val="es-ES_tradnl"/>
        </w:rPr>
        <w:t xml:space="preserve">d) Vista del Informe Justificado. </w:t>
      </w:r>
      <w:r w:rsidR="00B07AC2" w:rsidRPr="00C40BD1">
        <w:rPr>
          <w:rFonts w:ascii="Palatino Linotype" w:hAnsi="Palatino Linotype" w:cs="Tahoma"/>
          <w:sz w:val="22"/>
          <w:szCs w:val="22"/>
          <w:lang w:val="es-ES_tradnl"/>
        </w:rPr>
        <w:t xml:space="preserve">El </w:t>
      </w:r>
      <w:r w:rsidR="00255F2B" w:rsidRPr="00C40BD1">
        <w:rPr>
          <w:rFonts w:ascii="Palatino Linotype" w:hAnsi="Palatino Linotype" w:cs="Tahoma"/>
          <w:sz w:val="22"/>
          <w:szCs w:val="22"/>
          <w:lang w:val="es-ES_tradnl"/>
        </w:rPr>
        <w:t>veintiséis de enero de dos mil veintiséis</w:t>
      </w:r>
      <w:r w:rsidRPr="00C40BD1">
        <w:rPr>
          <w:rFonts w:ascii="Palatino Linotype" w:hAnsi="Palatino Linotype" w:cs="Tahoma"/>
          <w:sz w:val="22"/>
          <w:szCs w:val="22"/>
          <w:lang w:val="es-ES_tradnl"/>
        </w:rPr>
        <w:t>, se dictó acuerdo mediante el cual se puso a la vista del Particular el Informe Justificado, entregado por el Sujeto Obligado, así como el documento adjunto, el cual fue notificado a las partes, a través del Sistema de Acceso a la Información Mexiquense (SAIMEX).</w:t>
      </w:r>
    </w:p>
    <w:p w14:paraId="0BB47E08" w14:textId="3BD3176E" w:rsidR="00947608" w:rsidRPr="00C40BD1" w:rsidRDefault="00947608" w:rsidP="00220BD1">
      <w:pPr>
        <w:spacing w:line="360" w:lineRule="auto"/>
        <w:contextualSpacing/>
        <w:jc w:val="both"/>
        <w:rPr>
          <w:rFonts w:ascii="Palatino Linotype" w:hAnsi="Palatino Linotype" w:cs="Tahoma"/>
          <w:b/>
          <w:color w:val="FF0000"/>
          <w:sz w:val="22"/>
          <w:szCs w:val="28"/>
          <w:lang w:val="es-ES_tradnl"/>
        </w:rPr>
      </w:pPr>
    </w:p>
    <w:p w14:paraId="155868CD" w14:textId="6EB7FDBE" w:rsidR="008F4B45" w:rsidRPr="00C40BD1" w:rsidRDefault="00CD3CA9" w:rsidP="00220BD1">
      <w:pPr>
        <w:spacing w:line="360" w:lineRule="auto"/>
        <w:jc w:val="both"/>
        <w:rPr>
          <w:rFonts w:ascii="Palatino Linotype" w:hAnsi="Palatino Linotype"/>
          <w:b/>
          <w:sz w:val="22"/>
          <w:szCs w:val="22"/>
        </w:rPr>
      </w:pPr>
      <w:r w:rsidRPr="00C40BD1">
        <w:rPr>
          <w:rFonts w:ascii="Palatino Linotype" w:hAnsi="Palatino Linotype"/>
          <w:b/>
          <w:sz w:val="22"/>
          <w:szCs w:val="22"/>
        </w:rPr>
        <w:t>d</w:t>
      </w:r>
      <w:r w:rsidR="000553B4" w:rsidRPr="00C40BD1">
        <w:rPr>
          <w:rFonts w:ascii="Palatino Linotype" w:hAnsi="Palatino Linotype"/>
          <w:b/>
          <w:sz w:val="22"/>
          <w:szCs w:val="22"/>
        </w:rPr>
        <w:t xml:space="preserve">) </w:t>
      </w:r>
      <w:r w:rsidR="0063734D" w:rsidRPr="00C40BD1">
        <w:rPr>
          <w:rFonts w:ascii="Palatino Linotype" w:hAnsi="Palatino Linotype"/>
          <w:b/>
          <w:sz w:val="22"/>
          <w:szCs w:val="22"/>
        </w:rPr>
        <w:t>Cierre de instrucción.</w:t>
      </w:r>
      <w:r w:rsidR="00763D85" w:rsidRPr="00C40BD1">
        <w:rPr>
          <w:rFonts w:ascii="Palatino Linotype" w:hAnsi="Palatino Linotype"/>
          <w:b/>
          <w:sz w:val="22"/>
          <w:szCs w:val="22"/>
        </w:rPr>
        <w:t xml:space="preserve"> </w:t>
      </w:r>
      <w:r w:rsidR="008F4B45" w:rsidRPr="00C40BD1">
        <w:rPr>
          <w:rFonts w:ascii="Palatino Linotype" w:hAnsi="Palatino Linotype"/>
          <w:sz w:val="22"/>
          <w:szCs w:val="22"/>
        </w:rPr>
        <w:t>El</w:t>
      </w:r>
      <w:r w:rsidR="00255F2B" w:rsidRPr="00C40BD1">
        <w:rPr>
          <w:rFonts w:ascii="Palatino Linotype" w:hAnsi="Palatino Linotype"/>
          <w:sz w:val="22"/>
          <w:szCs w:val="22"/>
        </w:rPr>
        <w:t xml:space="preserve"> tres de febrero de dos mil veintiséis</w:t>
      </w:r>
      <w:r w:rsidR="008F4B45" w:rsidRPr="00C40BD1">
        <w:rPr>
          <w:rFonts w:ascii="Palatino Linotype" w:hAnsi="Palatino Linotype"/>
          <w:sz w:val="22"/>
          <w:szCs w:val="22"/>
        </w:rPr>
        <w:t xml:space="preserve">,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 </w:t>
      </w:r>
    </w:p>
    <w:p w14:paraId="7BB94FD2" w14:textId="77777777" w:rsidR="008F4B45" w:rsidRPr="00C40BD1" w:rsidRDefault="008F4B45" w:rsidP="00220BD1">
      <w:pPr>
        <w:spacing w:line="360" w:lineRule="auto"/>
        <w:contextualSpacing/>
        <w:jc w:val="both"/>
        <w:rPr>
          <w:rFonts w:ascii="Palatino Linotype" w:hAnsi="Palatino Linotype" w:cs="Tahoma"/>
          <w:b/>
          <w:color w:val="FF0000"/>
          <w:sz w:val="18"/>
          <w:szCs w:val="22"/>
        </w:rPr>
      </w:pPr>
    </w:p>
    <w:p w14:paraId="353F8859" w14:textId="0D17D196" w:rsidR="004F3A02" w:rsidRPr="00C40BD1" w:rsidRDefault="008F4B45" w:rsidP="00220BD1">
      <w:pPr>
        <w:spacing w:line="360" w:lineRule="auto"/>
        <w:contextualSpacing/>
        <w:jc w:val="both"/>
        <w:rPr>
          <w:rFonts w:ascii="Palatino Linotype" w:hAnsi="Palatino Linotype" w:cs="Tahoma"/>
          <w:sz w:val="22"/>
          <w:szCs w:val="22"/>
        </w:rPr>
      </w:pPr>
      <w:r w:rsidRPr="00C40BD1">
        <w:rPr>
          <w:rFonts w:ascii="Palatino Linotype" w:hAnsi="Palatino Linotype" w:cs="Tahoma"/>
          <w:sz w:val="22"/>
          <w:szCs w:val="22"/>
        </w:rPr>
        <w:lastRenderedPageBreak/>
        <w:t xml:space="preserve">En razón de que fue debidamente sustanciado el expediente electrónico y no existe diligencia pendiente de desahogo, se emite la Resolución que conforme a Derecho proceda, de acuerdo con los siguientes: </w:t>
      </w:r>
    </w:p>
    <w:p w14:paraId="711B402C" w14:textId="77777777" w:rsidR="00E155C6" w:rsidRPr="00C40BD1" w:rsidRDefault="00E155C6" w:rsidP="00220BD1">
      <w:pPr>
        <w:spacing w:line="360" w:lineRule="auto"/>
        <w:contextualSpacing/>
        <w:jc w:val="both"/>
        <w:rPr>
          <w:rFonts w:ascii="Palatino Linotype" w:hAnsi="Palatino Linotype" w:cs="Tahoma"/>
          <w:sz w:val="22"/>
          <w:szCs w:val="22"/>
        </w:rPr>
      </w:pPr>
    </w:p>
    <w:p w14:paraId="615EA163" w14:textId="77777777" w:rsidR="004F3A02" w:rsidRPr="00C40BD1" w:rsidRDefault="004F3A02" w:rsidP="00220BD1">
      <w:pPr>
        <w:pStyle w:val="Ttulo1"/>
        <w:rPr>
          <w:color w:val="auto"/>
          <w:lang w:val="es-ES"/>
        </w:rPr>
      </w:pPr>
      <w:bookmarkStart w:id="6" w:name="_Toc221197390"/>
      <w:r w:rsidRPr="00C40BD1">
        <w:rPr>
          <w:color w:val="auto"/>
          <w:lang w:val="es-ES"/>
        </w:rPr>
        <w:t>C O N S I D E R A N D O S</w:t>
      </w:r>
      <w:bookmarkEnd w:id="6"/>
    </w:p>
    <w:p w14:paraId="066231C1" w14:textId="77777777" w:rsidR="004F3A02" w:rsidRPr="00C40BD1" w:rsidRDefault="004F3A02" w:rsidP="00220BD1">
      <w:pPr>
        <w:spacing w:line="360" w:lineRule="auto"/>
        <w:jc w:val="both"/>
        <w:rPr>
          <w:rFonts w:ascii="Palatino Linotype" w:hAnsi="Palatino Linotype" w:cs="Tahoma"/>
          <w:b/>
          <w:sz w:val="22"/>
          <w:lang w:val="es-ES"/>
        </w:rPr>
      </w:pPr>
    </w:p>
    <w:p w14:paraId="001B63FA" w14:textId="77777777" w:rsidR="004F3A02" w:rsidRPr="00C40BD1" w:rsidRDefault="004F3A02" w:rsidP="00220BD1">
      <w:pPr>
        <w:pStyle w:val="Ttulo2"/>
        <w:rPr>
          <w:color w:val="auto"/>
          <w:lang w:val="es-ES"/>
        </w:rPr>
      </w:pPr>
      <w:bookmarkStart w:id="7" w:name="_Toc221197391"/>
      <w:r w:rsidRPr="00C40BD1">
        <w:rPr>
          <w:rFonts w:eastAsia="Calibri"/>
          <w:color w:val="auto"/>
          <w:lang w:val="es-ES" w:eastAsia="es-MX"/>
        </w:rPr>
        <w:t xml:space="preserve">PRIMERO. </w:t>
      </w:r>
      <w:r w:rsidRPr="00C40BD1">
        <w:rPr>
          <w:color w:val="auto"/>
          <w:lang w:val="es-ES"/>
        </w:rPr>
        <w:t>Competencia</w:t>
      </w:r>
      <w:bookmarkEnd w:id="7"/>
    </w:p>
    <w:p w14:paraId="35D71D67" w14:textId="77777777" w:rsidR="004F3A02" w:rsidRPr="00C40BD1" w:rsidRDefault="004F3A02" w:rsidP="00220BD1">
      <w:pPr>
        <w:autoSpaceDE w:val="0"/>
        <w:autoSpaceDN w:val="0"/>
        <w:adjustRightInd w:val="0"/>
        <w:spacing w:line="360" w:lineRule="auto"/>
        <w:jc w:val="both"/>
        <w:rPr>
          <w:rFonts w:ascii="Palatino Linotype" w:hAnsi="Palatino Linotype" w:cs="Tahoma"/>
          <w:b/>
          <w:sz w:val="22"/>
          <w:lang w:val="es-ES"/>
        </w:rPr>
      </w:pPr>
    </w:p>
    <w:p w14:paraId="161C2048" w14:textId="77777777" w:rsidR="00D51FC6" w:rsidRPr="00C40BD1" w:rsidRDefault="00D51FC6" w:rsidP="00220BD1">
      <w:pPr>
        <w:spacing w:line="360" w:lineRule="auto"/>
        <w:jc w:val="both"/>
        <w:rPr>
          <w:rFonts w:ascii="Palatino Linotype" w:eastAsia="Palatino Linotype" w:hAnsi="Palatino Linotype" w:cs="Palatino Linotype"/>
          <w:sz w:val="22"/>
          <w:szCs w:val="22"/>
          <w:lang w:eastAsia="es-MX"/>
        </w:rPr>
      </w:pPr>
      <w:r w:rsidRPr="00C40BD1">
        <w:rPr>
          <w:rFonts w:ascii="Palatino Linotype" w:eastAsia="Palatino Linotype" w:hAnsi="Palatino Linotype" w:cs="Palatino Linotype"/>
          <w:sz w:val="22"/>
          <w:szCs w:val="22"/>
          <w:lang w:eastAsia="es-MX"/>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57A46968" w14:textId="77777777" w:rsidR="00BA5927" w:rsidRPr="00C40BD1" w:rsidRDefault="00BA5927" w:rsidP="00220BD1">
      <w:pPr>
        <w:spacing w:line="360" w:lineRule="auto"/>
        <w:jc w:val="both"/>
        <w:rPr>
          <w:rFonts w:ascii="Palatino Linotype" w:eastAsia="Palatino Linotype" w:hAnsi="Palatino Linotype" w:cs="Palatino Linotype"/>
          <w:sz w:val="22"/>
          <w:szCs w:val="22"/>
          <w:lang w:eastAsia="es-MX"/>
        </w:rPr>
      </w:pPr>
    </w:p>
    <w:p w14:paraId="33C93B21" w14:textId="2243BBF1" w:rsidR="00DA08C5" w:rsidRPr="00C40BD1" w:rsidRDefault="00DA08C5" w:rsidP="00220BD1">
      <w:pPr>
        <w:pStyle w:val="Ttulo2"/>
        <w:rPr>
          <w:color w:val="auto"/>
          <w:lang w:val="es-ES"/>
        </w:rPr>
      </w:pPr>
      <w:bookmarkStart w:id="8" w:name="_Toc221197392"/>
      <w:r w:rsidRPr="00C40BD1">
        <w:rPr>
          <w:rFonts w:eastAsia="Calibri"/>
          <w:color w:val="auto"/>
          <w:lang w:val="es-ES" w:eastAsia="es-MX"/>
        </w:rPr>
        <w:t xml:space="preserve">SEGUNDO. </w:t>
      </w:r>
      <w:r w:rsidRPr="00C40BD1">
        <w:rPr>
          <w:color w:val="auto"/>
          <w:lang w:val="es-ES"/>
        </w:rPr>
        <w:t xml:space="preserve">Causales de improcedencia </w:t>
      </w:r>
      <w:r w:rsidR="00F93859" w:rsidRPr="00C40BD1">
        <w:rPr>
          <w:color w:val="auto"/>
          <w:lang w:val="es-ES"/>
        </w:rPr>
        <w:t>y Sobreseimiento</w:t>
      </w:r>
      <w:bookmarkEnd w:id="8"/>
    </w:p>
    <w:p w14:paraId="39E19200" w14:textId="77777777" w:rsidR="00BA5927" w:rsidRPr="00C40BD1" w:rsidRDefault="00BA5927" w:rsidP="00220BD1">
      <w:pPr>
        <w:autoSpaceDE w:val="0"/>
        <w:autoSpaceDN w:val="0"/>
        <w:adjustRightInd w:val="0"/>
        <w:spacing w:line="360" w:lineRule="auto"/>
        <w:contextualSpacing/>
        <w:jc w:val="both"/>
        <w:rPr>
          <w:rFonts w:ascii="Palatino Linotype" w:hAnsi="Palatino Linotype" w:cs="Tahoma"/>
          <w:sz w:val="22"/>
          <w:szCs w:val="22"/>
          <w:lang w:val="es-ES"/>
        </w:rPr>
      </w:pPr>
    </w:p>
    <w:p w14:paraId="5128E1A6" w14:textId="77777777" w:rsidR="00DA08C5" w:rsidRPr="00C40BD1" w:rsidRDefault="00DA08C5" w:rsidP="00220BD1">
      <w:pPr>
        <w:autoSpaceDE w:val="0"/>
        <w:autoSpaceDN w:val="0"/>
        <w:adjustRightInd w:val="0"/>
        <w:spacing w:line="360" w:lineRule="auto"/>
        <w:contextualSpacing/>
        <w:jc w:val="both"/>
        <w:rPr>
          <w:rFonts w:ascii="Palatino Linotype" w:hAnsi="Palatino Linotype" w:cs="Tahoma"/>
          <w:sz w:val="22"/>
          <w:szCs w:val="22"/>
          <w:lang w:val="es-ES"/>
        </w:rPr>
      </w:pPr>
      <w:r w:rsidRPr="00C40BD1">
        <w:rPr>
          <w:rFonts w:ascii="Palatino Linotype" w:hAnsi="Palatino Linotype" w:cs="Tahoma"/>
          <w:sz w:val="22"/>
          <w:szCs w:val="22"/>
          <w:lang w:val="es-ES"/>
        </w:rPr>
        <w:t xml:space="preserve">De las constancias que forma parte del Recurso de Revisión que se analiza, se advierte que previo al estudio del fondo de la </w:t>
      </w:r>
      <w:r w:rsidRPr="00C40BD1">
        <w:rPr>
          <w:rFonts w:ascii="Palatino Linotype" w:hAnsi="Palatino Linotype" w:cs="Tahoma"/>
          <w:i/>
          <w:sz w:val="22"/>
          <w:szCs w:val="22"/>
          <w:lang w:val="es-ES"/>
        </w:rPr>
        <w:t>litis</w:t>
      </w:r>
      <w:r w:rsidRPr="00C40BD1">
        <w:rPr>
          <w:rFonts w:ascii="Palatino Linotype" w:hAnsi="Palatino Linotype" w:cs="Tahoma"/>
          <w:sz w:val="22"/>
          <w:szCs w:val="22"/>
          <w:lang w:val="es-ES"/>
        </w:rPr>
        <w:t>, es necesario estudiar las causales de improcedencia y sobreseimiento que se adviertan, para determinar lo que en Derecho proceda.</w:t>
      </w:r>
    </w:p>
    <w:p w14:paraId="28656C6E" w14:textId="77777777" w:rsidR="00DA08C5" w:rsidRPr="00C40BD1" w:rsidRDefault="00DA08C5" w:rsidP="00220BD1">
      <w:pPr>
        <w:autoSpaceDE w:val="0"/>
        <w:autoSpaceDN w:val="0"/>
        <w:adjustRightInd w:val="0"/>
        <w:spacing w:line="360" w:lineRule="auto"/>
        <w:contextualSpacing/>
        <w:jc w:val="both"/>
        <w:rPr>
          <w:rFonts w:ascii="Palatino Linotype" w:hAnsi="Palatino Linotype" w:cs="Tahoma"/>
          <w:sz w:val="22"/>
          <w:szCs w:val="22"/>
          <w:lang w:val="es-ES"/>
        </w:rPr>
      </w:pPr>
    </w:p>
    <w:p w14:paraId="55FD8A9B" w14:textId="77777777" w:rsidR="00DA08C5" w:rsidRPr="00C40BD1" w:rsidRDefault="00DA08C5" w:rsidP="00220BD1">
      <w:pPr>
        <w:spacing w:line="360" w:lineRule="auto"/>
        <w:contextualSpacing/>
        <w:jc w:val="both"/>
        <w:rPr>
          <w:rFonts w:ascii="Palatino Linotype" w:hAnsi="Palatino Linotype"/>
          <w:b/>
          <w:sz w:val="22"/>
          <w:szCs w:val="22"/>
          <w:lang w:val="es-ES"/>
        </w:rPr>
      </w:pPr>
      <w:r w:rsidRPr="00C40BD1">
        <w:rPr>
          <w:rFonts w:ascii="Palatino Linotype" w:hAnsi="Palatino Linotype"/>
          <w:b/>
          <w:sz w:val="22"/>
          <w:szCs w:val="22"/>
          <w:lang w:val="es-ES"/>
        </w:rPr>
        <w:t>Causales de improcedencia</w:t>
      </w:r>
    </w:p>
    <w:p w14:paraId="7D1BAA53" w14:textId="77777777" w:rsidR="00DA08C5" w:rsidRPr="00C40BD1" w:rsidRDefault="00DA08C5" w:rsidP="00220BD1">
      <w:pPr>
        <w:spacing w:line="360" w:lineRule="auto"/>
        <w:contextualSpacing/>
        <w:jc w:val="both"/>
        <w:rPr>
          <w:rFonts w:ascii="Palatino Linotype" w:hAnsi="Palatino Linotype" w:cs="Tahoma"/>
          <w:sz w:val="22"/>
          <w:szCs w:val="22"/>
        </w:rPr>
      </w:pPr>
      <w:r w:rsidRPr="00C40BD1">
        <w:rPr>
          <w:rFonts w:ascii="Palatino Linotype" w:hAnsi="Palatino Linotype" w:cs="Tahoma"/>
          <w:sz w:val="22"/>
          <w:szCs w:val="22"/>
        </w:rPr>
        <w:lastRenderedPageBreak/>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9622937" w14:textId="77777777" w:rsidR="00DA08C5" w:rsidRPr="00C40BD1" w:rsidRDefault="00DA08C5" w:rsidP="00220BD1">
      <w:pPr>
        <w:spacing w:line="360" w:lineRule="auto"/>
        <w:contextualSpacing/>
        <w:jc w:val="both"/>
        <w:rPr>
          <w:rFonts w:ascii="Palatino Linotype" w:hAnsi="Palatino Linotype" w:cs="Tahoma"/>
          <w:sz w:val="22"/>
          <w:szCs w:val="22"/>
        </w:rPr>
      </w:pPr>
    </w:p>
    <w:p w14:paraId="35D3EE96" w14:textId="17683495" w:rsidR="00DA08C5" w:rsidRPr="00C40BD1" w:rsidRDefault="00DA08C5" w:rsidP="00220BD1">
      <w:pPr>
        <w:spacing w:line="360" w:lineRule="auto"/>
        <w:contextualSpacing/>
        <w:jc w:val="both"/>
        <w:rPr>
          <w:rFonts w:ascii="Palatino Linotype" w:hAnsi="Palatino Linotype" w:cs="Tahoma"/>
          <w:sz w:val="22"/>
          <w:szCs w:val="22"/>
        </w:rPr>
      </w:pPr>
      <w:r w:rsidRPr="00C40BD1">
        <w:rPr>
          <w:rFonts w:ascii="Palatino Linotype" w:hAnsi="Palatino Linotype" w:cs="Tahoma"/>
          <w:sz w:val="22"/>
          <w:szCs w:val="22"/>
        </w:rPr>
        <w:t>En el presente caso, </w:t>
      </w:r>
      <w:r w:rsidRPr="00C40BD1">
        <w:rPr>
          <w:rFonts w:ascii="Palatino Linotype" w:hAnsi="Palatino Linotype" w:cs="Tahoma"/>
          <w:b/>
          <w:bCs/>
          <w:sz w:val="22"/>
          <w:szCs w:val="22"/>
        </w:rPr>
        <w:t>no se actualiza ninguna de las causales de improcedencia</w:t>
      </w:r>
      <w:r w:rsidRPr="00C40BD1">
        <w:rPr>
          <w:rFonts w:ascii="Palatino Linotype" w:hAnsi="Palatino Linotype" w:cs="Tahoma"/>
          <w:sz w:val="22"/>
          <w:szCs w:val="22"/>
        </w:rPr>
        <w:t> establecidas en el ordenamiento jurídico previamente señalado, toda vez que: este Instituto no tiene conocimiento de que se encuentre en trámite algún medio de defensa presentado por la p</w:t>
      </w:r>
      <w:r w:rsidR="00FE57F3" w:rsidRPr="00C40BD1">
        <w:rPr>
          <w:rFonts w:ascii="Palatino Linotype" w:hAnsi="Palatino Linotype" w:cs="Tahoma"/>
          <w:sz w:val="22"/>
          <w:szCs w:val="22"/>
        </w:rPr>
        <w:t>ersona</w:t>
      </w:r>
      <w:r w:rsidRPr="00C40BD1">
        <w:rPr>
          <w:rFonts w:ascii="Palatino Linotype" w:hAnsi="Palatino Linotype" w:cs="Tahoma"/>
          <w:sz w:val="22"/>
          <w:szCs w:val="22"/>
        </w:rPr>
        <w:t xml:space="preserve"> Recurrente ante otra instancia; no existió prevención alguna; la veracidad de la respuesta no formó parte del agravio; ni se realizó una consulta o ampliación a los alcances del requerimiento informativo.</w:t>
      </w:r>
    </w:p>
    <w:p w14:paraId="3C222CC0" w14:textId="77777777" w:rsidR="00BA5927" w:rsidRPr="00C40BD1" w:rsidRDefault="00BA5927" w:rsidP="00220BD1">
      <w:pPr>
        <w:spacing w:line="360" w:lineRule="auto"/>
        <w:contextualSpacing/>
        <w:jc w:val="both"/>
        <w:rPr>
          <w:rFonts w:ascii="Palatino Linotype" w:hAnsi="Palatino Linotype" w:cs="Tahoma"/>
          <w:sz w:val="22"/>
          <w:szCs w:val="22"/>
          <w:lang w:val="es-ES"/>
        </w:rPr>
      </w:pPr>
    </w:p>
    <w:p w14:paraId="4747B52D" w14:textId="2DA81BDF" w:rsidR="00DA08C5" w:rsidRPr="00C40BD1" w:rsidRDefault="00DA08C5" w:rsidP="00220BD1">
      <w:pPr>
        <w:spacing w:line="360" w:lineRule="auto"/>
        <w:contextualSpacing/>
        <w:jc w:val="both"/>
        <w:rPr>
          <w:rFonts w:ascii="Palatino Linotype" w:hAnsi="Palatino Linotype" w:cs="Tahoma"/>
          <w:sz w:val="22"/>
          <w:szCs w:val="22"/>
          <w:lang w:val="es-ES"/>
        </w:rPr>
      </w:pPr>
      <w:r w:rsidRPr="00C40BD1">
        <w:rPr>
          <w:rFonts w:ascii="Palatino Linotype" w:hAnsi="Palatino Linotype" w:cs="Tahoma"/>
          <w:sz w:val="22"/>
          <w:szCs w:val="22"/>
          <w:lang w:val="es-ES"/>
        </w:rPr>
        <w:t xml:space="preserve">Además, de que el Medios de Impugnación fue presentado en tiempo, toda vez que ante la ausencia de la respuesta del Ente Recurrido, se constituyó la </w:t>
      </w:r>
      <w:r w:rsidRPr="00C40BD1">
        <w:rPr>
          <w:rFonts w:ascii="Palatino Linotype" w:hAnsi="Palatino Linotype" w:cs="Tahoma"/>
          <w:b/>
          <w:sz w:val="22"/>
          <w:szCs w:val="22"/>
          <w:lang w:val="es-ES"/>
        </w:rPr>
        <w:t>negativa ficta</w:t>
      </w:r>
      <w:r w:rsidRPr="00C40BD1">
        <w:rPr>
          <w:rFonts w:ascii="Palatino Linotype" w:hAnsi="Palatino Linotype" w:cs="Tahoma"/>
          <w:sz w:val="22"/>
          <w:szCs w:val="22"/>
          <w:lang w:val="es-ES"/>
        </w:rPr>
        <w:t xml:space="preserve">, que genera la posibilidad de los particulares de interponer un recurso de revisión ante tal omisión, </w:t>
      </w:r>
      <w:r w:rsidRPr="00C40BD1">
        <w:rPr>
          <w:rFonts w:ascii="Palatino Linotype" w:hAnsi="Palatino Linotype" w:cs="Tahoma"/>
          <w:sz w:val="22"/>
          <w:szCs w:val="22"/>
          <w:u w:val="single"/>
          <w:lang w:val="es-ES"/>
        </w:rPr>
        <w:t>en cualquier momento</w:t>
      </w:r>
      <w:r w:rsidRPr="00C40BD1">
        <w:rPr>
          <w:rFonts w:ascii="Palatino Linotype" w:hAnsi="Palatino Linotype" w:cs="Tahoma"/>
          <w:sz w:val="22"/>
          <w:szCs w:val="22"/>
          <w:lang w:val="es-ES"/>
        </w:rPr>
        <w:t>; por lo que, no es necesario determinar una temporalidad respecto del momento de presentación, conforme a lo establecido en los artículos 166 y 178, párrafo segundo de la Ley de Transparencia y Acceso a la Información Pública del Estado de México y los Municipios.</w:t>
      </w:r>
    </w:p>
    <w:p w14:paraId="70292495" w14:textId="77777777" w:rsidR="009A3007" w:rsidRPr="00C40BD1" w:rsidRDefault="009A3007" w:rsidP="00220BD1">
      <w:pPr>
        <w:spacing w:line="360" w:lineRule="auto"/>
        <w:contextualSpacing/>
        <w:jc w:val="both"/>
        <w:rPr>
          <w:rFonts w:ascii="Palatino Linotype" w:hAnsi="Palatino Linotype" w:cs="Tahoma"/>
          <w:sz w:val="22"/>
          <w:szCs w:val="22"/>
          <w:lang w:val="es-ES"/>
        </w:rPr>
      </w:pPr>
    </w:p>
    <w:p w14:paraId="24FE5C30" w14:textId="77777777" w:rsidR="00DA08C5" w:rsidRPr="00C40BD1" w:rsidRDefault="00DA08C5" w:rsidP="00220BD1">
      <w:pPr>
        <w:spacing w:line="360" w:lineRule="auto"/>
        <w:contextualSpacing/>
        <w:jc w:val="both"/>
        <w:rPr>
          <w:rFonts w:ascii="Palatino Linotype" w:hAnsi="Palatino Linotype" w:cs="Tahoma"/>
          <w:bCs/>
          <w:sz w:val="22"/>
          <w:szCs w:val="22"/>
          <w:lang w:val="es-ES"/>
        </w:rPr>
      </w:pPr>
      <w:r w:rsidRPr="00C40BD1">
        <w:rPr>
          <w:rFonts w:ascii="Palatino Linotype" w:hAnsi="Palatino Linotype" w:cs="Tahoma"/>
          <w:sz w:val="22"/>
          <w:szCs w:val="22"/>
          <w:lang w:val="es-ES"/>
        </w:rPr>
        <w:t>Conforme a lo anterior, se actualiza la causal de procedencia señalada en el artículo 179, fracción VII, de la Ley de la materia</w:t>
      </w:r>
      <w:r w:rsidRPr="00C40BD1">
        <w:rPr>
          <w:rFonts w:ascii="Palatino Linotype" w:hAnsi="Palatino Linotype" w:cs="Tahoma"/>
          <w:bCs/>
          <w:sz w:val="22"/>
          <w:szCs w:val="22"/>
          <w:lang w:val="es-ES"/>
        </w:rPr>
        <w:t>, toda vez que el Solicitante se inconformó con la falta de respuesta a su solicitud de acceso a información pública.</w:t>
      </w:r>
    </w:p>
    <w:p w14:paraId="1AD964AC" w14:textId="77777777" w:rsidR="00505111" w:rsidRPr="00C40BD1" w:rsidRDefault="00505111" w:rsidP="00220BD1">
      <w:pPr>
        <w:spacing w:line="360" w:lineRule="auto"/>
        <w:contextualSpacing/>
        <w:jc w:val="both"/>
        <w:rPr>
          <w:rFonts w:ascii="Palatino Linotype" w:hAnsi="Palatino Linotype" w:cs="Tahoma"/>
          <w:bCs/>
          <w:sz w:val="22"/>
          <w:szCs w:val="22"/>
          <w:lang w:val="es-ES"/>
        </w:rPr>
      </w:pPr>
    </w:p>
    <w:p w14:paraId="51E80A00" w14:textId="77777777" w:rsidR="00F93859" w:rsidRPr="00C40BD1" w:rsidRDefault="00F93859" w:rsidP="00220BD1">
      <w:pPr>
        <w:spacing w:line="360" w:lineRule="auto"/>
        <w:jc w:val="both"/>
        <w:rPr>
          <w:rFonts w:ascii="Palatino Linotype" w:hAnsi="Palatino Linotype" w:cs="Tahoma"/>
          <w:b/>
          <w:bCs/>
          <w:sz w:val="22"/>
          <w:szCs w:val="22"/>
        </w:rPr>
      </w:pPr>
      <w:r w:rsidRPr="00C40BD1">
        <w:rPr>
          <w:rFonts w:ascii="Palatino Linotype" w:hAnsi="Palatino Linotype" w:cs="Tahoma"/>
          <w:b/>
          <w:bCs/>
          <w:sz w:val="22"/>
          <w:szCs w:val="22"/>
        </w:rPr>
        <w:t>Causales de sobreseimiento</w:t>
      </w:r>
    </w:p>
    <w:p w14:paraId="4DD47685" w14:textId="77777777" w:rsidR="00F93859" w:rsidRPr="00C40BD1" w:rsidRDefault="00F93859" w:rsidP="00220BD1">
      <w:pPr>
        <w:spacing w:line="360" w:lineRule="auto"/>
        <w:jc w:val="both"/>
        <w:rPr>
          <w:rFonts w:ascii="Palatino Linotype" w:hAnsi="Palatino Linotype" w:cs="Tahoma"/>
          <w:bCs/>
          <w:sz w:val="22"/>
          <w:szCs w:val="22"/>
        </w:rPr>
      </w:pPr>
    </w:p>
    <w:p w14:paraId="6AD3A1F5" w14:textId="77777777" w:rsidR="00F93859" w:rsidRPr="00C40BD1" w:rsidRDefault="00F93859" w:rsidP="00220BD1">
      <w:pPr>
        <w:spacing w:line="360" w:lineRule="auto"/>
        <w:jc w:val="both"/>
        <w:rPr>
          <w:rFonts w:ascii="Palatino Linotype" w:hAnsi="Palatino Linotype" w:cs="Tahoma"/>
          <w:bCs/>
          <w:sz w:val="22"/>
          <w:szCs w:val="22"/>
        </w:rPr>
      </w:pPr>
      <w:r w:rsidRPr="00C40BD1">
        <w:rPr>
          <w:rFonts w:ascii="Palatino Linotype" w:hAnsi="Palatino Linotype" w:cs="Tahoma"/>
          <w:bCs/>
          <w:sz w:val="22"/>
          <w:szCs w:val="22"/>
        </w:rPr>
        <w:t>Por ser de previo y especial pronunciamiento, este Instituto analiza si se actualiza alguna causal de sobreseimiento.</w:t>
      </w:r>
    </w:p>
    <w:p w14:paraId="53F92572" w14:textId="77777777" w:rsidR="00F93859" w:rsidRPr="00C40BD1" w:rsidRDefault="00F93859" w:rsidP="00220BD1">
      <w:pPr>
        <w:spacing w:line="360" w:lineRule="auto"/>
        <w:jc w:val="both"/>
        <w:rPr>
          <w:rFonts w:ascii="Palatino Linotype" w:hAnsi="Palatino Linotype" w:cs="Tahoma"/>
          <w:bCs/>
          <w:sz w:val="22"/>
          <w:szCs w:val="22"/>
        </w:rPr>
      </w:pPr>
    </w:p>
    <w:p w14:paraId="181E608E" w14:textId="77777777" w:rsidR="00F93859" w:rsidRPr="00C40BD1" w:rsidRDefault="00F93859" w:rsidP="00220BD1">
      <w:pPr>
        <w:spacing w:line="360" w:lineRule="auto"/>
        <w:jc w:val="both"/>
        <w:rPr>
          <w:rFonts w:ascii="Palatino Linotype" w:hAnsi="Palatino Linotype" w:cs="Tahoma"/>
          <w:sz w:val="22"/>
          <w:szCs w:val="28"/>
        </w:rPr>
      </w:pPr>
      <w:r w:rsidRPr="00C40BD1">
        <w:rPr>
          <w:rFonts w:ascii="Palatino Linotype" w:hAnsi="Palatino Linotype" w:cs="Tahoma"/>
          <w:sz w:val="22"/>
          <w:szCs w:val="28"/>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606AEEC4" w14:textId="77777777" w:rsidR="00F93859" w:rsidRPr="00C40BD1" w:rsidRDefault="00F93859" w:rsidP="00220BD1">
      <w:pPr>
        <w:spacing w:line="360" w:lineRule="auto"/>
        <w:jc w:val="both"/>
        <w:rPr>
          <w:rFonts w:ascii="Palatino Linotype" w:hAnsi="Palatino Linotype" w:cs="Tahoma"/>
          <w:sz w:val="22"/>
          <w:szCs w:val="28"/>
        </w:rPr>
      </w:pPr>
    </w:p>
    <w:p w14:paraId="0156C47A" w14:textId="77777777" w:rsidR="00F93859" w:rsidRPr="00C40BD1" w:rsidRDefault="00F93859" w:rsidP="00220BD1">
      <w:pPr>
        <w:spacing w:line="360" w:lineRule="auto"/>
        <w:jc w:val="both"/>
        <w:rPr>
          <w:rFonts w:ascii="Palatino Linotype" w:hAnsi="Palatino Linotype" w:cs="Tahoma"/>
          <w:bCs/>
          <w:sz w:val="22"/>
          <w:szCs w:val="22"/>
        </w:rPr>
      </w:pPr>
      <w:r w:rsidRPr="00C40BD1">
        <w:rPr>
          <w:rFonts w:ascii="Palatino Linotype" w:hAnsi="Palatino Linotype" w:cs="Tahoma"/>
          <w:bCs/>
          <w:sz w:val="22"/>
          <w:szCs w:val="22"/>
        </w:rPr>
        <w:t xml:space="preserve">Por tales motivos, se considera procedente entrar al fondo del presente asunto. </w:t>
      </w:r>
    </w:p>
    <w:p w14:paraId="695E21DB" w14:textId="77777777" w:rsidR="00BA5927" w:rsidRPr="00C40BD1" w:rsidRDefault="00BA5927" w:rsidP="00220BD1">
      <w:pPr>
        <w:spacing w:line="360" w:lineRule="auto"/>
        <w:jc w:val="both"/>
        <w:rPr>
          <w:rFonts w:ascii="Palatino Linotype" w:hAnsi="Palatino Linotype" w:cs="Tahoma"/>
          <w:bCs/>
          <w:sz w:val="22"/>
          <w:szCs w:val="22"/>
        </w:rPr>
      </w:pPr>
    </w:p>
    <w:p w14:paraId="000C8B81" w14:textId="77777777" w:rsidR="00F93859" w:rsidRPr="00C40BD1" w:rsidRDefault="00F93859" w:rsidP="00220BD1">
      <w:pPr>
        <w:pStyle w:val="Ttulo2"/>
        <w:rPr>
          <w:color w:val="auto"/>
          <w:lang w:val="es-ES"/>
        </w:rPr>
      </w:pPr>
      <w:bookmarkStart w:id="9" w:name="_Toc221197393"/>
      <w:bookmarkStart w:id="10" w:name="_Hlk220406595"/>
      <w:r w:rsidRPr="00C40BD1">
        <w:rPr>
          <w:color w:val="auto"/>
          <w:lang w:val="es-ES"/>
        </w:rPr>
        <w:t>TERCERO. Determinación de la Controversia</w:t>
      </w:r>
      <w:bookmarkEnd w:id="9"/>
    </w:p>
    <w:p w14:paraId="7C507C79" w14:textId="77777777" w:rsidR="00F93859" w:rsidRPr="00C40BD1" w:rsidRDefault="00F93859" w:rsidP="00220BD1">
      <w:pPr>
        <w:autoSpaceDE w:val="0"/>
        <w:autoSpaceDN w:val="0"/>
        <w:adjustRightInd w:val="0"/>
        <w:spacing w:line="360" w:lineRule="auto"/>
        <w:jc w:val="both"/>
        <w:rPr>
          <w:rFonts w:ascii="Palatino Linotype" w:eastAsia="Calibri" w:hAnsi="Palatino Linotype" w:cs="Tahoma"/>
          <w:color w:val="FF0000"/>
          <w:sz w:val="22"/>
          <w:szCs w:val="22"/>
          <w:lang w:val="es-ES" w:eastAsia="es-MX"/>
        </w:rPr>
      </w:pPr>
    </w:p>
    <w:p w14:paraId="3AFBA7AC" w14:textId="5DF9F7EA" w:rsidR="00255F2B" w:rsidRPr="00C40BD1" w:rsidRDefault="00F93859" w:rsidP="00220BD1">
      <w:pPr>
        <w:tabs>
          <w:tab w:val="left" w:pos="4962"/>
        </w:tabs>
        <w:spacing w:line="360" w:lineRule="auto"/>
        <w:contextualSpacing/>
        <w:jc w:val="both"/>
        <w:rPr>
          <w:rFonts w:ascii="Palatino Linotype" w:eastAsia="Calibri" w:hAnsi="Palatino Linotype" w:cs="Tahoma"/>
          <w:sz w:val="22"/>
          <w:szCs w:val="22"/>
          <w:lang w:val="es-ES" w:eastAsia="es-MX"/>
        </w:rPr>
      </w:pPr>
      <w:r w:rsidRPr="00C40BD1">
        <w:rPr>
          <w:rFonts w:ascii="Palatino Linotype" w:eastAsia="Calibri" w:hAnsi="Palatino Linotype" w:cs="Tahoma"/>
          <w:sz w:val="22"/>
          <w:szCs w:val="22"/>
          <w:lang w:val="es-ES" w:eastAsia="es-MX"/>
        </w:rPr>
        <w:t>Con el objeto de ilustrar la controversia planteada, resulta conveniente precisar, que una vez realizado el estudio de las constancias que integran el expediente en que se actúa, se desprende que el Particular requirió</w:t>
      </w:r>
      <w:bookmarkStart w:id="11" w:name="_Hlk220412822"/>
      <w:r w:rsidR="00D51FC6" w:rsidRPr="00C40BD1">
        <w:rPr>
          <w:rFonts w:ascii="Palatino Linotype" w:eastAsia="Calibri" w:hAnsi="Palatino Linotype" w:cs="Tahoma"/>
          <w:sz w:val="22"/>
          <w:szCs w:val="22"/>
          <w:lang w:val="es-ES" w:eastAsia="es-MX"/>
        </w:rPr>
        <w:t xml:space="preserve"> de los </w:t>
      </w:r>
      <w:r w:rsidR="00255F2B" w:rsidRPr="00C40BD1">
        <w:rPr>
          <w:rFonts w:ascii="Palatino Linotype" w:eastAsia="Calibri" w:hAnsi="Palatino Linotype" w:cs="Tahoma"/>
          <w:sz w:val="22"/>
          <w:szCs w:val="22"/>
          <w:lang w:val="es-ES" w:eastAsia="es-MX"/>
        </w:rPr>
        <w:t>documentos que acrediten si el Ayuntamiento ha destinado recursos públicos (materiales, financieros o humanos)</w:t>
      </w:r>
      <w:r w:rsidR="00D51FC6" w:rsidRPr="00C40BD1">
        <w:rPr>
          <w:rFonts w:ascii="Palatino Linotype" w:eastAsia="Calibri" w:hAnsi="Palatino Linotype" w:cs="Tahoma"/>
          <w:sz w:val="22"/>
          <w:szCs w:val="22"/>
          <w:lang w:val="es-ES" w:eastAsia="es-MX"/>
        </w:rPr>
        <w:t>, que incluya montos, fechas y conceptos,</w:t>
      </w:r>
      <w:r w:rsidR="00255F2B" w:rsidRPr="00C40BD1">
        <w:rPr>
          <w:rFonts w:ascii="Palatino Linotype" w:eastAsia="Calibri" w:hAnsi="Palatino Linotype" w:cs="Tahoma"/>
          <w:sz w:val="22"/>
          <w:szCs w:val="22"/>
          <w:lang w:val="es-ES" w:eastAsia="es-MX"/>
        </w:rPr>
        <w:t xml:space="preserve"> para: </w:t>
      </w:r>
    </w:p>
    <w:p w14:paraId="0183405F" w14:textId="77777777" w:rsidR="00255F2B" w:rsidRPr="00C40BD1" w:rsidRDefault="00255F2B" w:rsidP="00220BD1">
      <w:pPr>
        <w:tabs>
          <w:tab w:val="left" w:pos="4962"/>
        </w:tabs>
        <w:spacing w:line="360" w:lineRule="auto"/>
        <w:contextualSpacing/>
        <w:jc w:val="both"/>
        <w:rPr>
          <w:rFonts w:ascii="Palatino Linotype" w:eastAsia="Calibri" w:hAnsi="Palatino Linotype" w:cs="Tahoma"/>
          <w:sz w:val="22"/>
          <w:szCs w:val="22"/>
          <w:lang w:val="es-ES" w:eastAsia="es-MX"/>
        </w:rPr>
      </w:pPr>
    </w:p>
    <w:p w14:paraId="6701BDFA" w14:textId="2DF84CBD" w:rsidR="00255F2B" w:rsidRPr="00C40BD1" w:rsidRDefault="00255F2B" w:rsidP="00220BD1">
      <w:pPr>
        <w:tabs>
          <w:tab w:val="left" w:pos="4962"/>
        </w:tabs>
        <w:spacing w:line="360" w:lineRule="auto"/>
        <w:ind w:left="567"/>
        <w:contextualSpacing/>
        <w:jc w:val="both"/>
        <w:rPr>
          <w:rFonts w:ascii="Palatino Linotype" w:eastAsia="Calibri" w:hAnsi="Palatino Linotype" w:cs="Tahoma"/>
          <w:sz w:val="22"/>
          <w:szCs w:val="22"/>
          <w:lang w:val="es-ES" w:eastAsia="es-MX"/>
        </w:rPr>
      </w:pPr>
      <w:r w:rsidRPr="00C40BD1">
        <w:rPr>
          <w:rFonts w:ascii="Palatino Linotype" w:eastAsia="Calibri" w:hAnsi="Palatino Linotype" w:cs="Tahoma"/>
          <w:sz w:val="22"/>
          <w:szCs w:val="22"/>
          <w:lang w:val="es-ES" w:eastAsia="es-MX"/>
        </w:rPr>
        <w:t>a) Transporte, instalación o mantenimiento de la estatua del “Señor del Nicho”.</w:t>
      </w:r>
    </w:p>
    <w:p w14:paraId="4A5847DC" w14:textId="77777777" w:rsidR="00255F2B" w:rsidRPr="00C40BD1" w:rsidRDefault="00255F2B" w:rsidP="00220BD1">
      <w:pPr>
        <w:tabs>
          <w:tab w:val="left" w:pos="4962"/>
        </w:tabs>
        <w:spacing w:line="360" w:lineRule="auto"/>
        <w:ind w:left="567"/>
        <w:contextualSpacing/>
        <w:jc w:val="both"/>
        <w:rPr>
          <w:rFonts w:ascii="Palatino Linotype" w:eastAsia="Calibri" w:hAnsi="Palatino Linotype" w:cs="Tahoma"/>
          <w:sz w:val="22"/>
          <w:szCs w:val="22"/>
          <w:lang w:val="es-ES" w:eastAsia="es-MX"/>
        </w:rPr>
      </w:pPr>
    </w:p>
    <w:p w14:paraId="2D45DADE" w14:textId="77777777" w:rsidR="00255F2B" w:rsidRPr="00C40BD1" w:rsidRDefault="00255F2B" w:rsidP="00220BD1">
      <w:pPr>
        <w:tabs>
          <w:tab w:val="left" w:pos="4962"/>
        </w:tabs>
        <w:spacing w:line="360" w:lineRule="auto"/>
        <w:ind w:left="567"/>
        <w:contextualSpacing/>
        <w:jc w:val="both"/>
        <w:rPr>
          <w:rFonts w:ascii="Palatino Linotype" w:eastAsia="Calibri" w:hAnsi="Palatino Linotype" w:cs="Tahoma"/>
          <w:sz w:val="22"/>
          <w:szCs w:val="22"/>
          <w:lang w:val="es-ES" w:eastAsia="es-MX"/>
        </w:rPr>
      </w:pPr>
      <w:r w:rsidRPr="00C40BD1">
        <w:rPr>
          <w:rFonts w:ascii="Palatino Linotype" w:eastAsia="Calibri" w:hAnsi="Palatino Linotype" w:cs="Tahoma"/>
          <w:sz w:val="22"/>
          <w:szCs w:val="22"/>
          <w:lang w:val="es-ES" w:eastAsia="es-MX"/>
        </w:rPr>
        <w:t xml:space="preserve"> b) Obras o apoyo al predio denominado “Centro Cultural del Señor del Nicho”. </w:t>
      </w:r>
    </w:p>
    <w:bookmarkEnd w:id="11"/>
    <w:p w14:paraId="403C0D6B" w14:textId="77777777" w:rsidR="00FA6D8B" w:rsidRPr="00C40BD1" w:rsidRDefault="00FA6D8B" w:rsidP="00220BD1">
      <w:pPr>
        <w:tabs>
          <w:tab w:val="left" w:pos="4962"/>
        </w:tabs>
        <w:spacing w:line="360" w:lineRule="auto"/>
        <w:contextualSpacing/>
        <w:jc w:val="both"/>
        <w:rPr>
          <w:rFonts w:ascii="Palatino Linotype" w:eastAsia="Calibri" w:hAnsi="Palatino Linotype" w:cs="Tahoma"/>
          <w:color w:val="FF0000"/>
          <w:sz w:val="22"/>
          <w:szCs w:val="22"/>
          <w:lang w:val="es-ES" w:eastAsia="es-MX"/>
        </w:rPr>
      </w:pPr>
    </w:p>
    <w:p w14:paraId="31834A77" w14:textId="5AAFC771" w:rsidR="00255F2B" w:rsidRPr="00C40BD1" w:rsidRDefault="00F93859" w:rsidP="00220BD1">
      <w:pPr>
        <w:pStyle w:val="NormalWeb"/>
        <w:spacing w:after="0" w:line="360" w:lineRule="auto"/>
        <w:ind w:right="-28"/>
        <w:rPr>
          <w:rFonts w:ascii="Palatino Linotype" w:hAnsi="Palatino Linotype" w:cs="Tahoma"/>
          <w:color w:val="FF0000"/>
          <w:sz w:val="22"/>
          <w:szCs w:val="22"/>
          <w:lang w:val="es-ES"/>
        </w:rPr>
      </w:pPr>
      <w:r w:rsidRPr="00C40BD1">
        <w:rPr>
          <w:rFonts w:ascii="Palatino Linotype" w:hAnsi="Palatino Linotype" w:cs="Tahoma"/>
          <w:bCs/>
          <w:iCs/>
          <w:color w:val="auto"/>
          <w:sz w:val="22"/>
          <w:szCs w:val="22"/>
          <w:lang w:val="es-ES"/>
        </w:rPr>
        <w:t>Ante la falta de respuesta del Ente Recurrido</w:t>
      </w:r>
      <w:r w:rsidR="005F4B24" w:rsidRPr="00C40BD1">
        <w:rPr>
          <w:rFonts w:ascii="Palatino Linotype" w:hAnsi="Palatino Linotype" w:cs="Tahoma"/>
          <w:bCs/>
          <w:iCs/>
          <w:color w:val="auto"/>
          <w:sz w:val="22"/>
          <w:szCs w:val="22"/>
          <w:lang w:val="es-ES"/>
        </w:rPr>
        <w:t xml:space="preserve">, </w:t>
      </w:r>
      <w:r w:rsidRPr="00C40BD1">
        <w:rPr>
          <w:rFonts w:ascii="Palatino Linotype" w:hAnsi="Palatino Linotype" w:cs="Tahoma"/>
          <w:bCs/>
          <w:iCs/>
          <w:color w:val="auto"/>
          <w:sz w:val="22"/>
          <w:szCs w:val="22"/>
          <w:lang w:val="es-ES"/>
        </w:rPr>
        <w:t>el Particular, justamente se inconformó</w:t>
      </w:r>
      <w:r w:rsidR="005F4B24" w:rsidRPr="00C40BD1">
        <w:rPr>
          <w:rFonts w:ascii="Palatino Linotype" w:hAnsi="Palatino Linotype" w:cs="Tahoma"/>
          <w:bCs/>
          <w:iCs/>
          <w:color w:val="auto"/>
          <w:sz w:val="22"/>
          <w:szCs w:val="22"/>
          <w:lang w:val="es-ES"/>
        </w:rPr>
        <w:t xml:space="preserve"> por la falta de entrega de la información</w:t>
      </w:r>
      <w:r w:rsidRPr="00C40BD1">
        <w:rPr>
          <w:rFonts w:ascii="Palatino Linotype" w:hAnsi="Palatino Linotype" w:cs="Tahoma"/>
          <w:bCs/>
          <w:iCs/>
          <w:color w:val="auto"/>
          <w:sz w:val="22"/>
          <w:szCs w:val="22"/>
          <w:lang w:val="es-ES"/>
        </w:rPr>
        <w:t>, lo cual se actualiza el supuesto previsto en el artículo 179, fracción VII, de la Ley de Transparencia y Acceso a la Información Pública del Estado de México y Municipios</w:t>
      </w:r>
      <w:r w:rsidRPr="00C40BD1">
        <w:rPr>
          <w:rFonts w:ascii="Palatino Linotype" w:hAnsi="Palatino Linotype" w:cs="Tahoma"/>
          <w:bCs/>
          <w:iCs/>
          <w:color w:val="auto"/>
          <w:sz w:val="22"/>
          <w:szCs w:val="22"/>
          <w:shd w:val="clear" w:color="auto" w:fill="FFFFFF"/>
        </w:rPr>
        <w:t xml:space="preserve">. </w:t>
      </w:r>
      <w:r w:rsidRPr="00C40BD1">
        <w:rPr>
          <w:rFonts w:ascii="Palatino Linotype" w:hAnsi="Palatino Linotype" w:cs="Tahoma"/>
          <w:color w:val="auto"/>
          <w:sz w:val="22"/>
          <w:szCs w:val="22"/>
          <w:lang w:val="es-ES"/>
        </w:rPr>
        <w:t>Así las cosas, una vez admitido y notificado el Recurso de Revisión a las partes</w:t>
      </w:r>
      <w:r w:rsidRPr="00C40BD1">
        <w:rPr>
          <w:rFonts w:ascii="Palatino Linotype" w:hAnsi="Palatino Linotype" w:cs="Tahoma"/>
          <w:bCs/>
          <w:iCs/>
          <w:color w:val="auto"/>
          <w:sz w:val="22"/>
          <w:szCs w:val="22"/>
          <w:lang w:val="es-ES"/>
        </w:rPr>
        <w:t xml:space="preserve">, </w:t>
      </w:r>
      <w:r w:rsidR="00F054B0" w:rsidRPr="00C40BD1">
        <w:rPr>
          <w:rFonts w:ascii="Palatino Linotype" w:hAnsi="Palatino Linotype" w:cs="Tahoma"/>
          <w:bCs/>
          <w:iCs/>
          <w:color w:val="auto"/>
          <w:sz w:val="22"/>
          <w:szCs w:val="22"/>
          <w:lang w:val="es-ES"/>
        </w:rPr>
        <w:t xml:space="preserve">el Sujeto Obligado </w:t>
      </w:r>
      <w:r w:rsidR="00255F2B" w:rsidRPr="00C40BD1">
        <w:rPr>
          <w:rFonts w:ascii="Palatino Linotype" w:hAnsi="Palatino Linotype" w:cs="Tahoma"/>
          <w:bCs/>
          <w:iCs/>
          <w:color w:val="auto"/>
          <w:sz w:val="22"/>
          <w:szCs w:val="22"/>
          <w:lang w:val="es-ES"/>
        </w:rPr>
        <w:t xml:space="preserve">a través de la Dirección de Administración y </w:t>
      </w:r>
      <w:r w:rsidR="0085552C" w:rsidRPr="00C40BD1">
        <w:rPr>
          <w:rFonts w:ascii="Palatino Linotype" w:hAnsi="Palatino Linotype" w:cs="Tahoma"/>
          <w:bCs/>
          <w:iCs/>
          <w:color w:val="auto"/>
          <w:sz w:val="22"/>
          <w:szCs w:val="22"/>
          <w:lang w:val="es-ES"/>
        </w:rPr>
        <w:t>Finanzas señalo</w:t>
      </w:r>
      <w:r w:rsidR="00255F2B" w:rsidRPr="00C40BD1">
        <w:rPr>
          <w:rFonts w:ascii="Palatino Linotype" w:hAnsi="Palatino Linotype" w:cs="Tahoma"/>
          <w:bCs/>
          <w:iCs/>
          <w:color w:val="auto"/>
          <w:sz w:val="22"/>
          <w:szCs w:val="22"/>
          <w:lang w:val="es-ES"/>
        </w:rPr>
        <w:t xml:space="preserve"> que </w:t>
      </w:r>
      <w:r w:rsidR="00255F2B" w:rsidRPr="00C40BD1">
        <w:rPr>
          <w:rFonts w:ascii="Palatino Linotype" w:hAnsi="Palatino Linotype" w:cs="Tahoma"/>
          <w:color w:val="auto"/>
          <w:sz w:val="22"/>
          <w:szCs w:val="22"/>
          <w:lang w:val="es-ES"/>
        </w:rPr>
        <w:t>después de realizada la búsqueda exhaustiva y minuciosa en los registros contables de la Dirección</w:t>
      </w:r>
      <w:r w:rsidR="0085552C" w:rsidRPr="00C40BD1">
        <w:rPr>
          <w:rFonts w:ascii="Palatino Linotype" w:hAnsi="Palatino Linotype" w:cs="Tahoma"/>
          <w:color w:val="auto"/>
          <w:sz w:val="22"/>
          <w:szCs w:val="22"/>
          <w:lang w:val="es-ES"/>
        </w:rPr>
        <w:t>, no se localizó información sobre recurso público, transporte, mantenimiento, obras o apoyo al predio denominado Centro Cultural Señor del Nicho, en consecuencia, no existe información pública que pueda ser proporcionada al respecto.</w:t>
      </w:r>
    </w:p>
    <w:bookmarkEnd w:id="10"/>
    <w:p w14:paraId="75F45B76" w14:textId="77777777" w:rsidR="00D46FC7" w:rsidRPr="00C40BD1" w:rsidRDefault="00D46FC7" w:rsidP="00220BD1">
      <w:pPr>
        <w:pStyle w:val="NormalWeb"/>
        <w:spacing w:after="0" w:line="360" w:lineRule="auto"/>
        <w:ind w:right="-28"/>
        <w:rPr>
          <w:rFonts w:ascii="Palatino Linotype" w:eastAsia="Calibri" w:hAnsi="Palatino Linotype" w:cs="Tahoma"/>
          <w:iCs/>
          <w:color w:val="FF0000"/>
          <w:sz w:val="22"/>
          <w:szCs w:val="22"/>
          <w:lang w:val="es-ES"/>
        </w:rPr>
      </w:pPr>
    </w:p>
    <w:p w14:paraId="0510944C" w14:textId="4DF9E7C9" w:rsidR="00F93859" w:rsidRPr="00C40BD1" w:rsidRDefault="00F93859" w:rsidP="00220BD1">
      <w:pPr>
        <w:tabs>
          <w:tab w:val="left" w:pos="4962"/>
        </w:tabs>
        <w:spacing w:line="360" w:lineRule="auto"/>
        <w:jc w:val="both"/>
        <w:rPr>
          <w:rFonts w:ascii="Palatino Linotype" w:eastAsia="Calibri" w:hAnsi="Palatino Linotype" w:cs="Tahoma"/>
          <w:bCs/>
          <w:sz w:val="22"/>
          <w:szCs w:val="22"/>
        </w:rPr>
      </w:pPr>
      <w:r w:rsidRPr="00C40BD1">
        <w:rPr>
          <w:rFonts w:ascii="Palatino Linotype" w:eastAsia="Calibri" w:hAnsi="Palatino Linotype" w:cs="Tahoma"/>
          <w:iCs/>
          <w:sz w:val="22"/>
          <w:szCs w:val="22"/>
          <w:lang w:val="es-ES" w:eastAsia="es-ES_tradnl"/>
        </w:rPr>
        <w:t>Lo anterior, se desprende de las documentales que obran en el expediente de referencia, materia de la presente resolución, consistente en: la solicitud de acceso a la información</w:t>
      </w:r>
      <w:r w:rsidR="00870678" w:rsidRPr="00C40BD1">
        <w:rPr>
          <w:rFonts w:ascii="Palatino Linotype" w:eastAsia="Calibri" w:hAnsi="Palatino Linotype" w:cs="Tahoma"/>
          <w:iCs/>
          <w:sz w:val="22"/>
          <w:szCs w:val="22"/>
          <w:lang w:val="es-ES" w:eastAsia="es-ES_tradnl"/>
        </w:rPr>
        <w:t xml:space="preserve">, </w:t>
      </w:r>
      <w:r w:rsidRPr="00C40BD1">
        <w:rPr>
          <w:rFonts w:ascii="Palatino Linotype" w:eastAsia="Calibri" w:hAnsi="Palatino Linotype" w:cs="Tahoma"/>
          <w:iCs/>
          <w:sz w:val="22"/>
          <w:szCs w:val="22"/>
          <w:lang w:eastAsia="es-ES_tradnl"/>
        </w:rPr>
        <w:t>el escrito recursal</w:t>
      </w:r>
      <w:r w:rsidR="00870678" w:rsidRPr="00C40BD1">
        <w:rPr>
          <w:rFonts w:ascii="Palatino Linotype" w:eastAsia="Calibri" w:hAnsi="Palatino Linotype" w:cs="Tahoma"/>
          <w:iCs/>
          <w:sz w:val="22"/>
          <w:szCs w:val="22"/>
          <w:lang w:eastAsia="es-ES_tradnl"/>
        </w:rPr>
        <w:t xml:space="preserve"> y el Informe Justificado</w:t>
      </w:r>
      <w:r w:rsidRPr="00C40BD1">
        <w:rPr>
          <w:rFonts w:ascii="Palatino Linotype" w:eastAsia="Calibri" w:hAnsi="Palatino Linotype" w:cs="Tahoma"/>
          <w:iCs/>
          <w:sz w:val="22"/>
          <w:szCs w:val="22"/>
          <w:lang w:eastAsia="es-ES_tradnl"/>
        </w:rPr>
        <w:t xml:space="preserve">; </w:t>
      </w:r>
      <w:r w:rsidRPr="00C40BD1">
        <w:rPr>
          <w:rFonts w:ascii="Palatino Linotype" w:eastAsia="Calibri" w:hAnsi="Palatino Linotype" w:cs="Tahoma"/>
          <w:bCs/>
          <w:sz w:val="22"/>
          <w:szCs w:val="22"/>
        </w:rPr>
        <w:t>instrumentales que se toman en cuenta a efecto de resolver el presente medio de impugnación, conforme a lo dispuesto por el artículo 185, fracción IV, de la Ley de Transparencia y Acceso a la Información Pública del Estado de México y Municipios.</w:t>
      </w:r>
    </w:p>
    <w:p w14:paraId="1F33EADC" w14:textId="77777777" w:rsidR="00BA5927" w:rsidRPr="00C40BD1" w:rsidRDefault="00BA5927" w:rsidP="00220BD1">
      <w:pPr>
        <w:tabs>
          <w:tab w:val="left" w:pos="4962"/>
        </w:tabs>
        <w:spacing w:line="360" w:lineRule="auto"/>
        <w:jc w:val="both"/>
        <w:rPr>
          <w:rFonts w:ascii="Palatino Linotype" w:eastAsia="Calibri" w:hAnsi="Palatino Linotype" w:cs="Tahoma"/>
          <w:bCs/>
          <w:sz w:val="22"/>
          <w:szCs w:val="22"/>
        </w:rPr>
      </w:pPr>
    </w:p>
    <w:p w14:paraId="2C4E6C77" w14:textId="77777777" w:rsidR="00F93859" w:rsidRPr="00C40BD1" w:rsidRDefault="00F93859" w:rsidP="00220BD1">
      <w:pPr>
        <w:pStyle w:val="Ttulo2"/>
        <w:jc w:val="both"/>
        <w:rPr>
          <w:color w:val="auto"/>
        </w:rPr>
      </w:pPr>
      <w:bookmarkStart w:id="12" w:name="_Toc221197394"/>
      <w:r w:rsidRPr="00C40BD1">
        <w:rPr>
          <w:color w:val="auto"/>
          <w:lang w:val="es-ES"/>
        </w:rPr>
        <w:t xml:space="preserve">CUARTO. </w:t>
      </w:r>
      <w:r w:rsidRPr="00C40BD1">
        <w:rPr>
          <w:color w:val="auto"/>
        </w:rPr>
        <w:t>Marco normativo aplicable en materia de transparencia y acceso a la información pública</w:t>
      </w:r>
      <w:bookmarkEnd w:id="12"/>
    </w:p>
    <w:p w14:paraId="46E96098" w14:textId="77777777" w:rsidR="00BA5927" w:rsidRPr="00C40BD1" w:rsidRDefault="00BA5927" w:rsidP="00220BD1">
      <w:pPr>
        <w:spacing w:line="360" w:lineRule="auto"/>
        <w:jc w:val="both"/>
        <w:rPr>
          <w:rFonts w:ascii="Palatino Linotype" w:hAnsi="Palatino Linotype" w:cs="Tahoma"/>
          <w:color w:val="FF0000"/>
          <w:sz w:val="22"/>
          <w:szCs w:val="22"/>
        </w:rPr>
      </w:pPr>
    </w:p>
    <w:p w14:paraId="6C744EA8" w14:textId="5A4C947D" w:rsidR="00BA5927" w:rsidRPr="00C40BD1" w:rsidRDefault="00BA5927" w:rsidP="00220BD1">
      <w:pPr>
        <w:spacing w:line="360" w:lineRule="auto"/>
        <w:jc w:val="both"/>
        <w:rPr>
          <w:rFonts w:ascii="Palatino Linotype" w:hAnsi="Palatino Linotype" w:cs="Tahoma"/>
          <w:sz w:val="22"/>
          <w:szCs w:val="22"/>
        </w:rPr>
      </w:pPr>
      <w:r w:rsidRPr="00C40BD1">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4FA864E" w14:textId="77777777" w:rsidR="00BA5927" w:rsidRPr="00C40BD1" w:rsidRDefault="00BA5927" w:rsidP="00220BD1">
      <w:pPr>
        <w:spacing w:line="360" w:lineRule="auto"/>
        <w:jc w:val="both"/>
        <w:rPr>
          <w:rFonts w:ascii="Palatino Linotype" w:hAnsi="Palatino Linotype" w:cs="Tahoma"/>
          <w:sz w:val="22"/>
          <w:szCs w:val="22"/>
        </w:rPr>
      </w:pPr>
    </w:p>
    <w:p w14:paraId="59FF412A" w14:textId="77777777" w:rsidR="00BA5927" w:rsidRPr="00C40BD1" w:rsidRDefault="00BA5927" w:rsidP="00220BD1">
      <w:pPr>
        <w:spacing w:line="360" w:lineRule="auto"/>
        <w:jc w:val="both"/>
        <w:rPr>
          <w:rFonts w:ascii="Palatino Linotype" w:hAnsi="Palatino Linotype" w:cs="Tahoma"/>
          <w:sz w:val="22"/>
          <w:szCs w:val="22"/>
        </w:rPr>
      </w:pPr>
      <w:r w:rsidRPr="00C40BD1">
        <w:rPr>
          <w:rFonts w:ascii="Palatino Linotype" w:hAnsi="Palatino Linotype" w:cs="Tahoma"/>
          <w:sz w:val="22"/>
          <w:szCs w:val="22"/>
        </w:rPr>
        <w:lastRenderedPageBreak/>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3073D880" w14:textId="77777777" w:rsidR="00BA5927" w:rsidRPr="00C40BD1" w:rsidRDefault="00BA5927" w:rsidP="00220BD1">
      <w:pPr>
        <w:spacing w:line="360" w:lineRule="auto"/>
        <w:jc w:val="both"/>
        <w:rPr>
          <w:rFonts w:ascii="Palatino Linotype" w:hAnsi="Palatino Linotype" w:cs="Tahoma"/>
          <w:sz w:val="22"/>
          <w:szCs w:val="22"/>
        </w:rPr>
      </w:pPr>
    </w:p>
    <w:p w14:paraId="67458415" w14:textId="77777777" w:rsidR="00BA5927" w:rsidRPr="00C40BD1" w:rsidRDefault="00BA5927" w:rsidP="00220BD1">
      <w:pPr>
        <w:spacing w:line="360" w:lineRule="auto"/>
        <w:jc w:val="both"/>
        <w:rPr>
          <w:rFonts w:ascii="Palatino Linotype" w:hAnsi="Palatino Linotype" w:cs="Tahoma"/>
          <w:sz w:val="22"/>
          <w:szCs w:val="22"/>
        </w:rPr>
      </w:pPr>
      <w:r w:rsidRPr="00C40BD1">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0E914CF" w14:textId="77777777" w:rsidR="00BA5927" w:rsidRPr="00C40BD1" w:rsidRDefault="00BA5927" w:rsidP="00220BD1">
      <w:pPr>
        <w:spacing w:line="360" w:lineRule="auto"/>
        <w:jc w:val="both"/>
        <w:rPr>
          <w:rFonts w:ascii="Palatino Linotype" w:hAnsi="Palatino Linotype" w:cs="Tahoma"/>
          <w:iCs/>
          <w:sz w:val="22"/>
          <w:szCs w:val="22"/>
        </w:rPr>
      </w:pPr>
    </w:p>
    <w:p w14:paraId="38D03AB7" w14:textId="77777777" w:rsidR="00BA5927" w:rsidRPr="00C40BD1" w:rsidRDefault="00BA5927" w:rsidP="00220BD1">
      <w:pPr>
        <w:spacing w:line="360" w:lineRule="auto"/>
        <w:jc w:val="both"/>
        <w:rPr>
          <w:rFonts w:ascii="Palatino Linotype" w:hAnsi="Palatino Linotype" w:cs="Tahoma"/>
          <w:iCs/>
          <w:sz w:val="22"/>
          <w:szCs w:val="22"/>
        </w:rPr>
      </w:pPr>
      <w:r w:rsidRPr="00C40BD1">
        <w:rPr>
          <w:rFonts w:ascii="Palatino Linotype" w:hAnsi="Palatino Linotype" w:cs="Tahoma"/>
          <w:iCs/>
          <w:sz w:val="22"/>
          <w:szCs w:val="22"/>
        </w:rPr>
        <w:t>En ese sentido, la Ley de Transparencia y Acceso a la Información Pública del Estado de México y Municipios (Reglamentaria del artículo 5° de la Constitución Local), establece lo siguiente:</w:t>
      </w:r>
    </w:p>
    <w:p w14:paraId="30C33E7D" w14:textId="77777777" w:rsidR="009C44AA" w:rsidRPr="00C40BD1" w:rsidRDefault="009C44AA" w:rsidP="00220BD1">
      <w:pPr>
        <w:spacing w:line="360" w:lineRule="auto"/>
        <w:jc w:val="both"/>
        <w:rPr>
          <w:rFonts w:ascii="Palatino Linotype" w:hAnsi="Palatino Linotype" w:cs="Tahoma"/>
          <w:iCs/>
          <w:sz w:val="22"/>
          <w:szCs w:val="22"/>
        </w:rPr>
      </w:pPr>
    </w:p>
    <w:p w14:paraId="666CD1C7" w14:textId="77777777" w:rsidR="00E716DD" w:rsidRPr="00C40BD1" w:rsidRDefault="00E716DD" w:rsidP="00220BD1">
      <w:pPr>
        <w:spacing w:line="360" w:lineRule="auto"/>
        <w:jc w:val="both"/>
        <w:rPr>
          <w:rFonts w:ascii="Palatino Linotype" w:hAnsi="Palatino Linotype" w:cs="Tahoma"/>
          <w:iCs/>
          <w:sz w:val="22"/>
          <w:szCs w:val="22"/>
        </w:rPr>
      </w:pPr>
      <w:r w:rsidRPr="00C40BD1">
        <w:rPr>
          <w:rFonts w:ascii="Palatino Linotype" w:hAnsi="Palatino Linotype" w:cs="Tahoma"/>
          <w:iCs/>
          <w:sz w:val="22"/>
          <w:szCs w:val="22"/>
        </w:rPr>
        <w:t>El artículo 12, que, quienes generen, recopilen, administren, manejen, procesen, archiven o conserven información pública serán responsables de la misma.</w:t>
      </w:r>
    </w:p>
    <w:p w14:paraId="3587C284" w14:textId="77777777" w:rsidR="00B06E23" w:rsidRPr="00C40BD1" w:rsidRDefault="00B06E23" w:rsidP="00220BD1">
      <w:pPr>
        <w:spacing w:line="360" w:lineRule="auto"/>
        <w:jc w:val="both"/>
        <w:rPr>
          <w:rFonts w:ascii="Palatino Linotype" w:hAnsi="Palatino Linotype" w:cs="Tahoma"/>
          <w:iCs/>
          <w:sz w:val="22"/>
          <w:szCs w:val="22"/>
        </w:rPr>
      </w:pPr>
    </w:p>
    <w:p w14:paraId="0338B81A" w14:textId="77777777" w:rsidR="00E716DD" w:rsidRPr="00C40BD1" w:rsidRDefault="00E716DD" w:rsidP="00220BD1">
      <w:pPr>
        <w:spacing w:line="360" w:lineRule="auto"/>
        <w:jc w:val="both"/>
        <w:rPr>
          <w:rFonts w:ascii="Palatino Linotype" w:hAnsi="Palatino Linotype" w:cs="Tahoma"/>
          <w:iCs/>
          <w:sz w:val="22"/>
          <w:szCs w:val="22"/>
        </w:rPr>
      </w:pPr>
      <w:r w:rsidRPr="00C40BD1">
        <w:rPr>
          <w:rFonts w:ascii="Palatino Linotype" w:hAnsi="Palatino Linotype" w:cs="Tahoma"/>
          <w:iCs/>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31FB63BC" w14:textId="77777777" w:rsidR="00E716DD" w:rsidRPr="00C40BD1" w:rsidRDefault="00E716DD" w:rsidP="00220BD1">
      <w:pPr>
        <w:spacing w:line="360" w:lineRule="auto"/>
        <w:jc w:val="both"/>
        <w:rPr>
          <w:rFonts w:ascii="Palatino Linotype" w:hAnsi="Palatino Linotype" w:cs="Tahoma"/>
          <w:iCs/>
          <w:sz w:val="22"/>
          <w:szCs w:val="22"/>
        </w:rPr>
      </w:pPr>
    </w:p>
    <w:p w14:paraId="142DF62C" w14:textId="77777777" w:rsidR="00E716DD" w:rsidRPr="00C40BD1" w:rsidRDefault="00E716DD" w:rsidP="00220BD1">
      <w:pPr>
        <w:spacing w:line="360" w:lineRule="auto"/>
        <w:jc w:val="both"/>
        <w:rPr>
          <w:rFonts w:ascii="Palatino Linotype" w:hAnsi="Palatino Linotype" w:cs="Tahoma"/>
          <w:iCs/>
          <w:sz w:val="22"/>
          <w:szCs w:val="22"/>
        </w:rPr>
      </w:pPr>
      <w:r w:rsidRPr="00C40BD1">
        <w:rPr>
          <w:rFonts w:ascii="Palatino Linotype" w:hAnsi="Palatino Linotype" w:cs="Tahoma"/>
          <w:iCs/>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249BC6B" w14:textId="77777777" w:rsidR="00E716DD" w:rsidRPr="00C40BD1" w:rsidRDefault="00E716DD" w:rsidP="00220BD1">
      <w:pPr>
        <w:spacing w:line="360" w:lineRule="auto"/>
        <w:jc w:val="both"/>
        <w:rPr>
          <w:rFonts w:ascii="Palatino Linotype" w:hAnsi="Palatino Linotype" w:cs="Tahoma"/>
          <w:iCs/>
          <w:sz w:val="22"/>
          <w:szCs w:val="22"/>
          <w:lang w:val="es-ES"/>
        </w:rPr>
      </w:pPr>
    </w:p>
    <w:p w14:paraId="21CE24D2" w14:textId="77777777" w:rsidR="00E716DD" w:rsidRPr="00C40BD1" w:rsidRDefault="00E716DD" w:rsidP="00220BD1">
      <w:pPr>
        <w:pStyle w:val="Ttulo2"/>
        <w:rPr>
          <w:color w:val="auto"/>
          <w:lang w:val="es-ES"/>
        </w:rPr>
      </w:pPr>
      <w:bookmarkStart w:id="13" w:name="_Toc221197395"/>
      <w:r w:rsidRPr="00C40BD1">
        <w:rPr>
          <w:color w:val="auto"/>
          <w:lang w:val="es-ES"/>
        </w:rPr>
        <w:lastRenderedPageBreak/>
        <w:t>QUINTO. Estudio de Fondo</w:t>
      </w:r>
      <w:bookmarkEnd w:id="13"/>
    </w:p>
    <w:p w14:paraId="7C675EDB" w14:textId="77777777" w:rsidR="00E716DD" w:rsidRPr="00C40BD1" w:rsidRDefault="00E716DD" w:rsidP="00220BD1">
      <w:pPr>
        <w:spacing w:line="360" w:lineRule="auto"/>
        <w:jc w:val="both"/>
        <w:rPr>
          <w:rFonts w:ascii="Palatino Linotype" w:hAnsi="Palatino Linotype" w:cs="Tahoma"/>
          <w:iCs/>
          <w:sz w:val="22"/>
          <w:szCs w:val="22"/>
          <w:lang w:val="es-ES"/>
        </w:rPr>
      </w:pPr>
    </w:p>
    <w:p w14:paraId="24AEFE35" w14:textId="19C3DB8F" w:rsidR="00E716DD" w:rsidRPr="00C40BD1" w:rsidRDefault="00E716DD" w:rsidP="00220BD1">
      <w:pPr>
        <w:spacing w:line="360" w:lineRule="auto"/>
        <w:jc w:val="both"/>
        <w:rPr>
          <w:rFonts w:ascii="Palatino Linotype" w:hAnsi="Palatino Linotype" w:cs="Tahoma"/>
          <w:iCs/>
          <w:sz w:val="22"/>
          <w:szCs w:val="22"/>
        </w:rPr>
      </w:pPr>
      <w:r w:rsidRPr="00C40BD1">
        <w:rPr>
          <w:rFonts w:ascii="Palatino Linotype" w:hAnsi="Palatino Linotype" w:cs="Tahoma"/>
          <w:iCs/>
          <w:sz w:val="22"/>
          <w:szCs w:val="22"/>
        </w:rPr>
        <w:t xml:space="preserve">Expuestas las posturas de las partes, se procede al análisis del agravio hecho valer por la persona Recurrente, concerniente a la falta de respuesta del </w:t>
      </w:r>
      <w:r w:rsidR="007E4295" w:rsidRPr="00C40BD1">
        <w:rPr>
          <w:rFonts w:ascii="Palatino Linotype" w:eastAsia="Calibri" w:hAnsi="Palatino Linotype" w:cs="Tahoma"/>
          <w:sz w:val="22"/>
          <w:szCs w:val="22"/>
          <w:lang w:eastAsia="en-US"/>
        </w:rPr>
        <w:t xml:space="preserve">Ayuntamiento de </w:t>
      </w:r>
      <w:r w:rsidR="00A909E4" w:rsidRPr="00C40BD1">
        <w:rPr>
          <w:rFonts w:ascii="Palatino Linotype" w:eastAsia="Calibri" w:hAnsi="Palatino Linotype" w:cs="Tahoma"/>
          <w:sz w:val="22"/>
          <w:szCs w:val="22"/>
          <w:lang w:eastAsia="en-US"/>
        </w:rPr>
        <w:t xml:space="preserve">Tepotzotlán </w:t>
      </w:r>
      <w:r w:rsidRPr="00C40BD1">
        <w:rPr>
          <w:rFonts w:ascii="Palatino Linotype" w:hAnsi="Palatino Linotype" w:cs="Tahoma"/>
          <w:iCs/>
          <w:sz w:val="22"/>
          <w:szCs w:val="22"/>
        </w:rPr>
        <w:t>a la solicitud de información.</w:t>
      </w:r>
    </w:p>
    <w:p w14:paraId="685AFA76" w14:textId="77777777" w:rsidR="00E716DD" w:rsidRPr="00C40BD1" w:rsidRDefault="00E716DD" w:rsidP="00220BD1">
      <w:pPr>
        <w:spacing w:line="360" w:lineRule="auto"/>
        <w:jc w:val="both"/>
        <w:rPr>
          <w:rFonts w:ascii="Palatino Linotype" w:hAnsi="Palatino Linotype" w:cs="Tahoma"/>
          <w:iCs/>
          <w:color w:val="FF0000"/>
          <w:sz w:val="22"/>
          <w:szCs w:val="22"/>
        </w:rPr>
      </w:pPr>
    </w:p>
    <w:p w14:paraId="05477E73" w14:textId="77777777" w:rsidR="00E716DD" w:rsidRPr="00C40BD1" w:rsidRDefault="00E716DD" w:rsidP="00220BD1">
      <w:pPr>
        <w:spacing w:line="360" w:lineRule="auto"/>
        <w:jc w:val="both"/>
        <w:rPr>
          <w:rFonts w:ascii="Palatino Linotype" w:hAnsi="Palatino Linotype" w:cs="Tahoma"/>
          <w:iCs/>
          <w:sz w:val="22"/>
          <w:szCs w:val="22"/>
        </w:rPr>
      </w:pPr>
      <w:r w:rsidRPr="00C40BD1">
        <w:rPr>
          <w:rFonts w:ascii="Palatino Linotype" w:hAnsi="Palatino Linotype" w:cs="Tahoma"/>
          <w:iCs/>
          <w:sz w:val="22"/>
          <w:szCs w:val="22"/>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22CAC5BD" w14:textId="77777777" w:rsidR="00E716DD" w:rsidRPr="00C40BD1" w:rsidRDefault="00E716DD" w:rsidP="00220BD1">
      <w:pPr>
        <w:spacing w:line="360" w:lineRule="auto"/>
        <w:jc w:val="both"/>
        <w:rPr>
          <w:rFonts w:ascii="Palatino Linotype" w:hAnsi="Palatino Linotype" w:cs="Tahoma"/>
          <w:iCs/>
          <w:sz w:val="22"/>
          <w:szCs w:val="22"/>
        </w:rPr>
      </w:pPr>
    </w:p>
    <w:p w14:paraId="5810B3D5" w14:textId="77777777" w:rsidR="00E716DD" w:rsidRPr="00C40BD1" w:rsidRDefault="00E716DD" w:rsidP="00220BD1">
      <w:pPr>
        <w:numPr>
          <w:ilvl w:val="0"/>
          <w:numId w:val="2"/>
        </w:numPr>
        <w:spacing w:line="360" w:lineRule="auto"/>
        <w:jc w:val="both"/>
        <w:rPr>
          <w:rFonts w:ascii="Palatino Linotype" w:hAnsi="Palatino Linotype" w:cs="Tahoma"/>
          <w:iCs/>
          <w:sz w:val="22"/>
          <w:szCs w:val="22"/>
        </w:rPr>
      </w:pPr>
      <w:r w:rsidRPr="00C40BD1">
        <w:rPr>
          <w:rFonts w:ascii="Palatino Linotype" w:hAnsi="Palatino Linotype" w:cs="Tahoma"/>
          <w:iCs/>
          <w:sz w:val="22"/>
          <w:szCs w:val="22"/>
        </w:rPr>
        <w:t>Proveer lo necesario para garantizar a toda persona el derecho de acceso a la información pública, a través de procedimientos sencillos, expeditos, oportunos y gratuitos;</w:t>
      </w:r>
    </w:p>
    <w:p w14:paraId="6A79A7E8" w14:textId="77777777" w:rsidR="003A796B" w:rsidRPr="00C40BD1" w:rsidRDefault="003A796B" w:rsidP="00220BD1">
      <w:pPr>
        <w:spacing w:line="360" w:lineRule="auto"/>
        <w:ind w:left="720"/>
        <w:jc w:val="both"/>
        <w:rPr>
          <w:rFonts w:ascii="Palatino Linotype" w:hAnsi="Palatino Linotype" w:cs="Tahoma"/>
          <w:iCs/>
          <w:sz w:val="22"/>
          <w:szCs w:val="22"/>
        </w:rPr>
      </w:pPr>
    </w:p>
    <w:p w14:paraId="27E57A7B" w14:textId="77777777" w:rsidR="00E716DD" w:rsidRPr="00C40BD1" w:rsidRDefault="00E716DD" w:rsidP="00220BD1">
      <w:pPr>
        <w:numPr>
          <w:ilvl w:val="0"/>
          <w:numId w:val="2"/>
        </w:numPr>
        <w:spacing w:line="360" w:lineRule="auto"/>
        <w:jc w:val="both"/>
        <w:rPr>
          <w:rFonts w:ascii="Palatino Linotype" w:hAnsi="Palatino Linotype" w:cs="Tahoma"/>
          <w:iCs/>
          <w:sz w:val="22"/>
          <w:szCs w:val="22"/>
        </w:rPr>
      </w:pPr>
      <w:r w:rsidRPr="00C40BD1">
        <w:rPr>
          <w:rFonts w:ascii="Palatino Linotype" w:hAnsi="Palatino Linotype" w:cs="Tahoma"/>
          <w:iCs/>
          <w:sz w:val="22"/>
          <w:szCs w:val="22"/>
        </w:rPr>
        <w:t>Transparentar la gestión pública, mediante la difusión de la información generada por los Sujetos Obligados, y</w:t>
      </w:r>
    </w:p>
    <w:p w14:paraId="36D4BC00" w14:textId="77777777" w:rsidR="003A796B" w:rsidRPr="00C40BD1" w:rsidRDefault="003A796B" w:rsidP="00220BD1">
      <w:pPr>
        <w:pStyle w:val="Prrafodelista"/>
        <w:spacing w:line="360" w:lineRule="auto"/>
        <w:rPr>
          <w:rFonts w:ascii="Palatino Linotype" w:hAnsi="Palatino Linotype" w:cs="Tahoma"/>
          <w:iCs/>
          <w:szCs w:val="22"/>
        </w:rPr>
      </w:pPr>
    </w:p>
    <w:p w14:paraId="5B30FD99" w14:textId="77777777" w:rsidR="00E716DD" w:rsidRPr="00C40BD1" w:rsidRDefault="00E716DD" w:rsidP="00220BD1">
      <w:pPr>
        <w:numPr>
          <w:ilvl w:val="0"/>
          <w:numId w:val="2"/>
        </w:numPr>
        <w:spacing w:line="360" w:lineRule="auto"/>
        <w:jc w:val="both"/>
        <w:rPr>
          <w:rFonts w:ascii="Palatino Linotype" w:hAnsi="Palatino Linotype" w:cs="Tahoma"/>
          <w:iCs/>
          <w:sz w:val="22"/>
          <w:szCs w:val="22"/>
        </w:rPr>
      </w:pPr>
      <w:r w:rsidRPr="00C40BD1">
        <w:rPr>
          <w:rFonts w:ascii="Palatino Linotype" w:hAnsi="Palatino Linotype" w:cs="Tahoma"/>
          <w:iCs/>
          <w:sz w:val="22"/>
          <w:szCs w:val="22"/>
        </w:rPr>
        <w:t>Promover, fomentar y difundir la cultura de la transparencia en el ejercicio de la función pública, el acceso a la información y la participación ciudadana, así como, la rendición de cuentas.</w:t>
      </w:r>
    </w:p>
    <w:p w14:paraId="017DAD94" w14:textId="77777777" w:rsidR="00E716DD" w:rsidRPr="00C40BD1" w:rsidRDefault="00E716DD" w:rsidP="00220BD1">
      <w:pPr>
        <w:spacing w:line="360" w:lineRule="auto"/>
        <w:jc w:val="both"/>
        <w:rPr>
          <w:rFonts w:ascii="Palatino Linotype" w:hAnsi="Palatino Linotype" w:cs="Tahoma"/>
          <w:iCs/>
          <w:sz w:val="22"/>
          <w:szCs w:val="22"/>
        </w:rPr>
      </w:pPr>
    </w:p>
    <w:p w14:paraId="4D78B5D2" w14:textId="77777777" w:rsidR="00E716DD" w:rsidRPr="00C40BD1" w:rsidRDefault="00E716DD" w:rsidP="00220BD1">
      <w:pPr>
        <w:spacing w:line="360" w:lineRule="auto"/>
        <w:jc w:val="both"/>
        <w:rPr>
          <w:rFonts w:ascii="Palatino Linotype" w:hAnsi="Palatino Linotype" w:cs="Tahoma"/>
          <w:iCs/>
          <w:sz w:val="22"/>
          <w:szCs w:val="22"/>
        </w:rPr>
      </w:pPr>
      <w:r w:rsidRPr="00C40BD1">
        <w:rPr>
          <w:rFonts w:ascii="Palatino Linotype" w:hAnsi="Palatino Linotype" w:cs="Tahoma"/>
          <w:iCs/>
          <w:sz w:val="22"/>
          <w:szCs w:val="22"/>
        </w:rPr>
        <w:t xml:space="preserve">Conforme a lo anterior, se deprende que los objetivos de la Ley de la materia,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w:t>
      </w:r>
      <w:r w:rsidRPr="00C40BD1">
        <w:rPr>
          <w:rFonts w:ascii="Palatino Linotype" w:hAnsi="Palatino Linotype" w:cs="Tahoma"/>
          <w:iCs/>
          <w:sz w:val="22"/>
          <w:szCs w:val="22"/>
        </w:rPr>
        <w:lastRenderedPageBreak/>
        <w:t>mecanismos que garanticen la publicidad de información oportuna, verificable, comprensible, actualizada y completa.</w:t>
      </w:r>
    </w:p>
    <w:p w14:paraId="2AE415D4" w14:textId="77777777" w:rsidR="00E716DD" w:rsidRPr="00C40BD1" w:rsidRDefault="00E716DD" w:rsidP="00220BD1">
      <w:pPr>
        <w:spacing w:line="360" w:lineRule="auto"/>
        <w:jc w:val="both"/>
        <w:rPr>
          <w:rFonts w:ascii="Palatino Linotype" w:hAnsi="Palatino Linotype" w:cs="Tahoma"/>
          <w:iCs/>
          <w:sz w:val="22"/>
          <w:szCs w:val="22"/>
        </w:rPr>
      </w:pPr>
    </w:p>
    <w:p w14:paraId="0B263179" w14:textId="77777777" w:rsidR="00E716DD" w:rsidRPr="00C40BD1" w:rsidRDefault="00E716DD" w:rsidP="00220BD1">
      <w:pPr>
        <w:spacing w:line="360" w:lineRule="auto"/>
        <w:jc w:val="both"/>
        <w:rPr>
          <w:rFonts w:ascii="Palatino Linotype" w:hAnsi="Palatino Linotype" w:cs="Tahoma"/>
          <w:iCs/>
          <w:sz w:val="22"/>
          <w:szCs w:val="22"/>
        </w:rPr>
      </w:pPr>
      <w:r w:rsidRPr="00C40BD1">
        <w:rPr>
          <w:rFonts w:ascii="Palatino Linotype" w:hAnsi="Palatino Linotype" w:cs="Tahoma"/>
          <w:iCs/>
          <w:sz w:val="22"/>
          <w:szCs w:val="22"/>
        </w:rPr>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53449F0F" w14:textId="77777777" w:rsidR="00E716DD" w:rsidRPr="00C40BD1" w:rsidRDefault="00E716DD" w:rsidP="00220BD1">
      <w:pPr>
        <w:spacing w:line="360" w:lineRule="auto"/>
        <w:jc w:val="both"/>
        <w:rPr>
          <w:rFonts w:ascii="Palatino Linotype" w:hAnsi="Palatino Linotype" w:cs="Tahoma"/>
          <w:iCs/>
          <w:sz w:val="22"/>
          <w:szCs w:val="22"/>
        </w:rPr>
      </w:pPr>
    </w:p>
    <w:p w14:paraId="0A96F3D2" w14:textId="77777777" w:rsidR="00E716DD" w:rsidRPr="00C40BD1" w:rsidRDefault="00E716DD" w:rsidP="00220BD1">
      <w:pPr>
        <w:spacing w:line="360" w:lineRule="auto"/>
        <w:jc w:val="both"/>
        <w:rPr>
          <w:rFonts w:ascii="Palatino Linotype" w:hAnsi="Palatino Linotype" w:cs="Tahoma"/>
          <w:iCs/>
          <w:sz w:val="22"/>
          <w:szCs w:val="22"/>
        </w:rPr>
      </w:pPr>
      <w:r w:rsidRPr="00C40BD1">
        <w:rPr>
          <w:rFonts w:ascii="Palatino Linotype" w:hAnsi="Palatino Linotype" w:cs="Tahoma"/>
          <w:iCs/>
          <w:sz w:val="22"/>
          <w:szCs w:val="22"/>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143619E8" w14:textId="77777777" w:rsidR="009A3007" w:rsidRPr="00C40BD1" w:rsidRDefault="009A3007" w:rsidP="00220BD1">
      <w:pPr>
        <w:spacing w:line="360" w:lineRule="auto"/>
        <w:jc w:val="both"/>
        <w:rPr>
          <w:rFonts w:ascii="Palatino Linotype" w:hAnsi="Palatino Linotype" w:cs="Tahoma"/>
          <w:iCs/>
          <w:sz w:val="22"/>
          <w:szCs w:val="22"/>
        </w:rPr>
      </w:pPr>
    </w:p>
    <w:p w14:paraId="167E06A5" w14:textId="77777777" w:rsidR="00E716DD" w:rsidRPr="00C40BD1" w:rsidRDefault="00E716DD" w:rsidP="00220BD1">
      <w:pPr>
        <w:numPr>
          <w:ilvl w:val="0"/>
          <w:numId w:val="3"/>
        </w:numPr>
        <w:spacing w:line="360" w:lineRule="auto"/>
        <w:jc w:val="both"/>
        <w:rPr>
          <w:rFonts w:ascii="Palatino Linotype" w:hAnsi="Palatino Linotype" w:cs="Tahoma"/>
          <w:iCs/>
          <w:sz w:val="22"/>
          <w:szCs w:val="22"/>
        </w:rPr>
      </w:pPr>
      <w:r w:rsidRPr="00C40BD1">
        <w:rPr>
          <w:rFonts w:ascii="Palatino Linotype" w:hAnsi="Palatino Linotype" w:cs="Tahoma"/>
          <w:iCs/>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2EF28D30" w14:textId="77777777" w:rsidR="00BA5927" w:rsidRPr="00C40BD1" w:rsidRDefault="00BA5927" w:rsidP="00220BD1">
      <w:pPr>
        <w:spacing w:line="360" w:lineRule="auto"/>
        <w:ind w:left="720"/>
        <w:jc w:val="both"/>
        <w:rPr>
          <w:rFonts w:ascii="Palatino Linotype" w:hAnsi="Palatino Linotype" w:cs="Tahoma"/>
          <w:iCs/>
          <w:sz w:val="22"/>
          <w:szCs w:val="22"/>
        </w:rPr>
      </w:pPr>
    </w:p>
    <w:p w14:paraId="37A816FA" w14:textId="16BEC6ED" w:rsidR="00E716DD" w:rsidRPr="00C40BD1" w:rsidRDefault="00E716DD" w:rsidP="00220BD1">
      <w:pPr>
        <w:numPr>
          <w:ilvl w:val="0"/>
          <w:numId w:val="3"/>
        </w:numPr>
        <w:spacing w:line="360" w:lineRule="auto"/>
        <w:jc w:val="both"/>
        <w:rPr>
          <w:rFonts w:ascii="Palatino Linotype" w:hAnsi="Palatino Linotype" w:cs="Tahoma"/>
          <w:iCs/>
          <w:sz w:val="22"/>
          <w:szCs w:val="22"/>
        </w:rPr>
      </w:pPr>
      <w:r w:rsidRPr="00C40BD1">
        <w:rPr>
          <w:rFonts w:ascii="Palatino Linotype" w:hAnsi="Palatino Linotype" w:cs="Tahoma"/>
          <w:iCs/>
          <w:sz w:val="22"/>
          <w:szCs w:val="22"/>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r w:rsidR="001A7D1C" w:rsidRPr="00C40BD1">
        <w:rPr>
          <w:rFonts w:ascii="Palatino Linotype" w:hAnsi="Palatino Linotype" w:cs="Tahoma"/>
          <w:iCs/>
          <w:sz w:val="22"/>
          <w:szCs w:val="22"/>
        </w:rPr>
        <w:t>;</w:t>
      </w:r>
    </w:p>
    <w:p w14:paraId="26759CEF" w14:textId="77777777" w:rsidR="00BA5927" w:rsidRPr="00C40BD1" w:rsidRDefault="00BA5927" w:rsidP="00220BD1">
      <w:pPr>
        <w:pStyle w:val="Prrafodelista"/>
        <w:spacing w:line="360" w:lineRule="auto"/>
        <w:rPr>
          <w:rFonts w:ascii="Palatino Linotype" w:hAnsi="Palatino Linotype" w:cs="Tahoma"/>
          <w:iCs/>
          <w:szCs w:val="22"/>
        </w:rPr>
      </w:pPr>
    </w:p>
    <w:p w14:paraId="29733BD8" w14:textId="48BAA504" w:rsidR="00E716DD" w:rsidRPr="00C40BD1" w:rsidRDefault="00BA5927" w:rsidP="00220BD1">
      <w:pPr>
        <w:numPr>
          <w:ilvl w:val="0"/>
          <w:numId w:val="3"/>
        </w:numPr>
        <w:spacing w:line="360" w:lineRule="auto"/>
        <w:jc w:val="both"/>
        <w:rPr>
          <w:rFonts w:ascii="Palatino Linotype" w:hAnsi="Palatino Linotype" w:cs="Tahoma"/>
          <w:iCs/>
          <w:sz w:val="22"/>
          <w:szCs w:val="22"/>
        </w:rPr>
      </w:pPr>
      <w:r w:rsidRPr="00C40BD1">
        <w:rPr>
          <w:rFonts w:ascii="Palatino Linotype" w:hAnsi="Palatino Linotype" w:cs="Tahoma"/>
          <w:iCs/>
          <w:sz w:val="22"/>
          <w:szCs w:val="22"/>
        </w:rPr>
        <w:lastRenderedPageBreak/>
        <w:t xml:space="preserve"> </w:t>
      </w:r>
      <w:r w:rsidR="00E716DD" w:rsidRPr="00C40BD1">
        <w:rPr>
          <w:rFonts w:ascii="Palatino Linotype" w:hAnsi="Palatino Linotype" w:cs="Tahoma"/>
          <w:iCs/>
          <w:sz w:val="22"/>
          <w:szCs w:val="22"/>
        </w:rPr>
        <w:t>Las respuestas a los requerimientos informativos deberán notificarse al interesado en el menor tiempo posible, que no podrá exceder quince días, contados a partir del día siguiente a la presentación de ésta. Excepcionalmente, el plazo referido podrá ampliarse por siete días hábiles más, cuando existan razones fundadas y motivadas, a través del Comité de Transparencia;</w:t>
      </w:r>
    </w:p>
    <w:p w14:paraId="65FA4B4C" w14:textId="77777777" w:rsidR="00BA5927" w:rsidRPr="00C40BD1" w:rsidRDefault="00BA5927" w:rsidP="00220BD1">
      <w:pPr>
        <w:pStyle w:val="Prrafodelista"/>
        <w:spacing w:line="360" w:lineRule="auto"/>
        <w:rPr>
          <w:rFonts w:ascii="Palatino Linotype" w:hAnsi="Palatino Linotype" w:cs="Tahoma"/>
          <w:iCs/>
          <w:szCs w:val="22"/>
        </w:rPr>
      </w:pPr>
    </w:p>
    <w:p w14:paraId="51C1EBAF" w14:textId="77777777" w:rsidR="00E716DD" w:rsidRPr="00C40BD1" w:rsidRDefault="00E716DD" w:rsidP="00220BD1">
      <w:pPr>
        <w:numPr>
          <w:ilvl w:val="0"/>
          <w:numId w:val="3"/>
        </w:numPr>
        <w:spacing w:line="360" w:lineRule="auto"/>
        <w:jc w:val="both"/>
        <w:rPr>
          <w:rFonts w:ascii="Palatino Linotype" w:hAnsi="Palatino Linotype" w:cs="Tahoma"/>
          <w:iCs/>
          <w:sz w:val="22"/>
          <w:szCs w:val="22"/>
        </w:rPr>
      </w:pPr>
      <w:r w:rsidRPr="00C40BD1">
        <w:rPr>
          <w:rFonts w:ascii="Palatino Linotype" w:hAnsi="Palatino Linotype" w:cs="Tahoma"/>
          <w:iCs/>
          <w:sz w:val="22"/>
          <w:szCs w:val="22"/>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35E5328C" w14:textId="77777777" w:rsidR="007935E5" w:rsidRPr="00C40BD1" w:rsidRDefault="007935E5" w:rsidP="00220BD1">
      <w:pPr>
        <w:spacing w:line="360" w:lineRule="auto"/>
        <w:rPr>
          <w:rFonts w:ascii="Palatino Linotype" w:hAnsi="Palatino Linotype" w:cs="Tahoma"/>
          <w:iCs/>
          <w:szCs w:val="22"/>
        </w:rPr>
      </w:pPr>
    </w:p>
    <w:p w14:paraId="76EF5205" w14:textId="2E3FA03E" w:rsidR="00E716DD" w:rsidRPr="00C40BD1" w:rsidRDefault="00E716DD" w:rsidP="00220BD1">
      <w:pPr>
        <w:numPr>
          <w:ilvl w:val="0"/>
          <w:numId w:val="3"/>
        </w:numPr>
        <w:spacing w:line="360" w:lineRule="auto"/>
        <w:jc w:val="both"/>
        <w:rPr>
          <w:rFonts w:ascii="Palatino Linotype" w:hAnsi="Palatino Linotype" w:cs="Tahoma"/>
          <w:iCs/>
          <w:sz w:val="22"/>
          <w:szCs w:val="22"/>
        </w:rPr>
      </w:pPr>
      <w:r w:rsidRPr="00C40BD1">
        <w:rPr>
          <w:rFonts w:ascii="Palatino Linotype" w:hAnsi="Palatino Linotype" w:cs="Tahoma"/>
          <w:iCs/>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44CC2E9D" w14:textId="77777777" w:rsidR="00BA5927" w:rsidRPr="00C40BD1" w:rsidRDefault="00BA5927" w:rsidP="00220BD1">
      <w:pPr>
        <w:pStyle w:val="Prrafodelista"/>
        <w:spacing w:line="360" w:lineRule="auto"/>
        <w:rPr>
          <w:rFonts w:ascii="Palatino Linotype" w:hAnsi="Palatino Linotype" w:cs="Tahoma"/>
          <w:iCs/>
          <w:szCs w:val="22"/>
        </w:rPr>
      </w:pPr>
    </w:p>
    <w:p w14:paraId="385CBACE" w14:textId="73CE4B51" w:rsidR="00E716DD" w:rsidRPr="00C40BD1" w:rsidRDefault="00E716DD" w:rsidP="00220BD1">
      <w:pPr>
        <w:numPr>
          <w:ilvl w:val="0"/>
          <w:numId w:val="3"/>
        </w:numPr>
        <w:spacing w:line="360" w:lineRule="auto"/>
        <w:jc w:val="both"/>
        <w:rPr>
          <w:rFonts w:ascii="Palatino Linotype" w:hAnsi="Palatino Linotype" w:cs="Tahoma"/>
          <w:iCs/>
          <w:sz w:val="22"/>
          <w:szCs w:val="22"/>
        </w:rPr>
      </w:pPr>
      <w:r w:rsidRPr="00C40BD1">
        <w:rPr>
          <w:rFonts w:ascii="Palatino Linotype" w:hAnsi="Palatino Linotype" w:cs="Tahoma"/>
          <w:iCs/>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587751CB" w14:textId="77777777" w:rsidR="00E716DD" w:rsidRPr="00C40BD1" w:rsidRDefault="00E716DD" w:rsidP="00220BD1">
      <w:pPr>
        <w:spacing w:line="360" w:lineRule="auto"/>
        <w:jc w:val="both"/>
        <w:rPr>
          <w:rFonts w:ascii="Palatino Linotype" w:hAnsi="Palatino Linotype" w:cs="Tahoma"/>
          <w:iCs/>
          <w:sz w:val="22"/>
          <w:szCs w:val="22"/>
        </w:rPr>
      </w:pPr>
    </w:p>
    <w:p w14:paraId="15391486" w14:textId="3D5E5BBC" w:rsidR="005A1E4C" w:rsidRPr="00C40BD1" w:rsidRDefault="00E716DD" w:rsidP="00220BD1">
      <w:pPr>
        <w:spacing w:line="360" w:lineRule="auto"/>
        <w:jc w:val="both"/>
        <w:rPr>
          <w:rFonts w:ascii="Palatino Linotype" w:hAnsi="Palatino Linotype" w:cs="Tahoma"/>
          <w:iCs/>
          <w:sz w:val="22"/>
          <w:szCs w:val="22"/>
        </w:rPr>
      </w:pPr>
      <w:r w:rsidRPr="00C40BD1">
        <w:rPr>
          <w:rFonts w:ascii="Palatino Linotype" w:hAnsi="Palatino Linotype" w:cs="Tahoma"/>
          <w:iCs/>
          <w:sz w:val="22"/>
          <w:szCs w:val="22"/>
        </w:rPr>
        <w:t>Una vez establecido lo anterior, es de indicar que el agravio del Particular consistió en que, a la fecha de interposición del Recurso de Revisión, el</w:t>
      </w:r>
      <w:r w:rsidR="009A3007" w:rsidRPr="00C40BD1">
        <w:rPr>
          <w:rFonts w:ascii="Palatino Linotype" w:eastAsia="Calibri" w:hAnsi="Palatino Linotype" w:cs="Tahoma"/>
          <w:sz w:val="22"/>
          <w:szCs w:val="22"/>
          <w:lang w:eastAsia="en-US"/>
        </w:rPr>
        <w:t xml:space="preserve"> </w:t>
      </w:r>
      <w:r w:rsidR="007E4295" w:rsidRPr="00C40BD1">
        <w:rPr>
          <w:rFonts w:ascii="Palatino Linotype" w:eastAsia="Calibri" w:hAnsi="Palatino Linotype" w:cs="Tahoma"/>
          <w:sz w:val="22"/>
          <w:szCs w:val="22"/>
          <w:lang w:eastAsia="en-US"/>
        </w:rPr>
        <w:t xml:space="preserve">Ayuntamiento de </w:t>
      </w:r>
      <w:r w:rsidR="00A909E4" w:rsidRPr="00C40BD1">
        <w:rPr>
          <w:rFonts w:ascii="Palatino Linotype" w:eastAsia="Calibri" w:hAnsi="Palatino Linotype" w:cs="Tahoma"/>
          <w:sz w:val="22"/>
          <w:szCs w:val="22"/>
          <w:lang w:eastAsia="en-US"/>
        </w:rPr>
        <w:t>Tepotzotlán</w:t>
      </w:r>
      <w:r w:rsidRPr="00C40BD1">
        <w:rPr>
          <w:rFonts w:ascii="Palatino Linotype" w:hAnsi="Palatino Linotype" w:cs="Tahoma"/>
          <w:iCs/>
          <w:sz w:val="22"/>
          <w:szCs w:val="22"/>
        </w:rPr>
        <w:t xml:space="preserve">, no había </w:t>
      </w:r>
      <w:r w:rsidRPr="00C40BD1">
        <w:rPr>
          <w:rFonts w:ascii="Palatino Linotype" w:hAnsi="Palatino Linotype" w:cs="Tahoma"/>
          <w:iCs/>
          <w:sz w:val="22"/>
          <w:szCs w:val="22"/>
        </w:rPr>
        <w:lastRenderedPageBreak/>
        <w:t>registrado respuesta al requerimiento de acceso a la información, el cual se</w:t>
      </w:r>
      <w:r w:rsidR="00A909E4" w:rsidRPr="00C40BD1">
        <w:rPr>
          <w:rFonts w:ascii="Palatino Linotype" w:hAnsi="Palatino Linotype" w:cs="Tahoma"/>
          <w:iCs/>
          <w:sz w:val="22"/>
          <w:szCs w:val="22"/>
        </w:rPr>
        <w:t xml:space="preserve"> tuvo por presentado el veinticuatro de noviembre de dos mil veinticinco.  </w:t>
      </w:r>
    </w:p>
    <w:p w14:paraId="5D7A501D" w14:textId="77777777" w:rsidR="00BA5927" w:rsidRPr="00C40BD1" w:rsidRDefault="00BA5927" w:rsidP="00220BD1">
      <w:pPr>
        <w:spacing w:line="360" w:lineRule="auto"/>
        <w:jc w:val="both"/>
        <w:rPr>
          <w:rFonts w:ascii="Palatino Linotype" w:hAnsi="Palatino Linotype" w:cs="Tahoma"/>
          <w:iCs/>
          <w:sz w:val="22"/>
          <w:szCs w:val="22"/>
        </w:rPr>
      </w:pPr>
    </w:p>
    <w:p w14:paraId="24C19C3E" w14:textId="2A93B5B0" w:rsidR="00E716DD" w:rsidRPr="00C40BD1" w:rsidRDefault="00E716DD" w:rsidP="00220BD1">
      <w:pPr>
        <w:spacing w:line="360" w:lineRule="auto"/>
        <w:jc w:val="both"/>
        <w:rPr>
          <w:rFonts w:ascii="Palatino Linotype" w:hAnsi="Palatino Linotype" w:cs="Tahoma"/>
          <w:iCs/>
          <w:sz w:val="22"/>
          <w:szCs w:val="22"/>
        </w:rPr>
      </w:pPr>
      <w:r w:rsidRPr="00C40BD1">
        <w:rPr>
          <w:rFonts w:ascii="Palatino Linotype" w:hAnsi="Palatino Linotype" w:cs="Tahoma"/>
          <w:iCs/>
          <w:sz w:val="22"/>
          <w:szCs w:val="22"/>
        </w:rPr>
        <w:t xml:space="preserve">En ese orden de ideas, el plazo con el que contaba el Sujeto Obligado para emitir contestación al requerimiento </w:t>
      </w:r>
      <w:r w:rsidR="006D2B83" w:rsidRPr="00C40BD1">
        <w:rPr>
          <w:rFonts w:ascii="Palatino Linotype" w:hAnsi="Palatino Linotype" w:cs="Tahoma"/>
          <w:iCs/>
          <w:sz w:val="22"/>
          <w:szCs w:val="22"/>
        </w:rPr>
        <w:t>informativo</w:t>
      </w:r>
      <w:r w:rsidRPr="00C40BD1">
        <w:rPr>
          <w:rFonts w:ascii="Palatino Linotype" w:hAnsi="Palatino Linotype" w:cs="Tahoma"/>
          <w:iCs/>
          <w:sz w:val="22"/>
          <w:szCs w:val="22"/>
        </w:rPr>
        <w:t xml:space="preserve"> comenzó a correr el</w:t>
      </w:r>
      <w:r w:rsidR="00AF6B59" w:rsidRPr="00C40BD1">
        <w:rPr>
          <w:rFonts w:ascii="Palatino Linotype" w:hAnsi="Palatino Linotype" w:cs="Tahoma"/>
          <w:iCs/>
          <w:sz w:val="22"/>
          <w:szCs w:val="22"/>
        </w:rPr>
        <w:t xml:space="preserve"> veinticinco de noviembre y feneció el quince de diciembre de dos mil veinticinco</w:t>
      </w:r>
      <w:r w:rsidRPr="00C40BD1">
        <w:rPr>
          <w:rFonts w:ascii="Palatino Linotype" w:hAnsi="Palatino Linotype" w:cs="Tahoma"/>
          <w:iCs/>
          <w:sz w:val="22"/>
          <w:szCs w:val="22"/>
        </w:rPr>
        <w:t>; lo anterior, sin contar los días</w:t>
      </w:r>
      <w:r w:rsidR="00AF6B59" w:rsidRPr="00C40BD1">
        <w:rPr>
          <w:rFonts w:ascii="Palatino Linotype" w:hAnsi="Palatino Linotype" w:cs="Tahoma"/>
          <w:iCs/>
          <w:sz w:val="22"/>
          <w:szCs w:val="22"/>
        </w:rPr>
        <w:t xml:space="preserve"> veintinueve y treinta de noviembre, así como los días seis, siete, trece y catorce de diciembre de dos mil veinticinco</w:t>
      </w:r>
      <w:r w:rsidRPr="00C40BD1">
        <w:rPr>
          <w:rFonts w:ascii="Palatino Linotype" w:hAnsi="Palatino Linotype" w:cs="Tahoma"/>
          <w:iCs/>
          <w:sz w:val="22"/>
          <w:szCs w:val="22"/>
        </w:rPr>
        <w:t xml:space="preserve">, de conformidad con </w:t>
      </w:r>
      <w:r w:rsidR="002464DA" w:rsidRPr="00C40BD1">
        <w:rPr>
          <w:rFonts w:ascii="Palatino Linotype" w:hAnsi="Palatino Linotype" w:cs="Tahoma"/>
          <w:iCs/>
          <w:sz w:val="22"/>
          <w:szCs w:val="22"/>
        </w:rPr>
        <w:t>los</w:t>
      </w:r>
      <w:r w:rsidR="009C44AA" w:rsidRPr="00C40BD1">
        <w:rPr>
          <w:rFonts w:ascii="Palatino Linotype" w:hAnsi="Palatino Linotype" w:cs="Tahoma"/>
          <w:iCs/>
          <w:sz w:val="22"/>
          <w:szCs w:val="22"/>
        </w:rPr>
        <w:t xml:space="preserve"> artículo,</w:t>
      </w:r>
      <w:r w:rsidRPr="00C40BD1">
        <w:rPr>
          <w:rFonts w:ascii="Palatino Linotype" w:hAnsi="Palatino Linotype" w:cs="Tahoma"/>
          <w:iCs/>
          <w:sz w:val="22"/>
          <w:szCs w:val="22"/>
        </w:rPr>
        <w:t xml:space="preserve"> 3°, fracción X</w:t>
      </w:r>
      <w:r w:rsidR="002464DA" w:rsidRPr="00C40BD1">
        <w:rPr>
          <w:rFonts w:ascii="Palatino Linotype" w:hAnsi="Palatino Linotype" w:cs="Tahoma"/>
          <w:iCs/>
          <w:sz w:val="22"/>
          <w:szCs w:val="22"/>
        </w:rPr>
        <w:t xml:space="preserve"> y 159</w:t>
      </w:r>
      <w:r w:rsidR="009C44AA" w:rsidRPr="00C40BD1">
        <w:rPr>
          <w:rFonts w:ascii="Palatino Linotype" w:hAnsi="Palatino Linotype" w:cs="Tahoma"/>
          <w:iCs/>
          <w:sz w:val="22"/>
          <w:szCs w:val="22"/>
        </w:rPr>
        <w:t xml:space="preserve">, </w:t>
      </w:r>
      <w:r w:rsidRPr="00C40BD1">
        <w:rPr>
          <w:rFonts w:ascii="Palatino Linotype" w:hAnsi="Palatino Linotype" w:cs="Tahoma"/>
          <w:iCs/>
          <w:sz w:val="22"/>
          <w:szCs w:val="22"/>
        </w:rPr>
        <w:t xml:space="preserve">de la Ley de Transparencia y Acceso a la Información Pública del Estado de México y Municipios y </w:t>
      </w:r>
      <w:bookmarkStart w:id="14" w:name="_Hlk65786947"/>
      <w:r w:rsidRPr="00C40BD1">
        <w:rPr>
          <w:rFonts w:ascii="Palatino Linotype" w:hAnsi="Palatino Linotype" w:cs="Tahoma"/>
          <w:iCs/>
          <w:sz w:val="22"/>
          <w:szCs w:val="22"/>
        </w:rPr>
        <w:t xml:space="preserve">el </w:t>
      </w:r>
      <w:r w:rsidRPr="00C40BD1">
        <w:rPr>
          <w:rFonts w:ascii="Palatino Linotype" w:hAnsi="Palatino Linotype" w:cs="Tahoma"/>
          <w:iCs/>
          <w:sz w:val="22"/>
          <w:szCs w:val="22"/>
          <w:lang w:val="es-ES"/>
        </w:rPr>
        <w:t xml:space="preserve">Calendario Oficial en Materia de Transparencia, Acceso a la Información Pública y Protección de Datos Personales del Estado de México y Municipios, así como de laborales </w:t>
      </w:r>
      <w:r w:rsidR="00FA3058" w:rsidRPr="00C40BD1">
        <w:rPr>
          <w:rFonts w:ascii="Palatino Linotype" w:hAnsi="Palatino Linotype" w:cs="Tahoma"/>
          <w:iCs/>
          <w:sz w:val="22"/>
          <w:szCs w:val="22"/>
          <w:lang w:val="es-ES"/>
        </w:rPr>
        <w:t>de este Instituto, para el año</w:t>
      </w:r>
      <w:r w:rsidRPr="00C40BD1">
        <w:rPr>
          <w:rFonts w:ascii="Palatino Linotype" w:hAnsi="Palatino Linotype" w:cs="Tahoma"/>
          <w:iCs/>
          <w:sz w:val="22"/>
          <w:szCs w:val="22"/>
          <w:lang w:val="es-ES"/>
        </w:rPr>
        <w:t xml:space="preserve"> dos mil veinticinco.</w:t>
      </w:r>
    </w:p>
    <w:bookmarkEnd w:id="14"/>
    <w:p w14:paraId="3293CCFE" w14:textId="6D9F1832" w:rsidR="00E716DD" w:rsidRPr="00C40BD1" w:rsidRDefault="00E716DD" w:rsidP="00220BD1">
      <w:pPr>
        <w:spacing w:line="360" w:lineRule="auto"/>
        <w:jc w:val="both"/>
        <w:rPr>
          <w:rFonts w:ascii="Palatino Linotype" w:hAnsi="Palatino Linotype" w:cs="Tahoma"/>
          <w:iCs/>
          <w:color w:val="FF0000"/>
          <w:sz w:val="22"/>
          <w:szCs w:val="22"/>
        </w:rPr>
      </w:pPr>
    </w:p>
    <w:p w14:paraId="6B2BF746" w14:textId="0E72C9E6" w:rsidR="00E716DD" w:rsidRPr="00C40BD1" w:rsidRDefault="00E716DD" w:rsidP="00220BD1">
      <w:pPr>
        <w:spacing w:line="360" w:lineRule="auto"/>
        <w:jc w:val="both"/>
        <w:rPr>
          <w:rFonts w:ascii="Palatino Linotype" w:hAnsi="Palatino Linotype" w:cs="Tahoma"/>
          <w:iCs/>
          <w:sz w:val="22"/>
          <w:szCs w:val="22"/>
          <w:lang w:val="es-ES"/>
        </w:rPr>
      </w:pPr>
      <w:r w:rsidRPr="00C40BD1">
        <w:rPr>
          <w:rFonts w:ascii="Palatino Linotype" w:hAnsi="Palatino Linotype" w:cs="Tahoma"/>
          <w:iCs/>
          <w:sz w:val="22"/>
          <w:szCs w:val="22"/>
        </w:rPr>
        <w:t xml:space="preserve">Así, este Instituto verificó que, en efecto, no se registró respuesta a la solicitud de información de la persona Recurrente, en el </w:t>
      </w:r>
      <w:r w:rsidRPr="00C40BD1">
        <w:rPr>
          <w:rFonts w:ascii="Palatino Linotype" w:hAnsi="Palatino Linotype" w:cs="Tahoma"/>
          <w:iCs/>
          <w:sz w:val="22"/>
          <w:szCs w:val="22"/>
          <w:lang w:val="es-ES"/>
        </w:rPr>
        <w:t>Sistema de Acceso a la Información Mexiquense (SAIMEX), tal como se observa a continuación:</w:t>
      </w:r>
    </w:p>
    <w:p w14:paraId="2F1BCF65" w14:textId="77777777" w:rsidR="00AF6B59" w:rsidRPr="00C40BD1" w:rsidRDefault="00AF6B59" w:rsidP="00220BD1">
      <w:pPr>
        <w:spacing w:line="360" w:lineRule="auto"/>
        <w:jc w:val="both"/>
        <w:rPr>
          <w:rFonts w:ascii="Palatino Linotype" w:hAnsi="Palatino Linotype" w:cs="Tahoma"/>
          <w:iCs/>
          <w:sz w:val="22"/>
          <w:szCs w:val="22"/>
          <w:lang w:val="es-ES"/>
        </w:rPr>
      </w:pPr>
    </w:p>
    <w:p w14:paraId="618AFCB0" w14:textId="02C75027" w:rsidR="00B07AC2" w:rsidRPr="00C40BD1" w:rsidRDefault="00AF6B59" w:rsidP="00220BD1">
      <w:pPr>
        <w:spacing w:line="360" w:lineRule="auto"/>
        <w:jc w:val="center"/>
        <w:rPr>
          <w:rFonts w:ascii="Palatino Linotype" w:hAnsi="Palatino Linotype" w:cs="Tahoma"/>
          <w:iCs/>
          <w:color w:val="FF0000"/>
          <w:sz w:val="22"/>
          <w:szCs w:val="22"/>
          <w:lang w:val="es-ES"/>
        </w:rPr>
      </w:pPr>
      <w:r w:rsidRPr="00C40BD1">
        <w:rPr>
          <w:rFonts w:ascii="Palatino Linotype" w:hAnsi="Palatino Linotype" w:cs="Tahoma"/>
          <w:iCs/>
          <w:noProof/>
          <w:color w:val="FF0000"/>
          <w:sz w:val="22"/>
          <w:szCs w:val="22"/>
          <w:lang w:eastAsia="es-MX"/>
        </w:rPr>
        <w:drawing>
          <wp:inline distT="0" distB="0" distL="0" distR="0" wp14:anchorId="76ABB9CC" wp14:editId="559EEBD2">
            <wp:extent cx="3926205" cy="1304925"/>
            <wp:effectExtent l="0" t="0" r="0" b="9525"/>
            <wp:docPr id="1004572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6205" cy="1304925"/>
                    </a:xfrm>
                    <a:prstGeom prst="rect">
                      <a:avLst/>
                    </a:prstGeom>
                    <a:noFill/>
                  </pic:spPr>
                </pic:pic>
              </a:graphicData>
            </a:graphic>
          </wp:inline>
        </w:drawing>
      </w:r>
    </w:p>
    <w:p w14:paraId="34DB6895" w14:textId="77777777" w:rsidR="0025792D" w:rsidRPr="00C40BD1" w:rsidRDefault="0025792D" w:rsidP="00220BD1">
      <w:pPr>
        <w:spacing w:line="360" w:lineRule="auto"/>
        <w:jc w:val="center"/>
        <w:rPr>
          <w:rFonts w:ascii="Palatino Linotype" w:hAnsi="Palatino Linotype" w:cs="Tahoma"/>
          <w:iCs/>
          <w:color w:val="FF0000"/>
          <w:sz w:val="22"/>
          <w:szCs w:val="22"/>
          <w:lang w:val="es-ES"/>
        </w:rPr>
      </w:pPr>
    </w:p>
    <w:p w14:paraId="689A8383" w14:textId="61026C12" w:rsidR="009C787D" w:rsidRPr="00C40BD1" w:rsidRDefault="00E716DD" w:rsidP="00220BD1">
      <w:pPr>
        <w:tabs>
          <w:tab w:val="left" w:pos="4962"/>
        </w:tabs>
        <w:spacing w:line="360" w:lineRule="auto"/>
        <w:jc w:val="both"/>
        <w:rPr>
          <w:rFonts w:ascii="Palatino Linotype" w:eastAsia="Calibri" w:hAnsi="Palatino Linotype" w:cs="Tahoma"/>
          <w:sz w:val="22"/>
          <w:szCs w:val="22"/>
          <w:lang w:eastAsia="en-US"/>
        </w:rPr>
      </w:pPr>
      <w:r w:rsidRPr="00C40BD1">
        <w:rPr>
          <w:rFonts w:ascii="Palatino Linotype" w:hAnsi="Palatino Linotype" w:cs="Tahoma"/>
          <w:iCs/>
          <w:sz w:val="22"/>
          <w:szCs w:val="22"/>
        </w:rPr>
        <w:t>Conforme a lo anterior, se colige que, tal como lo precisó la persona Recurrente, el</w:t>
      </w:r>
      <w:r w:rsidR="00E932E9" w:rsidRPr="00C40BD1">
        <w:rPr>
          <w:rFonts w:ascii="Palatino Linotype" w:eastAsia="Calibri" w:hAnsi="Palatino Linotype" w:cs="Tahoma"/>
          <w:sz w:val="22"/>
          <w:szCs w:val="22"/>
          <w:lang w:eastAsia="en-US"/>
        </w:rPr>
        <w:t xml:space="preserve"> </w:t>
      </w:r>
      <w:r w:rsidR="007E4295" w:rsidRPr="00C40BD1">
        <w:rPr>
          <w:rFonts w:ascii="Palatino Linotype" w:eastAsia="Calibri" w:hAnsi="Palatino Linotype" w:cs="Tahoma"/>
          <w:sz w:val="22"/>
          <w:szCs w:val="22"/>
          <w:lang w:eastAsia="en-US"/>
        </w:rPr>
        <w:t xml:space="preserve">Ayuntamiento de </w:t>
      </w:r>
      <w:r w:rsidR="0025792D" w:rsidRPr="00C40BD1">
        <w:rPr>
          <w:rFonts w:ascii="Palatino Linotype" w:eastAsia="Calibri" w:hAnsi="Palatino Linotype" w:cs="Tahoma"/>
          <w:sz w:val="22"/>
          <w:szCs w:val="22"/>
          <w:lang w:eastAsia="en-US"/>
        </w:rPr>
        <w:t>Tepotzotlán</w:t>
      </w:r>
      <w:r w:rsidRPr="00C40BD1">
        <w:rPr>
          <w:rFonts w:ascii="Palatino Linotype" w:hAnsi="Palatino Linotype" w:cs="Tahoma"/>
          <w:iCs/>
          <w:sz w:val="22"/>
          <w:szCs w:val="22"/>
        </w:rPr>
        <w:t xml:space="preserve">, no emitió respuesta para dar contestación a la solicitud de acceso a la información pública, dentro de los plazos establecidos en el artículo 163, de la Ley de Transparencia y Acceso a la Información Pública del Estado de México y Municipios, pues </w:t>
      </w:r>
      <w:r w:rsidRPr="00C40BD1">
        <w:rPr>
          <w:rFonts w:ascii="Palatino Linotype" w:hAnsi="Palatino Linotype" w:cs="Tahoma"/>
          <w:iCs/>
          <w:sz w:val="22"/>
          <w:szCs w:val="22"/>
        </w:rPr>
        <w:lastRenderedPageBreak/>
        <w:t xml:space="preserve">tenía hasta el </w:t>
      </w:r>
      <w:r w:rsidR="0025792D" w:rsidRPr="00C40BD1">
        <w:rPr>
          <w:rFonts w:ascii="Palatino Linotype" w:hAnsi="Palatino Linotype" w:cs="Tahoma"/>
          <w:iCs/>
          <w:sz w:val="22"/>
          <w:szCs w:val="22"/>
        </w:rPr>
        <w:t xml:space="preserve">quince de diciembre </w:t>
      </w:r>
      <w:r w:rsidRPr="00C40BD1">
        <w:rPr>
          <w:rFonts w:ascii="Palatino Linotype" w:hAnsi="Palatino Linotype" w:cs="Tahoma"/>
          <w:iCs/>
          <w:sz w:val="22"/>
          <w:szCs w:val="22"/>
        </w:rPr>
        <w:t>de dos mil veintic</w:t>
      </w:r>
      <w:r w:rsidR="00F90CB9" w:rsidRPr="00C40BD1">
        <w:rPr>
          <w:rFonts w:ascii="Palatino Linotype" w:hAnsi="Palatino Linotype" w:cs="Tahoma"/>
          <w:iCs/>
          <w:sz w:val="22"/>
          <w:szCs w:val="22"/>
        </w:rPr>
        <w:t>inco</w:t>
      </w:r>
      <w:r w:rsidRPr="00C40BD1">
        <w:rPr>
          <w:rFonts w:ascii="Palatino Linotype" w:hAnsi="Palatino Linotype" w:cs="Tahoma"/>
          <w:iCs/>
          <w:sz w:val="22"/>
          <w:szCs w:val="22"/>
        </w:rPr>
        <w:t xml:space="preserve">, para realizar dicha situación, por lo que es evidente que el agravio es </w:t>
      </w:r>
      <w:r w:rsidRPr="00C40BD1">
        <w:rPr>
          <w:rFonts w:ascii="Palatino Linotype" w:hAnsi="Palatino Linotype" w:cs="Tahoma"/>
          <w:b/>
          <w:bCs/>
          <w:iCs/>
          <w:sz w:val="22"/>
          <w:szCs w:val="22"/>
        </w:rPr>
        <w:t>FUNDADO</w:t>
      </w:r>
      <w:r w:rsidRPr="00C40BD1">
        <w:rPr>
          <w:rFonts w:ascii="Palatino Linotype" w:hAnsi="Palatino Linotype" w:cs="Tahoma"/>
          <w:iCs/>
          <w:sz w:val="22"/>
          <w:szCs w:val="22"/>
        </w:rPr>
        <w:t xml:space="preserve">. </w:t>
      </w:r>
      <w:r w:rsidR="009C787D" w:rsidRPr="00C40BD1">
        <w:rPr>
          <w:rFonts w:ascii="Palatino Linotype" w:eastAsia="Calibri" w:hAnsi="Palatino Linotype" w:cs="Tahoma"/>
          <w:sz w:val="22"/>
        </w:rPr>
        <w:t>No obstante, durante la substanciación del Medio de Impugnación, el Ente Recurrido emitió contestación, por lo que se procede a su análisis, para lo cual es necesario contextualizar la solicitud de información.</w:t>
      </w:r>
    </w:p>
    <w:p w14:paraId="60597650" w14:textId="77777777" w:rsidR="00161F76" w:rsidRPr="00C40BD1" w:rsidRDefault="00161F76" w:rsidP="00220BD1">
      <w:pPr>
        <w:tabs>
          <w:tab w:val="left" w:pos="4962"/>
        </w:tabs>
        <w:spacing w:line="360" w:lineRule="auto"/>
        <w:jc w:val="both"/>
        <w:rPr>
          <w:rFonts w:ascii="Palatino Linotype" w:eastAsia="Calibri" w:hAnsi="Palatino Linotype" w:cs="Tahoma"/>
          <w:color w:val="FF0000"/>
          <w:sz w:val="22"/>
        </w:rPr>
      </w:pPr>
    </w:p>
    <w:p w14:paraId="7F670024" w14:textId="77777777" w:rsidR="003160BC" w:rsidRPr="00C40BD1" w:rsidRDefault="00AF44A9" w:rsidP="00220BD1">
      <w:pPr>
        <w:tabs>
          <w:tab w:val="left" w:pos="4962"/>
        </w:tabs>
        <w:spacing w:line="360" w:lineRule="auto"/>
        <w:jc w:val="both"/>
        <w:rPr>
          <w:rFonts w:ascii="Palatino Linotype" w:eastAsia="Calibri" w:hAnsi="Palatino Linotype" w:cs="Tahoma"/>
          <w:bCs/>
          <w:sz w:val="22"/>
          <w:szCs w:val="22"/>
        </w:rPr>
      </w:pPr>
      <w:r w:rsidRPr="00C40BD1">
        <w:rPr>
          <w:rFonts w:ascii="Palatino Linotype" w:eastAsia="Calibri" w:hAnsi="Palatino Linotype" w:cs="Tahoma"/>
          <w:sz w:val="22"/>
        </w:rPr>
        <w:t xml:space="preserve">Al respecto, </w:t>
      </w:r>
      <w:r w:rsidR="003160BC" w:rsidRPr="00C40BD1">
        <w:rPr>
          <w:rFonts w:ascii="Palatino Linotype" w:eastAsia="Calibri" w:hAnsi="Palatino Linotype" w:cs="Tahoma"/>
          <w:bCs/>
          <w:sz w:val="22"/>
          <w:szCs w:val="22"/>
        </w:rPr>
        <w:t xml:space="preserve">el artículo 12.4 del Código Administrativo del Estado de México, establece que las obras públicas son aquellas cuyo objeto principal es construir, instalar, ampliar, adecuar, </w:t>
      </w:r>
      <w:r w:rsidR="003160BC" w:rsidRPr="00C40BD1">
        <w:rPr>
          <w:rFonts w:ascii="Palatino Linotype" w:eastAsia="Calibri" w:hAnsi="Palatino Linotype" w:cs="Tahoma"/>
          <w:b/>
          <w:sz w:val="22"/>
          <w:szCs w:val="22"/>
        </w:rPr>
        <w:t>remodelar, restaurar, conservar, mantener, modificar o demoler bienes inmuebles</w:t>
      </w:r>
      <w:r w:rsidR="003160BC" w:rsidRPr="00C40BD1">
        <w:rPr>
          <w:rFonts w:ascii="Palatino Linotype" w:eastAsia="Calibri" w:hAnsi="Palatino Linotype" w:cs="Tahoma"/>
          <w:bCs/>
          <w:sz w:val="22"/>
          <w:szCs w:val="22"/>
        </w:rPr>
        <w:t xml:space="preserve"> de los municipios con cargo a recursos públicos estatales y municipales; así como los trabajos de exploración, localización y perforación, mejoramiento de suelo y subsuelo, la infraestructura agropecuaria e hidroagrícola, entre otros.</w:t>
      </w:r>
    </w:p>
    <w:p w14:paraId="25D22956" w14:textId="77777777" w:rsidR="003160BC" w:rsidRPr="00C40BD1" w:rsidRDefault="003160BC" w:rsidP="00220BD1">
      <w:pPr>
        <w:tabs>
          <w:tab w:val="left" w:pos="4962"/>
        </w:tabs>
        <w:spacing w:line="360" w:lineRule="auto"/>
        <w:jc w:val="both"/>
        <w:rPr>
          <w:rFonts w:ascii="Palatino Linotype" w:eastAsia="Calibri" w:hAnsi="Palatino Linotype" w:cs="Tahoma"/>
          <w:sz w:val="22"/>
        </w:rPr>
      </w:pPr>
    </w:p>
    <w:p w14:paraId="34DEC6E6" w14:textId="77777777" w:rsidR="003160BC" w:rsidRPr="00C40BD1" w:rsidRDefault="003160BC" w:rsidP="00220BD1">
      <w:pPr>
        <w:tabs>
          <w:tab w:val="left" w:pos="4962"/>
        </w:tabs>
        <w:spacing w:line="360" w:lineRule="auto"/>
        <w:jc w:val="both"/>
        <w:rPr>
          <w:rFonts w:ascii="Palatino Linotype" w:eastAsia="Calibri" w:hAnsi="Palatino Linotype" w:cs="Tahoma"/>
          <w:bCs/>
          <w:sz w:val="22"/>
          <w:szCs w:val="22"/>
        </w:rPr>
      </w:pPr>
      <w:r w:rsidRPr="00C40BD1">
        <w:rPr>
          <w:rFonts w:ascii="Palatino Linotype" w:eastAsia="Calibri" w:hAnsi="Palatino Linotype" w:cs="Tahoma"/>
          <w:bCs/>
          <w:sz w:val="22"/>
          <w:szCs w:val="22"/>
        </w:rPr>
        <w:t>Además, conforme al artículo 12.6 de dicho ordenamiento jurídico, uno de los entes que pueden llevar a cabo contratos de obra pública o servicios relacionados con la misma, son los Municipios, a través de los Ayuntamientos.</w:t>
      </w:r>
    </w:p>
    <w:p w14:paraId="6C280CCF" w14:textId="77777777" w:rsidR="003160BC" w:rsidRPr="00C40BD1" w:rsidRDefault="003160BC" w:rsidP="00220BD1">
      <w:pPr>
        <w:tabs>
          <w:tab w:val="left" w:pos="4962"/>
        </w:tabs>
        <w:spacing w:line="360" w:lineRule="auto"/>
        <w:jc w:val="both"/>
        <w:rPr>
          <w:rFonts w:ascii="Palatino Linotype" w:eastAsia="Calibri" w:hAnsi="Palatino Linotype" w:cs="Tahoma"/>
          <w:bCs/>
          <w:sz w:val="22"/>
          <w:szCs w:val="22"/>
        </w:rPr>
      </w:pPr>
    </w:p>
    <w:p w14:paraId="087DF64D" w14:textId="77777777" w:rsidR="003160BC" w:rsidRPr="00C40BD1" w:rsidRDefault="003160BC" w:rsidP="00220BD1">
      <w:pPr>
        <w:tabs>
          <w:tab w:val="left" w:pos="4962"/>
        </w:tabs>
        <w:spacing w:line="360" w:lineRule="auto"/>
        <w:jc w:val="both"/>
        <w:rPr>
          <w:rFonts w:ascii="Palatino Linotype" w:eastAsia="Calibri" w:hAnsi="Palatino Linotype" w:cs="Tahoma"/>
          <w:bCs/>
          <w:sz w:val="22"/>
          <w:szCs w:val="22"/>
        </w:rPr>
      </w:pPr>
      <w:r w:rsidRPr="00C40BD1">
        <w:rPr>
          <w:rFonts w:ascii="Palatino Linotype" w:eastAsia="Calibri" w:hAnsi="Palatino Linotype" w:cs="Tahoma"/>
          <w:bCs/>
          <w:sz w:val="22"/>
          <w:szCs w:val="22"/>
        </w:rPr>
        <w:t>En ese orden de ideas, es responsabilidad de los Ayuntamientos ejecutar la obra pública respectiva, mediante contrato con terceros o por administración directa; dicho acto jurídico, será adjudicado a través de licitaciones públicas, invitación restringida o adjudicación directa, conforme a los artículos 12.8, 12.20 y 12.21 del Código mencionado.</w:t>
      </w:r>
    </w:p>
    <w:p w14:paraId="71D80D2A" w14:textId="77777777" w:rsidR="003160BC" w:rsidRPr="00C40BD1" w:rsidRDefault="003160BC" w:rsidP="00220BD1">
      <w:pPr>
        <w:tabs>
          <w:tab w:val="left" w:pos="4962"/>
        </w:tabs>
        <w:spacing w:line="360" w:lineRule="auto"/>
        <w:jc w:val="both"/>
        <w:rPr>
          <w:rFonts w:ascii="Palatino Linotype" w:eastAsia="Calibri" w:hAnsi="Palatino Linotype" w:cs="Tahoma"/>
          <w:bCs/>
          <w:sz w:val="22"/>
          <w:szCs w:val="22"/>
        </w:rPr>
      </w:pPr>
    </w:p>
    <w:p w14:paraId="0EDED60E" w14:textId="77777777" w:rsidR="003160BC" w:rsidRPr="00C40BD1" w:rsidRDefault="003160BC" w:rsidP="00220BD1">
      <w:pPr>
        <w:tabs>
          <w:tab w:val="left" w:pos="4962"/>
        </w:tabs>
        <w:spacing w:line="360" w:lineRule="auto"/>
        <w:jc w:val="both"/>
        <w:rPr>
          <w:rFonts w:ascii="Palatino Linotype" w:eastAsia="Calibri" w:hAnsi="Palatino Linotype" w:cs="Tahoma"/>
          <w:bCs/>
          <w:sz w:val="22"/>
          <w:szCs w:val="22"/>
        </w:rPr>
      </w:pPr>
      <w:r w:rsidRPr="00C40BD1">
        <w:rPr>
          <w:rFonts w:ascii="Palatino Linotype" w:eastAsia="Calibri" w:hAnsi="Palatino Linotype" w:cs="Tahoma"/>
          <w:bCs/>
          <w:sz w:val="22"/>
          <w:szCs w:val="22"/>
        </w:rPr>
        <w:t>Además, el artículo 12.38 del Código Administrativo del Estado de México, establece que la adjudicación de un procedimiento de ejecución de obra, se realizará mediante la suscripción de un contrato, entre el Ayuntamiento y la persona a la cual haya ganado el procedimiento respectivo, dentro de los diez días hábiles siguientes a la notificación del fallo.</w:t>
      </w:r>
    </w:p>
    <w:p w14:paraId="0C5EAC31" w14:textId="77777777" w:rsidR="00F87229" w:rsidRPr="00C40BD1" w:rsidRDefault="00F87229" w:rsidP="00220BD1">
      <w:pPr>
        <w:tabs>
          <w:tab w:val="left" w:pos="4962"/>
        </w:tabs>
        <w:spacing w:line="360" w:lineRule="auto"/>
        <w:jc w:val="both"/>
        <w:rPr>
          <w:rFonts w:ascii="Palatino Linotype" w:eastAsia="Calibri" w:hAnsi="Palatino Linotype" w:cs="Tahoma"/>
          <w:bCs/>
          <w:sz w:val="22"/>
          <w:szCs w:val="22"/>
        </w:rPr>
      </w:pPr>
    </w:p>
    <w:p w14:paraId="45917343" w14:textId="2C470712" w:rsidR="00F87229" w:rsidRPr="00C40BD1" w:rsidRDefault="00F87229" w:rsidP="00220BD1">
      <w:pPr>
        <w:tabs>
          <w:tab w:val="left" w:pos="4962"/>
        </w:tabs>
        <w:spacing w:line="360" w:lineRule="auto"/>
        <w:jc w:val="both"/>
        <w:rPr>
          <w:rFonts w:ascii="Palatino Linotype" w:eastAsia="Calibri" w:hAnsi="Palatino Linotype" w:cs="Tahoma"/>
          <w:sz w:val="22"/>
          <w:szCs w:val="22"/>
        </w:rPr>
      </w:pPr>
      <w:r w:rsidRPr="00C40BD1">
        <w:rPr>
          <w:rFonts w:ascii="Palatino Linotype" w:eastAsia="Calibri" w:hAnsi="Palatino Linotype" w:cs="Tahoma"/>
          <w:bCs/>
          <w:sz w:val="22"/>
          <w:szCs w:val="22"/>
        </w:rPr>
        <w:lastRenderedPageBreak/>
        <w:t xml:space="preserve">En ese contexto, la Ley Orgánica Municipal del Estado de México, dentro de sus artículos 31 y 87, reconoce que los Ayuntamientos tendrán entre sus atribuciones el convenir, contratar o concesionar la ejecución de obras y la prestación de servicios públicos, con el Estado, con otros municipios de la entidad o con particulares, recabando, cuando proceda, la autorización de la Legislatura del Estado; y, concluir las obras iniciadas por administraciones anteriores y dar mantenimiento a la infraestructura e instalaciones de los servicios públicos municipales; lo anterior, por medio de la </w:t>
      </w:r>
      <w:r w:rsidRPr="00C40BD1">
        <w:rPr>
          <w:rFonts w:ascii="Palatino Linotype" w:eastAsia="Calibri" w:hAnsi="Palatino Linotype" w:cs="Tahoma"/>
          <w:b/>
          <w:bCs/>
          <w:sz w:val="22"/>
          <w:szCs w:val="22"/>
        </w:rPr>
        <w:t xml:space="preserve">Dirección de Obras Públicas </w:t>
      </w:r>
      <w:r w:rsidRPr="00C40BD1">
        <w:rPr>
          <w:rFonts w:ascii="Palatino Linotype" w:eastAsia="Calibri" w:hAnsi="Palatino Linotype" w:cs="Tahoma"/>
          <w:sz w:val="22"/>
          <w:szCs w:val="22"/>
        </w:rPr>
        <w:t>o su equivalente.</w:t>
      </w:r>
    </w:p>
    <w:p w14:paraId="6195B0E5" w14:textId="77777777" w:rsidR="002A39EF" w:rsidRPr="00C40BD1" w:rsidRDefault="002A39EF" w:rsidP="00220BD1">
      <w:pPr>
        <w:tabs>
          <w:tab w:val="left" w:pos="4962"/>
        </w:tabs>
        <w:spacing w:line="360" w:lineRule="auto"/>
        <w:jc w:val="both"/>
        <w:rPr>
          <w:rFonts w:ascii="Palatino Linotype" w:eastAsia="Calibri" w:hAnsi="Palatino Linotype" w:cs="Tahoma"/>
          <w:sz w:val="22"/>
          <w:szCs w:val="22"/>
        </w:rPr>
      </w:pPr>
    </w:p>
    <w:p w14:paraId="70990A94" w14:textId="0A05FFEF" w:rsidR="002A39EF" w:rsidRPr="00C40BD1" w:rsidRDefault="002A39EF" w:rsidP="00220BD1">
      <w:pPr>
        <w:tabs>
          <w:tab w:val="left" w:pos="4962"/>
        </w:tabs>
        <w:spacing w:line="360" w:lineRule="auto"/>
        <w:jc w:val="both"/>
        <w:rPr>
          <w:rFonts w:ascii="Palatino Linotype" w:eastAsia="Calibri" w:hAnsi="Palatino Linotype" w:cs="Tahoma"/>
          <w:b/>
          <w:sz w:val="22"/>
          <w:szCs w:val="22"/>
        </w:rPr>
      </w:pPr>
      <w:r w:rsidRPr="00C40BD1">
        <w:rPr>
          <w:rFonts w:ascii="Palatino Linotype" w:eastAsia="Calibri" w:hAnsi="Palatino Linotype" w:cs="Tahoma"/>
          <w:sz w:val="22"/>
          <w:szCs w:val="22"/>
        </w:rPr>
        <w:t xml:space="preserve">Por otra parte, respecto a la contratación pública </w:t>
      </w:r>
      <w:r w:rsidRPr="00C40BD1">
        <w:rPr>
          <w:rFonts w:ascii="Palatino Linotype" w:eastAsia="Calibri" w:hAnsi="Palatino Linotype" w:cs="Tahoma"/>
          <w:bCs/>
          <w:sz w:val="22"/>
          <w:szCs w:val="22"/>
        </w:rPr>
        <w:t xml:space="preserve">los artículos 1°, fracción III, y 4°de la Ley de la de Contratación Pública del Estado de México y Municipios, especifica que los Ayuntamientos, serán los encargados de realizar los actos relativos a la planeación, programación, presupuestación, ejecución y control de la adquisición (bienes muebles e inmuebles), arrendamiento (bienes muebles e inmuebles), y </w:t>
      </w:r>
      <w:r w:rsidRPr="00C40BD1">
        <w:rPr>
          <w:rFonts w:ascii="Palatino Linotype" w:eastAsia="Calibri" w:hAnsi="Palatino Linotype" w:cs="Tahoma"/>
          <w:b/>
          <w:sz w:val="22"/>
          <w:szCs w:val="22"/>
        </w:rPr>
        <w:t>la contratación de servicios de cualquier naturaleza.</w:t>
      </w:r>
    </w:p>
    <w:p w14:paraId="61CD6A7E" w14:textId="77777777" w:rsidR="002A39EF" w:rsidRPr="00C40BD1" w:rsidRDefault="002A39EF" w:rsidP="00220BD1">
      <w:pPr>
        <w:tabs>
          <w:tab w:val="left" w:pos="4962"/>
        </w:tabs>
        <w:spacing w:line="360" w:lineRule="auto"/>
        <w:jc w:val="both"/>
        <w:rPr>
          <w:rFonts w:ascii="Palatino Linotype" w:eastAsia="Calibri" w:hAnsi="Palatino Linotype" w:cs="Tahoma"/>
          <w:bCs/>
          <w:sz w:val="22"/>
          <w:szCs w:val="22"/>
        </w:rPr>
      </w:pPr>
    </w:p>
    <w:p w14:paraId="207B4914" w14:textId="77777777" w:rsidR="002A39EF" w:rsidRPr="00C40BD1" w:rsidRDefault="002A39EF" w:rsidP="00220BD1">
      <w:pPr>
        <w:tabs>
          <w:tab w:val="left" w:pos="4962"/>
        </w:tabs>
        <w:spacing w:line="360" w:lineRule="auto"/>
        <w:jc w:val="both"/>
        <w:rPr>
          <w:rFonts w:ascii="Palatino Linotype" w:eastAsia="Calibri" w:hAnsi="Palatino Linotype" w:cs="Tahoma"/>
          <w:bCs/>
          <w:sz w:val="22"/>
          <w:szCs w:val="22"/>
        </w:rPr>
      </w:pPr>
      <w:r w:rsidRPr="00C40BD1">
        <w:rPr>
          <w:rFonts w:ascii="Palatino Linotype" w:eastAsia="Calibri" w:hAnsi="Palatino Linotype" w:cs="Tahoma"/>
          <w:bCs/>
          <w:sz w:val="22"/>
          <w:szCs w:val="22"/>
        </w:rPr>
        <w:t>En ese orden de ideas, conforme al artículo 65 de la Ley de Contratación Pública del Estado de México y Municipios, la adjudicación de un procedimiento de adquisición y arrendamiento de bienes y contratación de servicios se realizará mediante la suscripción de un contrato, entre el Sujeto Obligado y la persona a la cual haya ganado el procedimiento respectivo, dentro de los diez días hábiles siguientes a la notificación del fallo.</w:t>
      </w:r>
    </w:p>
    <w:p w14:paraId="34AF4DEC" w14:textId="77777777" w:rsidR="002A39EF" w:rsidRPr="00C40BD1" w:rsidRDefault="002A39EF" w:rsidP="00220BD1">
      <w:pPr>
        <w:tabs>
          <w:tab w:val="left" w:pos="4962"/>
        </w:tabs>
        <w:spacing w:line="360" w:lineRule="auto"/>
        <w:jc w:val="both"/>
        <w:rPr>
          <w:rFonts w:ascii="Palatino Linotype" w:eastAsia="Calibri" w:hAnsi="Palatino Linotype" w:cs="Tahoma"/>
          <w:bCs/>
          <w:sz w:val="22"/>
          <w:szCs w:val="22"/>
        </w:rPr>
      </w:pPr>
    </w:p>
    <w:p w14:paraId="444D1F6A" w14:textId="77777777" w:rsidR="002A39EF" w:rsidRPr="00C40BD1" w:rsidRDefault="002A39EF" w:rsidP="00220BD1">
      <w:pPr>
        <w:tabs>
          <w:tab w:val="left" w:pos="4962"/>
        </w:tabs>
        <w:spacing w:line="360" w:lineRule="auto"/>
        <w:jc w:val="both"/>
        <w:rPr>
          <w:rFonts w:ascii="Palatino Linotype" w:eastAsia="Calibri" w:hAnsi="Palatino Linotype" w:cs="Tahoma"/>
          <w:bCs/>
          <w:sz w:val="22"/>
          <w:szCs w:val="22"/>
        </w:rPr>
      </w:pPr>
      <w:r w:rsidRPr="00C40BD1">
        <w:rPr>
          <w:rFonts w:ascii="Palatino Linotype" w:eastAsia="Calibri" w:hAnsi="Palatino Linotype" w:cs="Tahoma"/>
          <w:bCs/>
          <w:sz w:val="22"/>
          <w:szCs w:val="22"/>
        </w:rPr>
        <w:t xml:space="preserve">Ahora bien, conforme al artículo 120 del Reglamento de la Ley de Contratación Pública del Estado de México y Municipios, dichos actos jurídicos se conforman por diversos datos, entre los cuales, se encuentran los datos de identificación de las partes y del contrato, así como el </w:t>
      </w:r>
      <w:r w:rsidRPr="00C40BD1">
        <w:rPr>
          <w:rFonts w:ascii="Palatino Linotype" w:eastAsia="Calibri" w:hAnsi="Palatino Linotype" w:cs="Tahoma"/>
          <w:b/>
          <w:sz w:val="22"/>
          <w:szCs w:val="22"/>
        </w:rPr>
        <w:t>importe total.</w:t>
      </w:r>
    </w:p>
    <w:p w14:paraId="37DE2F68" w14:textId="77777777" w:rsidR="002A39EF" w:rsidRPr="00C40BD1" w:rsidRDefault="002A39EF" w:rsidP="00220BD1">
      <w:pPr>
        <w:tabs>
          <w:tab w:val="left" w:pos="4962"/>
        </w:tabs>
        <w:spacing w:line="360" w:lineRule="auto"/>
        <w:jc w:val="both"/>
        <w:rPr>
          <w:rFonts w:ascii="Palatino Linotype" w:eastAsia="Calibri" w:hAnsi="Palatino Linotype" w:cs="Tahoma"/>
          <w:sz w:val="22"/>
          <w:szCs w:val="22"/>
        </w:rPr>
      </w:pPr>
    </w:p>
    <w:p w14:paraId="1B447534" w14:textId="77777777" w:rsidR="003160BC" w:rsidRPr="00C40BD1" w:rsidRDefault="003160BC" w:rsidP="00220BD1">
      <w:pPr>
        <w:tabs>
          <w:tab w:val="left" w:pos="4962"/>
        </w:tabs>
        <w:spacing w:line="360" w:lineRule="auto"/>
        <w:jc w:val="both"/>
        <w:rPr>
          <w:rFonts w:ascii="Palatino Linotype" w:eastAsia="Calibri" w:hAnsi="Palatino Linotype" w:cs="Tahoma"/>
          <w:bCs/>
          <w:sz w:val="22"/>
          <w:szCs w:val="22"/>
        </w:rPr>
      </w:pPr>
    </w:p>
    <w:p w14:paraId="076B67BE" w14:textId="36372446" w:rsidR="00FA6D8B" w:rsidRPr="00C40BD1" w:rsidRDefault="003160BC" w:rsidP="00220BD1">
      <w:pPr>
        <w:tabs>
          <w:tab w:val="left" w:pos="4962"/>
        </w:tabs>
        <w:spacing w:line="360" w:lineRule="auto"/>
        <w:jc w:val="both"/>
        <w:rPr>
          <w:rFonts w:ascii="Palatino Linotype" w:eastAsia="Calibri" w:hAnsi="Palatino Linotype" w:cs="Tahoma"/>
          <w:bCs/>
          <w:sz w:val="22"/>
          <w:szCs w:val="22"/>
        </w:rPr>
      </w:pPr>
      <w:r w:rsidRPr="00C40BD1">
        <w:rPr>
          <w:rFonts w:ascii="Palatino Linotype" w:eastAsia="Calibri" w:hAnsi="Palatino Linotype" w:cs="Tahoma"/>
          <w:bCs/>
          <w:sz w:val="22"/>
          <w:szCs w:val="22"/>
        </w:rPr>
        <w:lastRenderedPageBreak/>
        <w:t xml:space="preserve">Además, el artículo </w:t>
      </w:r>
      <w:r w:rsidR="00D51FC6" w:rsidRPr="00C40BD1">
        <w:rPr>
          <w:rFonts w:ascii="Palatino Linotype" w:eastAsia="Calibri" w:hAnsi="Palatino Linotype" w:cs="Tahoma"/>
          <w:bCs/>
          <w:sz w:val="22"/>
          <w:szCs w:val="22"/>
        </w:rPr>
        <w:t>9</w:t>
      </w:r>
      <w:r w:rsidRPr="00C40BD1">
        <w:rPr>
          <w:rFonts w:ascii="Palatino Linotype" w:eastAsia="Calibri" w:hAnsi="Palatino Linotype" w:cs="Tahoma"/>
          <w:bCs/>
          <w:sz w:val="22"/>
          <w:szCs w:val="22"/>
        </w:rPr>
        <w:t>2 fracción XXIX, de la Ley de Transparencia y Acceso a la Información Pública del Estado de México y Municipios, precisa que es información que es pública de oficio, la información sobre los procesos y resultados sobre procedimientos de</w:t>
      </w:r>
      <w:r w:rsidRPr="00C40BD1">
        <w:rPr>
          <w:rFonts w:ascii="Palatino Linotype" w:eastAsia="Calibri" w:hAnsi="Palatino Linotype" w:cs="Tahoma"/>
          <w:b/>
          <w:sz w:val="22"/>
          <w:szCs w:val="22"/>
          <w:u w:val="single"/>
        </w:rPr>
        <w:t xml:space="preserve"> adjudicación directa, invitación restringida y licitación de cualquier naturaleza</w:t>
      </w:r>
      <w:r w:rsidRPr="00C40BD1">
        <w:rPr>
          <w:rFonts w:ascii="Palatino Linotype" w:eastAsia="Calibri" w:hAnsi="Palatino Linotype" w:cs="Tahoma"/>
          <w:bCs/>
          <w:sz w:val="22"/>
          <w:szCs w:val="22"/>
        </w:rPr>
        <w:t>, que incluye la versión pública del expediente respectivo y de los contratos celebrados</w:t>
      </w:r>
      <w:r w:rsidR="002A39EF" w:rsidRPr="00C40BD1">
        <w:rPr>
          <w:rFonts w:ascii="Palatino Linotype" w:eastAsia="Calibri" w:hAnsi="Palatino Linotype" w:cs="Tahoma"/>
          <w:bCs/>
          <w:sz w:val="22"/>
          <w:szCs w:val="22"/>
        </w:rPr>
        <w:t>.</w:t>
      </w:r>
    </w:p>
    <w:p w14:paraId="60C3B90D" w14:textId="77777777" w:rsidR="00A518CC" w:rsidRPr="00C40BD1" w:rsidRDefault="00A518CC" w:rsidP="00220BD1">
      <w:pPr>
        <w:tabs>
          <w:tab w:val="left" w:pos="4962"/>
        </w:tabs>
        <w:spacing w:line="360" w:lineRule="auto"/>
        <w:jc w:val="both"/>
        <w:rPr>
          <w:rFonts w:ascii="Palatino Linotype" w:eastAsia="Calibri" w:hAnsi="Palatino Linotype" w:cs="Tahoma"/>
          <w:bCs/>
          <w:sz w:val="22"/>
          <w:szCs w:val="22"/>
        </w:rPr>
      </w:pPr>
    </w:p>
    <w:p w14:paraId="268C6F20" w14:textId="1BE37CE0" w:rsidR="00A518CC" w:rsidRPr="00C40BD1" w:rsidRDefault="00A518CC" w:rsidP="00220BD1">
      <w:pPr>
        <w:tabs>
          <w:tab w:val="left" w:pos="4962"/>
        </w:tabs>
        <w:spacing w:line="360" w:lineRule="auto"/>
        <w:jc w:val="both"/>
        <w:rPr>
          <w:rFonts w:ascii="Palatino Linotype" w:hAnsi="Palatino Linotype"/>
          <w:sz w:val="22"/>
          <w:szCs w:val="22"/>
        </w:rPr>
      </w:pPr>
      <w:r w:rsidRPr="00C40BD1">
        <w:rPr>
          <w:rFonts w:ascii="Palatino Linotype" w:hAnsi="Palatino Linotype"/>
          <w:color w:val="0D0D0D"/>
          <w:sz w:val="22"/>
          <w:szCs w:val="22"/>
        </w:rPr>
        <w:t xml:space="preserve">En ese orden de ideas, por lo que hace al monto erogado, </w:t>
      </w:r>
      <w:r w:rsidRPr="00C40BD1">
        <w:rPr>
          <w:rFonts w:ascii="Palatino Linotype" w:hAnsi="Palatino Linotype"/>
          <w:sz w:val="22"/>
          <w:szCs w:val="22"/>
        </w:rPr>
        <w:t xml:space="preserve">el artículo 4°, fracción XVIII, de la Ley General de Contabilidad Gubernamental, establece que la información financiera consiste en información presupuestaria y contable que se expresa en unidades monetarias las </w:t>
      </w:r>
      <w:r w:rsidRPr="00C40BD1">
        <w:rPr>
          <w:rFonts w:ascii="Palatino Linotype" w:hAnsi="Palatino Linotype"/>
          <w:b/>
          <w:sz w:val="22"/>
          <w:szCs w:val="22"/>
        </w:rPr>
        <w:t>transacciones que realiza un ente público y los eventos económicos identificables y cuantificable</w:t>
      </w:r>
      <w:r w:rsidRPr="00C40BD1">
        <w:rPr>
          <w:rFonts w:ascii="Palatino Linotype" w:hAnsi="Palatino Linotype"/>
          <w:sz w:val="22"/>
          <w:szCs w:val="22"/>
        </w:rPr>
        <w:t xml:space="preserve"> la cual puede representarse por reportes, informes, estados y notas que expresan su situación financiera, los resultados de su operación y los cambios en su patrimonio.</w:t>
      </w:r>
    </w:p>
    <w:p w14:paraId="388F6696" w14:textId="77777777" w:rsidR="00A518CC" w:rsidRPr="00C40BD1" w:rsidRDefault="00A518CC" w:rsidP="00220BD1">
      <w:pPr>
        <w:tabs>
          <w:tab w:val="left" w:pos="4962"/>
        </w:tabs>
        <w:spacing w:line="360" w:lineRule="auto"/>
        <w:jc w:val="both"/>
        <w:rPr>
          <w:rFonts w:ascii="Palatino Linotype" w:hAnsi="Palatino Linotype"/>
          <w:sz w:val="22"/>
          <w:szCs w:val="22"/>
        </w:rPr>
      </w:pPr>
    </w:p>
    <w:p w14:paraId="3A8F6575" w14:textId="77777777" w:rsidR="00A518CC" w:rsidRPr="00C40BD1" w:rsidRDefault="00A518CC" w:rsidP="00220BD1">
      <w:pPr>
        <w:spacing w:line="360" w:lineRule="auto"/>
        <w:jc w:val="both"/>
        <w:rPr>
          <w:rFonts w:ascii="Palatino Linotype" w:hAnsi="Palatino Linotype"/>
          <w:sz w:val="22"/>
          <w:szCs w:val="22"/>
        </w:rPr>
      </w:pPr>
      <w:r w:rsidRPr="00C40BD1">
        <w:rPr>
          <w:rFonts w:ascii="Palatino Linotype" w:hAnsi="Palatino Linotype"/>
          <w:sz w:val="22"/>
          <w:szCs w:val="22"/>
        </w:rPr>
        <w:t>En esa misma tesitura, los artículos 16, 18, 19, fracción V, y 34 de la Ley General en comento, estableen que los entes públicos deben contar con un sistema de contabilidad gubernamental en el cual se registrarán operaciones presupuestarias y contables derivadas de la gestión pública, así como otros flujos económicos, los cuales serán expresados en términos monetarios. Dichos registros contables se llevarán con base acumulativa, por lo que contabilización de las transacciones de gasto se hará conforme a la fecha de su realización, independientemente de la de su pago, y la del ingreso se registrará cuando exista jurídicamente el derecho de cobro.</w:t>
      </w:r>
    </w:p>
    <w:p w14:paraId="2A341AC3" w14:textId="77777777" w:rsidR="00A518CC" w:rsidRPr="00C40BD1" w:rsidRDefault="00A518CC" w:rsidP="00220BD1">
      <w:pPr>
        <w:spacing w:line="360" w:lineRule="auto"/>
        <w:jc w:val="both"/>
        <w:rPr>
          <w:rFonts w:ascii="Palatino Linotype" w:hAnsi="Palatino Linotype"/>
          <w:sz w:val="22"/>
          <w:szCs w:val="22"/>
        </w:rPr>
      </w:pPr>
    </w:p>
    <w:p w14:paraId="2BF37BD7" w14:textId="77777777" w:rsidR="00A518CC" w:rsidRPr="00C40BD1" w:rsidRDefault="00A518CC" w:rsidP="00220BD1">
      <w:pPr>
        <w:spacing w:line="360" w:lineRule="auto"/>
        <w:jc w:val="both"/>
        <w:rPr>
          <w:rFonts w:ascii="Palatino Linotype" w:hAnsi="Palatino Linotype"/>
          <w:color w:val="0D0D0D"/>
          <w:sz w:val="22"/>
          <w:szCs w:val="22"/>
        </w:rPr>
      </w:pPr>
      <w:r w:rsidRPr="00C40BD1">
        <w:rPr>
          <w:rFonts w:ascii="Palatino Linotype" w:hAnsi="Palatino Linotype"/>
          <w:color w:val="0D0D0D"/>
          <w:sz w:val="22"/>
          <w:szCs w:val="22"/>
        </w:rPr>
        <w:t>En ese contexto, la Guía técnica 05 “La contabilidad y la cuenta pública municipal”, emitida por el Instituto Nacional de Administración Pública, establece que la contabilidad municipal es la técnica que permite registrar en forma ordenada, completa y detallada de los ingresos y gastos, con el fin de poder determinar en cualquier momento la situación financiera de la hacienda pública municipal.</w:t>
      </w:r>
    </w:p>
    <w:p w14:paraId="36E2A825" w14:textId="77777777" w:rsidR="00A518CC" w:rsidRPr="00C40BD1" w:rsidRDefault="00A518CC" w:rsidP="00220BD1">
      <w:pPr>
        <w:spacing w:line="360" w:lineRule="auto"/>
        <w:jc w:val="both"/>
        <w:rPr>
          <w:rFonts w:ascii="Palatino Linotype" w:hAnsi="Palatino Linotype"/>
          <w:color w:val="0D0D0D"/>
          <w:sz w:val="22"/>
          <w:szCs w:val="22"/>
        </w:rPr>
      </w:pPr>
    </w:p>
    <w:p w14:paraId="30596065" w14:textId="77777777" w:rsidR="00A518CC" w:rsidRPr="00C40BD1" w:rsidRDefault="00A518CC" w:rsidP="00220BD1">
      <w:pPr>
        <w:spacing w:line="360" w:lineRule="auto"/>
        <w:jc w:val="both"/>
        <w:rPr>
          <w:rFonts w:ascii="Palatino Linotype" w:hAnsi="Palatino Linotype"/>
          <w:color w:val="0D0D0D"/>
          <w:sz w:val="22"/>
          <w:szCs w:val="22"/>
        </w:rPr>
      </w:pPr>
      <w:r w:rsidRPr="00C40BD1">
        <w:rPr>
          <w:rFonts w:ascii="Palatino Linotype" w:hAnsi="Palatino Linotype"/>
          <w:color w:val="0D0D0D"/>
          <w:sz w:val="22"/>
          <w:szCs w:val="22"/>
        </w:rPr>
        <w:lastRenderedPageBreak/>
        <w:t xml:space="preserve">De este modo, de acuerdo a la naturaleza de información solicitada, </w:t>
      </w:r>
      <w:r w:rsidRPr="00C40BD1">
        <w:rPr>
          <w:rFonts w:ascii="Palatino Linotype" w:hAnsi="Palatino Linotype"/>
          <w:sz w:val="22"/>
          <w:szCs w:val="22"/>
        </w:rPr>
        <w:t xml:space="preserve">resulta necesario traer a colación, la Resolución Miscelánea Fiscal para el 2024, establece que la </w:t>
      </w:r>
      <w:r w:rsidRPr="00C40BD1">
        <w:rPr>
          <w:rFonts w:ascii="Palatino Linotype" w:hAnsi="Palatino Linotype"/>
          <w:b/>
          <w:sz w:val="22"/>
          <w:szCs w:val="22"/>
        </w:rPr>
        <w:t>factura</w:t>
      </w:r>
      <w:r w:rsidRPr="00C40BD1">
        <w:rPr>
          <w:rFonts w:ascii="Palatino Linotype" w:hAnsi="Palatino Linotype"/>
          <w:sz w:val="22"/>
          <w:szCs w:val="22"/>
        </w:rPr>
        <w:t xml:space="preserve"> es lo mismo, que un Comprobante Fiscal Digital por Internet, por lo que, se puede considerar como el documento que comprueba la realización de una </w:t>
      </w:r>
      <w:r w:rsidRPr="00C40BD1">
        <w:rPr>
          <w:rFonts w:ascii="Palatino Linotype" w:hAnsi="Palatino Linotype"/>
          <w:b/>
          <w:sz w:val="22"/>
          <w:szCs w:val="22"/>
        </w:rPr>
        <w:t>transacción comercial</w:t>
      </w:r>
      <w:r w:rsidRPr="00C40BD1">
        <w:rPr>
          <w:rFonts w:ascii="Palatino Linotype" w:hAnsi="Palatino Linotype"/>
          <w:sz w:val="22"/>
          <w:szCs w:val="22"/>
        </w:rPr>
        <w:t xml:space="preserve">, entre un comprador y un vendedor, mediante el cual, el primero queda obligado a realizar un pago, mientras que el segundo, a entregar o brindar un producto o </w:t>
      </w:r>
      <w:r w:rsidRPr="00C40BD1">
        <w:rPr>
          <w:rFonts w:ascii="Palatino Linotype" w:hAnsi="Palatino Linotype"/>
          <w:b/>
          <w:sz w:val="22"/>
          <w:szCs w:val="22"/>
        </w:rPr>
        <w:t>servicio</w:t>
      </w:r>
      <w:r w:rsidRPr="00C40BD1">
        <w:rPr>
          <w:rFonts w:ascii="Palatino Linotype" w:hAnsi="Palatino Linotype"/>
          <w:sz w:val="22"/>
          <w:szCs w:val="22"/>
        </w:rPr>
        <w:t>.</w:t>
      </w:r>
    </w:p>
    <w:p w14:paraId="1765E758" w14:textId="77777777" w:rsidR="00A518CC" w:rsidRPr="00C40BD1" w:rsidRDefault="00A518CC" w:rsidP="00220BD1">
      <w:pPr>
        <w:tabs>
          <w:tab w:val="left" w:pos="4962"/>
        </w:tabs>
        <w:spacing w:line="360" w:lineRule="auto"/>
        <w:jc w:val="both"/>
        <w:rPr>
          <w:rFonts w:ascii="Palatino Linotype" w:eastAsia="Calibri" w:hAnsi="Palatino Linotype" w:cs="Tahoma"/>
          <w:bCs/>
          <w:sz w:val="22"/>
          <w:szCs w:val="22"/>
        </w:rPr>
      </w:pPr>
    </w:p>
    <w:p w14:paraId="35AB5B61" w14:textId="77777777" w:rsidR="00A518CC" w:rsidRPr="00C40BD1" w:rsidRDefault="00A518CC" w:rsidP="00220BD1">
      <w:pPr>
        <w:spacing w:line="360" w:lineRule="auto"/>
        <w:jc w:val="both"/>
        <w:rPr>
          <w:rFonts w:ascii="Palatino Linotype" w:hAnsi="Palatino Linotype"/>
          <w:sz w:val="22"/>
          <w:szCs w:val="22"/>
        </w:rPr>
      </w:pPr>
      <w:r w:rsidRPr="00C40BD1">
        <w:rPr>
          <w:rFonts w:ascii="Palatino Linotype" w:hAnsi="Palatino Linotype"/>
          <w:sz w:val="22"/>
          <w:szCs w:val="22"/>
        </w:rPr>
        <w:t xml:space="preserve">En ese orden de ideas, los Lineamientos para la Integración, Presentación y Envió de los Informes Trimestrales Municipales del ejercicio fiscal dos mil veinticinco, entre los formatos que maneja en el </w:t>
      </w:r>
      <w:r w:rsidRPr="00C40BD1">
        <w:rPr>
          <w:rFonts w:ascii="Palatino Linotype" w:hAnsi="Palatino Linotype"/>
          <w:b/>
          <w:sz w:val="22"/>
          <w:szCs w:val="22"/>
        </w:rPr>
        <w:t>Módulo 1</w:t>
      </w:r>
      <w:r w:rsidRPr="00C40BD1">
        <w:rPr>
          <w:rFonts w:ascii="Palatino Linotype" w:hAnsi="Palatino Linotype"/>
          <w:sz w:val="22"/>
          <w:szCs w:val="22"/>
        </w:rPr>
        <w:t xml:space="preserve">, se advierte que se encuentran </w:t>
      </w:r>
      <w:r w:rsidRPr="00C40BD1">
        <w:rPr>
          <w:rFonts w:ascii="Palatino Linotype" w:hAnsi="Palatino Linotype"/>
          <w:b/>
          <w:bCs/>
          <w:sz w:val="22"/>
          <w:szCs w:val="22"/>
        </w:rPr>
        <w:t>Póliza de Egresos y</w:t>
      </w:r>
      <w:r w:rsidRPr="00C40BD1">
        <w:rPr>
          <w:rFonts w:ascii="Palatino Linotype" w:hAnsi="Palatino Linotype"/>
          <w:sz w:val="22"/>
          <w:szCs w:val="22"/>
        </w:rPr>
        <w:t xml:space="preserve"> </w:t>
      </w:r>
      <w:r w:rsidRPr="00C40BD1">
        <w:rPr>
          <w:rFonts w:ascii="Palatino Linotype" w:hAnsi="Palatino Linotype"/>
          <w:b/>
          <w:bCs/>
          <w:sz w:val="22"/>
          <w:szCs w:val="22"/>
        </w:rPr>
        <w:t>Póliza Cheque</w:t>
      </w:r>
      <w:r w:rsidRPr="00C40BD1">
        <w:rPr>
          <w:rFonts w:ascii="Palatino Linotype" w:hAnsi="Palatino Linotype"/>
          <w:sz w:val="22"/>
          <w:szCs w:val="22"/>
        </w:rPr>
        <w:t>, con los documentos comprobatorios, mismos que serán entregados al Órgano Superior de Fiscalización del Estado de México. Además</w:t>
      </w:r>
      <w:r w:rsidRPr="00C40BD1">
        <w:rPr>
          <w:rFonts w:ascii="Palatino Linotype" w:hAnsi="Palatino Linotype"/>
          <w:b/>
          <w:sz w:val="22"/>
          <w:szCs w:val="22"/>
        </w:rPr>
        <w:t xml:space="preserve">, </w:t>
      </w:r>
      <w:r w:rsidRPr="00C40BD1">
        <w:rPr>
          <w:rFonts w:ascii="Palatino Linotype" w:hAnsi="Palatino Linotype"/>
          <w:sz w:val="22"/>
          <w:szCs w:val="22"/>
        </w:rPr>
        <w:t xml:space="preserve">se precisa que dichos documentos deberán contener las imágenes de la documentación comprobatoria y justificativa de los egresos y de las respectivas pólizas, los cuales incluyen los Comprobantes Fiscales Digitales por Internet, facturas o recibos. </w:t>
      </w:r>
    </w:p>
    <w:p w14:paraId="5A972F21" w14:textId="77777777" w:rsidR="00A518CC" w:rsidRPr="00C40BD1" w:rsidRDefault="00A518CC" w:rsidP="00220BD1">
      <w:pPr>
        <w:tabs>
          <w:tab w:val="left" w:pos="4962"/>
        </w:tabs>
        <w:spacing w:line="360" w:lineRule="auto"/>
        <w:rPr>
          <w:rFonts w:ascii="Palatino Linotype" w:eastAsia="Calibri" w:hAnsi="Palatino Linotype" w:cs="Tahoma"/>
          <w:bCs/>
          <w:sz w:val="22"/>
          <w:szCs w:val="22"/>
        </w:rPr>
      </w:pPr>
    </w:p>
    <w:p w14:paraId="63464708" w14:textId="0858D5E9" w:rsidR="00A518CC" w:rsidRPr="00C40BD1" w:rsidRDefault="00A518CC" w:rsidP="00220BD1">
      <w:pPr>
        <w:spacing w:line="360" w:lineRule="auto"/>
        <w:jc w:val="both"/>
        <w:rPr>
          <w:rFonts w:ascii="Palatino Linotype" w:hAnsi="Palatino Linotype"/>
          <w:sz w:val="22"/>
          <w:szCs w:val="22"/>
        </w:rPr>
      </w:pPr>
      <w:r w:rsidRPr="00C40BD1">
        <w:rPr>
          <w:rFonts w:ascii="Palatino Linotype" w:hAnsi="Palatino Linotype"/>
          <w:sz w:val="22"/>
          <w:szCs w:val="22"/>
        </w:rPr>
        <w:t xml:space="preserve">Ahora bien, en relación con la información solicitada este Instituto localizó en la red social Facebook de la </w:t>
      </w:r>
      <w:r w:rsidR="00D51FC6" w:rsidRPr="00C40BD1">
        <w:rPr>
          <w:rFonts w:ascii="Palatino Linotype" w:hAnsi="Palatino Linotype"/>
          <w:sz w:val="22"/>
          <w:szCs w:val="22"/>
        </w:rPr>
        <w:t>P</w:t>
      </w:r>
      <w:r w:rsidRPr="00C40BD1">
        <w:rPr>
          <w:rFonts w:ascii="Palatino Linotype" w:hAnsi="Palatino Linotype"/>
          <w:sz w:val="22"/>
          <w:szCs w:val="22"/>
        </w:rPr>
        <w:t xml:space="preserve">residenta Municipal del Ayuntamiento de Tepotzotlán, su participación en la ceremonia de entronización y </w:t>
      </w:r>
      <w:r w:rsidR="004F0035" w:rsidRPr="00C40BD1">
        <w:rPr>
          <w:rFonts w:ascii="Palatino Linotype" w:hAnsi="Palatino Linotype"/>
          <w:sz w:val="22"/>
          <w:szCs w:val="22"/>
        </w:rPr>
        <w:t>bendición de</w:t>
      </w:r>
      <w:r w:rsidRPr="00C40BD1">
        <w:rPr>
          <w:rFonts w:ascii="Palatino Linotype" w:hAnsi="Palatino Linotype"/>
          <w:sz w:val="22"/>
          <w:szCs w:val="22"/>
        </w:rPr>
        <w:t xml:space="preserve"> la figura monumental del Señor del </w:t>
      </w:r>
      <w:r w:rsidR="004F0035" w:rsidRPr="00C40BD1">
        <w:rPr>
          <w:rFonts w:ascii="Palatino Linotype" w:hAnsi="Palatino Linotype"/>
          <w:sz w:val="22"/>
          <w:szCs w:val="22"/>
        </w:rPr>
        <w:t>N</w:t>
      </w:r>
      <w:r w:rsidRPr="00C40BD1">
        <w:rPr>
          <w:rFonts w:ascii="Palatino Linotype" w:hAnsi="Palatino Linotype"/>
          <w:sz w:val="22"/>
          <w:szCs w:val="22"/>
        </w:rPr>
        <w:t>icho</w:t>
      </w:r>
      <w:r w:rsidR="004F0035" w:rsidRPr="00C40BD1">
        <w:rPr>
          <w:rFonts w:ascii="Palatino Linotype" w:hAnsi="Palatino Linotype"/>
          <w:sz w:val="22"/>
          <w:szCs w:val="22"/>
        </w:rPr>
        <w:t>, en el mes de octubre de dos mil veinticinco, tal como se desprende de las siguientes capturas de pantalla:</w:t>
      </w:r>
      <w:r w:rsidRPr="00C40BD1">
        <w:rPr>
          <w:rFonts w:ascii="Palatino Linotype" w:hAnsi="Palatino Linotype"/>
          <w:sz w:val="22"/>
          <w:szCs w:val="22"/>
        </w:rPr>
        <w:t xml:space="preserve"> </w:t>
      </w:r>
    </w:p>
    <w:p w14:paraId="01B2E156" w14:textId="77777777" w:rsidR="008C417E" w:rsidRPr="00C40BD1" w:rsidRDefault="008C417E" w:rsidP="00220BD1">
      <w:pPr>
        <w:spacing w:line="360" w:lineRule="auto"/>
        <w:jc w:val="both"/>
        <w:rPr>
          <w:rFonts w:ascii="Palatino Linotype" w:hAnsi="Palatino Linotype"/>
          <w:sz w:val="22"/>
          <w:szCs w:val="22"/>
        </w:rPr>
      </w:pPr>
    </w:p>
    <w:p w14:paraId="1CC6436F" w14:textId="77777777" w:rsidR="00D51FC6" w:rsidRPr="00C40BD1" w:rsidRDefault="004F0035" w:rsidP="00220BD1">
      <w:pPr>
        <w:tabs>
          <w:tab w:val="left" w:pos="4962"/>
        </w:tabs>
        <w:spacing w:line="360" w:lineRule="auto"/>
        <w:jc w:val="center"/>
        <w:rPr>
          <w:rFonts w:ascii="Palatino Linotype" w:eastAsia="Calibri" w:hAnsi="Palatino Linotype" w:cs="Tahoma"/>
          <w:bCs/>
          <w:color w:val="FF0000"/>
          <w:sz w:val="22"/>
          <w:szCs w:val="22"/>
        </w:rPr>
      </w:pPr>
      <w:r w:rsidRPr="00C40BD1">
        <w:rPr>
          <w:rFonts w:ascii="Palatino Linotype" w:eastAsia="Calibri" w:hAnsi="Palatino Linotype" w:cs="Tahoma"/>
          <w:bCs/>
          <w:noProof/>
          <w:color w:val="FF0000"/>
          <w:sz w:val="22"/>
          <w:szCs w:val="22"/>
          <w:lang w:eastAsia="es-MX"/>
        </w:rPr>
        <w:drawing>
          <wp:inline distT="0" distB="0" distL="0" distR="0" wp14:anchorId="2A6440DC" wp14:editId="4A541293">
            <wp:extent cx="4454525" cy="1318437"/>
            <wp:effectExtent l="0" t="0" r="3175" b="2540"/>
            <wp:docPr id="9851298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b="59648"/>
                    <a:stretch/>
                  </pic:blipFill>
                  <pic:spPr bwMode="auto">
                    <a:xfrm>
                      <a:off x="0" y="0"/>
                      <a:ext cx="4477685" cy="1325292"/>
                    </a:xfrm>
                    <a:prstGeom prst="rect">
                      <a:avLst/>
                    </a:prstGeom>
                    <a:noFill/>
                    <a:ln>
                      <a:noFill/>
                    </a:ln>
                    <a:extLst>
                      <a:ext uri="{53640926-AAD7-44D8-BBD7-CCE9431645EC}">
                        <a14:shadowObscured xmlns:a14="http://schemas.microsoft.com/office/drawing/2010/main"/>
                      </a:ext>
                    </a:extLst>
                  </pic:spPr>
                </pic:pic>
              </a:graphicData>
            </a:graphic>
          </wp:inline>
        </w:drawing>
      </w:r>
    </w:p>
    <w:p w14:paraId="67CC60B1" w14:textId="2E9D2613" w:rsidR="008C417E" w:rsidRPr="00C40BD1" w:rsidRDefault="008C417E" w:rsidP="00220BD1">
      <w:pPr>
        <w:tabs>
          <w:tab w:val="left" w:pos="4962"/>
        </w:tabs>
        <w:spacing w:line="360" w:lineRule="auto"/>
        <w:jc w:val="center"/>
        <w:rPr>
          <w:rFonts w:ascii="Palatino Linotype" w:eastAsia="Calibri" w:hAnsi="Palatino Linotype" w:cs="Tahoma"/>
          <w:bCs/>
          <w:color w:val="FF0000"/>
          <w:sz w:val="22"/>
          <w:szCs w:val="22"/>
        </w:rPr>
      </w:pPr>
      <w:r w:rsidRPr="00C40BD1">
        <w:rPr>
          <w:rFonts w:ascii="Palatino Linotype" w:eastAsia="Calibri" w:hAnsi="Palatino Linotype" w:cs="Tahoma"/>
          <w:bCs/>
          <w:noProof/>
          <w:color w:val="FF0000"/>
          <w:sz w:val="22"/>
          <w:szCs w:val="22"/>
          <w:lang w:eastAsia="es-MX"/>
        </w:rPr>
        <w:lastRenderedPageBreak/>
        <w:drawing>
          <wp:inline distT="0" distB="0" distL="0" distR="0" wp14:anchorId="5DCA761A" wp14:editId="016D6C5F">
            <wp:extent cx="4454525" cy="1948893"/>
            <wp:effectExtent l="0" t="0" r="3175" b="0"/>
            <wp:docPr id="10845118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40352"/>
                    <a:stretch/>
                  </pic:blipFill>
                  <pic:spPr bwMode="auto">
                    <a:xfrm>
                      <a:off x="0" y="0"/>
                      <a:ext cx="4477685" cy="1959026"/>
                    </a:xfrm>
                    <a:prstGeom prst="rect">
                      <a:avLst/>
                    </a:prstGeom>
                    <a:noFill/>
                    <a:ln>
                      <a:noFill/>
                    </a:ln>
                    <a:extLst>
                      <a:ext uri="{53640926-AAD7-44D8-BBD7-CCE9431645EC}">
                        <a14:shadowObscured xmlns:a14="http://schemas.microsoft.com/office/drawing/2010/main"/>
                      </a:ext>
                    </a:extLst>
                  </pic:spPr>
                </pic:pic>
              </a:graphicData>
            </a:graphic>
          </wp:inline>
        </w:drawing>
      </w:r>
    </w:p>
    <w:p w14:paraId="3CC7E9BB" w14:textId="53130C28" w:rsidR="00A518CC" w:rsidRPr="00C40BD1" w:rsidRDefault="004F0035" w:rsidP="00220BD1">
      <w:pPr>
        <w:tabs>
          <w:tab w:val="left" w:pos="4962"/>
        </w:tabs>
        <w:spacing w:line="360" w:lineRule="auto"/>
        <w:jc w:val="center"/>
        <w:rPr>
          <w:rFonts w:ascii="Palatino Linotype" w:eastAsia="Calibri" w:hAnsi="Palatino Linotype" w:cs="Tahoma"/>
          <w:bCs/>
          <w:color w:val="FF0000"/>
          <w:sz w:val="22"/>
          <w:szCs w:val="22"/>
        </w:rPr>
      </w:pPr>
      <w:r w:rsidRPr="00C40BD1">
        <w:rPr>
          <w:rFonts w:ascii="Palatino Linotype" w:eastAsia="Calibri" w:hAnsi="Palatino Linotype" w:cs="Tahoma"/>
          <w:bCs/>
          <w:noProof/>
          <w:color w:val="FF0000"/>
          <w:sz w:val="22"/>
          <w:szCs w:val="22"/>
          <w:lang w:eastAsia="es-MX"/>
        </w:rPr>
        <w:drawing>
          <wp:inline distT="0" distB="0" distL="0" distR="0" wp14:anchorId="48384768" wp14:editId="07AAD119">
            <wp:extent cx="4210493" cy="5197525"/>
            <wp:effectExtent l="0" t="0" r="6350" b="0"/>
            <wp:docPr id="119397377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3896" cy="5325168"/>
                    </a:xfrm>
                    <a:prstGeom prst="rect">
                      <a:avLst/>
                    </a:prstGeom>
                    <a:noFill/>
                  </pic:spPr>
                </pic:pic>
              </a:graphicData>
            </a:graphic>
          </wp:inline>
        </w:drawing>
      </w:r>
    </w:p>
    <w:p w14:paraId="2E3FDE93" w14:textId="77777777" w:rsidR="004F0035" w:rsidRPr="00C40BD1" w:rsidRDefault="004F0035" w:rsidP="00220BD1">
      <w:pPr>
        <w:tabs>
          <w:tab w:val="left" w:pos="4962"/>
        </w:tabs>
        <w:spacing w:line="360" w:lineRule="auto"/>
        <w:jc w:val="center"/>
        <w:rPr>
          <w:rFonts w:ascii="Palatino Linotype" w:eastAsia="Calibri" w:hAnsi="Palatino Linotype" w:cs="Tahoma"/>
          <w:bCs/>
          <w:color w:val="FF0000"/>
          <w:sz w:val="22"/>
          <w:szCs w:val="22"/>
        </w:rPr>
      </w:pPr>
    </w:p>
    <w:p w14:paraId="0B2D0C80" w14:textId="03C17E5F" w:rsidR="001374C6" w:rsidRPr="00C40BD1" w:rsidRDefault="009C787D" w:rsidP="00220BD1">
      <w:pPr>
        <w:tabs>
          <w:tab w:val="left" w:pos="4962"/>
        </w:tabs>
        <w:spacing w:line="360" w:lineRule="auto"/>
        <w:contextualSpacing/>
        <w:jc w:val="both"/>
        <w:rPr>
          <w:rFonts w:ascii="Palatino Linotype" w:eastAsia="Calibri" w:hAnsi="Palatino Linotype" w:cs="Tahoma"/>
          <w:sz w:val="22"/>
          <w:szCs w:val="22"/>
          <w:lang w:val="es-ES" w:eastAsia="es-MX"/>
        </w:rPr>
      </w:pPr>
      <w:r w:rsidRPr="00C40BD1">
        <w:rPr>
          <w:rFonts w:ascii="Palatino Linotype" w:hAnsi="Palatino Linotype"/>
          <w:sz w:val="22"/>
        </w:rPr>
        <w:lastRenderedPageBreak/>
        <w:t>Conforme a lo expuesto, se logra vislumbrar que la pretensión de la persona Recurrente es</w:t>
      </w:r>
      <w:r w:rsidR="000D5C21" w:rsidRPr="00C40BD1">
        <w:rPr>
          <w:rFonts w:ascii="Palatino Linotype" w:hAnsi="Palatino Linotype"/>
          <w:sz w:val="22"/>
        </w:rPr>
        <w:t xml:space="preserve"> obtener</w:t>
      </w:r>
      <w:r w:rsidR="001374C6" w:rsidRPr="00C40BD1">
        <w:rPr>
          <w:rFonts w:ascii="Palatino Linotype" w:hAnsi="Palatino Linotype"/>
          <w:sz w:val="22"/>
        </w:rPr>
        <w:t xml:space="preserve">, </w:t>
      </w:r>
      <w:r w:rsidR="008C417E" w:rsidRPr="00C40BD1">
        <w:rPr>
          <w:rFonts w:ascii="Palatino Linotype" w:hAnsi="Palatino Linotype"/>
          <w:sz w:val="22"/>
        </w:rPr>
        <w:t>los</w:t>
      </w:r>
      <w:r w:rsidR="001374C6" w:rsidRPr="00C40BD1">
        <w:rPr>
          <w:rFonts w:ascii="Palatino Linotype" w:eastAsia="Calibri" w:hAnsi="Palatino Linotype" w:cs="Tahoma"/>
          <w:sz w:val="22"/>
          <w:szCs w:val="22"/>
          <w:lang w:val="es-ES" w:eastAsia="es-MX"/>
        </w:rPr>
        <w:t xml:space="preserve"> documentos </w:t>
      </w:r>
      <w:r w:rsidR="008C417E" w:rsidRPr="00C40BD1">
        <w:rPr>
          <w:rFonts w:ascii="Palatino Linotype" w:eastAsia="Calibri" w:hAnsi="Palatino Linotype" w:cs="Tahoma"/>
          <w:sz w:val="22"/>
          <w:szCs w:val="22"/>
          <w:lang w:val="es-ES" w:eastAsia="es-MX"/>
        </w:rPr>
        <w:t xml:space="preserve">donde conste el uso de recursos públicos </w:t>
      </w:r>
      <w:r w:rsidR="001374C6" w:rsidRPr="00C40BD1">
        <w:rPr>
          <w:rFonts w:ascii="Palatino Linotype" w:eastAsia="Calibri" w:hAnsi="Palatino Linotype" w:cs="Tahoma"/>
          <w:sz w:val="22"/>
          <w:szCs w:val="22"/>
          <w:lang w:val="es-ES" w:eastAsia="es-MX"/>
        </w:rPr>
        <w:t>(materiales, financieros o humanos)</w:t>
      </w:r>
      <w:r w:rsidR="008C417E" w:rsidRPr="00C40BD1">
        <w:rPr>
          <w:rFonts w:ascii="Palatino Linotype" w:eastAsia="Calibri" w:hAnsi="Palatino Linotype" w:cs="Tahoma"/>
          <w:sz w:val="22"/>
          <w:szCs w:val="22"/>
          <w:lang w:val="es-ES" w:eastAsia="es-MX"/>
        </w:rPr>
        <w:t xml:space="preserve"> del veinticuatro de noviembre de dos mil veinticuatro al veinticuatro de noviembre de dos mil veinticinco, que incluya montos, fechas y conceptos,</w:t>
      </w:r>
      <w:r w:rsidR="001374C6" w:rsidRPr="00C40BD1">
        <w:rPr>
          <w:rFonts w:ascii="Palatino Linotype" w:eastAsia="Calibri" w:hAnsi="Palatino Linotype" w:cs="Tahoma"/>
          <w:sz w:val="22"/>
          <w:szCs w:val="22"/>
          <w:lang w:val="es-ES" w:eastAsia="es-MX"/>
        </w:rPr>
        <w:t xml:space="preserve"> para: </w:t>
      </w:r>
    </w:p>
    <w:p w14:paraId="2C22EC9D" w14:textId="5A454026" w:rsidR="001374C6" w:rsidRPr="00C40BD1" w:rsidRDefault="001374C6" w:rsidP="00220BD1">
      <w:pPr>
        <w:tabs>
          <w:tab w:val="left" w:pos="4962"/>
        </w:tabs>
        <w:spacing w:line="360" w:lineRule="auto"/>
        <w:contextualSpacing/>
        <w:jc w:val="both"/>
        <w:rPr>
          <w:rFonts w:ascii="Palatino Linotype" w:hAnsi="Palatino Linotype"/>
          <w:sz w:val="22"/>
        </w:rPr>
      </w:pPr>
    </w:p>
    <w:p w14:paraId="430EC6E2" w14:textId="2208E91B" w:rsidR="001374C6" w:rsidRPr="00C40BD1" w:rsidRDefault="001374C6" w:rsidP="00220BD1">
      <w:pPr>
        <w:pStyle w:val="Prrafodelista"/>
        <w:numPr>
          <w:ilvl w:val="0"/>
          <w:numId w:val="18"/>
        </w:numPr>
        <w:tabs>
          <w:tab w:val="left" w:pos="4962"/>
        </w:tabs>
        <w:spacing w:line="360" w:lineRule="auto"/>
        <w:jc w:val="both"/>
        <w:rPr>
          <w:rFonts w:ascii="Palatino Linotype" w:eastAsia="Calibri" w:hAnsi="Palatino Linotype" w:cs="Tahoma"/>
          <w:szCs w:val="22"/>
          <w:lang w:val="es-ES" w:eastAsia="es-MX"/>
        </w:rPr>
      </w:pPr>
      <w:r w:rsidRPr="00C40BD1">
        <w:rPr>
          <w:rFonts w:ascii="Palatino Linotype" w:eastAsia="Calibri" w:hAnsi="Palatino Linotype" w:cs="Tahoma"/>
          <w:szCs w:val="22"/>
          <w:lang w:val="es-ES" w:eastAsia="es-MX"/>
        </w:rPr>
        <w:t>Transporte, instalación o mantenimiento de la estatua del “Señor del Nicho”.</w:t>
      </w:r>
    </w:p>
    <w:p w14:paraId="28F09156" w14:textId="77777777" w:rsidR="001374C6" w:rsidRPr="00C40BD1" w:rsidRDefault="001374C6" w:rsidP="00220BD1">
      <w:pPr>
        <w:tabs>
          <w:tab w:val="left" w:pos="4962"/>
        </w:tabs>
        <w:spacing w:line="360" w:lineRule="auto"/>
        <w:contextualSpacing/>
        <w:jc w:val="both"/>
        <w:rPr>
          <w:rFonts w:ascii="Palatino Linotype" w:eastAsia="Calibri" w:hAnsi="Palatino Linotype" w:cs="Tahoma"/>
          <w:sz w:val="22"/>
          <w:szCs w:val="22"/>
          <w:lang w:val="es-ES" w:eastAsia="es-MX"/>
        </w:rPr>
      </w:pPr>
    </w:p>
    <w:p w14:paraId="300463CA" w14:textId="5FD83D2C" w:rsidR="001374C6" w:rsidRPr="00C40BD1" w:rsidRDefault="001374C6" w:rsidP="00220BD1">
      <w:pPr>
        <w:pStyle w:val="Prrafodelista"/>
        <w:numPr>
          <w:ilvl w:val="0"/>
          <w:numId w:val="18"/>
        </w:numPr>
        <w:tabs>
          <w:tab w:val="left" w:pos="4962"/>
        </w:tabs>
        <w:spacing w:line="360" w:lineRule="auto"/>
        <w:jc w:val="both"/>
        <w:rPr>
          <w:rFonts w:ascii="Palatino Linotype" w:eastAsia="Calibri" w:hAnsi="Palatino Linotype" w:cs="Tahoma"/>
          <w:szCs w:val="22"/>
          <w:lang w:val="es-ES" w:eastAsia="es-MX"/>
        </w:rPr>
      </w:pPr>
      <w:r w:rsidRPr="00C40BD1">
        <w:rPr>
          <w:rFonts w:ascii="Palatino Linotype" w:eastAsia="Calibri" w:hAnsi="Palatino Linotype" w:cs="Tahoma"/>
          <w:szCs w:val="22"/>
          <w:lang w:val="es-ES" w:eastAsia="es-MX"/>
        </w:rPr>
        <w:t xml:space="preserve">Obras o apoyo al predio denominado “Centro Cultural del Señor del Nicho”. </w:t>
      </w:r>
    </w:p>
    <w:p w14:paraId="60B9F5A4" w14:textId="77777777" w:rsidR="001374C6" w:rsidRPr="00C40BD1" w:rsidRDefault="001374C6" w:rsidP="00220BD1">
      <w:pPr>
        <w:tabs>
          <w:tab w:val="left" w:pos="4962"/>
        </w:tabs>
        <w:spacing w:line="360" w:lineRule="auto"/>
        <w:contextualSpacing/>
        <w:jc w:val="both"/>
        <w:rPr>
          <w:rFonts w:ascii="Palatino Linotype" w:hAnsi="Palatino Linotype"/>
          <w:sz w:val="22"/>
        </w:rPr>
      </w:pPr>
    </w:p>
    <w:p w14:paraId="6BDA4B49" w14:textId="5E2708B5" w:rsidR="008C417E" w:rsidRPr="00C40BD1" w:rsidRDefault="008C417E" w:rsidP="00220BD1">
      <w:pPr>
        <w:spacing w:line="360" w:lineRule="auto"/>
        <w:jc w:val="both"/>
        <w:rPr>
          <w:rFonts w:ascii="Palatino Linotype" w:eastAsia="Palatino Linotype" w:hAnsi="Palatino Linotype" w:cs="Palatino Linotype"/>
          <w:color w:val="000000"/>
          <w:sz w:val="22"/>
          <w:szCs w:val="22"/>
          <w:lang w:eastAsia="es-MX"/>
        </w:rPr>
      </w:pPr>
      <w:r w:rsidRPr="00C40BD1">
        <w:rPr>
          <w:rFonts w:ascii="Palatino Linotype" w:eastAsia="Palatino Linotype" w:hAnsi="Palatino Linotype" w:cs="Palatino Linotype"/>
          <w:color w:val="000000"/>
          <w:sz w:val="22"/>
          <w:szCs w:val="22"/>
          <w:lang w:eastAsia="es-MX"/>
        </w:rPr>
        <w:t xml:space="preserve">Lo anterior, de conformidad con el Criterio de Interpretación, con clave de control SO/003/2019, emitido por el Instituto Nacional de Transparencia, Acceso a la Información y Protección de Datos Personales, el cual establece que para los casos en que el particular no señale periodo del cual se requiere información, deberá considerarse que se requiere aquella de un año inmediato anterior, contado a partir de la fecha en que se presentó la solicitud. </w:t>
      </w:r>
    </w:p>
    <w:p w14:paraId="3DC83E97" w14:textId="77777777" w:rsidR="008C417E" w:rsidRPr="00C40BD1" w:rsidRDefault="008C417E" w:rsidP="00220BD1">
      <w:pPr>
        <w:tabs>
          <w:tab w:val="left" w:pos="4962"/>
        </w:tabs>
        <w:spacing w:line="360" w:lineRule="auto"/>
        <w:contextualSpacing/>
        <w:jc w:val="both"/>
        <w:rPr>
          <w:rFonts w:ascii="Palatino Linotype" w:hAnsi="Palatino Linotype"/>
          <w:sz w:val="22"/>
        </w:rPr>
      </w:pPr>
    </w:p>
    <w:p w14:paraId="02DE6C00" w14:textId="53534879" w:rsidR="00870C32" w:rsidRPr="00C40BD1" w:rsidRDefault="00870C32" w:rsidP="00220BD1">
      <w:pPr>
        <w:spacing w:line="360" w:lineRule="auto"/>
        <w:jc w:val="both"/>
        <w:rPr>
          <w:rFonts w:ascii="Palatino Linotype" w:hAnsi="Palatino Linotype"/>
          <w:sz w:val="22"/>
        </w:rPr>
      </w:pPr>
      <w:r w:rsidRPr="00C40BD1">
        <w:rPr>
          <w:rFonts w:ascii="Palatino Linotype" w:hAnsi="Palatino Linotype"/>
          <w:sz w:val="22"/>
        </w:rPr>
        <w:t xml:space="preserve">Así, se procede analizar la información proporcionada por el Sujeto Obligado, para lo cual, cabe señalar que este, turnó la solicitud de información, a la </w:t>
      </w:r>
      <w:r w:rsidR="00075C5C" w:rsidRPr="00C40BD1">
        <w:rPr>
          <w:rFonts w:ascii="Palatino Linotype" w:hAnsi="Palatino Linotype" w:cs="Tahoma"/>
          <w:bCs/>
          <w:iCs/>
          <w:sz w:val="22"/>
          <w:szCs w:val="22"/>
          <w:lang w:val="es-ES"/>
        </w:rPr>
        <w:t>Dirección de Administración y Finanzas</w:t>
      </w:r>
      <w:r w:rsidRPr="00C40BD1">
        <w:rPr>
          <w:rFonts w:ascii="Palatino Linotype" w:hAnsi="Palatino Linotype"/>
          <w:sz w:val="22"/>
        </w:rPr>
        <w:t xml:space="preserve">; por lo que, es oportuno hacer referencia al </w:t>
      </w:r>
      <w:r w:rsidRPr="00C40BD1">
        <w:rPr>
          <w:rFonts w:ascii="Palatino Linotype" w:hAnsi="Palatino Linotype"/>
          <w:b/>
          <w:sz w:val="22"/>
        </w:rPr>
        <w:t>procedimiento de búsqueda que deben de seguir los Sujetos Obligados para localizar la información</w:t>
      </w:r>
      <w:r w:rsidRPr="00C40BD1">
        <w:rPr>
          <w:rFonts w:ascii="Palatino Linotype" w:hAnsi="Palatino Linotype"/>
          <w:sz w:val="22"/>
        </w:rPr>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con el objeto de que dichas áreas realicen una búsqueda exhaustiva y razonable de la información requerido.</w:t>
      </w:r>
    </w:p>
    <w:p w14:paraId="6E99D464" w14:textId="57256C32" w:rsidR="00870C32" w:rsidRPr="00C40BD1" w:rsidRDefault="00870C32" w:rsidP="00220BD1">
      <w:pPr>
        <w:spacing w:line="360" w:lineRule="auto"/>
        <w:jc w:val="both"/>
        <w:rPr>
          <w:rFonts w:ascii="Palatino Linotype" w:hAnsi="Palatino Linotype"/>
          <w:sz w:val="22"/>
        </w:rPr>
      </w:pPr>
    </w:p>
    <w:p w14:paraId="2FF4F260" w14:textId="52848E45" w:rsidR="00F668A0" w:rsidRPr="00C40BD1" w:rsidRDefault="00870C32" w:rsidP="00220BD1">
      <w:pPr>
        <w:spacing w:line="360" w:lineRule="auto"/>
        <w:ind w:right="-93"/>
        <w:jc w:val="both"/>
        <w:rPr>
          <w:rFonts w:ascii="Palatino Linotype" w:hAnsi="Palatino Linotype"/>
          <w:sz w:val="22"/>
        </w:rPr>
      </w:pPr>
      <w:r w:rsidRPr="00C40BD1">
        <w:rPr>
          <w:rFonts w:ascii="Palatino Linotype" w:hAnsi="Palatino Linotype"/>
          <w:sz w:val="22"/>
        </w:rPr>
        <w:t>Así</w:t>
      </w:r>
      <w:r w:rsidR="00F668A0" w:rsidRPr="00C40BD1">
        <w:rPr>
          <w:rFonts w:ascii="Palatino Linotype" w:hAnsi="Palatino Linotype"/>
          <w:sz w:val="22"/>
        </w:rPr>
        <w:t xml:space="preserve"> para verificar el procedimiento de búsqueda es necesario traer a </w:t>
      </w:r>
      <w:r w:rsidR="003E3B8D" w:rsidRPr="00C40BD1">
        <w:rPr>
          <w:rFonts w:ascii="Palatino Linotype" w:hAnsi="Palatino Linotype"/>
          <w:sz w:val="22"/>
        </w:rPr>
        <w:t>colación el</w:t>
      </w:r>
      <w:r w:rsidR="00F668A0" w:rsidRPr="00C40BD1">
        <w:rPr>
          <w:rFonts w:ascii="Palatino Linotype" w:hAnsi="Palatino Linotype"/>
          <w:sz w:val="22"/>
        </w:rPr>
        <w:t xml:space="preserve"> </w:t>
      </w:r>
      <w:r w:rsidR="003E3B8D" w:rsidRPr="00C40BD1">
        <w:rPr>
          <w:rFonts w:ascii="Palatino Linotype" w:hAnsi="Palatino Linotype"/>
          <w:sz w:val="22"/>
        </w:rPr>
        <w:t>artículo</w:t>
      </w:r>
      <w:r w:rsidR="00F668A0" w:rsidRPr="00C40BD1">
        <w:rPr>
          <w:rFonts w:ascii="Palatino Linotype" w:hAnsi="Palatino Linotype"/>
          <w:sz w:val="22"/>
        </w:rPr>
        <w:t xml:space="preserve"> </w:t>
      </w:r>
      <w:r w:rsidR="003E3B8D" w:rsidRPr="00C40BD1">
        <w:rPr>
          <w:rFonts w:ascii="Palatino Linotype" w:hAnsi="Palatino Linotype"/>
          <w:sz w:val="22"/>
        </w:rPr>
        <w:t xml:space="preserve">47 del Bando Municipal del Ayuntamiento de Tepotzotlán dos mil veinticinco, el cual establece que </w:t>
      </w:r>
      <w:r w:rsidR="003E3B8D" w:rsidRPr="00C40BD1">
        <w:rPr>
          <w:rFonts w:ascii="Palatino Linotype" w:hAnsi="Palatino Linotype"/>
          <w:sz w:val="22"/>
        </w:rPr>
        <w:lastRenderedPageBreak/>
        <w:t>la Dirección de Administración y Finanzas, que asumirá las funciones y atribuciones de la Tesorería, teniendo como funciones, en forma enunciativa y no limitativa, las establecidas en el artículo 95 de la Ley Orgánica Municipal del Estado de México, así como lo dispuesto por las leyes y reglamentos aplicables en el ámbito de su competencia.</w:t>
      </w:r>
    </w:p>
    <w:p w14:paraId="7E1E1302" w14:textId="77777777" w:rsidR="003E3B8D" w:rsidRPr="00C40BD1" w:rsidRDefault="003E3B8D" w:rsidP="00220BD1">
      <w:pPr>
        <w:spacing w:line="360" w:lineRule="auto"/>
        <w:ind w:right="-93"/>
        <w:jc w:val="both"/>
        <w:rPr>
          <w:rFonts w:ascii="Palatino Linotype" w:hAnsi="Palatino Linotype"/>
          <w:sz w:val="22"/>
        </w:rPr>
      </w:pPr>
    </w:p>
    <w:p w14:paraId="4E7568B1" w14:textId="2F841CD8" w:rsidR="003E3B8D" w:rsidRPr="00C40BD1" w:rsidRDefault="003E3B8D" w:rsidP="00220BD1">
      <w:pPr>
        <w:spacing w:line="360" w:lineRule="auto"/>
        <w:ind w:right="-93"/>
        <w:jc w:val="both"/>
        <w:rPr>
          <w:rFonts w:ascii="Palatino Linotype" w:hAnsi="Palatino Linotype"/>
          <w:sz w:val="22"/>
        </w:rPr>
      </w:pPr>
      <w:r w:rsidRPr="00C40BD1">
        <w:rPr>
          <w:rFonts w:ascii="Palatino Linotype" w:hAnsi="Palatino Linotype"/>
          <w:sz w:val="22"/>
        </w:rPr>
        <w:t>En esa misma consecución de ideas, el artículo 48 del Bando en comento señala que dicha Dirección es el único órgano encargado de la recaudación de los ingresos municipales y responsable de realizar las erogaciones que lleve a cabo el Ayuntamiento.</w:t>
      </w:r>
    </w:p>
    <w:p w14:paraId="0AF9ABC5" w14:textId="7A535000" w:rsidR="00F668A0" w:rsidRPr="00C40BD1" w:rsidRDefault="003E3B8D" w:rsidP="00220BD1">
      <w:pPr>
        <w:tabs>
          <w:tab w:val="left" w:pos="3180"/>
        </w:tabs>
        <w:spacing w:line="360" w:lineRule="auto"/>
        <w:ind w:right="-93"/>
        <w:jc w:val="both"/>
        <w:rPr>
          <w:rFonts w:ascii="Palatino Linotype" w:hAnsi="Palatino Linotype"/>
          <w:sz w:val="22"/>
        </w:rPr>
      </w:pPr>
      <w:r w:rsidRPr="00C40BD1">
        <w:rPr>
          <w:rFonts w:ascii="Palatino Linotype" w:hAnsi="Palatino Linotype"/>
          <w:sz w:val="22"/>
        </w:rPr>
        <w:tab/>
      </w:r>
    </w:p>
    <w:p w14:paraId="4235E5C8" w14:textId="7F514D61" w:rsidR="00F668A0" w:rsidRPr="00C40BD1" w:rsidRDefault="009A0D40" w:rsidP="00220BD1">
      <w:pPr>
        <w:spacing w:line="360" w:lineRule="auto"/>
        <w:ind w:right="-93"/>
        <w:jc w:val="both"/>
        <w:rPr>
          <w:rFonts w:ascii="Palatino Linotype" w:hAnsi="Palatino Linotype"/>
          <w:sz w:val="22"/>
        </w:rPr>
      </w:pPr>
      <w:r w:rsidRPr="00C40BD1">
        <w:rPr>
          <w:rFonts w:ascii="Palatino Linotype" w:hAnsi="Palatino Linotype"/>
          <w:sz w:val="22"/>
        </w:rPr>
        <w:t>En relación con lo anterior el Manual de Organización de la Dirección de Administración y Finanzas, señala que dicha Dirección cuenta con una Jefatura de Adquisiciones encargada de vigilar que las adquisiciones de bienes y contratación de servicios se efectuarán de conformidad con las disposiciones de la Ley de Contratación Públicas del Estado de México.</w:t>
      </w:r>
    </w:p>
    <w:p w14:paraId="432C8637" w14:textId="77777777" w:rsidR="0080501B" w:rsidRPr="00C40BD1" w:rsidRDefault="0080501B" w:rsidP="00220BD1">
      <w:pPr>
        <w:spacing w:line="360" w:lineRule="auto"/>
        <w:ind w:right="-93"/>
        <w:jc w:val="both"/>
        <w:rPr>
          <w:rFonts w:ascii="Palatino Linotype" w:hAnsi="Palatino Linotype"/>
          <w:sz w:val="22"/>
        </w:rPr>
      </w:pPr>
    </w:p>
    <w:p w14:paraId="2A95D5CA" w14:textId="6A952D60" w:rsidR="0080501B" w:rsidRPr="00C40BD1" w:rsidRDefault="0080501B" w:rsidP="00220BD1">
      <w:pPr>
        <w:spacing w:line="360" w:lineRule="auto"/>
        <w:ind w:right="-93"/>
        <w:jc w:val="both"/>
        <w:rPr>
          <w:rFonts w:ascii="Palatino Linotype" w:hAnsi="Palatino Linotype"/>
          <w:sz w:val="22"/>
        </w:rPr>
      </w:pPr>
      <w:r w:rsidRPr="00C40BD1">
        <w:rPr>
          <w:rFonts w:ascii="Palatino Linotype" w:hAnsi="Palatino Linotype"/>
          <w:sz w:val="22"/>
        </w:rPr>
        <w:t xml:space="preserve">Ahora bien, el Bando Municipal del Ayuntamiento de Tepotzotlán dos mil veinticinco, en su artículo 51 señala que la Dirección de Obras Públicas, tiene como objetivo la coordinación de las obras públicas previa autorización del Ayuntamiento en términos de lo establecido en el artículo 96 bis de la Ley Orgánica Municipal del Estado de México, que consiste en funciones de </w:t>
      </w:r>
      <w:r w:rsidRPr="00C40BD1">
        <w:rPr>
          <w:rFonts w:ascii="Palatino Linotype" w:hAnsi="Palatino Linotype"/>
          <w:b/>
          <w:bCs/>
          <w:sz w:val="22"/>
        </w:rPr>
        <w:t>planeación, presupuestación, programación y ejecución.</w:t>
      </w:r>
    </w:p>
    <w:p w14:paraId="26FF49BD" w14:textId="77777777" w:rsidR="009A0D40" w:rsidRPr="00C40BD1" w:rsidRDefault="009A0D40" w:rsidP="00220BD1">
      <w:pPr>
        <w:spacing w:line="360" w:lineRule="auto"/>
        <w:ind w:right="-93"/>
        <w:jc w:val="both"/>
        <w:rPr>
          <w:rFonts w:ascii="Palatino Linotype" w:hAnsi="Palatino Linotype"/>
          <w:color w:val="FF0000"/>
          <w:sz w:val="22"/>
        </w:rPr>
      </w:pPr>
    </w:p>
    <w:p w14:paraId="26F421F1" w14:textId="41F1DAD5" w:rsidR="001A7817" w:rsidRPr="00C40BD1" w:rsidRDefault="001A7817" w:rsidP="00220BD1">
      <w:pPr>
        <w:spacing w:line="360" w:lineRule="auto"/>
        <w:ind w:right="-93"/>
        <w:jc w:val="both"/>
        <w:rPr>
          <w:rFonts w:ascii="Palatino Linotype" w:hAnsi="Palatino Linotype"/>
          <w:color w:val="FF0000"/>
          <w:sz w:val="22"/>
        </w:rPr>
      </w:pPr>
      <w:r w:rsidRPr="00C40BD1">
        <w:rPr>
          <w:rFonts w:ascii="Palatino Linotype" w:hAnsi="Palatino Linotype"/>
          <w:sz w:val="22"/>
        </w:rPr>
        <w:t xml:space="preserve"> Así y</w:t>
      </w:r>
      <w:r w:rsidR="00870C32" w:rsidRPr="00C40BD1">
        <w:rPr>
          <w:rFonts w:ascii="Palatino Linotype" w:hAnsi="Palatino Linotype"/>
          <w:sz w:val="22"/>
        </w:rPr>
        <w:t xml:space="preserve"> de lo plasmado en párrafos anteriores, se advierte que el Sujeto Obligado </w:t>
      </w:r>
      <w:r w:rsidRPr="00C40BD1">
        <w:rPr>
          <w:rFonts w:ascii="Palatino Linotype" w:hAnsi="Palatino Linotype"/>
          <w:sz w:val="22"/>
        </w:rPr>
        <w:t xml:space="preserve">no </w:t>
      </w:r>
      <w:r w:rsidR="00870C32" w:rsidRPr="00C40BD1">
        <w:rPr>
          <w:rFonts w:ascii="Palatino Linotype" w:hAnsi="Palatino Linotype"/>
          <w:sz w:val="22"/>
        </w:rPr>
        <w:t xml:space="preserve">cumplió con el procedimiento de búsqueda referido, pues turnó la solicitud de información al área competente de conocer lo solicitado, a saber, </w:t>
      </w:r>
      <w:r w:rsidRPr="00C40BD1">
        <w:rPr>
          <w:rFonts w:ascii="Palatino Linotype" w:hAnsi="Palatino Linotype"/>
          <w:sz w:val="22"/>
        </w:rPr>
        <w:t xml:space="preserve">la Dirección de Obras Públicas </w:t>
      </w:r>
      <w:r w:rsidR="00B701DA" w:rsidRPr="00C40BD1">
        <w:rPr>
          <w:rFonts w:ascii="Palatino Linotype" w:hAnsi="Palatino Linotype"/>
          <w:sz w:val="22"/>
        </w:rPr>
        <w:t>y la Presidencia Municipal, al ser la Dirección de Obras Públicas, el área encargada ver temas relacionados con las obras públicas del municipio y la Presidencia el área que participo en el evento relacionado con la información solicitada.</w:t>
      </w:r>
    </w:p>
    <w:p w14:paraId="51B4B053" w14:textId="7831B780" w:rsidR="00870C32" w:rsidRPr="00C40BD1" w:rsidRDefault="00870C32" w:rsidP="00220BD1">
      <w:pPr>
        <w:spacing w:line="360" w:lineRule="auto"/>
        <w:jc w:val="both"/>
        <w:rPr>
          <w:rFonts w:ascii="Palatino Linotype" w:hAnsi="Palatino Linotype"/>
          <w:color w:val="FF0000"/>
          <w:sz w:val="22"/>
        </w:rPr>
      </w:pPr>
    </w:p>
    <w:p w14:paraId="18B09A71" w14:textId="77777777" w:rsidR="00E05A95" w:rsidRPr="00C40BD1" w:rsidRDefault="00870C32" w:rsidP="00220BD1">
      <w:pPr>
        <w:spacing w:line="360" w:lineRule="auto"/>
        <w:jc w:val="both"/>
        <w:rPr>
          <w:rFonts w:ascii="Palatino Linotype" w:eastAsia="Palatino Linotype" w:hAnsi="Palatino Linotype" w:cs="Palatino Linotype"/>
          <w:color w:val="000000"/>
          <w:sz w:val="22"/>
          <w:szCs w:val="22"/>
          <w:lang w:eastAsia="es-MX"/>
        </w:rPr>
      </w:pPr>
      <w:r w:rsidRPr="00C40BD1">
        <w:rPr>
          <w:rFonts w:ascii="Palatino Linotype" w:eastAsia="Calibri" w:hAnsi="Palatino Linotype" w:cs="Tahoma"/>
          <w:bCs/>
          <w:sz w:val="22"/>
          <w:szCs w:val="22"/>
        </w:rPr>
        <w:lastRenderedPageBreak/>
        <w:t xml:space="preserve">Ahora bien, en Informe Justificado, la </w:t>
      </w:r>
      <w:r w:rsidR="00B701DA" w:rsidRPr="00C40BD1">
        <w:rPr>
          <w:rFonts w:ascii="Palatino Linotype" w:hAnsi="Palatino Linotype" w:cs="Tahoma"/>
          <w:bCs/>
          <w:iCs/>
          <w:sz w:val="22"/>
          <w:szCs w:val="22"/>
          <w:lang w:val="es-ES"/>
        </w:rPr>
        <w:t xml:space="preserve">Dirección de Administración y Finanzas señalo que </w:t>
      </w:r>
      <w:r w:rsidR="00B701DA" w:rsidRPr="00C40BD1">
        <w:rPr>
          <w:rFonts w:ascii="Palatino Linotype" w:hAnsi="Palatino Linotype" w:cs="Tahoma"/>
          <w:sz w:val="22"/>
          <w:szCs w:val="22"/>
          <w:lang w:val="es-ES"/>
        </w:rPr>
        <w:t>después de realizada la búsqueda exhaustiva y minuciosa en los registros contables de la Dirección, no se localizó información sobre recurso público, transporte, mantenimiento, obras o apoyo al predio denominado Centro Cultural Señor del Nicho, en consecuencia, no existe información pública que pueda ser proporcionada al respecto</w:t>
      </w:r>
      <w:r w:rsidR="00F054B0" w:rsidRPr="00C40BD1">
        <w:rPr>
          <w:rFonts w:ascii="Palatino Linotype" w:hAnsi="Palatino Linotype" w:cs="Tahoma"/>
          <w:sz w:val="22"/>
          <w:szCs w:val="22"/>
        </w:rPr>
        <w:t xml:space="preserve">; </w:t>
      </w:r>
      <w:r w:rsidR="00E05A95" w:rsidRPr="00C40BD1">
        <w:rPr>
          <w:rFonts w:ascii="Palatino Linotype" w:hAnsi="Palatino Linotype" w:cs="Tahoma"/>
          <w:sz w:val="22"/>
          <w:szCs w:val="22"/>
          <w:lang w:val="es-ES"/>
        </w:rPr>
        <w:t>Sobre dicha circunstancia, resulta necesario traer a estudio el Criterio de Interpretación, con clave de control SO/014/2017, emitido por el Instituto Nacional de Transparencia, Acceso a la Información Pública y Protección de Datos Personales en el Estado de México y Municipios, el cual establece que la inexistencia de la información, es una cuestión de hecho que se le atribuye a la misma, cuando ésta no se encuentra en los archivos del sujeto obligado.</w:t>
      </w:r>
      <w:r w:rsidR="00E05A95" w:rsidRPr="00C40BD1">
        <w:rPr>
          <w:rFonts w:ascii="Palatino Linotype" w:eastAsia="Palatino Linotype" w:hAnsi="Palatino Linotype" w:cs="Palatino Linotype"/>
          <w:color w:val="000000"/>
          <w:sz w:val="22"/>
          <w:szCs w:val="22"/>
          <w:lang w:eastAsia="es-MX"/>
        </w:rPr>
        <w:t xml:space="preserve"> </w:t>
      </w:r>
    </w:p>
    <w:p w14:paraId="4A21AD7A" w14:textId="77777777" w:rsidR="00E05A95" w:rsidRPr="00C40BD1" w:rsidRDefault="00E05A95" w:rsidP="00220BD1">
      <w:pPr>
        <w:spacing w:line="360" w:lineRule="auto"/>
        <w:jc w:val="both"/>
        <w:rPr>
          <w:rFonts w:ascii="Palatino Linotype" w:eastAsia="Palatino Linotype" w:hAnsi="Palatino Linotype" w:cs="Palatino Linotype"/>
          <w:color w:val="000000"/>
          <w:sz w:val="22"/>
          <w:szCs w:val="22"/>
          <w:lang w:eastAsia="es-MX"/>
        </w:rPr>
      </w:pPr>
    </w:p>
    <w:p w14:paraId="4F2DB4E4" w14:textId="77777777" w:rsidR="00E05A95" w:rsidRPr="00C40BD1" w:rsidRDefault="00E05A95" w:rsidP="00220BD1">
      <w:pPr>
        <w:spacing w:line="360" w:lineRule="auto"/>
        <w:jc w:val="both"/>
        <w:rPr>
          <w:rFonts w:ascii="Palatino Linotype" w:eastAsia="Palatino Linotype" w:hAnsi="Palatino Linotype" w:cs="Palatino Linotype"/>
          <w:color w:val="000000"/>
          <w:sz w:val="22"/>
          <w:szCs w:val="22"/>
          <w:lang w:eastAsia="es-MX"/>
        </w:rPr>
      </w:pPr>
      <w:r w:rsidRPr="00C40BD1">
        <w:rPr>
          <w:rFonts w:ascii="Palatino Linotype" w:eastAsia="Palatino Linotype" w:hAnsi="Palatino Linotype" w:cs="Palatino Linotype"/>
          <w:color w:val="000000"/>
          <w:sz w:val="22"/>
          <w:szCs w:val="22"/>
          <w:lang w:eastAsia="es-MX"/>
        </w:rPr>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55392CBF" w14:textId="090905A7" w:rsidR="00E05A95" w:rsidRPr="00C40BD1" w:rsidRDefault="00E05A95" w:rsidP="00220BD1">
      <w:pPr>
        <w:pStyle w:val="NormalWeb"/>
        <w:spacing w:after="0" w:line="360" w:lineRule="auto"/>
        <w:ind w:right="-28"/>
        <w:rPr>
          <w:rFonts w:ascii="Palatino Linotype" w:hAnsi="Palatino Linotype" w:cs="Tahoma"/>
          <w:color w:val="auto"/>
          <w:sz w:val="22"/>
          <w:szCs w:val="22"/>
        </w:rPr>
      </w:pPr>
    </w:p>
    <w:p w14:paraId="6CEF8B62" w14:textId="77777777" w:rsidR="00E05A95" w:rsidRPr="00C40BD1" w:rsidRDefault="00E05A95" w:rsidP="00220BD1">
      <w:pPr>
        <w:spacing w:line="360" w:lineRule="auto"/>
        <w:jc w:val="both"/>
        <w:rPr>
          <w:rFonts w:ascii="Palatino Linotype" w:eastAsia="Palatino Linotype" w:hAnsi="Palatino Linotype" w:cs="Palatino Linotype"/>
          <w:color w:val="000000"/>
          <w:sz w:val="22"/>
          <w:szCs w:val="22"/>
          <w:lang w:eastAsia="es-MX"/>
        </w:rPr>
      </w:pPr>
      <w:r w:rsidRPr="00C40BD1">
        <w:rPr>
          <w:rFonts w:ascii="Palatino Linotype" w:eastAsia="Palatino Linotype" w:hAnsi="Palatino Linotype" w:cs="Palatino Linotype"/>
          <w:color w:val="000000"/>
          <w:sz w:val="22"/>
          <w:szCs w:val="22"/>
          <w:lang w:eastAsia="es-MX"/>
        </w:rPr>
        <w:t xml:space="preserve">Conforme a lo anterior, la </w:t>
      </w:r>
      <w:r w:rsidRPr="00C40BD1">
        <w:rPr>
          <w:rFonts w:ascii="Palatino Linotype" w:eastAsia="Palatino Linotype" w:hAnsi="Palatino Linotype" w:cs="Palatino Linotype"/>
          <w:b/>
          <w:bCs/>
          <w:color w:val="000000"/>
          <w:sz w:val="22"/>
          <w:szCs w:val="22"/>
          <w:lang w:eastAsia="es-MX"/>
        </w:rPr>
        <w:t>inexistencia</w:t>
      </w:r>
      <w:r w:rsidRPr="00C40BD1">
        <w:rPr>
          <w:rFonts w:ascii="Palatino Linotype" w:eastAsia="Palatino Linotype" w:hAnsi="Palatino Linotype" w:cs="Palatino Linotype"/>
          <w:color w:val="000000"/>
          <w:sz w:val="22"/>
          <w:szCs w:val="22"/>
          <w:lang w:eastAsia="es-MX"/>
        </w:rPr>
        <w:t xml:space="preserve"> presupone la competencia del sujeto obligado para conocer de la información, pero por alguna circunstancia, la documentación solicitada no obra en sus archivos; sin embargo, para poder acreditar dicha circunstancia, se considera que los Sujetos Obligados, </w:t>
      </w:r>
      <w:r w:rsidRPr="00C40BD1">
        <w:rPr>
          <w:rFonts w:ascii="Palatino Linotype" w:eastAsia="Palatino Linotype" w:hAnsi="Palatino Linotype" w:cs="Palatino Linotype"/>
          <w:b/>
          <w:bCs/>
          <w:color w:val="000000"/>
          <w:sz w:val="22"/>
          <w:szCs w:val="22"/>
          <w:lang w:eastAsia="es-MX"/>
        </w:rPr>
        <w:t>primero deben realizar una indagación en todos los archivos de las áreas con funciones para conocer de lo peticionado.</w:t>
      </w:r>
    </w:p>
    <w:p w14:paraId="3CC30ECF" w14:textId="77777777" w:rsidR="00E05A95" w:rsidRPr="00C40BD1" w:rsidRDefault="00E05A95" w:rsidP="00220BD1">
      <w:pPr>
        <w:spacing w:line="360" w:lineRule="auto"/>
        <w:jc w:val="both"/>
        <w:rPr>
          <w:rFonts w:ascii="Palatino Linotype" w:eastAsia="Palatino Linotype" w:hAnsi="Palatino Linotype" w:cs="Palatino Linotype"/>
          <w:color w:val="000000"/>
          <w:sz w:val="22"/>
          <w:szCs w:val="22"/>
          <w:lang w:eastAsia="es-MX"/>
        </w:rPr>
      </w:pPr>
    </w:p>
    <w:p w14:paraId="08198C9C" w14:textId="77777777" w:rsidR="00E05A95" w:rsidRPr="00C40BD1" w:rsidRDefault="00E05A95" w:rsidP="00220BD1">
      <w:pPr>
        <w:spacing w:line="360" w:lineRule="auto"/>
        <w:jc w:val="both"/>
        <w:rPr>
          <w:rFonts w:ascii="Palatino Linotype" w:eastAsia="Palatino Linotype" w:hAnsi="Palatino Linotype" w:cs="Palatino Linotype"/>
          <w:b/>
          <w:bCs/>
          <w:color w:val="000000"/>
          <w:sz w:val="22"/>
          <w:szCs w:val="22"/>
          <w:lang w:eastAsia="es-MX"/>
        </w:rPr>
      </w:pPr>
      <w:r w:rsidRPr="00C40BD1">
        <w:rPr>
          <w:rFonts w:ascii="Palatino Linotype" w:eastAsia="Palatino Linotype" w:hAnsi="Palatino Linotype" w:cs="Palatino Linotype"/>
          <w:color w:val="000000"/>
          <w:sz w:val="22"/>
          <w:szCs w:val="22"/>
          <w:lang w:eastAsia="es-MX"/>
        </w:rPr>
        <w:t xml:space="preserve">En ese sentido, según Jarquín, Soledad (2019), en el “Diccionario de Transparencia y Acceso a la Información Pública” (p. 68), </w:t>
      </w:r>
      <w:r w:rsidRPr="00C40BD1">
        <w:rPr>
          <w:rFonts w:ascii="Palatino Linotype" w:eastAsia="Palatino Linotype" w:hAnsi="Palatino Linotype" w:cs="Palatino Linotype"/>
          <w:b/>
          <w:bCs/>
          <w:color w:val="000000"/>
          <w:sz w:val="22"/>
          <w:szCs w:val="22"/>
          <w:lang w:eastAsia="es-MX"/>
        </w:rPr>
        <w:t>la búsqueda exhaustiva</w:t>
      </w:r>
      <w:r w:rsidRPr="00C40BD1">
        <w:rPr>
          <w:rFonts w:ascii="Palatino Linotype" w:eastAsia="Palatino Linotype" w:hAnsi="Palatino Linotype" w:cs="Palatino Linotype"/>
          <w:color w:val="000000"/>
          <w:sz w:val="22"/>
          <w:szCs w:val="22"/>
          <w:lang w:eastAsia="es-MX"/>
        </w:rPr>
        <w:t xml:space="preserve"> es la obligación del área administrativa del Sujeto Obligado que cuenta o puede contar con la información requerida, la cual consiste en localizar toda aquella que atienda la solicitud, </w:t>
      </w:r>
      <w:r w:rsidRPr="00C40BD1">
        <w:rPr>
          <w:rFonts w:ascii="Palatino Linotype" w:eastAsia="Palatino Linotype" w:hAnsi="Palatino Linotype" w:cs="Palatino Linotype"/>
          <w:b/>
          <w:bCs/>
          <w:color w:val="000000"/>
          <w:sz w:val="22"/>
          <w:szCs w:val="22"/>
          <w:lang w:eastAsia="es-MX"/>
        </w:rPr>
        <w:t>hasta agotar por completo las posibilidades de indagación.</w:t>
      </w:r>
    </w:p>
    <w:p w14:paraId="7EDE4FFB" w14:textId="77777777" w:rsidR="00E05A95" w:rsidRPr="00C40BD1" w:rsidRDefault="00E05A95" w:rsidP="00220BD1">
      <w:pPr>
        <w:spacing w:line="360" w:lineRule="auto"/>
        <w:jc w:val="both"/>
        <w:rPr>
          <w:rFonts w:ascii="Palatino Linotype" w:eastAsia="Palatino Linotype" w:hAnsi="Palatino Linotype" w:cs="Palatino Linotype"/>
          <w:b/>
          <w:bCs/>
          <w:color w:val="000000"/>
          <w:sz w:val="22"/>
          <w:szCs w:val="22"/>
          <w:lang w:eastAsia="es-MX"/>
        </w:rPr>
      </w:pPr>
      <w:r w:rsidRPr="00C40BD1">
        <w:rPr>
          <w:rFonts w:ascii="Palatino Linotype" w:eastAsia="Palatino Linotype" w:hAnsi="Palatino Linotype" w:cs="Palatino Linotype"/>
          <w:color w:val="000000"/>
          <w:sz w:val="22"/>
          <w:szCs w:val="22"/>
          <w:lang w:eastAsia="es-MX"/>
        </w:rPr>
        <w:lastRenderedPageBreak/>
        <w:t xml:space="preserve">Además, según Calero, Natalia (2016), en la “Ley General de Transparencia y Acceso a la Información Pública Comentada” (p. 408), para que exista una búsqueda exhaustiva y razonable, se debe hacer una </w:t>
      </w:r>
      <w:r w:rsidRPr="00C40BD1">
        <w:rPr>
          <w:rFonts w:ascii="Palatino Linotype" w:eastAsia="Palatino Linotype" w:hAnsi="Palatino Linotype" w:cs="Palatino Linotype"/>
          <w:b/>
          <w:bCs/>
          <w:color w:val="000000"/>
          <w:sz w:val="22"/>
          <w:szCs w:val="22"/>
          <w:lang w:eastAsia="es-MX"/>
        </w:rPr>
        <w:t xml:space="preserve">indagación consiente y minuciosa en sus archivos físicos y electrónicos. </w:t>
      </w:r>
    </w:p>
    <w:p w14:paraId="31AF53C2" w14:textId="77777777" w:rsidR="00E05A95" w:rsidRPr="00C40BD1" w:rsidRDefault="00E05A95" w:rsidP="00220BD1">
      <w:pPr>
        <w:spacing w:line="360" w:lineRule="auto"/>
        <w:jc w:val="both"/>
        <w:rPr>
          <w:rFonts w:ascii="Palatino Linotype" w:eastAsia="Palatino Linotype" w:hAnsi="Palatino Linotype" w:cs="Palatino Linotype"/>
          <w:color w:val="000000"/>
          <w:sz w:val="22"/>
          <w:szCs w:val="22"/>
          <w:lang w:eastAsia="es-MX"/>
        </w:rPr>
      </w:pPr>
    </w:p>
    <w:p w14:paraId="7447FD81" w14:textId="77777777" w:rsidR="00E05A95" w:rsidRPr="00C40BD1" w:rsidRDefault="00E05A95" w:rsidP="00220BD1">
      <w:pPr>
        <w:spacing w:line="360" w:lineRule="auto"/>
        <w:jc w:val="both"/>
        <w:rPr>
          <w:rFonts w:ascii="Palatino Linotype" w:eastAsia="Palatino Linotype" w:hAnsi="Palatino Linotype" w:cs="Palatino Linotype"/>
          <w:b/>
          <w:bCs/>
          <w:color w:val="000000"/>
          <w:sz w:val="22"/>
          <w:szCs w:val="22"/>
          <w:lang w:eastAsia="es-MX"/>
        </w:rPr>
      </w:pPr>
      <w:r w:rsidRPr="00C40BD1">
        <w:rPr>
          <w:rFonts w:ascii="Palatino Linotype" w:eastAsia="Palatino Linotype" w:hAnsi="Palatino Linotype" w:cs="Palatino Linotype"/>
          <w:color w:val="000000"/>
          <w:sz w:val="22"/>
          <w:szCs w:val="22"/>
          <w:lang w:eastAsia="es-MX"/>
        </w:rPr>
        <w:t xml:space="preserve">Conforme a lo anterior, para poder acreditar el carácter exhaustivo de la búsqueda realizada por los Sujetos Obligados, se deben motivar las razones por las que se buscó la información en determinadas áreas, </w:t>
      </w:r>
      <w:r w:rsidRPr="00C40BD1">
        <w:rPr>
          <w:rFonts w:ascii="Palatino Linotype" w:eastAsia="Palatino Linotype" w:hAnsi="Palatino Linotype" w:cs="Palatino Linotype"/>
          <w:b/>
          <w:bCs/>
          <w:color w:val="000000"/>
          <w:sz w:val="22"/>
          <w:szCs w:val="22"/>
          <w:lang w:eastAsia="es-MX"/>
        </w:rPr>
        <w:t>los criterios de búsqueda utilizados y demás circunstancias que fueron tomadas en cuenta.</w:t>
      </w:r>
    </w:p>
    <w:p w14:paraId="08D52651" w14:textId="77777777" w:rsidR="00E05A95" w:rsidRPr="00C40BD1" w:rsidRDefault="00E05A95" w:rsidP="00220BD1">
      <w:pPr>
        <w:spacing w:line="360" w:lineRule="auto"/>
        <w:jc w:val="both"/>
        <w:rPr>
          <w:rFonts w:ascii="Palatino Linotype" w:eastAsia="Palatino Linotype" w:hAnsi="Palatino Linotype" w:cs="Palatino Linotype"/>
          <w:color w:val="000000"/>
          <w:sz w:val="22"/>
          <w:szCs w:val="22"/>
          <w:lang w:eastAsia="es-MX"/>
        </w:rPr>
      </w:pPr>
    </w:p>
    <w:p w14:paraId="742BACFE" w14:textId="77777777" w:rsidR="00E05A95" w:rsidRPr="00C40BD1" w:rsidRDefault="00E05A95" w:rsidP="00220BD1">
      <w:pPr>
        <w:spacing w:line="360" w:lineRule="auto"/>
        <w:jc w:val="both"/>
        <w:rPr>
          <w:rFonts w:ascii="Palatino Linotype" w:eastAsia="Palatino Linotype" w:hAnsi="Palatino Linotype" w:cs="Palatino Linotype"/>
          <w:color w:val="000000"/>
          <w:sz w:val="22"/>
          <w:szCs w:val="22"/>
          <w:lang w:eastAsia="es-MX"/>
        </w:rPr>
      </w:pPr>
      <w:r w:rsidRPr="00C40BD1">
        <w:rPr>
          <w:rFonts w:ascii="Palatino Linotype" w:eastAsia="Palatino Linotype" w:hAnsi="Palatino Linotype" w:cs="Palatino Linotype"/>
          <w:color w:val="000000"/>
          <w:sz w:val="22"/>
          <w:szCs w:val="22"/>
          <w:lang w:eastAsia="es-MX"/>
        </w:rPr>
        <w:t>En ese contexto, de conformidad con los criterios con clave de control SO/012/2010 y SO/004/2019,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4A98759F" w14:textId="77777777" w:rsidR="00E05A95" w:rsidRPr="00C40BD1" w:rsidRDefault="00E05A95" w:rsidP="00220BD1">
      <w:pPr>
        <w:spacing w:line="360" w:lineRule="auto"/>
        <w:jc w:val="both"/>
        <w:rPr>
          <w:rFonts w:ascii="Palatino Linotype" w:eastAsia="Palatino Linotype" w:hAnsi="Palatino Linotype" w:cs="Palatino Linotype"/>
          <w:color w:val="000000"/>
          <w:sz w:val="22"/>
          <w:szCs w:val="22"/>
          <w:lang w:eastAsia="es-MX"/>
        </w:rPr>
      </w:pPr>
    </w:p>
    <w:p w14:paraId="55E53D96" w14:textId="77777777" w:rsidR="00E05A95" w:rsidRPr="00C40BD1" w:rsidRDefault="00E05A95" w:rsidP="00220BD1">
      <w:pPr>
        <w:numPr>
          <w:ilvl w:val="0"/>
          <w:numId w:val="15"/>
        </w:numPr>
        <w:spacing w:line="360" w:lineRule="auto"/>
        <w:jc w:val="both"/>
        <w:rPr>
          <w:rFonts w:ascii="Palatino Linotype" w:eastAsia="Palatino Linotype" w:hAnsi="Palatino Linotype" w:cs="Palatino Linotype"/>
          <w:color w:val="000000"/>
          <w:sz w:val="22"/>
          <w:szCs w:val="22"/>
          <w:lang w:eastAsia="es-MX"/>
        </w:rPr>
      </w:pPr>
      <w:r w:rsidRPr="00C40BD1">
        <w:rPr>
          <w:rFonts w:ascii="Palatino Linotype" w:eastAsia="Palatino Linotype" w:hAnsi="Palatino Linotype" w:cs="Palatino Linotype"/>
          <w:color w:val="000000"/>
          <w:sz w:val="22"/>
          <w:szCs w:val="22"/>
          <w:lang w:eastAsia="es-MX"/>
        </w:rPr>
        <w:t>Motivación por las que se buscó la información, en determinadas unidades administrativas;</w:t>
      </w:r>
    </w:p>
    <w:p w14:paraId="567881C0" w14:textId="77777777" w:rsidR="00E05A95" w:rsidRPr="00C40BD1" w:rsidRDefault="00E05A95" w:rsidP="00220BD1">
      <w:pPr>
        <w:numPr>
          <w:ilvl w:val="0"/>
          <w:numId w:val="15"/>
        </w:numPr>
        <w:spacing w:line="360" w:lineRule="auto"/>
        <w:jc w:val="both"/>
        <w:rPr>
          <w:rFonts w:ascii="Palatino Linotype" w:eastAsia="Palatino Linotype" w:hAnsi="Palatino Linotype" w:cs="Palatino Linotype"/>
          <w:color w:val="000000"/>
          <w:sz w:val="22"/>
          <w:szCs w:val="22"/>
          <w:lang w:eastAsia="es-MX"/>
        </w:rPr>
      </w:pPr>
      <w:r w:rsidRPr="00C40BD1">
        <w:rPr>
          <w:rFonts w:ascii="Palatino Linotype" w:eastAsia="Palatino Linotype" w:hAnsi="Palatino Linotype" w:cs="Palatino Linotype"/>
          <w:color w:val="000000"/>
          <w:sz w:val="22"/>
          <w:szCs w:val="22"/>
          <w:lang w:eastAsia="es-MX"/>
        </w:rPr>
        <w:t>Los criterios de búsqueda utilizados, y</w:t>
      </w:r>
    </w:p>
    <w:p w14:paraId="68168FEB" w14:textId="77777777" w:rsidR="00E05A95" w:rsidRPr="00C40BD1" w:rsidRDefault="00E05A95" w:rsidP="00220BD1">
      <w:pPr>
        <w:numPr>
          <w:ilvl w:val="0"/>
          <w:numId w:val="15"/>
        </w:numPr>
        <w:spacing w:line="360" w:lineRule="auto"/>
        <w:jc w:val="both"/>
        <w:rPr>
          <w:rFonts w:ascii="Palatino Linotype" w:eastAsia="Palatino Linotype" w:hAnsi="Palatino Linotype" w:cs="Palatino Linotype"/>
          <w:color w:val="000000"/>
          <w:sz w:val="22"/>
          <w:szCs w:val="22"/>
          <w:lang w:eastAsia="es-MX"/>
        </w:rPr>
      </w:pPr>
      <w:r w:rsidRPr="00C40BD1">
        <w:rPr>
          <w:rFonts w:ascii="Palatino Linotype" w:eastAsia="Palatino Linotype" w:hAnsi="Palatino Linotype" w:cs="Palatino Linotype"/>
          <w:color w:val="000000"/>
          <w:sz w:val="22"/>
          <w:szCs w:val="22"/>
          <w:lang w:eastAsia="es-MX"/>
        </w:rPr>
        <w:t>Las circunstancias que fueron tomadas en cuenta.</w:t>
      </w:r>
    </w:p>
    <w:p w14:paraId="449C1D29" w14:textId="77777777" w:rsidR="00E05A95" w:rsidRPr="00C40BD1" w:rsidRDefault="00E05A95" w:rsidP="00220BD1">
      <w:pPr>
        <w:spacing w:line="360" w:lineRule="auto"/>
        <w:jc w:val="both"/>
        <w:rPr>
          <w:rFonts w:ascii="Palatino Linotype" w:eastAsia="Palatino Linotype" w:hAnsi="Palatino Linotype" w:cs="Palatino Linotype"/>
          <w:color w:val="000000"/>
          <w:sz w:val="22"/>
          <w:szCs w:val="22"/>
          <w:lang w:eastAsia="es-MX"/>
        </w:rPr>
      </w:pPr>
    </w:p>
    <w:p w14:paraId="34179239" w14:textId="77777777" w:rsidR="00E05A95" w:rsidRPr="00C40BD1" w:rsidRDefault="00E05A95" w:rsidP="00220BD1">
      <w:pPr>
        <w:spacing w:line="360" w:lineRule="auto"/>
        <w:jc w:val="both"/>
        <w:rPr>
          <w:rFonts w:ascii="Palatino Linotype" w:eastAsia="Palatino Linotype" w:hAnsi="Palatino Linotype" w:cs="Palatino Linotype"/>
          <w:color w:val="000000"/>
          <w:sz w:val="22"/>
          <w:szCs w:val="22"/>
          <w:lang w:eastAsia="es-MX"/>
        </w:rPr>
      </w:pPr>
      <w:r w:rsidRPr="00C40BD1">
        <w:rPr>
          <w:rFonts w:ascii="Palatino Linotype" w:eastAsia="Palatino Linotype" w:hAnsi="Palatino Linotype" w:cs="Palatino Linotype"/>
          <w:color w:val="000000"/>
          <w:sz w:val="22"/>
          <w:szCs w:val="22"/>
          <w:lang w:eastAsia="es-MX"/>
        </w:rPr>
        <w:t>De tales circunstancias, se considera que para que los Sujetos Obligado justifiquen que realizaron una búsqueda exhaustiva y razonable, deben indicar de manera clara, lo siguiente:</w:t>
      </w:r>
    </w:p>
    <w:p w14:paraId="075176DE" w14:textId="77777777" w:rsidR="00E05A95" w:rsidRPr="00C40BD1" w:rsidRDefault="00E05A95" w:rsidP="00220BD1">
      <w:pPr>
        <w:spacing w:line="360" w:lineRule="auto"/>
        <w:jc w:val="both"/>
        <w:rPr>
          <w:rFonts w:ascii="Palatino Linotype" w:eastAsia="Palatino Linotype" w:hAnsi="Palatino Linotype" w:cs="Palatino Linotype"/>
          <w:color w:val="000000"/>
          <w:sz w:val="22"/>
          <w:szCs w:val="22"/>
          <w:lang w:eastAsia="es-MX"/>
        </w:rPr>
      </w:pPr>
    </w:p>
    <w:p w14:paraId="5B49D42D" w14:textId="77777777" w:rsidR="00E05A95" w:rsidRPr="00C40BD1" w:rsidRDefault="00E05A95" w:rsidP="00220BD1">
      <w:pPr>
        <w:numPr>
          <w:ilvl w:val="0"/>
          <w:numId w:val="16"/>
        </w:numPr>
        <w:spacing w:line="360" w:lineRule="auto"/>
        <w:jc w:val="both"/>
        <w:rPr>
          <w:rFonts w:ascii="Palatino Linotype" w:eastAsia="Palatino Linotype" w:hAnsi="Palatino Linotype" w:cs="Palatino Linotype"/>
          <w:color w:val="000000"/>
          <w:sz w:val="22"/>
          <w:szCs w:val="22"/>
          <w:lang w:eastAsia="es-MX"/>
        </w:rPr>
      </w:pPr>
      <w:r w:rsidRPr="00C40BD1">
        <w:rPr>
          <w:rFonts w:ascii="Palatino Linotype" w:eastAsia="Palatino Linotype" w:hAnsi="Palatino Linotype" w:cs="Palatino Linotype"/>
          <w:color w:val="000000"/>
          <w:sz w:val="22"/>
          <w:szCs w:val="22"/>
          <w:lang w:eastAsia="es-MX"/>
        </w:rPr>
        <w:t>Las áreas donde se buscó la información;</w:t>
      </w:r>
    </w:p>
    <w:p w14:paraId="3A5D9EA9" w14:textId="77777777" w:rsidR="00E05A95" w:rsidRPr="00C40BD1" w:rsidRDefault="00E05A95" w:rsidP="00220BD1">
      <w:pPr>
        <w:numPr>
          <w:ilvl w:val="0"/>
          <w:numId w:val="16"/>
        </w:numPr>
        <w:spacing w:line="360" w:lineRule="auto"/>
        <w:jc w:val="both"/>
        <w:rPr>
          <w:rFonts w:ascii="Palatino Linotype" w:eastAsia="Palatino Linotype" w:hAnsi="Palatino Linotype" w:cs="Palatino Linotype"/>
          <w:color w:val="000000"/>
          <w:sz w:val="22"/>
          <w:szCs w:val="22"/>
          <w:lang w:eastAsia="es-MX"/>
        </w:rPr>
      </w:pPr>
      <w:r w:rsidRPr="00C40BD1">
        <w:rPr>
          <w:rFonts w:ascii="Palatino Linotype" w:eastAsia="Palatino Linotype" w:hAnsi="Palatino Linotype" w:cs="Palatino Linotype"/>
          <w:color w:val="000000"/>
          <w:sz w:val="22"/>
          <w:szCs w:val="22"/>
          <w:lang w:eastAsia="es-MX"/>
        </w:rPr>
        <w:t>Tipo de archivos buscados (físicos o electrónicos);</w:t>
      </w:r>
    </w:p>
    <w:p w14:paraId="349C8AD8" w14:textId="77777777" w:rsidR="00E05A95" w:rsidRPr="00C40BD1" w:rsidRDefault="00E05A95" w:rsidP="00220BD1">
      <w:pPr>
        <w:numPr>
          <w:ilvl w:val="0"/>
          <w:numId w:val="16"/>
        </w:numPr>
        <w:spacing w:line="360" w:lineRule="auto"/>
        <w:jc w:val="both"/>
        <w:rPr>
          <w:rFonts w:ascii="Palatino Linotype" w:eastAsia="Palatino Linotype" w:hAnsi="Palatino Linotype" w:cs="Palatino Linotype"/>
          <w:color w:val="000000"/>
          <w:sz w:val="22"/>
          <w:szCs w:val="22"/>
          <w:lang w:eastAsia="es-MX"/>
        </w:rPr>
      </w:pPr>
      <w:r w:rsidRPr="00C40BD1">
        <w:rPr>
          <w:rFonts w:ascii="Palatino Linotype" w:eastAsia="Palatino Linotype" w:hAnsi="Palatino Linotype" w:cs="Palatino Linotype"/>
          <w:color w:val="000000"/>
          <w:sz w:val="22"/>
          <w:szCs w:val="22"/>
          <w:lang w:eastAsia="es-MX"/>
        </w:rPr>
        <w:lastRenderedPageBreak/>
        <w:t xml:space="preserve">Los criterios de búsqueda utilizados, y </w:t>
      </w:r>
    </w:p>
    <w:p w14:paraId="748744F3" w14:textId="77777777" w:rsidR="00E05A95" w:rsidRPr="00C40BD1" w:rsidRDefault="00E05A95" w:rsidP="00220BD1">
      <w:pPr>
        <w:numPr>
          <w:ilvl w:val="0"/>
          <w:numId w:val="16"/>
        </w:numPr>
        <w:spacing w:line="360" w:lineRule="auto"/>
        <w:jc w:val="both"/>
        <w:rPr>
          <w:rFonts w:ascii="Palatino Linotype" w:eastAsia="Palatino Linotype" w:hAnsi="Palatino Linotype" w:cs="Palatino Linotype"/>
          <w:color w:val="000000"/>
          <w:sz w:val="22"/>
          <w:szCs w:val="22"/>
          <w:lang w:eastAsia="es-MX"/>
        </w:rPr>
      </w:pPr>
      <w:r w:rsidRPr="00C40BD1">
        <w:rPr>
          <w:rFonts w:ascii="Palatino Linotype" w:eastAsia="Palatino Linotype" w:hAnsi="Palatino Linotype" w:cs="Palatino Linotype"/>
          <w:color w:val="000000"/>
          <w:sz w:val="22"/>
          <w:szCs w:val="22"/>
          <w:lang w:eastAsia="es-MX"/>
        </w:rPr>
        <w:t>Las circunstancias que fueron tomadas en cuenta.</w:t>
      </w:r>
      <w:r w:rsidRPr="00C40BD1">
        <w:rPr>
          <w:rFonts w:ascii="Palatino Linotype" w:eastAsia="Palatino Linotype" w:hAnsi="Palatino Linotype" w:cs="Palatino Linotype"/>
          <w:color w:val="000000"/>
          <w:sz w:val="22"/>
          <w:szCs w:val="22"/>
          <w:lang w:eastAsia="es-MX"/>
        </w:rPr>
        <w:tab/>
      </w:r>
    </w:p>
    <w:p w14:paraId="046D1F3C" w14:textId="77777777" w:rsidR="00E05A95" w:rsidRPr="00C40BD1" w:rsidRDefault="00E05A95" w:rsidP="00220BD1">
      <w:pPr>
        <w:spacing w:line="360" w:lineRule="auto"/>
        <w:jc w:val="both"/>
        <w:rPr>
          <w:rFonts w:ascii="Palatino Linotype" w:eastAsia="Palatino Linotype" w:hAnsi="Palatino Linotype" w:cs="Palatino Linotype"/>
          <w:color w:val="000000"/>
          <w:sz w:val="22"/>
          <w:szCs w:val="22"/>
          <w:lang w:eastAsia="es-MX"/>
        </w:rPr>
      </w:pPr>
    </w:p>
    <w:p w14:paraId="53048721" w14:textId="719F20DC" w:rsidR="00E05A95" w:rsidRPr="00C40BD1" w:rsidRDefault="00E05A95" w:rsidP="00220BD1">
      <w:pPr>
        <w:pStyle w:val="NormalWeb"/>
        <w:spacing w:after="0" w:line="360" w:lineRule="auto"/>
        <w:ind w:right="-28"/>
        <w:rPr>
          <w:rFonts w:ascii="Palatino Linotype" w:hAnsi="Palatino Linotype" w:cs="Tahoma"/>
          <w:color w:val="auto"/>
          <w:sz w:val="22"/>
          <w:szCs w:val="22"/>
        </w:rPr>
      </w:pPr>
      <w:r w:rsidRPr="00C40BD1">
        <w:rPr>
          <w:rFonts w:ascii="Palatino Linotype" w:eastAsia="Palatino Linotype" w:hAnsi="Palatino Linotype" w:cs="Palatino Linotype"/>
          <w:color w:val="000000"/>
          <w:sz w:val="22"/>
          <w:szCs w:val="22"/>
          <w:lang w:eastAsia="es-MX"/>
        </w:rPr>
        <w:t xml:space="preserve">Ahora bien, de las constancias que obran en el expediente se advierte que el Sujeto Obligado no cumplió con el primer inciso, ya que, si bien turno la solicitud de información a la Dirección de Administración y Finanzas, lo cierto es que omitió hacerlo a la </w:t>
      </w:r>
      <w:r w:rsidRPr="00C40BD1">
        <w:rPr>
          <w:rFonts w:ascii="Palatino Linotype" w:hAnsi="Palatino Linotype"/>
          <w:color w:val="auto"/>
          <w:sz w:val="22"/>
        </w:rPr>
        <w:t>Dirección de Obras Públicas y la Presidencia Municipal, áreas encargadas de ver temas con las obras públicas municipales y de hacer participado en el evento de donde se deriva la información solicitada.</w:t>
      </w:r>
    </w:p>
    <w:p w14:paraId="155F1987" w14:textId="77777777" w:rsidR="00E05A95" w:rsidRPr="00C40BD1" w:rsidRDefault="00E05A95" w:rsidP="00220BD1">
      <w:pPr>
        <w:pStyle w:val="NormalWeb"/>
        <w:spacing w:after="0" w:line="360" w:lineRule="auto"/>
        <w:ind w:right="-28"/>
        <w:rPr>
          <w:rFonts w:ascii="Palatino Linotype" w:hAnsi="Palatino Linotype" w:cs="Tahoma"/>
          <w:color w:val="auto"/>
          <w:sz w:val="22"/>
          <w:szCs w:val="22"/>
        </w:rPr>
      </w:pPr>
    </w:p>
    <w:p w14:paraId="5B20AD18" w14:textId="423ADFC8" w:rsidR="00E05A95" w:rsidRPr="00C40BD1" w:rsidRDefault="00E05A95" w:rsidP="00220BD1">
      <w:pPr>
        <w:spacing w:line="360" w:lineRule="auto"/>
        <w:jc w:val="both"/>
        <w:rPr>
          <w:rFonts w:ascii="Palatino Linotype" w:eastAsia="Palatino Linotype" w:hAnsi="Palatino Linotype" w:cs="Palatino Linotype"/>
          <w:color w:val="000000"/>
          <w:sz w:val="22"/>
          <w:szCs w:val="22"/>
          <w:lang w:eastAsia="es-MX"/>
        </w:rPr>
      </w:pPr>
      <w:r w:rsidRPr="00C40BD1">
        <w:rPr>
          <w:rFonts w:ascii="Palatino Linotype" w:eastAsia="Palatino Linotype" w:hAnsi="Palatino Linotype" w:cs="Palatino Linotype"/>
          <w:color w:val="000000"/>
          <w:sz w:val="22"/>
          <w:szCs w:val="22"/>
          <w:lang w:eastAsia="es-MX"/>
        </w:rPr>
        <w:t>Además, se considera que la Dirección de Administración y Finanzas no acreditó los incisos b, c y d, pues no señaló, ni acreditó en que archivos buscó, por lo que no se logra vislumbrar los criterios y circunstancias tomadas en cuenta, ni los criterios de búsqueda utilizados, además de fue omisa en pronunciarse respecto a la información requerida relacionada con la estatua del Señor del Nicho</w:t>
      </w:r>
      <w:r w:rsidR="00626F56" w:rsidRPr="00C40BD1">
        <w:rPr>
          <w:rFonts w:ascii="Palatino Linotype" w:eastAsia="Palatino Linotype" w:hAnsi="Palatino Linotype" w:cs="Palatino Linotype"/>
          <w:color w:val="000000"/>
          <w:sz w:val="22"/>
          <w:szCs w:val="22"/>
          <w:lang w:eastAsia="es-MX"/>
        </w:rPr>
        <w:t>; ni se advierte de que temporalidad se requirió la información.</w:t>
      </w:r>
    </w:p>
    <w:p w14:paraId="33B309D4" w14:textId="77777777" w:rsidR="00626F56" w:rsidRPr="00C40BD1" w:rsidRDefault="00626F56" w:rsidP="00220BD1">
      <w:pPr>
        <w:spacing w:line="360" w:lineRule="auto"/>
        <w:jc w:val="both"/>
        <w:rPr>
          <w:rFonts w:ascii="Palatino Linotype" w:eastAsia="Palatino Linotype" w:hAnsi="Palatino Linotype" w:cs="Palatino Linotype"/>
          <w:color w:val="000000"/>
          <w:sz w:val="22"/>
          <w:szCs w:val="22"/>
          <w:lang w:eastAsia="es-MX"/>
        </w:rPr>
      </w:pPr>
    </w:p>
    <w:p w14:paraId="35DF1576" w14:textId="5E551560" w:rsidR="00E05A95" w:rsidRPr="00C40BD1" w:rsidRDefault="00E05A95" w:rsidP="00220BD1">
      <w:pPr>
        <w:spacing w:line="360" w:lineRule="auto"/>
        <w:jc w:val="both"/>
        <w:rPr>
          <w:rFonts w:ascii="Palatino Linotype" w:eastAsia="Palatino Linotype" w:hAnsi="Palatino Linotype" w:cs="Palatino Linotype"/>
          <w:color w:val="000000"/>
          <w:sz w:val="22"/>
          <w:szCs w:val="22"/>
          <w:lang w:eastAsia="es-MX"/>
        </w:rPr>
      </w:pPr>
      <w:r w:rsidRPr="00C40BD1">
        <w:rPr>
          <w:rFonts w:ascii="Palatino Linotype" w:eastAsia="Palatino Linotype" w:hAnsi="Palatino Linotype" w:cs="Palatino Linotype"/>
          <w:color w:val="000000"/>
          <w:sz w:val="22"/>
          <w:szCs w:val="22"/>
          <w:lang w:eastAsia="es-MX"/>
        </w:rPr>
        <w:t xml:space="preserve">Conforme a lo anterior, se logra vislumbrar que el Sujeto Obligado no cumplió con el procedimiento de búsqueda, lo cual da como resultado que no se pueda acreditar la inexistencia y que el agravio resulte </w:t>
      </w:r>
      <w:r w:rsidRPr="00C40BD1">
        <w:rPr>
          <w:rFonts w:ascii="Palatino Linotype" w:eastAsia="Palatino Linotype" w:hAnsi="Palatino Linotype" w:cs="Palatino Linotype"/>
          <w:b/>
          <w:bCs/>
          <w:color w:val="000000"/>
          <w:sz w:val="22"/>
          <w:szCs w:val="22"/>
          <w:lang w:eastAsia="es-MX"/>
        </w:rPr>
        <w:t>FUNDADO,</w:t>
      </w:r>
      <w:r w:rsidRPr="00C40BD1">
        <w:rPr>
          <w:rFonts w:ascii="Palatino Linotype" w:eastAsia="Palatino Linotype" w:hAnsi="Palatino Linotype" w:cs="Palatino Linotype"/>
          <w:color w:val="000000"/>
          <w:sz w:val="22"/>
          <w:szCs w:val="22"/>
          <w:lang w:eastAsia="es-MX"/>
        </w:rPr>
        <w:t xml:space="preserve"> pues el Sujeto Obligado omitió realizar la búsqueda en todos los archivos de las áreas competentes para conocer de lo solicitado.</w:t>
      </w:r>
    </w:p>
    <w:p w14:paraId="006D95C1" w14:textId="77777777" w:rsidR="00E05A95" w:rsidRPr="00C40BD1" w:rsidRDefault="00E05A95" w:rsidP="00220BD1">
      <w:pPr>
        <w:pStyle w:val="NormalWeb"/>
        <w:spacing w:after="0" w:line="360" w:lineRule="auto"/>
        <w:ind w:right="-28"/>
        <w:rPr>
          <w:rFonts w:ascii="Palatino Linotype" w:hAnsi="Palatino Linotype" w:cs="Tahoma"/>
          <w:color w:val="auto"/>
          <w:sz w:val="22"/>
          <w:szCs w:val="22"/>
        </w:rPr>
      </w:pPr>
    </w:p>
    <w:p w14:paraId="06EC1F94" w14:textId="5B2851FD" w:rsidR="00C9460E" w:rsidRPr="00C40BD1" w:rsidRDefault="00E05A95" w:rsidP="00220BD1">
      <w:pPr>
        <w:pStyle w:val="NormalWeb"/>
        <w:spacing w:after="0" w:line="360" w:lineRule="auto"/>
        <w:ind w:right="-28"/>
        <w:rPr>
          <w:rFonts w:ascii="Palatino Linotype" w:eastAsia="Calibri" w:hAnsi="Palatino Linotype" w:cs="Tahoma"/>
          <w:sz w:val="22"/>
          <w:szCs w:val="22"/>
          <w:lang w:val="es-ES" w:eastAsia="es-MX"/>
        </w:rPr>
      </w:pPr>
      <w:r w:rsidRPr="00C40BD1">
        <w:rPr>
          <w:rFonts w:ascii="Palatino Linotype" w:eastAsia="Palatino Linotype" w:hAnsi="Palatino Linotype" w:cs="Palatino Linotype"/>
          <w:color w:val="000000"/>
          <w:sz w:val="22"/>
          <w:szCs w:val="22"/>
          <w:lang w:eastAsia="es-MX"/>
        </w:rPr>
        <w:t>Por lo que, para atender el requerimiento informativo el Sujeto Obligado deberá realizar una búsqueda exhaustiva y razonable, en términos del artículo 162 de la Ley de Transparencia y Acceso a la Información Pública del Estado de México y Municipios, a efecto de que proporcione</w:t>
      </w:r>
      <w:r w:rsidR="00C9460E" w:rsidRPr="00C40BD1">
        <w:rPr>
          <w:rFonts w:ascii="Palatino Linotype" w:eastAsia="Palatino Linotype" w:hAnsi="Palatino Linotype" w:cs="Palatino Linotype"/>
          <w:color w:val="000000"/>
          <w:sz w:val="22"/>
          <w:szCs w:val="22"/>
          <w:lang w:eastAsia="es-MX"/>
        </w:rPr>
        <w:t xml:space="preserve"> </w:t>
      </w:r>
      <w:r w:rsidR="00C9460E" w:rsidRPr="00C40BD1">
        <w:rPr>
          <w:rFonts w:ascii="Palatino Linotype" w:eastAsia="Calibri" w:hAnsi="Palatino Linotype" w:cs="Tahoma"/>
          <w:sz w:val="22"/>
          <w:szCs w:val="22"/>
          <w:lang w:val="es-ES" w:eastAsia="es-MX"/>
        </w:rPr>
        <w:t xml:space="preserve">copia simple de documentos que acrediten si el Ayuntamiento ha destinado recursos públicos (materiales, financieros o humanos), </w:t>
      </w:r>
      <w:r w:rsidR="00626F56" w:rsidRPr="00C40BD1">
        <w:rPr>
          <w:rFonts w:ascii="Palatino Linotype" w:eastAsia="Calibri" w:hAnsi="Palatino Linotype" w:cs="Tahoma"/>
          <w:sz w:val="22"/>
          <w:szCs w:val="22"/>
          <w:lang w:val="es-ES" w:eastAsia="es-MX"/>
        </w:rPr>
        <w:t>para t</w:t>
      </w:r>
      <w:r w:rsidR="00C9460E" w:rsidRPr="00C40BD1">
        <w:rPr>
          <w:rFonts w:ascii="Palatino Linotype" w:eastAsia="Calibri" w:hAnsi="Palatino Linotype" w:cs="Tahoma"/>
          <w:sz w:val="22"/>
          <w:szCs w:val="22"/>
          <w:lang w:val="es-ES" w:eastAsia="es-MX"/>
        </w:rPr>
        <w:t>ransporte, instalación o mantenimiento de la estatua del “Señor del Nicho”</w:t>
      </w:r>
      <w:r w:rsidR="00626F56" w:rsidRPr="00C40BD1">
        <w:rPr>
          <w:rFonts w:ascii="Palatino Linotype" w:eastAsia="Calibri" w:hAnsi="Palatino Linotype" w:cs="Tahoma"/>
          <w:sz w:val="22"/>
          <w:szCs w:val="22"/>
          <w:lang w:val="es-ES" w:eastAsia="es-MX"/>
        </w:rPr>
        <w:t xml:space="preserve"> o bien, para o</w:t>
      </w:r>
      <w:r w:rsidR="00C9460E" w:rsidRPr="00C40BD1">
        <w:rPr>
          <w:rFonts w:ascii="Palatino Linotype" w:eastAsia="Calibri" w:hAnsi="Palatino Linotype" w:cs="Tahoma"/>
          <w:sz w:val="22"/>
          <w:szCs w:val="22"/>
          <w:lang w:val="es-ES" w:eastAsia="es-MX"/>
        </w:rPr>
        <w:t xml:space="preserve">bras o apoyo al predio denominado “Centro Cultural del Señor del Nicho”. </w:t>
      </w:r>
    </w:p>
    <w:p w14:paraId="72715907" w14:textId="77777777" w:rsidR="00E05A95" w:rsidRPr="00C40BD1" w:rsidRDefault="00E05A95" w:rsidP="00220BD1">
      <w:pPr>
        <w:pStyle w:val="NormalWeb"/>
        <w:spacing w:after="0" w:line="360" w:lineRule="auto"/>
        <w:ind w:right="-28"/>
        <w:rPr>
          <w:rFonts w:ascii="Palatino Linotype" w:eastAsia="Calibri" w:hAnsi="Palatino Linotype" w:cs="Tahoma"/>
          <w:bCs/>
          <w:color w:val="FF0000"/>
          <w:sz w:val="22"/>
          <w:szCs w:val="22"/>
        </w:rPr>
      </w:pPr>
    </w:p>
    <w:p w14:paraId="0D94D961" w14:textId="6BA698F9" w:rsidR="003B6ED0" w:rsidRPr="00C40BD1" w:rsidRDefault="00C9460E" w:rsidP="00220BD1">
      <w:pPr>
        <w:tabs>
          <w:tab w:val="left" w:pos="4962"/>
        </w:tabs>
        <w:spacing w:line="360" w:lineRule="auto"/>
        <w:contextualSpacing/>
        <w:jc w:val="both"/>
        <w:rPr>
          <w:rFonts w:ascii="Palatino Linotype" w:hAnsi="Palatino Linotype"/>
          <w:sz w:val="22"/>
        </w:rPr>
      </w:pPr>
      <w:r w:rsidRPr="00C40BD1">
        <w:rPr>
          <w:rFonts w:ascii="Palatino Linotype" w:eastAsia="Calibri" w:hAnsi="Palatino Linotype" w:cs="Tahoma"/>
          <w:sz w:val="22"/>
          <w:szCs w:val="22"/>
        </w:rPr>
        <w:t>D</w:t>
      </w:r>
      <w:r w:rsidR="003B6ED0" w:rsidRPr="00C40BD1">
        <w:rPr>
          <w:rFonts w:ascii="Palatino Linotype" w:eastAsia="Calibri" w:hAnsi="Palatino Linotype" w:cs="Tahoma"/>
          <w:sz w:val="22"/>
          <w:szCs w:val="22"/>
        </w:rPr>
        <w:t>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22640D72" w14:textId="77777777" w:rsidR="003B6ED0" w:rsidRPr="00C40BD1" w:rsidRDefault="003B6ED0" w:rsidP="00220BD1">
      <w:pPr>
        <w:spacing w:line="360" w:lineRule="auto"/>
        <w:ind w:right="-93"/>
        <w:jc w:val="both"/>
        <w:rPr>
          <w:rFonts w:ascii="Palatino Linotype" w:eastAsia="Calibri" w:hAnsi="Palatino Linotype" w:cs="Tahoma"/>
          <w:color w:val="FF0000"/>
          <w:sz w:val="22"/>
          <w:szCs w:val="22"/>
        </w:rPr>
      </w:pPr>
    </w:p>
    <w:p w14:paraId="73649285" w14:textId="77777777" w:rsidR="003B6ED0" w:rsidRPr="00C40BD1" w:rsidRDefault="003B6ED0" w:rsidP="00220BD1">
      <w:pPr>
        <w:spacing w:line="360" w:lineRule="auto"/>
        <w:ind w:right="-93"/>
        <w:jc w:val="both"/>
        <w:rPr>
          <w:rFonts w:ascii="Palatino Linotype" w:eastAsia="Calibri" w:hAnsi="Palatino Linotype" w:cs="Tahoma"/>
          <w:sz w:val="22"/>
          <w:szCs w:val="22"/>
        </w:rPr>
      </w:pPr>
      <w:r w:rsidRPr="00C40BD1">
        <w:rPr>
          <w:rFonts w:ascii="Palatino Linotype" w:eastAsia="Calibri" w:hAnsi="Palatino Linotype" w:cs="Tahoma"/>
          <w:sz w:val="22"/>
          <w:szCs w:val="22"/>
        </w:rPr>
        <w:t xml:space="preserve">De esta manera, el derecho de acceso a la información pública se satisface en aquellos casos en que se entregue el soporte documental en el que conste la información solicitada, sin necesidad de elaborar documentos </w:t>
      </w:r>
      <w:r w:rsidRPr="00C40BD1">
        <w:rPr>
          <w:rFonts w:ascii="Palatino Linotype" w:eastAsia="Calibri" w:hAnsi="Palatino Linotype" w:cs="Tahoma"/>
          <w:i/>
          <w:sz w:val="22"/>
          <w:szCs w:val="22"/>
        </w:rPr>
        <w:t>ad hoc</w:t>
      </w:r>
      <w:r w:rsidRPr="00C40BD1">
        <w:rPr>
          <w:rFonts w:ascii="Palatino Linotype" w:eastAsia="Calibri" w:hAnsi="Palatino Linotype" w:cs="Tahoma"/>
          <w:sz w:val="22"/>
          <w:szCs w:val="22"/>
        </w:rPr>
        <w:t>; lo cual, de conformidad con en el artículo 160 de la Ley de Transparencia y Acceso a la Información Pública del Estado de México y Municipios, el cual refiere que los sujetos obligados deberán entregar la información que obre en sus archivos.</w:t>
      </w:r>
    </w:p>
    <w:p w14:paraId="7455FCC9" w14:textId="77777777" w:rsidR="003B6ED0" w:rsidRPr="00C40BD1" w:rsidRDefault="003B6ED0" w:rsidP="00220BD1">
      <w:pPr>
        <w:spacing w:line="360" w:lineRule="auto"/>
        <w:ind w:right="-93"/>
        <w:jc w:val="both"/>
        <w:rPr>
          <w:rFonts w:ascii="Palatino Linotype" w:eastAsia="Calibri" w:hAnsi="Palatino Linotype" w:cs="Tahoma"/>
          <w:sz w:val="22"/>
          <w:szCs w:val="22"/>
        </w:rPr>
      </w:pPr>
    </w:p>
    <w:p w14:paraId="4BEF9CB0" w14:textId="0871C45D" w:rsidR="00626F56" w:rsidRPr="00C40BD1" w:rsidRDefault="003B6ED0" w:rsidP="00220BD1">
      <w:pPr>
        <w:spacing w:line="360" w:lineRule="auto"/>
        <w:ind w:right="-93"/>
        <w:jc w:val="both"/>
        <w:rPr>
          <w:rFonts w:ascii="Palatino Linotype" w:eastAsia="Calibri" w:hAnsi="Palatino Linotype" w:cs="Tahoma"/>
          <w:color w:val="FF0000"/>
          <w:sz w:val="22"/>
          <w:szCs w:val="22"/>
        </w:rPr>
      </w:pPr>
      <w:r w:rsidRPr="00C40BD1">
        <w:rPr>
          <w:rFonts w:ascii="Palatino Linotype" w:eastAsia="Calibri" w:hAnsi="Palatino Linotype" w:cs="Tahoma"/>
          <w:sz w:val="22"/>
          <w:szCs w:val="22"/>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la información solicitada. </w:t>
      </w:r>
    </w:p>
    <w:p w14:paraId="451F1E71" w14:textId="77777777" w:rsidR="00626F56" w:rsidRPr="00C40BD1" w:rsidRDefault="00626F56" w:rsidP="00220BD1">
      <w:pPr>
        <w:spacing w:line="360" w:lineRule="auto"/>
        <w:ind w:right="-93"/>
        <w:jc w:val="both"/>
        <w:rPr>
          <w:rFonts w:ascii="Palatino Linotype" w:eastAsia="Calibri" w:hAnsi="Palatino Linotype" w:cs="Tahoma"/>
          <w:sz w:val="22"/>
          <w:szCs w:val="22"/>
        </w:rPr>
      </w:pPr>
    </w:p>
    <w:p w14:paraId="7ED84E6E" w14:textId="1ACD6785" w:rsidR="00626F56" w:rsidRPr="00C40BD1" w:rsidRDefault="00626F56" w:rsidP="00220BD1">
      <w:pPr>
        <w:spacing w:line="360" w:lineRule="auto"/>
        <w:ind w:right="-93"/>
        <w:jc w:val="both"/>
        <w:rPr>
          <w:rFonts w:ascii="Palatino Linotype" w:eastAsia="Calibri" w:hAnsi="Palatino Linotype" w:cs="Tahoma"/>
          <w:sz w:val="22"/>
          <w:szCs w:val="22"/>
        </w:rPr>
      </w:pPr>
      <w:r w:rsidRPr="00C40BD1">
        <w:rPr>
          <w:rFonts w:ascii="Palatino Linotype" w:eastAsia="Calibri" w:hAnsi="Palatino Linotype" w:cs="Tahoma"/>
          <w:sz w:val="22"/>
          <w:szCs w:val="22"/>
        </w:rPr>
        <w:t xml:space="preserve">Ahora bien, este Instituto realizó una búsqueda de información pública, en la página </w:t>
      </w:r>
      <w:proofErr w:type="spellStart"/>
      <w:r w:rsidRPr="00C40BD1">
        <w:rPr>
          <w:rFonts w:ascii="Palatino Linotype" w:eastAsia="Calibri" w:hAnsi="Palatino Linotype" w:cs="Tahoma"/>
          <w:sz w:val="22"/>
          <w:szCs w:val="22"/>
        </w:rPr>
        <w:t>opfical</w:t>
      </w:r>
      <w:proofErr w:type="spellEnd"/>
      <w:r w:rsidRPr="00C40BD1">
        <w:rPr>
          <w:rFonts w:ascii="Palatino Linotype" w:eastAsia="Calibri" w:hAnsi="Palatino Linotype" w:cs="Tahoma"/>
          <w:sz w:val="22"/>
          <w:szCs w:val="22"/>
        </w:rPr>
        <w:t xml:space="preserve"> del Sujeto Obligado y el Portal de Información Pública de Oficio Mexiquense y no se localizó algún indicio de que el Sujeto Obligado haya realizado erogación de recursos para los conceptos solicitados, por lo que, en su caso, deberá hacerlo del conocimiento de la parte Recurrente de manera clara y precisa, en términos del artículo 19, párrafo segundo, de la Ley de Transparencia y Acceso a la Información Pública del Estado de México y Municipios.</w:t>
      </w:r>
    </w:p>
    <w:p w14:paraId="3498302E" w14:textId="77777777" w:rsidR="00626F56" w:rsidRPr="00C40BD1" w:rsidRDefault="00626F56" w:rsidP="00220BD1">
      <w:pPr>
        <w:spacing w:line="360" w:lineRule="auto"/>
        <w:ind w:right="-93"/>
        <w:jc w:val="both"/>
        <w:rPr>
          <w:rFonts w:ascii="Palatino Linotype" w:eastAsia="Calibri" w:hAnsi="Palatino Linotype" w:cs="Tahoma"/>
          <w:sz w:val="22"/>
          <w:szCs w:val="22"/>
        </w:rPr>
      </w:pPr>
    </w:p>
    <w:p w14:paraId="2A129233" w14:textId="77777777" w:rsidR="002C5369" w:rsidRPr="00C40BD1" w:rsidRDefault="002C5369" w:rsidP="00220BD1">
      <w:pPr>
        <w:spacing w:line="360" w:lineRule="auto"/>
        <w:ind w:right="-93"/>
        <w:jc w:val="both"/>
        <w:rPr>
          <w:rFonts w:ascii="Palatino Linotype" w:eastAsia="Calibri" w:hAnsi="Palatino Linotype" w:cs="Tahoma"/>
          <w:bCs/>
          <w:iCs/>
          <w:sz w:val="22"/>
          <w:szCs w:val="22"/>
          <w:lang w:eastAsia="en-US"/>
        </w:rPr>
      </w:pPr>
      <w:r w:rsidRPr="00C40BD1">
        <w:rPr>
          <w:rFonts w:ascii="Palatino Linotype" w:eastAsia="Calibri" w:hAnsi="Palatino Linotype" w:cs="Tahoma"/>
          <w:bCs/>
          <w:sz w:val="22"/>
          <w:szCs w:val="22"/>
          <w:lang w:val="es-ES" w:eastAsia="en-US"/>
        </w:rPr>
        <w:lastRenderedPageBreak/>
        <w:t xml:space="preserve">Ahora bien, no pasa desapercibido para este Instituto que el Particular por una parte señaló que requería la información a través </w:t>
      </w:r>
      <w:r w:rsidRPr="00C40BD1">
        <w:rPr>
          <w:rFonts w:ascii="Palatino Linotype" w:eastAsia="Calibri" w:hAnsi="Palatino Linotype" w:cs="Tahoma"/>
          <w:bCs/>
          <w:iCs/>
          <w:sz w:val="22"/>
          <w:szCs w:val="22"/>
          <w:lang w:eastAsia="en-US"/>
        </w:rPr>
        <w:t>Sistema de Acceso a la Información Mexiquense (SAIMEX) y por otra requirió la información en copia simple.</w:t>
      </w:r>
    </w:p>
    <w:p w14:paraId="257F726A" w14:textId="77777777" w:rsidR="002C5369" w:rsidRPr="00C40BD1" w:rsidRDefault="002C5369" w:rsidP="00220BD1">
      <w:pPr>
        <w:spacing w:line="360" w:lineRule="auto"/>
        <w:ind w:right="-93"/>
        <w:jc w:val="both"/>
        <w:rPr>
          <w:rFonts w:ascii="Palatino Linotype" w:eastAsia="Calibri" w:hAnsi="Palatino Linotype" w:cs="Tahoma"/>
          <w:bCs/>
          <w:iCs/>
          <w:sz w:val="22"/>
          <w:szCs w:val="22"/>
          <w:lang w:eastAsia="en-US"/>
        </w:rPr>
      </w:pPr>
    </w:p>
    <w:p w14:paraId="255515B7" w14:textId="77777777" w:rsidR="002C5369" w:rsidRPr="00C40BD1" w:rsidRDefault="002C5369" w:rsidP="00220BD1">
      <w:pPr>
        <w:spacing w:line="360" w:lineRule="auto"/>
        <w:ind w:right="-93"/>
        <w:jc w:val="both"/>
        <w:rPr>
          <w:rFonts w:ascii="Palatino Linotype" w:eastAsia="Calibri" w:hAnsi="Palatino Linotype" w:cs="Tahoma"/>
          <w:bCs/>
          <w:sz w:val="22"/>
          <w:szCs w:val="22"/>
          <w:lang w:val="es-ES" w:eastAsia="en-US"/>
        </w:rPr>
      </w:pPr>
      <w:r w:rsidRPr="00C40BD1">
        <w:rPr>
          <w:rFonts w:ascii="Palatino Linotype" w:eastAsia="Calibri" w:hAnsi="Palatino Linotype" w:cs="Tahoma"/>
          <w:bCs/>
          <w:iCs/>
          <w:sz w:val="22"/>
          <w:szCs w:val="22"/>
          <w:lang w:eastAsia="en-US"/>
        </w:rPr>
        <w:t>Al respecto, este Instituto considera</w:t>
      </w:r>
      <w:r w:rsidRPr="00C40BD1">
        <w:rPr>
          <w:rFonts w:ascii="Palatino Linotype" w:eastAsia="Calibri" w:hAnsi="Palatino Linotype" w:cs="Tahoma"/>
          <w:bCs/>
          <w:sz w:val="22"/>
          <w:szCs w:val="22"/>
          <w:lang w:val="es-ES" w:eastAsia="en-US"/>
        </w:rPr>
        <w:t xml:space="preserve">, que ordenar entregar dicha información en copia simple, causaría un perjuicio al derecho de acceso a la información del Solicitante, apartándose </w:t>
      </w:r>
      <w:r w:rsidRPr="00C40BD1">
        <w:rPr>
          <w:rFonts w:ascii="Palatino Linotype" w:eastAsia="Calibri" w:hAnsi="Palatino Linotype" w:cs="Tahoma"/>
          <w:b/>
          <w:bCs/>
          <w:sz w:val="22"/>
          <w:szCs w:val="22"/>
          <w:lang w:val="es-ES" w:eastAsia="en-US"/>
        </w:rPr>
        <w:t>de los principios de sencillez, rapidez y gratuidad</w:t>
      </w:r>
      <w:r w:rsidRPr="00C40BD1">
        <w:rPr>
          <w:rFonts w:ascii="Palatino Linotype" w:eastAsia="Calibri" w:hAnsi="Palatino Linotype" w:cs="Tahoma"/>
          <w:bCs/>
          <w:sz w:val="22"/>
          <w:szCs w:val="22"/>
          <w:lang w:val="es-ES" w:eastAsia="en-US"/>
        </w:rPr>
        <w:t xml:space="preserve"> establecidos por la Ley de Transparencia y Acceso a la Información Pública del Estado de México y Municipios, toda vez que demoraría los plazos del procedimiento y generaría una carga adicional al Sujeto Obligado.</w:t>
      </w:r>
    </w:p>
    <w:p w14:paraId="4C2ED2B7" w14:textId="77777777" w:rsidR="002C5369" w:rsidRPr="00C40BD1" w:rsidRDefault="002C5369" w:rsidP="00220BD1">
      <w:pPr>
        <w:spacing w:line="360" w:lineRule="auto"/>
        <w:ind w:right="-93"/>
        <w:jc w:val="both"/>
        <w:rPr>
          <w:rFonts w:ascii="Palatino Linotype" w:eastAsia="Calibri" w:hAnsi="Palatino Linotype" w:cs="Tahoma"/>
          <w:bCs/>
          <w:sz w:val="22"/>
          <w:szCs w:val="22"/>
          <w:lang w:eastAsia="en-US"/>
        </w:rPr>
      </w:pPr>
    </w:p>
    <w:p w14:paraId="3B568A07" w14:textId="77777777" w:rsidR="002C5369" w:rsidRPr="00C40BD1" w:rsidRDefault="002C5369" w:rsidP="00220BD1">
      <w:pPr>
        <w:spacing w:line="360" w:lineRule="auto"/>
        <w:ind w:right="-93"/>
        <w:jc w:val="both"/>
        <w:rPr>
          <w:rFonts w:ascii="Palatino Linotype" w:eastAsia="Calibri" w:hAnsi="Palatino Linotype" w:cs="Tahoma"/>
          <w:bCs/>
          <w:sz w:val="22"/>
          <w:szCs w:val="22"/>
          <w:lang w:eastAsia="en-US"/>
        </w:rPr>
      </w:pPr>
      <w:r w:rsidRPr="00C40BD1">
        <w:rPr>
          <w:rFonts w:ascii="Palatino Linotype" w:eastAsia="Calibri" w:hAnsi="Palatino Linotype" w:cs="Tahoma"/>
          <w:bCs/>
          <w:sz w:val="22"/>
          <w:szCs w:val="22"/>
          <w:lang w:val="es-ES" w:eastAsia="en-US"/>
        </w:rPr>
        <w:t xml:space="preserve"> Asimismo, cabe precisar que la copia simple, equivale a la reproducción literal de un documento, situación que de la misma manera sería la digitalización de este, por lo que, al obtener la información requerida través </w:t>
      </w:r>
      <w:r w:rsidRPr="00C40BD1">
        <w:rPr>
          <w:rFonts w:ascii="Palatino Linotype" w:eastAsia="Calibri" w:hAnsi="Palatino Linotype" w:cs="Tahoma"/>
          <w:bCs/>
          <w:iCs/>
          <w:sz w:val="22"/>
          <w:szCs w:val="22"/>
          <w:lang w:eastAsia="en-US"/>
        </w:rPr>
        <w:t>Sistema de Acceso a la Información Mexiquense (SAIMEX), el Recurrente puede imprimir dicha documentación para tenerla en el formato requerido</w:t>
      </w:r>
      <w:r w:rsidRPr="00C40BD1">
        <w:rPr>
          <w:rFonts w:ascii="Palatino Linotype" w:eastAsia="Calibri" w:hAnsi="Palatino Linotype" w:cs="Tahoma"/>
          <w:bCs/>
          <w:sz w:val="22"/>
          <w:szCs w:val="22"/>
          <w:lang w:val="es-ES" w:eastAsia="en-US"/>
        </w:rPr>
        <w:t>, así, se considera procedente ordenar la entrega del punto requerido en dicho Portal.</w:t>
      </w:r>
    </w:p>
    <w:p w14:paraId="3BE4423A" w14:textId="77777777" w:rsidR="002C5369" w:rsidRPr="00C40BD1" w:rsidRDefault="002C5369" w:rsidP="00220BD1">
      <w:pPr>
        <w:spacing w:line="360" w:lineRule="auto"/>
        <w:ind w:right="-93"/>
        <w:jc w:val="both"/>
        <w:rPr>
          <w:rFonts w:ascii="Palatino Linotype" w:eastAsia="Calibri" w:hAnsi="Palatino Linotype" w:cs="Tahoma"/>
          <w:sz w:val="22"/>
          <w:szCs w:val="22"/>
        </w:rPr>
      </w:pPr>
    </w:p>
    <w:p w14:paraId="7C015130" w14:textId="77777777" w:rsidR="00C9460E" w:rsidRPr="00C40BD1" w:rsidRDefault="00C9460E" w:rsidP="00220BD1">
      <w:pPr>
        <w:spacing w:line="360" w:lineRule="auto"/>
        <w:ind w:right="-93"/>
        <w:jc w:val="both"/>
        <w:rPr>
          <w:rFonts w:ascii="Palatino Linotype" w:hAnsi="Palatino Linotype" w:cs="Tahoma"/>
          <w:bCs/>
          <w:iCs/>
          <w:sz w:val="22"/>
          <w:szCs w:val="22"/>
          <w:lang w:val="es-ES"/>
        </w:rPr>
      </w:pPr>
      <w:bookmarkStart w:id="15" w:name="_Hlk76480431"/>
      <w:r w:rsidRPr="00C40BD1">
        <w:rPr>
          <w:rFonts w:ascii="Palatino Linotype" w:eastAsia="Calibri" w:hAnsi="Palatino Linotype" w:cs="Tahoma"/>
          <w:sz w:val="22"/>
          <w:szCs w:val="22"/>
        </w:rPr>
        <w:t>No pasa desapercibido para este Instituto</w:t>
      </w:r>
      <w:r w:rsidRPr="00C40BD1">
        <w:rPr>
          <w:rFonts w:ascii="Palatino Linotype" w:hAnsi="Palatino Linotype" w:cs="Tahoma"/>
          <w:bCs/>
          <w:iCs/>
          <w:sz w:val="22"/>
          <w:szCs w:val="22"/>
          <w:lang w:val="es-ES_tradnl"/>
        </w:rPr>
        <w:t xml:space="preserve"> que los documentos que den cuenta de lo solicitado, pudieran contener datos confidenciales; a</w:t>
      </w:r>
      <w:r w:rsidRPr="00C40BD1">
        <w:rPr>
          <w:rFonts w:ascii="Palatino Linotype" w:hAnsi="Palatino Linotype" w:cs="Tahoma"/>
          <w:bCs/>
          <w:iCs/>
          <w:sz w:val="22"/>
          <w:szCs w:val="22"/>
          <w:lang w:val="es-ES"/>
        </w:rPr>
        <w:t xml:space="preserve">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5994A023" w14:textId="77777777" w:rsidR="00C9460E" w:rsidRPr="00C40BD1" w:rsidRDefault="00C9460E" w:rsidP="00220BD1">
      <w:pPr>
        <w:spacing w:line="360" w:lineRule="auto"/>
        <w:jc w:val="both"/>
        <w:rPr>
          <w:rFonts w:ascii="Palatino Linotype" w:hAnsi="Palatino Linotype" w:cs="Tahoma"/>
          <w:bCs/>
          <w:iCs/>
          <w:sz w:val="22"/>
          <w:szCs w:val="22"/>
          <w:lang w:val="es-ES"/>
        </w:rPr>
      </w:pPr>
    </w:p>
    <w:p w14:paraId="35D048BD" w14:textId="77777777" w:rsidR="00C9460E" w:rsidRPr="00C40BD1" w:rsidRDefault="00C9460E" w:rsidP="00220BD1">
      <w:pPr>
        <w:spacing w:line="360" w:lineRule="auto"/>
        <w:jc w:val="both"/>
        <w:rPr>
          <w:rFonts w:ascii="Palatino Linotype" w:hAnsi="Palatino Linotype" w:cs="Tahoma"/>
          <w:bCs/>
          <w:iCs/>
          <w:sz w:val="22"/>
          <w:szCs w:val="22"/>
          <w:lang w:val="es-ES"/>
        </w:rPr>
      </w:pPr>
      <w:r w:rsidRPr="00C40BD1">
        <w:rPr>
          <w:rFonts w:ascii="Palatino Linotype" w:hAnsi="Palatino Linotype" w:cs="Tahoma"/>
          <w:bCs/>
          <w:iCs/>
          <w:sz w:val="22"/>
          <w:szCs w:val="22"/>
          <w:lang w:val="es-ES"/>
        </w:rPr>
        <w:t xml:space="preserve">Para tal situación, el Sujeto Obligado deberá seguir el procedimiento establecido en el artículo 168 de dicho ordenamiento jurídico; esto es, que el área competente deberá elaborar la versión </w:t>
      </w:r>
      <w:r w:rsidRPr="00C40BD1">
        <w:rPr>
          <w:rFonts w:ascii="Palatino Linotype" w:hAnsi="Palatino Linotype" w:cs="Tahoma"/>
          <w:bCs/>
          <w:iCs/>
          <w:sz w:val="22"/>
          <w:szCs w:val="22"/>
          <w:lang w:val="es-ES"/>
        </w:rPr>
        <w:lastRenderedPageBreak/>
        <w:t>pública, así como emitir el Acuerdo, por parte del Comité de Transparencia, donde confirme la clasificación de los datos o documentos, fundando y motivando la clasificación.</w:t>
      </w:r>
      <w:bookmarkEnd w:id="15"/>
    </w:p>
    <w:p w14:paraId="13C27DA8" w14:textId="77777777" w:rsidR="0061331A" w:rsidRPr="00C40BD1" w:rsidRDefault="0061331A" w:rsidP="00220BD1">
      <w:pPr>
        <w:spacing w:line="360" w:lineRule="auto"/>
        <w:ind w:right="-28"/>
        <w:jc w:val="both"/>
        <w:rPr>
          <w:rFonts w:ascii="Palatino Linotype" w:hAnsi="Palatino Linotype"/>
          <w:color w:val="FF0000"/>
          <w:sz w:val="22"/>
          <w:szCs w:val="22"/>
        </w:rPr>
      </w:pPr>
    </w:p>
    <w:p w14:paraId="5B220687" w14:textId="45A57D78" w:rsidR="001C6B9A" w:rsidRPr="00C40BD1" w:rsidRDefault="001C6B9A" w:rsidP="00220BD1">
      <w:pPr>
        <w:pStyle w:val="Ttulo2"/>
        <w:rPr>
          <w:color w:val="auto"/>
        </w:rPr>
      </w:pPr>
      <w:bookmarkStart w:id="16" w:name="_Toc221197396"/>
      <w:r w:rsidRPr="00C40BD1">
        <w:rPr>
          <w:color w:val="auto"/>
        </w:rPr>
        <w:t>SEXTO. Decisión</w:t>
      </w:r>
      <w:bookmarkEnd w:id="16"/>
    </w:p>
    <w:p w14:paraId="43614774" w14:textId="77777777" w:rsidR="001C6B9A" w:rsidRPr="00C40BD1" w:rsidRDefault="001C6B9A" w:rsidP="00220BD1">
      <w:pPr>
        <w:spacing w:line="360" w:lineRule="auto"/>
        <w:jc w:val="both"/>
        <w:rPr>
          <w:rFonts w:ascii="Palatino Linotype" w:hAnsi="Palatino Linotype" w:cs="Tahoma"/>
          <w:sz w:val="22"/>
          <w:szCs w:val="22"/>
        </w:rPr>
      </w:pPr>
    </w:p>
    <w:p w14:paraId="05FF01E3" w14:textId="5C754F7C" w:rsidR="001C6B9A" w:rsidRPr="00C40BD1" w:rsidRDefault="001C6B9A" w:rsidP="00220BD1">
      <w:pPr>
        <w:spacing w:line="360" w:lineRule="auto"/>
        <w:jc w:val="both"/>
        <w:rPr>
          <w:rFonts w:ascii="Palatino Linotype" w:hAnsi="Palatino Linotype" w:cs="Tahoma"/>
          <w:sz w:val="22"/>
          <w:szCs w:val="22"/>
        </w:rPr>
      </w:pPr>
      <w:r w:rsidRPr="00C40BD1">
        <w:rPr>
          <w:rFonts w:ascii="Palatino Linotype" w:hAnsi="Palatino Linotype" w:cs="Tahoma"/>
          <w:sz w:val="22"/>
          <w:szCs w:val="22"/>
        </w:rPr>
        <w:t xml:space="preserve">Con fundamento en el artículo 186, fracción IV, de la Ley de Transparencia y Acceso a la Información Pública del Estado de México y Municipios, este Instituto considera procedente </w:t>
      </w:r>
      <w:r w:rsidRPr="00C40BD1">
        <w:rPr>
          <w:rFonts w:ascii="Palatino Linotype" w:hAnsi="Palatino Linotype" w:cs="Tahoma"/>
          <w:b/>
          <w:bCs/>
          <w:sz w:val="22"/>
          <w:szCs w:val="22"/>
        </w:rPr>
        <w:t>ORDENAR</w:t>
      </w:r>
      <w:r w:rsidRPr="00C40BD1">
        <w:rPr>
          <w:rFonts w:ascii="Palatino Linotype" w:hAnsi="Palatino Linotype" w:cs="Tahoma"/>
          <w:sz w:val="22"/>
          <w:szCs w:val="22"/>
        </w:rPr>
        <w:t xml:space="preserve"> </w:t>
      </w:r>
      <w:r w:rsidR="00B7564C" w:rsidRPr="00C40BD1">
        <w:rPr>
          <w:rFonts w:ascii="Palatino Linotype" w:hAnsi="Palatino Linotype" w:cs="Tahoma"/>
          <w:sz w:val="22"/>
          <w:szCs w:val="22"/>
        </w:rPr>
        <w:t xml:space="preserve">al </w:t>
      </w:r>
      <w:r w:rsidR="007E4295" w:rsidRPr="00C40BD1">
        <w:rPr>
          <w:rFonts w:ascii="Palatino Linotype" w:hAnsi="Palatino Linotype" w:cs="Tahoma"/>
          <w:sz w:val="22"/>
          <w:szCs w:val="22"/>
        </w:rPr>
        <w:t>Ayuntamiento de</w:t>
      </w:r>
      <w:r w:rsidR="00C9460E" w:rsidRPr="00C40BD1">
        <w:rPr>
          <w:rFonts w:ascii="Palatino Linotype" w:hAnsi="Palatino Linotype" w:cs="Tahoma"/>
          <w:sz w:val="22"/>
          <w:szCs w:val="22"/>
        </w:rPr>
        <w:t xml:space="preserve"> Tepotzotlán</w:t>
      </w:r>
      <w:r w:rsidR="00B7564C" w:rsidRPr="00C40BD1">
        <w:rPr>
          <w:rFonts w:ascii="Palatino Linotype" w:hAnsi="Palatino Linotype" w:cs="Tahoma"/>
          <w:sz w:val="22"/>
          <w:szCs w:val="22"/>
        </w:rPr>
        <w:t xml:space="preserve">, a efecto de que, </w:t>
      </w:r>
      <w:r w:rsidR="00B7564C" w:rsidRPr="00C40BD1">
        <w:rPr>
          <w:rFonts w:ascii="Palatino Linotype" w:eastAsia="Calibri" w:hAnsi="Palatino Linotype" w:cs="Tahoma"/>
          <w:sz w:val="22"/>
          <w:szCs w:val="22"/>
        </w:rPr>
        <w:t>previa búsqueda exhaustiva y razonable, en los archivos de las unidades administrativas competentes, entregue, en su caso en versión pública, la información solicitada.</w:t>
      </w:r>
    </w:p>
    <w:p w14:paraId="1F7F2430" w14:textId="77777777" w:rsidR="00895942" w:rsidRPr="00C40BD1" w:rsidRDefault="00895942" w:rsidP="00220BD1">
      <w:pPr>
        <w:spacing w:line="360" w:lineRule="auto"/>
        <w:jc w:val="both"/>
        <w:rPr>
          <w:rFonts w:ascii="Palatino Linotype" w:hAnsi="Palatino Linotype" w:cs="Tahoma"/>
          <w:bCs/>
          <w:iCs/>
          <w:color w:val="FF0000"/>
          <w:sz w:val="22"/>
          <w:szCs w:val="22"/>
          <w:lang w:val="es-ES"/>
        </w:rPr>
      </w:pPr>
    </w:p>
    <w:p w14:paraId="6CA777EF" w14:textId="77777777" w:rsidR="00895942" w:rsidRPr="00C40BD1" w:rsidRDefault="00895942" w:rsidP="00220BD1">
      <w:pPr>
        <w:pStyle w:val="Ttulo2"/>
        <w:rPr>
          <w:color w:val="auto"/>
        </w:rPr>
      </w:pPr>
      <w:bookmarkStart w:id="17" w:name="_Toc221197397"/>
      <w:r w:rsidRPr="00C40BD1">
        <w:rPr>
          <w:color w:val="auto"/>
        </w:rPr>
        <w:t>SÉPTIMO. Vista a la Secretaría</w:t>
      </w:r>
      <w:r w:rsidRPr="00C40BD1">
        <w:rPr>
          <w:color w:val="auto"/>
          <w:lang w:val="x-none"/>
        </w:rPr>
        <w:t xml:space="preserve"> Técnica del </w:t>
      </w:r>
      <w:r w:rsidRPr="00C40BD1">
        <w:rPr>
          <w:color w:val="auto"/>
        </w:rPr>
        <w:t>Pleno</w:t>
      </w:r>
      <w:bookmarkEnd w:id="17"/>
    </w:p>
    <w:p w14:paraId="6FB0ED01" w14:textId="77777777" w:rsidR="00895942" w:rsidRPr="00C40BD1" w:rsidRDefault="00895942" w:rsidP="00220BD1">
      <w:pPr>
        <w:spacing w:line="360" w:lineRule="auto"/>
        <w:jc w:val="both"/>
        <w:rPr>
          <w:rFonts w:ascii="Palatino Linotype" w:hAnsi="Palatino Linotype" w:cs="Tahoma"/>
          <w:bCs/>
          <w:sz w:val="22"/>
          <w:szCs w:val="22"/>
        </w:rPr>
      </w:pPr>
    </w:p>
    <w:p w14:paraId="2CAC85A1" w14:textId="4D8823FD" w:rsidR="00895942" w:rsidRPr="00C40BD1" w:rsidRDefault="00895942" w:rsidP="00220BD1">
      <w:pPr>
        <w:spacing w:line="360" w:lineRule="auto"/>
        <w:ind w:right="-93"/>
        <w:jc w:val="both"/>
        <w:rPr>
          <w:rFonts w:ascii="Palatino Linotype" w:eastAsia="Calibri" w:hAnsi="Palatino Linotype" w:cs="Tahoma"/>
          <w:bCs/>
          <w:sz w:val="22"/>
          <w:szCs w:val="22"/>
          <w:lang w:eastAsia="en-US"/>
        </w:rPr>
      </w:pPr>
      <w:r w:rsidRPr="00C40BD1">
        <w:rPr>
          <w:rFonts w:ascii="Palatino Linotype" w:hAnsi="Palatino Linotype" w:cs="Tahoma"/>
          <w:sz w:val="22"/>
          <w:szCs w:val="22"/>
        </w:rPr>
        <w:t xml:space="preserve">En el caso en estudio, como ha quedado señalado que el </w:t>
      </w:r>
      <w:r w:rsidR="007E4295" w:rsidRPr="00C40BD1">
        <w:rPr>
          <w:rFonts w:ascii="Palatino Linotype" w:eastAsia="Calibri" w:hAnsi="Palatino Linotype" w:cs="Tahoma"/>
          <w:sz w:val="22"/>
          <w:szCs w:val="22"/>
          <w:lang w:eastAsia="en-US"/>
        </w:rPr>
        <w:t xml:space="preserve">Ayuntamiento de </w:t>
      </w:r>
      <w:r w:rsidR="00C9460E" w:rsidRPr="00C40BD1">
        <w:rPr>
          <w:rFonts w:ascii="Palatino Linotype" w:eastAsia="Calibri" w:hAnsi="Palatino Linotype" w:cs="Tahoma"/>
          <w:sz w:val="22"/>
          <w:szCs w:val="22"/>
          <w:lang w:eastAsia="en-US"/>
        </w:rPr>
        <w:t xml:space="preserve"> Tepotzotlán </w:t>
      </w:r>
      <w:r w:rsidRPr="00C40BD1">
        <w:rPr>
          <w:rFonts w:ascii="Palatino Linotype" w:hAnsi="Palatino Linotype" w:cs="Tahoma"/>
          <w:sz w:val="22"/>
          <w:szCs w:val="22"/>
        </w:rPr>
        <w:t>omitió dar respuesta en el plazo señalado en el artículo 163 de la Ley de Transparencia y Acceso a la Información Pública del Estado de México y Municipios. Al respecto, el artículo 36, fracción X, del ordenamiento jurídico en cita, establece que es atribución de este Instituto hacer del conocimiento del Órgano Interno de Control o equivalente de cada Sujeto Obligado las infracciones a esta Ley.</w:t>
      </w:r>
      <w:r w:rsidRPr="00C40BD1">
        <w:rPr>
          <w:rFonts w:ascii="Palatino Linotype" w:eastAsia="Calibri" w:hAnsi="Palatino Linotype" w:cs="Tahoma"/>
          <w:bCs/>
          <w:sz w:val="22"/>
          <w:szCs w:val="22"/>
          <w:lang w:eastAsia="en-US"/>
        </w:rPr>
        <w:t xml:space="preserve"> </w:t>
      </w:r>
    </w:p>
    <w:p w14:paraId="718F409C" w14:textId="77777777" w:rsidR="00895942" w:rsidRPr="00C40BD1" w:rsidRDefault="00895942" w:rsidP="00220BD1">
      <w:pPr>
        <w:spacing w:line="360" w:lineRule="auto"/>
        <w:ind w:right="-93"/>
        <w:jc w:val="both"/>
        <w:rPr>
          <w:rFonts w:ascii="Palatino Linotype" w:eastAsia="Calibri" w:hAnsi="Palatino Linotype" w:cs="Tahoma"/>
          <w:bCs/>
          <w:color w:val="FF0000"/>
          <w:sz w:val="22"/>
          <w:szCs w:val="22"/>
          <w:lang w:eastAsia="en-US"/>
        </w:rPr>
      </w:pPr>
    </w:p>
    <w:p w14:paraId="1FAE99AF" w14:textId="77777777" w:rsidR="00895942" w:rsidRPr="00C40BD1" w:rsidRDefault="00895942" w:rsidP="00220BD1">
      <w:pPr>
        <w:spacing w:line="360" w:lineRule="auto"/>
        <w:ind w:right="-93"/>
        <w:jc w:val="both"/>
        <w:rPr>
          <w:rFonts w:ascii="Palatino Linotype" w:eastAsia="Calibri" w:hAnsi="Palatino Linotype" w:cs="Tahoma"/>
          <w:bCs/>
          <w:sz w:val="22"/>
          <w:szCs w:val="22"/>
          <w:lang w:eastAsia="en-US"/>
        </w:rPr>
      </w:pPr>
      <w:r w:rsidRPr="00C40BD1">
        <w:rPr>
          <w:rFonts w:ascii="Palatino Linotype" w:eastAsia="Calibri" w:hAnsi="Palatino Linotype" w:cs="Tahoma"/>
          <w:bCs/>
          <w:sz w:val="22"/>
          <w:szCs w:val="22"/>
          <w:lang w:eastAsia="en-US"/>
        </w:rPr>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 </w:t>
      </w:r>
    </w:p>
    <w:p w14:paraId="084A8F8A" w14:textId="77777777" w:rsidR="00895942" w:rsidRPr="00C40BD1" w:rsidRDefault="00895942" w:rsidP="00220BD1">
      <w:pPr>
        <w:spacing w:line="360" w:lineRule="auto"/>
        <w:ind w:right="-93"/>
        <w:jc w:val="both"/>
        <w:rPr>
          <w:rFonts w:ascii="Palatino Linotype" w:eastAsia="Calibri" w:hAnsi="Palatino Linotype" w:cs="Tahoma"/>
          <w:bCs/>
          <w:sz w:val="22"/>
          <w:szCs w:val="22"/>
          <w:lang w:eastAsia="en-US"/>
        </w:rPr>
      </w:pPr>
    </w:p>
    <w:p w14:paraId="2F71671E" w14:textId="77777777" w:rsidR="00895942" w:rsidRPr="00C40BD1" w:rsidRDefault="00895942" w:rsidP="00220BD1">
      <w:pPr>
        <w:spacing w:line="360" w:lineRule="auto"/>
        <w:ind w:right="-93"/>
        <w:jc w:val="both"/>
        <w:rPr>
          <w:rFonts w:ascii="Palatino Linotype" w:eastAsia="Calibri" w:hAnsi="Palatino Linotype" w:cs="Tahoma"/>
          <w:bCs/>
          <w:sz w:val="22"/>
          <w:szCs w:val="22"/>
          <w:lang w:eastAsia="en-US"/>
        </w:rPr>
      </w:pPr>
      <w:r w:rsidRPr="00C40BD1">
        <w:rPr>
          <w:rFonts w:ascii="Palatino Linotype" w:eastAsia="Calibri" w:hAnsi="Palatino Linotype" w:cs="Tahoma"/>
          <w:bCs/>
          <w:sz w:val="22"/>
          <w:szCs w:val="22"/>
          <w:lang w:eastAsia="en-US"/>
        </w:rPr>
        <w:lastRenderedPageBreak/>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14:paraId="2C8DB667" w14:textId="77777777" w:rsidR="00895942" w:rsidRPr="00C40BD1" w:rsidRDefault="00895942" w:rsidP="00220BD1">
      <w:pPr>
        <w:spacing w:line="360" w:lineRule="auto"/>
        <w:ind w:right="-93"/>
        <w:jc w:val="both"/>
        <w:rPr>
          <w:rFonts w:ascii="Palatino Linotype" w:eastAsia="Calibri" w:hAnsi="Palatino Linotype" w:cs="Tahoma"/>
          <w:bCs/>
          <w:sz w:val="22"/>
          <w:szCs w:val="22"/>
          <w:lang w:eastAsia="en-US"/>
        </w:rPr>
      </w:pPr>
    </w:p>
    <w:p w14:paraId="539B525A" w14:textId="77777777" w:rsidR="00895942" w:rsidRPr="00C40BD1" w:rsidRDefault="00895942" w:rsidP="00220BD1">
      <w:pPr>
        <w:spacing w:line="360" w:lineRule="auto"/>
        <w:ind w:right="-93"/>
        <w:jc w:val="both"/>
        <w:rPr>
          <w:rFonts w:ascii="Palatino Linotype" w:eastAsia="Calibri" w:hAnsi="Palatino Linotype" w:cs="Tahoma"/>
          <w:bCs/>
          <w:sz w:val="22"/>
          <w:szCs w:val="22"/>
          <w:lang w:eastAsia="en-US"/>
        </w:rPr>
      </w:pPr>
      <w:r w:rsidRPr="00C40BD1">
        <w:rPr>
          <w:rFonts w:ascii="Palatino Linotype" w:eastAsia="Calibri" w:hAnsi="Palatino Linotype" w:cs="Tahoma"/>
          <w:bCs/>
          <w:sz w:val="22"/>
          <w:szCs w:val="22"/>
          <w:lang w:eastAsia="en-US"/>
        </w:rPr>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 </w:t>
      </w:r>
    </w:p>
    <w:p w14:paraId="41A6098F" w14:textId="77777777" w:rsidR="003A796B" w:rsidRPr="00C40BD1" w:rsidRDefault="003A796B" w:rsidP="00220BD1">
      <w:pPr>
        <w:spacing w:line="360" w:lineRule="auto"/>
        <w:ind w:right="-93"/>
        <w:jc w:val="both"/>
        <w:rPr>
          <w:rFonts w:ascii="Palatino Linotype" w:eastAsia="Calibri" w:hAnsi="Palatino Linotype" w:cs="Tahoma"/>
          <w:bCs/>
          <w:sz w:val="22"/>
          <w:szCs w:val="22"/>
          <w:lang w:eastAsia="en-US"/>
        </w:rPr>
      </w:pPr>
    </w:p>
    <w:p w14:paraId="5B94F233" w14:textId="77777777" w:rsidR="00895942" w:rsidRPr="00C40BD1" w:rsidRDefault="00895942" w:rsidP="00220BD1">
      <w:pPr>
        <w:spacing w:line="360" w:lineRule="auto"/>
        <w:ind w:right="-93"/>
        <w:jc w:val="both"/>
        <w:rPr>
          <w:rFonts w:ascii="Palatino Linotype" w:eastAsia="Calibri" w:hAnsi="Palatino Linotype" w:cs="Tahoma"/>
          <w:bCs/>
          <w:sz w:val="22"/>
          <w:szCs w:val="22"/>
          <w:lang w:eastAsia="en-US"/>
        </w:rPr>
      </w:pPr>
      <w:r w:rsidRPr="00C40BD1">
        <w:rPr>
          <w:rFonts w:ascii="Palatino Linotype" w:eastAsia="Calibri" w:hAnsi="Palatino Linotype" w:cs="Tahoma"/>
          <w:bCs/>
          <w:sz w:val="22"/>
          <w:szCs w:val="22"/>
          <w:lang w:eastAsia="en-US"/>
        </w:rPr>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C40BD1">
        <w:rPr>
          <w:rFonts w:ascii="Palatino Linotype" w:eastAsia="Calibri" w:hAnsi="Palatino Linotype" w:cs="Tahoma"/>
          <w:bCs/>
          <w:sz w:val="22"/>
          <w:szCs w:val="22"/>
          <w:lang w:val="es-ES_tradnl" w:eastAsia="en-US"/>
        </w:rPr>
        <w:t>a la Secretaría Técnica de este Instituto</w:t>
      </w:r>
      <w:r w:rsidRPr="00C40BD1">
        <w:rPr>
          <w:rFonts w:ascii="Palatino Linotype" w:eastAsia="Calibri" w:hAnsi="Palatino Linotype" w:cs="Tahoma"/>
          <w:bCs/>
          <w:sz w:val="22"/>
          <w:szCs w:val="22"/>
          <w:lang w:eastAsia="en-US"/>
        </w:rPr>
        <w:t>, para que realice lo conducente.</w:t>
      </w:r>
    </w:p>
    <w:p w14:paraId="17EF86B7" w14:textId="77777777" w:rsidR="00895942" w:rsidRPr="00C40BD1" w:rsidRDefault="00895942" w:rsidP="00220BD1">
      <w:pPr>
        <w:spacing w:line="360" w:lineRule="auto"/>
        <w:jc w:val="both"/>
        <w:rPr>
          <w:rFonts w:ascii="Palatino Linotype" w:hAnsi="Palatino Linotype" w:cs="Tahoma"/>
          <w:bCs/>
          <w:iCs/>
          <w:sz w:val="22"/>
          <w:szCs w:val="22"/>
          <w:lang w:val="es-ES"/>
        </w:rPr>
      </w:pPr>
    </w:p>
    <w:p w14:paraId="6DD9A6AA" w14:textId="77777777" w:rsidR="00FF7C33" w:rsidRPr="00C40BD1" w:rsidRDefault="00FF7C33" w:rsidP="00220BD1">
      <w:pPr>
        <w:spacing w:line="360" w:lineRule="auto"/>
        <w:jc w:val="both"/>
        <w:rPr>
          <w:rFonts w:ascii="Palatino Linotype" w:hAnsi="Palatino Linotype" w:cs="Tahoma"/>
          <w:b/>
          <w:bCs/>
          <w:iCs/>
          <w:sz w:val="22"/>
          <w:szCs w:val="22"/>
          <w:lang w:val="es-ES"/>
        </w:rPr>
      </w:pPr>
      <w:r w:rsidRPr="00C40BD1">
        <w:rPr>
          <w:rFonts w:ascii="Palatino Linotype" w:hAnsi="Palatino Linotype" w:cs="Tahoma"/>
          <w:b/>
          <w:bCs/>
          <w:iCs/>
          <w:sz w:val="22"/>
          <w:szCs w:val="22"/>
          <w:lang w:val="es-ES"/>
        </w:rPr>
        <w:t>Términos de la Resolución para conocimiento del Particular</w:t>
      </w:r>
    </w:p>
    <w:p w14:paraId="5C2E0D9A" w14:textId="77777777" w:rsidR="00220BD1" w:rsidRPr="00C40BD1" w:rsidRDefault="00220BD1" w:rsidP="00220BD1">
      <w:pPr>
        <w:spacing w:line="360" w:lineRule="auto"/>
        <w:jc w:val="both"/>
        <w:rPr>
          <w:rFonts w:ascii="Palatino Linotype" w:hAnsi="Palatino Linotype" w:cs="Tahoma"/>
          <w:b/>
          <w:bCs/>
          <w:iCs/>
          <w:sz w:val="22"/>
          <w:szCs w:val="22"/>
          <w:lang w:val="es-ES"/>
        </w:rPr>
      </w:pPr>
    </w:p>
    <w:p w14:paraId="44AA22FE" w14:textId="67091D5A" w:rsidR="00F57883" w:rsidRPr="00C40BD1" w:rsidRDefault="00FF7C33" w:rsidP="00220BD1">
      <w:pPr>
        <w:spacing w:line="360" w:lineRule="auto"/>
        <w:jc w:val="both"/>
        <w:rPr>
          <w:rFonts w:ascii="Palatino Linotype" w:eastAsia="Calibri" w:hAnsi="Palatino Linotype"/>
          <w:sz w:val="22"/>
          <w:szCs w:val="22"/>
          <w:lang w:eastAsia="en-US"/>
        </w:rPr>
      </w:pPr>
      <w:r w:rsidRPr="00C40BD1">
        <w:rPr>
          <w:rFonts w:ascii="Palatino Linotype" w:hAnsi="Palatino Linotype" w:cs="Tahoma"/>
          <w:bCs/>
          <w:iCs/>
          <w:sz w:val="22"/>
          <w:szCs w:val="22"/>
          <w:lang w:val="es-ES"/>
        </w:rPr>
        <w:t xml:space="preserve">Se le hace del conocimiento al Particular, que, en el presente caso, se le da la razón, pues </w:t>
      </w:r>
      <w:r w:rsidRPr="00C40BD1">
        <w:rPr>
          <w:rFonts w:ascii="Palatino Linotype" w:hAnsi="Palatino Linotype" w:cs="Tahoma"/>
          <w:bCs/>
          <w:iCs/>
          <w:sz w:val="22"/>
          <w:szCs w:val="22"/>
        </w:rPr>
        <w:t xml:space="preserve">el </w:t>
      </w:r>
      <w:r w:rsidR="000268D8" w:rsidRPr="00C40BD1">
        <w:rPr>
          <w:rFonts w:ascii="Palatino Linotype" w:hAnsi="Palatino Linotype" w:cs="Tahoma"/>
          <w:bCs/>
          <w:iCs/>
          <w:sz w:val="22"/>
          <w:szCs w:val="22"/>
        </w:rPr>
        <w:t>Sujeto Obligado</w:t>
      </w:r>
      <w:r w:rsidRPr="00C40BD1">
        <w:rPr>
          <w:rFonts w:ascii="Palatino Linotype" w:hAnsi="Palatino Linotype" w:cs="Tahoma"/>
          <w:bCs/>
          <w:iCs/>
          <w:sz w:val="22"/>
          <w:szCs w:val="22"/>
        </w:rPr>
        <w:t xml:space="preserve"> </w:t>
      </w:r>
      <w:r w:rsidRPr="00C40BD1">
        <w:rPr>
          <w:rFonts w:ascii="Palatino Linotype" w:hAnsi="Palatino Linotype" w:cs="Tahoma"/>
          <w:bCs/>
          <w:iCs/>
          <w:sz w:val="22"/>
          <w:szCs w:val="22"/>
          <w:lang w:val="es-ES"/>
        </w:rPr>
        <w:t xml:space="preserve">no emitió contestación </w:t>
      </w:r>
      <w:r w:rsidR="00372534" w:rsidRPr="00C40BD1">
        <w:rPr>
          <w:rFonts w:ascii="Palatino Linotype" w:hAnsi="Palatino Linotype" w:cs="Tahoma"/>
          <w:bCs/>
          <w:iCs/>
          <w:sz w:val="22"/>
          <w:szCs w:val="22"/>
          <w:lang w:val="es-ES"/>
        </w:rPr>
        <w:t xml:space="preserve">alguna, </w:t>
      </w:r>
      <w:r w:rsidR="006C0B63" w:rsidRPr="00C40BD1">
        <w:rPr>
          <w:rFonts w:ascii="Palatino Linotype" w:hAnsi="Palatino Linotype" w:cs="Tahoma"/>
          <w:bCs/>
          <w:iCs/>
          <w:sz w:val="22"/>
          <w:szCs w:val="22"/>
          <w:lang w:val="es-ES"/>
        </w:rPr>
        <w:t xml:space="preserve">y si bien, durante la sustanciación emitió respuesta, no entregó la información solicitada, </w:t>
      </w:r>
      <w:r w:rsidR="00372534" w:rsidRPr="00C40BD1">
        <w:rPr>
          <w:rFonts w:ascii="Palatino Linotype" w:hAnsi="Palatino Linotype" w:cs="Tahoma"/>
          <w:bCs/>
          <w:iCs/>
          <w:sz w:val="22"/>
          <w:szCs w:val="22"/>
          <w:lang w:val="es-ES"/>
        </w:rPr>
        <w:t xml:space="preserve">por lo que, deberá </w:t>
      </w:r>
      <w:r w:rsidR="006C0B63" w:rsidRPr="00C40BD1">
        <w:rPr>
          <w:rFonts w:ascii="Palatino Linotype" w:hAnsi="Palatino Linotype" w:cs="Tahoma"/>
          <w:bCs/>
          <w:iCs/>
          <w:sz w:val="22"/>
          <w:szCs w:val="22"/>
          <w:lang w:val="es-ES"/>
        </w:rPr>
        <w:t>hacer entrega de la información.</w:t>
      </w:r>
      <w:r w:rsidR="0069582F" w:rsidRPr="00C40BD1">
        <w:rPr>
          <w:rFonts w:ascii="Palatino Linotype" w:hAnsi="Palatino Linotype" w:cs="Tahoma"/>
          <w:bCs/>
          <w:iCs/>
          <w:sz w:val="22"/>
          <w:szCs w:val="22"/>
          <w:lang w:val="es-ES"/>
        </w:rPr>
        <w:t xml:space="preserve"> </w:t>
      </w:r>
      <w:r w:rsidRPr="00C40BD1">
        <w:rPr>
          <w:rFonts w:ascii="Palatino Linotype" w:hAnsi="Palatino Linotype" w:cs="Tahoma"/>
          <w:bCs/>
          <w:iCs/>
          <w:sz w:val="22"/>
          <w:szCs w:val="22"/>
        </w:rPr>
        <w:t>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w:t>
      </w:r>
      <w:r w:rsidR="0069582F" w:rsidRPr="00C40BD1">
        <w:rPr>
          <w:rFonts w:ascii="Palatino Linotype" w:hAnsi="Palatino Linotype" w:cs="Tahoma"/>
          <w:bCs/>
          <w:iCs/>
          <w:sz w:val="22"/>
          <w:szCs w:val="22"/>
        </w:rPr>
        <w:t>;</w:t>
      </w:r>
      <w:r w:rsidR="00F57883" w:rsidRPr="00C40BD1">
        <w:rPr>
          <w:rFonts w:ascii="Palatino Linotype" w:eastAsia="Calibri" w:hAnsi="Palatino Linotype"/>
          <w:sz w:val="22"/>
          <w:szCs w:val="22"/>
          <w:lang w:eastAsia="en-US"/>
        </w:rPr>
        <w:t xml:space="preserve"> la labor de este Instituto, es apoyar a la población a acceder a la información pública y garantizar la protección de los datos personales.</w:t>
      </w:r>
    </w:p>
    <w:p w14:paraId="212CCDB8" w14:textId="77777777" w:rsidR="0069582F" w:rsidRPr="00C40BD1" w:rsidRDefault="0069582F" w:rsidP="00220BD1">
      <w:pPr>
        <w:spacing w:line="360" w:lineRule="auto"/>
        <w:jc w:val="both"/>
        <w:rPr>
          <w:rFonts w:ascii="Palatino Linotype" w:eastAsia="Calibri" w:hAnsi="Palatino Linotype"/>
          <w:color w:val="FF0000"/>
          <w:sz w:val="22"/>
          <w:szCs w:val="22"/>
          <w:lang w:eastAsia="en-US"/>
        </w:rPr>
      </w:pPr>
    </w:p>
    <w:p w14:paraId="4AEFC75A" w14:textId="77777777" w:rsidR="00FF7C33" w:rsidRPr="00C40BD1" w:rsidRDefault="00FF7C33" w:rsidP="00220BD1">
      <w:pPr>
        <w:spacing w:line="360" w:lineRule="auto"/>
        <w:jc w:val="both"/>
        <w:rPr>
          <w:rFonts w:ascii="Palatino Linotype" w:hAnsi="Palatino Linotype" w:cs="Tahoma"/>
          <w:bCs/>
          <w:iCs/>
          <w:sz w:val="22"/>
          <w:szCs w:val="22"/>
        </w:rPr>
      </w:pPr>
      <w:r w:rsidRPr="00C40BD1">
        <w:rPr>
          <w:rFonts w:ascii="Palatino Linotype" w:hAnsi="Palatino Linotype" w:cs="Tahoma"/>
          <w:bCs/>
          <w:iCs/>
          <w:sz w:val="22"/>
          <w:szCs w:val="22"/>
        </w:rPr>
        <w:t>Por lo expuesto y fundado, este Pleno:</w:t>
      </w:r>
    </w:p>
    <w:p w14:paraId="2A3C222A" w14:textId="77777777" w:rsidR="003A796B" w:rsidRPr="00C40BD1" w:rsidRDefault="003A796B" w:rsidP="00220BD1">
      <w:pPr>
        <w:spacing w:line="360" w:lineRule="auto"/>
        <w:jc w:val="both"/>
        <w:rPr>
          <w:rFonts w:ascii="Palatino Linotype" w:hAnsi="Palatino Linotype" w:cs="Tahoma"/>
          <w:bCs/>
          <w:iCs/>
          <w:sz w:val="22"/>
          <w:szCs w:val="22"/>
        </w:rPr>
      </w:pPr>
    </w:p>
    <w:p w14:paraId="31431AD7" w14:textId="77777777" w:rsidR="00FF7C33" w:rsidRPr="00C40BD1" w:rsidRDefault="00FF7C33" w:rsidP="00220BD1">
      <w:pPr>
        <w:pStyle w:val="Ttulo1"/>
        <w:rPr>
          <w:color w:val="auto"/>
        </w:rPr>
      </w:pPr>
      <w:bookmarkStart w:id="18" w:name="_Toc221197398"/>
      <w:r w:rsidRPr="00C40BD1">
        <w:rPr>
          <w:color w:val="auto"/>
        </w:rPr>
        <w:t>R E S U E L V E</w:t>
      </w:r>
      <w:bookmarkEnd w:id="18"/>
    </w:p>
    <w:p w14:paraId="39DB2FA1" w14:textId="77777777" w:rsidR="00F57883" w:rsidRPr="00C40BD1" w:rsidRDefault="00F57883" w:rsidP="00220BD1">
      <w:pPr>
        <w:spacing w:line="360" w:lineRule="auto"/>
        <w:jc w:val="both"/>
        <w:rPr>
          <w:rFonts w:ascii="Palatino Linotype" w:hAnsi="Palatino Linotype" w:cs="Tahoma"/>
          <w:b/>
          <w:bCs/>
          <w:iCs/>
          <w:sz w:val="22"/>
          <w:szCs w:val="22"/>
        </w:rPr>
      </w:pPr>
    </w:p>
    <w:p w14:paraId="46E6C462" w14:textId="6CFC7C38" w:rsidR="00FF7C33" w:rsidRPr="00C40BD1" w:rsidRDefault="00FF7C33" w:rsidP="00220BD1">
      <w:pPr>
        <w:spacing w:line="360" w:lineRule="auto"/>
        <w:jc w:val="both"/>
        <w:rPr>
          <w:rFonts w:ascii="Palatino Linotype" w:hAnsi="Palatino Linotype" w:cs="Tahoma"/>
          <w:bCs/>
          <w:iCs/>
          <w:sz w:val="22"/>
          <w:szCs w:val="22"/>
        </w:rPr>
      </w:pPr>
      <w:r w:rsidRPr="00C40BD1">
        <w:rPr>
          <w:rFonts w:ascii="Palatino Linotype" w:hAnsi="Palatino Linotype" w:cs="Tahoma"/>
          <w:b/>
          <w:bCs/>
          <w:iCs/>
          <w:sz w:val="22"/>
          <w:szCs w:val="22"/>
        </w:rPr>
        <w:t xml:space="preserve">PRIMERO. </w:t>
      </w:r>
      <w:r w:rsidRPr="00C40BD1">
        <w:rPr>
          <w:rFonts w:ascii="Palatino Linotype" w:hAnsi="Palatino Linotype" w:cs="Tahoma"/>
          <w:bCs/>
          <w:iCs/>
          <w:sz w:val="22"/>
          <w:szCs w:val="22"/>
        </w:rPr>
        <w:t xml:space="preserve">Resultan </w:t>
      </w:r>
      <w:r w:rsidRPr="00C40BD1">
        <w:rPr>
          <w:rFonts w:ascii="Palatino Linotype" w:hAnsi="Palatino Linotype" w:cs="Tahoma"/>
          <w:b/>
          <w:bCs/>
          <w:iCs/>
          <w:sz w:val="22"/>
          <w:szCs w:val="22"/>
        </w:rPr>
        <w:t>FUNDADAS</w:t>
      </w:r>
      <w:r w:rsidRPr="00C40BD1">
        <w:rPr>
          <w:rFonts w:ascii="Palatino Linotype" w:hAnsi="Palatino Linotype" w:cs="Tahoma"/>
          <w:bCs/>
          <w:iCs/>
          <w:sz w:val="22"/>
          <w:szCs w:val="22"/>
        </w:rPr>
        <w:t xml:space="preserve"> las razones o motivos de inconformidad hechos valer por el Partic</w:t>
      </w:r>
      <w:r w:rsidR="0085485C" w:rsidRPr="00C40BD1">
        <w:rPr>
          <w:rFonts w:ascii="Palatino Linotype" w:hAnsi="Palatino Linotype" w:cs="Tahoma"/>
          <w:bCs/>
          <w:iCs/>
          <w:sz w:val="22"/>
          <w:szCs w:val="22"/>
        </w:rPr>
        <w:t xml:space="preserve">ular en el Recurso de Revisión </w:t>
      </w:r>
      <w:r w:rsidR="00C9460E" w:rsidRPr="00C40BD1">
        <w:rPr>
          <w:rFonts w:ascii="Palatino Linotype" w:hAnsi="Palatino Linotype" w:cs="Tahoma"/>
          <w:bCs/>
          <w:iCs/>
          <w:sz w:val="22"/>
          <w:szCs w:val="22"/>
        </w:rPr>
        <w:t>14371/INFOEM/IP/RR/2025</w:t>
      </w:r>
      <w:r w:rsidRPr="00C40BD1">
        <w:rPr>
          <w:rFonts w:ascii="Palatino Linotype" w:hAnsi="Palatino Linotype" w:cs="Tahoma"/>
          <w:bCs/>
          <w:iCs/>
          <w:sz w:val="22"/>
          <w:szCs w:val="22"/>
        </w:rPr>
        <w:t>,</w:t>
      </w:r>
      <w:r w:rsidRPr="00C40BD1">
        <w:rPr>
          <w:rFonts w:ascii="Palatino Linotype" w:hAnsi="Palatino Linotype" w:cs="Tahoma"/>
          <w:b/>
          <w:bCs/>
          <w:iCs/>
          <w:sz w:val="22"/>
          <w:szCs w:val="22"/>
        </w:rPr>
        <w:t xml:space="preserve"> </w:t>
      </w:r>
      <w:r w:rsidRPr="00C40BD1">
        <w:rPr>
          <w:rFonts w:ascii="Palatino Linotype" w:hAnsi="Palatino Linotype" w:cs="Tahoma"/>
          <w:bCs/>
          <w:iCs/>
          <w:sz w:val="22"/>
          <w:szCs w:val="22"/>
        </w:rPr>
        <w:t>en términos de los considerandos QUINTO y SEXTO de la presente Resolución.</w:t>
      </w:r>
    </w:p>
    <w:p w14:paraId="0B1A73AD" w14:textId="77777777" w:rsidR="00B06E23" w:rsidRPr="00C40BD1" w:rsidRDefault="00B06E23" w:rsidP="00220BD1">
      <w:pPr>
        <w:spacing w:line="360" w:lineRule="auto"/>
        <w:jc w:val="both"/>
        <w:rPr>
          <w:rFonts w:ascii="Palatino Linotype" w:hAnsi="Palatino Linotype" w:cs="Tahoma"/>
          <w:bCs/>
          <w:iCs/>
          <w:color w:val="FF0000"/>
          <w:sz w:val="22"/>
          <w:szCs w:val="22"/>
        </w:rPr>
      </w:pPr>
    </w:p>
    <w:p w14:paraId="059A142C" w14:textId="5EC8AE16" w:rsidR="00626F56" w:rsidRPr="00C40BD1" w:rsidRDefault="00FB7667" w:rsidP="00220BD1">
      <w:pPr>
        <w:spacing w:line="360" w:lineRule="auto"/>
        <w:jc w:val="both"/>
        <w:rPr>
          <w:rFonts w:ascii="Palatino Linotype" w:eastAsia="Calibri" w:hAnsi="Palatino Linotype" w:cs="Tahoma"/>
          <w:sz w:val="22"/>
          <w:szCs w:val="22"/>
          <w:lang w:val="es-ES" w:eastAsia="es-MX"/>
        </w:rPr>
      </w:pPr>
      <w:r w:rsidRPr="00C40BD1">
        <w:rPr>
          <w:rFonts w:ascii="Palatino Linotype" w:hAnsi="Palatino Linotype" w:cs="Tahoma"/>
          <w:b/>
          <w:bCs/>
          <w:iCs/>
          <w:sz w:val="22"/>
          <w:szCs w:val="22"/>
          <w:lang w:val="es-ES"/>
        </w:rPr>
        <w:t xml:space="preserve">SEGUNDO. </w:t>
      </w:r>
      <w:r w:rsidRPr="00C40BD1">
        <w:rPr>
          <w:rFonts w:ascii="Palatino Linotype" w:hAnsi="Palatino Linotype" w:cs="Tahoma"/>
          <w:bCs/>
          <w:iCs/>
          <w:sz w:val="22"/>
          <w:szCs w:val="22"/>
          <w:lang w:val="es-ES"/>
        </w:rPr>
        <w:t>Se</w:t>
      </w:r>
      <w:r w:rsidRPr="00C40BD1">
        <w:rPr>
          <w:rFonts w:ascii="Palatino Linotype" w:hAnsi="Palatino Linotype" w:cs="Tahoma"/>
          <w:b/>
          <w:bCs/>
          <w:iCs/>
          <w:sz w:val="22"/>
          <w:szCs w:val="22"/>
          <w:lang w:val="es-ES"/>
        </w:rPr>
        <w:t xml:space="preserve"> ORDENA </w:t>
      </w:r>
      <w:r w:rsidRPr="00C40BD1">
        <w:rPr>
          <w:rFonts w:ascii="Palatino Linotype" w:hAnsi="Palatino Linotype" w:cs="Tahoma"/>
          <w:bCs/>
          <w:iCs/>
          <w:sz w:val="22"/>
          <w:szCs w:val="22"/>
          <w:lang w:val="es-ES"/>
        </w:rPr>
        <w:t xml:space="preserve">al Sujeto Obligado, </w:t>
      </w:r>
      <w:r w:rsidR="00B566DA" w:rsidRPr="00C40BD1">
        <w:rPr>
          <w:rFonts w:ascii="Palatino Linotype" w:hAnsi="Palatino Linotype" w:cs="Tahoma"/>
          <w:sz w:val="22"/>
          <w:szCs w:val="22"/>
        </w:rPr>
        <w:t xml:space="preserve">a efecto de que, </w:t>
      </w:r>
      <w:r w:rsidR="00B566DA" w:rsidRPr="00C40BD1">
        <w:rPr>
          <w:rFonts w:ascii="Palatino Linotype" w:eastAsia="Calibri" w:hAnsi="Palatino Linotype" w:cs="Tahoma"/>
          <w:sz w:val="22"/>
          <w:szCs w:val="22"/>
        </w:rPr>
        <w:t xml:space="preserve">previa búsqueda exhaustiva y razonable, en los archivos de las unidades administrativas competentes, entregue </w:t>
      </w:r>
      <w:r w:rsidR="00B566DA" w:rsidRPr="00C40BD1">
        <w:rPr>
          <w:rFonts w:ascii="Palatino Linotype" w:hAnsi="Palatino Linotype" w:cs="Tahoma"/>
          <w:bCs/>
          <w:sz w:val="22"/>
          <w:szCs w:val="22"/>
        </w:rPr>
        <w:t>a través del Sistema de Acceso a la Información Mexiquense (SAIMEX),</w:t>
      </w:r>
      <w:r w:rsidR="00B566DA" w:rsidRPr="00C40BD1">
        <w:rPr>
          <w:rFonts w:ascii="Palatino Linotype" w:eastAsia="Calibri" w:hAnsi="Palatino Linotype" w:cs="Tahoma"/>
          <w:sz w:val="22"/>
          <w:szCs w:val="22"/>
        </w:rPr>
        <w:t xml:space="preserve"> en su caso</w:t>
      </w:r>
      <w:r w:rsidR="0069582F" w:rsidRPr="00C40BD1">
        <w:rPr>
          <w:rFonts w:ascii="Palatino Linotype" w:eastAsia="Calibri" w:hAnsi="Palatino Linotype" w:cs="Tahoma"/>
          <w:sz w:val="22"/>
          <w:szCs w:val="22"/>
        </w:rPr>
        <w:t>,</w:t>
      </w:r>
      <w:r w:rsidR="00B566DA" w:rsidRPr="00C40BD1">
        <w:rPr>
          <w:rFonts w:ascii="Palatino Linotype" w:eastAsia="Calibri" w:hAnsi="Palatino Linotype" w:cs="Tahoma"/>
          <w:sz w:val="22"/>
          <w:szCs w:val="22"/>
        </w:rPr>
        <w:t xml:space="preserve"> en versión pública</w:t>
      </w:r>
      <w:r w:rsidR="00B566DA" w:rsidRPr="00C40BD1">
        <w:rPr>
          <w:rFonts w:ascii="Palatino Linotype" w:hAnsi="Palatino Linotype"/>
          <w:sz w:val="22"/>
          <w:szCs w:val="22"/>
        </w:rPr>
        <w:t xml:space="preserve">, </w:t>
      </w:r>
      <w:r w:rsidR="0069582F" w:rsidRPr="00C40BD1">
        <w:rPr>
          <w:rFonts w:ascii="Palatino Linotype" w:hAnsi="Palatino Linotype"/>
          <w:sz w:val="22"/>
          <w:szCs w:val="22"/>
        </w:rPr>
        <w:t>los documentos donde</w:t>
      </w:r>
      <w:r w:rsidR="00626F56" w:rsidRPr="00C40BD1">
        <w:rPr>
          <w:rFonts w:ascii="Palatino Linotype" w:hAnsi="Palatino Linotype"/>
          <w:sz w:val="22"/>
          <w:szCs w:val="22"/>
        </w:rPr>
        <w:t xml:space="preserve"> consten los recursos públicos </w:t>
      </w:r>
      <w:r w:rsidR="00C9460E" w:rsidRPr="00C40BD1">
        <w:rPr>
          <w:rFonts w:ascii="Palatino Linotype" w:eastAsia="Calibri" w:hAnsi="Palatino Linotype" w:cs="Tahoma"/>
          <w:sz w:val="22"/>
          <w:szCs w:val="22"/>
          <w:lang w:val="es-ES" w:eastAsia="es-MX"/>
        </w:rPr>
        <w:t>(materiales, financieros o humanos)</w:t>
      </w:r>
      <w:r w:rsidR="00626F56" w:rsidRPr="00C40BD1">
        <w:rPr>
          <w:rFonts w:ascii="Palatino Linotype" w:eastAsia="Calibri" w:hAnsi="Palatino Linotype" w:cs="Tahoma"/>
          <w:sz w:val="22"/>
          <w:szCs w:val="22"/>
          <w:lang w:val="es-ES" w:eastAsia="es-MX"/>
        </w:rPr>
        <w:t xml:space="preserve"> utilizados por el Ayuntamiento del veinticuatro de noviembre de dos mil veinticuatro al veinticuatro de noviembre de dos mil veinticinco, que incluya los montos, fechas y conceptos, para lo siguiente:</w:t>
      </w:r>
    </w:p>
    <w:p w14:paraId="5E8DCFBB" w14:textId="77777777" w:rsidR="00626F56" w:rsidRPr="00C40BD1" w:rsidRDefault="00626F56" w:rsidP="00220BD1">
      <w:pPr>
        <w:spacing w:line="360" w:lineRule="auto"/>
        <w:jc w:val="both"/>
        <w:rPr>
          <w:rFonts w:ascii="Palatino Linotype" w:eastAsia="Calibri" w:hAnsi="Palatino Linotype" w:cs="Tahoma"/>
          <w:sz w:val="22"/>
          <w:szCs w:val="22"/>
          <w:lang w:val="es-ES" w:eastAsia="es-MX"/>
        </w:rPr>
      </w:pPr>
    </w:p>
    <w:p w14:paraId="3767F4E4" w14:textId="77777777" w:rsidR="00C9460E" w:rsidRPr="00C40BD1" w:rsidRDefault="00C9460E" w:rsidP="00220BD1">
      <w:pPr>
        <w:tabs>
          <w:tab w:val="left" w:pos="709"/>
          <w:tab w:val="left" w:pos="4962"/>
        </w:tabs>
        <w:spacing w:line="360" w:lineRule="auto"/>
        <w:ind w:left="567" w:firstLine="142"/>
        <w:contextualSpacing/>
        <w:jc w:val="both"/>
        <w:rPr>
          <w:rFonts w:ascii="Palatino Linotype" w:eastAsia="Calibri" w:hAnsi="Palatino Linotype" w:cs="Tahoma"/>
          <w:sz w:val="22"/>
          <w:szCs w:val="22"/>
          <w:lang w:val="es-ES" w:eastAsia="es-MX"/>
        </w:rPr>
      </w:pPr>
      <w:r w:rsidRPr="00C40BD1">
        <w:rPr>
          <w:rFonts w:ascii="Palatino Linotype" w:eastAsia="Calibri" w:hAnsi="Palatino Linotype" w:cs="Tahoma"/>
          <w:sz w:val="22"/>
          <w:szCs w:val="22"/>
          <w:lang w:val="es-ES" w:eastAsia="es-MX"/>
        </w:rPr>
        <w:t>a) Transporte, instalación o mantenimiento de la estatua del “Señor del Nicho”.</w:t>
      </w:r>
    </w:p>
    <w:p w14:paraId="2FBCF932" w14:textId="382A4705" w:rsidR="00B566DA" w:rsidRPr="00C40BD1" w:rsidRDefault="00C9460E" w:rsidP="00220BD1">
      <w:pPr>
        <w:tabs>
          <w:tab w:val="left" w:pos="709"/>
          <w:tab w:val="left" w:pos="4962"/>
        </w:tabs>
        <w:spacing w:line="360" w:lineRule="auto"/>
        <w:ind w:left="567" w:firstLine="142"/>
        <w:contextualSpacing/>
        <w:jc w:val="both"/>
        <w:rPr>
          <w:rFonts w:ascii="Palatino Linotype" w:eastAsia="Calibri" w:hAnsi="Palatino Linotype" w:cs="Tahoma"/>
          <w:sz w:val="22"/>
          <w:szCs w:val="22"/>
          <w:lang w:val="es-ES" w:eastAsia="es-MX"/>
        </w:rPr>
      </w:pPr>
      <w:r w:rsidRPr="00C40BD1">
        <w:rPr>
          <w:rFonts w:ascii="Palatino Linotype" w:eastAsia="Calibri" w:hAnsi="Palatino Linotype" w:cs="Tahoma"/>
          <w:sz w:val="22"/>
          <w:szCs w:val="22"/>
          <w:lang w:val="es-ES" w:eastAsia="es-MX"/>
        </w:rPr>
        <w:t xml:space="preserve"> b) Obras o apoyo al predio denominado “Centro Cultural del Señor del Nicho”. </w:t>
      </w:r>
    </w:p>
    <w:p w14:paraId="38BA7D1F" w14:textId="77777777" w:rsidR="00C9460E" w:rsidRPr="00C40BD1" w:rsidRDefault="00C9460E" w:rsidP="00220BD1">
      <w:pPr>
        <w:tabs>
          <w:tab w:val="left" w:pos="709"/>
          <w:tab w:val="left" w:pos="4962"/>
        </w:tabs>
        <w:spacing w:line="360" w:lineRule="auto"/>
        <w:ind w:left="567" w:firstLine="142"/>
        <w:contextualSpacing/>
        <w:jc w:val="both"/>
        <w:rPr>
          <w:rFonts w:ascii="Palatino Linotype" w:eastAsia="Calibri" w:hAnsi="Palatino Linotype" w:cs="Tahoma"/>
          <w:sz w:val="22"/>
          <w:szCs w:val="22"/>
          <w:lang w:val="es-ES" w:eastAsia="es-MX"/>
        </w:rPr>
      </w:pPr>
    </w:p>
    <w:p w14:paraId="53ABF9CA" w14:textId="77777777" w:rsidR="006E71F2" w:rsidRPr="00C40BD1" w:rsidRDefault="006E71F2" w:rsidP="00220BD1">
      <w:pPr>
        <w:spacing w:line="360" w:lineRule="auto"/>
        <w:jc w:val="both"/>
        <w:rPr>
          <w:rFonts w:ascii="Palatino Linotype" w:hAnsi="Palatino Linotype" w:cs="Tahoma"/>
          <w:bCs/>
          <w:iCs/>
          <w:sz w:val="22"/>
          <w:szCs w:val="22"/>
        </w:rPr>
      </w:pPr>
      <w:r w:rsidRPr="00C40BD1">
        <w:rPr>
          <w:rFonts w:ascii="Palatino Linotype" w:hAnsi="Palatino Linotype" w:cs="Tahoma"/>
          <w:bCs/>
          <w:iCs/>
          <w:sz w:val="22"/>
          <w:szCs w:val="22"/>
        </w:rPr>
        <w:t>Además, de ser necesario, deberá proporcionar el Acuerdo de Clasificación donde el Comité de Transparencia, confirme la eliminación de los datos confidenciales, en la versión pública, de conformidad con los artículos 49, fracciones II y VIII y 132, fracción II de la Ley de Transparencia y Acceso a la Información Pública del Estado de México y Municipios.</w:t>
      </w:r>
    </w:p>
    <w:p w14:paraId="0642B061" w14:textId="77777777" w:rsidR="00C9460E" w:rsidRPr="00C40BD1" w:rsidRDefault="00C9460E" w:rsidP="00220BD1">
      <w:pPr>
        <w:spacing w:line="360" w:lineRule="auto"/>
        <w:jc w:val="both"/>
        <w:rPr>
          <w:rFonts w:ascii="Palatino Linotype" w:hAnsi="Palatino Linotype" w:cs="Tahoma"/>
          <w:bCs/>
          <w:iCs/>
          <w:sz w:val="22"/>
          <w:szCs w:val="22"/>
        </w:rPr>
      </w:pPr>
    </w:p>
    <w:p w14:paraId="27F7DF32" w14:textId="5BE35D09" w:rsidR="004F3DDB" w:rsidRPr="00C40BD1" w:rsidRDefault="004F3DDB" w:rsidP="00220BD1">
      <w:pPr>
        <w:spacing w:line="360" w:lineRule="auto"/>
        <w:jc w:val="both"/>
        <w:rPr>
          <w:rFonts w:ascii="Palatino Linotype" w:hAnsi="Palatino Linotype" w:cs="Tahoma"/>
          <w:bCs/>
          <w:iCs/>
          <w:sz w:val="22"/>
          <w:szCs w:val="22"/>
        </w:rPr>
      </w:pPr>
      <w:r w:rsidRPr="00C40BD1">
        <w:rPr>
          <w:rFonts w:ascii="Palatino Linotype" w:hAnsi="Palatino Linotype" w:cs="Tahoma"/>
          <w:bCs/>
          <w:iCs/>
          <w:sz w:val="22"/>
          <w:szCs w:val="22"/>
        </w:rPr>
        <w:lastRenderedPageBreak/>
        <w:t>Para el caso de que la información solicitada no obre en los archivos del Ayuntamiento</w:t>
      </w:r>
      <w:r w:rsidR="00626F56" w:rsidRPr="00C40BD1">
        <w:rPr>
          <w:rFonts w:ascii="Palatino Linotype" w:hAnsi="Palatino Linotype" w:cs="Tahoma"/>
          <w:bCs/>
          <w:iCs/>
          <w:sz w:val="22"/>
          <w:szCs w:val="22"/>
        </w:rPr>
        <w:t>, al no haber erogado recursos</w:t>
      </w:r>
      <w:r w:rsidRPr="00C40BD1">
        <w:rPr>
          <w:rFonts w:ascii="Palatino Linotype" w:hAnsi="Palatino Linotype" w:cs="Tahoma"/>
          <w:bCs/>
          <w:iCs/>
          <w:sz w:val="22"/>
          <w:szCs w:val="22"/>
        </w:rPr>
        <w:t>, deberá hacerlo del conocimiento del Particular de manera clara y precisa.</w:t>
      </w:r>
    </w:p>
    <w:p w14:paraId="08EA7079" w14:textId="77777777" w:rsidR="00E26B53" w:rsidRPr="00C40BD1" w:rsidRDefault="00E26B53" w:rsidP="00220BD1">
      <w:pPr>
        <w:spacing w:line="360" w:lineRule="auto"/>
        <w:jc w:val="both"/>
        <w:rPr>
          <w:rFonts w:ascii="Palatino Linotype" w:hAnsi="Palatino Linotype" w:cs="Tahoma"/>
          <w:bCs/>
          <w:iCs/>
          <w:color w:val="FF0000"/>
          <w:sz w:val="22"/>
          <w:szCs w:val="22"/>
        </w:rPr>
      </w:pPr>
    </w:p>
    <w:p w14:paraId="2F31FE73" w14:textId="77777777" w:rsidR="00FF7C33" w:rsidRPr="00C40BD1" w:rsidRDefault="00FF7C33" w:rsidP="00220BD1">
      <w:pPr>
        <w:spacing w:line="360" w:lineRule="auto"/>
        <w:jc w:val="both"/>
        <w:rPr>
          <w:rFonts w:ascii="Palatino Linotype" w:hAnsi="Palatino Linotype" w:cs="Tahoma"/>
          <w:bCs/>
          <w:iCs/>
          <w:sz w:val="22"/>
          <w:szCs w:val="22"/>
          <w:lang w:val="es-ES_tradnl"/>
        </w:rPr>
      </w:pPr>
      <w:r w:rsidRPr="00C40BD1">
        <w:rPr>
          <w:rFonts w:ascii="Palatino Linotype" w:hAnsi="Palatino Linotype" w:cs="Tahoma"/>
          <w:b/>
          <w:bCs/>
          <w:iCs/>
          <w:sz w:val="22"/>
          <w:szCs w:val="22"/>
          <w:lang w:val="es-ES"/>
        </w:rPr>
        <w:t>TERCERO</w:t>
      </w:r>
      <w:r w:rsidRPr="00C40BD1">
        <w:rPr>
          <w:rFonts w:ascii="Palatino Linotype" w:hAnsi="Palatino Linotype" w:cs="Tahoma"/>
          <w:b/>
          <w:bCs/>
          <w:iCs/>
          <w:sz w:val="22"/>
          <w:szCs w:val="22"/>
        </w:rPr>
        <w:t xml:space="preserve">. </w:t>
      </w:r>
      <w:r w:rsidRPr="00C40BD1">
        <w:rPr>
          <w:rFonts w:ascii="Palatino Linotype" w:hAnsi="Palatino Linotype" w:cs="Tahoma"/>
          <w:bCs/>
          <w:iCs/>
          <w:sz w:val="22"/>
          <w:szCs w:val="22"/>
          <w:lang w:val="es-ES_tradnl"/>
        </w:rPr>
        <w:t xml:space="preserve">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  </w:t>
      </w:r>
    </w:p>
    <w:p w14:paraId="2BFB54E0" w14:textId="77777777" w:rsidR="00FF7C33" w:rsidRPr="00C40BD1" w:rsidRDefault="00FF7C33" w:rsidP="00220BD1">
      <w:pPr>
        <w:spacing w:line="360" w:lineRule="auto"/>
        <w:jc w:val="both"/>
        <w:rPr>
          <w:rFonts w:ascii="Palatino Linotype" w:hAnsi="Palatino Linotype" w:cs="Tahoma"/>
          <w:bCs/>
          <w:iCs/>
          <w:sz w:val="22"/>
          <w:szCs w:val="22"/>
        </w:rPr>
      </w:pPr>
    </w:p>
    <w:p w14:paraId="63F3D9B5" w14:textId="77777777" w:rsidR="00FF7C33" w:rsidRPr="00C40BD1" w:rsidRDefault="00FF7C33" w:rsidP="00220BD1">
      <w:pPr>
        <w:spacing w:line="360" w:lineRule="auto"/>
        <w:jc w:val="both"/>
        <w:rPr>
          <w:rFonts w:ascii="Palatino Linotype" w:hAnsi="Palatino Linotype" w:cs="Tahoma"/>
          <w:bCs/>
          <w:iCs/>
          <w:sz w:val="22"/>
          <w:szCs w:val="22"/>
        </w:rPr>
      </w:pPr>
      <w:r w:rsidRPr="00C40BD1">
        <w:rPr>
          <w:rFonts w:ascii="Palatino Linotype" w:hAnsi="Palatino Linotype" w:cs="Tahoma"/>
          <w:b/>
          <w:bCs/>
          <w:iCs/>
          <w:sz w:val="22"/>
          <w:szCs w:val="22"/>
        </w:rPr>
        <w:t>CUARTO.</w:t>
      </w:r>
      <w:r w:rsidRPr="00C40BD1">
        <w:rPr>
          <w:rFonts w:ascii="Palatino Linotype" w:hAnsi="Palatino Linotype" w:cs="Tahoma"/>
          <w:bCs/>
          <w:iCs/>
          <w:sz w:val="22"/>
          <w:szCs w:val="22"/>
        </w:rPr>
        <w:t xml:space="preserve"> </w:t>
      </w:r>
      <w:r w:rsidRPr="00C40BD1">
        <w:rPr>
          <w:rFonts w:ascii="Palatino Linotype" w:hAnsi="Palatino Linotype" w:cs="Tahoma"/>
          <w:b/>
          <w:bCs/>
          <w:iCs/>
          <w:sz w:val="22"/>
          <w:szCs w:val="22"/>
        </w:rPr>
        <w:t xml:space="preserve">NOTIFÍQUESE POR SAIMEX </w:t>
      </w:r>
      <w:r w:rsidRPr="00C40BD1">
        <w:rPr>
          <w:rFonts w:ascii="Palatino Linotype" w:hAnsi="Palatino Linotype" w:cs="Tahoma"/>
          <w:bCs/>
          <w:iCs/>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1CF3E7C5" w14:textId="77777777" w:rsidR="00FF7C33" w:rsidRPr="00C40BD1" w:rsidRDefault="00FF7C33" w:rsidP="00220BD1">
      <w:pPr>
        <w:spacing w:line="360" w:lineRule="auto"/>
        <w:jc w:val="both"/>
        <w:rPr>
          <w:rFonts w:ascii="Palatino Linotype" w:hAnsi="Palatino Linotype" w:cs="Tahoma"/>
          <w:bCs/>
          <w:iCs/>
          <w:sz w:val="22"/>
          <w:szCs w:val="22"/>
        </w:rPr>
      </w:pPr>
    </w:p>
    <w:p w14:paraId="540F4370" w14:textId="0BC61EE8" w:rsidR="00FF7C33" w:rsidRPr="00C40BD1" w:rsidRDefault="00FF7C33" w:rsidP="00220BD1">
      <w:pPr>
        <w:spacing w:line="360" w:lineRule="auto"/>
        <w:jc w:val="both"/>
        <w:rPr>
          <w:rFonts w:ascii="Palatino Linotype" w:hAnsi="Palatino Linotype" w:cs="Tahoma"/>
          <w:bCs/>
          <w:iCs/>
          <w:sz w:val="22"/>
          <w:szCs w:val="22"/>
        </w:rPr>
      </w:pPr>
      <w:r w:rsidRPr="00C40BD1">
        <w:rPr>
          <w:rFonts w:ascii="Palatino Linotype" w:hAnsi="Palatino Linotype" w:cs="Tahoma"/>
          <w:b/>
          <w:bCs/>
          <w:iCs/>
          <w:sz w:val="22"/>
          <w:szCs w:val="22"/>
        </w:rPr>
        <w:t>QUINTO. NOTIFÍQUESE</w:t>
      </w:r>
      <w:r w:rsidRPr="00C40BD1">
        <w:rPr>
          <w:rFonts w:ascii="Palatino Linotype" w:hAnsi="Palatino Linotype" w:cs="Tahoma"/>
          <w:bCs/>
          <w:iCs/>
          <w:sz w:val="22"/>
          <w:szCs w:val="22"/>
        </w:rPr>
        <w:t xml:space="preserve"> </w:t>
      </w:r>
      <w:r w:rsidRPr="00C40BD1">
        <w:rPr>
          <w:rFonts w:ascii="Palatino Linotype" w:hAnsi="Palatino Linotype" w:cs="Tahoma"/>
          <w:b/>
          <w:bCs/>
          <w:iCs/>
          <w:sz w:val="22"/>
          <w:szCs w:val="22"/>
        </w:rPr>
        <w:t xml:space="preserve">POR SAIMEX, </w:t>
      </w:r>
      <w:r w:rsidRPr="00C40BD1">
        <w:rPr>
          <w:rFonts w:ascii="Palatino Linotype" w:hAnsi="Palatino Linotype" w:cs="Tahoma"/>
          <w:bCs/>
          <w:iCs/>
          <w:sz w:val="22"/>
          <w:szCs w:val="22"/>
        </w:rPr>
        <w:t>a</w:t>
      </w:r>
      <w:r w:rsidR="009E3A34" w:rsidRPr="00C40BD1">
        <w:rPr>
          <w:rFonts w:ascii="Palatino Linotype" w:hAnsi="Palatino Linotype" w:cs="Tahoma"/>
          <w:bCs/>
          <w:iCs/>
          <w:sz w:val="22"/>
          <w:szCs w:val="22"/>
        </w:rPr>
        <w:t xml:space="preserve"> la persona</w:t>
      </w:r>
      <w:r w:rsidRPr="00C40BD1">
        <w:rPr>
          <w:rFonts w:ascii="Palatino Linotype" w:hAnsi="Palatino Linotype" w:cs="Tahoma"/>
          <w:bCs/>
          <w:iCs/>
          <w:sz w:val="22"/>
          <w:szCs w:val="22"/>
        </w:rPr>
        <w:t xml:space="preserv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040628A" w14:textId="77777777" w:rsidR="00501F15" w:rsidRPr="00C40BD1" w:rsidRDefault="00501F15" w:rsidP="00220BD1">
      <w:pPr>
        <w:spacing w:line="360" w:lineRule="auto"/>
        <w:jc w:val="both"/>
        <w:rPr>
          <w:rFonts w:ascii="Palatino Linotype" w:hAnsi="Palatino Linotype" w:cs="Tahoma"/>
          <w:bCs/>
          <w:iCs/>
          <w:sz w:val="22"/>
          <w:szCs w:val="22"/>
        </w:rPr>
      </w:pPr>
    </w:p>
    <w:p w14:paraId="4C0D39E9" w14:textId="77777777" w:rsidR="00501F15" w:rsidRPr="00C40BD1" w:rsidRDefault="00501F15" w:rsidP="00220BD1">
      <w:pPr>
        <w:spacing w:line="360" w:lineRule="auto"/>
        <w:jc w:val="both"/>
        <w:rPr>
          <w:rFonts w:ascii="Palatino Linotype" w:eastAsia="Calibri" w:hAnsi="Palatino Linotype" w:cs="Tahoma"/>
          <w:bCs/>
          <w:sz w:val="22"/>
          <w:szCs w:val="22"/>
          <w:lang w:eastAsia="en-US"/>
        </w:rPr>
      </w:pPr>
      <w:r w:rsidRPr="00C40BD1">
        <w:rPr>
          <w:rFonts w:ascii="Palatino Linotype" w:eastAsiaTheme="minorHAnsi" w:hAnsi="Palatino Linotype" w:cstheme="minorBidi"/>
          <w:b/>
          <w:bCs/>
          <w:sz w:val="22"/>
          <w:szCs w:val="22"/>
          <w:lang w:eastAsia="en-US"/>
        </w:rPr>
        <w:t>SEXTO.</w:t>
      </w:r>
      <w:r w:rsidRPr="00C40BD1">
        <w:rPr>
          <w:rFonts w:ascii="Palatino Linotype" w:eastAsiaTheme="minorHAnsi" w:hAnsi="Palatino Linotype" w:cstheme="minorBidi"/>
          <w:sz w:val="22"/>
          <w:szCs w:val="22"/>
          <w:lang w:eastAsia="en-US"/>
        </w:rPr>
        <w:t xml:space="preserve"> Gírese oficio a la Secretaría Técnica del Pleno de este Instituto para hacer del conocimiento del Órgano Interno de Control competente la presente resolución, a fin de que </w:t>
      </w:r>
      <w:r w:rsidRPr="00C40BD1">
        <w:rPr>
          <w:rFonts w:ascii="Palatino Linotype" w:eastAsiaTheme="minorHAnsi" w:hAnsi="Palatino Linotype" w:cstheme="minorBidi"/>
          <w:sz w:val="22"/>
          <w:szCs w:val="22"/>
          <w:lang w:eastAsia="en-US"/>
        </w:rPr>
        <w:lastRenderedPageBreak/>
        <w:t>de conformidad con el artículo 190, de la Ley de Transparencia y Acceso a la Información Pública del Estado de México y Municipios, determine lo conducente, en términos de lo señalado en el Considerando SÉPTIMO de la presente Resolución.</w:t>
      </w:r>
    </w:p>
    <w:p w14:paraId="6D99CCC6" w14:textId="77777777" w:rsidR="00FF7C33" w:rsidRPr="00C40BD1" w:rsidRDefault="00FF7C33" w:rsidP="00220BD1">
      <w:pPr>
        <w:spacing w:line="360" w:lineRule="auto"/>
        <w:jc w:val="both"/>
        <w:rPr>
          <w:rFonts w:ascii="Palatino Linotype" w:hAnsi="Palatino Linotype" w:cs="Tahoma"/>
          <w:b/>
          <w:bCs/>
          <w:iCs/>
          <w:color w:val="FF0000"/>
          <w:sz w:val="22"/>
          <w:szCs w:val="22"/>
        </w:rPr>
      </w:pPr>
    </w:p>
    <w:p w14:paraId="4051A84A" w14:textId="3F9BC6DF" w:rsidR="00FF7C33" w:rsidRPr="004F3DDB" w:rsidRDefault="00FF7C33" w:rsidP="00220BD1">
      <w:pPr>
        <w:spacing w:line="360" w:lineRule="auto"/>
        <w:jc w:val="both"/>
        <w:rPr>
          <w:rFonts w:ascii="Palatino Linotype" w:hAnsi="Palatino Linotype" w:cs="Tahoma"/>
          <w:bCs/>
          <w:iCs/>
          <w:sz w:val="22"/>
          <w:szCs w:val="22"/>
        </w:rPr>
      </w:pPr>
      <w:r w:rsidRPr="00C40BD1">
        <w:rPr>
          <w:rFonts w:ascii="Palatino Linotype" w:hAnsi="Palatino Linotype" w:cs="Tahoma"/>
          <w:bCs/>
          <w:iCs/>
          <w:sz w:val="22"/>
          <w:szCs w:val="22"/>
        </w:rPr>
        <w:t>ASÍ LO RESUELVE, POR </w:t>
      </w:r>
      <w:r w:rsidRPr="00C40BD1">
        <w:rPr>
          <w:rFonts w:ascii="Palatino Linotype" w:hAnsi="Palatino Linotype" w:cs="Tahoma"/>
          <w:b/>
          <w:bCs/>
          <w:iCs/>
          <w:sz w:val="22"/>
          <w:szCs w:val="22"/>
        </w:rPr>
        <w:t>UNANIMIDAD</w:t>
      </w:r>
      <w:r w:rsidRPr="00C40BD1">
        <w:rPr>
          <w:rFonts w:ascii="Palatino Linotype" w:hAnsi="Palatino Linotype" w:cs="Tahoma"/>
          <w:bCs/>
          <w:iCs/>
          <w:sz w:val="22"/>
          <w:szCs w:val="22"/>
        </w:rP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w:t>
      </w:r>
      <w:r w:rsidR="00886861" w:rsidRPr="00C40BD1">
        <w:rPr>
          <w:rFonts w:ascii="Palatino Linotype" w:hAnsi="Palatino Linotype" w:cs="Tahoma"/>
          <w:bCs/>
          <w:iCs/>
          <w:sz w:val="22"/>
          <w:szCs w:val="22"/>
        </w:rPr>
        <w:t xml:space="preserve"> </w:t>
      </w:r>
      <w:r w:rsidR="004F3DDB" w:rsidRPr="00C40BD1">
        <w:rPr>
          <w:rFonts w:ascii="Palatino Linotype" w:hAnsi="Palatino Linotype" w:cs="Tahoma"/>
          <w:bCs/>
          <w:iCs/>
          <w:sz w:val="22"/>
          <w:szCs w:val="22"/>
        </w:rPr>
        <w:t>CUARTA SESIÓN ORDINARIA</w:t>
      </w:r>
      <w:r w:rsidRPr="00C40BD1">
        <w:rPr>
          <w:rFonts w:ascii="Palatino Linotype" w:hAnsi="Palatino Linotype" w:cs="Tahoma"/>
          <w:bCs/>
          <w:iCs/>
          <w:sz w:val="22"/>
          <w:szCs w:val="22"/>
        </w:rPr>
        <w:t>, CELEBRADA EL</w:t>
      </w:r>
      <w:r w:rsidR="004F3DDB" w:rsidRPr="00C40BD1">
        <w:rPr>
          <w:rFonts w:ascii="Palatino Linotype" w:hAnsi="Palatino Linotype" w:cs="Tahoma"/>
          <w:bCs/>
          <w:iCs/>
          <w:sz w:val="22"/>
          <w:szCs w:val="22"/>
        </w:rPr>
        <w:t xml:space="preserve"> CINCO DE FEBRERO DE DOS MIL VEINTISÉIS</w:t>
      </w:r>
      <w:r w:rsidRPr="00C40BD1">
        <w:rPr>
          <w:rFonts w:ascii="Palatino Linotype" w:hAnsi="Palatino Linotype" w:cs="Tahoma"/>
          <w:bCs/>
          <w:iCs/>
          <w:sz w:val="22"/>
          <w:szCs w:val="22"/>
        </w:rPr>
        <w:t>, ANTE EL SECRETARIO TÉCNICO DEL PLENO, ALEXIS TAPIA RAMÍREZ.</w:t>
      </w:r>
    </w:p>
    <w:p w14:paraId="77CAFB09" w14:textId="77777777" w:rsidR="00FF7C33" w:rsidRPr="00105F7F" w:rsidRDefault="00FF7C33" w:rsidP="00220BD1">
      <w:pPr>
        <w:spacing w:line="360" w:lineRule="auto"/>
        <w:jc w:val="both"/>
        <w:rPr>
          <w:rFonts w:ascii="Palatino Linotype" w:hAnsi="Palatino Linotype" w:cs="Tahoma"/>
          <w:bCs/>
          <w:iCs/>
          <w:color w:val="FF0000"/>
          <w:sz w:val="22"/>
          <w:szCs w:val="22"/>
          <w:lang w:val="es-ES"/>
        </w:rPr>
      </w:pPr>
    </w:p>
    <w:p w14:paraId="70581F2D" w14:textId="77777777" w:rsidR="00FF7C33" w:rsidRPr="00105F7F" w:rsidRDefault="00FF7C33" w:rsidP="00220BD1">
      <w:pPr>
        <w:spacing w:line="360" w:lineRule="auto"/>
        <w:jc w:val="both"/>
        <w:rPr>
          <w:rFonts w:ascii="Palatino Linotype" w:hAnsi="Palatino Linotype" w:cs="Tahoma"/>
          <w:bCs/>
          <w:iCs/>
          <w:color w:val="FF0000"/>
          <w:sz w:val="22"/>
          <w:szCs w:val="22"/>
          <w:lang w:val="es-ES"/>
        </w:rPr>
      </w:pPr>
    </w:p>
    <w:p w14:paraId="43BAD9CC" w14:textId="77777777" w:rsidR="00FF7C33" w:rsidRPr="00105F7F" w:rsidRDefault="00FF7C33" w:rsidP="00220BD1">
      <w:pPr>
        <w:spacing w:line="360" w:lineRule="auto"/>
        <w:jc w:val="both"/>
        <w:rPr>
          <w:rFonts w:ascii="Palatino Linotype" w:hAnsi="Palatino Linotype" w:cs="Tahoma"/>
          <w:bCs/>
          <w:iCs/>
          <w:color w:val="FF0000"/>
          <w:sz w:val="22"/>
          <w:szCs w:val="22"/>
        </w:rPr>
      </w:pPr>
    </w:p>
    <w:p w14:paraId="50CDA20B" w14:textId="77777777" w:rsidR="00D50230" w:rsidRPr="00105F7F" w:rsidRDefault="00D50230" w:rsidP="00220BD1">
      <w:pPr>
        <w:spacing w:line="360" w:lineRule="auto"/>
        <w:jc w:val="both"/>
        <w:rPr>
          <w:rFonts w:ascii="Palatino Linotype" w:hAnsi="Palatino Linotype" w:cs="Tahoma"/>
          <w:bCs/>
          <w:iCs/>
          <w:color w:val="FF0000"/>
          <w:sz w:val="22"/>
          <w:szCs w:val="22"/>
        </w:rPr>
      </w:pPr>
    </w:p>
    <w:p w14:paraId="6DC56F2E" w14:textId="77777777" w:rsidR="005749CA" w:rsidRPr="00105F7F" w:rsidRDefault="005749CA" w:rsidP="00220BD1">
      <w:pPr>
        <w:spacing w:line="360" w:lineRule="auto"/>
        <w:jc w:val="both"/>
        <w:rPr>
          <w:rFonts w:ascii="Palatino Linotype" w:hAnsi="Palatino Linotype" w:cs="Tahoma"/>
          <w:bCs/>
          <w:iCs/>
          <w:color w:val="FF0000"/>
          <w:sz w:val="22"/>
          <w:szCs w:val="22"/>
        </w:rPr>
      </w:pPr>
    </w:p>
    <w:p w14:paraId="46969796" w14:textId="77777777" w:rsidR="006D789D" w:rsidRPr="00105F7F" w:rsidRDefault="006D789D" w:rsidP="00220BD1">
      <w:pPr>
        <w:spacing w:line="360" w:lineRule="auto"/>
        <w:jc w:val="both"/>
        <w:rPr>
          <w:rFonts w:ascii="Palatino Linotype" w:hAnsi="Palatino Linotype" w:cs="Tahoma"/>
          <w:bCs/>
          <w:iCs/>
          <w:color w:val="FF0000"/>
          <w:sz w:val="22"/>
          <w:szCs w:val="22"/>
        </w:rPr>
      </w:pPr>
    </w:p>
    <w:p w14:paraId="133B346F" w14:textId="77777777" w:rsidR="00822BC6" w:rsidRPr="00105F7F" w:rsidRDefault="00822BC6" w:rsidP="00220BD1">
      <w:pPr>
        <w:spacing w:line="360" w:lineRule="auto"/>
        <w:jc w:val="both"/>
        <w:rPr>
          <w:rFonts w:ascii="Palatino Linotype" w:hAnsi="Palatino Linotype" w:cs="Tahoma"/>
          <w:iCs/>
          <w:color w:val="FF0000"/>
          <w:sz w:val="22"/>
          <w:szCs w:val="22"/>
        </w:rPr>
      </w:pPr>
    </w:p>
    <w:p w14:paraId="699026C3" w14:textId="77777777" w:rsidR="00E716DD" w:rsidRPr="00105F7F" w:rsidRDefault="00E716DD" w:rsidP="00220BD1">
      <w:pPr>
        <w:spacing w:line="360" w:lineRule="auto"/>
        <w:jc w:val="both"/>
        <w:rPr>
          <w:rFonts w:ascii="Palatino Linotype" w:hAnsi="Palatino Linotype" w:cs="Tahoma"/>
          <w:b/>
          <w:bCs/>
          <w:iCs/>
          <w:color w:val="FF0000"/>
          <w:sz w:val="22"/>
          <w:szCs w:val="22"/>
        </w:rPr>
      </w:pPr>
    </w:p>
    <w:p w14:paraId="4783E35E" w14:textId="77777777" w:rsidR="00F93859" w:rsidRPr="00105F7F" w:rsidRDefault="00F93859" w:rsidP="00220BD1">
      <w:pPr>
        <w:spacing w:line="360" w:lineRule="auto"/>
        <w:contextualSpacing/>
        <w:jc w:val="both"/>
        <w:rPr>
          <w:rFonts w:ascii="Palatino Linotype" w:hAnsi="Palatino Linotype" w:cs="Tahoma"/>
          <w:bCs/>
          <w:color w:val="FF0000"/>
          <w:sz w:val="22"/>
          <w:szCs w:val="22"/>
          <w:lang w:val="es-ES"/>
        </w:rPr>
      </w:pPr>
    </w:p>
    <w:p w14:paraId="53216608" w14:textId="77777777" w:rsidR="00F93859" w:rsidRPr="00105F7F" w:rsidRDefault="00F93859" w:rsidP="00220BD1">
      <w:pPr>
        <w:spacing w:line="360" w:lineRule="auto"/>
        <w:contextualSpacing/>
        <w:jc w:val="both"/>
        <w:rPr>
          <w:rFonts w:ascii="Palatino Linotype" w:hAnsi="Palatino Linotype" w:cs="Tahoma"/>
          <w:bCs/>
          <w:color w:val="FF0000"/>
          <w:sz w:val="22"/>
          <w:szCs w:val="22"/>
          <w:lang w:val="es-ES"/>
        </w:rPr>
      </w:pPr>
    </w:p>
    <w:p w14:paraId="6FAB736C" w14:textId="77777777" w:rsidR="00395D7C" w:rsidRPr="00105F7F" w:rsidRDefault="00395D7C" w:rsidP="00220BD1">
      <w:pPr>
        <w:spacing w:line="360" w:lineRule="auto"/>
        <w:contextualSpacing/>
        <w:jc w:val="both"/>
        <w:rPr>
          <w:rFonts w:ascii="Palatino Linotype" w:hAnsi="Palatino Linotype" w:cs="Tahoma"/>
          <w:bCs/>
          <w:color w:val="FF0000"/>
          <w:sz w:val="22"/>
          <w:szCs w:val="22"/>
          <w:lang w:val="es-ES"/>
        </w:rPr>
      </w:pPr>
    </w:p>
    <w:p w14:paraId="4D7EF336" w14:textId="77777777" w:rsidR="00280E27" w:rsidRPr="00105F7F" w:rsidRDefault="00280E27" w:rsidP="00220BD1">
      <w:pPr>
        <w:spacing w:line="360" w:lineRule="auto"/>
        <w:ind w:right="-93"/>
        <w:contextualSpacing/>
        <w:jc w:val="both"/>
        <w:rPr>
          <w:rFonts w:ascii="Palatino Linotype" w:eastAsia="Calibri" w:hAnsi="Palatino Linotype" w:cs="Tahoma"/>
          <w:bCs/>
          <w:color w:val="FF0000"/>
          <w:sz w:val="22"/>
          <w:szCs w:val="22"/>
        </w:rPr>
      </w:pPr>
    </w:p>
    <w:p w14:paraId="25982E46" w14:textId="77777777" w:rsidR="00280E27" w:rsidRPr="00105F7F" w:rsidRDefault="00280E27" w:rsidP="00220BD1">
      <w:pPr>
        <w:spacing w:line="360" w:lineRule="auto"/>
        <w:contextualSpacing/>
        <w:jc w:val="both"/>
        <w:rPr>
          <w:rFonts w:ascii="Palatino Linotype" w:hAnsi="Palatino Linotype" w:cs="Tahoma"/>
          <w:bCs/>
          <w:color w:val="FF0000"/>
          <w:sz w:val="22"/>
          <w:szCs w:val="22"/>
        </w:rPr>
      </w:pPr>
    </w:p>
    <w:p w14:paraId="428CEF68" w14:textId="77777777" w:rsidR="00DA08C5" w:rsidRPr="00105F7F" w:rsidRDefault="00DA08C5" w:rsidP="00220BD1">
      <w:pPr>
        <w:spacing w:line="360" w:lineRule="auto"/>
        <w:jc w:val="both"/>
        <w:rPr>
          <w:rFonts w:ascii="Palatino Linotype" w:hAnsi="Palatino Linotype" w:cs="Tahoma"/>
          <w:bCs/>
          <w:color w:val="FF0000"/>
          <w:sz w:val="22"/>
          <w:lang w:val="es-ES"/>
        </w:rPr>
      </w:pPr>
    </w:p>
    <w:p w14:paraId="062D51E1" w14:textId="77777777" w:rsidR="004F3A02" w:rsidRPr="00105F7F" w:rsidRDefault="004F3A02" w:rsidP="00220BD1">
      <w:pPr>
        <w:spacing w:line="360" w:lineRule="auto"/>
        <w:rPr>
          <w:color w:val="FF0000"/>
        </w:rPr>
      </w:pPr>
    </w:p>
    <w:p w14:paraId="68834340" w14:textId="77777777" w:rsidR="00DA08C5" w:rsidRPr="00105F7F" w:rsidRDefault="00DA08C5" w:rsidP="00220BD1">
      <w:pPr>
        <w:spacing w:line="360" w:lineRule="auto"/>
        <w:rPr>
          <w:color w:val="FF0000"/>
        </w:rPr>
      </w:pPr>
    </w:p>
    <w:p w14:paraId="3F88FDBB" w14:textId="77777777" w:rsidR="00DA08C5" w:rsidRPr="00105F7F" w:rsidRDefault="00DA08C5" w:rsidP="00220BD1">
      <w:pPr>
        <w:spacing w:line="360" w:lineRule="auto"/>
        <w:rPr>
          <w:color w:val="FF0000"/>
        </w:rPr>
      </w:pPr>
    </w:p>
    <w:p w14:paraId="4FC344A4" w14:textId="77777777" w:rsidR="00DA08C5" w:rsidRPr="00105F7F" w:rsidRDefault="00DA08C5" w:rsidP="00220BD1">
      <w:pPr>
        <w:spacing w:line="360" w:lineRule="auto"/>
        <w:rPr>
          <w:color w:val="FF0000"/>
        </w:rPr>
      </w:pPr>
    </w:p>
    <w:p w14:paraId="0A14A6CF" w14:textId="77777777" w:rsidR="00DA08C5" w:rsidRPr="00105F7F" w:rsidRDefault="00DA08C5" w:rsidP="00220BD1">
      <w:pPr>
        <w:spacing w:line="360" w:lineRule="auto"/>
        <w:rPr>
          <w:color w:val="FF0000"/>
        </w:rPr>
      </w:pPr>
    </w:p>
    <w:p w14:paraId="744813CA" w14:textId="77777777" w:rsidR="004F3A02" w:rsidRPr="00105F7F" w:rsidRDefault="004F3A02" w:rsidP="00220BD1">
      <w:pPr>
        <w:spacing w:line="360" w:lineRule="auto"/>
        <w:jc w:val="both"/>
        <w:rPr>
          <w:rFonts w:ascii="Palatino Linotype" w:eastAsiaTheme="minorHAnsi" w:hAnsi="Palatino Linotype" w:cs="Tahoma"/>
          <w:bCs/>
          <w:color w:val="FF0000"/>
          <w:sz w:val="22"/>
          <w:szCs w:val="22"/>
          <w:lang w:val="es-ES_tradnl" w:eastAsia="es-MX"/>
        </w:rPr>
      </w:pPr>
    </w:p>
    <w:sectPr w:rsidR="004F3A02" w:rsidRPr="00105F7F" w:rsidSect="00DB7E5F">
      <w:headerReference w:type="default" r:id="rId11"/>
      <w:footerReference w:type="default" r:id="rId12"/>
      <w:headerReference w:type="first" r:id="rId13"/>
      <w:footerReference w:type="first" r:id="rId14"/>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2BF7EB" w14:textId="77777777" w:rsidR="00FF5DDD" w:rsidRDefault="00FF5DDD" w:rsidP="00B31222">
      <w:r>
        <w:separator/>
      </w:r>
    </w:p>
  </w:endnote>
  <w:endnote w:type="continuationSeparator" w:id="0">
    <w:p w14:paraId="5E499ED3" w14:textId="77777777" w:rsidR="00FF5DDD" w:rsidRDefault="00FF5DDD"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6412018"/>
      <w:docPartObj>
        <w:docPartGallery w:val="Page Numbers (Bottom of Page)"/>
        <w:docPartUnique/>
      </w:docPartObj>
    </w:sdtPr>
    <w:sdtContent>
      <w:sdt>
        <w:sdtPr>
          <w:id w:val="-1769616900"/>
          <w:docPartObj>
            <w:docPartGallery w:val="Page Numbers (Top of Page)"/>
            <w:docPartUnique/>
          </w:docPartObj>
        </w:sdtPr>
        <w:sdtContent>
          <w:p w14:paraId="18CEBFF0" w14:textId="77777777" w:rsidR="005B6A2D" w:rsidRPr="00C13895" w:rsidRDefault="005B6A2D">
            <w:pPr>
              <w:pStyle w:val="Piedepgina"/>
              <w:jc w:val="right"/>
              <w:rPr>
                <w:sz w:val="26"/>
                <w:szCs w:val="26"/>
              </w:rPr>
            </w:pPr>
          </w:p>
          <w:p w14:paraId="4EA60772" w14:textId="77777777" w:rsidR="005B6A2D" w:rsidRDefault="005B6A2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352F7">
              <w:rPr>
                <w:b/>
                <w:bCs/>
                <w:noProof/>
              </w:rPr>
              <w:t>32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352F7">
              <w:rPr>
                <w:b/>
                <w:bCs/>
                <w:noProof/>
              </w:rPr>
              <w:t>33</w:t>
            </w:r>
            <w:r>
              <w:rPr>
                <w:b/>
                <w:bCs/>
                <w:sz w:val="24"/>
                <w:szCs w:val="24"/>
              </w:rPr>
              <w:fldChar w:fldCharType="end"/>
            </w:r>
          </w:p>
        </w:sdtContent>
      </w:sdt>
    </w:sdtContent>
  </w:sdt>
  <w:p w14:paraId="52786F2A" w14:textId="77777777" w:rsidR="005B6A2D" w:rsidRDefault="005B6A2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9767700"/>
      <w:docPartObj>
        <w:docPartGallery w:val="Page Numbers (Bottom of Page)"/>
        <w:docPartUnique/>
      </w:docPartObj>
    </w:sdtPr>
    <w:sdtContent>
      <w:sdt>
        <w:sdtPr>
          <w:id w:val="315386424"/>
          <w:docPartObj>
            <w:docPartGallery w:val="Page Numbers (Top of Page)"/>
            <w:docPartUnique/>
          </w:docPartObj>
        </w:sdtPr>
        <w:sdtContent>
          <w:p w14:paraId="59E12402" w14:textId="77777777" w:rsidR="005B6A2D" w:rsidRDefault="005B6A2D">
            <w:pPr>
              <w:pStyle w:val="Piedepgina"/>
              <w:jc w:val="right"/>
            </w:pPr>
          </w:p>
          <w:p w14:paraId="2D2F5338" w14:textId="77777777" w:rsidR="005B6A2D" w:rsidRDefault="005B6A2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352F7">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352F7">
              <w:rPr>
                <w:b/>
                <w:bCs/>
                <w:noProof/>
              </w:rPr>
              <w:t>33</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EEBCD0" w14:textId="77777777" w:rsidR="00FF5DDD" w:rsidRDefault="00FF5DDD" w:rsidP="00B31222">
      <w:r>
        <w:separator/>
      </w:r>
    </w:p>
  </w:footnote>
  <w:footnote w:type="continuationSeparator" w:id="0">
    <w:p w14:paraId="4A470E6C" w14:textId="77777777" w:rsidR="00FF5DDD" w:rsidRDefault="00FF5DDD"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222" w:type="dxa"/>
      <w:tblInd w:w="2552" w:type="dxa"/>
      <w:tblLayout w:type="fixed"/>
      <w:tblLook w:val="04A0" w:firstRow="1" w:lastRow="0" w:firstColumn="1" w:lastColumn="0" w:noHBand="0" w:noVBand="1"/>
    </w:tblPr>
    <w:tblGrid>
      <w:gridCol w:w="8222"/>
    </w:tblGrid>
    <w:tr w:rsidR="005B6A2D" w:rsidRPr="005C106F" w14:paraId="50E888ED" w14:textId="77777777" w:rsidTr="00895942">
      <w:trPr>
        <w:trHeight w:val="1412"/>
      </w:trPr>
      <w:tc>
        <w:tcPr>
          <w:tcW w:w="8222" w:type="dxa"/>
          <w:shd w:val="clear" w:color="auto" w:fill="auto"/>
        </w:tcPr>
        <w:p w14:paraId="5FD2F9E6" w14:textId="77777777" w:rsidR="002464DA" w:rsidRDefault="002464DA"/>
        <w:tbl>
          <w:tblPr>
            <w:tblStyle w:val="Tablaconcuadrcula"/>
            <w:tblW w:w="6701" w:type="dxa"/>
            <w:tblInd w:w="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52"/>
            <w:gridCol w:w="4149"/>
          </w:tblGrid>
          <w:tr w:rsidR="005B6A2D" w14:paraId="401FF1E4" w14:textId="77777777" w:rsidTr="00A90989">
            <w:trPr>
              <w:trHeight w:val="144"/>
            </w:trPr>
            <w:tc>
              <w:tcPr>
                <w:tcW w:w="2552" w:type="dxa"/>
              </w:tcPr>
              <w:p w14:paraId="2FAA5A5D" w14:textId="77777777" w:rsidR="005B6A2D" w:rsidRPr="00026EBB" w:rsidRDefault="005B6A2D" w:rsidP="009C44AA">
                <w:pPr>
                  <w:tabs>
                    <w:tab w:val="left" w:pos="1735"/>
                    <w:tab w:val="right" w:pos="8838"/>
                  </w:tabs>
                  <w:spacing w:line="276" w:lineRule="auto"/>
                  <w:ind w:left="-28"/>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4149" w:type="dxa"/>
              </w:tcPr>
              <w:p w14:paraId="35595BB5" w14:textId="44F21D40" w:rsidR="005B6A2D" w:rsidRPr="009C44AA" w:rsidRDefault="00105F7F" w:rsidP="009C44AA">
                <w:pPr>
                  <w:tabs>
                    <w:tab w:val="left" w:pos="1735"/>
                    <w:tab w:val="right" w:pos="8838"/>
                  </w:tabs>
                  <w:spacing w:line="276" w:lineRule="auto"/>
                  <w:ind w:left="-28"/>
                  <w:jc w:val="both"/>
                  <w:rPr>
                    <w:rFonts w:ascii="Palatino Linotype" w:eastAsia="Calibri" w:hAnsi="Palatino Linotype" w:cs="Tahoma"/>
                    <w:bCs/>
                    <w:sz w:val="22"/>
                    <w:szCs w:val="22"/>
                    <w:lang w:val="es-MX" w:eastAsia="en-US"/>
                  </w:rPr>
                </w:pPr>
                <w:r w:rsidRPr="00105F7F">
                  <w:rPr>
                    <w:rFonts w:ascii="Palatino Linotype" w:eastAsia="Calibri" w:hAnsi="Palatino Linotype" w:cs="Tahoma"/>
                    <w:sz w:val="22"/>
                    <w:szCs w:val="22"/>
                    <w:lang w:eastAsia="en-US"/>
                  </w:rPr>
                  <w:t>14371/INFOEM/IP/RR/2025</w:t>
                </w:r>
              </w:p>
            </w:tc>
          </w:tr>
          <w:tr w:rsidR="005B6A2D" w14:paraId="6B793921" w14:textId="77777777" w:rsidTr="00A90989">
            <w:trPr>
              <w:trHeight w:val="144"/>
            </w:trPr>
            <w:tc>
              <w:tcPr>
                <w:tcW w:w="2552" w:type="dxa"/>
              </w:tcPr>
              <w:p w14:paraId="248F8814" w14:textId="77777777" w:rsidR="005B6A2D" w:rsidRPr="00026EBB" w:rsidRDefault="005B6A2D" w:rsidP="009C44AA">
                <w:pPr>
                  <w:tabs>
                    <w:tab w:val="left" w:pos="1735"/>
                    <w:tab w:val="right" w:pos="8838"/>
                  </w:tabs>
                  <w:spacing w:line="276" w:lineRule="auto"/>
                  <w:ind w:left="-28"/>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4149" w:type="dxa"/>
              </w:tcPr>
              <w:p w14:paraId="31642F59" w14:textId="592E42E2" w:rsidR="005B6A2D" w:rsidRPr="009C44AA" w:rsidRDefault="00105F7F" w:rsidP="0077690A">
                <w:pPr>
                  <w:tabs>
                    <w:tab w:val="left" w:pos="1735"/>
                    <w:tab w:val="right" w:pos="8838"/>
                  </w:tabs>
                  <w:spacing w:line="276" w:lineRule="auto"/>
                  <w:ind w:left="-28"/>
                  <w:jc w:val="both"/>
                  <w:rPr>
                    <w:rFonts w:ascii="Palatino Linotype" w:eastAsia="Calibri" w:hAnsi="Palatino Linotype" w:cs="Tahoma"/>
                    <w:bCs/>
                    <w:sz w:val="22"/>
                    <w:szCs w:val="22"/>
                    <w:lang w:val="es-MX" w:eastAsia="en-US"/>
                  </w:rPr>
                </w:pPr>
                <w:r w:rsidRPr="00105F7F">
                  <w:rPr>
                    <w:rFonts w:ascii="Palatino Linotype" w:eastAsia="Calibri" w:hAnsi="Palatino Linotype" w:cs="Tahoma"/>
                    <w:sz w:val="22"/>
                    <w:szCs w:val="22"/>
                    <w:lang w:eastAsia="en-US"/>
                  </w:rPr>
                  <w:t>Ayuntamiento de Tepotzotlán</w:t>
                </w:r>
              </w:p>
            </w:tc>
          </w:tr>
          <w:tr w:rsidR="005B6A2D" w14:paraId="5F57F04A" w14:textId="77777777" w:rsidTr="00A90989">
            <w:trPr>
              <w:trHeight w:val="138"/>
            </w:trPr>
            <w:tc>
              <w:tcPr>
                <w:tcW w:w="2552" w:type="dxa"/>
              </w:tcPr>
              <w:p w14:paraId="249191FD" w14:textId="77777777" w:rsidR="005B6A2D" w:rsidRPr="00026EBB" w:rsidRDefault="005B6A2D" w:rsidP="009C44AA">
                <w:pPr>
                  <w:tabs>
                    <w:tab w:val="left" w:pos="1735"/>
                    <w:tab w:val="right" w:pos="8838"/>
                  </w:tabs>
                  <w:spacing w:line="276" w:lineRule="auto"/>
                  <w:ind w:left="-28"/>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4149" w:type="dxa"/>
              </w:tcPr>
              <w:p w14:paraId="7F9A5911" w14:textId="6669DDD6" w:rsidR="005B6A2D" w:rsidRPr="009C44AA" w:rsidRDefault="005B6A2D" w:rsidP="00A90989">
                <w:pPr>
                  <w:tabs>
                    <w:tab w:val="left" w:pos="1735"/>
                    <w:tab w:val="right" w:pos="8838"/>
                  </w:tabs>
                  <w:spacing w:line="276" w:lineRule="auto"/>
                  <w:ind w:left="-28"/>
                  <w:jc w:val="both"/>
                  <w:rPr>
                    <w:rFonts w:ascii="Palatino Linotype" w:eastAsia="Calibri" w:hAnsi="Palatino Linotype" w:cs="Tahoma"/>
                    <w:bCs/>
                    <w:sz w:val="22"/>
                    <w:szCs w:val="22"/>
                    <w:lang w:val="es-MX" w:eastAsia="en-US"/>
                  </w:rPr>
                </w:pPr>
                <w:r w:rsidRPr="009C44AA">
                  <w:rPr>
                    <w:rFonts w:ascii="Palatino Linotype" w:eastAsia="Calibri" w:hAnsi="Palatino Linotype" w:cs="Tahoma"/>
                    <w:bCs/>
                    <w:sz w:val="22"/>
                    <w:szCs w:val="22"/>
                    <w:lang w:val="es-MX" w:eastAsia="en-US"/>
                  </w:rPr>
                  <w:t>Luis Gustavo Parra Noriega</w:t>
                </w:r>
              </w:p>
            </w:tc>
          </w:tr>
        </w:tbl>
        <w:p w14:paraId="750160B9" w14:textId="77777777" w:rsidR="005B6A2D" w:rsidRPr="005C106F" w:rsidRDefault="005B6A2D" w:rsidP="005743D2">
          <w:pPr>
            <w:tabs>
              <w:tab w:val="right" w:pos="8838"/>
            </w:tabs>
            <w:ind w:left="-28"/>
            <w:jc w:val="both"/>
            <w:rPr>
              <w:rFonts w:ascii="Arial" w:eastAsia="Calibri" w:hAnsi="Arial" w:cs="Arial"/>
              <w:b/>
              <w:sz w:val="22"/>
              <w:szCs w:val="22"/>
              <w:lang w:eastAsia="en-US"/>
            </w:rPr>
          </w:pPr>
        </w:p>
      </w:tc>
    </w:tr>
  </w:tbl>
  <w:p w14:paraId="03D9BF59" w14:textId="4D62241B" w:rsidR="005B6A2D" w:rsidRDefault="00000000" w:rsidP="000930AE">
    <w:pPr>
      <w:pStyle w:val="Encabezado"/>
      <w:rPr>
        <w:sz w:val="14"/>
      </w:rPr>
    </w:pPr>
    <w:r>
      <w:rPr>
        <w:rFonts w:ascii="Garamond" w:eastAsia="Calibri" w:hAnsi="Garamond"/>
        <w:noProof/>
        <w:sz w:val="16"/>
        <w:szCs w:val="16"/>
        <w:lang w:eastAsia="es-MX"/>
      </w:rPr>
      <w:pict w14:anchorId="74112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MARCA DE AGUA - HOJA RESOLUCIÓN" style="position:absolute;margin-left:-74.15pt;margin-top:-128.5pt;width:663.5pt;height:12in;z-index:-251657216;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84F17" w14:textId="0A90E6D4" w:rsidR="005B6A2D" w:rsidRDefault="00000000">
    <w:r>
      <w:rPr>
        <w:rFonts w:ascii="Palatino Linotype" w:eastAsia="Calibri" w:hAnsi="Palatino Linotype" w:cs="Tahoma"/>
        <w:b/>
        <w:noProof/>
        <w:sz w:val="22"/>
        <w:szCs w:val="22"/>
        <w:lang w:eastAsia="es-MX"/>
      </w:rPr>
      <w:pict w14:anchorId="74112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273984" o:spid="_x0000_s1025" type="#_x0000_t75" alt="MARCA DE AGUA - HOJA RESOLUCIÓN" style="position:absolute;margin-left:-79.7pt;margin-top:-124.7pt;width:663.5pt;height:12in;z-index:-251658240;mso-wrap-edited:f;mso-width-percent:0;mso-height-percent:0;mso-position-horizontal-relative:margin;mso-position-vertical-relative:margin;mso-width-percent:0;mso-height-percent:0" o:allowincell="f">
          <v:imagedata r:id="rId1" o:title="MARCA DE AGUA - HOJA RESOLUCIÓN"/>
          <w10:wrap anchorx="margin" anchory="margin"/>
        </v:shape>
      </w:pict>
    </w:r>
  </w:p>
  <w:tbl>
    <w:tblPr>
      <w:tblStyle w:val="Tablaconcuadrcula"/>
      <w:tblpPr w:leftFromText="141" w:rightFromText="141" w:vertAnchor="page" w:horzAnchor="margin" w:tblpY="556"/>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828"/>
      <w:gridCol w:w="2405"/>
      <w:gridCol w:w="4257"/>
    </w:tblGrid>
    <w:tr w:rsidR="005B6A2D" w:rsidRPr="00264223" w14:paraId="47FE01F0" w14:textId="77777777" w:rsidTr="00B36642">
      <w:trPr>
        <w:trHeight w:val="466"/>
      </w:trPr>
      <w:tc>
        <w:tcPr>
          <w:tcW w:w="3828" w:type="dxa"/>
          <w:vAlign w:val="bottom"/>
        </w:tcPr>
        <w:p w14:paraId="797F08EF" w14:textId="77777777" w:rsidR="005B6A2D" w:rsidRPr="00026EBB" w:rsidRDefault="005B6A2D" w:rsidP="00913B76">
          <w:pPr>
            <w:tabs>
              <w:tab w:val="right" w:pos="8838"/>
            </w:tabs>
            <w:ind w:right="-105"/>
            <w:rPr>
              <w:rFonts w:ascii="Palatino Linotype" w:eastAsia="Calibri" w:hAnsi="Palatino Linotype" w:cs="Tahoma"/>
              <w:b/>
              <w:sz w:val="22"/>
              <w:szCs w:val="22"/>
              <w:lang w:val="es-MX" w:eastAsia="en-US"/>
            </w:rPr>
          </w:pPr>
        </w:p>
      </w:tc>
      <w:tc>
        <w:tcPr>
          <w:tcW w:w="2405" w:type="dxa"/>
          <w:vAlign w:val="bottom"/>
        </w:tcPr>
        <w:p w14:paraId="1986A207" w14:textId="77777777" w:rsidR="005B6A2D" w:rsidRPr="0091633A" w:rsidRDefault="005B6A2D" w:rsidP="00F82637">
          <w:pPr>
            <w:tabs>
              <w:tab w:val="left" w:pos="1735"/>
              <w:tab w:val="right" w:pos="8838"/>
            </w:tabs>
            <w:spacing w:line="276" w:lineRule="auto"/>
            <w:ind w:left="-28"/>
            <w:jc w:val="both"/>
            <w:rPr>
              <w:rFonts w:ascii="Palatino Linotype" w:eastAsia="Calibri" w:hAnsi="Palatino Linotype" w:cs="Tahoma"/>
              <w:b/>
              <w:bCs/>
              <w:sz w:val="22"/>
              <w:szCs w:val="22"/>
              <w:lang w:eastAsia="en-US"/>
            </w:rPr>
          </w:pPr>
          <w:r w:rsidRPr="00026EBB">
            <w:rPr>
              <w:rFonts w:ascii="Palatino Linotype" w:eastAsia="Calibri" w:hAnsi="Palatino Linotype" w:cs="Tahoma"/>
              <w:b/>
              <w:sz w:val="22"/>
              <w:szCs w:val="22"/>
              <w:lang w:val="es-MX" w:eastAsia="en-US"/>
            </w:rPr>
            <w:t>Recurso de Revisión:</w:t>
          </w:r>
        </w:p>
      </w:tc>
      <w:tc>
        <w:tcPr>
          <w:tcW w:w="4257" w:type="dxa"/>
          <w:vAlign w:val="bottom"/>
        </w:tcPr>
        <w:p w14:paraId="5D029AEB" w14:textId="5318AA58" w:rsidR="005B6A2D" w:rsidRPr="00A404EA" w:rsidRDefault="00105F7F" w:rsidP="00105F7F">
          <w:pPr>
            <w:tabs>
              <w:tab w:val="right" w:pos="8838"/>
            </w:tabs>
            <w:spacing w:line="276" w:lineRule="auto"/>
            <w:ind w:right="-246"/>
            <w:jc w:val="both"/>
            <w:rPr>
              <w:rFonts w:ascii="Palatino Linotype" w:eastAsia="Calibri" w:hAnsi="Palatino Linotype" w:cs="Tahoma"/>
              <w:sz w:val="22"/>
              <w:szCs w:val="22"/>
              <w:lang w:eastAsia="en-US"/>
            </w:rPr>
          </w:pPr>
          <w:r w:rsidRPr="00105F7F">
            <w:rPr>
              <w:rFonts w:ascii="Palatino Linotype" w:eastAsia="Calibri" w:hAnsi="Palatino Linotype" w:cs="Tahoma"/>
              <w:sz w:val="22"/>
              <w:szCs w:val="22"/>
              <w:lang w:eastAsia="en-US"/>
            </w:rPr>
            <w:t>14371/INFOEM/IP/RR/2025</w:t>
          </w:r>
        </w:p>
      </w:tc>
    </w:tr>
    <w:tr w:rsidR="005B6A2D" w:rsidRPr="00264223" w14:paraId="3B115A83" w14:textId="77777777" w:rsidTr="00B36642">
      <w:trPr>
        <w:trHeight w:val="119"/>
      </w:trPr>
      <w:tc>
        <w:tcPr>
          <w:tcW w:w="3828" w:type="dxa"/>
        </w:tcPr>
        <w:p w14:paraId="769D227C" w14:textId="77777777" w:rsidR="005B6A2D" w:rsidRPr="00026EBB" w:rsidRDefault="005B6A2D" w:rsidP="00913B76">
          <w:pPr>
            <w:tabs>
              <w:tab w:val="right" w:pos="8838"/>
            </w:tabs>
            <w:ind w:right="-105"/>
            <w:rPr>
              <w:rFonts w:ascii="Palatino Linotype" w:eastAsia="Calibri" w:hAnsi="Palatino Linotype" w:cs="Tahoma"/>
              <w:b/>
              <w:sz w:val="22"/>
              <w:szCs w:val="22"/>
              <w:lang w:val="es-MX" w:eastAsia="en-US"/>
            </w:rPr>
          </w:pPr>
        </w:p>
      </w:tc>
      <w:tc>
        <w:tcPr>
          <w:tcW w:w="2405" w:type="dxa"/>
        </w:tcPr>
        <w:p w14:paraId="0540E823" w14:textId="77777777" w:rsidR="005B6A2D" w:rsidRPr="00026EBB" w:rsidRDefault="005B6A2D" w:rsidP="00F82637">
          <w:pPr>
            <w:tabs>
              <w:tab w:val="right" w:pos="8838"/>
            </w:tabs>
            <w:spacing w:line="276" w:lineRule="auto"/>
            <w:ind w:right="171"/>
            <w:jc w:val="both"/>
            <w:rPr>
              <w:rFonts w:ascii="Palatino Linotype" w:eastAsia="Calibri" w:hAnsi="Palatino Linotype" w:cs="Tahoma"/>
              <w:sz w:val="22"/>
              <w:szCs w:val="22"/>
              <w:lang w:val="es-MX" w:eastAsia="en-US"/>
            </w:rPr>
          </w:pPr>
          <w:r w:rsidRPr="00026EBB">
            <w:rPr>
              <w:rFonts w:ascii="Palatino Linotype" w:eastAsia="Calibri" w:hAnsi="Palatino Linotype" w:cs="Tahoma"/>
              <w:b/>
              <w:sz w:val="22"/>
              <w:szCs w:val="22"/>
              <w:lang w:val="es-MX" w:eastAsia="en-US"/>
            </w:rPr>
            <w:t>Recurrente:</w:t>
          </w:r>
        </w:p>
      </w:tc>
      <w:tc>
        <w:tcPr>
          <w:tcW w:w="4257" w:type="dxa"/>
        </w:tcPr>
        <w:p w14:paraId="26162836" w14:textId="2EEB5BD4" w:rsidR="005B6A2D" w:rsidRPr="00474ED7" w:rsidRDefault="00EE7E77" w:rsidP="00765288">
          <w:pPr>
            <w:tabs>
              <w:tab w:val="right" w:pos="8838"/>
            </w:tabs>
            <w:spacing w:line="276" w:lineRule="auto"/>
            <w:ind w:right="-246"/>
            <w:jc w:val="both"/>
            <w:rPr>
              <w:rFonts w:ascii="Palatino Linotype" w:eastAsia="Calibri" w:hAnsi="Palatino Linotype" w:cs="Tahoma"/>
              <w:sz w:val="22"/>
              <w:szCs w:val="22"/>
              <w:lang w:eastAsia="en-US"/>
            </w:rPr>
          </w:pPr>
          <w:r w:rsidRPr="00EE7E77">
            <w:rPr>
              <w:rFonts w:ascii="Palatino Linotype" w:eastAsia="Calibri" w:hAnsi="Palatino Linotype" w:cs="Tahoma"/>
              <w:sz w:val="22"/>
              <w:szCs w:val="22"/>
              <w:highlight w:val="black"/>
              <w:lang w:eastAsia="en-US"/>
            </w:rPr>
            <w:t>XXXXXXXXXXXXXXXXXXX</w:t>
          </w:r>
        </w:p>
      </w:tc>
    </w:tr>
    <w:tr w:rsidR="005B6A2D" w:rsidRPr="00264223" w14:paraId="111B16D3" w14:textId="77777777" w:rsidTr="00B36642">
      <w:trPr>
        <w:trHeight w:val="234"/>
      </w:trPr>
      <w:tc>
        <w:tcPr>
          <w:tcW w:w="3828" w:type="dxa"/>
        </w:tcPr>
        <w:p w14:paraId="23CA2497" w14:textId="2D869CFF" w:rsidR="005B6A2D" w:rsidRPr="00026EBB" w:rsidRDefault="005B6A2D" w:rsidP="00913B76">
          <w:pPr>
            <w:tabs>
              <w:tab w:val="right" w:pos="8838"/>
            </w:tabs>
            <w:ind w:right="-105"/>
            <w:rPr>
              <w:rFonts w:ascii="Palatino Linotype" w:eastAsia="Calibri" w:hAnsi="Palatino Linotype" w:cs="Tahoma"/>
              <w:b/>
              <w:sz w:val="22"/>
              <w:szCs w:val="22"/>
              <w:lang w:val="es-MX" w:eastAsia="en-US"/>
            </w:rPr>
          </w:pPr>
        </w:p>
      </w:tc>
      <w:tc>
        <w:tcPr>
          <w:tcW w:w="2405" w:type="dxa"/>
        </w:tcPr>
        <w:p w14:paraId="1CEA75E5" w14:textId="77777777" w:rsidR="005B6A2D" w:rsidRPr="00026EBB" w:rsidRDefault="005B6A2D" w:rsidP="00F82637">
          <w:pPr>
            <w:tabs>
              <w:tab w:val="right" w:pos="8838"/>
            </w:tabs>
            <w:spacing w:line="276" w:lineRule="auto"/>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4257" w:type="dxa"/>
        </w:tcPr>
        <w:p w14:paraId="69B99F24" w14:textId="6751D809" w:rsidR="005B6A2D" w:rsidRPr="00E07AF1" w:rsidRDefault="00105F7F" w:rsidP="00105F7F">
          <w:pPr>
            <w:tabs>
              <w:tab w:val="right" w:pos="8838"/>
            </w:tabs>
            <w:spacing w:line="276" w:lineRule="auto"/>
            <w:ind w:right="-246"/>
            <w:jc w:val="both"/>
            <w:rPr>
              <w:rFonts w:ascii="Palatino Linotype" w:eastAsia="Calibri" w:hAnsi="Palatino Linotype" w:cs="Tahoma"/>
              <w:sz w:val="22"/>
              <w:szCs w:val="22"/>
              <w:lang w:eastAsia="en-US"/>
            </w:rPr>
          </w:pPr>
          <w:r w:rsidRPr="00105F7F">
            <w:rPr>
              <w:rFonts w:ascii="Palatino Linotype" w:eastAsia="Calibri" w:hAnsi="Palatino Linotype" w:cs="Tahoma"/>
              <w:sz w:val="22"/>
              <w:szCs w:val="22"/>
              <w:lang w:eastAsia="en-US"/>
            </w:rPr>
            <w:t>Ayuntamiento de Tepotzotlán</w:t>
          </w:r>
        </w:p>
      </w:tc>
    </w:tr>
    <w:tr w:rsidR="005B6A2D" w:rsidRPr="00264223" w14:paraId="69512480" w14:textId="77777777" w:rsidTr="00B36642">
      <w:trPr>
        <w:trHeight w:val="234"/>
      </w:trPr>
      <w:tc>
        <w:tcPr>
          <w:tcW w:w="3828" w:type="dxa"/>
        </w:tcPr>
        <w:p w14:paraId="574761F6" w14:textId="77777777" w:rsidR="005B6A2D" w:rsidRPr="00026EBB" w:rsidRDefault="005B6A2D" w:rsidP="00913B76">
          <w:pPr>
            <w:tabs>
              <w:tab w:val="right" w:pos="8838"/>
            </w:tabs>
            <w:ind w:right="-105"/>
            <w:rPr>
              <w:rFonts w:ascii="Palatino Linotype" w:eastAsia="Calibri" w:hAnsi="Palatino Linotype" w:cs="Tahoma"/>
              <w:b/>
              <w:sz w:val="22"/>
              <w:szCs w:val="22"/>
              <w:lang w:val="es-MX" w:eastAsia="en-US"/>
            </w:rPr>
          </w:pPr>
        </w:p>
      </w:tc>
      <w:tc>
        <w:tcPr>
          <w:tcW w:w="2405" w:type="dxa"/>
        </w:tcPr>
        <w:p w14:paraId="6885F4E1" w14:textId="77777777" w:rsidR="005B6A2D" w:rsidRPr="00026EBB" w:rsidRDefault="005B6A2D" w:rsidP="00F82637">
          <w:pPr>
            <w:tabs>
              <w:tab w:val="right" w:pos="8838"/>
            </w:tabs>
            <w:spacing w:line="276" w:lineRule="auto"/>
            <w:ind w:right="-108"/>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4257" w:type="dxa"/>
        </w:tcPr>
        <w:p w14:paraId="761045C2" w14:textId="77777777" w:rsidR="005B6A2D" w:rsidRDefault="005B6A2D" w:rsidP="00F82637">
          <w:pPr>
            <w:tabs>
              <w:tab w:val="right" w:pos="8838"/>
            </w:tabs>
            <w:spacing w:line="276" w:lineRule="auto"/>
            <w:ind w:right="171"/>
            <w:jc w:val="both"/>
            <w:rPr>
              <w:rFonts w:ascii="Palatino Linotype" w:eastAsia="Calibri" w:hAnsi="Palatino Linotype" w:cs="Tahoma"/>
              <w:sz w:val="22"/>
              <w:szCs w:val="22"/>
              <w:lang w:eastAsia="en-US"/>
            </w:rPr>
          </w:pPr>
          <w:r w:rsidRPr="00026EBB">
            <w:rPr>
              <w:rFonts w:ascii="Palatino Linotype" w:eastAsia="Calibri" w:hAnsi="Palatino Linotype" w:cs="Tahoma"/>
              <w:sz w:val="22"/>
              <w:szCs w:val="22"/>
              <w:lang w:val="es-MX" w:eastAsia="en-US"/>
            </w:rPr>
            <w:t>Luis Gustavo Parra Noriega</w:t>
          </w:r>
        </w:p>
      </w:tc>
    </w:tr>
  </w:tbl>
  <w:p w14:paraId="68F23A9C" w14:textId="5611F92C" w:rsidR="005B6A2D" w:rsidRPr="00E67009" w:rsidRDefault="005B6A2D" w:rsidP="00E67009">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6D43476"/>
    <w:multiLevelType w:val="hybridMultilevel"/>
    <w:tmpl w:val="BDC24F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99B087C"/>
    <w:multiLevelType w:val="hybridMultilevel"/>
    <w:tmpl w:val="7AC8EE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FBA60E1"/>
    <w:multiLevelType w:val="hybridMultilevel"/>
    <w:tmpl w:val="6E7AA488"/>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25ED3B77"/>
    <w:multiLevelType w:val="hybridMultilevel"/>
    <w:tmpl w:val="F5B61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910085C"/>
    <w:multiLevelType w:val="hybridMultilevel"/>
    <w:tmpl w:val="E39A41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47FE24FD"/>
    <w:multiLevelType w:val="hybridMultilevel"/>
    <w:tmpl w:val="4AEE0A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00D59EC"/>
    <w:multiLevelType w:val="multilevel"/>
    <w:tmpl w:val="E466C434"/>
    <w:lvl w:ilvl="0">
      <w:start w:val="1"/>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1" w15:restartNumberingAfterBreak="0">
    <w:nsid w:val="6A11602D"/>
    <w:multiLevelType w:val="multilevel"/>
    <w:tmpl w:val="E2985C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A6D2C10"/>
    <w:multiLevelType w:val="multilevel"/>
    <w:tmpl w:val="21DEBD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3543B5A"/>
    <w:multiLevelType w:val="hybridMultilevel"/>
    <w:tmpl w:val="59104C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4455817"/>
    <w:multiLevelType w:val="multilevel"/>
    <w:tmpl w:val="7CC2BB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75422B96"/>
    <w:multiLevelType w:val="hybridMultilevel"/>
    <w:tmpl w:val="2F007C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906991077">
    <w:abstractNumId w:val="0"/>
  </w:num>
  <w:num w:numId="2" w16cid:durableId="672148355">
    <w:abstractNumId w:val="7"/>
  </w:num>
  <w:num w:numId="3" w16cid:durableId="1844734767">
    <w:abstractNumId w:val="15"/>
  </w:num>
  <w:num w:numId="4" w16cid:durableId="1750153066">
    <w:abstractNumId w:val="2"/>
  </w:num>
  <w:num w:numId="5" w16cid:durableId="3248207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85426482">
    <w:abstractNumId w:val="13"/>
  </w:num>
  <w:num w:numId="7" w16cid:durableId="1034384267">
    <w:abstractNumId w:val="8"/>
  </w:num>
  <w:num w:numId="8" w16cid:durableId="1076777771">
    <w:abstractNumId w:val="6"/>
  </w:num>
  <w:num w:numId="9" w16cid:durableId="234245321">
    <w:abstractNumId w:val="3"/>
  </w:num>
  <w:num w:numId="10" w16cid:durableId="1655253219">
    <w:abstractNumId w:val="16"/>
  </w:num>
  <w:num w:numId="11" w16cid:durableId="652177285">
    <w:abstractNumId w:val="4"/>
  </w:num>
  <w:num w:numId="12" w16cid:durableId="1296258961">
    <w:abstractNumId w:val="14"/>
  </w:num>
  <w:num w:numId="13" w16cid:durableId="9230322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11761171">
    <w:abstractNumId w:val="5"/>
  </w:num>
  <w:num w:numId="15" w16cid:durableId="1113860340">
    <w:abstractNumId w:val="12"/>
  </w:num>
  <w:num w:numId="16" w16cid:durableId="283656541">
    <w:abstractNumId w:val="11"/>
  </w:num>
  <w:num w:numId="17" w16cid:durableId="990716074">
    <w:abstractNumId w:val="1"/>
  </w:num>
  <w:num w:numId="18" w16cid:durableId="431707600">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27EB"/>
    <w:rsid w:val="0000328D"/>
    <w:rsid w:val="0000485A"/>
    <w:rsid w:val="00004DF1"/>
    <w:rsid w:val="00006543"/>
    <w:rsid w:val="00007CA1"/>
    <w:rsid w:val="00012C57"/>
    <w:rsid w:val="00013A19"/>
    <w:rsid w:val="00014465"/>
    <w:rsid w:val="0001559E"/>
    <w:rsid w:val="00017019"/>
    <w:rsid w:val="00020FAA"/>
    <w:rsid w:val="000212E5"/>
    <w:rsid w:val="00021C64"/>
    <w:rsid w:val="0002230B"/>
    <w:rsid w:val="00023837"/>
    <w:rsid w:val="0002405C"/>
    <w:rsid w:val="000241C5"/>
    <w:rsid w:val="000268D8"/>
    <w:rsid w:val="00026EBB"/>
    <w:rsid w:val="000307EE"/>
    <w:rsid w:val="0003130B"/>
    <w:rsid w:val="000313A7"/>
    <w:rsid w:val="000313C2"/>
    <w:rsid w:val="00032BB3"/>
    <w:rsid w:val="00032F5B"/>
    <w:rsid w:val="00034E9D"/>
    <w:rsid w:val="0003645D"/>
    <w:rsid w:val="00036E10"/>
    <w:rsid w:val="000373BC"/>
    <w:rsid w:val="00037B34"/>
    <w:rsid w:val="00037F4B"/>
    <w:rsid w:val="000407C9"/>
    <w:rsid w:val="0004168D"/>
    <w:rsid w:val="00042D20"/>
    <w:rsid w:val="00043C4B"/>
    <w:rsid w:val="0004646B"/>
    <w:rsid w:val="00046D6C"/>
    <w:rsid w:val="000475E4"/>
    <w:rsid w:val="00047D67"/>
    <w:rsid w:val="00050DF6"/>
    <w:rsid w:val="00051964"/>
    <w:rsid w:val="00051A65"/>
    <w:rsid w:val="000528E6"/>
    <w:rsid w:val="00053EBE"/>
    <w:rsid w:val="00054FE0"/>
    <w:rsid w:val="000551C1"/>
    <w:rsid w:val="00055251"/>
    <w:rsid w:val="000552FA"/>
    <w:rsid w:val="000553B4"/>
    <w:rsid w:val="00057236"/>
    <w:rsid w:val="00057E30"/>
    <w:rsid w:val="0006017B"/>
    <w:rsid w:val="000619FD"/>
    <w:rsid w:val="00063366"/>
    <w:rsid w:val="00071CAE"/>
    <w:rsid w:val="00072929"/>
    <w:rsid w:val="00073274"/>
    <w:rsid w:val="0007424C"/>
    <w:rsid w:val="00075C5C"/>
    <w:rsid w:val="00076A8D"/>
    <w:rsid w:val="000813B0"/>
    <w:rsid w:val="0008148B"/>
    <w:rsid w:val="0008165E"/>
    <w:rsid w:val="00081C8C"/>
    <w:rsid w:val="00082F59"/>
    <w:rsid w:val="00087B93"/>
    <w:rsid w:val="00087F3F"/>
    <w:rsid w:val="000930AE"/>
    <w:rsid w:val="00093D95"/>
    <w:rsid w:val="00094124"/>
    <w:rsid w:val="00097211"/>
    <w:rsid w:val="0009793B"/>
    <w:rsid w:val="000A0942"/>
    <w:rsid w:val="000A20A4"/>
    <w:rsid w:val="000A2275"/>
    <w:rsid w:val="000A2389"/>
    <w:rsid w:val="000A238F"/>
    <w:rsid w:val="000A2C7C"/>
    <w:rsid w:val="000A445A"/>
    <w:rsid w:val="000A66FD"/>
    <w:rsid w:val="000A7211"/>
    <w:rsid w:val="000B0B4E"/>
    <w:rsid w:val="000B1D37"/>
    <w:rsid w:val="000B2C93"/>
    <w:rsid w:val="000B36DD"/>
    <w:rsid w:val="000B5711"/>
    <w:rsid w:val="000B6020"/>
    <w:rsid w:val="000B6345"/>
    <w:rsid w:val="000B691A"/>
    <w:rsid w:val="000C2283"/>
    <w:rsid w:val="000C27CA"/>
    <w:rsid w:val="000C46DF"/>
    <w:rsid w:val="000C5940"/>
    <w:rsid w:val="000C59CB"/>
    <w:rsid w:val="000C6D13"/>
    <w:rsid w:val="000C758C"/>
    <w:rsid w:val="000D0B08"/>
    <w:rsid w:val="000D0B09"/>
    <w:rsid w:val="000D0CE1"/>
    <w:rsid w:val="000D122E"/>
    <w:rsid w:val="000D199C"/>
    <w:rsid w:val="000D19A5"/>
    <w:rsid w:val="000D514C"/>
    <w:rsid w:val="000D5C21"/>
    <w:rsid w:val="000D6664"/>
    <w:rsid w:val="000D71F7"/>
    <w:rsid w:val="000E087D"/>
    <w:rsid w:val="000E0BB0"/>
    <w:rsid w:val="000E0BEA"/>
    <w:rsid w:val="000E4C0C"/>
    <w:rsid w:val="000E67E4"/>
    <w:rsid w:val="000F24C8"/>
    <w:rsid w:val="000F3DA0"/>
    <w:rsid w:val="000F4876"/>
    <w:rsid w:val="000F555D"/>
    <w:rsid w:val="000F57B1"/>
    <w:rsid w:val="000F6B9F"/>
    <w:rsid w:val="000F7975"/>
    <w:rsid w:val="000F7A45"/>
    <w:rsid w:val="000F7FD8"/>
    <w:rsid w:val="00100BAC"/>
    <w:rsid w:val="001017B7"/>
    <w:rsid w:val="001034C6"/>
    <w:rsid w:val="00103D64"/>
    <w:rsid w:val="001049B0"/>
    <w:rsid w:val="00104ADB"/>
    <w:rsid w:val="00105532"/>
    <w:rsid w:val="001057BC"/>
    <w:rsid w:val="00105B76"/>
    <w:rsid w:val="00105F7F"/>
    <w:rsid w:val="00106127"/>
    <w:rsid w:val="00107D2F"/>
    <w:rsid w:val="001133D5"/>
    <w:rsid w:val="00114068"/>
    <w:rsid w:val="001150E9"/>
    <w:rsid w:val="001224BA"/>
    <w:rsid w:val="001234E7"/>
    <w:rsid w:val="001239BF"/>
    <w:rsid w:val="00127757"/>
    <w:rsid w:val="00127E51"/>
    <w:rsid w:val="00130F33"/>
    <w:rsid w:val="00132A80"/>
    <w:rsid w:val="00132F95"/>
    <w:rsid w:val="00135F5A"/>
    <w:rsid w:val="00136382"/>
    <w:rsid w:val="00136CBF"/>
    <w:rsid w:val="00136EC9"/>
    <w:rsid w:val="001373A9"/>
    <w:rsid w:val="001374C6"/>
    <w:rsid w:val="001405F5"/>
    <w:rsid w:val="00141050"/>
    <w:rsid w:val="0014155A"/>
    <w:rsid w:val="00141846"/>
    <w:rsid w:val="0014215C"/>
    <w:rsid w:val="001426E4"/>
    <w:rsid w:val="0014307A"/>
    <w:rsid w:val="00144D0B"/>
    <w:rsid w:val="00146080"/>
    <w:rsid w:val="0014698A"/>
    <w:rsid w:val="00147566"/>
    <w:rsid w:val="0015058B"/>
    <w:rsid w:val="001507FD"/>
    <w:rsid w:val="00150A0A"/>
    <w:rsid w:val="00151053"/>
    <w:rsid w:val="00151442"/>
    <w:rsid w:val="00151FBB"/>
    <w:rsid w:val="0015211F"/>
    <w:rsid w:val="00155F96"/>
    <w:rsid w:val="00156408"/>
    <w:rsid w:val="00156A6B"/>
    <w:rsid w:val="0016114C"/>
    <w:rsid w:val="00161DF9"/>
    <w:rsid w:val="00161ED0"/>
    <w:rsid w:val="00161F76"/>
    <w:rsid w:val="00162CCE"/>
    <w:rsid w:val="00163282"/>
    <w:rsid w:val="00165523"/>
    <w:rsid w:val="00165891"/>
    <w:rsid w:val="00166954"/>
    <w:rsid w:val="00167281"/>
    <w:rsid w:val="001672CF"/>
    <w:rsid w:val="00170301"/>
    <w:rsid w:val="00170545"/>
    <w:rsid w:val="00171ADD"/>
    <w:rsid w:val="001720AA"/>
    <w:rsid w:val="001720DD"/>
    <w:rsid w:val="001723FE"/>
    <w:rsid w:val="00173688"/>
    <w:rsid w:val="0017459B"/>
    <w:rsid w:val="00174E8A"/>
    <w:rsid w:val="00175B2F"/>
    <w:rsid w:val="0017695F"/>
    <w:rsid w:val="0018044A"/>
    <w:rsid w:val="0018119C"/>
    <w:rsid w:val="00182F0F"/>
    <w:rsid w:val="00183C9D"/>
    <w:rsid w:val="00183D24"/>
    <w:rsid w:val="001843F8"/>
    <w:rsid w:val="001851A6"/>
    <w:rsid w:val="001875A7"/>
    <w:rsid w:val="001879E1"/>
    <w:rsid w:val="00187A6A"/>
    <w:rsid w:val="00191E3D"/>
    <w:rsid w:val="001923B6"/>
    <w:rsid w:val="0019389B"/>
    <w:rsid w:val="00194314"/>
    <w:rsid w:val="00194582"/>
    <w:rsid w:val="0019576A"/>
    <w:rsid w:val="001A131C"/>
    <w:rsid w:val="001A1B88"/>
    <w:rsid w:val="001A1B94"/>
    <w:rsid w:val="001A22F5"/>
    <w:rsid w:val="001A2C3C"/>
    <w:rsid w:val="001A301B"/>
    <w:rsid w:val="001A4FA4"/>
    <w:rsid w:val="001A5B3D"/>
    <w:rsid w:val="001A7817"/>
    <w:rsid w:val="001A7D1C"/>
    <w:rsid w:val="001A7DDE"/>
    <w:rsid w:val="001A7FD2"/>
    <w:rsid w:val="001B107D"/>
    <w:rsid w:val="001B2C57"/>
    <w:rsid w:val="001B2CD9"/>
    <w:rsid w:val="001B2F91"/>
    <w:rsid w:val="001B3581"/>
    <w:rsid w:val="001B6049"/>
    <w:rsid w:val="001B62A0"/>
    <w:rsid w:val="001B790F"/>
    <w:rsid w:val="001B7D42"/>
    <w:rsid w:val="001C1298"/>
    <w:rsid w:val="001C282F"/>
    <w:rsid w:val="001C466E"/>
    <w:rsid w:val="001C4E35"/>
    <w:rsid w:val="001C6B9A"/>
    <w:rsid w:val="001D0086"/>
    <w:rsid w:val="001D0094"/>
    <w:rsid w:val="001D33B5"/>
    <w:rsid w:val="001D425D"/>
    <w:rsid w:val="001D6E30"/>
    <w:rsid w:val="001D7012"/>
    <w:rsid w:val="001D7BD2"/>
    <w:rsid w:val="001D7E70"/>
    <w:rsid w:val="001E1355"/>
    <w:rsid w:val="001E2A4D"/>
    <w:rsid w:val="001E3725"/>
    <w:rsid w:val="001E4BFA"/>
    <w:rsid w:val="001E53C2"/>
    <w:rsid w:val="001E551B"/>
    <w:rsid w:val="001F0E9C"/>
    <w:rsid w:val="001F10AD"/>
    <w:rsid w:val="001F1540"/>
    <w:rsid w:val="001F3905"/>
    <w:rsid w:val="001F4726"/>
    <w:rsid w:val="001F652C"/>
    <w:rsid w:val="001F739F"/>
    <w:rsid w:val="001F78D9"/>
    <w:rsid w:val="00201A8C"/>
    <w:rsid w:val="00202DB8"/>
    <w:rsid w:val="00203D3E"/>
    <w:rsid w:val="00205449"/>
    <w:rsid w:val="00205B1E"/>
    <w:rsid w:val="00205EEB"/>
    <w:rsid w:val="00206112"/>
    <w:rsid w:val="00207736"/>
    <w:rsid w:val="00210FD2"/>
    <w:rsid w:val="00212460"/>
    <w:rsid w:val="0021387D"/>
    <w:rsid w:val="00214484"/>
    <w:rsid w:val="00215D0D"/>
    <w:rsid w:val="00217AEF"/>
    <w:rsid w:val="00220404"/>
    <w:rsid w:val="00220BD1"/>
    <w:rsid w:val="0022119B"/>
    <w:rsid w:val="00221576"/>
    <w:rsid w:val="00221EC9"/>
    <w:rsid w:val="00223ECD"/>
    <w:rsid w:val="002240FC"/>
    <w:rsid w:val="002241A6"/>
    <w:rsid w:val="002241E8"/>
    <w:rsid w:val="00224774"/>
    <w:rsid w:val="002247B0"/>
    <w:rsid w:val="00224D5D"/>
    <w:rsid w:val="00224F7A"/>
    <w:rsid w:val="00225152"/>
    <w:rsid w:val="00226633"/>
    <w:rsid w:val="00230E81"/>
    <w:rsid w:val="00232673"/>
    <w:rsid w:val="002326D1"/>
    <w:rsid w:val="00236863"/>
    <w:rsid w:val="002375B6"/>
    <w:rsid w:val="00237C1F"/>
    <w:rsid w:val="00237D0D"/>
    <w:rsid w:val="0024089F"/>
    <w:rsid w:val="002433A4"/>
    <w:rsid w:val="002435DC"/>
    <w:rsid w:val="002445CE"/>
    <w:rsid w:val="002464DA"/>
    <w:rsid w:val="00247B17"/>
    <w:rsid w:val="00250389"/>
    <w:rsid w:val="00250EC0"/>
    <w:rsid w:val="00251F2E"/>
    <w:rsid w:val="00252669"/>
    <w:rsid w:val="002534FB"/>
    <w:rsid w:val="00253EAE"/>
    <w:rsid w:val="00254209"/>
    <w:rsid w:val="00254288"/>
    <w:rsid w:val="002545AA"/>
    <w:rsid w:val="0025469C"/>
    <w:rsid w:val="00254EE9"/>
    <w:rsid w:val="00255F2B"/>
    <w:rsid w:val="0025792D"/>
    <w:rsid w:val="002579CE"/>
    <w:rsid w:val="00257F01"/>
    <w:rsid w:val="00260D0F"/>
    <w:rsid w:val="00260FEC"/>
    <w:rsid w:val="00261DD6"/>
    <w:rsid w:val="00262B28"/>
    <w:rsid w:val="00262BA8"/>
    <w:rsid w:val="00263CD5"/>
    <w:rsid w:val="00264223"/>
    <w:rsid w:val="002657E2"/>
    <w:rsid w:val="0026609C"/>
    <w:rsid w:val="002705D2"/>
    <w:rsid w:val="002724C3"/>
    <w:rsid w:val="002727CC"/>
    <w:rsid w:val="002734CD"/>
    <w:rsid w:val="00273679"/>
    <w:rsid w:val="00273940"/>
    <w:rsid w:val="00274D9D"/>
    <w:rsid w:val="0028009F"/>
    <w:rsid w:val="00280E27"/>
    <w:rsid w:val="00281735"/>
    <w:rsid w:val="00281A35"/>
    <w:rsid w:val="0028241D"/>
    <w:rsid w:val="00283E90"/>
    <w:rsid w:val="00284144"/>
    <w:rsid w:val="00284486"/>
    <w:rsid w:val="00284947"/>
    <w:rsid w:val="00285644"/>
    <w:rsid w:val="0028581E"/>
    <w:rsid w:val="002874EB"/>
    <w:rsid w:val="002921EB"/>
    <w:rsid w:val="0029282F"/>
    <w:rsid w:val="00292DE5"/>
    <w:rsid w:val="0029330C"/>
    <w:rsid w:val="00293491"/>
    <w:rsid w:val="00293A8C"/>
    <w:rsid w:val="00295958"/>
    <w:rsid w:val="002A0FB8"/>
    <w:rsid w:val="002A30E4"/>
    <w:rsid w:val="002A3131"/>
    <w:rsid w:val="002A39EF"/>
    <w:rsid w:val="002A3B3C"/>
    <w:rsid w:val="002A4D71"/>
    <w:rsid w:val="002A6193"/>
    <w:rsid w:val="002A79CB"/>
    <w:rsid w:val="002A7BD4"/>
    <w:rsid w:val="002A7F32"/>
    <w:rsid w:val="002B20A1"/>
    <w:rsid w:val="002B2147"/>
    <w:rsid w:val="002B226E"/>
    <w:rsid w:val="002B3E1D"/>
    <w:rsid w:val="002B4524"/>
    <w:rsid w:val="002B46D4"/>
    <w:rsid w:val="002B54CF"/>
    <w:rsid w:val="002B57E5"/>
    <w:rsid w:val="002B610C"/>
    <w:rsid w:val="002C0DE9"/>
    <w:rsid w:val="002C1274"/>
    <w:rsid w:val="002C1A9C"/>
    <w:rsid w:val="002C1ABD"/>
    <w:rsid w:val="002C2BE7"/>
    <w:rsid w:val="002C51F7"/>
    <w:rsid w:val="002C5369"/>
    <w:rsid w:val="002C5FE8"/>
    <w:rsid w:val="002C6FE0"/>
    <w:rsid w:val="002C7611"/>
    <w:rsid w:val="002C7B0B"/>
    <w:rsid w:val="002D1911"/>
    <w:rsid w:val="002D1BE4"/>
    <w:rsid w:val="002D5DDD"/>
    <w:rsid w:val="002D724D"/>
    <w:rsid w:val="002D7B5B"/>
    <w:rsid w:val="002E07C6"/>
    <w:rsid w:val="002E11DE"/>
    <w:rsid w:val="002E42D8"/>
    <w:rsid w:val="002E5015"/>
    <w:rsid w:val="002E577C"/>
    <w:rsid w:val="002E7ACF"/>
    <w:rsid w:val="002F0738"/>
    <w:rsid w:val="002F0CE9"/>
    <w:rsid w:val="002F18C3"/>
    <w:rsid w:val="002F199F"/>
    <w:rsid w:val="002F2DA1"/>
    <w:rsid w:val="002F3691"/>
    <w:rsid w:val="002F3BD0"/>
    <w:rsid w:val="002F5B19"/>
    <w:rsid w:val="002F67AA"/>
    <w:rsid w:val="002F68C3"/>
    <w:rsid w:val="003001B5"/>
    <w:rsid w:val="00300A0B"/>
    <w:rsid w:val="00301F46"/>
    <w:rsid w:val="0030387B"/>
    <w:rsid w:val="00303CAD"/>
    <w:rsid w:val="00304689"/>
    <w:rsid w:val="003046FD"/>
    <w:rsid w:val="003051AF"/>
    <w:rsid w:val="003053CA"/>
    <w:rsid w:val="00306418"/>
    <w:rsid w:val="003068F2"/>
    <w:rsid w:val="0030726B"/>
    <w:rsid w:val="003100F3"/>
    <w:rsid w:val="0031083C"/>
    <w:rsid w:val="00310C11"/>
    <w:rsid w:val="00312313"/>
    <w:rsid w:val="00315492"/>
    <w:rsid w:val="003160BC"/>
    <w:rsid w:val="00316600"/>
    <w:rsid w:val="003172EC"/>
    <w:rsid w:val="003201BA"/>
    <w:rsid w:val="00320CBA"/>
    <w:rsid w:val="0032170B"/>
    <w:rsid w:val="00323325"/>
    <w:rsid w:val="003243B0"/>
    <w:rsid w:val="00325EC0"/>
    <w:rsid w:val="00326030"/>
    <w:rsid w:val="00327B27"/>
    <w:rsid w:val="003312A0"/>
    <w:rsid w:val="00331450"/>
    <w:rsid w:val="00331748"/>
    <w:rsid w:val="00333E33"/>
    <w:rsid w:val="003340EC"/>
    <w:rsid w:val="003350FF"/>
    <w:rsid w:val="003367F9"/>
    <w:rsid w:val="0034057C"/>
    <w:rsid w:val="00343E36"/>
    <w:rsid w:val="00350142"/>
    <w:rsid w:val="00351628"/>
    <w:rsid w:val="00351F58"/>
    <w:rsid w:val="00351FE4"/>
    <w:rsid w:val="003526FB"/>
    <w:rsid w:val="00353B6D"/>
    <w:rsid w:val="00354920"/>
    <w:rsid w:val="00355AA1"/>
    <w:rsid w:val="00355DC6"/>
    <w:rsid w:val="00357943"/>
    <w:rsid w:val="00357AEA"/>
    <w:rsid w:val="003604D7"/>
    <w:rsid w:val="0036351E"/>
    <w:rsid w:val="00363664"/>
    <w:rsid w:val="0036382F"/>
    <w:rsid w:val="00364521"/>
    <w:rsid w:val="003649D3"/>
    <w:rsid w:val="00365026"/>
    <w:rsid w:val="00367287"/>
    <w:rsid w:val="00367F82"/>
    <w:rsid w:val="00372255"/>
    <w:rsid w:val="00372534"/>
    <w:rsid w:val="003756AF"/>
    <w:rsid w:val="00375815"/>
    <w:rsid w:val="00376EC8"/>
    <w:rsid w:val="00380441"/>
    <w:rsid w:val="003816A3"/>
    <w:rsid w:val="00382696"/>
    <w:rsid w:val="00382E68"/>
    <w:rsid w:val="00382F96"/>
    <w:rsid w:val="0038438A"/>
    <w:rsid w:val="003864D2"/>
    <w:rsid w:val="00390249"/>
    <w:rsid w:val="00390BF8"/>
    <w:rsid w:val="00391A95"/>
    <w:rsid w:val="00392877"/>
    <w:rsid w:val="00392E12"/>
    <w:rsid w:val="003932E8"/>
    <w:rsid w:val="00393C64"/>
    <w:rsid w:val="003942CB"/>
    <w:rsid w:val="00394645"/>
    <w:rsid w:val="00394D7E"/>
    <w:rsid w:val="003956E9"/>
    <w:rsid w:val="00395D7C"/>
    <w:rsid w:val="003965EC"/>
    <w:rsid w:val="00396BA0"/>
    <w:rsid w:val="003A0E17"/>
    <w:rsid w:val="003A111E"/>
    <w:rsid w:val="003A16D4"/>
    <w:rsid w:val="003A3482"/>
    <w:rsid w:val="003A357E"/>
    <w:rsid w:val="003A6757"/>
    <w:rsid w:val="003A699E"/>
    <w:rsid w:val="003A6E62"/>
    <w:rsid w:val="003A78B5"/>
    <w:rsid w:val="003A796B"/>
    <w:rsid w:val="003A7BE8"/>
    <w:rsid w:val="003A7C85"/>
    <w:rsid w:val="003A7FBE"/>
    <w:rsid w:val="003B0D09"/>
    <w:rsid w:val="003B165A"/>
    <w:rsid w:val="003B2140"/>
    <w:rsid w:val="003B2F88"/>
    <w:rsid w:val="003B3326"/>
    <w:rsid w:val="003B3EF3"/>
    <w:rsid w:val="003B4F63"/>
    <w:rsid w:val="003B6ED0"/>
    <w:rsid w:val="003C1510"/>
    <w:rsid w:val="003C2456"/>
    <w:rsid w:val="003C2478"/>
    <w:rsid w:val="003C28B8"/>
    <w:rsid w:val="003C2948"/>
    <w:rsid w:val="003C3768"/>
    <w:rsid w:val="003C6934"/>
    <w:rsid w:val="003C74F9"/>
    <w:rsid w:val="003C7827"/>
    <w:rsid w:val="003C7FD0"/>
    <w:rsid w:val="003D0268"/>
    <w:rsid w:val="003D0323"/>
    <w:rsid w:val="003D1426"/>
    <w:rsid w:val="003D1A43"/>
    <w:rsid w:val="003D1A64"/>
    <w:rsid w:val="003D306C"/>
    <w:rsid w:val="003D3501"/>
    <w:rsid w:val="003D3757"/>
    <w:rsid w:val="003D37E4"/>
    <w:rsid w:val="003D3A9C"/>
    <w:rsid w:val="003D463A"/>
    <w:rsid w:val="003D6B3D"/>
    <w:rsid w:val="003E1278"/>
    <w:rsid w:val="003E13A6"/>
    <w:rsid w:val="003E16CF"/>
    <w:rsid w:val="003E31E5"/>
    <w:rsid w:val="003E32ED"/>
    <w:rsid w:val="003E3A39"/>
    <w:rsid w:val="003E3B8D"/>
    <w:rsid w:val="003E4693"/>
    <w:rsid w:val="003E56BD"/>
    <w:rsid w:val="003E58C9"/>
    <w:rsid w:val="003E79C7"/>
    <w:rsid w:val="003F204B"/>
    <w:rsid w:val="003F36D7"/>
    <w:rsid w:val="003F4DBD"/>
    <w:rsid w:val="003F578D"/>
    <w:rsid w:val="003F5E0D"/>
    <w:rsid w:val="003F650B"/>
    <w:rsid w:val="003F67B8"/>
    <w:rsid w:val="003F6B7C"/>
    <w:rsid w:val="003F73AC"/>
    <w:rsid w:val="003F7A60"/>
    <w:rsid w:val="004004E9"/>
    <w:rsid w:val="00400FDE"/>
    <w:rsid w:val="00402109"/>
    <w:rsid w:val="00402595"/>
    <w:rsid w:val="004033A7"/>
    <w:rsid w:val="00403885"/>
    <w:rsid w:val="004052C5"/>
    <w:rsid w:val="00405DBA"/>
    <w:rsid w:val="004100AA"/>
    <w:rsid w:val="00412203"/>
    <w:rsid w:val="004138CC"/>
    <w:rsid w:val="00414815"/>
    <w:rsid w:val="0041563A"/>
    <w:rsid w:val="00417DE3"/>
    <w:rsid w:val="004203EE"/>
    <w:rsid w:val="00420B07"/>
    <w:rsid w:val="00420E65"/>
    <w:rsid w:val="00422869"/>
    <w:rsid w:val="00422DDF"/>
    <w:rsid w:val="00424F57"/>
    <w:rsid w:val="00426448"/>
    <w:rsid w:val="00427207"/>
    <w:rsid w:val="0043139F"/>
    <w:rsid w:val="0043197C"/>
    <w:rsid w:val="004324A3"/>
    <w:rsid w:val="0043257A"/>
    <w:rsid w:val="00436FD3"/>
    <w:rsid w:val="004406CF"/>
    <w:rsid w:val="00441804"/>
    <w:rsid w:val="0044293C"/>
    <w:rsid w:val="004435B4"/>
    <w:rsid w:val="00444335"/>
    <w:rsid w:val="0044446C"/>
    <w:rsid w:val="00444AC3"/>
    <w:rsid w:val="004471B4"/>
    <w:rsid w:val="00450248"/>
    <w:rsid w:val="004517E5"/>
    <w:rsid w:val="004520DF"/>
    <w:rsid w:val="0046048A"/>
    <w:rsid w:val="00460606"/>
    <w:rsid w:val="00460EAE"/>
    <w:rsid w:val="00461690"/>
    <w:rsid w:val="00462ED7"/>
    <w:rsid w:val="00463183"/>
    <w:rsid w:val="00464C62"/>
    <w:rsid w:val="00466346"/>
    <w:rsid w:val="00466662"/>
    <w:rsid w:val="004711A3"/>
    <w:rsid w:val="00473F17"/>
    <w:rsid w:val="00474ED7"/>
    <w:rsid w:val="00474EE0"/>
    <w:rsid w:val="004751D6"/>
    <w:rsid w:val="00475973"/>
    <w:rsid w:val="00476345"/>
    <w:rsid w:val="00477DBA"/>
    <w:rsid w:val="00477E20"/>
    <w:rsid w:val="004805C1"/>
    <w:rsid w:val="00480BB8"/>
    <w:rsid w:val="00481674"/>
    <w:rsid w:val="00481D51"/>
    <w:rsid w:val="0048519E"/>
    <w:rsid w:val="00485EC7"/>
    <w:rsid w:val="00485F1D"/>
    <w:rsid w:val="004860BD"/>
    <w:rsid w:val="00487430"/>
    <w:rsid w:val="00492519"/>
    <w:rsid w:val="00492DCA"/>
    <w:rsid w:val="00493283"/>
    <w:rsid w:val="0049425C"/>
    <w:rsid w:val="004943AE"/>
    <w:rsid w:val="0049667A"/>
    <w:rsid w:val="004979A2"/>
    <w:rsid w:val="004A0A7B"/>
    <w:rsid w:val="004A0BB0"/>
    <w:rsid w:val="004A0C66"/>
    <w:rsid w:val="004A0D2F"/>
    <w:rsid w:val="004A1DA1"/>
    <w:rsid w:val="004A1FE5"/>
    <w:rsid w:val="004A26CD"/>
    <w:rsid w:val="004A2A21"/>
    <w:rsid w:val="004A3584"/>
    <w:rsid w:val="004A5121"/>
    <w:rsid w:val="004A577A"/>
    <w:rsid w:val="004A7990"/>
    <w:rsid w:val="004B134D"/>
    <w:rsid w:val="004B1796"/>
    <w:rsid w:val="004B2BA1"/>
    <w:rsid w:val="004B2C95"/>
    <w:rsid w:val="004B3AFE"/>
    <w:rsid w:val="004B591D"/>
    <w:rsid w:val="004B7542"/>
    <w:rsid w:val="004C37AA"/>
    <w:rsid w:val="004C434E"/>
    <w:rsid w:val="004C4ACC"/>
    <w:rsid w:val="004C6AC1"/>
    <w:rsid w:val="004C7E83"/>
    <w:rsid w:val="004D088D"/>
    <w:rsid w:val="004D2A6A"/>
    <w:rsid w:val="004D366A"/>
    <w:rsid w:val="004D5893"/>
    <w:rsid w:val="004D5DB3"/>
    <w:rsid w:val="004D6246"/>
    <w:rsid w:val="004D6B98"/>
    <w:rsid w:val="004E0096"/>
    <w:rsid w:val="004E1DDE"/>
    <w:rsid w:val="004E345F"/>
    <w:rsid w:val="004E3545"/>
    <w:rsid w:val="004E41C7"/>
    <w:rsid w:val="004E5761"/>
    <w:rsid w:val="004E58C3"/>
    <w:rsid w:val="004E5A21"/>
    <w:rsid w:val="004E7335"/>
    <w:rsid w:val="004E7FE7"/>
    <w:rsid w:val="004F0035"/>
    <w:rsid w:val="004F0A2C"/>
    <w:rsid w:val="004F2D88"/>
    <w:rsid w:val="004F3A02"/>
    <w:rsid w:val="004F3DDB"/>
    <w:rsid w:val="004F41A2"/>
    <w:rsid w:val="004F447B"/>
    <w:rsid w:val="004F44EC"/>
    <w:rsid w:val="004F4E53"/>
    <w:rsid w:val="004F5ED6"/>
    <w:rsid w:val="004F7644"/>
    <w:rsid w:val="005001F3"/>
    <w:rsid w:val="005008D7"/>
    <w:rsid w:val="00501F15"/>
    <w:rsid w:val="00502D8D"/>
    <w:rsid w:val="005032CC"/>
    <w:rsid w:val="0050434B"/>
    <w:rsid w:val="0050485B"/>
    <w:rsid w:val="00505111"/>
    <w:rsid w:val="005070C3"/>
    <w:rsid w:val="005124DC"/>
    <w:rsid w:val="00512F7F"/>
    <w:rsid w:val="0051401F"/>
    <w:rsid w:val="00515991"/>
    <w:rsid w:val="00520C3D"/>
    <w:rsid w:val="00520DD5"/>
    <w:rsid w:val="005214F8"/>
    <w:rsid w:val="005220BE"/>
    <w:rsid w:val="00525BFE"/>
    <w:rsid w:val="00526667"/>
    <w:rsid w:val="0053216F"/>
    <w:rsid w:val="005349F9"/>
    <w:rsid w:val="00536196"/>
    <w:rsid w:val="00540DFD"/>
    <w:rsid w:val="00541D46"/>
    <w:rsid w:val="00542D5F"/>
    <w:rsid w:val="00542F88"/>
    <w:rsid w:val="00543575"/>
    <w:rsid w:val="005435DE"/>
    <w:rsid w:val="0054474A"/>
    <w:rsid w:val="00544C28"/>
    <w:rsid w:val="00545159"/>
    <w:rsid w:val="00546BAE"/>
    <w:rsid w:val="0055002A"/>
    <w:rsid w:val="00552EBD"/>
    <w:rsid w:val="00553827"/>
    <w:rsid w:val="005557CA"/>
    <w:rsid w:val="00555F71"/>
    <w:rsid w:val="00557B1C"/>
    <w:rsid w:val="005609D1"/>
    <w:rsid w:val="00562534"/>
    <w:rsid w:val="005643DB"/>
    <w:rsid w:val="0056521E"/>
    <w:rsid w:val="00565AF4"/>
    <w:rsid w:val="00566528"/>
    <w:rsid w:val="0057338D"/>
    <w:rsid w:val="00573AC5"/>
    <w:rsid w:val="005740F6"/>
    <w:rsid w:val="005743D2"/>
    <w:rsid w:val="005749CA"/>
    <w:rsid w:val="00575CB8"/>
    <w:rsid w:val="00575DE3"/>
    <w:rsid w:val="00576F74"/>
    <w:rsid w:val="005802BD"/>
    <w:rsid w:val="00580939"/>
    <w:rsid w:val="00583392"/>
    <w:rsid w:val="00586FA8"/>
    <w:rsid w:val="00587F23"/>
    <w:rsid w:val="00591E3A"/>
    <w:rsid w:val="00593CB4"/>
    <w:rsid w:val="00597800"/>
    <w:rsid w:val="00597A04"/>
    <w:rsid w:val="005A1156"/>
    <w:rsid w:val="005A1803"/>
    <w:rsid w:val="005A1E4C"/>
    <w:rsid w:val="005A3131"/>
    <w:rsid w:val="005A4096"/>
    <w:rsid w:val="005A500C"/>
    <w:rsid w:val="005A6369"/>
    <w:rsid w:val="005B0196"/>
    <w:rsid w:val="005B0D7C"/>
    <w:rsid w:val="005B0DAF"/>
    <w:rsid w:val="005B0E86"/>
    <w:rsid w:val="005B27D6"/>
    <w:rsid w:val="005B2CD4"/>
    <w:rsid w:val="005B3A3B"/>
    <w:rsid w:val="005B5DEE"/>
    <w:rsid w:val="005B6854"/>
    <w:rsid w:val="005B6A2D"/>
    <w:rsid w:val="005C0DBE"/>
    <w:rsid w:val="005C3721"/>
    <w:rsid w:val="005C4034"/>
    <w:rsid w:val="005C465F"/>
    <w:rsid w:val="005C651C"/>
    <w:rsid w:val="005C6D3A"/>
    <w:rsid w:val="005D0D06"/>
    <w:rsid w:val="005D13C2"/>
    <w:rsid w:val="005D1427"/>
    <w:rsid w:val="005D2B62"/>
    <w:rsid w:val="005D3B24"/>
    <w:rsid w:val="005D49C8"/>
    <w:rsid w:val="005D4C33"/>
    <w:rsid w:val="005D5607"/>
    <w:rsid w:val="005D573F"/>
    <w:rsid w:val="005E1136"/>
    <w:rsid w:val="005E1D8E"/>
    <w:rsid w:val="005E37BB"/>
    <w:rsid w:val="005E37E9"/>
    <w:rsid w:val="005F03DB"/>
    <w:rsid w:val="005F11C2"/>
    <w:rsid w:val="005F1701"/>
    <w:rsid w:val="005F3C27"/>
    <w:rsid w:val="005F4B24"/>
    <w:rsid w:val="005F77BB"/>
    <w:rsid w:val="005F7B7F"/>
    <w:rsid w:val="00602E30"/>
    <w:rsid w:val="00603706"/>
    <w:rsid w:val="00603A46"/>
    <w:rsid w:val="00604D11"/>
    <w:rsid w:val="0060578B"/>
    <w:rsid w:val="00611A49"/>
    <w:rsid w:val="00612181"/>
    <w:rsid w:val="00613017"/>
    <w:rsid w:val="0061331A"/>
    <w:rsid w:val="00613A54"/>
    <w:rsid w:val="00616189"/>
    <w:rsid w:val="006166F0"/>
    <w:rsid w:val="00620343"/>
    <w:rsid w:val="00620EE6"/>
    <w:rsid w:val="006213D7"/>
    <w:rsid w:val="00621760"/>
    <w:rsid w:val="006217BB"/>
    <w:rsid w:val="00621B0D"/>
    <w:rsid w:val="00621BF7"/>
    <w:rsid w:val="00624BB7"/>
    <w:rsid w:val="00624BE1"/>
    <w:rsid w:val="00625B0A"/>
    <w:rsid w:val="00625BD5"/>
    <w:rsid w:val="00625DFB"/>
    <w:rsid w:val="00626F56"/>
    <w:rsid w:val="0062725F"/>
    <w:rsid w:val="006323E3"/>
    <w:rsid w:val="00634CEB"/>
    <w:rsid w:val="00636E0D"/>
    <w:rsid w:val="00637179"/>
    <w:rsid w:val="0063734D"/>
    <w:rsid w:val="006444C4"/>
    <w:rsid w:val="006457EA"/>
    <w:rsid w:val="00646100"/>
    <w:rsid w:val="006476CA"/>
    <w:rsid w:val="006507A4"/>
    <w:rsid w:val="0065100D"/>
    <w:rsid w:val="006510BE"/>
    <w:rsid w:val="0065118C"/>
    <w:rsid w:val="00652D65"/>
    <w:rsid w:val="00653D74"/>
    <w:rsid w:val="00653F19"/>
    <w:rsid w:val="006552AE"/>
    <w:rsid w:val="00655773"/>
    <w:rsid w:val="006563CA"/>
    <w:rsid w:val="00656844"/>
    <w:rsid w:val="006578FC"/>
    <w:rsid w:val="006608AB"/>
    <w:rsid w:val="00662D5E"/>
    <w:rsid w:val="00662E00"/>
    <w:rsid w:val="006635B6"/>
    <w:rsid w:val="00663B2D"/>
    <w:rsid w:val="00664587"/>
    <w:rsid w:val="00665164"/>
    <w:rsid w:val="0066578E"/>
    <w:rsid w:val="006658E4"/>
    <w:rsid w:val="00666F25"/>
    <w:rsid w:val="00667C1C"/>
    <w:rsid w:val="00671885"/>
    <w:rsid w:val="00671D1D"/>
    <w:rsid w:val="00673DD4"/>
    <w:rsid w:val="00674AEB"/>
    <w:rsid w:val="006753B0"/>
    <w:rsid w:val="0067635F"/>
    <w:rsid w:val="00676F42"/>
    <w:rsid w:val="00681656"/>
    <w:rsid w:val="00682008"/>
    <w:rsid w:val="006820F0"/>
    <w:rsid w:val="00683C5F"/>
    <w:rsid w:val="00683CB5"/>
    <w:rsid w:val="00684330"/>
    <w:rsid w:val="0068455C"/>
    <w:rsid w:val="00685328"/>
    <w:rsid w:val="00687C3C"/>
    <w:rsid w:val="00690562"/>
    <w:rsid w:val="0069333E"/>
    <w:rsid w:val="00693C8E"/>
    <w:rsid w:val="0069582F"/>
    <w:rsid w:val="006969BA"/>
    <w:rsid w:val="00697C93"/>
    <w:rsid w:val="006A018D"/>
    <w:rsid w:val="006A026A"/>
    <w:rsid w:val="006A0425"/>
    <w:rsid w:val="006A1D62"/>
    <w:rsid w:val="006A2935"/>
    <w:rsid w:val="006A3759"/>
    <w:rsid w:val="006A4526"/>
    <w:rsid w:val="006A4AFF"/>
    <w:rsid w:val="006A5135"/>
    <w:rsid w:val="006A6D7F"/>
    <w:rsid w:val="006A73F2"/>
    <w:rsid w:val="006A7D10"/>
    <w:rsid w:val="006A7EA3"/>
    <w:rsid w:val="006B0298"/>
    <w:rsid w:val="006B0E83"/>
    <w:rsid w:val="006B199C"/>
    <w:rsid w:val="006B3232"/>
    <w:rsid w:val="006B3974"/>
    <w:rsid w:val="006B3F47"/>
    <w:rsid w:val="006B3FF9"/>
    <w:rsid w:val="006B4141"/>
    <w:rsid w:val="006B4535"/>
    <w:rsid w:val="006B49AE"/>
    <w:rsid w:val="006B5493"/>
    <w:rsid w:val="006B6FCB"/>
    <w:rsid w:val="006B796B"/>
    <w:rsid w:val="006C0B63"/>
    <w:rsid w:val="006C10C0"/>
    <w:rsid w:val="006C1B1D"/>
    <w:rsid w:val="006C25FD"/>
    <w:rsid w:val="006C2DF5"/>
    <w:rsid w:val="006C31E0"/>
    <w:rsid w:val="006C32BB"/>
    <w:rsid w:val="006C349C"/>
    <w:rsid w:val="006C3747"/>
    <w:rsid w:val="006C4132"/>
    <w:rsid w:val="006C5B2A"/>
    <w:rsid w:val="006C5CC8"/>
    <w:rsid w:val="006C6F31"/>
    <w:rsid w:val="006C7760"/>
    <w:rsid w:val="006C7EEA"/>
    <w:rsid w:val="006D2ADA"/>
    <w:rsid w:val="006D2B83"/>
    <w:rsid w:val="006D32A6"/>
    <w:rsid w:val="006D5217"/>
    <w:rsid w:val="006D522C"/>
    <w:rsid w:val="006D56AA"/>
    <w:rsid w:val="006D7795"/>
    <w:rsid w:val="006D789D"/>
    <w:rsid w:val="006D7ACB"/>
    <w:rsid w:val="006E00EF"/>
    <w:rsid w:val="006E1340"/>
    <w:rsid w:val="006E1A7A"/>
    <w:rsid w:val="006E22A2"/>
    <w:rsid w:val="006E38AF"/>
    <w:rsid w:val="006E3DD4"/>
    <w:rsid w:val="006E4846"/>
    <w:rsid w:val="006E71F2"/>
    <w:rsid w:val="006E72B4"/>
    <w:rsid w:val="006E7ED1"/>
    <w:rsid w:val="006F01E7"/>
    <w:rsid w:val="006F1F3A"/>
    <w:rsid w:val="006F59CF"/>
    <w:rsid w:val="006F7630"/>
    <w:rsid w:val="006F76DD"/>
    <w:rsid w:val="006F7A9A"/>
    <w:rsid w:val="006F7BCD"/>
    <w:rsid w:val="006F7EB8"/>
    <w:rsid w:val="00700912"/>
    <w:rsid w:val="00702DD7"/>
    <w:rsid w:val="0070361C"/>
    <w:rsid w:val="007047D3"/>
    <w:rsid w:val="007052DC"/>
    <w:rsid w:val="00705C40"/>
    <w:rsid w:val="00706723"/>
    <w:rsid w:val="00707499"/>
    <w:rsid w:val="00707FF2"/>
    <w:rsid w:val="0071087E"/>
    <w:rsid w:val="00714C6F"/>
    <w:rsid w:val="0071540F"/>
    <w:rsid w:val="00717731"/>
    <w:rsid w:val="00720761"/>
    <w:rsid w:val="007229A1"/>
    <w:rsid w:val="007235AA"/>
    <w:rsid w:val="007254C7"/>
    <w:rsid w:val="0072794B"/>
    <w:rsid w:val="007300C9"/>
    <w:rsid w:val="00731AE5"/>
    <w:rsid w:val="00731C2B"/>
    <w:rsid w:val="00732289"/>
    <w:rsid w:val="0073268D"/>
    <w:rsid w:val="00735915"/>
    <w:rsid w:val="00735C21"/>
    <w:rsid w:val="0073614A"/>
    <w:rsid w:val="00736FF2"/>
    <w:rsid w:val="00740C8C"/>
    <w:rsid w:val="00741AC4"/>
    <w:rsid w:val="0074285B"/>
    <w:rsid w:val="007430C0"/>
    <w:rsid w:val="00745AEC"/>
    <w:rsid w:val="00745CF2"/>
    <w:rsid w:val="007463E3"/>
    <w:rsid w:val="00746791"/>
    <w:rsid w:val="00747F75"/>
    <w:rsid w:val="00747F8C"/>
    <w:rsid w:val="007515BC"/>
    <w:rsid w:val="00751E7E"/>
    <w:rsid w:val="00751F63"/>
    <w:rsid w:val="007573B2"/>
    <w:rsid w:val="007574BB"/>
    <w:rsid w:val="007575E2"/>
    <w:rsid w:val="0075764C"/>
    <w:rsid w:val="0076089D"/>
    <w:rsid w:val="00761D32"/>
    <w:rsid w:val="00762198"/>
    <w:rsid w:val="007635A7"/>
    <w:rsid w:val="00763800"/>
    <w:rsid w:val="00763C77"/>
    <w:rsid w:val="00763CE8"/>
    <w:rsid w:val="00763D85"/>
    <w:rsid w:val="00764E7C"/>
    <w:rsid w:val="00765288"/>
    <w:rsid w:val="00765844"/>
    <w:rsid w:val="00766ACC"/>
    <w:rsid w:val="00770792"/>
    <w:rsid w:val="00770F35"/>
    <w:rsid w:val="00773903"/>
    <w:rsid w:val="00773F7C"/>
    <w:rsid w:val="00774FFE"/>
    <w:rsid w:val="00775638"/>
    <w:rsid w:val="00775677"/>
    <w:rsid w:val="0077599A"/>
    <w:rsid w:val="0077622A"/>
    <w:rsid w:val="00776447"/>
    <w:rsid w:val="0077690A"/>
    <w:rsid w:val="00777353"/>
    <w:rsid w:val="00777B31"/>
    <w:rsid w:val="00780CD6"/>
    <w:rsid w:val="00782EA4"/>
    <w:rsid w:val="00783627"/>
    <w:rsid w:val="00784B85"/>
    <w:rsid w:val="00785461"/>
    <w:rsid w:val="00786FF3"/>
    <w:rsid w:val="007875AA"/>
    <w:rsid w:val="007876BC"/>
    <w:rsid w:val="007876CF"/>
    <w:rsid w:val="00787778"/>
    <w:rsid w:val="00793090"/>
    <w:rsid w:val="007935E5"/>
    <w:rsid w:val="00795065"/>
    <w:rsid w:val="00796BBC"/>
    <w:rsid w:val="00796F2A"/>
    <w:rsid w:val="0079735A"/>
    <w:rsid w:val="007A0176"/>
    <w:rsid w:val="007A04CE"/>
    <w:rsid w:val="007A2F67"/>
    <w:rsid w:val="007A38C9"/>
    <w:rsid w:val="007A3918"/>
    <w:rsid w:val="007A5707"/>
    <w:rsid w:val="007A6732"/>
    <w:rsid w:val="007A71E3"/>
    <w:rsid w:val="007B0B08"/>
    <w:rsid w:val="007B0E46"/>
    <w:rsid w:val="007B0E89"/>
    <w:rsid w:val="007B2C38"/>
    <w:rsid w:val="007B2E54"/>
    <w:rsid w:val="007B69E4"/>
    <w:rsid w:val="007B6F5A"/>
    <w:rsid w:val="007B7498"/>
    <w:rsid w:val="007B7AEE"/>
    <w:rsid w:val="007C05C4"/>
    <w:rsid w:val="007C18A8"/>
    <w:rsid w:val="007C45E9"/>
    <w:rsid w:val="007C6E6C"/>
    <w:rsid w:val="007C7EB6"/>
    <w:rsid w:val="007D037A"/>
    <w:rsid w:val="007D1103"/>
    <w:rsid w:val="007D240B"/>
    <w:rsid w:val="007D2F75"/>
    <w:rsid w:val="007D3C0E"/>
    <w:rsid w:val="007D7FE7"/>
    <w:rsid w:val="007E22E7"/>
    <w:rsid w:val="007E41BC"/>
    <w:rsid w:val="007E4232"/>
    <w:rsid w:val="007E4295"/>
    <w:rsid w:val="007E44BF"/>
    <w:rsid w:val="007E5ADC"/>
    <w:rsid w:val="007E61C9"/>
    <w:rsid w:val="007E69BB"/>
    <w:rsid w:val="007E6AB8"/>
    <w:rsid w:val="007E73A4"/>
    <w:rsid w:val="007F1B4E"/>
    <w:rsid w:val="007F2109"/>
    <w:rsid w:val="007F21C5"/>
    <w:rsid w:val="007F253F"/>
    <w:rsid w:val="007F28D2"/>
    <w:rsid w:val="007F3ACF"/>
    <w:rsid w:val="007F3EF1"/>
    <w:rsid w:val="007F3F90"/>
    <w:rsid w:val="007F4603"/>
    <w:rsid w:val="007F4FED"/>
    <w:rsid w:val="007F564B"/>
    <w:rsid w:val="007F63B4"/>
    <w:rsid w:val="00800FD0"/>
    <w:rsid w:val="00801A43"/>
    <w:rsid w:val="00801BCE"/>
    <w:rsid w:val="00802515"/>
    <w:rsid w:val="00802656"/>
    <w:rsid w:val="0080501B"/>
    <w:rsid w:val="0081283F"/>
    <w:rsid w:val="008147A2"/>
    <w:rsid w:val="0081480A"/>
    <w:rsid w:val="008202EB"/>
    <w:rsid w:val="0082180A"/>
    <w:rsid w:val="00822BC6"/>
    <w:rsid w:val="008240D3"/>
    <w:rsid w:val="0082648A"/>
    <w:rsid w:val="00826491"/>
    <w:rsid w:val="00827F88"/>
    <w:rsid w:val="00832012"/>
    <w:rsid w:val="00832A52"/>
    <w:rsid w:val="008336A5"/>
    <w:rsid w:val="0083437E"/>
    <w:rsid w:val="008352F7"/>
    <w:rsid w:val="00835474"/>
    <w:rsid w:val="00835F1D"/>
    <w:rsid w:val="008360D7"/>
    <w:rsid w:val="008373C0"/>
    <w:rsid w:val="00840A63"/>
    <w:rsid w:val="0084145F"/>
    <w:rsid w:val="008419FB"/>
    <w:rsid w:val="00841DA2"/>
    <w:rsid w:val="008434ED"/>
    <w:rsid w:val="008458F6"/>
    <w:rsid w:val="00845AED"/>
    <w:rsid w:val="00845CA0"/>
    <w:rsid w:val="0084708E"/>
    <w:rsid w:val="00850571"/>
    <w:rsid w:val="008506B4"/>
    <w:rsid w:val="008506BD"/>
    <w:rsid w:val="008506F4"/>
    <w:rsid w:val="00851AE4"/>
    <w:rsid w:val="00851F1C"/>
    <w:rsid w:val="00852121"/>
    <w:rsid w:val="008533DD"/>
    <w:rsid w:val="0085485C"/>
    <w:rsid w:val="0085552C"/>
    <w:rsid w:val="0085564A"/>
    <w:rsid w:val="0085598D"/>
    <w:rsid w:val="00856700"/>
    <w:rsid w:val="008609FC"/>
    <w:rsid w:val="00861107"/>
    <w:rsid w:val="00861AAE"/>
    <w:rsid w:val="00862771"/>
    <w:rsid w:val="00862EC5"/>
    <w:rsid w:val="00863003"/>
    <w:rsid w:val="00863B11"/>
    <w:rsid w:val="0086682F"/>
    <w:rsid w:val="00870678"/>
    <w:rsid w:val="00870C32"/>
    <w:rsid w:val="00871940"/>
    <w:rsid w:val="0087655E"/>
    <w:rsid w:val="00876F54"/>
    <w:rsid w:val="00877292"/>
    <w:rsid w:val="0087754A"/>
    <w:rsid w:val="0087766C"/>
    <w:rsid w:val="00880552"/>
    <w:rsid w:val="00881C2B"/>
    <w:rsid w:val="008839DA"/>
    <w:rsid w:val="00884A79"/>
    <w:rsid w:val="00884EE8"/>
    <w:rsid w:val="00885168"/>
    <w:rsid w:val="00885230"/>
    <w:rsid w:val="00886861"/>
    <w:rsid w:val="0089173B"/>
    <w:rsid w:val="00891E76"/>
    <w:rsid w:val="0089220F"/>
    <w:rsid w:val="008935AA"/>
    <w:rsid w:val="0089445C"/>
    <w:rsid w:val="00895421"/>
    <w:rsid w:val="008954DD"/>
    <w:rsid w:val="00895942"/>
    <w:rsid w:val="008963F0"/>
    <w:rsid w:val="00896C53"/>
    <w:rsid w:val="00897C10"/>
    <w:rsid w:val="008A03A5"/>
    <w:rsid w:val="008A0886"/>
    <w:rsid w:val="008A0925"/>
    <w:rsid w:val="008A0DF3"/>
    <w:rsid w:val="008A4138"/>
    <w:rsid w:val="008A55C9"/>
    <w:rsid w:val="008A5D96"/>
    <w:rsid w:val="008A631B"/>
    <w:rsid w:val="008A662F"/>
    <w:rsid w:val="008A791B"/>
    <w:rsid w:val="008B1B3B"/>
    <w:rsid w:val="008B2CA2"/>
    <w:rsid w:val="008B3548"/>
    <w:rsid w:val="008B57F8"/>
    <w:rsid w:val="008B5948"/>
    <w:rsid w:val="008B5C43"/>
    <w:rsid w:val="008B5C93"/>
    <w:rsid w:val="008B6848"/>
    <w:rsid w:val="008C2FA1"/>
    <w:rsid w:val="008C417E"/>
    <w:rsid w:val="008C483E"/>
    <w:rsid w:val="008C7925"/>
    <w:rsid w:val="008C7D74"/>
    <w:rsid w:val="008D2C4C"/>
    <w:rsid w:val="008D39B7"/>
    <w:rsid w:val="008D6263"/>
    <w:rsid w:val="008D6344"/>
    <w:rsid w:val="008D6C32"/>
    <w:rsid w:val="008D7E0D"/>
    <w:rsid w:val="008D7EDB"/>
    <w:rsid w:val="008E1829"/>
    <w:rsid w:val="008E2327"/>
    <w:rsid w:val="008E3CEE"/>
    <w:rsid w:val="008E5077"/>
    <w:rsid w:val="008E64F0"/>
    <w:rsid w:val="008E6FF3"/>
    <w:rsid w:val="008E7B05"/>
    <w:rsid w:val="008F05F9"/>
    <w:rsid w:val="008F0D89"/>
    <w:rsid w:val="008F18ED"/>
    <w:rsid w:val="008F3EA1"/>
    <w:rsid w:val="008F46C2"/>
    <w:rsid w:val="008F4B45"/>
    <w:rsid w:val="008F5097"/>
    <w:rsid w:val="009001FC"/>
    <w:rsid w:val="00901F26"/>
    <w:rsid w:val="009020A8"/>
    <w:rsid w:val="00902B52"/>
    <w:rsid w:val="00903D37"/>
    <w:rsid w:val="00903F6C"/>
    <w:rsid w:val="00904249"/>
    <w:rsid w:val="0090601F"/>
    <w:rsid w:val="00907CDA"/>
    <w:rsid w:val="0091055D"/>
    <w:rsid w:val="00910E4D"/>
    <w:rsid w:val="009135F8"/>
    <w:rsid w:val="00913B76"/>
    <w:rsid w:val="009140A3"/>
    <w:rsid w:val="009141A5"/>
    <w:rsid w:val="00914C61"/>
    <w:rsid w:val="0091633A"/>
    <w:rsid w:val="00917D6F"/>
    <w:rsid w:val="00920587"/>
    <w:rsid w:val="00921B1A"/>
    <w:rsid w:val="00921DDA"/>
    <w:rsid w:val="0092246D"/>
    <w:rsid w:val="009224D2"/>
    <w:rsid w:val="0092600D"/>
    <w:rsid w:val="00927D70"/>
    <w:rsid w:val="00927ED6"/>
    <w:rsid w:val="0093039D"/>
    <w:rsid w:val="00931E4F"/>
    <w:rsid w:val="0093364D"/>
    <w:rsid w:val="00936574"/>
    <w:rsid w:val="00943BCE"/>
    <w:rsid w:val="00947608"/>
    <w:rsid w:val="009519A6"/>
    <w:rsid w:val="009542DA"/>
    <w:rsid w:val="00954D17"/>
    <w:rsid w:val="00957104"/>
    <w:rsid w:val="00957CA8"/>
    <w:rsid w:val="00957F4D"/>
    <w:rsid w:val="00960346"/>
    <w:rsid w:val="009617D3"/>
    <w:rsid w:val="00963DC8"/>
    <w:rsid w:val="0096463B"/>
    <w:rsid w:val="00967869"/>
    <w:rsid w:val="00970475"/>
    <w:rsid w:val="00971F54"/>
    <w:rsid w:val="009725C5"/>
    <w:rsid w:val="00973F40"/>
    <w:rsid w:val="00973FDF"/>
    <w:rsid w:val="00974F1D"/>
    <w:rsid w:val="009771CD"/>
    <w:rsid w:val="009806E2"/>
    <w:rsid w:val="00983031"/>
    <w:rsid w:val="00983AA1"/>
    <w:rsid w:val="009849EF"/>
    <w:rsid w:val="00984BE6"/>
    <w:rsid w:val="00985347"/>
    <w:rsid w:val="00986DB7"/>
    <w:rsid w:val="00990362"/>
    <w:rsid w:val="00990482"/>
    <w:rsid w:val="009929F6"/>
    <w:rsid w:val="0099315B"/>
    <w:rsid w:val="00993262"/>
    <w:rsid w:val="009934CF"/>
    <w:rsid w:val="00993B80"/>
    <w:rsid w:val="00994D5D"/>
    <w:rsid w:val="00995364"/>
    <w:rsid w:val="00995AD7"/>
    <w:rsid w:val="009972BB"/>
    <w:rsid w:val="009A0D40"/>
    <w:rsid w:val="009A0D75"/>
    <w:rsid w:val="009A25DD"/>
    <w:rsid w:val="009A3007"/>
    <w:rsid w:val="009A32D7"/>
    <w:rsid w:val="009A347A"/>
    <w:rsid w:val="009A50FB"/>
    <w:rsid w:val="009A5876"/>
    <w:rsid w:val="009A620E"/>
    <w:rsid w:val="009A6637"/>
    <w:rsid w:val="009B190E"/>
    <w:rsid w:val="009B26BC"/>
    <w:rsid w:val="009B548D"/>
    <w:rsid w:val="009B634E"/>
    <w:rsid w:val="009B6578"/>
    <w:rsid w:val="009B6A6F"/>
    <w:rsid w:val="009B6F52"/>
    <w:rsid w:val="009C155B"/>
    <w:rsid w:val="009C1AFE"/>
    <w:rsid w:val="009C3FA3"/>
    <w:rsid w:val="009C4081"/>
    <w:rsid w:val="009C44AA"/>
    <w:rsid w:val="009C4785"/>
    <w:rsid w:val="009C5531"/>
    <w:rsid w:val="009C5F24"/>
    <w:rsid w:val="009C7247"/>
    <w:rsid w:val="009C787D"/>
    <w:rsid w:val="009D048B"/>
    <w:rsid w:val="009D1FDE"/>
    <w:rsid w:val="009D2E17"/>
    <w:rsid w:val="009D3DB3"/>
    <w:rsid w:val="009D5C3E"/>
    <w:rsid w:val="009D69C6"/>
    <w:rsid w:val="009D7EDD"/>
    <w:rsid w:val="009E1F55"/>
    <w:rsid w:val="009E27C4"/>
    <w:rsid w:val="009E3382"/>
    <w:rsid w:val="009E3A34"/>
    <w:rsid w:val="009E4A3E"/>
    <w:rsid w:val="009E5419"/>
    <w:rsid w:val="009E5A6E"/>
    <w:rsid w:val="009F32E8"/>
    <w:rsid w:val="009F46DC"/>
    <w:rsid w:val="009F5EC6"/>
    <w:rsid w:val="00A00BF3"/>
    <w:rsid w:val="00A01340"/>
    <w:rsid w:val="00A01944"/>
    <w:rsid w:val="00A01C00"/>
    <w:rsid w:val="00A04831"/>
    <w:rsid w:val="00A05317"/>
    <w:rsid w:val="00A05C27"/>
    <w:rsid w:val="00A060A7"/>
    <w:rsid w:val="00A06833"/>
    <w:rsid w:val="00A06C14"/>
    <w:rsid w:val="00A06D9C"/>
    <w:rsid w:val="00A10AB8"/>
    <w:rsid w:val="00A112F7"/>
    <w:rsid w:val="00A11CAD"/>
    <w:rsid w:val="00A14169"/>
    <w:rsid w:val="00A14880"/>
    <w:rsid w:val="00A1620A"/>
    <w:rsid w:val="00A1620D"/>
    <w:rsid w:val="00A16AC0"/>
    <w:rsid w:val="00A16EBA"/>
    <w:rsid w:val="00A17E23"/>
    <w:rsid w:val="00A20877"/>
    <w:rsid w:val="00A21847"/>
    <w:rsid w:val="00A22EAF"/>
    <w:rsid w:val="00A23D31"/>
    <w:rsid w:val="00A24C9B"/>
    <w:rsid w:val="00A25B13"/>
    <w:rsid w:val="00A26022"/>
    <w:rsid w:val="00A27124"/>
    <w:rsid w:val="00A2783A"/>
    <w:rsid w:val="00A27D2B"/>
    <w:rsid w:val="00A301A7"/>
    <w:rsid w:val="00A3043F"/>
    <w:rsid w:val="00A30C34"/>
    <w:rsid w:val="00A30FD3"/>
    <w:rsid w:val="00A31139"/>
    <w:rsid w:val="00A347C1"/>
    <w:rsid w:val="00A3557F"/>
    <w:rsid w:val="00A356BB"/>
    <w:rsid w:val="00A35E2F"/>
    <w:rsid w:val="00A36C75"/>
    <w:rsid w:val="00A37891"/>
    <w:rsid w:val="00A404EA"/>
    <w:rsid w:val="00A40A51"/>
    <w:rsid w:val="00A40CAA"/>
    <w:rsid w:val="00A42292"/>
    <w:rsid w:val="00A4361C"/>
    <w:rsid w:val="00A43CDA"/>
    <w:rsid w:val="00A44B26"/>
    <w:rsid w:val="00A47916"/>
    <w:rsid w:val="00A506B3"/>
    <w:rsid w:val="00A50746"/>
    <w:rsid w:val="00A509EC"/>
    <w:rsid w:val="00A518CC"/>
    <w:rsid w:val="00A52B9B"/>
    <w:rsid w:val="00A536DA"/>
    <w:rsid w:val="00A53D89"/>
    <w:rsid w:val="00A571CD"/>
    <w:rsid w:val="00A57C3D"/>
    <w:rsid w:val="00A600DB"/>
    <w:rsid w:val="00A615DC"/>
    <w:rsid w:val="00A61839"/>
    <w:rsid w:val="00A61E0F"/>
    <w:rsid w:val="00A61F25"/>
    <w:rsid w:val="00A63630"/>
    <w:rsid w:val="00A6494A"/>
    <w:rsid w:val="00A65CD8"/>
    <w:rsid w:val="00A668B7"/>
    <w:rsid w:val="00A6697B"/>
    <w:rsid w:val="00A67417"/>
    <w:rsid w:val="00A71133"/>
    <w:rsid w:val="00A719E2"/>
    <w:rsid w:val="00A71EFF"/>
    <w:rsid w:val="00A71FE2"/>
    <w:rsid w:val="00A731B6"/>
    <w:rsid w:val="00A74C2D"/>
    <w:rsid w:val="00A75570"/>
    <w:rsid w:val="00A7649A"/>
    <w:rsid w:val="00A7652F"/>
    <w:rsid w:val="00A76B34"/>
    <w:rsid w:val="00A80644"/>
    <w:rsid w:val="00A83487"/>
    <w:rsid w:val="00A84A76"/>
    <w:rsid w:val="00A854FF"/>
    <w:rsid w:val="00A87035"/>
    <w:rsid w:val="00A8745D"/>
    <w:rsid w:val="00A87C48"/>
    <w:rsid w:val="00A87FD7"/>
    <w:rsid w:val="00A90989"/>
    <w:rsid w:val="00A909E4"/>
    <w:rsid w:val="00A90F9B"/>
    <w:rsid w:val="00A92694"/>
    <w:rsid w:val="00A93072"/>
    <w:rsid w:val="00A95108"/>
    <w:rsid w:val="00A9629C"/>
    <w:rsid w:val="00A96B0B"/>
    <w:rsid w:val="00A9753C"/>
    <w:rsid w:val="00A97737"/>
    <w:rsid w:val="00AA1152"/>
    <w:rsid w:val="00AA228C"/>
    <w:rsid w:val="00AA246D"/>
    <w:rsid w:val="00AA35D5"/>
    <w:rsid w:val="00AA417B"/>
    <w:rsid w:val="00AA533F"/>
    <w:rsid w:val="00AA5A86"/>
    <w:rsid w:val="00AA70FB"/>
    <w:rsid w:val="00AB010D"/>
    <w:rsid w:val="00AB0749"/>
    <w:rsid w:val="00AB1209"/>
    <w:rsid w:val="00AB5709"/>
    <w:rsid w:val="00AB76D8"/>
    <w:rsid w:val="00AB7E6A"/>
    <w:rsid w:val="00AC1B61"/>
    <w:rsid w:val="00AC1EAA"/>
    <w:rsid w:val="00AC2C6E"/>
    <w:rsid w:val="00AC5EE6"/>
    <w:rsid w:val="00AC63CF"/>
    <w:rsid w:val="00AC641F"/>
    <w:rsid w:val="00AC70BB"/>
    <w:rsid w:val="00AD0D24"/>
    <w:rsid w:val="00AD0FA2"/>
    <w:rsid w:val="00AD1923"/>
    <w:rsid w:val="00AD2611"/>
    <w:rsid w:val="00AD3AC5"/>
    <w:rsid w:val="00AD3D57"/>
    <w:rsid w:val="00AD477B"/>
    <w:rsid w:val="00AD4882"/>
    <w:rsid w:val="00AD776C"/>
    <w:rsid w:val="00AE1BA2"/>
    <w:rsid w:val="00AE33C9"/>
    <w:rsid w:val="00AE4507"/>
    <w:rsid w:val="00AE47BF"/>
    <w:rsid w:val="00AE5024"/>
    <w:rsid w:val="00AF0F74"/>
    <w:rsid w:val="00AF0F98"/>
    <w:rsid w:val="00AF214A"/>
    <w:rsid w:val="00AF3368"/>
    <w:rsid w:val="00AF36A2"/>
    <w:rsid w:val="00AF3E3A"/>
    <w:rsid w:val="00AF44A9"/>
    <w:rsid w:val="00AF6432"/>
    <w:rsid w:val="00AF66A7"/>
    <w:rsid w:val="00AF673B"/>
    <w:rsid w:val="00AF6B59"/>
    <w:rsid w:val="00AF6B9D"/>
    <w:rsid w:val="00AF75BE"/>
    <w:rsid w:val="00AF79BD"/>
    <w:rsid w:val="00B06E23"/>
    <w:rsid w:val="00B07AC2"/>
    <w:rsid w:val="00B07F12"/>
    <w:rsid w:val="00B110AF"/>
    <w:rsid w:val="00B11EBD"/>
    <w:rsid w:val="00B1415B"/>
    <w:rsid w:val="00B15278"/>
    <w:rsid w:val="00B15EFC"/>
    <w:rsid w:val="00B21671"/>
    <w:rsid w:val="00B217E2"/>
    <w:rsid w:val="00B234EC"/>
    <w:rsid w:val="00B26473"/>
    <w:rsid w:val="00B2732B"/>
    <w:rsid w:val="00B274AE"/>
    <w:rsid w:val="00B274BF"/>
    <w:rsid w:val="00B31222"/>
    <w:rsid w:val="00B32215"/>
    <w:rsid w:val="00B3261D"/>
    <w:rsid w:val="00B32C53"/>
    <w:rsid w:val="00B33AEB"/>
    <w:rsid w:val="00B36642"/>
    <w:rsid w:val="00B4118B"/>
    <w:rsid w:val="00B41F43"/>
    <w:rsid w:val="00B41FDD"/>
    <w:rsid w:val="00B42E16"/>
    <w:rsid w:val="00B42E81"/>
    <w:rsid w:val="00B4329D"/>
    <w:rsid w:val="00B434FC"/>
    <w:rsid w:val="00B443F5"/>
    <w:rsid w:val="00B44D40"/>
    <w:rsid w:val="00B46640"/>
    <w:rsid w:val="00B520F9"/>
    <w:rsid w:val="00B525DB"/>
    <w:rsid w:val="00B52812"/>
    <w:rsid w:val="00B53EBD"/>
    <w:rsid w:val="00B5495A"/>
    <w:rsid w:val="00B54E2E"/>
    <w:rsid w:val="00B566DA"/>
    <w:rsid w:val="00B577A3"/>
    <w:rsid w:val="00B6087A"/>
    <w:rsid w:val="00B6258B"/>
    <w:rsid w:val="00B645F2"/>
    <w:rsid w:val="00B64641"/>
    <w:rsid w:val="00B655A0"/>
    <w:rsid w:val="00B65E1E"/>
    <w:rsid w:val="00B667D0"/>
    <w:rsid w:val="00B67D38"/>
    <w:rsid w:val="00B701DA"/>
    <w:rsid w:val="00B7262F"/>
    <w:rsid w:val="00B727C5"/>
    <w:rsid w:val="00B72FD2"/>
    <w:rsid w:val="00B73FD4"/>
    <w:rsid w:val="00B74FC5"/>
    <w:rsid w:val="00B7564C"/>
    <w:rsid w:val="00B75A6C"/>
    <w:rsid w:val="00B765F8"/>
    <w:rsid w:val="00B8078E"/>
    <w:rsid w:val="00B81B8B"/>
    <w:rsid w:val="00B82F2D"/>
    <w:rsid w:val="00B83E2A"/>
    <w:rsid w:val="00B83E38"/>
    <w:rsid w:val="00B85DF3"/>
    <w:rsid w:val="00B86869"/>
    <w:rsid w:val="00B86C19"/>
    <w:rsid w:val="00B870C6"/>
    <w:rsid w:val="00B92EDF"/>
    <w:rsid w:val="00B93510"/>
    <w:rsid w:val="00B93E33"/>
    <w:rsid w:val="00B9412E"/>
    <w:rsid w:val="00B94324"/>
    <w:rsid w:val="00B94F72"/>
    <w:rsid w:val="00B954F3"/>
    <w:rsid w:val="00B95BCD"/>
    <w:rsid w:val="00B95CDC"/>
    <w:rsid w:val="00B95CE5"/>
    <w:rsid w:val="00B977B9"/>
    <w:rsid w:val="00BA03E9"/>
    <w:rsid w:val="00BA0893"/>
    <w:rsid w:val="00BA0D0B"/>
    <w:rsid w:val="00BA0ED5"/>
    <w:rsid w:val="00BA37A8"/>
    <w:rsid w:val="00BA3B4C"/>
    <w:rsid w:val="00BA3DF4"/>
    <w:rsid w:val="00BA3EA8"/>
    <w:rsid w:val="00BA5927"/>
    <w:rsid w:val="00BB1891"/>
    <w:rsid w:val="00BB27E3"/>
    <w:rsid w:val="00BB375D"/>
    <w:rsid w:val="00BB425C"/>
    <w:rsid w:val="00BB4476"/>
    <w:rsid w:val="00BB49A0"/>
    <w:rsid w:val="00BB5067"/>
    <w:rsid w:val="00BB515F"/>
    <w:rsid w:val="00BB5B41"/>
    <w:rsid w:val="00BB5DFF"/>
    <w:rsid w:val="00BB6E2D"/>
    <w:rsid w:val="00BB736A"/>
    <w:rsid w:val="00BC1FA5"/>
    <w:rsid w:val="00BC211C"/>
    <w:rsid w:val="00BC2C0C"/>
    <w:rsid w:val="00BC4CF5"/>
    <w:rsid w:val="00BC539E"/>
    <w:rsid w:val="00BC55E5"/>
    <w:rsid w:val="00BC64F5"/>
    <w:rsid w:val="00BC732A"/>
    <w:rsid w:val="00BC758B"/>
    <w:rsid w:val="00BD181B"/>
    <w:rsid w:val="00BD2EAC"/>
    <w:rsid w:val="00BD4BB3"/>
    <w:rsid w:val="00BD5CDF"/>
    <w:rsid w:val="00BD5F6D"/>
    <w:rsid w:val="00BD61E2"/>
    <w:rsid w:val="00BE17C6"/>
    <w:rsid w:val="00BE2BD3"/>
    <w:rsid w:val="00BE4865"/>
    <w:rsid w:val="00BE69BF"/>
    <w:rsid w:val="00BE6A3C"/>
    <w:rsid w:val="00BE725A"/>
    <w:rsid w:val="00BE7430"/>
    <w:rsid w:val="00BE7B48"/>
    <w:rsid w:val="00BF02B3"/>
    <w:rsid w:val="00BF0B9D"/>
    <w:rsid w:val="00BF259E"/>
    <w:rsid w:val="00BF2920"/>
    <w:rsid w:val="00BF3381"/>
    <w:rsid w:val="00BF4C63"/>
    <w:rsid w:val="00C00CE6"/>
    <w:rsid w:val="00C03F3D"/>
    <w:rsid w:val="00C05514"/>
    <w:rsid w:val="00C05543"/>
    <w:rsid w:val="00C06734"/>
    <w:rsid w:val="00C07B7E"/>
    <w:rsid w:val="00C105B6"/>
    <w:rsid w:val="00C10FCF"/>
    <w:rsid w:val="00C1291A"/>
    <w:rsid w:val="00C13895"/>
    <w:rsid w:val="00C143EE"/>
    <w:rsid w:val="00C1566D"/>
    <w:rsid w:val="00C1575E"/>
    <w:rsid w:val="00C16B4B"/>
    <w:rsid w:val="00C17427"/>
    <w:rsid w:val="00C17ECF"/>
    <w:rsid w:val="00C204E7"/>
    <w:rsid w:val="00C20C00"/>
    <w:rsid w:val="00C210FD"/>
    <w:rsid w:val="00C21EB2"/>
    <w:rsid w:val="00C22901"/>
    <w:rsid w:val="00C22F6B"/>
    <w:rsid w:val="00C2521B"/>
    <w:rsid w:val="00C25238"/>
    <w:rsid w:val="00C305C8"/>
    <w:rsid w:val="00C305F2"/>
    <w:rsid w:val="00C307AF"/>
    <w:rsid w:val="00C3345C"/>
    <w:rsid w:val="00C33C9A"/>
    <w:rsid w:val="00C3487E"/>
    <w:rsid w:val="00C3773E"/>
    <w:rsid w:val="00C407E5"/>
    <w:rsid w:val="00C40BD1"/>
    <w:rsid w:val="00C41DAA"/>
    <w:rsid w:val="00C41EB5"/>
    <w:rsid w:val="00C42C95"/>
    <w:rsid w:val="00C42DAC"/>
    <w:rsid w:val="00C4342B"/>
    <w:rsid w:val="00C436FC"/>
    <w:rsid w:val="00C459A9"/>
    <w:rsid w:val="00C46615"/>
    <w:rsid w:val="00C502A5"/>
    <w:rsid w:val="00C521F7"/>
    <w:rsid w:val="00C53008"/>
    <w:rsid w:val="00C55151"/>
    <w:rsid w:val="00C558FF"/>
    <w:rsid w:val="00C560FA"/>
    <w:rsid w:val="00C570C5"/>
    <w:rsid w:val="00C57FF9"/>
    <w:rsid w:val="00C61260"/>
    <w:rsid w:val="00C61B22"/>
    <w:rsid w:val="00C6305F"/>
    <w:rsid w:val="00C64434"/>
    <w:rsid w:val="00C659E5"/>
    <w:rsid w:val="00C677C9"/>
    <w:rsid w:val="00C7063C"/>
    <w:rsid w:val="00C71D35"/>
    <w:rsid w:val="00C72099"/>
    <w:rsid w:val="00C73C57"/>
    <w:rsid w:val="00C74101"/>
    <w:rsid w:val="00C74D43"/>
    <w:rsid w:val="00C75CA7"/>
    <w:rsid w:val="00C766D6"/>
    <w:rsid w:val="00C769D1"/>
    <w:rsid w:val="00C8079B"/>
    <w:rsid w:val="00C81390"/>
    <w:rsid w:val="00C81C46"/>
    <w:rsid w:val="00C83873"/>
    <w:rsid w:val="00C85675"/>
    <w:rsid w:val="00C901BB"/>
    <w:rsid w:val="00C90CD3"/>
    <w:rsid w:val="00C92552"/>
    <w:rsid w:val="00C93621"/>
    <w:rsid w:val="00C93F1B"/>
    <w:rsid w:val="00C9460E"/>
    <w:rsid w:val="00C96D01"/>
    <w:rsid w:val="00C976D1"/>
    <w:rsid w:val="00CA0E6B"/>
    <w:rsid w:val="00CA1FCA"/>
    <w:rsid w:val="00CA440C"/>
    <w:rsid w:val="00CA6770"/>
    <w:rsid w:val="00CA71D4"/>
    <w:rsid w:val="00CB1F3C"/>
    <w:rsid w:val="00CB4FC8"/>
    <w:rsid w:val="00CB5D29"/>
    <w:rsid w:val="00CB675A"/>
    <w:rsid w:val="00CB782B"/>
    <w:rsid w:val="00CB7ED5"/>
    <w:rsid w:val="00CC0E77"/>
    <w:rsid w:val="00CC1153"/>
    <w:rsid w:val="00CC1745"/>
    <w:rsid w:val="00CC2092"/>
    <w:rsid w:val="00CC302A"/>
    <w:rsid w:val="00CC5D85"/>
    <w:rsid w:val="00CC5E76"/>
    <w:rsid w:val="00CC685F"/>
    <w:rsid w:val="00CC71E1"/>
    <w:rsid w:val="00CC765A"/>
    <w:rsid w:val="00CC79FE"/>
    <w:rsid w:val="00CC7B01"/>
    <w:rsid w:val="00CD0C20"/>
    <w:rsid w:val="00CD3A5D"/>
    <w:rsid w:val="00CD3CA9"/>
    <w:rsid w:val="00CD43BE"/>
    <w:rsid w:val="00CD5FD4"/>
    <w:rsid w:val="00CD7B81"/>
    <w:rsid w:val="00CE0DCE"/>
    <w:rsid w:val="00CE1B1E"/>
    <w:rsid w:val="00CE1BC9"/>
    <w:rsid w:val="00CE1DAA"/>
    <w:rsid w:val="00CE33C1"/>
    <w:rsid w:val="00CE3AFD"/>
    <w:rsid w:val="00CE4DD6"/>
    <w:rsid w:val="00CE692A"/>
    <w:rsid w:val="00CE76FF"/>
    <w:rsid w:val="00CE778C"/>
    <w:rsid w:val="00CF1C93"/>
    <w:rsid w:val="00CF20BC"/>
    <w:rsid w:val="00CF2FD4"/>
    <w:rsid w:val="00CF4012"/>
    <w:rsid w:val="00CF5C25"/>
    <w:rsid w:val="00CF6A22"/>
    <w:rsid w:val="00CF6ECC"/>
    <w:rsid w:val="00CF7AA3"/>
    <w:rsid w:val="00CF7F57"/>
    <w:rsid w:val="00D00B3A"/>
    <w:rsid w:val="00D02BC6"/>
    <w:rsid w:val="00D0310D"/>
    <w:rsid w:val="00D05803"/>
    <w:rsid w:val="00D05C7C"/>
    <w:rsid w:val="00D06906"/>
    <w:rsid w:val="00D07742"/>
    <w:rsid w:val="00D100AE"/>
    <w:rsid w:val="00D110D4"/>
    <w:rsid w:val="00D1276A"/>
    <w:rsid w:val="00D12E0B"/>
    <w:rsid w:val="00D14DB7"/>
    <w:rsid w:val="00D14E1A"/>
    <w:rsid w:val="00D15ED5"/>
    <w:rsid w:val="00D170EE"/>
    <w:rsid w:val="00D20771"/>
    <w:rsid w:val="00D22B6A"/>
    <w:rsid w:val="00D23161"/>
    <w:rsid w:val="00D2369D"/>
    <w:rsid w:val="00D255CF"/>
    <w:rsid w:val="00D26B5D"/>
    <w:rsid w:val="00D3011E"/>
    <w:rsid w:val="00D319F1"/>
    <w:rsid w:val="00D32943"/>
    <w:rsid w:val="00D348F7"/>
    <w:rsid w:val="00D351E9"/>
    <w:rsid w:val="00D3703D"/>
    <w:rsid w:val="00D37ADF"/>
    <w:rsid w:val="00D37F2B"/>
    <w:rsid w:val="00D40BC3"/>
    <w:rsid w:val="00D422ED"/>
    <w:rsid w:val="00D434EC"/>
    <w:rsid w:val="00D43894"/>
    <w:rsid w:val="00D444D0"/>
    <w:rsid w:val="00D44A44"/>
    <w:rsid w:val="00D44E9D"/>
    <w:rsid w:val="00D46E5C"/>
    <w:rsid w:val="00D46FC7"/>
    <w:rsid w:val="00D472A7"/>
    <w:rsid w:val="00D50230"/>
    <w:rsid w:val="00D519BC"/>
    <w:rsid w:val="00D51FC6"/>
    <w:rsid w:val="00D531B4"/>
    <w:rsid w:val="00D538A8"/>
    <w:rsid w:val="00D5653C"/>
    <w:rsid w:val="00D61A0E"/>
    <w:rsid w:val="00D65317"/>
    <w:rsid w:val="00D717D8"/>
    <w:rsid w:val="00D71CF9"/>
    <w:rsid w:val="00D735AE"/>
    <w:rsid w:val="00D75FF9"/>
    <w:rsid w:val="00D77FCD"/>
    <w:rsid w:val="00D80ED6"/>
    <w:rsid w:val="00D80F9D"/>
    <w:rsid w:val="00D81BAE"/>
    <w:rsid w:val="00D844B1"/>
    <w:rsid w:val="00D849DD"/>
    <w:rsid w:val="00D84B17"/>
    <w:rsid w:val="00D8507D"/>
    <w:rsid w:val="00D86735"/>
    <w:rsid w:val="00D86C7D"/>
    <w:rsid w:val="00D8718E"/>
    <w:rsid w:val="00D871FB"/>
    <w:rsid w:val="00D877D6"/>
    <w:rsid w:val="00D90C57"/>
    <w:rsid w:val="00D90C9D"/>
    <w:rsid w:val="00D90E57"/>
    <w:rsid w:val="00D91910"/>
    <w:rsid w:val="00D91AA8"/>
    <w:rsid w:val="00D935FC"/>
    <w:rsid w:val="00D944A6"/>
    <w:rsid w:val="00D94976"/>
    <w:rsid w:val="00D95B92"/>
    <w:rsid w:val="00D95C7A"/>
    <w:rsid w:val="00D96BF1"/>
    <w:rsid w:val="00D96E9B"/>
    <w:rsid w:val="00D96FC3"/>
    <w:rsid w:val="00DA08C5"/>
    <w:rsid w:val="00DA12C3"/>
    <w:rsid w:val="00DA191D"/>
    <w:rsid w:val="00DA1E68"/>
    <w:rsid w:val="00DA2571"/>
    <w:rsid w:val="00DA45F0"/>
    <w:rsid w:val="00DA495D"/>
    <w:rsid w:val="00DA50B6"/>
    <w:rsid w:val="00DA7BA0"/>
    <w:rsid w:val="00DB0995"/>
    <w:rsid w:val="00DB3C6E"/>
    <w:rsid w:val="00DB469A"/>
    <w:rsid w:val="00DB52C3"/>
    <w:rsid w:val="00DB5DA3"/>
    <w:rsid w:val="00DB6573"/>
    <w:rsid w:val="00DB7E5F"/>
    <w:rsid w:val="00DC10B0"/>
    <w:rsid w:val="00DC1560"/>
    <w:rsid w:val="00DC1594"/>
    <w:rsid w:val="00DC2940"/>
    <w:rsid w:val="00DC3DA9"/>
    <w:rsid w:val="00DC4BCD"/>
    <w:rsid w:val="00DC597C"/>
    <w:rsid w:val="00DC5AC6"/>
    <w:rsid w:val="00DC79C7"/>
    <w:rsid w:val="00DD1107"/>
    <w:rsid w:val="00DD1636"/>
    <w:rsid w:val="00DD178F"/>
    <w:rsid w:val="00DD1C88"/>
    <w:rsid w:val="00DD1FE4"/>
    <w:rsid w:val="00DD63D0"/>
    <w:rsid w:val="00DE01D8"/>
    <w:rsid w:val="00DE2847"/>
    <w:rsid w:val="00DE2966"/>
    <w:rsid w:val="00DE4107"/>
    <w:rsid w:val="00DE436F"/>
    <w:rsid w:val="00DE5124"/>
    <w:rsid w:val="00DF0B5E"/>
    <w:rsid w:val="00DF0ED5"/>
    <w:rsid w:val="00DF0F64"/>
    <w:rsid w:val="00DF1186"/>
    <w:rsid w:val="00DF2311"/>
    <w:rsid w:val="00DF36F7"/>
    <w:rsid w:val="00DF398D"/>
    <w:rsid w:val="00DF67D8"/>
    <w:rsid w:val="00DF72D9"/>
    <w:rsid w:val="00DF7EC8"/>
    <w:rsid w:val="00E00041"/>
    <w:rsid w:val="00E028ED"/>
    <w:rsid w:val="00E02A57"/>
    <w:rsid w:val="00E02B6F"/>
    <w:rsid w:val="00E04660"/>
    <w:rsid w:val="00E04BA2"/>
    <w:rsid w:val="00E05A95"/>
    <w:rsid w:val="00E06C17"/>
    <w:rsid w:val="00E07AF1"/>
    <w:rsid w:val="00E104F6"/>
    <w:rsid w:val="00E10748"/>
    <w:rsid w:val="00E1094C"/>
    <w:rsid w:val="00E1100F"/>
    <w:rsid w:val="00E11EF3"/>
    <w:rsid w:val="00E123AF"/>
    <w:rsid w:val="00E12F57"/>
    <w:rsid w:val="00E14282"/>
    <w:rsid w:val="00E14774"/>
    <w:rsid w:val="00E155C6"/>
    <w:rsid w:val="00E17ABD"/>
    <w:rsid w:val="00E200BA"/>
    <w:rsid w:val="00E2346B"/>
    <w:rsid w:val="00E24C70"/>
    <w:rsid w:val="00E26B53"/>
    <w:rsid w:val="00E27DDF"/>
    <w:rsid w:val="00E27E01"/>
    <w:rsid w:val="00E30A90"/>
    <w:rsid w:val="00E32DBA"/>
    <w:rsid w:val="00E34154"/>
    <w:rsid w:val="00E350F4"/>
    <w:rsid w:val="00E40A82"/>
    <w:rsid w:val="00E41142"/>
    <w:rsid w:val="00E4249F"/>
    <w:rsid w:val="00E43469"/>
    <w:rsid w:val="00E445DA"/>
    <w:rsid w:val="00E45379"/>
    <w:rsid w:val="00E45C35"/>
    <w:rsid w:val="00E469B1"/>
    <w:rsid w:val="00E47BCB"/>
    <w:rsid w:val="00E50B22"/>
    <w:rsid w:val="00E50C4F"/>
    <w:rsid w:val="00E513B2"/>
    <w:rsid w:val="00E51E18"/>
    <w:rsid w:val="00E520D2"/>
    <w:rsid w:val="00E527EE"/>
    <w:rsid w:val="00E533BD"/>
    <w:rsid w:val="00E53706"/>
    <w:rsid w:val="00E567AD"/>
    <w:rsid w:val="00E573C6"/>
    <w:rsid w:val="00E57CE2"/>
    <w:rsid w:val="00E61343"/>
    <w:rsid w:val="00E613BA"/>
    <w:rsid w:val="00E617BD"/>
    <w:rsid w:val="00E618D9"/>
    <w:rsid w:val="00E67009"/>
    <w:rsid w:val="00E67B7B"/>
    <w:rsid w:val="00E70503"/>
    <w:rsid w:val="00E705B4"/>
    <w:rsid w:val="00E70B9A"/>
    <w:rsid w:val="00E70BBB"/>
    <w:rsid w:val="00E713BD"/>
    <w:rsid w:val="00E716DD"/>
    <w:rsid w:val="00E71BE1"/>
    <w:rsid w:val="00E72967"/>
    <w:rsid w:val="00E72A19"/>
    <w:rsid w:val="00E7314A"/>
    <w:rsid w:val="00E74768"/>
    <w:rsid w:val="00E759B2"/>
    <w:rsid w:val="00E770B3"/>
    <w:rsid w:val="00E804F0"/>
    <w:rsid w:val="00E8155D"/>
    <w:rsid w:val="00E829A2"/>
    <w:rsid w:val="00E86361"/>
    <w:rsid w:val="00E90C37"/>
    <w:rsid w:val="00E90EB9"/>
    <w:rsid w:val="00E91F1D"/>
    <w:rsid w:val="00E932E9"/>
    <w:rsid w:val="00E9358F"/>
    <w:rsid w:val="00E95A07"/>
    <w:rsid w:val="00E96FFC"/>
    <w:rsid w:val="00EA0E04"/>
    <w:rsid w:val="00EA1E39"/>
    <w:rsid w:val="00EA220D"/>
    <w:rsid w:val="00EA3156"/>
    <w:rsid w:val="00EA39C8"/>
    <w:rsid w:val="00EA40A2"/>
    <w:rsid w:val="00EA4CD5"/>
    <w:rsid w:val="00EA5D2C"/>
    <w:rsid w:val="00EA5D8E"/>
    <w:rsid w:val="00EA68DA"/>
    <w:rsid w:val="00EB0089"/>
    <w:rsid w:val="00EB0141"/>
    <w:rsid w:val="00EB050D"/>
    <w:rsid w:val="00EB07CF"/>
    <w:rsid w:val="00EB092D"/>
    <w:rsid w:val="00EB1E79"/>
    <w:rsid w:val="00EB3B88"/>
    <w:rsid w:val="00EC0153"/>
    <w:rsid w:val="00EC247B"/>
    <w:rsid w:val="00EC3B8F"/>
    <w:rsid w:val="00EC5CA0"/>
    <w:rsid w:val="00EC5D05"/>
    <w:rsid w:val="00EC7372"/>
    <w:rsid w:val="00EC763F"/>
    <w:rsid w:val="00EC7FB1"/>
    <w:rsid w:val="00ED1995"/>
    <w:rsid w:val="00ED1BD8"/>
    <w:rsid w:val="00ED30E8"/>
    <w:rsid w:val="00ED3B69"/>
    <w:rsid w:val="00ED48BE"/>
    <w:rsid w:val="00ED6CD1"/>
    <w:rsid w:val="00EE3548"/>
    <w:rsid w:val="00EE59CE"/>
    <w:rsid w:val="00EE5F2E"/>
    <w:rsid w:val="00EE693B"/>
    <w:rsid w:val="00EE6B2A"/>
    <w:rsid w:val="00EE783F"/>
    <w:rsid w:val="00EE7920"/>
    <w:rsid w:val="00EE7C15"/>
    <w:rsid w:val="00EE7E77"/>
    <w:rsid w:val="00EF045F"/>
    <w:rsid w:val="00EF11F5"/>
    <w:rsid w:val="00EF3AB0"/>
    <w:rsid w:val="00EF46F9"/>
    <w:rsid w:val="00EF4A64"/>
    <w:rsid w:val="00EF4D79"/>
    <w:rsid w:val="00EF7891"/>
    <w:rsid w:val="00F00407"/>
    <w:rsid w:val="00F006EA"/>
    <w:rsid w:val="00F02171"/>
    <w:rsid w:val="00F033EF"/>
    <w:rsid w:val="00F044EE"/>
    <w:rsid w:val="00F054B0"/>
    <w:rsid w:val="00F061A6"/>
    <w:rsid w:val="00F06BDA"/>
    <w:rsid w:val="00F077CB"/>
    <w:rsid w:val="00F107AF"/>
    <w:rsid w:val="00F117B1"/>
    <w:rsid w:val="00F11AB3"/>
    <w:rsid w:val="00F12DD0"/>
    <w:rsid w:val="00F13EF5"/>
    <w:rsid w:val="00F15D77"/>
    <w:rsid w:val="00F15FCE"/>
    <w:rsid w:val="00F1661B"/>
    <w:rsid w:val="00F17D75"/>
    <w:rsid w:val="00F17E14"/>
    <w:rsid w:val="00F20633"/>
    <w:rsid w:val="00F213E5"/>
    <w:rsid w:val="00F218DA"/>
    <w:rsid w:val="00F23DB4"/>
    <w:rsid w:val="00F23E81"/>
    <w:rsid w:val="00F24A46"/>
    <w:rsid w:val="00F254BE"/>
    <w:rsid w:val="00F25CFE"/>
    <w:rsid w:val="00F3060F"/>
    <w:rsid w:val="00F30D3F"/>
    <w:rsid w:val="00F32886"/>
    <w:rsid w:val="00F33150"/>
    <w:rsid w:val="00F3375B"/>
    <w:rsid w:val="00F35243"/>
    <w:rsid w:val="00F35F1D"/>
    <w:rsid w:val="00F36C1E"/>
    <w:rsid w:val="00F4018F"/>
    <w:rsid w:val="00F43E46"/>
    <w:rsid w:val="00F43E6E"/>
    <w:rsid w:val="00F44363"/>
    <w:rsid w:val="00F44423"/>
    <w:rsid w:val="00F454DD"/>
    <w:rsid w:val="00F455B5"/>
    <w:rsid w:val="00F469B3"/>
    <w:rsid w:val="00F46DAD"/>
    <w:rsid w:val="00F51236"/>
    <w:rsid w:val="00F5374C"/>
    <w:rsid w:val="00F541B8"/>
    <w:rsid w:val="00F56CC2"/>
    <w:rsid w:val="00F574B4"/>
    <w:rsid w:val="00F574B7"/>
    <w:rsid w:val="00F57883"/>
    <w:rsid w:val="00F60BC0"/>
    <w:rsid w:val="00F61B7F"/>
    <w:rsid w:val="00F62370"/>
    <w:rsid w:val="00F628D3"/>
    <w:rsid w:val="00F62B81"/>
    <w:rsid w:val="00F6408E"/>
    <w:rsid w:val="00F6497E"/>
    <w:rsid w:val="00F6532A"/>
    <w:rsid w:val="00F65A21"/>
    <w:rsid w:val="00F668A0"/>
    <w:rsid w:val="00F677E2"/>
    <w:rsid w:val="00F67C16"/>
    <w:rsid w:val="00F7233D"/>
    <w:rsid w:val="00F723F2"/>
    <w:rsid w:val="00F73751"/>
    <w:rsid w:val="00F7544E"/>
    <w:rsid w:val="00F75EAD"/>
    <w:rsid w:val="00F76A7B"/>
    <w:rsid w:val="00F77154"/>
    <w:rsid w:val="00F80F33"/>
    <w:rsid w:val="00F82637"/>
    <w:rsid w:val="00F846D6"/>
    <w:rsid w:val="00F85657"/>
    <w:rsid w:val="00F86EC2"/>
    <w:rsid w:val="00F87229"/>
    <w:rsid w:val="00F906D2"/>
    <w:rsid w:val="00F90CB9"/>
    <w:rsid w:val="00F9173A"/>
    <w:rsid w:val="00F91800"/>
    <w:rsid w:val="00F92882"/>
    <w:rsid w:val="00F93859"/>
    <w:rsid w:val="00F94E99"/>
    <w:rsid w:val="00F95396"/>
    <w:rsid w:val="00F9650A"/>
    <w:rsid w:val="00F965BB"/>
    <w:rsid w:val="00F967C7"/>
    <w:rsid w:val="00F96908"/>
    <w:rsid w:val="00FA0437"/>
    <w:rsid w:val="00FA16EC"/>
    <w:rsid w:val="00FA233F"/>
    <w:rsid w:val="00FA2E05"/>
    <w:rsid w:val="00FA2E5F"/>
    <w:rsid w:val="00FA3058"/>
    <w:rsid w:val="00FA3E48"/>
    <w:rsid w:val="00FA6D8B"/>
    <w:rsid w:val="00FA7D57"/>
    <w:rsid w:val="00FB0008"/>
    <w:rsid w:val="00FB071C"/>
    <w:rsid w:val="00FB3EA0"/>
    <w:rsid w:val="00FB4127"/>
    <w:rsid w:val="00FB4703"/>
    <w:rsid w:val="00FB55F4"/>
    <w:rsid w:val="00FB6B37"/>
    <w:rsid w:val="00FB7667"/>
    <w:rsid w:val="00FC0B63"/>
    <w:rsid w:val="00FC12EE"/>
    <w:rsid w:val="00FC1A4F"/>
    <w:rsid w:val="00FC2209"/>
    <w:rsid w:val="00FC3860"/>
    <w:rsid w:val="00FC44B0"/>
    <w:rsid w:val="00FC561A"/>
    <w:rsid w:val="00FC7531"/>
    <w:rsid w:val="00FC7EAA"/>
    <w:rsid w:val="00FD14E3"/>
    <w:rsid w:val="00FD27F4"/>
    <w:rsid w:val="00FD4B62"/>
    <w:rsid w:val="00FD4B89"/>
    <w:rsid w:val="00FD4FA5"/>
    <w:rsid w:val="00FD5166"/>
    <w:rsid w:val="00FD614D"/>
    <w:rsid w:val="00FD72CC"/>
    <w:rsid w:val="00FE3348"/>
    <w:rsid w:val="00FE46AD"/>
    <w:rsid w:val="00FE53DA"/>
    <w:rsid w:val="00FE5410"/>
    <w:rsid w:val="00FE57F3"/>
    <w:rsid w:val="00FF28C6"/>
    <w:rsid w:val="00FF2D44"/>
    <w:rsid w:val="00FF456A"/>
    <w:rsid w:val="00FF4A13"/>
    <w:rsid w:val="00FF5DDD"/>
    <w:rsid w:val="00FF6204"/>
    <w:rsid w:val="00FF62CB"/>
    <w:rsid w:val="00FF634D"/>
    <w:rsid w:val="00FF6BDF"/>
    <w:rsid w:val="00FF6D25"/>
    <w:rsid w:val="00FF7C33"/>
    <w:rsid w:val="00FF7C50"/>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47B373"/>
  <w15:docId w15:val="{DA0195A1-1DB8-4A80-AB5D-45EAC3625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61A"/>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2B57E5"/>
    <w:pPr>
      <w:keepNext/>
      <w:keepLines/>
      <w:spacing w:line="360" w:lineRule="auto"/>
      <w:jc w:val="center"/>
      <w:outlineLvl w:val="0"/>
    </w:pPr>
    <w:rPr>
      <w:rFonts w:ascii="Palatino Linotype" w:eastAsiaTheme="majorEastAsia" w:hAnsi="Palatino Linotype" w:cstheme="majorBidi"/>
      <w:b/>
      <w:color w:val="000000" w:themeColor="text1"/>
      <w:sz w:val="22"/>
      <w:szCs w:val="32"/>
    </w:rPr>
  </w:style>
  <w:style w:type="paragraph" w:styleId="Ttulo2">
    <w:name w:val="heading 2"/>
    <w:basedOn w:val="Normal"/>
    <w:next w:val="Normal"/>
    <w:link w:val="Ttulo2Car"/>
    <w:uiPriority w:val="9"/>
    <w:unhideWhenUsed/>
    <w:qFormat/>
    <w:rsid w:val="002B57E5"/>
    <w:pPr>
      <w:keepNext/>
      <w:keepLines/>
      <w:spacing w:line="360" w:lineRule="auto"/>
      <w:outlineLvl w:val="1"/>
    </w:pPr>
    <w:rPr>
      <w:rFonts w:ascii="Palatino Linotype" w:eastAsiaTheme="majorEastAsia" w:hAnsi="Palatino Linotype" w:cstheme="majorBidi"/>
      <w:b/>
      <w:color w:val="000000" w:themeColor="text1"/>
      <w:sz w:val="22"/>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B57E5"/>
    <w:rPr>
      <w:rFonts w:ascii="Palatino Linotype" w:eastAsiaTheme="majorEastAsia" w:hAnsi="Palatino Linotype" w:cstheme="majorBidi"/>
      <w:b/>
      <w:color w:val="000000" w:themeColor="text1"/>
      <w:szCs w:val="32"/>
      <w:lang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NormalWeb">
    <w:name w:val="Normal (Web)"/>
    <w:basedOn w:val="Normal"/>
    <w:uiPriority w:val="99"/>
    <w:unhideWhenUsed/>
    <w:rsid w:val="004F3A02"/>
    <w:pPr>
      <w:spacing w:after="160" w:line="259" w:lineRule="auto"/>
      <w:jc w:val="both"/>
    </w:pPr>
    <w:rPr>
      <w:rFonts w:eastAsiaTheme="minorHAnsi"/>
      <w:color w:val="000000" w:themeColor="text1"/>
      <w:sz w:val="24"/>
      <w:szCs w:val="24"/>
      <w:lang w:eastAsia="en-US"/>
    </w:rPr>
  </w:style>
  <w:style w:type="paragraph" w:customStyle="1" w:styleId="Resoluciones1">
    <w:name w:val="Resoluciones 1"/>
    <w:basedOn w:val="Normal"/>
    <w:next w:val="Normal"/>
    <w:link w:val="Resoluciones1Car"/>
    <w:autoRedefine/>
    <w:rsid w:val="002B57E5"/>
    <w:pPr>
      <w:tabs>
        <w:tab w:val="left" w:pos="2835"/>
      </w:tabs>
      <w:spacing w:line="360" w:lineRule="auto"/>
      <w:contextualSpacing/>
      <w:jc w:val="center"/>
    </w:pPr>
    <w:rPr>
      <w:rFonts w:ascii="Palatino Linotype" w:eastAsia="Calibri" w:hAnsi="Palatino Linotype" w:cs="Tahoma"/>
      <w:b/>
      <w:bCs/>
      <w:color w:val="000000" w:themeColor="text1"/>
      <w:sz w:val="22"/>
      <w:szCs w:val="22"/>
      <w:lang w:val="es-ES" w:eastAsia="en-US"/>
    </w:rPr>
  </w:style>
  <w:style w:type="character" w:customStyle="1" w:styleId="Resoluciones1Car">
    <w:name w:val="Resoluciones 1 Car"/>
    <w:basedOn w:val="Fuentedeprrafopredeter"/>
    <w:link w:val="Resoluciones1"/>
    <w:rsid w:val="002B57E5"/>
    <w:rPr>
      <w:rFonts w:ascii="Palatino Linotype" w:eastAsia="Calibri" w:hAnsi="Palatino Linotype" w:cs="Tahoma"/>
      <w:b/>
      <w:bCs/>
      <w:color w:val="000000" w:themeColor="text1"/>
      <w:lang w:val="es-ES"/>
    </w:rPr>
  </w:style>
  <w:style w:type="paragraph" w:styleId="Subttulo">
    <w:name w:val="Subtitle"/>
    <w:basedOn w:val="Normal"/>
    <w:next w:val="Normal"/>
    <w:link w:val="SubttuloCar"/>
    <w:uiPriority w:val="11"/>
    <w:qFormat/>
    <w:rsid w:val="002B57E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2B57E5"/>
    <w:rPr>
      <w:rFonts w:eastAsiaTheme="minorEastAsia"/>
      <w:color w:val="5A5A5A" w:themeColor="text1" w:themeTint="A5"/>
      <w:spacing w:val="15"/>
      <w:lang w:eastAsia="es-ES"/>
    </w:rPr>
  </w:style>
  <w:style w:type="paragraph" w:customStyle="1" w:styleId="ResolucinV">
    <w:name w:val="Resolución V"/>
    <w:basedOn w:val="Normal"/>
    <w:next w:val="Normal"/>
    <w:link w:val="ResolucinVCar"/>
    <w:rsid w:val="002B57E5"/>
    <w:pPr>
      <w:spacing w:line="360" w:lineRule="auto"/>
      <w:contextualSpacing/>
    </w:pPr>
    <w:rPr>
      <w:rFonts w:ascii="Palatino Linotype" w:eastAsia="Calibri" w:hAnsi="Palatino Linotype" w:cs="Tahoma"/>
      <w:b/>
      <w:bCs/>
      <w:color w:val="000000" w:themeColor="text1"/>
      <w:sz w:val="22"/>
      <w:szCs w:val="22"/>
      <w:lang w:eastAsia="en-US"/>
    </w:rPr>
  </w:style>
  <w:style w:type="character" w:customStyle="1" w:styleId="ResolucinVCar">
    <w:name w:val="Resolución V Car"/>
    <w:basedOn w:val="Fuentedeprrafopredeter"/>
    <w:link w:val="ResolucinV"/>
    <w:rsid w:val="002B57E5"/>
    <w:rPr>
      <w:rFonts w:ascii="Palatino Linotype" w:eastAsia="Calibri" w:hAnsi="Palatino Linotype" w:cs="Tahoma"/>
      <w:b/>
      <w:bCs/>
      <w:color w:val="000000" w:themeColor="text1"/>
    </w:rPr>
  </w:style>
  <w:style w:type="paragraph" w:styleId="TtuloTDC">
    <w:name w:val="TOC Heading"/>
    <w:basedOn w:val="Ttulo1"/>
    <w:next w:val="Normal"/>
    <w:uiPriority w:val="39"/>
    <w:unhideWhenUsed/>
    <w:qFormat/>
    <w:rsid w:val="002B57E5"/>
    <w:pPr>
      <w:spacing w:line="259" w:lineRule="auto"/>
      <w:outlineLvl w:val="9"/>
    </w:pPr>
    <w:rPr>
      <w:lang w:eastAsia="es-MX"/>
    </w:rPr>
  </w:style>
  <w:style w:type="character" w:customStyle="1" w:styleId="Ttulo2Car">
    <w:name w:val="Título 2 Car"/>
    <w:basedOn w:val="Fuentedeprrafopredeter"/>
    <w:link w:val="Ttulo2"/>
    <w:uiPriority w:val="9"/>
    <w:rsid w:val="002B57E5"/>
    <w:rPr>
      <w:rFonts w:ascii="Palatino Linotype" w:eastAsiaTheme="majorEastAsia" w:hAnsi="Palatino Linotype" w:cstheme="majorBidi"/>
      <w:b/>
      <w:color w:val="000000" w:themeColor="text1"/>
      <w:szCs w:val="26"/>
      <w:lang w:eastAsia="es-ES"/>
    </w:rPr>
  </w:style>
  <w:style w:type="paragraph" w:styleId="TDC1">
    <w:name w:val="toc 1"/>
    <w:basedOn w:val="Normal"/>
    <w:next w:val="Normal"/>
    <w:autoRedefine/>
    <w:uiPriority w:val="39"/>
    <w:unhideWhenUsed/>
    <w:rsid w:val="00DF1186"/>
    <w:pPr>
      <w:tabs>
        <w:tab w:val="right" w:leader="dot" w:pos="9034"/>
      </w:tabs>
      <w:spacing w:after="100" w:line="360" w:lineRule="auto"/>
      <w:jc w:val="both"/>
    </w:pPr>
  </w:style>
  <w:style w:type="paragraph" w:styleId="TDC2">
    <w:name w:val="toc 2"/>
    <w:basedOn w:val="Normal"/>
    <w:next w:val="Normal"/>
    <w:autoRedefine/>
    <w:uiPriority w:val="39"/>
    <w:unhideWhenUsed/>
    <w:rsid w:val="007935E5"/>
    <w:pPr>
      <w:spacing w:after="100"/>
      <w:ind w:left="200"/>
    </w:pPr>
  </w:style>
  <w:style w:type="character" w:customStyle="1" w:styleId="Mencinsinresolver1">
    <w:name w:val="Mención sin resolver1"/>
    <w:basedOn w:val="Fuentedeprrafopredeter"/>
    <w:uiPriority w:val="99"/>
    <w:semiHidden/>
    <w:unhideWhenUsed/>
    <w:rsid w:val="00EB1E79"/>
    <w:rPr>
      <w:color w:val="605E5C"/>
      <w:shd w:val="clear" w:color="auto" w:fill="E1DFDD"/>
    </w:rPr>
  </w:style>
  <w:style w:type="character" w:customStyle="1" w:styleId="Mencinsinresolver2">
    <w:name w:val="Mención sin resolver2"/>
    <w:basedOn w:val="Fuentedeprrafopredeter"/>
    <w:uiPriority w:val="99"/>
    <w:semiHidden/>
    <w:unhideWhenUsed/>
    <w:rsid w:val="00F117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2192633">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5611818">
      <w:bodyDiv w:val="1"/>
      <w:marLeft w:val="0"/>
      <w:marRight w:val="0"/>
      <w:marTop w:val="0"/>
      <w:marBottom w:val="0"/>
      <w:divBdr>
        <w:top w:val="none" w:sz="0" w:space="0" w:color="auto"/>
        <w:left w:val="none" w:sz="0" w:space="0" w:color="auto"/>
        <w:bottom w:val="none" w:sz="0" w:space="0" w:color="auto"/>
        <w:right w:val="none" w:sz="0" w:space="0" w:color="auto"/>
      </w:divBdr>
    </w:div>
    <w:div w:id="68844203">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5950319">
      <w:bodyDiv w:val="1"/>
      <w:marLeft w:val="0"/>
      <w:marRight w:val="0"/>
      <w:marTop w:val="0"/>
      <w:marBottom w:val="0"/>
      <w:divBdr>
        <w:top w:val="none" w:sz="0" w:space="0" w:color="auto"/>
        <w:left w:val="none" w:sz="0" w:space="0" w:color="auto"/>
        <w:bottom w:val="none" w:sz="0" w:space="0" w:color="auto"/>
        <w:right w:val="none" w:sz="0" w:space="0" w:color="auto"/>
      </w:divBdr>
    </w:div>
    <w:div w:id="102310380">
      <w:bodyDiv w:val="1"/>
      <w:marLeft w:val="0"/>
      <w:marRight w:val="0"/>
      <w:marTop w:val="0"/>
      <w:marBottom w:val="0"/>
      <w:divBdr>
        <w:top w:val="none" w:sz="0" w:space="0" w:color="auto"/>
        <w:left w:val="none" w:sz="0" w:space="0" w:color="auto"/>
        <w:bottom w:val="none" w:sz="0" w:space="0" w:color="auto"/>
        <w:right w:val="none" w:sz="0" w:space="0" w:color="auto"/>
      </w:divBdr>
      <w:divsChild>
        <w:div w:id="1729496512">
          <w:marLeft w:val="0"/>
          <w:marRight w:val="0"/>
          <w:marTop w:val="0"/>
          <w:marBottom w:val="0"/>
          <w:divBdr>
            <w:top w:val="none" w:sz="0" w:space="0" w:color="auto"/>
            <w:left w:val="none" w:sz="0" w:space="0" w:color="auto"/>
            <w:bottom w:val="none" w:sz="0" w:space="0" w:color="auto"/>
            <w:right w:val="none" w:sz="0" w:space="0" w:color="auto"/>
          </w:divBdr>
          <w:divsChild>
            <w:div w:id="1968464292">
              <w:marLeft w:val="0"/>
              <w:marRight w:val="0"/>
              <w:marTop w:val="0"/>
              <w:marBottom w:val="0"/>
              <w:divBdr>
                <w:top w:val="none" w:sz="0" w:space="0" w:color="auto"/>
                <w:left w:val="none" w:sz="0" w:space="0" w:color="auto"/>
                <w:bottom w:val="none" w:sz="0" w:space="0" w:color="auto"/>
                <w:right w:val="none" w:sz="0" w:space="0" w:color="auto"/>
              </w:divBdr>
            </w:div>
          </w:divsChild>
        </w:div>
        <w:div w:id="1853182161">
          <w:marLeft w:val="0"/>
          <w:marRight w:val="0"/>
          <w:marTop w:val="120"/>
          <w:marBottom w:val="0"/>
          <w:divBdr>
            <w:top w:val="none" w:sz="0" w:space="0" w:color="auto"/>
            <w:left w:val="none" w:sz="0" w:space="0" w:color="auto"/>
            <w:bottom w:val="none" w:sz="0" w:space="0" w:color="auto"/>
            <w:right w:val="none" w:sz="0" w:space="0" w:color="auto"/>
          </w:divBdr>
          <w:divsChild>
            <w:div w:id="59035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8878">
      <w:bodyDiv w:val="1"/>
      <w:marLeft w:val="0"/>
      <w:marRight w:val="0"/>
      <w:marTop w:val="0"/>
      <w:marBottom w:val="0"/>
      <w:divBdr>
        <w:top w:val="none" w:sz="0" w:space="0" w:color="auto"/>
        <w:left w:val="none" w:sz="0" w:space="0" w:color="auto"/>
        <w:bottom w:val="none" w:sz="0" w:space="0" w:color="auto"/>
        <w:right w:val="none" w:sz="0" w:space="0" w:color="auto"/>
      </w:divBdr>
    </w:div>
    <w:div w:id="141194478">
      <w:bodyDiv w:val="1"/>
      <w:marLeft w:val="0"/>
      <w:marRight w:val="0"/>
      <w:marTop w:val="0"/>
      <w:marBottom w:val="0"/>
      <w:divBdr>
        <w:top w:val="none" w:sz="0" w:space="0" w:color="auto"/>
        <w:left w:val="none" w:sz="0" w:space="0" w:color="auto"/>
        <w:bottom w:val="none" w:sz="0" w:space="0" w:color="auto"/>
        <w:right w:val="none" w:sz="0" w:space="0" w:color="auto"/>
      </w:divBdr>
    </w:div>
    <w:div w:id="166336764">
      <w:bodyDiv w:val="1"/>
      <w:marLeft w:val="0"/>
      <w:marRight w:val="0"/>
      <w:marTop w:val="0"/>
      <w:marBottom w:val="0"/>
      <w:divBdr>
        <w:top w:val="none" w:sz="0" w:space="0" w:color="auto"/>
        <w:left w:val="none" w:sz="0" w:space="0" w:color="auto"/>
        <w:bottom w:val="none" w:sz="0" w:space="0" w:color="auto"/>
        <w:right w:val="none" w:sz="0" w:space="0" w:color="auto"/>
      </w:divBdr>
      <w:divsChild>
        <w:div w:id="587348187">
          <w:marLeft w:val="0"/>
          <w:marRight w:val="0"/>
          <w:marTop w:val="0"/>
          <w:marBottom w:val="0"/>
          <w:divBdr>
            <w:top w:val="none" w:sz="0" w:space="0" w:color="auto"/>
            <w:left w:val="none" w:sz="0" w:space="0" w:color="auto"/>
            <w:bottom w:val="none" w:sz="0" w:space="0" w:color="auto"/>
            <w:right w:val="none" w:sz="0" w:space="0" w:color="auto"/>
          </w:divBdr>
        </w:div>
        <w:div w:id="854686728">
          <w:marLeft w:val="0"/>
          <w:marRight w:val="0"/>
          <w:marTop w:val="0"/>
          <w:marBottom w:val="0"/>
          <w:divBdr>
            <w:top w:val="none" w:sz="0" w:space="0" w:color="auto"/>
            <w:left w:val="none" w:sz="0" w:space="0" w:color="auto"/>
            <w:bottom w:val="none" w:sz="0" w:space="0" w:color="auto"/>
            <w:right w:val="none" w:sz="0" w:space="0" w:color="auto"/>
          </w:divBdr>
        </w:div>
        <w:div w:id="2005014136">
          <w:marLeft w:val="0"/>
          <w:marRight w:val="0"/>
          <w:marTop w:val="0"/>
          <w:marBottom w:val="0"/>
          <w:divBdr>
            <w:top w:val="none" w:sz="0" w:space="0" w:color="auto"/>
            <w:left w:val="none" w:sz="0" w:space="0" w:color="auto"/>
            <w:bottom w:val="none" w:sz="0" w:space="0" w:color="auto"/>
            <w:right w:val="none" w:sz="0" w:space="0" w:color="auto"/>
          </w:divBdr>
        </w:div>
      </w:divsChild>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90993073">
      <w:bodyDiv w:val="1"/>
      <w:marLeft w:val="0"/>
      <w:marRight w:val="0"/>
      <w:marTop w:val="0"/>
      <w:marBottom w:val="0"/>
      <w:divBdr>
        <w:top w:val="none" w:sz="0" w:space="0" w:color="auto"/>
        <w:left w:val="none" w:sz="0" w:space="0" w:color="auto"/>
        <w:bottom w:val="none" w:sz="0" w:space="0" w:color="auto"/>
        <w:right w:val="none" w:sz="0" w:space="0" w:color="auto"/>
      </w:divBdr>
    </w:div>
    <w:div w:id="203030893">
      <w:bodyDiv w:val="1"/>
      <w:marLeft w:val="0"/>
      <w:marRight w:val="0"/>
      <w:marTop w:val="0"/>
      <w:marBottom w:val="0"/>
      <w:divBdr>
        <w:top w:val="none" w:sz="0" w:space="0" w:color="auto"/>
        <w:left w:val="none" w:sz="0" w:space="0" w:color="auto"/>
        <w:bottom w:val="none" w:sz="0" w:space="0" w:color="auto"/>
        <w:right w:val="none" w:sz="0" w:space="0" w:color="auto"/>
      </w:divBdr>
    </w:div>
    <w:div w:id="203324463">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8910161">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97028227">
      <w:bodyDiv w:val="1"/>
      <w:marLeft w:val="0"/>
      <w:marRight w:val="0"/>
      <w:marTop w:val="0"/>
      <w:marBottom w:val="0"/>
      <w:divBdr>
        <w:top w:val="none" w:sz="0" w:space="0" w:color="auto"/>
        <w:left w:val="none" w:sz="0" w:space="0" w:color="auto"/>
        <w:bottom w:val="none" w:sz="0" w:space="0" w:color="auto"/>
        <w:right w:val="none" w:sz="0" w:space="0" w:color="auto"/>
      </w:divBdr>
    </w:div>
    <w:div w:id="335034988">
      <w:bodyDiv w:val="1"/>
      <w:marLeft w:val="0"/>
      <w:marRight w:val="0"/>
      <w:marTop w:val="0"/>
      <w:marBottom w:val="0"/>
      <w:divBdr>
        <w:top w:val="none" w:sz="0" w:space="0" w:color="auto"/>
        <w:left w:val="none" w:sz="0" w:space="0" w:color="auto"/>
        <w:bottom w:val="none" w:sz="0" w:space="0" w:color="auto"/>
        <w:right w:val="none" w:sz="0" w:space="0" w:color="auto"/>
      </w:divBdr>
      <w:divsChild>
        <w:div w:id="1375617587">
          <w:marLeft w:val="0"/>
          <w:marRight w:val="0"/>
          <w:marTop w:val="0"/>
          <w:marBottom w:val="0"/>
          <w:divBdr>
            <w:top w:val="none" w:sz="0" w:space="0" w:color="auto"/>
            <w:left w:val="none" w:sz="0" w:space="0" w:color="auto"/>
            <w:bottom w:val="none" w:sz="0" w:space="0" w:color="auto"/>
            <w:right w:val="none" w:sz="0" w:space="0" w:color="auto"/>
          </w:divBdr>
        </w:div>
        <w:div w:id="935407176">
          <w:marLeft w:val="0"/>
          <w:marRight w:val="0"/>
          <w:marTop w:val="0"/>
          <w:marBottom w:val="0"/>
          <w:divBdr>
            <w:top w:val="none" w:sz="0" w:space="0" w:color="auto"/>
            <w:left w:val="none" w:sz="0" w:space="0" w:color="auto"/>
            <w:bottom w:val="none" w:sz="0" w:space="0" w:color="auto"/>
            <w:right w:val="none" w:sz="0" w:space="0" w:color="auto"/>
          </w:divBdr>
        </w:div>
        <w:div w:id="403600714">
          <w:marLeft w:val="0"/>
          <w:marRight w:val="0"/>
          <w:marTop w:val="0"/>
          <w:marBottom w:val="0"/>
          <w:divBdr>
            <w:top w:val="none" w:sz="0" w:space="0" w:color="auto"/>
            <w:left w:val="none" w:sz="0" w:space="0" w:color="auto"/>
            <w:bottom w:val="none" w:sz="0" w:space="0" w:color="auto"/>
            <w:right w:val="none" w:sz="0" w:space="0" w:color="auto"/>
          </w:divBdr>
        </w:div>
        <w:div w:id="905533049">
          <w:marLeft w:val="0"/>
          <w:marRight w:val="0"/>
          <w:marTop w:val="0"/>
          <w:marBottom w:val="0"/>
          <w:divBdr>
            <w:top w:val="none" w:sz="0" w:space="0" w:color="auto"/>
            <w:left w:val="none" w:sz="0" w:space="0" w:color="auto"/>
            <w:bottom w:val="none" w:sz="0" w:space="0" w:color="auto"/>
            <w:right w:val="none" w:sz="0" w:space="0" w:color="auto"/>
          </w:divBdr>
        </w:div>
      </w:divsChild>
    </w:div>
    <w:div w:id="341590908">
      <w:bodyDiv w:val="1"/>
      <w:marLeft w:val="0"/>
      <w:marRight w:val="0"/>
      <w:marTop w:val="0"/>
      <w:marBottom w:val="0"/>
      <w:divBdr>
        <w:top w:val="none" w:sz="0" w:space="0" w:color="auto"/>
        <w:left w:val="none" w:sz="0" w:space="0" w:color="auto"/>
        <w:bottom w:val="none" w:sz="0" w:space="0" w:color="auto"/>
        <w:right w:val="none" w:sz="0" w:space="0" w:color="auto"/>
      </w:divBdr>
      <w:divsChild>
        <w:div w:id="366953804">
          <w:marLeft w:val="0"/>
          <w:marRight w:val="0"/>
          <w:marTop w:val="0"/>
          <w:marBottom w:val="0"/>
          <w:divBdr>
            <w:top w:val="none" w:sz="0" w:space="0" w:color="auto"/>
            <w:left w:val="none" w:sz="0" w:space="0" w:color="auto"/>
            <w:bottom w:val="none" w:sz="0" w:space="0" w:color="auto"/>
            <w:right w:val="none" w:sz="0" w:space="0" w:color="auto"/>
          </w:divBdr>
        </w:div>
        <w:div w:id="356124260">
          <w:marLeft w:val="0"/>
          <w:marRight w:val="0"/>
          <w:marTop w:val="0"/>
          <w:marBottom w:val="0"/>
          <w:divBdr>
            <w:top w:val="none" w:sz="0" w:space="0" w:color="auto"/>
            <w:left w:val="none" w:sz="0" w:space="0" w:color="auto"/>
            <w:bottom w:val="none" w:sz="0" w:space="0" w:color="auto"/>
            <w:right w:val="none" w:sz="0" w:space="0" w:color="auto"/>
          </w:divBdr>
        </w:div>
        <w:div w:id="557520594">
          <w:marLeft w:val="0"/>
          <w:marRight w:val="0"/>
          <w:marTop w:val="0"/>
          <w:marBottom w:val="0"/>
          <w:divBdr>
            <w:top w:val="none" w:sz="0" w:space="0" w:color="auto"/>
            <w:left w:val="none" w:sz="0" w:space="0" w:color="auto"/>
            <w:bottom w:val="none" w:sz="0" w:space="0" w:color="auto"/>
            <w:right w:val="none" w:sz="0" w:space="0" w:color="auto"/>
          </w:divBdr>
        </w:div>
      </w:divsChild>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63601056">
      <w:bodyDiv w:val="1"/>
      <w:marLeft w:val="0"/>
      <w:marRight w:val="0"/>
      <w:marTop w:val="0"/>
      <w:marBottom w:val="0"/>
      <w:divBdr>
        <w:top w:val="none" w:sz="0" w:space="0" w:color="auto"/>
        <w:left w:val="none" w:sz="0" w:space="0" w:color="auto"/>
        <w:bottom w:val="none" w:sz="0" w:space="0" w:color="auto"/>
        <w:right w:val="none" w:sz="0" w:space="0" w:color="auto"/>
      </w:divBdr>
    </w:div>
    <w:div w:id="382406544">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37717391">
      <w:bodyDiv w:val="1"/>
      <w:marLeft w:val="0"/>
      <w:marRight w:val="0"/>
      <w:marTop w:val="0"/>
      <w:marBottom w:val="0"/>
      <w:divBdr>
        <w:top w:val="none" w:sz="0" w:space="0" w:color="auto"/>
        <w:left w:val="none" w:sz="0" w:space="0" w:color="auto"/>
        <w:bottom w:val="none" w:sz="0" w:space="0" w:color="auto"/>
        <w:right w:val="none" w:sz="0" w:space="0" w:color="auto"/>
      </w:divBdr>
    </w:div>
    <w:div w:id="443575797">
      <w:bodyDiv w:val="1"/>
      <w:marLeft w:val="0"/>
      <w:marRight w:val="0"/>
      <w:marTop w:val="0"/>
      <w:marBottom w:val="0"/>
      <w:divBdr>
        <w:top w:val="none" w:sz="0" w:space="0" w:color="auto"/>
        <w:left w:val="none" w:sz="0" w:space="0" w:color="auto"/>
        <w:bottom w:val="none" w:sz="0" w:space="0" w:color="auto"/>
        <w:right w:val="none" w:sz="0" w:space="0" w:color="auto"/>
      </w:divBdr>
    </w:div>
    <w:div w:id="453253294">
      <w:bodyDiv w:val="1"/>
      <w:marLeft w:val="0"/>
      <w:marRight w:val="0"/>
      <w:marTop w:val="0"/>
      <w:marBottom w:val="0"/>
      <w:divBdr>
        <w:top w:val="none" w:sz="0" w:space="0" w:color="auto"/>
        <w:left w:val="none" w:sz="0" w:space="0" w:color="auto"/>
        <w:bottom w:val="none" w:sz="0" w:space="0" w:color="auto"/>
        <w:right w:val="none" w:sz="0" w:space="0" w:color="auto"/>
      </w:divBdr>
    </w:div>
    <w:div w:id="46342668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43643945">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8003555">
      <w:bodyDiv w:val="1"/>
      <w:marLeft w:val="0"/>
      <w:marRight w:val="0"/>
      <w:marTop w:val="0"/>
      <w:marBottom w:val="0"/>
      <w:divBdr>
        <w:top w:val="none" w:sz="0" w:space="0" w:color="auto"/>
        <w:left w:val="none" w:sz="0" w:space="0" w:color="auto"/>
        <w:bottom w:val="none" w:sz="0" w:space="0" w:color="auto"/>
        <w:right w:val="none" w:sz="0" w:space="0" w:color="auto"/>
      </w:divBdr>
    </w:div>
    <w:div w:id="613710828">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39531374">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70568218">
      <w:bodyDiv w:val="1"/>
      <w:marLeft w:val="0"/>
      <w:marRight w:val="0"/>
      <w:marTop w:val="0"/>
      <w:marBottom w:val="0"/>
      <w:divBdr>
        <w:top w:val="none" w:sz="0" w:space="0" w:color="auto"/>
        <w:left w:val="none" w:sz="0" w:space="0" w:color="auto"/>
        <w:bottom w:val="none" w:sz="0" w:space="0" w:color="auto"/>
        <w:right w:val="none" w:sz="0" w:space="0" w:color="auto"/>
      </w:divBdr>
      <w:divsChild>
        <w:div w:id="85227439">
          <w:marLeft w:val="0"/>
          <w:marRight w:val="0"/>
          <w:marTop w:val="0"/>
          <w:marBottom w:val="0"/>
          <w:divBdr>
            <w:top w:val="none" w:sz="0" w:space="0" w:color="auto"/>
            <w:left w:val="none" w:sz="0" w:space="0" w:color="auto"/>
            <w:bottom w:val="none" w:sz="0" w:space="0" w:color="auto"/>
            <w:right w:val="none" w:sz="0" w:space="0" w:color="auto"/>
          </w:divBdr>
        </w:div>
        <w:div w:id="647710696">
          <w:marLeft w:val="0"/>
          <w:marRight w:val="0"/>
          <w:marTop w:val="0"/>
          <w:marBottom w:val="0"/>
          <w:divBdr>
            <w:top w:val="none" w:sz="0" w:space="0" w:color="auto"/>
            <w:left w:val="none" w:sz="0" w:space="0" w:color="auto"/>
            <w:bottom w:val="none" w:sz="0" w:space="0" w:color="auto"/>
            <w:right w:val="none" w:sz="0" w:space="0" w:color="auto"/>
          </w:divBdr>
        </w:div>
      </w:divsChild>
    </w:div>
    <w:div w:id="688877900">
      <w:bodyDiv w:val="1"/>
      <w:marLeft w:val="0"/>
      <w:marRight w:val="0"/>
      <w:marTop w:val="0"/>
      <w:marBottom w:val="0"/>
      <w:divBdr>
        <w:top w:val="none" w:sz="0" w:space="0" w:color="auto"/>
        <w:left w:val="none" w:sz="0" w:space="0" w:color="auto"/>
        <w:bottom w:val="none" w:sz="0" w:space="0" w:color="auto"/>
        <w:right w:val="none" w:sz="0" w:space="0" w:color="auto"/>
      </w:divBdr>
      <w:divsChild>
        <w:div w:id="743138670">
          <w:marLeft w:val="0"/>
          <w:marRight w:val="0"/>
          <w:marTop w:val="0"/>
          <w:marBottom w:val="0"/>
          <w:divBdr>
            <w:top w:val="none" w:sz="0" w:space="0" w:color="auto"/>
            <w:left w:val="none" w:sz="0" w:space="0" w:color="auto"/>
            <w:bottom w:val="none" w:sz="0" w:space="0" w:color="auto"/>
            <w:right w:val="none" w:sz="0" w:space="0" w:color="auto"/>
          </w:divBdr>
        </w:div>
        <w:div w:id="1322735557">
          <w:marLeft w:val="0"/>
          <w:marRight w:val="0"/>
          <w:marTop w:val="0"/>
          <w:marBottom w:val="0"/>
          <w:divBdr>
            <w:top w:val="none" w:sz="0" w:space="0" w:color="auto"/>
            <w:left w:val="none" w:sz="0" w:space="0" w:color="auto"/>
            <w:bottom w:val="none" w:sz="0" w:space="0" w:color="auto"/>
            <w:right w:val="none" w:sz="0" w:space="0" w:color="auto"/>
          </w:divBdr>
        </w:div>
        <w:div w:id="823813829">
          <w:marLeft w:val="0"/>
          <w:marRight w:val="0"/>
          <w:marTop w:val="0"/>
          <w:marBottom w:val="0"/>
          <w:divBdr>
            <w:top w:val="none" w:sz="0" w:space="0" w:color="auto"/>
            <w:left w:val="none" w:sz="0" w:space="0" w:color="auto"/>
            <w:bottom w:val="none" w:sz="0" w:space="0" w:color="auto"/>
            <w:right w:val="none" w:sz="0" w:space="0" w:color="auto"/>
          </w:divBdr>
        </w:div>
      </w:divsChild>
    </w:div>
    <w:div w:id="706414905">
      <w:bodyDiv w:val="1"/>
      <w:marLeft w:val="0"/>
      <w:marRight w:val="0"/>
      <w:marTop w:val="0"/>
      <w:marBottom w:val="0"/>
      <w:divBdr>
        <w:top w:val="none" w:sz="0" w:space="0" w:color="auto"/>
        <w:left w:val="none" w:sz="0" w:space="0" w:color="auto"/>
        <w:bottom w:val="none" w:sz="0" w:space="0" w:color="auto"/>
        <w:right w:val="none" w:sz="0" w:space="0" w:color="auto"/>
      </w:divBdr>
    </w:div>
    <w:div w:id="712576727">
      <w:bodyDiv w:val="1"/>
      <w:marLeft w:val="0"/>
      <w:marRight w:val="0"/>
      <w:marTop w:val="0"/>
      <w:marBottom w:val="0"/>
      <w:divBdr>
        <w:top w:val="none" w:sz="0" w:space="0" w:color="auto"/>
        <w:left w:val="none" w:sz="0" w:space="0" w:color="auto"/>
        <w:bottom w:val="none" w:sz="0" w:space="0" w:color="auto"/>
        <w:right w:val="none" w:sz="0" w:space="0" w:color="auto"/>
      </w:divBdr>
    </w:div>
    <w:div w:id="712652927">
      <w:bodyDiv w:val="1"/>
      <w:marLeft w:val="0"/>
      <w:marRight w:val="0"/>
      <w:marTop w:val="0"/>
      <w:marBottom w:val="0"/>
      <w:divBdr>
        <w:top w:val="none" w:sz="0" w:space="0" w:color="auto"/>
        <w:left w:val="none" w:sz="0" w:space="0" w:color="auto"/>
        <w:bottom w:val="none" w:sz="0" w:space="0" w:color="auto"/>
        <w:right w:val="none" w:sz="0" w:space="0" w:color="auto"/>
      </w:divBdr>
    </w:div>
    <w:div w:id="724719849">
      <w:bodyDiv w:val="1"/>
      <w:marLeft w:val="0"/>
      <w:marRight w:val="0"/>
      <w:marTop w:val="0"/>
      <w:marBottom w:val="0"/>
      <w:divBdr>
        <w:top w:val="none" w:sz="0" w:space="0" w:color="auto"/>
        <w:left w:val="none" w:sz="0" w:space="0" w:color="auto"/>
        <w:bottom w:val="none" w:sz="0" w:space="0" w:color="auto"/>
        <w:right w:val="none" w:sz="0" w:space="0" w:color="auto"/>
      </w:divBdr>
      <w:divsChild>
        <w:div w:id="1918588258">
          <w:marLeft w:val="0"/>
          <w:marRight w:val="0"/>
          <w:marTop w:val="0"/>
          <w:marBottom w:val="0"/>
          <w:divBdr>
            <w:top w:val="none" w:sz="0" w:space="0" w:color="auto"/>
            <w:left w:val="none" w:sz="0" w:space="0" w:color="auto"/>
            <w:bottom w:val="none" w:sz="0" w:space="0" w:color="auto"/>
            <w:right w:val="none" w:sz="0" w:space="0" w:color="auto"/>
          </w:divBdr>
        </w:div>
        <w:div w:id="787819438">
          <w:marLeft w:val="0"/>
          <w:marRight w:val="0"/>
          <w:marTop w:val="0"/>
          <w:marBottom w:val="0"/>
          <w:divBdr>
            <w:top w:val="none" w:sz="0" w:space="0" w:color="auto"/>
            <w:left w:val="none" w:sz="0" w:space="0" w:color="auto"/>
            <w:bottom w:val="none" w:sz="0" w:space="0" w:color="auto"/>
            <w:right w:val="none" w:sz="0" w:space="0" w:color="auto"/>
          </w:divBdr>
        </w:div>
        <w:div w:id="1339966543">
          <w:marLeft w:val="0"/>
          <w:marRight w:val="0"/>
          <w:marTop w:val="0"/>
          <w:marBottom w:val="0"/>
          <w:divBdr>
            <w:top w:val="none" w:sz="0" w:space="0" w:color="auto"/>
            <w:left w:val="none" w:sz="0" w:space="0" w:color="auto"/>
            <w:bottom w:val="none" w:sz="0" w:space="0" w:color="auto"/>
            <w:right w:val="none" w:sz="0" w:space="0" w:color="auto"/>
          </w:divBdr>
        </w:div>
      </w:divsChild>
    </w:div>
    <w:div w:id="73224050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8695226">
      <w:bodyDiv w:val="1"/>
      <w:marLeft w:val="0"/>
      <w:marRight w:val="0"/>
      <w:marTop w:val="0"/>
      <w:marBottom w:val="0"/>
      <w:divBdr>
        <w:top w:val="none" w:sz="0" w:space="0" w:color="auto"/>
        <w:left w:val="none" w:sz="0" w:space="0" w:color="auto"/>
        <w:bottom w:val="none" w:sz="0" w:space="0" w:color="auto"/>
        <w:right w:val="none" w:sz="0" w:space="0" w:color="auto"/>
      </w:divBdr>
    </w:div>
    <w:div w:id="769813129">
      <w:bodyDiv w:val="1"/>
      <w:marLeft w:val="0"/>
      <w:marRight w:val="0"/>
      <w:marTop w:val="0"/>
      <w:marBottom w:val="0"/>
      <w:divBdr>
        <w:top w:val="none" w:sz="0" w:space="0" w:color="auto"/>
        <w:left w:val="none" w:sz="0" w:space="0" w:color="auto"/>
        <w:bottom w:val="none" w:sz="0" w:space="0" w:color="auto"/>
        <w:right w:val="none" w:sz="0" w:space="0" w:color="auto"/>
      </w:divBdr>
    </w:div>
    <w:div w:id="772432445">
      <w:bodyDiv w:val="1"/>
      <w:marLeft w:val="0"/>
      <w:marRight w:val="0"/>
      <w:marTop w:val="0"/>
      <w:marBottom w:val="0"/>
      <w:divBdr>
        <w:top w:val="none" w:sz="0" w:space="0" w:color="auto"/>
        <w:left w:val="none" w:sz="0" w:space="0" w:color="auto"/>
        <w:bottom w:val="none" w:sz="0" w:space="0" w:color="auto"/>
        <w:right w:val="none" w:sz="0" w:space="0" w:color="auto"/>
      </w:divBdr>
    </w:div>
    <w:div w:id="774208669">
      <w:bodyDiv w:val="1"/>
      <w:marLeft w:val="0"/>
      <w:marRight w:val="0"/>
      <w:marTop w:val="0"/>
      <w:marBottom w:val="0"/>
      <w:divBdr>
        <w:top w:val="none" w:sz="0" w:space="0" w:color="auto"/>
        <w:left w:val="none" w:sz="0" w:space="0" w:color="auto"/>
        <w:bottom w:val="none" w:sz="0" w:space="0" w:color="auto"/>
        <w:right w:val="none" w:sz="0" w:space="0" w:color="auto"/>
      </w:divBdr>
    </w:div>
    <w:div w:id="783578417">
      <w:bodyDiv w:val="1"/>
      <w:marLeft w:val="0"/>
      <w:marRight w:val="0"/>
      <w:marTop w:val="0"/>
      <w:marBottom w:val="0"/>
      <w:divBdr>
        <w:top w:val="none" w:sz="0" w:space="0" w:color="auto"/>
        <w:left w:val="none" w:sz="0" w:space="0" w:color="auto"/>
        <w:bottom w:val="none" w:sz="0" w:space="0" w:color="auto"/>
        <w:right w:val="none" w:sz="0" w:space="0" w:color="auto"/>
      </w:divBdr>
    </w:div>
    <w:div w:id="79417782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968599">
      <w:bodyDiv w:val="1"/>
      <w:marLeft w:val="0"/>
      <w:marRight w:val="0"/>
      <w:marTop w:val="0"/>
      <w:marBottom w:val="0"/>
      <w:divBdr>
        <w:top w:val="none" w:sz="0" w:space="0" w:color="auto"/>
        <w:left w:val="none" w:sz="0" w:space="0" w:color="auto"/>
        <w:bottom w:val="none" w:sz="0" w:space="0" w:color="auto"/>
        <w:right w:val="none" w:sz="0" w:space="0" w:color="auto"/>
      </w:divBdr>
    </w:div>
    <w:div w:id="842623960">
      <w:bodyDiv w:val="1"/>
      <w:marLeft w:val="0"/>
      <w:marRight w:val="0"/>
      <w:marTop w:val="0"/>
      <w:marBottom w:val="0"/>
      <w:divBdr>
        <w:top w:val="none" w:sz="0" w:space="0" w:color="auto"/>
        <w:left w:val="none" w:sz="0" w:space="0" w:color="auto"/>
        <w:bottom w:val="none" w:sz="0" w:space="0" w:color="auto"/>
        <w:right w:val="none" w:sz="0" w:space="0" w:color="auto"/>
      </w:divBdr>
    </w:div>
    <w:div w:id="877086262">
      <w:bodyDiv w:val="1"/>
      <w:marLeft w:val="0"/>
      <w:marRight w:val="0"/>
      <w:marTop w:val="0"/>
      <w:marBottom w:val="0"/>
      <w:divBdr>
        <w:top w:val="none" w:sz="0" w:space="0" w:color="auto"/>
        <w:left w:val="none" w:sz="0" w:space="0" w:color="auto"/>
        <w:bottom w:val="none" w:sz="0" w:space="0" w:color="auto"/>
        <w:right w:val="none" w:sz="0" w:space="0" w:color="auto"/>
      </w:divBdr>
    </w:div>
    <w:div w:id="877551509">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9988329">
      <w:bodyDiv w:val="1"/>
      <w:marLeft w:val="0"/>
      <w:marRight w:val="0"/>
      <w:marTop w:val="0"/>
      <w:marBottom w:val="0"/>
      <w:divBdr>
        <w:top w:val="none" w:sz="0" w:space="0" w:color="auto"/>
        <w:left w:val="none" w:sz="0" w:space="0" w:color="auto"/>
        <w:bottom w:val="none" w:sz="0" w:space="0" w:color="auto"/>
        <w:right w:val="none" w:sz="0" w:space="0" w:color="auto"/>
      </w:divBdr>
    </w:div>
    <w:div w:id="95436601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90523636">
      <w:bodyDiv w:val="1"/>
      <w:marLeft w:val="0"/>
      <w:marRight w:val="0"/>
      <w:marTop w:val="0"/>
      <w:marBottom w:val="0"/>
      <w:divBdr>
        <w:top w:val="none" w:sz="0" w:space="0" w:color="auto"/>
        <w:left w:val="none" w:sz="0" w:space="0" w:color="auto"/>
        <w:bottom w:val="none" w:sz="0" w:space="0" w:color="auto"/>
        <w:right w:val="none" w:sz="0" w:space="0" w:color="auto"/>
      </w:divBdr>
    </w:div>
    <w:div w:id="1024985646">
      <w:bodyDiv w:val="1"/>
      <w:marLeft w:val="0"/>
      <w:marRight w:val="0"/>
      <w:marTop w:val="0"/>
      <w:marBottom w:val="0"/>
      <w:divBdr>
        <w:top w:val="none" w:sz="0" w:space="0" w:color="auto"/>
        <w:left w:val="none" w:sz="0" w:space="0" w:color="auto"/>
        <w:bottom w:val="none" w:sz="0" w:space="0" w:color="auto"/>
        <w:right w:val="none" w:sz="0" w:space="0" w:color="auto"/>
      </w:divBdr>
    </w:div>
    <w:div w:id="1065294853">
      <w:bodyDiv w:val="1"/>
      <w:marLeft w:val="0"/>
      <w:marRight w:val="0"/>
      <w:marTop w:val="0"/>
      <w:marBottom w:val="0"/>
      <w:divBdr>
        <w:top w:val="none" w:sz="0" w:space="0" w:color="auto"/>
        <w:left w:val="none" w:sz="0" w:space="0" w:color="auto"/>
        <w:bottom w:val="none" w:sz="0" w:space="0" w:color="auto"/>
        <w:right w:val="none" w:sz="0" w:space="0" w:color="auto"/>
      </w:divBdr>
    </w:div>
    <w:div w:id="108476032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5262204">
      <w:bodyDiv w:val="1"/>
      <w:marLeft w:val="0"/>
      <w:marRight w:val="0"/>
      <w:marTop w:val="0"/>
      <w:marBottom w:val="0"/>
      <w:divBdr>
        <w:top w:val="none" w:sz="0" w:space="0" w:color="auto"/>
        <w:left w:val="none" w:sz="0" w:space="0" w:color="auto"/>
        <w:bottom w:val="none" w:sz="0" w:space="0" w:color="auto"/>
        <w:right w:val="none" w:sz="0" w:space="0" w:color="auto"/>
      </w:divBdr>
    </w:div>
    <w:div w:id="1182235182">
      <w:bodyDiv w:val="1"/>
      <w:marLeft w:val="0"/>
      <w:marRight w:val="0"/>
      <w:marTop w:val="0"/>
      <w:marBottom w:val="0"/>
      <w:divBdr>
        <w:top w:val="none" w:sz="0" w:space="0" w:color="auto"/>
        <w:left w:val="none" w:sz="0" w:space="0" w:color="auto"/>
        <w:bottom w:val="none" w:sz="0" w:space="0" w:color="auto"/>
        <w:right w:val="none" w:sz="0" w:space="0" w:color="auto"/>
      </w:divBdr>
      <w:divsChild>
        <w:div w:id="1571042432">
          <w:marLeft w:val="0"/>
          <w:marRight w:val="0"/>
          <w:marTop w:val="0"/>
          <w:marBottom w:val="0"/>
          <w:divBdr>
            <w:top w:val="none" w:sz="0" w:space="0" w:color="auto"/>
            <w:left w:val="none" w:sz="0" w:space="0" w:color="auto"/>
            <w:bottom w:val="none" w:sz="0" w:space="0" w:color="auto"/>
            <w:right w:val="none" w:sz="0" w:space="0" w:color="auto"/>
          </w:divBdr>
          <w:divsChild>
            <w:div w:id="1640065114">
              <w:marLeft w:val="0"/>
              <w:marRight w:val="0"/>
              <w:marTop w:val="0"/>
              <w:marBottom w:val="0"/>
              <w:divBdr>
                <w:top w:val="none" w:sz="0" w:space="0" w:color="auto"/>
                <w:left w:val="none" w:sz="0" w:space="0" w:color="auto"/>
                <w:bottom w:val="none" w:sz="0" w:space="0" w:color="auto"/>
                <w:right w:val="none" w:sz="0" w:space="0" w:color="auto"/>
              </w:divBdr>
            </w:div>
          </w:divsChild>
        </w:div>
        <w:div w:id="271860609">
          <w:marLeft w:val="0"/>
          <w:marRight w:val="0"/>
          <w:marTop w:val="120"/>
          <w:marBottom w:val="0"/>
          <w:divBdr>
            <w:top w:val="none" w:sz="0" w:space="0" w:color="auto"/>
            <w:left w:val="none" w:sz="0" w:space="0" w:color="auto"/>
            <w:bottom w:val="none" w:sz="0" w:space="0" w:color="auto"/>
            <w:right w:val="none" w:sz="0" w:space="0" w:color="auto"/>
          </w:divBdr>
          <w:divsChild>
            <w:div w:id="96412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214716">
      <w:bodyDiv w:val="1"/>
      <w:marLeft w:val="0"/>
      <w:marRight w:val="0"/>
      <w:marTop w:val="0"/>
      <w:marBottom w:val="0"/>
      <w:divBdr>
        <w:top w:val="none" w:sz="0" w:space="0" w:color="auto"/>
        <w:left w:val="none" w:sz="0" w:space="0" w:color="auto"/>
        <w:bottom w:val="none" w:sz="0" w:space="0" w:color="auto"/>
        <w:right w:val="none" w:sz="0" w:space="0" w:color="auto"/>
      </w:divBdr>
    </w:div>
    <w:div w:id="1224676557">
      <w:bodyDiv w:val="1"/>
      <w:marLeft w:val="0"/>
      <w:marRight w:val="0"/>
      <w:marTop w:val="0"/>
      <w:marBottom w:val="0"/>
      <w:divBdr>
        <w:top w:val="none" w:sz="0" w:space="0" w:color="auto"/>
        <w:left w:val="none" w:sz="0" w:space="0" w:color="auto"/>
        <w:bottom w:val="none" w:sz="0" w:space="0" w:color="auto"/>
        <w:right w:val="none" w:sz="0" w:space="0" w:color="auto"/>
      </w:divBdr>
      <w:divsChild>
        <w:div w:id="252471366">
          <w:marLeft w:val="0"/>
          <w:marRight w:val="0"/>
          <w:marTop w:val="0"/>
          <w:marBottom w:val="0"/>
          <w:divBdr>
            <w:top w:val="none" w:sz="0" w:space="0" w:color="auto"/>
            <w:left w:val="none" w:sz="0" w:space="0" w:color="auto"/>
            <w:bottom w:val="none" w:sz="0" w:space="0" w:color="auto"/>
            <w:right w:val="none" w:sz="0" w:space="0" w:color="auto"/>
          </w:divBdr>
        </w:div>
        <w:div w:id="1860502793">
          <w:marLeft w:val="0"/>
          <w:marRight w:val="0"/>
          <w:marTop w:val="0"/>
          <w:marBottom w:val="0"/>
          <w:divBdr>
            <w:top w:val="none" w:sz="0" w:space="0" w:color="auto"/>
            <w:left w:val="none" w:sz="0" w:space="0" w:color="auto"/>
            <w:bottom w:val="none" w:sz="0" w:space="0" w:color="auto"/>
            <w:right w:val="none" w:sz="0" w:space="0" w:color="auto"/>
          </w:divBdr>
        </w:div>
        <w:div w:id="680203027">
          <w:marLeft w:val="0"/>
          <w:marRight w:val="0"/>
          <w:marTop w:val="0"/>
          <w:marBottom w:val="0"/>
          <w:divBdr>
            <w:top w:val="none" w:sz="0" w:space="0" w:color="auto"/>
            <w:left w:val="none" w:sz="0" w:space="0" w:color="auto"/>
            <w:bottom w:val="none" w:sz="0" w:space="0" w:color="auto"/>
            <w:right w:val="none" w:sz="0" w:space="0" w:color="auto"/>
          </w:divBdr>
        </w:div>
      </w:divsChild>
    </w:div>
    <w:div w:id="1233933077">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2956739">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3165720">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91736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7581476">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0616136">
      <w:bodyDiv w:val="1"/>
      <w:marLeft w:val="0"/>
      <w:marRight w:val="0"/>
      <w:marTop w:val="0"/>
      <w:marBottom w:val="0"/>
      <w:divBdr>
        <w:top w:val="none" w:sz="0" w:space="0" w:color="auto"/>
        <w:left w:val="none" w:sz="0" w:space="0" w:color="auto"/>
        <w:bottom w:val="none" w:sz="0" w:space="0" w:color="auto"/>
        <w:right w:val="none" w:sz="0" w:space="0" w:color="auto"/>
      </w:divBdr>
    </w:div>
    <w:div w:id="1425032406">
      <w:bodyDiv w:val="1"/>
      <w:marLeft w:val="0"/>
      <w:marRight w:val="0"/>
      <w:marTop w:val="0"/>
      <w:marBottom w:val="0"/>
      <w:divBdr>
        <w:top w:val="none" w:sz="0" w:space="0" w:color="auto"/>
        <w:left w:val="none" w:sz="0" w:space="0" w:color="auto"/>
        <w:bottom w:val="none" w:sz="0" w:space="0" w:color="auto"/>
        <w:right w:val="none" w:sz="0" w:space="0" w:color="auto"/>
      </w:divBdr>
    </w:div>
    <w:div w:id="1436487343">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92789566">
      <w:bodyDiv w:val="1"/>
      <w:marLeft w:val="0"/>
      <w:marRight w:val="0"/>
      <w:marTop w:val="0"/>
      <w:marBottom w:val="0"/>
      <w:divBdr>
        <w:top w:val="none" w:sz="0" w:space="0" w:color="auto"/>
        <w:left w:val="none" w:sz="0" w:space="0" w:color="auto"/>
        <w:bottom w:val="none" w:sz="0" w:space="0" w:color="auto"/>
        <w:right w:val="none" w:sz="0" w:space="0" w:color="auto"/>
      </w:divBdr>
    </w:div>
    <w:div w:id="1500267739">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7349849">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9510000">
      <w:bodyDiv w:val="1"/>
      <w:marLeft w:val="0"/>
      <w:marRight w:val="0"/>
      <w:marTop w:val="0"/>
      <w:marBottom w:val="0"/>
      <w:divBdr>
        <w:top w:val="none" w:sz="0" w:space="0" w:color="auto"/>
        <w:left w:val="none" w:sz="0" w:space="0" w:color="auto"/>
        <w:bottom w:val="none" w:sz="0" w:space="0" w:color="auto"/>
        <w:right w:val="none" w:sz="0" w:space="0" w:color="auto"/>
      </w:divBdr>
    </w:div>
    <w:div w:id="1598366222">
      <w:bodyDiv w:val="1"/>
      <w:marLeft w:val="0"/>
      <w:marRight w:val="0"/>
      <w:marTop w:val="0"/>
      <w:marBottom w:val="0"/>
      <w:divBdr>
        <w:top w:val="none" w:sz="0" w:space="0" w:color="auto"/>
        <w:left w:val="none" w:sz="0" w:space="0" w:color="auto"/>
        <w:bottom w:val="none" w:sz="0" w:space="0" w:color="auto"/>
        <w:right w:val="none" w:sz="0" w:space="0" w:color="auto"/>
      </w:divBdr>
    </w:div>
    <w:div w:id="160877976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5474252">
      <w:bodyDiv w:val="1"/>
      <w:marLeft w:val="0"/>
      <w:marRight w:val="0"/>
      <w:marTop w:val="0"/>
      <w:marBottom w:val="0"/>
      <w:divBdr>
        <w:top w:val="none" w:sz="0" w:space="0" w:color="auto"/>
        <w:left w:val="none" w:sz="0" w:space="0" w:color="auto"/>
        <w:bottom w:val="none" w:sz="0" w:space="0" w:color="auto"/>
        <w:right w:val="none" w:sz="0" w:space="0" w:color="auto"/>
      </w:divBdr>
    </w:div>
    <w:div w:id="1682509213">
      <w:bodyDiv w:val="1"/>
      <w:marLeft w:val="0"/>
      <w:marRight w:val="0"/>
      <w:marTop w:val="0"/>
      <w:marBottom w:val="0"/>
      <w:divBdr>
        <w:top w:val="none" w:sz="0" w:space="0" w:color="auto"/>
        <w:left w:val="none" w:sz="0" w:space="0" w:color="auto"/>
        <w:bottom w:val="none" w:sz="0" w:space="0" w:color="auto"/>
        <w:right w:val="none" w:sz="0" w:space="0" w:color="auto"/>
      </w:divBdr>
      <w:divsChild>
        <w:div w:id="682122956">
          <w:marLeft w:val="0"/>
          <w:marRight w:val="0"/>
          <w:marTop w:val="0"/>
          <w:marBottom w:val="0"/>
          <w:divBdr>
            <w:top w:val="none" w:sz="0" w:space="0" w:color="auto"/>
            <w:left w:val="none" w:sz="0" w:space="0" w:color="auto"/>
            <w:bottom w:val="none" w:sz="0" w:space="0" w:color="auto"/>
            <w:right w:val="none" w:sz="0" w:space="0" w:color="auto"/>
          </w:divBdr>
        </w:div>
        <w:div w:id="1550220077">
          <w:marLeft w:val="0"/>
          <w:marRight w:val="0"/>
          <w:marTop w:val="0"/>
          <w:marBottom w:val="0"/>
          <w:divBdr>
            <w:top w:val="none" w:sz="0" w:space="0" w:color="auto"/>
            <w:left w:val="none" w:sz="0" w:space="0" w:color="auto"/>
            <w:bottom w:val="none" w:sz="0" w:space="0" w:color="auto"/>
            <w:right w:val="none" w:sz="0" w:space="0" w:color="auto"/>
          </w:divBdr>
        </w:div>
        <w:div w:id="186716773">
          <w:marLeft w:val="0"/>
          <w:marRight w:val="0"/>
          <w:marTop w:val="0"/>
          <w:marBottom w:val="0"/>
          <w:divBdr>
            <w:top w:val="none" w:sz="0" w:space="0" w:color="auto"/>
            <w:left w:val="none" w:sz="0" w:space="0" w:color="auto"/>
            <w:bottom w:val="none" w:sz="0" w:space="0" w:color="auto"/>
            <w:right w:val="none" w:sz="0" w:space="0" w:color="auto"/>
          </w:divBdr>
        </w:div>
        <w:div w:id="1191845199">
          <w:marLeft w:val="0"/>
          <w:marRight w:val="0"/>
          <w:marTop w:val="0"/>
          <w:marBottom w:val="0"/>
          <w:divBdr>
            <w:top w:val="none" w:sz="0" w:space="0" w:color="auto"/>
            <w:left w:val="none" w:sz="0" w:space="0" w:color="auto"/>
            <w:bottom w:val="none" w:sz="0" w:space="0" w:color="auto"/>
            <w:right w:val="none" w:sz="0" w:space="0" w:color="auto"/>
          </w:divBdr>
        </w:div>
      </w:divsChild>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0226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55012791">
      <w:bodyDiv w:val="1"/>
      <w:marLeft w:val="0"/>
      <w:marRight w:val="0"/>
      <w:marTop w:val="0"/>
      <w:marBottom w:val="0"/>
      <w:divBdr>
        <w:top w:val="none" w:sz="0" w:space="0" w:color="auto"/>
        <w:left w:val="none" w:sz="0" w:space="0" w:color="auto"/>
        <w:bottom w:val="none" w:sz="0" w:space="0" w:color="auto"/>
        <w:right w:val="none" w:sz="0" w:space="0" w:color="auto"/>
      </w:divBdr>
    </w:div>
    <w:div w:id="1773436539">
      <w:bodyDiv w:val="1"/>
      <w:marLeft w:val="0"/>
      <w:marRight w:val="0"/>
      <w:marTop w:val="0"/>
      <w:marBottom w:val="0"/>
      <w:divBdr>
        <w:top w:val="none" w:sz="0" w:space="0" w:color="auto"/>
        <w:left w:val="none" w:sz="0" w:space="0" w:color="auto"/>
        <w:bottom w:val="none" w:sz="0" w:space="0" w:color="auto"/>
        <w:right w:val="none" w:sz="0" w:space="0" w:color="auto"/>
      </w:divBdr>
    </w:div>
    <w:div w:id="1789351464">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14561359">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46743226">
      <w:bodyDiv w:val="1"/>
      <w:marLeft w:val="0"/>
      <w:marRight w:val="0"/>
      <w:marTop w:val="0"/>
      <w:marBottom w:val="0"/>
      <w:divBdr>
        <w:top w:val="none" w:sz="0" w:space="0" w:color="auto"/>
        <w:left w:val="none" w:sz="0" w:space="0" w:color="auto"/>
        <w:bottom w:val="none" w:sz="0" w:space="0" w:color="auto"/>
        <w:right w:val="none" w:sz="0" w:space="0" w:color="auto"/>
      </w:divBdr>
    </w:div>
    <w:div w:id="1854107922">
      <w:bodyDiv w:val="1"/>
      <w:marLeft w:val="0"/>
      <w:marRight w:val="0"/>
      <w:marTop w:val="0"/>
      <w:marBottom w:val="0"/>
      <w:divBdr>
        <w:top w:val="none" w:sz="0" w:space="0" w:color="auto"/>
        <w:left w:val="none" w:sz="0" w:space="0" w:color="auto"/>
        <w:bottom w:val="none" w:sz="0" w:space="0" w:color="auto"/>
        <w:right w:val="none" w:sz="0" w:space="0" w:color="auto"/>
      </w:divBdr>
    </w:div>
    <w:div w:id="1856536432">
      <w:bodyDiv w:val="1"/>
      <w:marLeft w:val="0"/>
      <w:marRight w:val="0"/>
      <w:marTop w:val="0"/>
      <w:marBottom w:val="0"/>
      <w:divBdr>
        <w:top w:val="none" w:sz="0" w:space="0" w:color="auto"/>
        <w:left w:val="none" w:sz="0" w:space="0" w:color="auto"/>
        <w:bottom w:val="none" w:sz="0" w:space="0" w:color="auto"/>
        <w:right w:val="none" w:sz="0" w:space="0" w:color="auto"/>
      </w:divBdr>
    </w:div>
    <w:div w:id="1878161219">
      <w:bodyDiv w:val="1"/>
      <w:marLeft w:val="0"/>
      <w:marRight w:val="0"/>
      <w:marTop w:val="0"/>
      <w:marBottom w:val="0"/>
      <w:divBdr>
        <w:top w:val="none" w:sz="0" w:space="0" w:color="auto"/>
        <w:left w:val="none" w:sz="0" w:space="0" w:color="auto"/>
        <w:bottom w:val="none" w:sz="0" w:space="0" w:color="auto"/>
        <w:right w:val="none" w:sz="0" w:space="0" w:color="auto"/>
      </w:divBdr>
    </w:div>
    <w:div w:id="1890070441">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2154089">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8535617">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27126596">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0834494">
      <w:bodyDiv w:val="1"/>
      <w:marLeft w:val="0"/>
      <w:marRight w:val="0"/>
      <w:marTop w:val="0"/>
      <w:marBottom w:val="0"/>
      <w:divBdr>
        <w:top w:val="none" w:sz="0" w:space="0" w:color="auto"/>
        <w:left w:val="none" w:sz="0" w:space="0" w:color="auto"/>
        <w:bottom w:val="none" w:sz="0" w:space="0" w:color="auto"/>
        <w:right w:val="none" w:sz="0" w:space="0" w:color="auto"/>
      </w:divBdr>
    </w:div>
    <w:div w:id="2054881643">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69260125">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6530588">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E3B9FF-0BDC-4B21-AC74-EEB278EAC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8203</Words>
  <Characters>45122</Characters>
  <Application>Microsoft Office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Celi Gs</cp:lastModifiedBy>
  <cp:revision>2</cp:revision>
  <cp:lastPrinted>2026-02-09T15:19:00Z</cp:lastPrinted>
  <dcterms:created xsi:type="dcterms:W3CDTF">2026-04-10T00:48:00Z</dcterms:created>
  <dcterms:modified xsi:type="dcterms:W3CDTF">2026-04-10T00:48:00Z</dcterms:modified>
</cp:coreProperties>
</file>