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395CE" w14:textId="4FE99A6D" w:rsidR="00DD4123" w:rsidRPr="00AE5EFF" w:rsidRDefault="00DD4123" w:rsidP="00DD4123">
      <w:pPr>
        <w:tabs>
          <w:tab w:val="left" w:pos="0"/>
        </w:tabs>
        <w:spacing w:line="360" w:lineRule="auto"/>
        <w:jc w:val="both"/>
        <w:rPr>
          <w:rFonts w:ascii="Palatino Linotype" w:eastAsia="Palatino Linotype" w:hAnsi="Palatino Linotype" w:cs="Palatino Linotype"/>
        </w:rPr>
      </w:pPr>
      <w:bookmarkStart w:id="0" w:name="_Toc90654863"/>
      <w:r w:rsidRPr="00AE5EFF">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w:t>
      </w:r>
      <w:r w:rsidR="00633679">
        <w:rPr>
          <w:rFonts w:ascii="Palatino Linotype" w:eastAsia="Palatino Linotype" w:hAnsi="Palatino Linotype" w:cs="Palatino Linotype"/>
        </w:rPr>
        <w:t xml:space="preserve"> Metepec, Estado de México; de fecha </w:t>
      </w:r>
      <w:r w:rsidR="00272348" w:rsidRPr="00AE5EFF">
        <w:rPr>
          <w:rFonts w:ascii="Palatino Linotype" w:eastAsia="Palatino Linotype" w:hAnsi="Palatino Linotype" w:cs="Palatino Linotype"/>
          <w:b/>
        </w:rPr>
        <w:t xml:space="preserve">diecisiete </w:t>
      </w:r>
      <w:r w:rsidR="00633679">
        <w:rPr>
          <w:rFonts w:ascii="Palatino Linotype" w:eastAsia="Palatino Linotype" w:hAnsi="Palatino Linotype" w:cs="Palatino Linotype"/>
          <w:b/>
        </w:rPr>
        <w:t xml:space="preserve">(17) </w:t>
      </w:r>
      <w:r w:rsidRPr="00AE5EFF">
        <w:rPr>
          <w:rFonts w:ascii="Palatino Linotype" w:eastAsia="Palatino Linotype" w:hAnsi="Palatino Linotype" w:cs="Palatino Linotype"/>
          <w:b/>
        </w:rPr>
        <w:t>de junio de dos mil veintiséis.</w:t>
      </w:r>
      <w:r w:rsidRPr="00AE5EFF">
        <w:rPr>
          <w:rFonts w:ascii="Palatino Linotype" w:eastAsia="Palatino Linotype" w:hAnsi="Palatino Linotype" w:cs="Palatino Linotype"/>
        </w:rPr>
        <w:t xml:space="preserve"> </w:t>
      </w:r>
    </w:p>
    <w:p w14:paraId="2106E42B" w14:textId="77777777" w:rsidR="00DD4123" w:rsidRPr="00AE5EFF" w:rsidRDefault="00DD4123" w:rsidP="00DD4123">
      <w:pPr>
        <w:tabs>
          <w:tab w:val="left" w:pos="0"/>
        </w:tabs>
        <w:spacing w:line="360" w:lineRule="auto"/>
        <w:jc w:val="both"/>
        <w:rPr>
          <w:rFonts w:ascii="Palatino Linotype" w:eastAsia="Palatino Linotype" w:hAnsi="Palatino Linotype" w:cs="Palatino Linotype"/>
        </w:rPr>
      </w:pPr>
    </w:p>
    <w:p w14:paraId="206C016B" w14:textId="175EE264" w:rsidR="00DD4123" w:rsidRPr="00AE5EFF" w:rsidRDefault="00DD4123" w:rsidP="00DD4123">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E5EFF">
        <w:rPr>
          <w:rFonts w:ascii="Palatino Linotype" w:eastAsia="Palatino Linotype" w:hAnsi="Palatino Linotype" w:cs="Palatino Linotype"/>
          <w:b/>
          <w:color w:val="000000"/>
        </w:rPr>
        <w:t>VISTO</w:t>
      </w:r>
      <w:r w:rsidRPr="00AE5EFF">
        <w:rPr>
          <w:rFonts w:ascii="Palatino Linotype" w:eastAsia="Palatino Linotype" w:hAnsi="Palatino Linotype" w:cs="Palatino Linotype"/>
          <w:color w:val="000000"/>
        </w:rPr>
        <w:t xml:space="preserve"> el expediente electrónico formado con motivo del recurso de revisión </w:t>
      </w:r>
      <w:r w:rsidRPr="00AE5EFF">
        <w:rPr>
          <w:rFonts w:ascii="Palatino Linotype" w:eastAsia="Palatino Linotype" w:hAnsi="Palatino Linotype" w:cs="Palatino Linotype"/>
          <w:b/>
          <w:color w:val="000000"/>
        </w:rPr>
        <w:t xml:space="preserve">05193/INFOEM/IP/RR/2026, </w:t>
      </w:r>
      <w:r w:rsidRPr="00AE5EFF">
        <w:rPr>
          <w:rFonts w:ascii="Palatino Linotype" w:eastAsia="Palatino Linotype" w:hAnsi="Palatino Linotype" w:cs="Palatino Linotype"/>
          <w:color w:val="000000"/>
        </w:rPr>
        <w:t xml:space="preserve">promovido por </w:t>
      </w:r>
      <w:r w:rsidR="00A76846">
        <w:rPr>
          <w:rFonts w:ascii="Palatino Linotype" w:eastAsia="Palatino Linotype" w:hAnsi="Palatino Linotype" w:cs="Palatino Linotype"/>
          <w:b/>
          <w:color w:val="000000"/>
        </w:rPr>
        <w:t>XXXX</w:t>
      </w:r>
      <w:r w:rsidRPr="00AE5EFF">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AE5EFF">
        <w:rPr>
          <w:rFonts w:ascii="Palatino Linotype" w:eastAsia="Palatino Linotype" w:hAnsi="Palatino Linotype" w:cs="Palatino Linotype"/>
          <w:b/>
          <w:color w:val="000000"/>
        </w:rPr>
        <w:t>EL RECURRENTE</w:t>
      </w:r>
      <w:r w:rsidRPr="00AE5EFF">
        <w:rPr>
          <w:rFonts w:ascii="Palatino Linotype" w:eastAsia="Palatino Linotype" w:hAnsi="Palatino Linotype" w:cs="Palatino Linotype"/>
          <w:color w:val="000000"/>
        </w:rPr>
        <w:t xml:space="preserve">, en contra de la respuesta del </w:t>
      </w:r>
      <w:r w:rsidRPr="00AE5EFF">
        <w:rPr>
          <w:rFonts w:ascii="Palatino Linotype" w:eastAsia="Palatino Linotype" w:hAnsi="Palatino Linotype" w:cs="Palatino Linotype"/>
          <w:b/>
          <w:color w:val="000000"/>
        </w:rPr>
        <w:t>Ayuntamiento de Teoloyucan</w:t>
      </w:r>
      <w:r w:rsidRPr="00AE5EFF">
        <w:rPr>
          <w:rFonts w:ascii="Palatino Linotype" w:eastAsia="Palatino Linotype" w:hAnsi="Palatino Linotype" w:cs="Palatino Linotype"/>
          <w:color w:val="000000"/>
        </w:rPr>
        <w:t xml:space="preserve">, en </w:t>
      </w:r>
      <w:r w:rsidR="00633679">
        <w:rPr>
          <w:rFonts w:ascii="Palatino Linotype" w:eastAsia="Palatino Linotype" w:hAnsi="Palatino Linotype" w:cs="Palatino Linotype"/>
          <w:color w:val="000000"/>
        </w:rPr>
        <w:t>adelante</w:t>
      </w:r>
      <w:r w:rsidRPr="00AE5EFF">
        <w:rPr>
          <w:rFonts w:ascii="Palatino Linotype" w:eastAsia="Palatino Linotype" w:hAnsi="Palatino Linotype" w:cs="Palatino Linotype"/>
          <w:color w:val="000000"/>
        </w:rPr>
        <w:t xml:space="preserve"> </w:t>
      </w:r>
      <w:r w:rsidRPr="00AE5EFF">
        <w:rPr>
          <w:rFonts w:ascii="Palatino Linotype" w:eastAsia="Palatino Linotype" w:hAnsi="Palatino Linotype" w:cs="Palatino Linotype"/>
          <w:b/>
          <w:color w:val="000000"/>
        </w:rPr>
        <w:t>EL SUJETO OBLIGADO</w:t>
      </w:r>
      <w:r w:rsidRPr="00AE5EFF">
        <w:rPr>
          <w:rFonts w:ascii="Palatino Linotype" w:eastAsia="Palatino Linotype" w:hAnsi="Palatino Linotype" w:cs="Palatino Linotype"/>
          <w:color w:val="000000"/>
        </w:rPr>
        <w:t>, se procede a dictar la presente resolución, con base en los siguientes:</w:t>
      </w:r>
    </w:p>
    <w:p w14:paraId="6A7F1765" w14:textId="77777777" w:rsidR="00DD4123" w:rsidRPr="00AE5EFF" w:rsidRDefault="00DD4123" w:rsidP="00DD4123">
      <w:pPr>
        <w:spacing w:line="360" w:lineRule="auto"/>
        <w:jc w:val="both"/>
        <w:rPr>
          <w:rFonts w:ascii="Palatino Linotype" w:eastAsia="Palatino Linotype" w:hAnsi="Palatino Linotype" w:cs="Palatino Linotype"/>
        </w:rPr>
      </w:pPr>
      <w:bookmarkStart w:id="1" w:name="_GoBack"/>
      <w:bookmarkEnd w:id="1"/>
    </w:p>
    <w:p w14:paraId="28B1805E" w14:textId="739DDF3C" w:rsidR="00DD4123" w:rsidRPr="00AE5EFF" w:rsidRDefault="00DD4123" w:rsidP="00DD4123">
      <w:pPr>
        <w:keepNext/>
        <w:keepLines/>
        <w:tabs>
          <w:tab w:val="left" w:pos="0"/>
        </w:tabs>
        <w:spacing w:line="360" w:lineRule="auto"/>
        <w:jc w:val="center"/>
        <w:rPr>
          <w:rFonts w:ascii="Palatino Linotype" w:eastAsia="Palatino Linotype" w:hAnsi="Palatino Linotype" w:cs="Palatino Linotype"/>
          <w:b/>
        </w:rPr>
      </w:pPr>
      <w:bookmarkStart w:id="2" w:name="_heading=h.1rxfmt2qer3l" w:colFirst="0" w:colLast="0"/>
      <w:bookmarkEnd w:id="2"/>
      <w:r w:rsidRPr="00AE5EFF">
        <w:rPr>
          <w:rFonts w:ascii="Palatino Linotype" w:eastAsia="Palatino Linotype" w:hAnsi="Palatino Linotype" w:cs="Palatino Linotype"/>
          <w:b/>
        </w:rPr>
        <w:t>A</w:t>
      </w:r>
      <w:r w:rsidR="00633679">
        <w:rPr>
          <w:rFonts w:ascii="Palatino Linotype" w:eastAsia="Palatino Linotype" w:hAnsi="Palatino Linotype" w:cs="Palatino Linotype"/>
          <w:b/>
        </w:rPr>
        <w:t xml:space="preserve"> </w:t>
      </w:r>
      <w:r w:rsidRPr="00AE5EFF">
        <w:rPr>
          <w:rFonts w:ascii="Palatino Linotype" w:eastAsia="Palatino Linotype" w:hAnsi="Palatino Linotype" w:cs="Palatino Linotype"/>
          <w:b/>
        </w:rPr>
        <w:t>N</w:t>
      </w:r>
      <w:r w:rsidR="00633679">
        <w:rPr>
          <w:rFonts w:ascii="Palatino Linotype" w:eastAsia="Palatino Linotype" w:hAnsi="Palatino Linotype" w:cs="Palatino Linotype"/>
          <w:b/>
        </w:rPr>
        <w:t xml:space="preserve"> </w:t>
      </w:r>
      <w:r w:rsidRPr="00AE5EFF">
        <w:rPr>
          <w:rFonts w:ascii="Palatino Linotype" w:eastAsia="Palatino Linotype" w:hAnsi="Palatino Linotype" w:cs="Palatino Linotype"/>
          <w:b/>
        </w:rPr>
        <w:t>T</w:t>
      </w:r>
      <w:r w:rsidR="00633679">
        <w:rPr>
          <w:rFonts w:ascii="Palatino Linotype" w:eastAsia="Palatino Linotype" w:hAnsi="Palatino Linotype" w:cs="Palatino Linotype"/>
          <w:b/>
        </w:rPr>
        <w:t xml:space="preserve"> </w:t>
      </w:r>
      <w:r w:rsidRPr="00AE5EFF">
        <w:rPr>
          <w:rFonts w:ascii="Palatino Linotype" w:eastAsia="Palatino Linotype" w:hAnsi="Palatino Linotype" w:cs="Palatino Linotype"/>
          <w:b/>
        </w:rPr>
        <w:t>E</w:t>
      </w:r>
      <w:r w:rsidR="00633679">
        <w:rPr>
          <w:rFonts w:ascii="Palatino Linotype" w:eastAsia="Palatino Linotype" w:hAnsi="Palatino Linotype" w:cs="Palatino Linotype"/>
          <w:b/>
        </w:rPr>
        <w:t xml:space="preserve"> </w:t>
      </w:r>
      <w:r w:rsidRPr="00AE5EFF">
        <w:rPr>
          <w:rFonts w:ascii="Palatino Linotype" w:eastAsia="Palatino Linotype" w:hAnsi="Palatino Linotype" w:cs="Palatino Linotype"/>
          <w:b/>
        </w:rPr>
        <w:t>C</w:t>
      </w:r>
      <w:r w:rsidR="00633679">
        <w:rPr>
          <w:rFonts w:ascii="Palatino Linotype" w:eastAsia="Palatino Linotype" w:hAnsi="Palatino Linotype" w:cs="Palatino Linotype"/>
          <w:b/>
        </w:rPr>
        <w:t xml:space="preserve"> </w:t>
      </w:r>
      <w:r w:rsidRPr="00AE5EFF">
        <w:rPr>
          <w:rFonts w:ascii="Palatino Linotype" w:eastAsia="Palatino Linotype" w:hAnsi="Palatino Linotype" w:cs="Palatino Linotype"/>
          <w:b/>
        </w:rPr>
        <w:t>E</w:t>
      </w:r>
      <w:r w:rsidR="00633679">
        <w:rPr>
          <w:rFonts w:ascii="Palatino Linotype" w:eastAsia="Palatino Linotype" w:hAnsi="Palatino Linotype" w:cs="Palatino Linotype"/>
          <w:b/>
        </w:rPr>
        <w:t xml:space="preserve"> </w:t>
      </w:r>
      <w:r w:rsidRPr="00AE5EFF">
        <w:rPr>
          <w:rFonts w:ascii="Palatino Linotype" w:eastAsia="Palatino Linotype" w:hAnsi="Palatino Linotype" w:cs="Palatino Linotype"/>
          <w:b/>
        </w:rPr>
        <w:t>D</w:t>
      </w:r>
      <w:r w:rsidR="00633679">
        <w:rPr>
          <w:rFonts w:ascii="Palatino Linotype" w:eastAsia="Palatino Linotype" w:hAnsi="Palatino Linotype" w:cs="Palatino Linotype"/>
          <w:b/>
        </w:rPr>
        <w:t xml:space="preserve"> </w:t>
      </w:r>
      <w:r w:rsidRPr="00AE5EFF">
        <w:rPr>
          <w:rFonts w:ascii="Palatino Linotype" w:eastAsia="Palatino Linotype" w:hAnsi="Palatino Linotype" w:cs="Palatino Linotype"/>
          <w:b/>
        </w:rPr>
        <w:t>E</w:t>
      </w:r>
      <w:r w:rsidR="00633679">
        <w:rPr>
          <w:rFonts w:ascii="Palatino Linotype" w:eastAsia="Palatino Linotype" w:hAnsi="Palatino Linotype" w:cs="Palatino Linotype"/>
          <w:b/>
        </w:rPr>
        <w:t xml:space="preserve"> </w:t>
      </w:r>
      <w:r w:rsidRPr="00AE5EFF">
        <w:rPr>
          <w:rFonts w:ascii="Palatino Linotype" w:eastAsia="Palatino Linotype" w:hAnsi="Palatino Linotype" w:cs="Palatino Linotype"/>
          <w:b/>
        </w:rPr>
        <w:t>N</w:t>
      </w:r>
      <w:r w:rsidR="00633679">
        <w:rPr>
          <w:rFonts w:ascii="Palatino Linotype" w:eastAsia="Palatino Linotype" w:hAnsi="Palatino Linotype" w:cs="Palatino Linotype"/>
          <w:b/>
        </w:rPr>
        <w:t xml:space="preserve"> </w:t>
      </w:r>
      <w:r w:rsidRPr="00AE5EFF">
        <w:rPr>
          <w:rFonts w:ascii="Palatino Linotype" w:eastAsia="Palatino Linotype" w:hAnsi="Palatino Linotype" w:cs="Palatino Linotype"/>
          <w:b/>
        </w:rPr>
        <w:t>T</w:t>
      </w:r>
      <w:r w:rsidR="00633679">
        <w:rPr>
          <w:rFonts w:ascii="Palatino Linotype" w:eastAsia="Palatino Linotype" w:hAnsi="Palatino Linotype" w:cs="Palatino Linotype"/>
          <w:b/>
        </w:rPr>
        <w:t xml:space="preserve"> </w:t>
      </w:r>
      <w:r w:rsidRPr="00AE5EFF">
        <w:rPr>
          <w:rFonts w:ascii="Palatino Linotype" w:eastAsia="Palatino Linotype" w:hAnsi="Palatino Linotype" w:cs="Palatino Linotype"/>
          <w:b/>
        </w:rPr>
        <w:t>E</w:t>
      </w:r>
      <w:r w:rsidR="00633679">
        <w:rPr>
          <w:rFonts w:ascii="Palatino Linotype" w:eastAsia="Palatino Linotype" w:hAnsi="Palatino Linotype" w:cs="Palatino Linotype"/>
          <w:b/>
        </w:rPr>
        <w:t xml:space="preserve"> </w:t>
      </w:r>
      <w:r w:rsidRPr="00AE5EFF">
        <w:rPr>
          <w:rFonts w:ascii="Palatino Linotype" w:eastAsia="Palatino Linotype" w:hAnsi="Palatino Linotype" w:cs="Palatino Linotype"/>
          <w:b/>
        </w:rPr>
        <w:t>S</w:t>
      </w:r>
      <w:r w:rsidR="00633679">
        <w:rPr>
          <w:rFonts w:ascii="Palatino Linotype" w:eastAsia="Palatino Linotype" w:hAnsi="Palatino Linotype" w:cs="Palatino Linotype"/>
          <w:b/>
        </w:rPr>
        <w:t xml:space="preserve"> </w:t>
      </w:r>
    </w:p>
    <w:p w14:paraId="3C966799" w14:textId="77777777" w:rsidR="00DD4123" w:rsidRPr="00AE5EFF" w:rsidRDefault="00DD4123" w:rsidP="00DD4123">
      <w:pPr>
        <w:keepNext/>
        <w:keepLines/>
        <w:tabs>
          <w:tab w:val="left" w:pos="0"/>
        </w:tabs>
        <w:spacing w:line="360" w:lineRule="auto"/>
        <w:jc w:val="center"/>
        <w:rPr>
          <w:rFonts w:ascii="Palatino Linotype" w:eastAsia="Palatino Linotype" w:hAnsi="Palatino Linotype" w:cs="Palatino Linotype"/>
          <w:b/>
        </w:rPr>
      </w:pPr>
    </w:p>
    <w:p w14:paraId="71111D10" w14:textId="77777777" w:rsidR="00DD4123" w:rsidRPr="00AE5EFF" w:rsidRDefault="00DD4123" w:rsidP="00DD4123">
      <w:pPr>
        <w:numPr>
          <w:ilvl w:val="0"/>
          <w:numId w:val="37"/>
        </w:numPr>
        <w:tabs>
          <w:tab w:val="left" w:pos="0"/>
        </w:tabs>
        <w:spacing w:line="360" w:lineRule="auto"/>
        <w:ind w:left="0" w:firstLine="0"/>
        <w:jc w:val="both"/>
        <w:rPr>
          <w:rFonts w:ascii="Palatino Linotype" w:eastAsia="Palatino Linotype" w:hAnsi="Palatino Linotype" w:cs="Palatino Linotype"/>
        </w:rPr>
      </w:pPr>
      <w:r w:rsidRPr="00AE5EFF">
        <w:rPr>
          <w:rFonts w:ascii="Palatino Linotype" w:eastAsia="Palatino Linotype" w:hAnsi="Palatino Linotype" w:cs="Palatino Linotype"/>
        </w:rPr>
        <w:t xml:space="preserve">El </w:t>
      </w:r>
      <w:r w:rsidRPr="00AE5EFF">
        <w:rPr>
          <w:rFonts w:ascii="Palatino Linotype" w:eastAsia="Palatino Linotype" w:hAnsi="Palatino Linotype" w:cs="Palatino Linotype"/>
          <w:b/>
        </w:rPr>
        <w:t>veintitrés de abril de dos mil veintiséis</w:t>
      </w:r>
      <w:r w:rsidRPr="00AE5EFF">
        <w:rPr>
          <w:rFonts w:ascii="Palatino Linotype" w:eastAsia="Palatino Linotype" w:hAnsi="Palatino Linotype" w:cs="Palatino Linotype"/>
        </w:rPr>
        <w:t>, el</w:t>
      </w:r>
      <w:r w:rsidRPr="00AE5EFF">
        <w:rPr>
          <w:rFonts w:ascii="Palatino Linotype" w:eastAsia="Palatino Linotype" w:hAnsi="Palatino Linotype" w:cs="Palatino Linotype"/>
          <w:b/>
        </w:rPr>
        <w:t xml:space="preserve"> </w:t>
      </w:r>
      <w:r w:rsidRPr="00AE5EFF">
        <w:rPr>
          <w:rFonts w:ascii="Palatino Linotype" w:eastAsia="Palatino Linotype" w:hAnsi="Palatino Linotype" w:cs="Palatino Linotype"/>
        </w:rPr>
        <w:t>solicitante</w:t>
      </w:r>
      <w:r w:rsidRPr="00AE5EFF">
        <w:rPr>
          <w:rFonts w:ascii="Palatino Linotype" w:eastAsia="Palatino Linotype" w:hAnsi="Palatino Linotype" w:cs="Palatino Linotype"/>
          <w:b/>
        </w:rPr>
        <w:t xml:space="preserve"> </w:t>
      </w:r>
      <w:r w:rsidRPr="00AE5EFF">
        <w:rPr>
          <w:rFonts w:ascii="Palatino Linotype" w:eastAsia="Palatino Linotype" w:hAnsi="Palatino Linotype" w:cs="Palatino Linotype"/>
        </w:rPr>
        <w:t>presentó</w:t>
      </w:r>
      <w:r w:rsidRPr="00AE5EFF">
        <w:rPr>
          <w:rFonts w:ascii="Palatino Linotype" w:eastAsia="Palatino Linotype" w:hAnsi="Palatino Linotype" w:cs="Palatino Linotype"/>
          <w:b/>
        </w:rPr>
        <w:t xml:space="preserve"> </w:t>
      </w:r>
      <w:r w:rsidRPr="00AE5EFF">
        <w:rPr>
          <w:rFonts w:ascii="Palatino Linotype" w:eastAsia="Palatino Linotype" w:hAnsi="Palatino Linotype" w:cs="Palatino Linotype"/>
        </w:rPr>
        <w:t xml:space="preserve">ante el </w:t>
      </w:r>
      <w:r w:rsidRPr="00AE5EFF">
        <w:rPr>
          <w:rFonts w:ascii="Palatino Linotype" w:eastAsia="Palatino Linotype" w:hAnsi="Palatino Linotype" w:cs="Palatino Linotype"/>
          <w:b/>
        </w:rPr>
        <w:t>SUJETO OBLIGADO,</w:t>
      </w:r>
      <w:r w:rsidRPr="00AE5EFF">
        <w:rPr>
          <w:rFonts w:ascii="Palatino Linotype" w:eastAsia="Palatino Linotype" w:hAnsi="Palatino Linotype" w:cs="Palatino Linotype"/>
        </w:rPr>
        <w:t xml:space="preserve"> a través del Sistema de Acceso a la Información Mexiquense (SAIMEX), la solicitud de información pública registrada con el número </w:t>
      </w:r>
      <w:r w:rsidRPr="00AE5EFF">
        <w:rPr>
          <w:rFonts w:ascii="Palatino Linotype" w:eastAsia="Palatino Linotype" w:hAnsi="Palatino Linotype" w:cs="Palatino Linotype"/>
          <w:b/>
        </w:rPr>
        <w:t>00047/TEOLOYU/IP/2026</w:t>
      </w:r>
      <w:r w:rsidRPr="00AE5EFF">
        <w:rPr>
          <w:rFonts w:ascii="Palatino Linotype" w:eastAsia="Palatino Linotype" w:hAnsi="Palatino Linotype" w:cs="Palatino Linotype"/>
        </w:rPr>
        <w:t>, mediante la cual se solicitó:</w:t>
      </w:r>
    </w:p>
    <w:p w14:paraId="3894EFC4" w14:textId="77777777" w:rsidR="00DD4123" w:rsidRPr="00AE5EFF" w:rsidRDefault="00DD4123" w:rsidP="00DD4123">
      <w:pPr>
        <w:pBdr>
          <w:top w:val="nil"/>
          <w:left w:val="nil"/>
          <w:bottom w:val="nil"/>
          <w:right w:val="nil"/>
          <w:between w:val="nil"/>
        </w:pBdr>
        <w:ind w:left="567" w:right="567"/>
        <w:jc w:val="both"/>
        <w:rPr>
          <w:rFonts w:ascii="Palatino Linotype" w:eastAsia="Palatino Linotype" w:hAnsi="Palatino Linotype" w:cs="Palatino Linotype"/>
          <w:b/>
          <w:i/>
        </w:rPr>
      </w:pPr>
    </w:p>
    <w:p w14:paraId="44BEFCE8" w14:textId="77777777" w:rsidR="00DD4123" w:rsidRPr="00AE5EFF" w:rsidRDefault="00DD4123" w:rsidP="00DD4123">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AE5EFF">
        <w:rPr>
          <w:rFonts w:ascii="Palatino Linotype" w:eastAsia="Palatino Linotype" w:hAnsi="Palatino Linotype" w:cs="Palatino Linotype"/>
          <w:i/>
          <w:color w:val="000000"/>
        </w:rPr>
        <w:t>“Solicito como es la convocatoria para la selección de los jueces cívicos, cuáles son los requisitos que se requieren para poder ocupar estos cargos, que grados de estudios se necesitan para ser juez cívico”. (Sic.)</w:t>
      </w:r>
    </w:p>
    <w:p w14:paraId="6DF92DCA" w14:textId="77777777" w:rsidR="00DD4123" w:rsidRPr="00AE5EFF" w:rsidRDefault="00DD4123" w:rsidP="00DD4123">
      <w:pPr>
        <w:tabs>
          <w:tab w:val="left" w:pos="0"/>
        </w:tabs>
        <w:spacing w:line="360" w:lineRule="auto"/>
        <w:ind w:right="49"/>
        <w:jc w:val="both"/>
        <w:rPr>
          <w:rFonts w:ascii="Palatino Linotype" w:eastAsia="Palatino Linotype" w:hAnsi="Palatino Linotype" w:cs="Palatino Linotype"/>
        </w:rPr>
      </w:pPr>
    </w:p>
    <w:p w14:paraId="0B5E929A" w14:textId="77777777" w:rsidR="00DD4123" w:rsidRPr="00AE5EFF" w:rsidRDefault="00DD4123" w:rsidP="00DD4123">
      <w:pPr>
        <w:numPr>
          <w:ilvl w:val="0"/>
          <w:numId w:val="37"/>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AE5EFF">
        <w:rPr>
          <w:rFonts w:ascii="Palatino Linotype" w:eastAsia="Palatino Linotype" w:hAnsi="Palatino Linotype" w:cs="Palatino Linotype"/>
          <w:color w:val="000000"/>
        </w:rPr>
        <w:t>Se hace constar que se señaló como modalidad de entrega de la información a través de SAIMEX.</w:t>
      </w:r>
    </w:p>
    <w:p w14:paraId="462AC6EE" w14:textId="77777777" w:rsidR="00DD4123" w:rsidRPr="00AE5EFF" w:rsidRDefault="00DD4123" w:rsidP="00DD4123">
      <w:pPr>
        <w:rPr>
          <w:rFonts w:ascii="Palatino Linotype" w:eastAsia="Palatino Linotype" w:hAnsi="Palatino Linotype" w:cs="Palatino Linotype"/>
        </w:rPr>
      </w:pPr>
    </w:p>
    <w:p w14:paraId="721E8002" w14:textId="77777777" w:rsidR="00DD4123" w:rsidRPr="00AE5EFF" w:rsidRDefault="00DD4123" w:rsidP="00DD4123">
      <w:pPr>
        <w:numPr>
          <w:ilvl w:val="0"/>
          <w:numId w:val="37"/>
        </w:numPr>
        <w:tabs>
          <w:tab w:val="left" w:pos="0"/>
        </w:tabs>
        <w:spacing w:line="360" w:lineRule="auto"/>
        <w:ind w:left="0" w:right="34" w:firstLine="0"/>
        <w:jc w:val="both"/>
        <w:rPr>
          <w:rFonts w:ascii="Palatino Linotype" w:eastAsia="Palatino Linotype" w:hAnsi="Palatino Linotype" w:cs="Palatino Linotype"/>
        </w:rPr>
      </w:pPr>
      <w:r w:rsidRPr="00AE5EFF">
        <w:rPr>
          <w:rFonts w:ascii="Palatino Linotype" w:eastAsia="Palatino Linotype" w:hAnsi="Palatino Linotype" w:cs="Palatino Linotype"/>
        </w:rPr>
        <w:t xml:space="preserve">El </w:t>
      </w:r>
      <w:r w:rsidRPr="00AE5EFF">
        <w:rPr>
          <w:rFonts w:ascii="Palatino Linotype" w:eastAsia="Palatino Linotype" w:hAnsi="Palatino Linotype" w:cs="Palatino Linotype"/>
          <w:b/>
        </w:rPr>
        <w:t>veinticuatro de abril de dos mil veintiséis</w:t>
      </w:r>
      <w:r w:rsidRPr="00AE5EFF">
        <w:rPr>
          <w:rFonts w:ascii="Palatino Linotype" w:eastAsia="Palatino Linotype" w:hAnsi="Palatino Linotype" w:cs="Palatino Linotype"/>
        </w:rPr>
        <w:t>, el Sujeto Obligado dio respuesta a la solicitud de información en el siguiente sentido:</w:t>
      </w:r>
    </w:p>
    <w:p w14:paraId="1721CDFB" w14:textId="77777777" w:rsidR="00DD4123" w:rsidRPr="00AE5EFF" w:rsidRDefault="00DD4123" w:rsidP="00DD4123">
      <w:pPr>
        <w:ind w:left="567" w:right="567"/>
        <w:jc w:val="both"/>
        <w:rPr>
          <w:rFonts w:ascii="Palatino Linotype" w:eastAsia="Palatino Linotype" w:hAnsi="Palatino Linotype" w:cs="Palatino Linotype"/>
          <w:i/>
        </w:rPr>
      </w:pPr>
      <w:r w:rsidRPr="00AE5EFF">
        <w:rPr>
          <w:rFonts w:ascii="Palatino Linotype" w:eastAsia="Palatino Linotype" w:hAnsi="Palatino Linotype" w:cs="Palatino Linotype"/>
          <w:i/>
        </w:rPr>
        <w:lastRenderedPageBreak/>
        <w:t>“Con fundamento en lo dispuesto por los artículos 12 segundo párrafo, 24 último párrafo, 91, 161, 166 y 178 de la Ley de Transparencia y Acceso a la Información Pública del Estado de México y Municipios, se pone a disposición del solicitante la respuesta a su solicitud.”(Sic)</w:t>
      </w:r>
    </w:p>
    <w:p w14:paraId="06E7D667" w14:textId="77777777" w:rsidR="00DD4123" w:rsidRPr="00AE5EFF" w:rsidRDefault="00DD4123" w:rsidP="00DD4123">
      <w:pPr>
        <w:ind w:left="567" w:right="567"/>
        <w:jc w:val="both"/>
        <w:rPr>
          <w:rFonts w:ascii="Palatino Linotype" w:eastAsia="Palatino Linotype" w:hAnsi="Palatino Linotype" w:cs="Palatino Linotype"/>
          <w:i/>
        </w:rPr>
      </w:pPr>
    </w:p>
    <w:p w14:paraId="0718D416" w14:textId="77777777" w:rsidR="00DD4123" w:rsidRPr="00AE5EFF" w:rsidRDefault="00DD4123" w:rsidP="00DD4123">
      <w:pPr>
        <w:pBdr>
          <w:top w:val="nil"/>
          <w:left w:val="nil"/>
          <w:bottom w:val="nil"/>
          <w:right w:val="nil"/>
          <w:between w:val="nil"/>
        </w:pBdr>
        <w:spacing w:line="360" w:lineRule="auto"/>
        <w:ind w:left="567" w:right="539"/>
        <w:jc w:val="both"/>
        <w:rPr>
          <w:rFonts w:ascii="Palatino Linotype" w:eastAsia="Palatino Linotype" w:hAnsi="Palatino Linotype" w:cs="Palatino Linotype"/>
          <w:color w:val="000000"/>
        </w:rPr>
      </w:pPr>
      <w:bookmarkStart w:id="3" w:name="_heading=h.fd9nrwokjrg5" w:colFirst="0" w:colLast="0"/>
      <w:bookmarkEnd w:id="3"/>
      <w:r w:rsidRPr="00AE5EFF">
        <w:rPr>
          <w:rFonts w:ascii="Palatino Linotype" w:eastAsia="Palatino Linotype" w:hAnsi="Palatino Linotype" w:cs="Palatino Linotype"/>
          <w:color w:val="000000"/>
        </w:rPr>
        <w:t xml:space="preserve">A la respuesta adjunto el documento denominado </w:t>
      </w:r>
      <w:r w:rsidRPr="00AE5EFF">
        <w:rPr>
          <w:rFonts w:ascii="Palatino Linotype" w:eastAsia="Palatino Linotype" w:hAnsi="Palatino Linotype" w:cs="Palatino Linotype"/>
          <w:b/>
          <w:color w:val="000000"/>
        </w:rPr>
        <w:t xml:space="preserve">Oficio 0151.2026 Respuesta integradora 00047.TEOLOYU.IP.2026.pdf: </w:t>
      </w:r>
      <w:r w:rsidRPr="00AE5EFF">
        <w:rPr>
          <w:rFonts w:ascii="Palatino Linotype" w:eastAsia="Palatino Linotype" w:hAnsi="Palatino Linotype" w:cs="Palatino Linotype"/>
          <w:color w:val="000000"/>
        </w:rPr>
        <w:t xml:space="preserve">del que se desprende el oficio de fecha veinticuatro de abril de dos mil veintiséis, suscrito por la Titular de la Unidad de Transparencia, a través del cual informa que la designación de Juez Cívico se realiza mediante convocatoria pública y acuerdo del H. Ayuntamiento, esto de conformidad con la Ley de Justicia Cívica del Estado de México y sus Municipios, la Ley Orgánica Municipal del Estado de México y el Bando Municipal, precisando que el Ayuntamiento aprobó en Sesión Ordinaria de Cabildo la Convocatoria para integrar el Juzgado Cívico, mediante el Acuerdo  43-ORD/27-11-25/ACUERDO-03,, convocatoria que se encuentra disponible para su consulta a través del link de acceso </w:t>
      </w:r>
      <w:r w:rsidRPr="00AE5EFF">
        <w:rPr>
          <w:rFonts w:ascii="Palatino Linotype" w:hAnsi="Palatino Linotype" w:cs="Arial"/>
          <w:color w:val="467986"/>
        </w:rPr>
        <w:t xml:space="preserve">https://teoloyucan.gob.mx/wp-content/uploads/2025/12/Gaceta-No.-56-CUADRAGESIMATERCERA-ORD-27-11-25.pdf#page=7, </w:t>
      </w:r>
      <w:r w:rsidRPr="00AE5EFF">
        <w:rPr>
          <w:rFonts w:ascii="Palatino Linotype" w:eastAsia="Palatino Linotype" w:hAnsi="Palatino Linotype" w:cs="Palatino Linotype"/>
          <w:color w:val="000000"/>
        </w:rPr>
        <w:t>en donde encontrará todo lo relativo a los plazos de la convocatoria, requisitos, proceso de selección y designación, y en general las bases para la selección de dicho cargo.</w:t>
      </w:r>
    </w:p>
    <w:p w14:paraId="5E8CF8FA" w14:textId="77777777" w:rsidR="00DD4123" w:rsidRPr="00AE5EFF" w:rsidRDefault="00DD4123" w:rsidP="00DD4123">
      <w:pPr>
        <w:pBdr>
          <w:top w:val="nil"/>
          <w:left w:val="nil"/>
          <w:bottom w:val="nil"/>
          <w:right w:val="nil"/>
          <w:between w:val="nil"/>
        </w:pBdr>
        <w:spacing w:line="360" w:lineRule="auto"/>
        <w:ind w:left="567" w:right="539"/>
        <w:jc w:val="both"/>
        <w:rPr>
          <w:rFonts w:ascii="Palatino Linotype" w:eastAsia="Palatino Linotype" w:hAnsi="Palatino Linotype" w:cs="Palatino Linotype"/>
          <w:color w:val="000000"/>
        </w:rPr>
      </w:pPr>
    </w:p>
    <w:p w14:paraId="6138765F" w14:textId="77777777" w:rsidR="00DD4123" w:rsidRPr="00AE5EFF" w:rsidRDefault="00DD4123" w:rsidP="00DD4123">
      <w:pPr>
        <w:pBdr>
          <w:top w:val="nil"/>
          <w:left w:val="nil"/>
          <w:bottom w:val="nil"/>
          <w:right w:val="nil"/>
          <w:between w:val="nil"/>
        </w:pBdr>
        <w:spacing w:line="360" w:lineRule="auto"/>
        <w:ind w:left="567" w:right="539"/>
        <w:jc w:val="both"/>
        <w:rPr>
          <w:rFonts w:ascii="Palatino Linotype" w:hAnsi="Palatino Linotype" w:cs="Arial"/>
          <w:color w:val="467986"/>
        </w:rPr>
      </w:pPr>
      <w:r w:rsidRPr="00AE5EFF">
        <w:rPr>
          <w:rFonts w:ascii="Palatino Linotype" w:eastAsia="Palatino Linotype" w:hAnsi="Palatino Linotype" w:cs="Palatino Linotype"/>
          <w:color w:val="000000"/>
        </w:rPr>
        <w:t xml:space="preserve">Así mismo, refiere que el resultado de la Convocatoria y designación de la persona que cumplió con todos los criterios, se encuentra publicado en el enlace </w:t>
      </w:r>
      <w:hyperlink r:id="rId7" w:history="1">
        <w:r w:rsidRPr="00AE5EFF">
          <w:rPr>
            <w:rStyle w:val="Hipervnculo"/>
            <w:rFonts w:ascii="Palatino Linotype" w:hAnsi="Palatino Linotype" w:cs="Arial"/>
          </w:rPr>
          <w:t>https://teoloyucan.gob.mx/wpcontent/</w:t>
        </w:r>
      </w:hyperlink>
      <w:r w:rsidRPr="00AE5EFF">
        <w:rPr>
          <w:rFonts w:ascii="Palatino Linotype" w:hAnsi="Palatino Linotype" w:cs="Arial"/>
          <w:color w:val="467986"/>
        </w:rPr>
        <w:t xml:space="preserve"> uploads/2026/04/Gaceta-No.-75-59-ORDINARIA-09-04-26.pdf#page=7 </w:t>
      </w:r>
    </w:p>
    <w:p w14:paraId="4E21F566" w14:textId="77777777" w:rsidR="00DD4123" w:rsidRPr="00AE5EFF" w:rsidRDefault="00DD4123" w:rsidP="00DD4123">
      <w:pPr>
        <w:pBdr>
          <w:top w:val="nil"/>
          <w:left w:val="nil"/>
          <w:bottom w:val="nil"/>
          <w:right w:val="nil"/>
          <w:between w:val="nil"/>
        </w:pBdr>
        <w:spacing w:line="360" w:lineRule="auto"/>
        <w:ind w:left="567" w:right="539"/>
        <w:jc w:val="both"/>
        <w:rPr>
          <w:rFonts w:ascii="Palatino Linotype" w:eastAsia="Palatino Linotype" w:hAnsi="Palatino Linotype" w:cs="Palatino Linotype"/>
          <w:color w:val="000000"/>
        </w:rPr>
      </w:pPr>
    </w:p>
    <w:p w14:paraId="07D0308F" w14:textId="77777777" w:rsidR="00DD4123" w:rsidRPr="00AE5EFF" w:rsidRDefault="00DD4123" w:rsidP="00DD4123">
      <w:pPr>
        <w:pBdr>
          <w:top w:val="nil"/>
          <w:left w:val="nil"/>
          <w:bottom w:val="nil"/>
          <w:right w:val="nil"/>
          <w:between w:val="nil"/>
        </w:pBdr>
        <w:spacing w:line="360" w:lineRule="auto"/>
        <w:ind w:left="567" w:right="539"/>
        <w:jc w:val="both"/>
        <w:rPr>
          <w:rFonts w:ascii="Palatino Linotype" w:eastAsia="Palatino Linotype" w:hAnsi="Palatino Linotype" w:cs="Palatino Linotype"/>
          <w:color w:val="000000"/>
        </w:rPr>
      </w:pPr>
      <w:r w:rsidRPr="00AE5EFF">
        <w:rPr>
          <w:rFonts w:ascii="Palatino Linotype" w:eastAsia="Palatino Linotype" w:hAnsi="Palatino Linotype" w:cs="Palatino Linotype"/>
          <w:color w:val="000000"/>
        </w:rPr>
        <w:lastRenderedPageBreak/>
        <w:t>No se omite mencionar que adjuntó los enlaces electrónicos que dirigen al Manual de Procedimientos del Juzgado Cívico Municipal y el Reglamento Interior del Juzgado Cívico, siendo los siguientes:</w:t>
      </w:r>
    </w:p>
    <w:p w14:paraId="58E3A402" w14:textId="77777777" w:rsidR="00DD4123" w:rsidRPr="00AE5EFF" w:rsidRDefault="00DD4123" w:rsidP="00DD4123">
      <w:pPr>
        <w:pBdr>
          <w:top w:val="nil"/>
          <w:left w:val="nil"/>
          <w:bottom w:val="nil"/>
          <w:right w:val="nil"/>
          <w:between w:val="nil"/>
        </w:pBdr>
        <w:spacing w:line="360" w:lineRule="auto"/>
        <w:ind w:left="567" w:right="539"/>
        <w:jc w:val="both"/>
        <w:rPr>
          <w:rFonts w:ascii="Palatino Linotype" w:eastAsia="Palatino Linotype" w:hAnsi="Palatino Linotype" w:cs="Palatino Linotype"/>
          <w:color w:val="000000"/>
        </w:rPr>
      </w:pPr>
      <w:r w:rsidRPr="00AE5EFF">
        <w:rPr>
          <w:rFonts w:ascii="Palatino Linotype" w:eastAsia="Palatino Linotype" w:hAnsi="Palatino Linotype" w:cs="Palatino Linotype"/>
          <w:noProof/>
          <w:color w:val="000000"/>
        </w:rPr>
        <w:drawing>
          <wp:inline distT="0" distB="0" distL="0" distR="0" wp14:anchorId="466629AB" wp14:editId="58596A59">
            <wp:extent cx="1685925" cy="15779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67588" cy="165439"/>
                    </a:xfrm>
                    <a:prstGeom prst="rect">
                      <a:avLst/>
                    </a:prstGeom>
                  </pic:spPr>
                </pic:pic>
              </a:graphicData>
            </a:graphic>
          </wp:inline>
        </w:drawing>
      </w:r>
    </w:p>
    <w:p w14:paraId="3017B433" w14:textId="77777777" w:rsidR="00DD4123" w:rsidRPr="00AE5EFF" w:rsidRDefault="00DD4123" w:rsidP="00DD4123">
      <w:pPr>
        <w:pBdr>
          <w:top w:val="nil"/>
          <w:left w:val="nil"/>
          <w:bottom w:val="nil"/>
          <w:right w:val="nil"/>
          <w:between w:val="nil"/>
        </w:pBdr>
        <w:spacing w:line="360" w:lineRule="auto"/>
        <w:ind w:left="567" w:right="539"/>
        <w:jc w:val="both"/>
        <w:rPr>
          <w:rFonts w:ascii="Palatino Linotype" w:eastAsia="Palatino Linotype" w:hAnsi="Palatino Linotype" w:cs="Palatino Linotype"/>
          <w:color w:val="000000"/>
        </w:rPr>
      </w:pPr>
      <w:r w:rsidRPr="00AE5EFF">
        <w:rPr>
          <w:rFonts w:ascii="Palatino Linotype" w:eastAsia="Palatino Linotype" w:hAnsi="Palatino Linotype" w:cs="Palatino Linotype"/>
          <w:noProof/>
          <w:color w:val="000000"/>
        </w:rPr>
        <w:drawing>
          <wp:inline distT="0" distB="0" distL="0" distR="0" wp14:anchorId="7951C161" wp14:editId="50749967">
            <wp:extent cx="5742940" cy="8655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42940" cy="865505"/>
                    </a:xfrm>
                    <a:prstGeom prst="rect">
                      <a:avLst/>
                    </a:prstGeom>
                  </pic:spPr>
                </pic:pic>
              </a:graphicData>
            </a:graphic>
          </wp:inline>
        </w:drawing>
      </w:r>
    </w:p>
    <w:p w14:paraId="1868C958" w14:textId="77777777" w:rsidR="00DD4123" w:rsidRDefault="00DD4123" w:rsidP="00DD4123">
      <w:pPr>
        <w:pBdr>
          <w:top w:val="nil"/>
          <w:left w:val="nil"/>
          <w:bottom w:val="nil"/>
          <w:right w:val="nil"/>
          <w:between w:val="nil"/>
        </w:pBdr>
        <w:spacing w:line="360" w:lineRule="auto"/>
        <w:ind w:left="567" w:right="539"/>
        <w:jc w:val="both"/>
        <w:rPr>
          <w:rFonts w:ascii="Palatino Linotype" w:eastAsia="Palatino Linotype" w:hAnsi="Palatino Linotype" w:cs="Palatino Linotype"/>
          <w:color w:val="000000"/>
        </w:rPr>
      </w:pPr>
      <w:r w:rsidRPr="00AE5EFF">
        <w:rPr>
          <w:rFonts w:ascii="Palatino Linotype" w:eastAsia="Palatino Linotype" w:hAnsi="Palatino Linotype" w:cs="Palatino Linotype"/>
          <w:color w:val="000000"/>
        </w:rPr>
        <w:t>Cabe precisar que las ligas electrónicas proporcionadas fueron remitidas en datos abiertos</w:t>
      </w:r>
    </w:p>
    <w:p w14:paraId="34B00BAE" w14:textId="77777777" w:rsidR="000546BC" w:rsidRPr="00AE5EFF" w:rsidRDefault="000546BC" w:rsidP="00DD4123">
      <w:pPr>
        <w:pBdr>
          <w:top w:val="nil"/>
          <w:left w:val="nil"/>
          <w:bottom w:val="nil"/>
          <w:right w:val="nil"/>
          <w:between w:val="nil"/>
        </w:pBdr>
        <w:spacing w:line="360" w:lineRule="auto"/>
        <w:ind w:left="567" w:right="539"/>
        <w:jc w:val="both"/>
        <w:rPr>
          <w:rFonts w:ascii="Palatino Linotype" w:eastAsia="Palatino Linotype" w:hAnsi="Palatino Linotype" w:cs="Palatino Linotype"/>
          <w:color w:val="000000"/>
        </w:rPr>
      </w:pPr>
    </w:p>
    <w:p w14:paraId="0700ED05" w14:textId="77777777" w:rsidR="00DD4123" w:rsidRPr="00AE5EFF" w:rsidRDefault="00DD4123" w:rsidP="00DD4123">
      <w:pPr>
        <w:numPr>
          <w:ilvl w:val="0"/>
          <w:numId w:val="3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AE5EFF">
        <w:rPr>
          <w:rFonts w:ascii="Palatino Linotype" w:eastAsia="Palatino Linotype" w:hAnsi="Palatino Linotype" w:cs="Palatino Linotype"/>
          <w:color w:val="000000"/>
        </w:rPr>
        <w:t xml:space="preserve">El </w:t>
      </w:r>
      <w:r w:rsidRPr="00AE5EFF">
        <w:rPr>
          <w:rFonts w:ascii="Palatino Linotype" w:eastAsia="Palatino Linotype" w:hAnsi="Palatino Linotype" w:cs="Palatino Linotype"/>
          <w:b/>
          <w:color w:val="000000"/>
        </w:rPr>
        <w:t>catorce de mayo de dos mil veintiséis</w:t>
      </w:r>
      <w:r w:rsidRPr="00AE5EFF">
        <w:rPr>
          <w:rFonts w:ascii="Palatino Linotype" w:eastAsia="Palatino Linotype" w:hAnsi="Palatino Linotype" w:cs="Palatino Linotype"/>
          <w:color w:val="000000"/>
        </w:rPr>
        <w:t xml:space="preserve">, el solicitante interpuso recurso de revisión en la solicitud de información </w:t>
      </w:r>
      <w:r w:rsidRPr="00AE5EFF">
        <w:rPr>
          <w:rFonts w:ascii="Palatino Linotype" w:eastAsia="Palatino Linotype" w:hAnsi="Palatino Linotype" w:cs="Palatino Linotype"/>
          <w:b/>
          <w:color w:val="000000"/>
        </w:rPr>
        <w:t xml:space="preserve">00047/TEOLOYU/IP/2026, </w:t>
      </w:r>
      <w:r w:rsidRPr="00AE5EFF">
        <w:rPr>
          <w:rFonts w:ascii="Palatino Linotype" w:eastAsia="Palatino Linotype" w:hAnsi="Palatino Linotype" w:cs="Palatino Linotype"/>
          <w:color w:val="000000"/>
        </w:rPr>
        <w:t xml:space="preserve">en contra de la respuesta emitida por el </w:t>
      </w:r>
      <w:r w:rsidRPr="00AE5EFF">
        <w:rPr>
          <w:rFonts w:ascii="Palatino Linotype" w:eastAsia="Palatino Linotype" w:hAnsi="Palatino Linotype" w:cs="Palatino Linotype"/>
          <w:b/>
          <w:color w:val="000000"/>
        </w:rPr>
        <w:t>SUJETO OBLIGADO</w:t>
      </w:r>
      <w:r w:rsidRPr="00AE5EFF">
        <w:rPr>
          <w:rFonts w:ascii="Palatino Linotype" w:eastAsia="Palatino Linotype" w:hAnsi="Palatino Linotype" w:cs="Palatino Linotype"/>
          <w:color w:val="000000"/>
        </w:rPr>
        <w:t>, señalando las siguientes razones o motivos de inconformidad:</w:t>
      </w:r>
    </w:p>
    <w:p w14:paraId="49918732" w14:textId="77777777" w:rsidR="00DD4123" w:rsidRPr="00AE5EFF" w:rsidRDefault="00DD4123" w:rsidP="00DD4123">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14:paraId="6EFC73B6" w14:textId="77777777" w:rsidR="00DD4123" w:rsidRPr="00633679" w:rsidRDefault="00DD4123" w:rsidP="00633679">
      <w:pPr>
        <w:pStyle w:val="Prrafodelista"/>
        <w:numPr>
          <w:ilvl w:val="0"/>
          <w:numId w:val="39"/>
        </w:numPr>
        <w:pBdr>
          <w:top w:val="nil"/>
          <w:left w:val="nil"/>
          <w:bottom w:val="nil"/>
          <w:right w:val="nil"/>
          <w:between w:val="nil"/>
        </w:pBdr>
        <w:spacing w:line="360" w:lineRule="auto"/>
        <w:ind w:left="851"/>
        <w:jc w:val="both"/>
        <w:rPr>
          <w:rFonts w:ascii="Palatino Linotype" w:eastAsia="Palatino Linotype" w:hAnsi="Palatino Linotype" w:cs="Palatino Linotype"/>
          <w:b/>
          <w:color w:val="000000"/>
          <w:sz w:val="24"/>
        </w:rPr>
      </w:pPr>
      <w:r w:rsidRPr="00633679">
        <w:rPr>
          <w:rFonts w:ascii="Palatino Linotype" w:eastAsia="Palatino Linotype" w:hAnsi="Palatino Linotype" w:cs="Palatino Linotype"/>
          <w:b/>
          <w:color w:val="000000"/>
          <w:sz w:val="24"/>
        </w:rPr>
        <w:t>Acto Impugnado</w:t>
      </w:r>
    </w:p>
    <w:p w14:paraId="65EFF232" w14:textId="77777777" w:rsidR="00DD4123" w:rsidRPr="00AE5EFF" w:rsidRDefault="00DD4123" w:rsidP="00DD4123">
      <w:pPr>
        <w:pBdr>
          <w:top w:val="nil"/>
          <w:left w:val="nil"/>
          <w:bottom w:val="nil"/>
          <w:right w:val="nil"/>
          <w:between w:val="nil"/>
        </w:pBdr>
        <w:ind w:left="567"/>
        <w:jc w:val="both"/>
        <w:rPr>
          <w:rFonts w:ascii="Palatino Linotype" w:eastAsia="Palatino Linotype" w:hAnsi="Palatino Linotype" w:cs="Palatino Linotype"/>
          <w:i/>
          <w:color w:val="000000"/>
        </w:rPr>
      </w:pPr>
      <w:r w:rsidRPr="00AE5EFF">
        <w:rPr>
          <w:rFonts w:ascii="Palatino Linotype" w:eastAsia="Palatino Linotype" w:hAnsi="Palatino Linotype" w:cs="Palatino Linotype"/>
          <w:i/>
          <w:color w:val="000000"/>
        </w:rPr>
        <w:t>“No son claros con lo solicitado, ya que solo ponen ligas que mandan a la convocatoria peor no de como ellos hicieron la selección del personal o cuáles fueron los filtros.” (Sic.)</w:t>
      </w:r>
    </w:p>
    <w:p w14:paraId="670AE410" w14:textId="77777777" w:rsidR="00633679" w:rsidRDefault="00633679" w:rsidP="00DD4123">
      <w:pPr>
        <w:pBdr>
          <w:top w:val="nil"/>
          <w:left w:val="nil"/>
          <w:bottom w:val="nil"/>
          <w:right w:val="nil"/>
          <w:between w:val="nil"/>
        </w:pBdr>
        <w:spacing w:line="360" w:lineRule="auto"/>
        <w:ind w:left="567"/>
        <w:jc w:val="both"/>
        <w:rPr>
          <w:rFonts w:ascii="Palatino Linotype" w:eastAsia="Palatino Linotype" w:hAnsi="Palatino Linotype" w:cs="Palatino Linotype"/>
          <w:b/>
          <w:color w:val="000000"/>
        </w:rPr>
      </w:pPr>
    </w:p>
    <w:p w14:paraId="412B435A" w14:textId="77777777" w:rsidR="00DD4123" w:rsidRPr="00633679" w:rsidRDefault="00DD4123" w:rsidP="00633679">
      <w:pPr>
        <w:pStyle w:val="Prrafodelista"/>
        <w:numPr>
          <w:ilvl w:val="0"/>
          <w:numId w:val="39"/>
        </w:numPr>
        <w:pBdr>
          <w:top w:val="nil"/>
          <w:left w:val="nil"/>
          <w:bottom w:val="nil"/>
          <w:right w:val="nil"/>
          <w:between w:val="nil"/>
        </w:pBdr>
        <w:spacing w:line="360" w:lineRule="auto"/>
        <w:ind w:left="851"/>
        <w:jc w:val="both"/>
        <w:rPr>
          <w:rFonts w:ascii="Palatino Linotype" w:eastAsia="Palatino Linotype" w:hAnsi="Palatino Linotype" w:cs="Palatino Linotype"/>
          <w:b/>
          <w:color w:val="000000"/>
          <w:sz w:val="24"/>
        </w:rPr>
      </w:pPr>
      <w:r w:rsidRPr="00633679">
        <w:rPr>
          <w:rFonts w:ascii="Palatino Linotype" w:eastAsia="Palatino Linotype" w:hAnsi="Palatino Linotype" w:cs="Palatino Linotype"/>
          <w:b/>
          <w:color w:val="000000"/>
          <w:sz w:val="24"/>
        </w:rPr>
        <w:t>Razones o Motivos de la Inconformidad</w:t>
      </w:r>
    </w:p>
    <w:p w14:paraId="33C3AFB5" w14:textId="77777777" w:rsidR="00DD4123" w:rsidRPr="00AE5EFF" w:rsidRDefault="00DD4123" w:rsidP="00DD4123">
      <w:pPr>
        <w:pBdr>
          <w:top w:val="nil"/>
          <w:left w:val="nil"/>
          <w:bottom w:val="nil"/>
          <w:right w:val="nil"/>
          <w:between w:val="nil"/>
        </w:pBdr>
        <w:ind w:left="567"/>
        <w:jc w:val="both"/>
        <w:rPr>
          <w:rFonts w:ascii="Palatino Linotype" w:eastAsia="Palatino Linotype" w:hAnsi="Palatino Linotype" w:cs="Palatino Linotype"/>
          <w:i/>
          <w:color w:val="000000"/>
        </w:rPr>
      </w:pPr>
      <w:r w:rsidRPr="00AE5EFF">
        <w:rPr>
          <w:rFonts w:ascii="Palatino Linotype" w:eastAsia="Palatino Linotype" w:hAnsi="Palatino Linotype" w:cs="Palatino Linotype"/>
          <w:i/>
          <w:color w:val="000000"/>
        </w:rPr>
        <w:t>“No son claros en como hicieron la selección de las personas que ocuparían la plaza y solo se señalan las bases de la convocatoria.”(Sic.)</w:t>
      </w:r>
    </w:p>
    <w:p w14:paraId="75388EB0" w14:textId="77777777" w:rsidR="00DD4123" w:rsidRPr="00AE5EFF" w:rsidRDefault="00DD4123" w:rsidP="00DD4123">
      <w:pPr>
        <w:pBdr>
          <w:top w:val="nil"/>
          <w:left w:val="nil"/>
          <w:bottom w:val="nil"/>
          <w:right w:val="nil"/>
          <w:between w:val="nil"/>
        </w:pBdr>
        <w:tabs>
          <w:tab w:val="left" w:pos="851"/>
        </w:tabs>
        <w:spacing w:line="360" w:lineRule="auto"/>
        <w:ind w:left="720" w:right="567"/>
        <w:jc w:val="both"/>
        <w:rPr>
          <w:rFonts w:ascii="Palatino Linotype" w:eastAsia="Palatino Linotype" w:hAnsi="Palatino Linotype" w:cs="Palatino Linotype"/>
          <w:color w:val="000000"/>
        </w:rPr>
      </w:pPr>
    </w:p>
    <w:p w14:paraId="15C6F146" w14:textId="77777777" w:rsidR="00DD4123" w:rsidRPr="00AE5EFF" w:rsidRDefault="00DD4123" w:rsidP="00DD4123">
      <w:pPr>
        <w:numPr>
          <w:ilvl w:val="0"/>
          <w:numId w:val="37"/>
        </w:numPr>
        <w:spacing w:line="360" w:lineRule="auto"/>
        <w:ind w:left="0" w:firstLine="0"/>
        <w:jc w:val="both"/>
        <w:rPr>
          <w:rFonts w:ascii="Palatino Linotype" w:eastAsia="Palatino Linotype" w:hAnsi="Palatino Linotype" w:cs="Palatino Linotype"/>
          <w:i/>
          <w:color w:val="000000"/>
        </w:rPr>
      </w:pPr>
      <w:r w:rsidRPr="00AE5EFF">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turnó a la </w:t>
      </w:r>
      <w:r w:rsidRPr="00AE5EFF">
        <w:rPr>
          <w:rFonts w:ascii="Palatino Linotype" w:eastAsia="Palatino Linotype" w:hAnsi="Palatino Linotype" w:cs="Palatino Linotype"/>
          <w:b/>
        </w:rPr>
        <w:t>Comisionada María del Rosario Mejía Ayala</w:t>
      </w:r>
      <w:r w:rsidRPr="00AE5EFF">
        <w:rPr>
          <w:rFonts w:ascii="Palatino Linotype" w:eastAsia="Palatino Linotype" w:hAnsi="Palatino Linotype" w:cs="Palatino Linotype"/>
        </w:rPr>
        <w:t xml:space="preserve"> con el objeto de su análisis.</w:t>
      </w:r>
    </w:p>
    <w:p w14:paraId="2BC53FFD" w14:textId="77777777" w:rsidR="00DD4123" w:rsidRPr="00AE5EFF" w:rsidRDefault="00DD4123" w:rsidP="00DD4123">
      <w:pPr>
        <w:numPr>
          <w:ilvl w:val="0"/>
          <w:numId w:val="37"/>
        </w:numPr>
        <w:spacing w:line="360" w:lineRule="auto"/>
        <w:ind w:left="0" w:firstLine="0"/>
        <w:jc w:val="both"/>
        <w:rPr>
          <w:rFonts w:ascii="Palatino Linotype" w:eastAsia="Palatino Linotype" w:hAnsi="Palatino Linotype" w:cs="Palatino Linotype"/>
          <w:i/>
          <w:color w:val="000000"/>
        </w:rPr>
      </w:pPr>
      <w:r w:rsidRPr="00AE5EFF">
        <w:rPr>
          <w:rFonts w:ascii="Palatino Linotype" w:eastAsia="Palatino Linotype" w:hAnsi="Palatino Linotype" w:cs="Palatino Linotype"/>
          <w:color w:val="000000"/>
        </w:rPr>
        <w:lastRenderedPageBreak/>
        <w:t xml:space="preserve">La Comisionada Ponente con fundamento en lo dispuesto por el artículo 185 </w:t>
      </w:r>
      <w:r w:rsidRPr="00AE5EFF">
        <w:rPr>
          <w:rFonts w:ascii="Palatino Linotype" w:eastAsia="Palatino Linotype" w:hAnsi="Palatino Linotype" w:cs="Palatino Linotype"/>
        </w:rPr>
        <w:t>fracción</w:t>
      </w:r>
      <w:r w:rsidRPr="00AE5EFF">
        <w:rPr>
          <w:rFonts w:ascii="Palatino Linotype" w:eastAsia="Palatino Linotype" w:hAnsi="Palatino Linotype" w:cs="Palatino Linotype"/>
          <w:color w:val="000000"/>
        </w:rPr>
        <w:t xml:space="preserve"> II de la ley de la materia, a través del </w:t>
      </w:r>
      <w:r w:rsidRPr="00AE5EFF">
        <w:rPr>
          <w:rFonts w:ascii="Palatino Linotype" w:eastAsia="Palatino Linotype" w:hAnsi="Palatino Linotype" w:cs="Palatino Linotype"/>
          <w:b/>
          <w:color w:val="000000"/>
        </w:rPr>
        <w:t xml:space="preserve">acuerdo de admisión </w:t>
      </w:r>
      <w:r w:rsidRPr="00AE5EFF">
        <w:rPr>
          <w:rFonts w:ascii="Palatino Linotype" w:eastAsia="Palatino Linotype" w:hAnsi="Palatino Linotype" w:cs="Palatino Linotype"/>
          <w:color w:val="000000"/>
        </w:rPr>
        <w:t xml:space="preserve">de fecha </w:t>
      </w:r>
      <w:r w:rsidRPr="00AE5EFF">
        <w:rPr>
          <w:rFonts w:ascii="Palatino Linotype" w:eastAsia="Palatino Linotype" w:hAnsi="Palatino Linotype" w:cs="Palatino Linotype"/>
          <w:b/>
          <w:color w:val="000000"/>
        </w:rPr>
        <w:t>quince de mayo de dos mil veintiséis</w:t>
      </w:r>
      <w:r w:rsidRPr="00AE5EFF">
        <w:rPr>
          <w:rFonts w:ascii="Palatino Linotype" w:eastAsia="Palatino Linotype" w:hAnsi="Palatino Linotype" w:cs="Palatino Linotype"/>
          <w:color w:val="000000"/>
        </w:rPr>
        <w:t xml:space="preserve">, puso a disposición de las partes el expediente electrónico vía SAIMEX a efecto de que en un plazo máximo de siete días manifestaran lo que a su derecho conviniera, ofrecieran pruebas y alegatos según corresponda al caso concreto, de esta forma para que el </w:t>
      </w:r>
      <w:r w:rsidRPr="00AE5EFF">
        <w:rPr>
          <w:rFonts w:ascii="Palatino Linotype" w:eastAsia="Palatino Linotype" w:hAnsi="Palatino Linotype" w:cs="Palatino Linotype"/>
          <w:b/>
          <w:color w:val="000000"/>
        </w:rPr>
        <w:t xml:space="preserve">SUJETO OBLIGADO </w:t>
      </w:r>
      <w:r w:rsidRPr="00AE5EFF">
        <w:rPr>
          <w:rFonts w:ascii="Palatino Linotype" w:eastAsia="Palatino Linotype" w:hAnsi="Palatino Linotype" w:cs="Palatino Linotype"/>
          <w:color w:val="000000"/>
        </w:rPr>
        <w:t>presentara el Informe Justificado procedente.</w:t>
      </w:r>
    </w:p>
    <w:p w14:paraId="4934A0E8" w14:textId="77777777" w:rsidR="00DD4123" w:rsidRPr="00AE5EFF" w:rsidRDefault="00DD4123" w:rsidP="00DD4123">
      <w:pPr>
        <w:pStyle w:val="Prrafodelista"/>
        <w:rPr>
          <w:rFonts w:ascii="Palatino Linotype" w:eastAsia="Palatino Linotype" w:hAnsi="Palatino Linotype" w:cs="Palatino Linotype"/>
          <w:sz w:val="24"/>
        </w:rPr>
      </w:pPr>
    </w:p>
    <w:p w14:paraId="030DAF83" w14:textId="77777777" w:rsidR="00DD4123" w:rsidRPr="00AE5EFF" w:rsidRDefault="00DD4123" w:rsidP="00DD4123">
      <w:pPr>
        <w:numPr>
          <w:ilvl w:val="0"/>
          <w:numId w:val="37"/>
        </w:numPr>
        <w:spacing w:line="360" w:lineRule="auto"/>
        <w:ind w:left="0" w:firstLine="0"/>
        <w:jc w:val="both"/>
        <w:rPr>
          <w:rFonts w:ascii="Palatino Linotype" w:eastAsia="Palatino Linotype" w:hAnsi="Palatino Linotype" w:cs="Palatino Linotype"/>
          <w:i/>
          <w:color w:val="000000"/>
        </w:rPr>
      </w:pPr>
      <w:r w:rsidRPr="00AE5EFF">
        <w:rPr>
          <w:rFonts w:ascii="Palatino Linotype" w:eastAsia="Palatino Linotype" w:hAnsi="Palatino Linotype" w:cs="Palatino Linotype"/>
        </w:rPr>
        <w:t xml:space="preserve">De lo anterior el </w:t>
      </w:r>
      <w:r w:rsidRPr="00AE5EFF">
        <w:rPr>
          <w:rFonts w:ascii="Palatino Linotype" w:eastAsia="Palatino Linotype" w:hAnsi="Palatino Linotype" w:cs="Palatino Linotype"/>
          <w:b/>
        </w:rPr>
        <w:t xml:space="preserve">SUJETO OBLIGADO y el RECURRENTE </w:t>
      </w:r>
      <w:r w:rsidRPr="00AE5EFF">
        <w:rPr>
          <w:rFonts w:ascii="Palatino Linotype" w:eastAsia="Palatino Linotype" w:hAnsi="Palatino Linotype" w:cs="Palatino Linotype"/>
        </w:rPr>
        <w:t xml:space="preserve">dejaron de realizar manifestaciones que a su derecho conviniera y asistiera. </w:t>
      </w:r>
    </w:p>
    <w:p w14:paraId="3F12F627" w14:textId="77777777" w:rsidR="00DD4123" w:rsidRPr="00AE5EFF" w:rsidRDefault="00DD4123" w:rsidP="00DD4123">
      <w:pPr>
        <w:spacing w:line="360" w:lineRule="auto"/>
        <w:jc w:val="both"/>
        <w:rPr>
          <w:rFonts w:ascii="Palatino Linotype" w:eastAsia="Palatino Linotype" w:hAnsi="Palatino Linotype" w:cs="Palatino Linotype"/>
          <w:i/>
          <w:color w:val="000000"/>
        </w:rPr>
      </w:pPr>
    </w:p>
    <w:p w14:paraId="557A0D89" w14:textId="66246BAC" w:rsidR="00DD4123" w:rsidRPr="00AE5EFF" w:rsidRDefault="00DD4123" w:rsidP="00DD4123">
      <w:pPr>
        <w:numPr>
          <w:ilvl w:val="0"/>
          <w:numId w:val="37"/>
        </w:numPr>
        <w:spacing w:line="360" w:lineRule="auto"/>
        <w:ind w:left="0" w:firstLine="0"/>
        <w:jc w:val="both"/>
        <w:rPr>
          <w:rFonts w:ascii="Palatino Linotype" w:eastAsia="Palatino Linotype" w:hAnsi="Palatino Linotype" w:cs="Palatino Linotype"/>
          <w:i/>
          <w:color w:val="000000"/>
        </w:rPr>
      </w:pPr>
      <w:r w:rsidRPr="00AE5EFF">
        <w:rPr>
          <w:rFonts w:ascii="Palatino Linotype" w:eastAsia="Palatino Linotype" w:hAnsi="Palatino Linotype" w:cs="Palatino Linotype"/>
        </w:rPr>
        <w:t xml:space="preserve">Finalmente, la Comisionada Ponente mediante acuerdo del </w:t>
      </w:r>
      <w:r w:rsidRPr="00AE5EFF">
        <w:rPr>
          <w:rFonts w:ascii="Palatino Linotype" w:eastAsia="Palatino Linotype" w:hAnsi="Palatino Linotype" w:cs="Palatino Linotype"/>
          <w:b/>
        </w:rPr>
        <w:t>diez de junio de dos mil veintiséis</w:t>
      </w:r>
      <w:r w:rsidRPr="00AE5EFF">
        <w:rPr>
          <w:rFonts w:ascii="Palatino Linotype" w:eastAsia="Palatino Linotype" w:hAnsi="Palatino Linotype" w:cs="Palatino Linotype"/>
        </w:rPr>
        <w:t>, decretó el cierre de instrucción del expediente, por lo que no habiendo más que hacer constar, y</w:t>
      </w:r>
    </w:p>
    <w:p w14:paraId="2CBA2C90" w14:textId="63642F93" w:rsidR="00797CD8" w:rsidRPr="00AE5EFF" w:rsidRDefault="00797CD8" w:rsidP="00797CD8">
      <w:pPr>
        <w:keepNext/>
        <w:keepLines/>
        <w:spacing w:line="360" w:lineRule="auto"/>
        <w:jc w:val="center"/>
        <w:outlineLvl w:val="0"/>
        <w:rPr>
          <w:rFonts w:ascii="Palatino Linotype" w:eastAsiaTheme="majorEastAsia" w:hAnsi="Palatino Linotype" w:cstheme="majorBidi"/>
        </w:rPr>
      </w:pPr>
      <w:r w:rsidRPr="00AE5EFF">
        <w:rPr>
          <w:rFonts w:ascii="Palatino Linotype" w:eastAsiaTheme="majorEastAsia" w:hAnsi="Palatino Linotype" w:cstheme="majorBidi"/>
          <w:b/>
        </w:rPr>
        <w:t>C</w:t>
      </w:r>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O</w:t>
      </w:r>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N</w:t>
      </w:r>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S</w:t>
      </w:r>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I</w:t>
      </w:r>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D</w:t>
      </w:r>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E</w:t>
      </w:r>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R</w:t>
      </w:r>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A</w:t>
      </w:r>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N</w:t>
      </w:r>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D</w:t>
      </w:r>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O</w:t>
      </w:r>
      <w:bookmarkEnd w:id="0"/>
      <w:r w:rsidR="00633679">
        <w:rPr>
          <w:rFonts w:ascii="Palatino Linotype" w:eastAsiaTheme="majorEastAsia" w:hAnsi="Palatino Linotype" w:cstheme="majorBidi"/>
          <w:b/>
        </w:rPr>
        <w:t xml:space="preserve"> </w:t>
      </w:r>
      <w:r w:rsidRPr="00AE5EFF">
        <w:rPr>
          <w:rFonts w:ascii="Palatino Linotype" w:eastAsiaTheme="majorEastAsia" w:hAnsi="Palatino Linotype" w:cstheme="majorBidi"/>
          <w:b/>
        </w:rPr>
        <w:t xml:space="preserve"> </w:t>
      </w:r>
    </w:p>
    <w:p w14:paraId="7D4C6E45" w14:textId="77777777" w:rsidR="00797CD8" w:rsidRPr="00AE5EFF" w:rsidRDefault="00797CD8" w:rsidP="00797CD8">
      <w:pPr>
        <w:spacing w:line="360" w:lineRule="auto"/>
        <w:rPr>
          <w:rFonts w:ascii="Palatino Linotype" w:eastAsiaTheme="minorEastAsia" w:hAnsi="Palatino Linotype"/>
        </w:rPr>
      </w:pPr>
    </w:p>
    <w:p w14:paraId="782F44B9" w14:textId="77777777" w:rsidR="00797CD8" w:rsidRPr="00AE5EFF" w:rsidRDefault="00797CD8" w:rsidP="00797CD8">
      <w:pPr>
        <w:keepNext/>
        <w:keepLines/>
        <w:spacing w:line="360" w:lineRule="auto"/>
        <w:outlineLvl w:val="1"/>
        <w:rPr>
          <w:rFonts w:ascii="Palatino Linotype" w:eastAsiaTheme="majorEastAsia" w:hAnsi="Palatino Linotype" w:cstheme="majorBidi"/>
          <w:b/>
        </w:rPr>
      </w:pPr>
      <w:bookmarkStart w:id="4" w:name="_Toc90654864"/>
      <w:r w:rsidRPr="00AE5EFF">
        <w:rPr>
          <w:rFonts w:ascii="Palatino Linotype" w:eastAsiaTheme="majorEastAsia" w:hAnsi="Palatino Linotype" w:cstheme="majorBidi"/>
          <w:b/>
        </w:rPr>
        <w:t>PRIMERO. De la competencia</w:t>
      </w:r>
      <w:bookmarkEnd w:id="4"/>
    </w:p>
    <w:p w14:paraId="691E35F8" w14:textId="3ACBEB36" w:rsidR="00DB6826" w:rsidRPr="00AE5EFF" w:rsidRDefault="00DB6826" w:rsidP="00DD4123">
      <w:pPr>
        <w:pStyle w:val="Prrafodelista"/>
        <w:numPr>
          <w:ilvl w:val="0"/>
          <w:numId w:val="37"/>
        </w:numPr>
        <w:spacing w:line="360" w:lineRule="auto"/>
        <w:ind w:left="0" w:firstLine="0"/>
        <w:jc w:val="both"/>
        <w:rPr>
          <w:rFonts w:ascii="Palatino Linotype" w:eastAsia="Palatino Linotype" w:hAnsi="Palatino Linotype" w:cs="Palatino Linotype"/>
          <w:i/>
          <w:color w:val="000000"/>
          <w:sz w:val="24"/>
        </w:rPr>
      </w:pPr>
      <w:r w:rsidRPr="00AE5EFF">
        <w:rPr>
          <w:rFonts w:ascii="Palatino Linotype" w:hAnsi="Palatino Linotype"/>
          <w:color w:val="000000"/>
          <w:sz w:val="24"/>
          <w:shd w:val="clear" w:color="auto" w:fill="FFFFFF"/>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AE5EFF">
        <w:rPr>
          <w:rFonts w:ascii="Palatino Linotype" w:hAnsi="Palatino Linotype"/>
          <w:b/>
          <w:bCs/>
          <w:color w:val="000000"/>
          <w:sz w:val="24"/>
          <w:shd w:val="clear" w:color="auto" w:fill="FFFFFF"/>
        </w:rPr>
        <w:t>Constitución Política de los Estados Unidos Mexicanos</w:t>
      </w:r>
      <w:r w:rsidRPr="00AE5EFF">
        <w:rPr>
          <w:rFonts w:ascii="Palatino Linotype" w:hAnsi="Palatino Linotype"/>
          <w:color w:val="000000"/>
          <w:sz w:val="24"/>
          <w:shd w:val="clear" w:color="auto" w:fill="FFFFFF"/>
        </w:rPr>
        <w:t>; 5, párrafos trigésimo segundo, trigésimo tercero y trigésimo cuarto fracciones IV y V de la </w:t>
      </w:r>
      <w:r w:rsidRPr="00AE5EFF">
        <w:rPr>
          <w:rFonts w:ascii="Palatino Linotype" w:hAnsi="Palatino Linotype"/>
          <w:b/>
          <w:bCs/>
          <w:color w:val="000000"/>
          <w:sz w:val="24"/>
          <w:shd w:val="clear" w:color="auto" w:fill="FFFFFF"/>
        </w:rPr>
        <w:t>Constitución Política del Estado Libre y Soberano de México</w:t>
      </w:r>
      <w:r w:rsidRPr="00AE5EFF">
        <w:rPr>
          <w:rFonts w:ascii="Palatino Linotype" w:hAnsi="Palatino Linotype"/>
          <w:color w:val="000000"/>
          <w:sz w:val="24"/>
          <w:shd w:val="clear" w:color="auto" w:fill="FFFFFF"/>
        </w:rPr>
        <w:t>; artículos 1, 2 fracción II, 13, 29, 36 fracciones I y II, 176, 178, 179, 181 párrafo tercero y 185 de la </w:t>
      </w:r>
      <w:r w:rsidRPr="00AE5EFF">
        <w:rPr>
          <w:rFonts w:ascii="Palatino Linotype" w:hAnsi="Palatino Linotype"/>
          <w:b/>
          <w:bCs/>
          <w:color w:val="000000"/>
          <w:sz w:val="24"/>
          <w:shd w:val="clear" w:color="auto" w:fill="FFFFFF"/>
        </w:rPr>
        <w:t>Ley de Transparencia y Acceso a la Información Pública del Estado de México y Municipios</w:t>
      </w:r>
      <w:r w:rsidRPr="00AE5EFF">
        <w:rPr>
          <w:rFonts w:ascii="Palatino Linotype" w:hAnsi="Palatino Linotype"/>
          <w:color w:val="000000"/>
          <w:sz w:val="24"/>
          <w:shd w:val="clear" w:color="auto" w:fill="FFFFFF"/>
        </w:rPr>
        <w:t>; y 7, 9 fracciones I y XXIII, y 11 del </w:t>
      </w:r>
      <w:r w:rsidRPr="00AE5EFF">
        <w:rPr>
          <w:rFonts w:ascii="Palatino Linotype" w:hAnsi="Palatino Linotype"/>
          <w:b/>
          <w:bCs/>
          <w:color w:val="000000"/>
          <w:sz w:val="24"/>
          <w:shd w:val="clear" w:color="auto" w:fill="FFFFFF"/>
        </w:rPr>
        <w:t xml:space="preserve">Reglamento Interior del Instituto de </w:t>
      </w:r>
      <w:r w:rsidRPr="00AE5EFF">
        <w:rPr>
          <w:rFonts w:ascii="Palatino Linotype" w:hAnsi="Palatino Linotype"/>
          <w:b/>
          <w:bCs/>
          <w:color w:val="000000"/>
          <w:sz w:val="24"/>
          <w:shd w:val="clear" w:color="auto" w:fill="FFFFFF"/>
        </w:rPr>
        <w:lastRenderedPageBreak/>
        <w:t>Transparencia, Acceso a la Información Pública y Protección de Datos Personales del Estado de México y Municipios</w:t>
      </w:r>
      <w:r w:rsidRPr="00AE5EFF">
        <w:rPr>
          <w:rFonts w:ascii="Palatino Linotype" w:hAnsi="Palatino Linotype"/>
          <w:color w:val="000000"/>
          <w:sz w:val="24"/>
          <w:shd w:val="clear" w:color="auto" w:fill="FFFFFF"/>
        </w:rPr>
        <w:t>.</w:t>
      </w:r>
    </w:p>
    <w:p w14:paraId="31E3300B" w14:textId="77777777" w:rsidR="009D4BF1" w:rsidRPr="00AE5EFF" w:rsidRDefault="009D4BF1" w:rsidP="00797CD8">
      <w:pPr>
        <w:spacing w:line="360" w:lineRule="auto"/>
        <w:contextualSpacing/>
        <w:jc w:val="both"/>
        <w:rPr>
          <w:rFonts w:ascii="Palatino Linotype" w:eastAsiaTheme="minorEastAsia" w:hAnsi="Palatino Linotype"/>
          <w:lang w:val="es-ES_tradnl" w:eastAsia="es-ES"/>
        </w:rPr>
      </w:pPr>
    </w:p>
    <w:p w14:paraId="081BF910" w14:textId="77777777" w:rsidR="00797CD8" w:rsidRPr="00AE5EFF" w:rsidRDefault="00797CD8" w:rsidP="00797CD8">
      <w:pPr>
        <w:keepNext/>
        <w:keepLines/>
        <w:spacing w:line="360" w:lineRule="auto"/>
        <w:outlineLvl w:val="1"/>
        <w:rPr>
          <w:rFonts w:ascii="Palatino Linotype" w:eastAsiaTheme="majorEastAsia" w:hAnsi="Palatino Linotype" w:cstheme="majorBidi"/>
          <w:b/>
        </w:rPr>
      </w:pPr>
      <w:bookmarkStart w:id="5" w:name="_Toc90654865"/>
      <w:r w:rsidRPr="00AE5EFF">
        <w:rPr>
          <w:rFonts w:ascii="Palatino Linotype" w:eastAsiaTheme="majorEastAsia" w:hAnsi="Palatino Linotype" w:cstheme="majorBidi"/>
          <w:b/>
        </w:rPr>
        <w:t>SEGUNDO. De la oportunidad y procedencia.</w:t>
      </w:r>
      <w:bookmarkEnd w:id="5"/>
    </w:p>
    <w:p w14:paraId="3607AA6B" w14:textId="77777777" w:rsidR="00DD4123" w:rsidRPr="00AE5EFF" w:rsidRDefault="00DD4123" w:rsidP="00DD4123">
      <w:pPr>
        <w:numPr>
          <w:ilvl w:val="0"/>
          <w:numId w:val="37"/>
        </w:numPr>
        <w:spacing w:line="360" w:lineRule="auto"/>
        <w:ind w:left="0" w:firstLine="0"/>
        <w:jc w:val="both"/>
        <w:rPr>
          <w:rFonts w:ascii="Palatino Linotype" w:eastAsia="Palatino Linotype" w:hAnsi="Palatino Linotype" w:cs="Palatino Linotype"/>
        </w:rPr>
      </w:pPr>
      <w:r w:rsidRPr="00AE5EFF">
        <w:rPr>
          <w:rFonts w:ascii="Palatino Linotype" w:eastAsia="Palatino Linotype" w:hAnsi="Palatino Linotype" w:cs="Palatino Linotype"/>
        </w:rPr>
        <w:t xml:space="preserve">El medio de impugnación fue presentado a través del </w:t>
      </w:r>
      <w:r w:rsidRPr="00AE5EFF">
        <w:rPr>
          <w:rFonts w:ascii="Palatino Linotype" w:eastAsia="Palatino Linotype" w:hAnsi="Palatino Linotype" w:cs="Palatino Linotype"/>
          <w:b/>
        </w:rPr>
        <w:t>SAIMEX,</w:t>
      </w:r>
      <w:r w:rsidRPr="00AE5EFF">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AE5EFF">
        <w:rPr>
          <w:rFonts w:ascii="Palatino Linotype" w:eastAsia="Palatino Linotype" w:hAnsi="Palatino Linotype" w:cs="Palatino Linotype"/>
          <w:b/>
        </w:rPr>
        <w:t>SUJETO OBLIGADO</w:t>
      </w:r>
      <w:r w:rsidRPr="00AE5EFF">
        <w:rPr>
          <w:rFonts w:ascii="Palatino Linotype" w:eastAsia="Palatino Linotype" w:hAnsi="Palatino Linotype" w:cs="Palatino Linotype"/>
        </w:rPr>
        <w:t xml:space="preserve"> entregó respuesta a la solicitud el día </w:t>
      </w:r>
      <w:r w:rsidRPr="00AE5EFF">
        <w:rPr>
          <w:rFonts w:ascii="Palatino Linotype" w:eastAsia="Palatino Linotype" w:hAnsi="Palatino Linotype" w:cs="Palatino Linotype"/>
          <w:b/>
        </w:rPr>
        <w:t>veintitrés</w:t>
      </w:r>
      <w:r w:rsidRPr="00AE5EFF">
        <w:rPr>
          <w:rFonts w:ascii="Palatino Linotype" w:eastAsia="Palatino Linotype" w:hAnsi="Palatino Linotype" w:cs="Palatino Linotype"/>
        </w:rPr>
        <w:t xml:space="preserve"> </w:t>
      </w:r>
      <w:r w:rsidRPr="00AE5EFF">
        <w:rPr>
          <w:rFonts w:ascii="Palatino Linotype" w:eastAsia="Palatino Linotype" w:hAnsi="Palatino Linotype" w:cs="Palatino Linotype"/>
          <w:b/>
        </w:rPr>
        <w:t>de abril de dos mi veintiséis</w:t>
      </w:r>
      <w:r w:rsidRPr="00AE5EFF">
        <w:rPr>
          <w:rFonts w:ascii="Palatino Linotype" w:eastAsia="Palatino Linotype" w:hAnsi="Palatino Linotype" w:cs="Palatino Linotype"/>
        </w:rPr>
        <w:t xml:space="preserve">, de tal forma que el plazo para interponer el recurso de revisión transcurrió del </w:t>
      </w:r>
      <w:r w:rsidRPr="00AE5EFF">
        <w:rPr>
          <w:rFonts w:ascii="Palatino Linotype" w:eastAsia="Palatino Linotype" w:hAnsi="Palatino Linotype" w:cs="Palatino Linotype"/>
          <w:b/>
        </w:rPr>
        <w:t>veinticuatro de abril al dieciocho de mayo de dos mil veintiséis</w:t>
      </w:r>
      <w:r w:rsidRPr="00AE5EFF">
        <w:rPr>
          <w:rFonts w:ascii="Palatino Linotype" w:eastAsia="Palatino Linotype" w:hAnsi="Palatino Linotype" w:cs="Palatino Linotype"/>
        </w:rPr>
        <w:t xml:space="preserve">; en consecuencia, presentó su inconformidad el día </w:t>
      </w:r>
      <w:r w:rsidRPr="00AE5EFF">
        <w:rPr>
          <w:rFonts w:ascii="Palatino Linotype" w:eastAsia="Palatino Linotype" w:hAnsi="Palatino Linotype" w:cs="Palatino Linotype"/>
          <w:b/>
        </w:rPr>
        <w:t>catorce de mayo de dos mil veintiséis</w:t>
      </w:r>
      <w:r w:rsidRPr="00AE5EFF">
        <w:rPr>
          <w:rFonts w:ascii="Palatino Linotype" w:eastAsia="Palatino Linotype" w:hAnsi="Palatino Linotype" w:cs="Palatino Linotype"/>
        </w:rPr>
        <w:t xml:space="preserve">, por lo que se encuentra dentro de los márgenes temporales previstos en el artículo 178 de la </w:t>
      </w:r>
      <w:r w:rsidRPr="00AE5EFF">
        <w:rPr>
          <w:rFonts w:ascii="Palatino Linotype" w:eastAsia="Palatino Linotype" w:hAnsi="Palatino Linotype" w:cs="Palatino Linotype"/>
          <w:b/>
        </w:rPr>
        <w:t xml:space="preserve">Ley de Transparencia y Acceso a la Información Pública del Estado de México y Municipios </w:t>
      </w:r>
      <w:r w:rsidRPr="00AE5EFF">
        <w:rPr>
          <w:rFonts w:ascii="Palatino Linotype" w:eastAsia="Palatino Linotype" w:hAnsi="Palatino Linotype" w:cs="Palatino Linotype"/>
        </w:rPr>
        <w:t>vigente.</w:t>
      </w:r>
    </w:p>
    <w:p w14:paraId="78353613" w14:textId="77777777" w:rsidR="00BD5A39" w:rsidRPr="00AE5EFF" w:rsidRDefault="00BD5A39" w:rsidP="00BD5A39">
      <w:pPr>
        <w:spacing w:line="360" w:lineRule="auto"/>
        <w:ind w:right="49"/>
        <w:contextualSpacing/>
        <w:jc w:val="both"/>
        <w:rPr>
          <w:rFonts w:ascii="Palatino Linotype" w:eastAsiaTheme="minorEastAsia" w:hAnsi="Palatino Linotype"/>
          <w:lang w:val="es-ES_tradnl" w:eastAsia="es-ES"/>
        </w:rPr>
      </w:pPr>
    </w:p>
    <w:p w14:paraId="79CD43CD" w14:textId="4CC4119D" w:rsidR="00AB3B1B" w:rsidRPr="00AE5EFF" w:rsidRDefault="00797CD8" w:rsidP="00DD4123">
      <w:pPr>
        <w:numPr>
          <w:ilvl w:val="0"/>
          <w:numId w:val="37"/>
        </w:numPr>
        <w:spacing w:line="360" w:lineRule="auto"/>
        <w:ind w:left="0" w:right="49" w:firstLine="0"/>
        <w:contextualSpacing/>
        <w:jc w:val="both"/>
        <w:rPr>
          <w:rFonts w:ascii="Palatino Linotype" w:eastAsiaTheme="minorEastAsia" w:hAnsi="Palatino Linotype"/>
          <w:lang w:val="es-ES_tradnl" w:eastAsia="es-ES"/>
        </w:rPr>
      </w:pPr>
      <w:r w:rsidRPr="00AE5EFF">
        <w:rPr>
          <w:rFonts w:ascii="Palatino Linotype" w:eastAsia="Calibri" w:hAnsi="Palatino Linotype" w:cs="Arial"/>
          <w:lang w:val="es-ES_tradnl" w:eastAsia="es-ES"/>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bookmarkStart w:id="6" w:name="_Toc452722829"/>
      <w:bookmarkStart w:id="7" w:name="_Toc454373811"/>
      <w:bookmarkStart w:id="8" w:name="_Toc476675991"/>
    </w:p>
    <w:p w14:paraId="18E48EC7" w14:textId="77777777" w:rsidR="008075F3" w:rsidRPr="00AE5EFF" w:rsidRDefault="008075F3" w:rsidP="008075F3">
      <w:pPr>
        <w:spacing w:line="360" w:lineRule="auto"/>
        <w:ind w:right="49"/>
        <w:contextualSpacing/>
        <w:jc w:val="both"/>
        <w:rPr>
          <w:rFonts w:ascii="Palatino Linotype" w:eastAsiaTheme="minorEastAsia" w:hAnsi="Palatino Linotype"/>
          <w:lang w:val="es-ES_tradnl" w:eastAsia="es-ES"/>
        </w:rPr>
      </w:pPr>
    </w:p>
    <w:p w14:paraId="60415C6E" w14:textId="01EB1FDA" w:rsidR="00797CD8" w:rsidRPr="00AE5EFF" w:rsidRDefault="00797CD8" w:rsidP="00797CD8">
      <w:pPr>
        <w:keepNext/>
        <w:keepLines/>
        <w:spacing w:line="360" w:lineRule="auto"/>
        <w:ind w:right="48"/>
        <w:outlineLvl w:val="0"/>
        <w:rPr>
          <w:rFonts w:ascii="Palatino Linotype" w:eastAsia="MS Gothic" w:hAnsi="Palatino Linotype" w:cstheme="majorBidi"/>
          <w:b/>
          <w:lang w:val="es-ES_tradnl" w:eastAsia="es-ES"/>
        </w:rPr>
      </w:pPr>
      <w:bookmarkStart w:id="9" w:name="_Toc70417465"/>
      <w:bookmarkStart w:id="10" w:name="_Toc80812774"/>
      <w:bookmarkStart w:id="11" w:name="_Toc90654866"/>
      <w:r w:rsidRPr="00AE5EFF">
        <w:rPr>
          <w:rFonts w:ascii="Palatino Linotype" w:eastAsia="MS Gothic" w:hAnsi="Palatino Linotype" w:cstheme="majorBidi"/>
          <w:b/>
          <w:lang w:val="es-ES_tradnl" w:eastAsia="es-ES"/>
        </w:rPr>
        <w:t xml:space="preserve">TERCERO. </w:t>
      </w:r>
      <w:bookmarkEnd w:id="9"/>
      <w:bookmarkEnd w:id="10"/>
      <w:bookmarkEnd w:id="11"/>
      <w:r w:rsidR="00BD5A39" w:rsidRPr="00AE5EFF">
        <w:rPr>
          <w:rFonts w:ascii="Palatino Linotype" w:hAnsi="Palatino Linotype"/>
          <w:b/>
        </w:rPr>
        <w:t>De las causales del sobreseimiento.</w:t>
      </w:r>
    </w:p>
    <w:p w14:paraId="0BE930E4" w14:textId="33F8A148" w:rsidR="00BD5A39" w:rsidRPr="00AE5EFF" w:rsidRDefault="00BD5A39" w:rsidP="00DD4123">
      <w:pPr>
        <w:pStyle w:val="Prrafodelista"/>
        <w:numPr>
          <w:ilvl w:val="0"/>
          <w:numId w:val="37"/>
        </w:numPr>
        <w:tabs>
          <w:tab w:val="left" w:pos="0"/>
        </w:tabs>
        <w:spacing w:line="360" w:lineRule="auto"/>
        <w:ind w:left="0" w:firstLine="0"/>
        <w:jc w:val="both"/>
        <w:rPr>
          <w:rFonts w:ascii="Palatino Linotype" w:eastAsia="Calibri" w:hAnsi="Palatino Linotype" w:cs="Tahoma"/>
          <w:iCs/>
          <w:sz w:val="24"/>
          <w:lang w:val="es-ES" w:eastAsia="es-ES_tradnl"/>
        </w:rPr>
      </w:pPr>
      <w:r w:rsidRPr="00AE5EFF">
        <w:rPr>
          <w:rFonts w:ascii="Palatino Linotype" w:eastAsia="Calibri" w:hAnsi="Palatino Linotype" w:cs="Tahoma"/>
          <w:iCs/>
          <w:sz w:val="24"/>
          <w:lang w:val="es-ES" w:eastAsia="es-ES_tradnl"/>
        </w:rPr>
        <w:t xml:space="preserve">El </w:t>
      </w:r>
      <w:r w:rsidRPr="00AE5EFF">
        <w:rPr>
          <w:rFonts w:ascii="Palatino Linotype" w:hAnsi="Palatino Linotype" w:cs="Arial"/>
          <w:sz w:val="24"/>
        </w:rPr>
        <w:t xml:space="preserve">recurso revisión tiene como finalidad reparar cualquier posible afectación al Derecho de Acceso a la Información Pública en términos del Título Octavo de la Ley de </w:t>
      </w:r>
      <w:r w:rsidRPr="00AE5EFF">
        <w:rPr>
          <w:rFonts w:ascii="Palatino Linotype" w:eastAsia="Calibri" w:hAnsi="Palatino Linotype" w:cs="Arial"/>
          <w:sz w:val="24"/>
        </w:rPr>
        <w:t>Transparencia, Acceso a la Información Pública del Estado de México y Municipios</w:t>
      </w:r>
      <w:r w:rsidRPr="00AE5EFF">
        <w:rPr>
          <w:rFonts w:ascii="Palatino Linotype" w:hAnsi="Palatino Linotype" w:cs="Arial"/>
          <w:sz w:val="24"/>
        </w:rPr>
        <w:t xml:space="preserve">, y determinar la confirmación; revocación o modificación; desechamiento o </w:t>
      </w:r>
      <w:r w:rsidRPr="00AE5EFF">
        <w:rPr>
          <w:rFonts w:ascii="Palatino Linotype" w:hAnsi="Palatino Linotype" w:cs="Arial"/>
          <w:b/>
          <w:sz w:val="24"/>
          <w:u w:val="single"/>
        </w:rPr>
        <w:t>sobreseimiento</w:t>
      </w:r>
      <w:r w:rsidRPr="00AE5EFF">
        <w:rPr>
          <w:rFonts w:ascii="Palatino Linotype" w:hAnsi="Palatino Linotype" w:cs="Arial"/>
          <w:sz w:val="24"/>
        </w:rPr>
        <w:t xml:space="preserve">; y, en su caso, </w:t>
      </w:r>
      <w:r w:rsidRPr="00AE5EFF">
        <w:rPr>
          <w:rFonts w:ascii="Palatino Linotype" w:hAnsi="Palatino Linotype" w:cs="Arial"/>
          <w:sz w:val="24"/>
        </w:rPr>
        <w:lastRenderedPageBreak/>
        <w:t xml:space="preserve">ordenar la entrega de la información respecto a la falta de respuesta por parte del </w:t>
      </w:r>
      <w:r w:rsidRPr="00AE5EFF">
        <w:rPr>
          <w:rFonts w:ascii="Palatino Linotype" w:hAnsi="Palatino Linotype" w:cs="Arial"/>
          <w:b/>
          <w:sz w:val="24"/>
        </w:rPr>
        <w:t>SUJETO</w:t>
      </w:r>
      <w:r w:rsidRPr="00AE5EFF">
        <w:rPr>
          <w:rFonts w:ascii="Palatino Linotype" w:hAnsi="Palatino Linotype" w:cs="Arial"/>
          <w:sz w:val="24"/>
        </w:rPr>
        <w:t xml:space="preserve"> </w:t>
      </w:r>
      <w:r w:rsidRPr="00AE5EFF">
        <w:rPr>
          <w:rFonts w:ascii="Palatino Linotype" w:hAnsi="Palatino Linotype" w:cs="Arial"/>
          <w:b/>
          <w:sz w:val="24"/>
        </w:rPr>
        <w:t>OBLIGADO</w:t>
      </w:r>
      <w:r w:rsidRPr="00AE5EFF">
        <w:rPr>
          <w:rFonts w:ascii="Palatino Linotype" w:hAnsi="Palatino Linotype" w:cs="Arial"/>
          <w:sz w:val="24"/>
        </w:rPr>
        <w:t>.</w:t>
      </w:r>
    </w:p>
    <w:p w14:paraId="4ED8870E" w14:textId="77777777" w:rsidR="00CC1041" w:rsidRPr="00AE5EFF" w:rsidRDefault="00CC1041" w:rsidP="00CC1041">
      <w:pPr>
        <w:pStyle w:val="Prrafodelista"/>
        <w:tabs>
          <w:tab w:val="left" w:pos="0"/>
        </w:tabs>
        <w:spacing w:line="360" w:lineRule="auto"/>
        <w:ind w:left="0"/>
        <w:jc w:val="both"/>
        <w:rPr>
          <w:rFonts w:ascii="Palatino Linotype" w:eastAsia="Calibri" w:hAnsi="Palatino Linotype" w:cs="Tahoma"/>
          <w:iCs/>
          <w:sz w:val="24"/>
          <w:lang w:val="es-ES" w:eastAsia="es-ES_tradnl"/>
        </w:rPr>
      </w:pPr>
    </w:p>
    <w:p w14:paraId="2A6C7BB1" w14:textId="4EE74692" w:rsidR="00D55687" w:rsidRPr="00AE5EFF" w:rsidRDefault="00586F37" w:rsidP="00DD4123">
      <w:pPr>
        <w:pStyle w:val="Prrafodelista"/>
        <w:numPr>
          <w:ilvl w:val="0"/>
          <w:numId w:val="37"/>
        </w:numPr>
        <w:tabs>
          <w:tab w:val="left" w:pos="0"/>
        </w:tabs>
        <w:spacing w:line="360" w:lineRule="auto"/>
        <w:ind w:left="0" w:firstLine="0"/>
        <w:jc w:val="both"/>
        <w:rPr>
          <w:rFonts w:ascii="Palatino Linotype" w:eastAsia="Calibri" w:hAnsi="Palatino Linotype" w:cs="Tahoma"/>
          <w:iCs/>
          <w:sz w:val="24"/>
          <w:lang w:val="es-ES" w:eastAsia="es-ES_tradnl"/>
        </w:rPr>
      </w:pPr>
      <w:r w:rsidRPr="00AE5EFF">
        <w:rPr>
          <w:rFonts w:ascii="Palatino Linotype" w:eastAsia="Calibri" w:hAnsi="Palatino Linotype" w:cs="Tahoma"/>
          <w:iCs/>
          <w:sz w:val="24"/>
          <w:lang w:val="es-ES" w:eastAsia="es-ES_tradnl"/>
        </w:rPr>
        <w:t xml:space="preserve">De </w:t>
      </w:r>
      <w:r w:rsidRPr="00AE5EFF">
        <w:rPr>
          <w:rFonts w:ascii="Palatino Linotype" w:eastAsia="Calibri" w:hAnsi="Palatino Linotype"/>
          <w:sz w:val="24"/>
        </w:rPr>
        <w:t>acuerdo con el</w:t>
      </w:r>
      <w:r w:rsidR="00D55687" w:rsidRPr="00AE5EFF">
        <w:rPr>
          <w:rFonts w:ascii="Palatino Linotype" w:eastAsia="Calibri" w:hAnsi="Palatino Linotype"/>
          <w:sz w:val="24"/>
        </w:rPr>
        <w:t xml:space="preserve"> precepto legal contenido en la fracción I</w:t>
      </w:r>
      <w:r w:rsidRPr="00AE5EFF">
        <w:rPr>
          <w:rFonts w:ascii="Palatino Linotype" w:eastAsia="Calibri" w:hAnsi="Palatino Linotype"/>
          <w:sz w:val="24"/>
        </w:rPr>
        <w:t xml:space="preserve">V </w:t>
      </w:r>
      <w:r w:rsidR="00D55687" w:rsidRPr="00AE5EFF">
        <w:rPr>
          <w:rFonts w:ascii="Palatino Linotype" w:eastAsia="Calibri" w:hAnsi="Palatino Linotype"/>
          <w:sz w:val="24"/>
        </w:rPr>
        <w:t xml:space="preserve">del artículo 192 de la </w:t>
      </w:r>
      <w:r w:rsidR="00D55687" w:rsidRPr="00AE5EFF">
        <w:rPr>
          <w:rFonts w:ascii="Palatino Linotype" w:eastAsia="Calibri" w:hAnsi="Palatino Linotype"/>
          <w:b/>
          <w:sz w:val="24"/>
        </w:rPr>
        <w:t>Ley de Transparencia y Acceso a la Información Pública del Estado de México y Municipios</w:t>
      </w:r>
      <w:r w:rsidR="00D55687" w:rsidRPr="00AE5EFF">
        <w:rPr>
          <w:rFonts w:ascii="Palatino Linotype" w:eastAsia="Calibri" w:hAnsi="Palatino Linotype"/>
          <w:sz w:val="24"/>
        </w:rPr>
        <w:t xml:space="preserve">, el recurso será sobreseído, cuando una vez admitido, </w:t>
      </w:r>
      <w:r w:rsidRPr="00AE5EFF">
        <w:rPr>
          <w:rFonts w:ascii="Palatino Linotype" w:eastAsia="Calibri" w:hAnsi="Palatino Linotype"/>
          <w:sz w:val="24"/>
        </w:rPr>
        <w:t>aparezca alguna causal de improcedencia en t</w:t>
      </w:r>
      <w:r w:rsidR="00F4429D" w:rsidRPr="00AE5EFF">
        <w:rPr>
          <w:rFonts w:ascii="Palatino Linotype" w:eastAsia="Calibri" w:hAnsi="Palatino Linotype"/>
          <w:sz w:val="24"/>
        </w:rPr>
        <w:t>é</w:t>
      </w:r>
      <w:r w:rsidRPr="00AE5EFF">
        <w:rPr>
          <w:rFonts w:ascii="Palatino Linotype" w:eastAsia="Calibri" w:hAnsi="Palatino Linotype"/>
          <w:sz w:val="24"/>
        </w:rPr>
        <w:t>rminos de la misma Ley.</w:t>
      </w:r>
    </w:p>
    <w:p w14:paraId="5E47FDED" w14:textId="49C57282" w:rsidR="00797CD8" w:rsidRPr="00AE5EFF" w:rsidRDefault="00797CD8" w:rsidP="00797CD8">
      <w:pPr>
        <w:spacing w:line="360" w:lineRule="auto"/>
        <w:ind w:right="49"/>
        <w:contextualSpacing/>
        <w:jc w:val="both"/>
        <w:rPr>
          <w:rFonts w:ascii="Palatino Linotype" w:eastAsiaTheme="minorEastAsia" w:hAnsi="Palatino Linotype"/>
          <w:lang w:val="es-ES_tradnl" w:eastAsia="es-ES"/>
        </w:rPr>
      </w:pPr>
    </w:p>
    <w:p w14:paraId="2BD13589" w14:textId="20693933" w:rsidR="00222E05" w:rsidRPr="00AE5EFF" w:rsidRDefault="00FD4F8F" w:rsidP="00DD4123">
      <w:pPr>
        <w:keepNext/>
        <w:keepLines/>
        <w:numPr>
          <w:ilvl w:val="1"/>
          <w:numId w:val="37"/>
        </w:numPr>
        <w:spacing w:line="360" w:lineRule="auto"/>
        <w:ind w:left="567" w:firstLine="0"/>
        <w:outlineLvl w:val="1"/>
        <w:rPr>
          <w:rFonts w:ascii="Palatino Linotype" w:eastAsiaTheme="majorEastAsia" w:hAnsi="Palatino Linotype" w:cstheme="majorBidi"/>
          <w:b/>
          <w:iCs/>
        </w:rPr>
      </w:pPr>
      <w:bookmarkStart w:id="12" w:name="_Toc365136"/>
      <w:r w:rsidRPr="00AE5EFF">
        <w:rPr>
          <w:rFonts w:ascii="Palatino Linotype" w:eastAsiaTheme="majorEastAsia" w:hAnsi="Palatino Linotype" w:cstheme="majorBidi"/>
          <w:b/>
          <w:iCs/>
        </w:rPr>
        <w:t xml:space="preserve"> De la soli</w:t>
      </w:r>
      <w:r w:rsidR="00F4429D" w:rsidRPr="00AE5EFF">
        <w:rPr>
          <w:rFonts w:ascii="Palatino Linotype" w:eastAsiaTheme="majorEastAsia" w:hAnsi="Palatino Linotype" w:cstheme="majorBidi"/>
          <w:b/>
          <w:iCs/>
        </w:rPr>
        <w:t>ci</w:t>
      </w:r>
      <w:r w:rsidRPr="00AE5EFF">
        <w:rPr>
          <w:rFonts w:ascii="Palatino Linotype" w:eastAsiaTheme="majorEastAsia" w:hAnsi="Palatino Linotype" w:cstheme="majorBidi"/>
          <w:b/>
          <w:iCs/>
        </w:rPr>
        <w:t>tud de información</w:t>
      </w:r>
      <w:bookmarkEnd w:id="12"/>
      <w:r w:rsidRPr="00AE5EFF">
        <w:rPr>
          <w:rFonts w:ascii="Palatino Linotype" w:eastAsiaTheme="majorEastAsia" w:hAnsi="Palatino Linotype" w:cstheme="majorBidi"/>
          <w:b/>
          <w:iCs/>
        </w:rPr>
        <w:t xml:space="preserve"> </w:t>
      </w:r>
    </w:p>
    <w:p w14:paraId="3B0581D8" w14:textId="77777777" w:rsidR="00DD4123" w:rsidRPr="00AE5EFF" w:rsidRDefault="00222E05" w:rsidP="00DD4123">
      <w:pPr>
        <w:numPr>
          <w:ilvl w:val="0"/>
          <w:numId w:val="37"/>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AE5EFF">
        <w:rPr>
          <w:rFonts w:ascii="Palatino Linotype" w:hAnsi="Palatino Linotype"/>
          <w:color w:val="000000"/>
        </w:rPr>
        <w:t>Como ya se ha señalado,</w:t>
      </w:r>
      <w:r w:rsidR="00FF4563" w:rsidRPr="00AE5EFF">
        <w:rPr>
          <w:rFonts w:ascii="Palatino Linotype" w:hAnsi="Palatino Linotype"/>
          <w:color w:val="000000"/>
        </w:rPr>
        <w:t xml:space="preserve"> </w:t>
      </w:r>
      <w:r w:rsidR="008075F3" w:rsidRPr="00AE5EFF">
        <w:rPr>
          <w:rFonts w:ascii="Palatino Linotype" w:hAnsi="Palatino Linotype"/>
          <w:color w:val="000000"/>
        </w:rPr>
        <w:t>el</w:t>
      </w:r>
      <w:r w:rsidR="00BC1BF5" w:rsidRPr="00AE5EFF">
        <w:rPr>
          <w:rFonts w:ascii="Palatino Linotype" w:hAnsi="Palatino Linotype"/>
          <w:color w:val="000000"/>
        </w:rPr>
        <w:t xml:space="preserve"> </w:t>
      </w:r>
      <w:r w:rsidR="00BC1BF5" w:rsidRPr="00AE5EFF">
        <w:rPr>
          <w:rFonts w:ascii="Palatino Linotype" w:hAnsi="Palatino Linotype"/>
          <w:b/>
          <w:bCs/>
          <w:color w:val="000000"/>
        </w:rPr>
        <w:t xml:space="preserve">RECURRENTE </w:t>
      </w:r>
      <w:r w:rsidR="008075F3" w:rsidRPr="00AE5EFF">
        <w:rPr>
          <w:rFonts w:ascii="Palatino Linotype" w:hAnsi="Palatino Linotype"/>
          <w:color w:val="000000"/>
        </w:rPr>
        <w:t>solicitó</w:t>
      </w:r>
      <w:r w:rsidR="00BC1BF5" w:rsidRPr="00AE5EFF">
        <w:rPr>
          <w:rFonts w:ascii="Palatino Linotype" w:hAnsi="Palatino Linotype"/>
          <w:color w:val="000000"/>
        </w:rPr>
        <w:t xml:space="preserve"> </w:t>
      </w:r>
      <w:r w:rsidR="00DD4123" w:rsidRPr="00AE5EFF">
        <w:rPr>
          <w:rFonts w:ascii="Palatino Linotype" w:eastAsia="Palatino Linotype" w:hAnsi="Palatino Linotype" w:cs="Palatino Linotype"/>
          <w:color w:val="000000"/>
        </w:rPr>
        <w:t xml:space="preserve">de la </w:t>
      </w:r>
      <w:r w:rsidR="00DD4123" w:rsidRPr="00AE5EFF">
        <w:rPr>
          <w:rFonts w:ascii="Palatino Linotype" w:eastAsia="Palatino Linotype" w:hAnsi="Palatino Linotype" w:cs="Palatino Linotype"/>
          <w:b/>
          <w:color w:val="000000"/>
        </w:rPr>
        <w:t xml:space="preserve">selección de jueces cívicos, </w:t>
      </w:r>
      <w:r w:rsidR="00DD4123" w:rsidRPr="00AE5EFF">
        <w:rPr>
          <w:rFonts w:ascii="Palatino Linotype" w:eastAsia="Palatino Linotype" w:hAnsi="Palatino Linotype" w:cs="Palatino Linotype"/>
          <w:color w:val="000000"/>
        </w:rPr>
        <w:t>lo siguiente:</w:t>
      </w:r>
    </w:p>
    <w:p w14:paraId="5D530DAA" w14:textId="77777777" w:rsidR="00DD4123" w:rsidRPr="00AE5EFF" w:rsidRDefault="00DD4123" w:rsidP="00DD4123">
      <w:pPr>
        <w:pStyle w:val="Prrafodelista"/>
        <w:numPr>
          <w:ilvl w:val="0"/>
          <w:numId w:val="38"/>
        </w:numPr>
        <w:spacing w:line="360" w:lineRule="auto"/>
        <w:jc w:val="both"/>
        <w:rPr>
          <w:rFonts w:ascii="Palatino Linotype" w:eastAsia="Palatino Linotype" w:hAnsi="Palatino Linotype" w:cs="Palatino Linotype"/>
          <w:b/>
          <w:color w:val="000000"/>
          <w:sz w:val="24"/>
        </w:rPr>
      </w:pPr>
      <w:r w:rsidRPr="00AE5EFF">
        <w:rPr>
          <w:rFonts w:ascii="Palatino Linotype" w:eastAsia="Palatino Linotype" w:hAnsi="Palatino Linotype" w:cs="Palatino Linotype"/>
          <w:b/>
          <w:color w:val="000000"/>
          <w:sz w:val="24"/>
        </w:rPr>
        <w:t xml:space="preserve">Convocatoria de selección </w:t>
      </w:r>
    </w:p>
    <w:p w14:paraId="56401690" w14:textId="77777777" w:rsidR="00DD4123" w:rsidRPr="00AE5EFF" w:rsidRDefault="00DD4123" w:rsidP="00DD4123">
      <w:pPr>
        <w:pStyle w:val="Prrafodelista"/>
        <w:numPr>
          <w:ilvl w:val="0"/>
          <w:numId w:val="38"/>
        </w:numPr>
        <w:spacing w:line="360" w:lineRule="auto"/>
        <w:jc w:val="both"/>
        <w:rPr>
          <w:rFonts w:ascii="Palatino Linotype" w:eastAsia="Palatino Linotype" w:hAnsi="Palatino Linotype" w:cs="Palatino Linotype"/>
          <w:b/>
          <w:color w:val="000000"/>
          <w:sz w:val="24"/>
        </w:rPr>
      </w:pPr>
      <w:r w:rsidRPr="00AE5EFF">
        <w:rPr>
          <w:rFonts w:ascii="Palatino Linotype" w:eastAsia="Palatino Linotype" w:hAnsi="Palatino Linotype" w:cs="Palatino Linotype"/>
          <w:b/>
          <w:color w:val="000000"/>
          <w:sz w:val="24"/>
        </w:rPr>
        <w:t xml:space="preserve">Requisitos </w:t>
      </w:r>
    </w:p>
    <w:p w14:paraId="73AE6A0D" w14:textId="77777777" w:rsidR="00DD4123" w:rsidRPr="00AE5EFF" w:rsidRDefault="00DD4123" w:rsidP="00DD4123">
      <w:pPr>
        <w:pStyle w:val="Prrafodelista"/>
        <w:numPr>
          <w:ilvl w:val="0"/>
          <w:numId w:val="38"/>
        </w:numPr>
        <w:spacing w:line="360" w:lineRule="auto"/>
        <w:jc w:val="both"/>
        <w:rPr>
          <w:rFonts w:ascii="Palatino Linotype" w:eastAsia="Palatino Linotype" w:hAnsi="Palatino Linotype" w:cs="Palatino Linotype"/>
          <w:b/>
          <w:color w:val="000000"/>
          <w:sz w:val="24"/>
        </w:rPr>
      </w:pPr>
      <w:r w:rsidRPr="00AE5EFF">
        <w:rPr>
          <w:rFonts w:ascii="Palatino Linotype" w:eastAsia="Palatino Linotype" w:hAnsi="Palatino Linotype" w:cs="Palatino Linotype"/>
          <w:b/>
          <w:color w:val="000000"/>
          <w:sz w:val="24"/>
        </w:rPr>
        <w:t xml:space="preserve">Grado de estudios </w:t>
      </w:r>
    </w:p>
    <w:p w14:paraId="05276977" w14:textId="77777777" w:rsidR="00DD4123" w:rsidRPr="00AE5EFF" w:rsidRDefault="00DD4123" w:rsidP="00DD412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2B99323" w14:textId="5C2CD6CB" w:rsidR="003F34FF" w:rsidRPr="00AE5EFF" w:rsidRDefault="00512737" w:rsidP="00DD4123">
      <w:pPr>
        <w:numPr>
          <w:ilvl w:val="0"/>
          <w:numId w:val="3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AE5EFF">
        <w:rPr>
          <w:rFonts w:ascii="Palatino Linotype" w:hAnsi="Palatino Linotype"/>
          <w:color w:val="000000"/>
        </w:rPr>
        <w:t>En respuesta</w:t>
      </w:r>
      <w:r w:rsidR="005C35FA" w:rsidRPr="00AE5EFF">
        <w:rPr>
          <w:rFonts w:ascii="Palatino Linotype" w:hAnsi="Palatino Linotype"/>
          <w:color w:val="000000"/>
        </w:rPr>
        <w:t xml:space="preserve">, </w:t>
      </w:r>
      <w:r w:rsidR="005C35FA" w:rsidRPr="00AE5EFF">
        <w:rPr>
          <w:rFonts w:ascii="Palatino Linotype" w:eastAsia="Calibri" w:hAnsi="Palatino Linotype" w:cs="Tahoma"/>
          <w:color w:val="000000"/>
          <w:lang w:val="es-ES"/>
        </w:rPr>
        <w:t xml:space="preserve">el </w:t>
      </w:r>
      <w:r w:rsidR="005C35FA" w:rsidRPr="00AE5EFF">
        <w:rPr>
          <w:rFonts w:ascii="Palatino Linotype" w:eastAsia="Calibri" w:hAnsi="Palatino Linotype" w:cs="Tahoma"/>
          <w:b/>
          <w:bCs/>
          <w:color w:val="000000"/>
          <w:lang w:val="es-ES"/>
        </w:rPr>
        <w:t>SUJETO OBLIGADO</w:t>
      </w:r>
      <w:r w:rsidR="008075F3" w:rsidRPr="00AE5EFF">
        <w:rPr>
          <w:rFonts w:ascii="Palatino Linotype" w:eastAsia="Calibri" w:hAnsi="Palatino Linotype" w:cs="Tahoma"/>
          <w:color w:val="000000"/>
          <w:lang w:val="es-ES"/>
        </w:rPr>
        <w:t xml:space="preserve"> </w:t>
      </w:r>
      <w:r w:rsidR="003F34FF" w:rsidRPr="00AE5EFF">
        <w:rPr>
          <w:rFonts w:ascii="Palatino Linotype" w:eastAsia="Palatino Linotype" w:hAnsi="Palatino Linotype" w:cs="Palatino Linotype"/>
          <w:color w:val="000000"/>
        </w:rPr>
        <w:t xml:space="preserve">brindo </w:t>
      </w:r>
      <w:r w:rsidR="003F34FF" w:rsidRPr="00AE5EFF">
        <w:rPr>
          <w:rFonts w:ascii="Palatino Linotype" w:eastAsia="Palatino Linotype" w:hAnsi="Palatino Linotype" w:cs="Palatino Linotype"/>
          <w:color w:val="000000" w:themeColor="text1"/>
        </w:rPr>
        <w:t>contestación en términos del numeral tres de la presente resolución.</w:t>
      </w:r>
    </w:p>
    <w:p w14:paraId="4D097DB6" w14:textId="75C670F7" w:rsidR="00512737" w:rsidRPr="00AE5EFF" w:rsidRDefault="00512737" w:rsidP="003F34FF">
      <w:pPr>
        <w:spacing w:line="360" w:lineRule="auto"/>
        <w:ind w:right="49"/>
        <w:contextualSpacing/>
        <w:jc w:val="both"/>
        <w:rPr>
          <w:rFonts w:ascii="Palatino Linotype" w:hAnsi="Palatino Linotype"/>
          <w:b/>
          <w:bCs/>
          <w:i/>
          <w:iCs/>
          <w:color w:val="000000"/>
        </w:rPr>
      </w:pPr>
    </w:p>
    <w:p w14:paraId="3C810073" w14:textId="59133C7E" w:rsidR="00DD4123" w:rsidRPr="00AE5EFF" w:rsidRDefault="00127347" w:rsidP="00DD4123">
      <w:pPr>
        <w:numPr>
          <w:ilvl w:val="0"/>
          <w:numId w:val="37"/>
        </w:numPr>
        <w:spacing w:line="360" w:lineRule="auto"/>
        <w:ind w:left="0" w:right="49" w:firstLine="0"/>
        <w:contextualSpacing/>
        <w:jc w:val="both"/>
        <w:rPr>
          <w:rFonts w:ascii="Palatino Linotype" w:hAnsi="Palatino Linotype"/>
          <w:color w:val="000000"/>
        </w:rPr>
      </w:pPr>
      <w:r w:rsidRPr="00AE5EFF">
        <w:rPr>
          <w:rFonts w:ascii="Palatino Linotype" w:hAnsi="Palatino Linotype"/>
          <w:color w:val="000000"/>
        </w:rPr>
        <w:t>No obstante</w:t>
      </w:r>
      <w:r w:rsidR="0039710F" w:rsidRPr="00AE5EFF">
        <w:rPr>
          <w:rFonts w:ascii="Palatino Linotype" w:hAnsi="Palatino Linotype"/>
          <w:color w:val="000000"/>
        </w:rPr>
        <w:t xml:space="preserve">, </w:t>
      </w:r>
      <w:r w:rsidR="008075F3" w:rsidRPr="00AE5EFF">
        <w:rPr>
          <w:rFonts w:ascii="Palatino Linotype" w:hAnsi="Palatino Linotype"/>
          <w:color w:val="000000"/>
        </w:rPr>
        <w:t>el</w:t>
      </w:r>
      <w:r w:rsidR="0039710F" w:rsidRPr="00AE5EFF">
        <w:rPr>
          <w:rFonts w:ascii="Palatino Linotype" w:hAnsi="Palatino Linotype"/>
          <w:color w:val="000000"/>
        </w:rPr>
        <w:t xml:space="preserve"> </w:t>
      </w:r>
      <w:r w:rsidR="00A616F0" w:rsidRPr="00AE5EFF">
        <w:rPr>
          <w:rFonts w:ascii="Palatino Linotype" w:hAnsi="Palatino Linotype"/>
          <w:b/>
          <w:bCs/>
          <w:color w:val="000000"/>
        </w:rPr>
        <w:t>RECURRENTE</w:t>
      </w:r>
      <w:r w:rsidR="0039710F" w:rsidRPr="00AE5EFF">
        <w:rPr>
          <w:rFonts w:ascii="Palatino Linotype" w:hAnsi="Palatino Linotype"/>
          <w:color w:val="000000"/>
        </w:rPr>
        <w:t xml:space="preserve"> </w:t>
      </w:r>
      <w:r w:rsidR="00AF748E" w:rsidRPr="00AE5EFF">
        <w:rPr>
          <w:rFonts w:ascii="Palatino Linotype" w:hAnsi="Palatino Linotype"/>
          <w:color w:val="000000"/>
        </w:rPr>
        <w:t>por medio</w:t>
      </w:r>
      <w:r w:rsidR="0039710F" w:rsidRPr="00AE5EFF">
        <w:rPr>
          <w:rFonts w:ascii="Palatino Linotype" w:hAnsi="Palatino Linotype"/>
          <w:color w:val="000000"/>
        </w:rPr>
        <w:t xml:space="preserve"> del recurso de revisión</w:t>
      </w:r>
      <w:r w:rsidR="00AF748E" w:rsidRPr="00AE5EFF">
        <w:rPr>
          <w:rFonts w:ascii="Palatino Linotype" w:hAnsi="Palatino Linotype"/>
          <w:color w:val="000000"/>
        </w:rPr>
        <w:t>,</w:t>
      </w:r>
      <w:r w:rsidR="0039710F" w:rsidRPr="00AE5EFF">
        <w:rPr>
          <w:rFonts w:ascii="Palatino Linotype" w:hAnsi="Palatino Linotype"/>
          <w:color w:val="000000"/>
        </w:rPr>
        <w:t xml:space="preserve"> manifestó </w:t>
      </w:r>
      <w:r w:rsidRPr="00AE5EFF">
        <w:rPr>
          <w:rFonts w:ascii="Palatino Linotype" w:hAnsi="Palatino Linotype"/>
          <w:color w:val="000000"/>
        </w:rPr>
        <w:t xml:space="preserve">como </w:t>
      </w:r>
      <w:r w:rsidR="008075F3" w:rsidRPr="00AE5EFF">
        <w:rPr>
          <w:rFonts w:ascii="Palatino Linotype" w:hAnsi="Palatino Linotype"/>
          <w:color w:val="000000"/>
        </w:rPr>
        <w:t xml:space="preserve">razones o motivos de inconformidad: </w:t>
      </w:r>
      <w:r w:rsidR="00DD4123" w:rsidRPr="00AE5EFF">
        <w:rPr>
          <w:rFonts w:ascii="Palatino Linotype" w:eastAsia="Palatino Linotype" w:hAnsi="Palatino Linotype" w:cs="Palatino Linotype"/>
          <w:i/>
          <w:color w:val="000000"/>
        </w:rPr>
        <w:t>“No son claros en como hicieron la selección de las personas que ocuparían la plaza y solo se señalan las bases de la convocatoria.”(Sic.)</w:t>
      </w:r>
    </w:p>
    <w:p w14:paraId="44436BAB" w14:textId="77777777" w:rsidR="009318B1" w:rsidRPr="00AE5EFF" w:rsidRDefault="009318B1" w:rsidP="005255B9">
      <w:pPr>
        <w:rPr>
          <w:rFonts w:ascii="Palatino Linotype" w:hAnsi="Palatino Linotype"/>
          <w:color w:val="000000"/>
        </w:rPr>
      </w:pPr>
    </w:p>
    <w:p w14:paraId="1EACAA16" w14:textId="26DC8C69" w:rsidR="00DD4123" w:rsidRPr="00AE5EFF" w:rsidRDefault="00DD4123" w:rsidP="00DD4123">
      <w:pPr>
        <w:pStyle w:val="Prrafodelista"/>
        <w:numPr>
          <w:ilvl w:val="0"/>
          <w:numId w:val="37"/>
        </w:numPr>
        <w:spacing w:line="360" w:lineRule="auto"/>
        <w:ind w:left="0" w:right="-28" w:firstLine="0"/>
        <w:jc w:val="both"/>
        <w:rPr>
          <w:rFonts w:ascii="Palatino Linotype" w:eastAsia="Palatino Linotype" w:hAnsi="Palatino Linotype" w:cs="Palatino Linotype"/>
          <w:sz w:val="24"/>
        </w:rPr>
      </w:pPr>
      <w:r w:rsidRPr="00AE5EFF">
        <w:rPr>
          <w:rFonts w:ascii="Palatino Linotype" w:hAnsi="Palatino Linotype"/>
          <w:color w:val="000000"/>
          <w:sz w:val="24"/>
        </w:rPr>
        <w:t xml:space="preserve">Conforme a lo anterior, </w:t>
      </w:r>
      <w:r w:rsidRPr="00AE5EFF">
        <w:rPr>
          <w:rFonts w:ascii="Palatino Linotype" w:hAnsi="Palatino Linotype" w:cs="Arial"/>
          <w:sz w:val="24"/>
        </w:rPr>
        <w:t xml:space="preserve">el sistema de medios de impugnación se centra en el análisis de los agravios o motivos de inconformidad, que deben tener relación directa con el acto de autoridad que lo motiva. </w:t>
      </w:r>
    </w:p>
    <w:p w14:paraId="36A215D5" w14:textId="77777777" w:rsidR="00DD4123" w:rsidRPr="00AE5EFF" w:rsidRDefault="00DD4123" w:rsidP="00DD4123">
      <w:pPr>
        <w:numPr>
          <w:ilvl w:val="0"/>
          <w:numId w:val="37"/>
        </w:numPr>
        <w:spacing w:line="360" w:lineRule="auto"/>
        <w:ind w:left="0" w:right="-28" w:firstLine="0"/>
        <w:jc w:val="both"/>
        <w:rPr>
          <w:rFonts w:ascii="Palatino Linotype" w:eastAsia="Palatino Linotype" w:hAnsi="Palatino Linotype" w:cs="Palatino Linotype"/>
        </w:rPr>
      </w:pPr>
      <w:r w:rsidRPr="00AE5EFF">
        <w:rPr>
          <w:rFonts w:ascii="Palatino Linotype" w:hAnsi="Palatino Linotype" w:cs="Arial"/>
        </w:rPr>
        <w:lastRenderedPageBreak/>
        <w:t xml:space="preserve">En materia de transparencia, los motivos de la inconformidad deben versar sobre la respuesta de información proporcionada por los sujetos obligados o la negativa de entrega de la misma, derivada de la solicitud de información pública. De este modo, en los motivos de inconformidad los recurrentes no pueden incluir situaciones novedosas o solicitudes de información nuevas de las que el </w:t>
      </w:r>
      <w:r w:rsidRPr="00AE5EFF">
        <w:rPr>
          <w:rFonts w:ascii="Palatino Linotype" w:hAnsi="Palatino Linotype" w:cs="Arial"/>
          <w:b/>
        </w:rPr>
        <w:t>SUJETO OBLIGADO</w:t>
      </w:r>
      <w:r w:rsidRPr="00AE5EFF">
        <w:rPr>
          <w:rFonts w:ascii="Palatino Linotype" w:hAnsi="Palatino Linotype" w:cs="Arial"/>
        </w:rPr>
        <w:t xml:space="preserve"> no tuvo la oportunidad de conocer y por consiguiente producir un posicionamiento.</w:t>
      </w:r>
    </w:p>
    <w:p w14:paraId="032C66D2" w14:textId="77777777" w:rsidR="00DD4123" w:rsidRPr="00AE5EFF" w:rsidRDefault="00DD4123" w:rsidP="00DD4123">
      <w:pPr>
        <w:pStyle w:val="Prrafodelista"/>
        <w:ind w:right="-28"/>
        <w:rPr>
          <w:rFonts w:ascii="Palatino Linotype" w:eastAsia="Palatino Linotype" w:hAnsi="Palatino Linotype" w:cs="Palatino Linotype"/>
          <w:sz w:val="24"/>
        </w:rPr>
      </w:pPr>
    </w:p>
    <w:p w14:paraId="597142FB" w14:textId="77777777" w:rsidR="00DD4123" w:rsidRPr="00AE5EFF" w:rsidRDefault="00DD4123" w:rsidP="00DD4123">
      <w:pPr>
        <w:numPr>
          <w:ilvl w:val="0"/>
          <w:numId w:val="37"/>
        </w:numPr>
        <w:spacing w:line="360" w:lineRule="auto"/>
        <w:ind w:left="0" w:right="-28" w:firstLine="0"/>
        <w:jc w:val="both"/>
        <w:rPr>
          <w:rFonts w:ascii="Palatino Linotype" w:eastAsia="Palatino Linotype" w:hAnsi="Palatino Linotype" w:cs="Palatino Linotype"/>
        </w:rPr>
      </w:pPr>
      <w:r w:rsidRPr="00AE5EFF">
        <w:rPr>
          <w:rFonts w:ascii="Palatino Linotype" w:hAnsi="Palatino Linotype"/>
          <w:color w:val="000000"/>
        </w:rPr>
        <w:t xml:space="preserve">Es </w:t>
      </w:r>
      <w:r w:rsidRPr="00AE5EFF">
        <w:rPr>
          <w:rFonts w:ascii="Palatino Linotype" w:hAnsi="Palatino Linotype" w:cs="Arial"/>
        </w:rPr>
        <w:t>por ello, que la Ley de la materia contempla que en los casos en que a través del recurso de revisión se pretenda ampliar los requerimientos de información, la inconformidad relativa a estas situaciones novedosas no debe ser tomada en cuenta como parte de la Litis y debe ser desechada, tal y como lo establece el artículo 191 fracción VII.</w:t>
      </w:r>
    </w:p>
    <w:p w14:paraId="692375F8" w14:textId="77777777" w:rsidR="00DD4123" w:rsidRPr="00AE5EFF" w:rsidRDefault="00DD4123" w:rsidP="00DD4123">
      <w:pPr>
        <w:pStyle w:val="Prrafodelista"/>
        <w:rPr>
          <w:rFonts w:ascii="Palatino Linotype" w:hAnsi="Palatino Linotype"/>
          <w:color w:val="000000"/>
          <w:sz w:val="24"/>
        </w:rPr>
      </w:pPr>
    </w:p>
    <w:p w14:paraId="10719352" w14:textId="5D57D5B3" w:rsidR="00DD4123" w:rsidRPr="00AE5EFF" w:rsidRDefault="00DD4123" w:rsidP="00DD4123">
      <w:pPr>
        <w:numPr>
          <w:ilvl w:val="0"/>
          <w:numId w:val="37"/>
        </w:numPr>
        <w:spacing w:line="360" w:lineRule="auto"/>
        <w:ind w:left="0" w:right="-28" w:firstLine="0"/>
        <w:jc w:val="both"/>
        <w:rPr>
          <w:rFonts w:ascii="Palatino Linotype" w:eastAsia="Palatino Linotype" w:hAnsi="Palatino Linotype" w:cs="Palatino Linotype"/>
        </w:rPr>
      </w:pPr>
      <w:r w:rsidRPr="00AE5EFF">
        <w:rPr>
          <w:rFonts w:ascii="Palatino Linotype" w:hAnsi="Palatino Linotype"/>
          <w:color w:val="000000"/>
        </w:rPr>
        <w:t xml:space="preserve">Por </w:t>
      </w:r>
      <w:r w:rsidRPr="00AE5EFF">
        <w:rPr>
          <w:rFonts w:ascii="Palatino Linotype" w:hAnsi="Palatino Linotype" w:cs="Arial"/>
        </w:rPr>
        <w:t xml:space="preserve">lo anterior, resulta improcedente el referido motivo de inconformidad, ya que </w:t>
      </w:r>
      <w:r w:rsidRPr="00AE5EFF">
        <w:rPr>
          <w:rFonts w:ascii="Palatino Linotype" w:hAnsi="Palatino Linotype" w:cs="Arial"/>
          <w:color w:val="000000"/>
        </w:rPr>
        <w:t xml:space="preserve">se aprecia que la </w:t>
      </w:r>
      <w:r w:rsidRPr="00AE5EFF">
        <w:rPr>
          <w:rFonts w:ascii="Palatino Linotype" w:hAnsi="Palatino Linotype" w:cs="Arial"/>
          <w:b/>
          <w:bCs/>
          <w:color w:val="000000"/>
        </w:rPr>
        <w:t>RECURRENTE</w:t>
      </w:r>
      <w:r w:rsidRPr="00AE5EFF">
        <w:rPr>
          <w:rFonts w:ascii="Palatino Linotype" w:hAnsi="Palatino Linotype" w:cs="Arial"/>
          <w:color w:val="000000"/>
        </w:rPr>
        <w:t xml:space="preserve"> se excede dentro de su inconformidad respecto a lo requerido originalmente en la solicitud de información, siendo el caso que pretende ampliar lo solicitado de origen, lo que hace que se surta lo que en la teoría jurídica se le denomina </w:t>
      </w:r>
      <w:r w:rsidRPr="00AE5EFF">
        <w:rPr>
          <w:rFonts w:ascii="Palatino Linotype" w:hAnsi="Palatino Linotype" w:cs="Arial"/>
          <w:b/>
          <w:bCs/>
          <w:i/>
          <w:iCs/>
          <w:color w:val="000000"/>
        </w:rPr>
        <w:t>plus petitio.</w:t>
      </w:r>
    </w:p>
    <w:p w14:paraId="702D7DAA" w14:textId="77777777" w:rsidR="00DD4123" w:rsidRPr="00AE5EFF" w:rsidRDefault="00DD4123" w:rsidP="00DD4123">
      <w:pPr>
        <w:pStyle w:val="Prrafodelista"/>
        <w:rPr>
          <w:rFonts w:ascii="Palatino Linotype" w:hAnsi="Palatino Linotype"/>
          <w:color w:val="000000"/>
          <w:sz w:val="24"/>
        </w:rPr>
      </w:pPr>
    </w:p>
    <w:p w14:paraId="1C3ACA89" w14:textId="77777777" w:rsidR="00DD4123" w:rsidRPr="00AE5EFF" w:rsidRDefault="00DD4123" w:rsidP="00DD4123">
      <w:pPr>
        <w:numPr>
          <w:ilvl w:val="0"/>
          <w:numId w:val="37"/>
        </w:numPr>
        <w:spacing w:line="360" w:lineRule="auto"/>
        <w:ind w:left="0" w:right="-28" w:firstLine="0"/>
        <w:jc w:val="both"/>
        <w:rPr>
          <w:rFonts w:ascii="Palatino Linotype" w:eastAsia="Palatino Linotype" w:hAnsi="Palatino Linotype" w:cs="Palatino Linotype"/>
        </w:rPr>
      </w:pPr>
      <w:r w:rsidRPr="00AE5EFF">
        <w:rPr>
          <w:rFonts w:ascii="Palatino Linotype" w:hAnsi="Palatino Linotype"/>
          <w:color w:val="000000"/>
        </w:rPr>
        <w:t xml:space="preserve">Sirve </w:t>
      </w:r>
      <w:r w:rsidRPr="00AE5EFF">
        <w:rPr>
          <w:rFonts w:ascii="Palatino Linotype" w:hAnsi="Palatino Linotype" w:cs="Arial"/>
          <w:color w:val="000000"/>
        </w:rPr>
        <w:t>de apoyo el criterio 01/17 emitido por el Instituto Nacional de Transparencia, Acceso a la Información y Protección de Datos Personales que establece lo siguiente:</w:t>
      </w:r>
    </w:p>
    <w:p w14:paraId="2F82658A" w14:textId="77777777" w:rsidR="00DD4123" w:rsidRPr="00AE5EFF" w:rsidRDefault="00DD4123" w:rsidP="00DD4123">
      <w:pPr>
        <w:ind w:left="567" w:right="283"/>
        <w:contextualSpacing/>
        <w:jc w:val="both"/>
        <w:rPr>
          <w:rFonts w:ascii="Palatino Linotype" w:hAnsi="Palatino Linotype" w:cs="Arial"/>
          <w:i/>
          <w:color w:val="000000"/>
        </w:rPr>
      </w:pPr>
      <w:r w:rsidRPr="00AE5EFF">
        <w:rPr>
          <w:rFonts w:ascii="Palatino Linotype" w:hAnsi="Palatino Linotype" w:cs="Arial"/>
          <w:b/>
          <w:i/>
          <w:color w:val="000000"/>
        </w:rPr>
        <w:t>Es improcedente ampliar las solicitudes de acceso a información, a través de la interposición del recurso de revisión.</w:t>
      </w:r>
      <w:r w:rsidRPr="00AE5EFF">
        <w:rPr>
          <w:rFonts w:ascii="Palatino Linotype" w:hAnsi="Palatino Linotype" w:cs="Arial"/>
          <w:i/>
          <w:color w:val="000000"/>
        </w:rPr>
        <w:t xml:space="preserve">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p>
    <w:p w14:paraId="387E2232" w14:textId="77777777" w:rsidR="00DD4123" w:rsidRPr="00AE5EFF" w:rsidRDefault="00DD4123" w:rsidP="00DD4123">
      <w:pPr>
        <w:ind w:left="567" w:right="283"/>
        <w:contextualSpacing/>
        <w:jc w:val="both"/>
        <w:rPr>
          <w:rFonts w:ascii="Palatino Linotype" w:hAnsi="Palatino Linotype" w:cs="Arial"/>
          <w:color w:val="000000"/>
        </w:rPr>
      </w:pPr>
    </w:p>
    <w:p w14:paraId="59F2A171" w14:textId="77777777" w:rsidR="00DD4123" w:rsidRPr="00AE5EFF" w:rsidRDefault="00DD4123" w:rsidP="00DD4123">
      <w:pPr>
        <w:ind w:left="567" w:right="283"/>
        <w:contextualSpacing/>
        <w:jc w:val="both"/>
        <w:rPr>
          <w:rFonts w:ascii="Palatino Linotype" w:hAnsi="Palatino Linotype" w:cs="Arial"/>
          <w:i/>
          <w:color w:val="000000"/>
        </w:rPr>
      </w:pPr>
      <w:r w:rsidRPr="00AE5EFF">
        <w:rPr>
          <w:rFonts w:ascii="Palatino Linotype" w:hAnsi="Palatino Linotype" w:cs="Arial"/>
          <w:i/>
          <w:color w:val="000000"/>
        </w:rPr>
        <w:t>Resoluciones:</w:t>
      </w:r>
    </w:p>
    <w:p w14:paraId="4C285E9E" w14:textId="77777777" w:rsidR="00DD4123" w:rsidRPr="00AE5EFF" w:rsidRDefault="00DD4123" w:rsidP="00DD4123">
      <w:pPr>
        <w:ind w:left="567" w:right="283"/>
        <w:contextualSpacing/>
        <w:jc w:val="both"/>
        <w:rPr>
          <w:rFonts w:ascii="Palatino Linotype" w:hAnsi="Palatino Linotype" w:cs="Arial"/>
          <w:i/>
          <w:color w:val="000000"/>
        </w:rPr>
      </w:pPr>
      <w:r w:rsidRPr="00AE5EFF">
        <w:rPr>
          <w:rFonts w:ascii="Palatino Linotype" w:hAnsi="Palatino Linotype" w:cs="Arial"/>
          <w:i/>
          <w:color w:val="000000"/>
        </w:rPr>
        <w:lastRenderedPageBreak/>
        <w:t>RRA 0196/16. Secretaría de Agricultura, Ganadería, Desarrollo Rural, Pesca y Alimentación. 13 de julio de 2016. Por unanimidad. Comisionado Ponente Joel Salas Suárez.</w:t>
      </w:r>
    </w:p>
    <w:p w14:paraId="43C2A2D3" w14:textId="77777777" w:rsidR="00DD4123" w:rsidRPr="00AE5EFF" w:rsidRDefault="00DD4123" w:rsidP="00DD4123">
      <w:pPr>
        <w:ind w:left="567" w:right="283"/>
        <w:contextualSpacing/>
        <w:jc w:val="both"/>
        <w:rPr>
          <w:rFonts w:ascii="Palatino Linotype" w:hAnsi="Palatino Linotype" w:cs="Arial"/>
          <w:i/>
          <w:color w:val="000000"/>
        </w:rPr>
      </w:pPr>
      <w:r w:rsidRPr="00AE5EFF">
        <w:rPr>
          <w:rFonts w:ascii="Palatino Linotype" w:hAnsi="Palatino Linotype" w:cs="Arial"/>
          <w:i/>
          <w:color w:val="000000"/>
        </w:rPr>
        <w:t>RRA 0130/16. Comisión Nacional del Agua. 09 de agosto de 2016. Por unanimidad. Comisionado Ponente María Patricia Kurczyn Villalobos.</w:t>
      </w:r>
    </w:p>
    <w:p w14:paraId="1CED40D0" w14:textId="77777777" w:rsidR="00DD4123" w:rsidRPr="00AE5EFF" w:rsidRDefault="00DD4123" w:rsidP="00DD4123">
      <w:pPr>
        <w:ind w:left="567" w:right="283"/>
        <w:contextualSpacing/>
        <w:jc w:val="both"/>
        <w:rPr>
          <w:rFonts w:ascii="Palatino Linotype" w:hAnsi="Palatino Linotype" w:cs="Arial"/>
          <w:i/>
          <w:color w:val="000000"/>
        </w:rPr>
      </w:pPr>
      <w:r w:rsidRPr="00AE5EFF">
        <w:rPr>
          <w:rFonts w:ascii="Palatino Linotype" w:hAnsi="Palatino Linotype" w:cs="Arial"/>
          <w:i/>
          <w:color w:val="000000"/>
        </w:rPr>
        <w:t>RRA 0342/16. Colegio de Bachilleres. 24 de agosto de 2016. Por unanimidad. Comisionada Ponente Ximena Puente de la Mora</w:t>
      </w:r>
    </w:p>
    <w:p w14:paraId="54DC1BF7" w14:textId="77777777" w:rsidR="00DD4123" w:rsidRPr="00AE5EFF" w:rsidRDefault="00DD4123" w:rsidP="00DD4123">
      <w:pPr>
        <w:spacing w:line="360" w:lineRule="auto"/>
        <w:ind w:right="-787"/>
        <w:jc w:val="both"/>
        <w:rPr>
          <w:rFonts w:ascii="Palatino Linotype" w:eastAsia="Palatino Linotype" w:hAnsi="Palatino Linotype" w:cs="Palatino Linotype"/>
        </w:rPr>
      </w:pPr>
    </w:p>
    <w:p w14:paraId="1B29B99C" w14:textId="77777777" w:rsidR="00DD4123" w:rsidRPr="00AE5EFF" w:rsidRDefault="00DD4123" w:rsidP="00DD4123">
      <w:pPr>
        <w:numPr>
          <w:ilvl w:val="0"/>
          <w:numId w:val="37"/>
        </w:numPr>
        <w:spacing w:line="360" w:lineRule="auto"/>
        <w:ind w:left="0" w:right="-28" w:firstLine="0"/>
        <w:jc w:val="both"/>
        <w:rPr>
          <w:rFonts w:ascii="Palatino Linotype" w:eastAsia="Palatino Linotype" w:hAnsi="Palatino Linotype" w:cs="Palatino Linotype"/>
        </w:rPr>
      </w:pPr>
      <w:r w:rsidRPr="00AE5EFF">
        <w:rPr>
          <w:rFonts w:ascii="Palatino Linotype" w:hAnsi="Palatino Linotype"/>
          <w:color w:val="000000"/>
        </w:rPr>
        <w:t xml:space="preserve">Asimismo, </w:t>
      </w:r>
      <w:r w:rsidRPr="00AE5EFF">
        <w:rPr>
          <w:rFonts w:ascii="Palatino Linotype" w:hAnsi="Palatino Linotype" w:cs="Arial"/>
          <w:color w:val="000000"/>
        </w:rPr>
        <w:t>sirve de apoyo a lo anterior por analogía, la Jurisprudencia No. 29 visible a foja 19 del Apéndice al Semanario Judicial de la Federación 1917-1995, Torno VI, Materia Común, Primera Parte, Tesis de la Suprema Corte de Justicia, que contiene:</w:t>
      </w:r>
    </w:p>
    <w:p w14:paraId="7CBECE7B" w14:textId="77777777" w:rsidR="00DD4123" w:rsidRPr="00AE5EFF" w:rsidRDefault="00DD4123" w:rsidP="00DD4123">
      <w:pPr>
        <w:ind w:left="567" w:right="283"/>
        <w:contextualSpacing/>
        <w:jc w:val="both"/>
        <w:rPr>
          <w:rFonts w:ascii="Palatino Linotype" w:hAnsi="Palatino Linotype"/>
          <w:color w:val="000000"/>
        </w:rPr>
      </w:pPr>
      <w:r w:rsidRPr="00AE5EFF">
        <w:rPr>
          <w:rFonts w:ascii="Palatino Linotype" w:hAnsi="Palatino Linotype" w:cs="Arial"/>
          <w:b/>
          <w:i/>
          <w:color w:val="000000"/>
        </w:rPr>
        <w:t xml:space="preserve">AGRAVIOS EN LA REVISION. DEBEN ESTAR EN RELACION DIRECTA CON LOS FUNDAMENTOS Y CONSIDERACIONES DE LA SENTENCIA.- </w:t>
      </w:r>
      <w:r w:rsidRPr="00AE5EFF">
        <w:rPr>
          <w:rFonts w:ascii="Palatino Linotype" w:hAnsi="Palatino Linotype" w:cs="Arial"/>
          <w:i/>
          <w:color w:val="000000"/>
        </w:rPr>
        <w:t>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p>
    <w:p w14:paraId="71340CDB" w14:textId="77777777" w:rsidR="009318B1" w:rsidRPr="00AE5EFF" w:rsidRDefault="009318B1" w:rsidP="009318B1">
      <w:pPr>
        <w:spacing w:line="360" w:lineRule="auto"/>
        <w:ind w:right="49"/>
        <w:contextualSpacing/>
        <w:jc w:val="both"/>
        <w:rPr>
          <w:rFonts w:ascii="Palatino Linotype" w:hAnsi="Palatino Linotype"/>
          <w:color w:val="000000"/>
        </w:rPr>
      </w:pPr>
    </w:p>
    <w:p w14:paraId="238B6B84" w14:textId="77777777" w:rsidR="008075F3" w:rsidRPr="00AE5EFF" w:rsidRDefault="008075F3" w:rsidP="00DD4123">
      <w:pPr>
        <w:numPr>
          <w:ilvl w:val="0"/>
          <w:numId w:val="37"/>
        </w:numPr>
        <w:spacing w:before="240" w:after="240" w:line="360" w:lineRule="auto"/>
        <w:ind w:left="0" w:right="-2" w:firstLine="0"/>
        <w:contextualSpacing/>
        <w:jc w:val="both"/>
        <w:rPr>
          <w:rFonts w:ascii="Palatino Linotype" w:hAnsi="Palatino Linotype"/>
        </w:rPr>
      </w:pPr>
      <w:r w:rsidRPr="00AE5EFF">
        <w:rPr>
          <w:rFonts w:ascii="Palatino Linotype" w:hAnsi="Palatino Linotype" w:cs="Arial"/>
          <w:color w:val="000000"/>
        </w:rPr>
        <w:t>Señalado lo anterior, se determina que el recurso de revisión no actualiza ninguna causal de procedencia que se relacione con la solicitud o la respuesta. En consecuencia, l</w:t>
      </w:r>
      <w:r w:rsidRPr="00AE5EFF">
        <w:rPr>
          <w:rFonts w:ascii="Palatino Linotype" w:eastAsia="Calibri" w:hAnsi="Palatino Linotype" w:cs="Arial"/>
        </w:rPr>
        <w:t>a falta de actualización de causal de procedencia trae consigo que el recurso de revisión sea desechado por improcedente, de acuerdo con el artículo 191 de la citada ley:</w:t>
      </w:r>
    </w:p>
    <w:p w14:paraId="75768A8D" w14:textId="77777777" w:rsidR="008075F3" w:rsidRPr="00AE5EFF" w:rsidRDefault="008075F3" w:rsidP="008075F3">
      <w:pPr>
        <w:pStyle w:val="Prrafodelista"/>
        <w:tabs>
          <w:tab w:val="left" w:pos="567"/>
        </w:tabs>
        <w:ind w:left="567" w:right="565"/>
        <w:jc w:val="both"/>
        <w:rPr>
          <w:rFonts w:ascii="Palatino Linotype" w:hAnsi="Palatino Linotype"/>
          <w:i/>
          <w:sz w:val="24"/>
        </w:rPr>
      </w:pPr>
      <w:r w:rsidRPr="00AE5EFF">
        <w:rPr>
          <w:rFonts w:ascii="Palatino Linotype" w:hAnsi="Palatino Linotype"/>
          <w:b/>
          <w:bCs/>
          <w:i/>
          <w:sz w:val="24"/>
        </w:rPr>
        <w:t>“Artículo 191.</w:t>
      </w:r>
      <w:r w:rsidRPr="00AE5EFF">
        <w:rPr>
          <w:rFonts w:ascii="Palatino Linotype" w:hAnsi="Palatino Linotype"/>
          <w:i/>
          <w:sz w:val="24"/>
        </w:rPr>
        <w:t xml:space="preserve"> El recurso será desechado por improcedente cuando:</w:t>
      </w:r>
    </w:p>
    <w:p w14:paraId="5FAE2F6B" w14:textId="77777777" w:rsidR="008075F3" w:rsidRPr="00AE5EFF" w:rsidRDefault="008075F3" w:rsidP="008075F3">
      <w:pPr>
        <w:pStyle w:val="Prrafodelista"/>
        <w:tabs>
          <w:tab w:val="left" w:pos="567"/>
        </w:tabs>
        <w:ind w:left="567" w:right="565"/>
        <w:jc w:val="both"/>
        <w:rPr>
          <w:rFonts w:ascii="Palatino Linotype" w:hAnsi="Palatino Linotype"/>
          <w:i/>
          <w:sz w:val="24"/>
        </w:rPr>
      </w:pPr>
    </w:p>
    <w:p w14:paraId="385E00CD" w14:textId="77777777" w:rsidR="008075F3" w:rsidRPr="00AE5EFF" w:rsidRDefault="008075F3" w:rsidP="008075F3">
      <w:pPr>
        <w:pStyle w:val="Prrafodelista"/>
        <w:tabs>
          <w:tab w:val="left" w:pos="567"/>
        </w:tabs>
        <w:ind w:left="567" w:right="565"/>
        <w:jc w:val="both"/>
        <w:rPr>
          <w:rFonts w:ascii="Palatino Linotype" w:hAnsi="Palatino Linotype"/>
          <w:i/>
          <w:sz w:val="24"/>
        </w:rPr>
      </w:pPr>
      <w:r w:rsidRPr="00AE5EFF">
        <w:rPr>
          <w:rFonts w:ascii="Palatino Linotype" w:hAnsi="Palatino Linotype"/>
          <w:i/>
          <w:sz w:val="24"/>
        </w:rPr>
        <w:t xml:space="preserve">I. Sea extemporáneo por haber transcurrido el plazo establecido en la presente Ley, a partir de la respuesta; </w:t>
      </w:r>
    </w:p>
    <w:p w14:paraId="095185A7" w14:textId="77777777" w:rsidR="008075F3" w:rsidRPr="00AE5EFF" w:rsidRDefault="008075F3" w:rsidP="008075F3">
      <w:pPr>
        <w:pStyle w:val="Prrafodelista"/>
        <w:tabs>
          <w:tab w:val="left" w:pos="567"/>
        </w:tabs>
        <w:ind w:left="567" w:right="565"/>
        <w:jc w:val="both"/>
        <w:rPr>
          <w:rFonts w:ascii="Palatino Linotype" w:hAnsi="Palatino Linotype"/>
          <w:i/>
          <w:sz w:val="24"/>
        </w:rPr>
      </w:pPr>
      <w:r w:rsidRPr="00AE5EFF">
        <w:rPr>
          <w:rFonts w:ascii="Palatino Linotype" w:hAnsi="Palatino Linotype"/>
          <w:i/>
          <w:sz w:val="24"/>
        </w:rPr>
        <w:t xml:space="preserve">II. Se esté tramitando ante el Poder Judicial de la Federación algún recurso o medio de defensa interpuesto por el recurrente; </w:t>
      </w:r>
    </w:p>
    <w:p w14:paraId="17810E98" w14:textId="77777777" w:rsidR="008075F3" w:rsidRPr="00AE5EFF" w:rsidRDefault="008075F3" w:rsidP="008075F3">
      <w:pPr>
        <w:pStyle w:val="Prrafodelista"/>
        <w:tabs>
          <w:tab w:val="left" w:pos="567"/>
        </w:tabs>
        <w:ind w:left="567" w:right="565"/>
        <w:jc w:val="both"/>
        <w:rPr>
          <w:rFonts w:ascii="Palatino Linotype" w:hAnsi="Palatino Linotype"/>
          <w:i/>
          <w:sz w:val="24"/>
        </w:rPr>
      </w:pPr>
      <w:r w:rsidRPr="00AE5EFF">
        <w:rPr>
          <w:rFonts w:ascii="Palatino Linotype" w:hAnsi="Palatino Linotype"/>
          <w:i/>
          <w:sz w:val="24"/>
        </w:rPr>
        <w:t xml:space="preserve">III. No actualice alguno de los supuestos previstos en la presente Ley; </w:t>
      </w:r>
    </w:p>
    <w:p w14:paraId="4D19962A" w14:textId="77777777" w:rsidR="008075F3" w:rsidRPr="00AE5EFF" w:rsidRDefault="008075F3" w:rsidP="008075F3">
      <w:pPr>
        <w:pStyle w:val="Prrafodelista"/>
        <w:tabs>
          <w:tab w:val="left" w:pos="567"/>
        </w:tabs>
        <w:ind w:left="567" w:right="565"/>
        <w:jc w:val="both"/>
        <w:rPr>
          <w:rFonts w:ascii="Palatino Linotype" w:hAnsi="Palatino Linotype"/>
          <w:i/>
          <w:sz w:val="24"/>
        </w:rPr>
      </w:pPr>
      <w:r w:rsidRPr="00AE5EFF">
        <w:rPr>
          <w:rFonts w:ascii="Palatino Linotype" w:hAnsi="Palatino Linotype"/>
          <w:i/>
          <w:sz w:val="24"/>
        </w:rPr>
        <w:lastRenderedPageBreak/>
        <w:t xml:space="preserve">IV. No se haya desahogado la prevención en los términos establecidos en la presente Ley; </w:t>
      </w:r>
    </w:p>
    <w:p w14:paraId="69A2A4E5" w14:textId="77777777" w:rsidR="008075F3" w:rsidRPr="00AE5EFF" w:rsidRDefault="008075F3" w:rsidP="008075F3">
      <w:pPr>
        <w:pStyle w:val="Prrafodelista"/>
        <w:tabs>
          <w:tab w:val="left" w:pos="567"/>
        </w:tabs>
        <w:ind w:left="567" w:right="565"/>
        <w:jc w:val="both"/>
        <w:rPr>
          <w:rFonts w:ascii="Palatino Linotype" w:hAnsi="Palatino Linotype"/>
          <w:i/>
          <w:sz w:val="24"/>
        </w:rPr>
      </w:pPr>
      <w:r w:rsidRPr="00AE5EFF">
        <w:rPr>
          <w:rFonts w:ascii="Palatino Linotype" w:hAnsi="Palatino Linotype"/>
          <w:i/>
          <w:sz w:val="24"/>
        </w:rPr>
        <w:t xml:space="preserve">V. Se impugne la veracidad de la información proporcionada; </w:t>
      </w:r>
    </w:p>
    <w:p w14:paraId="1F9CC4A7" w14:textId="77777777" w:rsidR="008075F3" w:rsidRPr="00AE5EFF" w:rsidRDefault="008075F3" w:rsidP="008075F3">
      <w:pPr>
        <w:pStyle w:val="Prrafodelista"/>
        <w:tabs>
          <w:tab w:val="left" w:pos="567"/>
        </w:tabs>
        <w:ind w:left="567" w:right="565"/>
        <w:jc w:val="both"/>
        <w:rPr>
          <w:rFonts w:ascii="Palatino Linotype" w:hAnsi="Palatino Linotype"/>
          <w:i/>
          <w:sz w:val="24"/>
        </w:rPr>
      </w:pPr>
      <w:r w:rsidRPr="00AE5EFF">
        <w:rPr>
          <w:rFonts w:ascii="Palatino Linotype" w:hAnsi="Palatino Linotype"/>
          <w:i/>
          <w:sz w:val="24"/>
        </w:rPr>
        <w:t xml:space="preserve">VI. Se trate de una consulta, o trámite en específico; y </w:t>
      </w:r>
    </w:p>
    <w:p w14:paraId="5E8877F4" w14:textId="2D217C7E" w:rsidR="008075F3" w:rsidRPr="00AE5EFF" w:rsidRDefault="008075F3" w:rsidP="00716C6A">
      <w:pPr>
        <w:pStyle w:val="Prrafodelista"/>
        <w:tabs>
          <w:tab w:val="left" w:pos="567"/>
        </w:tabs>
        <w:ind w:left="567" w:right="565"/>
        <w:jc w:val="both"/>
        <w:rPr>
          <w:rFonts w:ascii="Palatino Linotype" w:hAnsi="Palatino Linotype"/>
          <w:b/>
          <w:sz w:val="24"/>
        </w:rPr>
      </w:pPr>
      <w:r w:rsidRPr="00AE5EFF">
        <w:rPr>
          <w:rFonts w:ascii="Palatino Linotype" w:hAnsi="Palatino Linotype"/>
          <w:b/>
          <w:i/>
          <w:sz w:val="24"/>
        </w:rPr>
        <w:t>VII. El recurrente amplíe su solicitud en el recurso de revisión, únicamente respecto de los nuevos contenidos.”</w:t>
      </w:r>
    </w:p>
    <w:p w14:paraId="346EB5F7" w14:textId="77777777" w:rsidR="008075F3" w:rsidRPr="00AE5EFF" w:rsidRDefault="008075F3" w:rsidP="00DD4123">
      <w:pPr>
        <w:numPr>
          <w:ilvl w:val="0"/>
          <w:numId w:val="37"/>
        </w:numPr>
        <w:spacing w:before="240" w:after="240" w:line="360" w:lineRule="auto"/>
        <w:ind w:left="0" w:right="-2" w:firstLine="0"/>
        <w:contextualSpacing/>
        <w:jc w:val="both"/>
        <w:rPr>
          <w:rFonts w:ascii="Palatino Linotype" w:hAnsi="Palatino Linotype"/>
        </w:rPr>
      </w:pPr>
      <w:r w:rsidRPr="00AE5EFF">
        <w:rPr>
          <w:rFonts w:ascii="Palatino Linotype" w:eastAsia="Calibri" w:hAnsi="Palatino Linotype" w:cs="Arial"/>
        </w:rPr>
        <w:t>Al no actualizar ninguna causal de procedencia, el recurso de revisión debe ser desechados por improcedentes; sin embargo, una vez admitido, procederá el sobreseimiento de acuerdo con lo que establece el artículo 192 fracción IV, de la multicitada Ley de Transparencia:</w:t>
      </w:r>
    </w:p>
    <w:p w14:paraId="53284965" w14:textId="77777777" w:rsidR="008075F3" w:rsidRPr="00AE5EFF" w:rsidRDefault="008075F3" w:rsidP="008075F3">
      <w:pPr>
        <w:pStyle w:val="Prrafodelista"/>
        <w:tabs>
          <w:tab w:val="left" w:pos="567"/>
        </w:tabs>
        <w:ind w:left="567" w:right="565"/>
        <w:jc w:val="both"/>
        <w:rPr>
          <w:rFonts w:ascii="Palatino Linotype" w:eastAsia="Calibri" w:hAnsi="Palatino Linotype" w:cs="Arial"/>
          <w:i/>
          <w:sz w:val="24"/>
        </w:rPr>
      </w:pPr>
      <w:r w:rsidRPr="00AE5EFF">
        <w:rPr>
          <w:rFonts w:ascii="Palatino Linotype" w:hAnsi="Palatino Linotype"/>
          <w:b/>
          <w:bCs/>
          <w:i/>
          <w:sz w:val="24"/>
        </w:rPr>
        <w:t>“Artículo 192.</w:t>
      </w:r>
      <w:r w:rsidRPr="00AE5EFF">
        <w:rPr>
          <w:rFonts w:ascii="Palatino Linotype" w:hAnsi="Palatino Linotype"/>
          <w:i/>
          <w:sz w:val="24"/>
        </w:rPr>
        <w:t xml:space="preserve"> El recurso será sobreseído, en todo o en parte, cuando una vez admitido, se actualicen alguno de los siguientes supuestos:</w:t>
      </w:r>
    </w:p>
    <w:p w14:paraId="15CCFB4C" w14:textId="048A7457" w:rsidR="008075F3" w:rsidRPr="00AE5EFF" w:rsidRDefault="00AF748E" w:rsidP="00AF748E">
      <w:pPr>
        <w:pStyle w:val="Prrafodelista"/>
        <w:tabs>
          <w:tab w:val="left" w:pos="567"/>
        </w:tabs>
        <w:ind w:left="567" w:right="565"/>
        <w:jc w:val="both"/>
        <w:rPr>
          <w:rFonts w:ascii="Palatino Linotype" w:hAnsi="Palatino Linotype"/>
          <w:i/>
          <w:sz w:val="24"/>
        </w:rPr>
      </w:pPr>
      <w:r w:rsidRPr="00AE5EFF">
        <w:rPr>
          <w:rFonts w:ascii="Palatino Linotype" w:hAnsi="Palatino Linotype"/>
          <w:i/>
          <w:sz w:val="24"/>
        </w:rPr>
        <w:t>(…)</w:t>
      </w:r>
    </w:p>
    <w:p w14:paraId="73D1433C" w14:textId="77777777" w:rsidR="008075F3" w:rsidRPr="00AE5EFF" w:rsidRDefault="008075F3" w:rsidP="008075F3">
      <w:pPr>
        <w:pStyle w:val="Prrafodelista"/>
        <w:tabs>
          <w:tab w:val="left" w:pos="567"/>
        </w:tabs>
        <w:ind w:left="567" w:right="565"/>
        <w:jc w:val="both"/>
        <w:rPr>
          <w:rFonts w:ascii="Palatino Linotype" w:hAnsi="Palatino Linotype"/>
          <w:b/>
          <w:i/>
          <w:sz w:val="24"/>
        </w:rPr>
      </w:pPr>
      <w:r w:rsidRPr="00AE5EFF">
        <w:rPr>
          <w:rFonts w:ascii="Palatino Linotype" w:hAnsi="Palatino Linotype"/>
          <w:b/>
          <w:i/>
          <w:sz w:val="24"/>
        </w:rPr>
        <w:t xml:space="preserve">IV. Admitido el recurso de revisión, aparezca alguna causal de improcedencia en los términos de la presente Ley; y </w:t>
      </w:r>
    </w:p>
    <w:p w14:paraId="3E0D5094" w14:textId="77777777" w:rsidR="008075F3" w:rsidRPr="00AE5EFF" w:rsidRDefault="008075F3" w:rsidP="008075F3">
      <w:pPr>
        <w:pStyle w:val="Prrafodelista"/>
        <w:tabs>
          <w:tab w:val="left" w:pos="567"/>
        </w:tabs>
        <w:ind w:left="567" w:right="565"/>
        <w:jc w:val="both"/>
        <w:rPr>
          <w:rFonts w:ascii="Palatino Linotype" w:eastAsia="Calibri" w:hAnsi="Palatino Linotype" w:cs="Arial"/>
          <w:i/>
          <w:sz w:val="24"/>
        </w:rPr>
      </w:pPr>
      <w:r w:rsidRPr="00AE5EFF">
        <w:rPr>
          <w:rFonts w:ascii="Palatino Linotype" w:hAnsi="Palatino Linotype"/>
          <w:i/>
          <w:sz w:val="24"/>
        </w:rPr>
        <w:t xml:space="preserve">V. Cuando por cualquier motivo quede sin materia el recurso.” </w:t>
      </w:r>
    </w:p>
    <w:p w14:paraId="1FD91A4E" w14:textId="77777777" w:rsidR="008075F3" w:rsidRPr="00AE5EFF" w:rsidRDefault="008075F3" w:rsidP="008075F3">
      <w:pPr>
        <w:pStyle w:val="Prrafodelista"/>
        <w:spacing w:line="360" w:lineRule="auto"/>
        <w:ind w:left="0" w:right="-2"/>
        <w:jc w:val="both"/>
        <w:rPr>
          <w:rFonts w:ascii="Palatino Linotype" w:hAnsi="Palatino Linotype" w:cs="Arial"/>
          <w:sz w:val="24"/>
        </w:rPr>
      </w:pPr>
    </w:p>
    <w:p w14:paraId="66D2E253" w14:textId="680A27C4" w:rsidR="008075F3" w:rsidRPr="00AE5EFF" w:rsidRDefault="008075F3" w:rsidP="00DD4123">
      <w:pPr>
        <w:pStyle w:val="Prrafodelista"/>
        <w:numPr>
          <w:ilvl w:val="0"/>
          <w:numId w:val="37"/>
        </w:numPr>
        <w:spacing w:line="360" w:lineRule="auto"/>
        <w:ind w:left="0" w:right="-28" w:firstLine="0"/>
        <w:jc w:val="both"/>
        <w:rPr>
          <w:rFonts w:ascii="Palatino Linotype" w:hAnsi="Palatino Linotype" w:cs="Arial"/>
          <w:sz w:val="24"/>
        </w:rPr>
      </w:pPr>
      <w:r w:rsidRPr="00AE5EFF">
        <w:rPr>
          <w:rFonts w:ascii="Palatino Linotype" w:eastAsia="Calibri" w:hAnsi="Palatino Linotype" w:cs="Arial"/>
          <w:sz w:val="24"/>
        </w:rPr>
        <w:t>Es así como, el recurso de revisión actualiza la causal de sobreseimiento establecida en la fracción IV del artículo 1</w:t>
      </w:r>
      <w:r w:rsidR="00DD4123" w:rsidRPr="00AE5EFF">
        <w:rPr>
          <w:rFonts w:ascii="Palatino Linotype" w:eastAsia="Calibri" w:hAnsi="Palatino Linotype" w:cs="Arial"/>
          <w:sz w:val="24"/>
        </w:rPr>
        <w:t>92, en relación a la fracción VIII</w:t>
      </w:r>
      <w:r w:rsidRPr="00AE5EFF">
        <w:rPr>
          <w:rFonts w:ascii="Palatino Linotype" w:eastAsia="Calibri" w:hAnsi="Palatino Linotype" w:cs="Arial"/>
          <w:sz w:val="24"/>
        </w:rPr>
        <w:t xml:space="preserve"> del artículo 191, ambos de la Ley de Transparencia y Acceso a la Información Pública del Estado de México y Municipios.</w:t>
      </w:r>
    </w:p>
    <w:p w14:paraId="434168A3" w14:textId="77777777" w:rsidR="008075F3" w:rsidRPr="00AE5EFF" w:rsidRDefault="008075F3" w:rsidP="008075F3">
      <w:pPr>
        <w:pStyle w:val="Prrafodelista"/>
        <w:spacing w:line="360" w:lineRule="auto"/>
        <w:ind w:left="0" w:right="-28"/>
        <w:jc w:val="both"/>
        <w:rPr>
          <w:rFonts w:ascii="Palatino Linotype" w:hAnsi="Palatino Linotype" w:cs="Arial"/>
          <w:sz w:val="24"/>
        </w:rPr>
      </w:pPr>
    </w:p>
    <w:p w14:paraId="0B24E685" w14:textId="3F5810ED" w:rsidR="008075F3" w:rsidRPr="00AE5EFF" w:rsidRDefault="008075F3" w:rsidP="00DD4123">
      <w:pPr>
        <w:numPr>
          <w:ilvl w:val="0"/>
          <w:numId w:val="37"/>
        </w:numPr>
        <w:spacing w:line="360" w:lineRule="auto"/>
        <w:ind w:left="0" w:right="-28" w:firstLine="0"/>
        <w:contextualSpacing/>
        <w:jc w:val="both"/>
        <w:rPr>
          <w:rFonts w:ascii="Palatino Linotype" w:eastAsiaTheme="minorEastAsia" w:hAnsi="Palatino Linotype"/>
          <w:lang w:val="es-ES_tradnl" w:eastAsia="es-ES"/>
        </w:rPr>
      </w:pPr>
      <w:r w:rsidRPr="00AE5EFF">
        <w:rPr>
          <w:rFonts w:ascii="Palatino Linotype" w:eastAsia="Calibri" w:hAnsi="Palatino Linotype" w:cs="Arial"/>
        </w:rPr>
        <w:t>No obstante, a efecto de no vulnerar los derechos del particular, este Órgano Garante deja a salvo sus derechos para que, si así lo desea, presente una nueva solicitud de acceso a la información requiriendo información que sea de su interés.</w:t>
      </w:r>
    </w:p>
    <w:p w14:paraId="04E00C7F" w14:textId="77777777" w:rsidR="008075F3" w:rsidRPr="00AE5EFF" w:rsidRDefault="008075F3" w:rsidP="008075F3">
      <w:pPr>
        <w:spacing w:line="360" w:lineRule="auto"/>
        <w:ind w:right="-28"/>
        <w:contextualSpacing/>
        <w:jc w:val="both"/>
        <w:rPr>
          <w:rFonts w:ascii="Palatino Linotype" w:eastAsiaTheme="minorEastAsia" w:hAnsi="Palatino Linotype"/>
          <w:lang w:val="es-ES_tradnl" w:eastAsia="es-ES"/>
        </w:rPr>
      </w:pPr>
    </w:p>
    <w:p w14:paraId="15AA0E1B" w14:textId="212005C6" w:rsidR="00541BEA" w:rsidRPr="00AE5EFF" w:rsidRDefault="00797CD8" w:rsidP="00DD4123">
      <w:pPr>
        <w:numPr>
          <w:ilvl w:val="0"/>
          <w:numId w:val="37"/>
        </w:numPr>
        <w:spacing w:line="360" w:lineRule="auto"/>
        <w:ind w:left="0" w:right="-28" w:firstLine="0"/>
        <w:contextualSpacing/>
        <w:jc w:val="both"/>
        <w:rPr>
          <w:rFonts w:ascii="Palatino Linotype" w:hAnsi="Palatino Linotype"/>
          <w:color w:val="000000"/>
          <w:lang w:val="es-ES_tradnl"/>
        </w:rPr>
      </w:pPr>
      <w:r w:rsidRPr="00AE5EFF">
        <w:rPr>
          <w:rFonts w:ascii="Palatino Linotype" w:eastAsia="Calibri" w:hAnsi="Palatino Linotype"/>
        </w:rPr>
        <w:t xml:space="preserve">Por lo anteriormente expuesto y fundado, este </w:t>
      </w:r>
      <w:r w:rsidRPr="00AE5EFF">
        <w:rPr>
          <w:rFonts w:ascii="Palatino Linotype" w:eastAsia="Calibri" w:hAnsi="Palatino Linotype"/>
          <w:b/>
          <w:bCs/>
        </w:rPr>
        <w:t>ÓRGANO GARANTE</w:t>
      </w:r>
      <w:r w:rsidRPr="00AE5EFF">
        <w:rPr>
          <w:rFonts w:ascii="Palatino Linotype" w:eastAsia="Calibri" w:hAnsi="Palatino Linotype"/>
        </w:rPr>
        <w:t xml:space="preserve"> emite los siguientes:</w:t>
      </w:r>
      <w:bookmarkStart w:id="13" w:name="_Toc528153792"/>
      <w:bookmarkStart w:id="14" w:name="_Toc71158406"/>
      <w:bookmarkStart w:id="15" w:name="_Toc90654868"/>
      <w:r w:rsidR="00250F94" w:rsidRPr="00AE5EFF">
        <w:rPr>
          <w:rFonts w:ascii="Palatino Linotype" w:hAnsi="Palatino Linotype"/>
          <w:color w:val="000000"/>
          <w:lang w:val="es-ES_tradnl"/>
        </w:rPr>
        <w:t xml:space="preserve"> </w:t>
      </w:r>
      <w:r w:rsidR="00633679">
        <w:rPr>
          <w:rFonts w:ascii="Palatino Linotype" w:hAnsi="Palatino Linotype"/>
          <w:color w:val="000000"/>
          <w:lang w:val="es-ES_tradnl"/>
        </w:rPr>
        <w:t>-------------------------------------------------------------------------------------------------------------</w:t>
      </w:r>
    </w:p>
    <w:p w14:paraId="7896EC3D" w14:textId="77777777" w:rsidR="008075F3" w:rsidRPr="00AE5EFF" w:rsidRDefault="008075F3" w:rsidP="008075F3">
      <w:pPr>
        <w:spacing w:line="360" w:lineRule="auto"/>
        <w:ind w:right="-28"/>
        <w:contextualSpacing/>
        <w:jc w:val="both"/>
        <w:rPr>
          <w:rFonts w:ascii="Palatino Linotype" w:hAnsi="Palatino Linotype"/>
          <w:color w:val="000000"/>
          <w:lang w:val="es-ES_tradnl"/>
        </w:rPr>
      </w:pPr>
    </w:p>
    <w:p w14:paraId="525E5D82" w14:textId="5B9AB15A" w:rsidR="00797CD8" w:rsidRPr="00AE5EFF" w:rsidRDefault="00797CD8" w:rsidP="00250F94">
      <w:pPr>
        <w:keepNext/>
        <w:keepLines/>
        <w:spacing w:line="360" w:lineRule="auto"/>
        <w:jc w:val="center"/>
        <w:outlineLvl w:val="0"/>
        <w:rPr>
          <w:rFonts w:ascii="Palatino Linotype" w:eastAsiaTheme="majorEastAsia" w:hAnsi="Palatino Linotype" w:cstheme="majorBidi"/>
          <w:b/>
          <w:color w:val="000000" w:themeColor="text1"/>
          <w:lang w:eastAsia="en-US"/>
        </w:rPr>
      </w:pPr>
      <w:r w:rsidRPr="00AE5EFF">
        <w:rPr>
          <w:rFonts w:ascii="Palatino Linotype" w:eastAsiaTheme="majorEastAsia" w:hAnsi="Palatino Linotype" w:cstheme="majorBidi"/>
          <w:b/>
          <w:color w:val="000000" w:themeColor="text1"/>
          <w:lang w:eastAsia="en-US"/>
        </w:rPr>
        <w:lastRenderedPageBreak/>
        <w:t>R E S O L U T I V O S</w:t>
      </w:r>
      <w:bookmarkEnd w:id="13"/>
      <w:bookmarkEnd w:id="14"/>
      <w:bookmarkEnd w:id="15"/>
    </w:p>
    <w:p w14:paraId="09362F3A" w14:textId="77777777" w:rsidR="00797CD8" w:rsidRPr="00AE5EFF" w:rsidRDefault="00797CD8" w:rsidP="008075F3">
      <w:pPr>
        <w:keepNext/>
        <w:keepLines/>
        <w:spacing w:line="360" w:lineRule="auto"/>
        <w:outlineLvl w:val="0"/>
        <w:rPr>
          <w:rFonts w:ascii="Palatino Linotype" w:eastAsiaTheme="majorEastAsia" w:hAnsi="Palatino Linotype" w:cstheme="majorBidi"/>
          <w:b/>
          <w:color w:val="000000" w:themeColor="text1"/>
          <w:lang w:eastAsia="en-US"/>
        </w:rPr>
      </w:pPr>
    </w:p>
    <w:bookmarkEnd w:id="6"/>
    <w:bookmarkEnd w:id="7"/>
    <w:bookmarkEnd w:id="8"/>
    <w:p w14:paraId="7EBE863A" w14:textId="51206BFA" w:rsidR="00797CD8" w:rsidRPr="00AE5EFF" w:rsidRDefault="00797CD8" w:rsidP="00797CD8">
      <w:pPr>
        <w:spacing w:line="360" w:lineRule="auto"/>
        <w:jc w:val="both"/>
        <w:rPr>
          <w:rFonts w:ascii="Palatino Linotype" w:eastAsiaTheme="minorEastAsia" w:hAnsi="Palatino Linotype" w:cs="Arial"/>
          <w:bCs/>
          <w:lang w:val="es-ES_tradnl" w:eastAsia="es-ES"/>
        </w:rPr>
      </w:pPr>
      <w:r w:rsidRPr="00AE5EFF">
        <w:rPr>
          <w:rFonts w:ascii="Palatino Linotype" w:hAnsi="Palatino Linotype" w:cs="Arial"/>
          <w:b/>
          <w:lang w:val="es-ES_tradnl" w:eastAsia="es-ES"/>
        </w:rPr>
        <w:t xml:space="preserve">PRIMERO. </w:t>
      </w:r>
      <w:r w:rsidR="008075F3" w:rsidRPr="00AE5EFF">
        <w:rPr>
          <w:rFonts w:ascii="Palatino Linotype" w:hAnsi="Palatino Linotype"/>
          <w:lang w:val="es-ES"/>
        </w:rPr>
        <w:t xml:space="preserve">Se </w:t>
      </w:r>
      <w:r w:rsidR="008075F3" w:rsidRPr="00AE5EFF">
        <w:rPr>
          <w:rFonts w:ascii="Palatino Linotype" w:hAnsi="Palatino Linotype"/>
          <w:b/>
          <w:lang w:val="es-ES"/>
        </w:rPr>
        <w:t xml:space="preserve">SOBRESEE </w:t>
      </w:r>
      <w:r w:rsidR="008075F3" w:rsidRPr="00AE5EFF">
        <w:rPr>
          <w:rFonts w:ascii="Palatino Linotype" w:hAnsi="Palatino Linotype"/>
          <w:lang w:val="es-ES"/>
        </w:rPr>
        <w:t>el</w:t>
      </w:r>
      <w:r w:rsidR="008075F3" w:rsidRPr="00AE5EFF">
        <w:rPr>
          <w:rFonts w:ascii="Palatino Linotype" w:hAnsi="Palatino Linotype"/>
          <w:b/>
          <w:lang w:val="es-ES"/>
        </w:rPr>
        <w:t xml:space="preserve"> </w:t>
      </w:r>
      <w:r w:rsidR="008075F3" w:rsidRPr="00AE5EFF">
        <w:rPr>
          <w:rFonts w:ascii="Palatino Linotype" w:hAnsi="Palatino Linotype"/>
          <w:lang w:val="es-ES"/>
        </w:rPr>
        <w:t xml:space="preserve">recurso de revisión número </w:t>
      </w:r>
      <w:r w:rsidR="00DD4123" w:rsidRPr="00AE5EFF">
        <w:rPr>
          <w:rFonts w:ascii="Palatino Linotype" w:hAnsi="Palatino Linotype"/>
          <w:b/>
          <w:lang w:val="es-ES"/>
        </w:rPr>
        <w:t>05193</w:t>
      </w:r>
      <w:r w:rsidR="00BA0783" w:rsidRPr="00AE5EFF">
        <w:rPr>
          <w:rFonts w:ascii="Palatino Linotype" w:hAnsi="Palatino Linotype"/>
          <w:b/>
          <w:lang w:val="es-ES"/>
        </w:rPr>
        <w:t>/</w:t>
      </w:r>
      <w:r w:rsidR="008075F3" w:rsidRPr="00AE5EFF">
        <w:rPr>
          <w:rFonts w:ascii="Palatino Linotype" w:hAnsi="Palatino Linotype"/>
          <w:b/>
          <w:lang w:val="es-ES"/>
        </w:rPr>
        <w:t>INFOEM/IP/RR/202</w:t>
      </w:r>
      <w:r w:rsidR="00DD4123" w:rsidRPr="00AE5EFF">
        <w:rPr>
          <w:rFonts w:ascii="Palatino Linotype" w:hAnsi="Palatino Linotype"/>
          <w:b/>
          <w:lang w:val="es-ES"/>
        </w:rPr>
        <w:t>6</w:t>
      </w:r>
      <w:r w:rsidR="008075F3" w:rsidRPr="00AE5EFF">
        <w:rPr>
          <w:rFonts w:ascii="Palatino Linotype" w:hAnsi="Palatino Linotype"/>
          <w:lang w:val="es-ES"/>
        </w:rPr>
        <w:t xml:space="preserve">, conforme al artículo </w:t>
      </w:r>
      <w:r w:rsidR="008075F3" w:rsidRPr="00AE5EFF">
        <w:rPr>
          <w:rFonts w:ascii="Palatino Linotype" w:hAnsi="Palatino Linotype"/>
          <w:b/>
          <w:lang w:val="es-ES"/>
        </w:rPr>
        <w:t>192 fracción IV</w:t>
      </w:r>
      <w:r w:rsidR="008075F3" w:rsidRPr="00AE5EFF">
        <w:rPr>
          <w:rFonts w:ascii="Palatino Linotype" w:hAnsi="Palatino Linotype"/>
          <w:lang w:val="es-ES"/>
        </w:rPr>
        <w:t xml:space="preserve">, de la Ley de Transparencia y Acceso a la Información Pública del Estado de México y Municipios, en términos del </w:t>
      </w:r>
      <w:r w:rsidR="008075F3" w:rsidRPr="00AE5EFF">
        <w:rPr>
          <w:rFonts w:ascii="Palatino Linotype" w:hAnsi="Palatino Linotype"/>
          <w:b/>
          <w:lang w:val="es-ES"/>
        </w:rPr>
        <w:t>Considerando TERCERO</w:t>
      </w:r>
      <w:r w:rsidR="008075F3" w:rsidRPr="00AE5EFF">
        <w:rPr>
          <w:rFonts w:ascii="Palatino Linotype" w:hAnsi="Palatino Linotype"/>
          <w:lang w:val="es-ES"/>
        </w:rPr>
        <w:t xml:space="preserve"> de la presente resolución.</w:t>
      </w:r>
    </w:p>
    <w:p w14:paraId="6E306E2E" w14:textId="77777777" w:rsidR="00797CD8" w:rsidRPr="00AE5EFF" w:rsidRDefault="00797CD8" w:rsidP="00797CD8">
      <w:pPr>
        <w:spacing w:line="360" w:lineRule="auto"/>
        <w:jc w:val="both"/>
        <w:rPr>
          <w:rFonts w:ascii="Palatino Linotype" w:hAnsi="Palatino Linotype"/>
          <w:lang w:val="es-ES_tradnl" w:eastAsia="es-ES"/>
        </w:rPr>
      </w:pPr>
    </w:p>
    <w:p w14:paraId="52FFD884" w14:textId="2A226A85" w:rsidR="00797CD8" w:rsidRPr="00AE5EFF" w:rsidRDefault="00797CD8" w:rsidP="00797CD8">
      <w:pPr>
        <w:spacing w:line="360" w:lineRule="auto"/>
        <w:jc w:val="both"/>
        <w:rPr>
          <w:rFonts w:ascii="Palatino Linotype" w:eastAsia="Calibri" w:hAnsi="Palatino Linotype" w:cs="Arial"/>
          <w:lang w:val="es-ES" w:eastAsia="es-ES"/>
        </w:rPr>
      </w:pPr>
      <w:r w:rsidRPr="00AE5EFF">
        <w:rPr>
          <w:rFonts w:ascii="Palatino Linotype" w:eastAsiaTheme="minorEastAsia" w:hAnsi="Palatino Linotype"/>
          <w:b/>
          <w:lang w:val="es-ES_tradnl" w:eastAsia="es-ES"/>
        </w:rPr>
        <w:t>SEGUNDO.</w:t>
      </w:r>
      <w:r w:rsidRPr="00AE5EFF">
        <w:rPr>
          <w:rFonts w:ascii="Palatino Linotype" w:eastAsiaTheme="majorEastAsia" w:hAnsi="Palatino Linotype" w:cstheme="majorBidi"/>
          <w:b/>
          <w:color w:val="2E74B5" w:themeColor="accent1" w:themeShade="BF"/>
          <w:lang w:val="es-ES_tradnl" w:eastAsia="es-ES"/>
        </w:rPr>
        <w:t xml:space="preserve"> </w:t>
      </w:r>
      <w:r w:rsidR="00272348" w:rsidRPr="00AE5EFF">
        <w:rPr>
          <w:rFonts w:ascii="Palatino Linotype" w:eastAsia="Calibri" w:hAnsi="Palatino Linotype" w:cs="Arial"/>
          <w:b/>
          <w:bCs/>
          <w:lang w:val="es-ES"/>
        </w:rPr>
        <w:t>Notifíquese</w:t>
      </w:r>
      <w:r w:rsidR="00EE36DF" w:rsidRPr="00AE5EFF">
        <w:rPr>
          <w:rFonts w:ascii="Palatino Linotype" w:eastAsia="Calibri" w:hAnsi="Palatino Linotype" w:cs="Arial"/>
          <w:b/>
          <w:bCs/>
          <w:lang w:val="es-ES"/>
        </w:rPr>
        <w:t xml:space="preserve"> </w:t>
      </w:r>
      <w:r w:rsidR="00EE36DF" w:rsidRPr="00AE5EFF">
        <w:rPr>
          <w:rFonts w:ascii="Palatino Linotype" w:eastAsia="Calibri" w:hAnsi="Palatino Linotype" w:cs="Arial"/>
          <w:bCs/>
          <w:lang w:val="es-ES"/>
        </w:rPr>
        <w:t xml:space="preserve">a través del Sistema de Acceso a la Información Mexiquense </w:t>
      </w:r>
      <w:r w:rsidR="00EE36DF" w:rsidRPr="00AE5EFF">
        <w:rPr>
          <w:rFonts w:ascii="Palatino Linotype" w:eastAsia="Calibri" w:hAnsi="Palatino Linotype" w:cs="Arial"/>
          <w:b/>
          <w:bCs/>
          <w:lang w:val="es-ES"/>
        </w:rPr>
        <w:t xml:space="preserve">(SAIMEX) </w:t>
      </w:r>
      <w:r w:rsidR="00EE36DF" w:rsidRPr="00AE5EFF">
        <w:rPr>
          <w:rFonts w:ascii="Palatino Linotype" w:eastAsia="Calibri" w:hAnsi="Palatino Linotype" w:cs="Arial"/>
          <w:bCs/>
          <w:lang w:val="es-ES"/>
        </w:rPr>
        <w:t>la presente resolución al Titular de la Unidad de Transparencia del</w:t>
      </w:r>
      <w:r w:rsidR="00EE36DF" w:rsidRPr="00AE5EFF">
        <w:rPr>
          <w:rFonts w:ascii="Palatino Linotype" w:eastAsia="Calibri" w:hAnsi="Palatino Linotype" w:cs="Arial"/>
          <w:b/>
          <w:bCs/>
          <w:lang w:val="es-ES"/>
        </w:rPr>
        <w:t xml:space="preserve"> SUJETO OBLIGADO.</w:t>
      </w:r>
    </w:p>
    <w:p w14:paraId="3C2218E5" w14:textId="77777777" w:rsidR="00797CD8" w:rsidRPr="00AE5EFF" w:rsidRDefault="00797CD8" w:rsidP="00797CD8">
      <w:pPr>
        <w:spacing w:line="360" w:lineRule="auto"/>
        <w:jc w:val="both"/>
        <w:rPr>
          <w:rFonts w:ascii="Palatino Linotype" w:eastAsia="Calibri" w:hAnsi="Palatino Linotype" w:cs="Arial"/>
          <w:lang w:val="es-ES" w:eastAsia="es-ES"/>
        </w:rPr>
      </w:pPr>
    </w:p>
    <w:p w14:paraId="0321D3F9" w14:textId="0287CD66" w:rsidR="00797CD8" w:rsidRPr="00AE5EFF" w:rsidRDefault="00797CD8" w:rsidP="00797CD8">
      <w:pPr>
        <w:tabs>
          <w:tab w:val="left" w:pos="8080"/>
        </w:tabs>
        <w:spacing w:line="360" w:lineRule="auto"/>
        <w:ind w:right="49"/>
        <w:contextualSpacing/>
        <w:jc w:val="both"/>
        <w:rPr>
          <w:rFonts w:ascii="Palatino Linotype" w:eastAsia="Palatino Linotype" w:hAnsi="Palatino Linotype" w:cs="Palatino Linotype"/>
          <w:b/>
          <w:color w:val="000000" w:themeColor="text1"/>
          <w:lang w:val="es-ES_tradnl" w:eastAsia="es-ES"/>
        </w:rPr>
      </w:pPr>
      <w:r w:rsidRPr="00AE5EFF">
        <w:rPr>
          <w:rFonts w:ascii="Palatino Linotype" w:eastAsia="Palatino Linotype" w:hAnsi="Palatino Linotype" w:cs="Palatino Linotype"/>
          <w:b/>
          <w:lang w:val="es-ES_tradnl" w:eastAsia="es-ES"/>
        </w:rPr>
        <w:t xml:space="preserve">TERCERO. </w:t>
      </w:r>
      <w:r w:rsidR="00EE36DF" w:rsidRPr="00AE5EFF">
        <w:rPr>
          <w:rFonts w:ascii="Palatino Linotype" w:hAnsi="Palatino Linotype"/>
          <w:b/>
          <w:bCs/>
          <w:lang w:val="es-ES"/>
        </w:rPr>
        <w:t xml:space="preserve">Notifíquese </w:t>
      </w:r>
      <w:r w:rsidR="00EE36DF" w:rsidRPr="00AE5EFF">
        <w:rPr>
          <w:rFonts w:ascii="Palatino Linotype" w:hAnsi="Palatino Linotype"/>
          <w:bCs/>
          <w:lang w:val="es-ES"/>
        </w:rPr>
        <w:t>a</w:t>
      </w:r>
      <w:r w:rsidR="002F7FBE" w:rsidRPr="00AE5EFF">
        <w:rPr>
          <w:rFonts w:ascii="Palatino Linotype" w:hAnsi="Palatino Linotype"/>
          <w:bCs/>
          <w:lang w:val="es-ES"/>
        </w:rPr>
        <w:t xml:space="preserve">l </w:t>
      </w:r>
      <w:r w:rsidR="00EE36DF" w:rsidRPr="00AE5EFF">
        <w:rPr>
          <w:rFonts w:ascii="Palatino Linotype" w:hAnsi="Palatino Linotype"/>
          <w:b/>
          <w:bCs/>
          <w:lang w:val="es-ES"/>
        </w:rPr>
        <w:t>RECURRENTE</w:t>
      </w:r>
      <w:r w:rsidR="00EE36DF" w:rsidRPr="00AE5EFF">
        <w:rPr>
          <w:rFonts w:ascii="Palatino Linotype" w:hAnsi="Palatino Linotype"/>
        </w:rPr>
        <w:t xml:space="preserve"> </w:t>
      </w:r>
      <w:r w:rsidR="00EE36DF" w:rsidRPr="00AE5EFF">
        <w:rPr>
          <w:rFonts w:ascii="Palatino Linotype" w:hAnsi="Palatino Linotype"/>
          <w:lang w:val="es-ES"/>
        </w:rPr>
        <w:t xml:space="preserve">la presente resolución, </w:t>
      </w:r>
      <w:r w:rsidR="00EE36DF" w:rsidRPr="00AE5EFF">
        <w:rPr>
          <w:rFonts w:ascii="Palatino Linotype" w:eastAsia="Calibri" w:hAnsi="Palatino Linotype" w:cs="Arial"/>
          <w:bCs/>
          <w:lang w:val="es-ES"/>
        </w:rPr>
        <w:t xml:space="preserve">a través del Sistema de Acceso a la Información Mexiquense </w:t>
      </w:r>
      <w:r w:rsidR="00EE36DF" w:rsidRPr="00AE5EFF">
        <w:rPr>
          <w:rFonts w:ascii="Palatino Linotype" w:eastAsia="Calibri" w:hAnsi="Palatino Linotype" w:cs="Arial"/>
          <w:b/>
          <w:bCs/>
          <w:lang w:val="es-ES"/>
        </w:rPr>
        <w:t>(SAIMEX)</w:t>
      </w:r>
      <w:r w:rsidR="002F7FBE" w:rsidRPr="00AE5EFF">
        <w:rPr>
          <w:rFonts w:ascii="Palatino Linotype" w:eastAsia="Calibri" w:hAnsi="Palatino Linotype" w:cs="Arial"/>
          <w:b/>
          <w:bCs/>
          <w:lang w:val="es-ES"/>
        </w:rPr>
        <w:t>.</w:t>
      </w:r>
    </w:p>
    <w:p w14:paraId="43CDB593" w14:textId="77777777" w:rsidR="00797CD8" w:rsidRPr="00AE5EFF" w:rsidRDefault="00797CD8" w:rsidP="00797CD8">
      <w:pPr>
        <w:tabs>
          <w:tab w:val="left" w:pos="8080"/>
        </w:tabs>
        <w:spacing w:line="360" w:lineRule="auto"/>
        <w:ind w:right="49"/>
        <w:contextualSpacing/>
        <w:jc w:val="both"/>
        <w:rPr>
          <w:rFonts w:ascii="Palatino Linotype" w:eastAsia="Palatino Linotype" w:hAnsi="Palatino Linotype" w:cs="Palatino Linotype"/>
          <w:b/>
          <w:color w:val="000000" w:themeColor="text1"/>
          <w:lang w:val="es-ES_tradnl" w:eastAsia="es-ES"/>
        </w:rPr>
      </w:pPr>
    </w:p>
    <w:p w14:paraId="45BB9222" w14:textId="28B4B43D" w:rsidR="00797CD8" w:rsidRPr="00AE5EFF" w:rsidRDefault="00797CD8" w:rsidP="00797CD8">
      <w:pPr>
        <w:shd w:val="clear" w:color="auto" w:fill="FFFFFF"/>
        <w:spacing w:line="360" w:lineRule="auto"/>
        <w:jc w:val="both"/>
        <w:rPr>
          <w:rFonts w:ascii="Palatino Linotype" w:eastAsiaTheme="minorEastAsia" w:hAnsi="Palatino Linotype"/>
          <w:color w:val="000000" w:themeColor="text1"/>
          <w:lang w:val="es-ES_tradnl" w:eastAsia="es-ES"/>
        </w:rPr>
      </w:pPr>
      <w:r w:rsidRPr="00AE5EFF">
        <w:rPr>
          <w:rFonts w:ascii="Palatino Linotype" w:hAnsi="Palatino Linotype" w:cs="Arial"/>
          <w:b/>
          <w:color w:val="000000" w:themeColor="text1"/>
          <w:lang w:val="es-ES_tradnl" w:eastAsia="es-ES"/>
        </w:rPr>
        <w:t xml:space="preserve">CUARTO. </w:t>
      </w:r>
      <w:r w:rsidR="00EE36DF" w:rsidRPr="00AE5EFF">
        <w:rPr>
          <w:rFonts w:ascii="Palatino Linotype" w:eastAsia="MS Mincho" w:hAnsi="Palatino Linotype"/>
          <w:lang w:val="es-ES"/>
        </w:rPr>
        <w:t>Se hace del conocimiento de</w:t>
      </w:r>
      <w:r w:rsidR="002F7FBE" w:rsidRPr="00AE5EFF">
        <w:rPr>
          <w:rFonts w:ascii="Palatino Linotype" w:eastAsia="MS Mincho" w:hAnsi="Palatino Linotype"/>
          <w:lang w:val="es-ES"/>
        </w:rPr>
        <w:t>l</w:t>
      </w:r>
      <w:r w:rsidR="00EE36DF" w:rsidRPr="00AE5EFF">
        <w:rPr>
          <w:rFonts w:ascii="Palatino Linotype" w:eastAsia="MS Mincho" w:hAnsi="Palatino Linotype"/>
          <w:lang w:val="es-ES"/>
        </w:rPr>
        <w:t xml:space="preserve"> </w:t>
      </w:r>
      <w:r w:rsidR="00EE36DF" w:rsidRPr="00AE5EFF">
        <w:rPr>
          <w:rFonts w:ascii="Palatino Linotype" w:hAnsi="Palatino Linotype"/>
          <w:b/>
          <w:bCs/>
          <w:lang w:val="es-ES"/>
        </w:rPr>
        <w:t>RECURRENTE</w:t>
      </w:r>
      <w:r w:rsidR="00EE36DF" w:rsidRPr="00AE5EFF">
        <w:rPr>
          <w:rFonts w:ascii="Palatino Linotype" w:hAnsi="Palatino Linotype"/>
        </w:rPr>
        <w:t xml:space="preserve"> </w:t>
      </w:r>
      <w:r w:rsidR="00EE36DF" w:rsidRPr="00AE5EFF">
        <w:rPr>
          <w:rFonts w:ascii="Palatino Linotype" w:eastAsia="MS Mincho" w:hAnsi="Palatino Linotype"/>
          <w:lang w:val="es-ES"/>
        </w:rPr>
        <w:t>que, de conformidad con lo establecido en el artículo 196 de la Ley de Transparencia y Acceso a la Información Pública del Estado de México y Municipios, en caso de que considere que la resolución le cause algún perjuicio podrá impugnarla </w:t>
      </w:r>
      <w:r w:rsidR="00EE36DF" w:rsidRPr="00AE5EFF">
        <w:rPr>
          <w:rFonts w:ascii="Palatino Linotype" w:eastAsia="MS Mincho" w:hAnsi="Palatino Linotype"/>
          <w:bCs/>
          <w:lang w:val="es-ES"/>
        </w:rPr>
        <w:t>vía juicio de amparo</w:t>
      </w:r>
      <w:r w:rsidR="00EE36DF" w:rsidRPr="00AE5EFF">
        <w:rPr>
          <w:rFonts w:ascii="Palatino Linotype" w:eastAsia="MS Mincho" w:hAnsi="Palatino Linotype"/>
          <w:lang w:val="es-ES"/>
        </w:rPr>
        <w:t> en los términos de las leyes aplicables.</w:t>
      </w:r>
    </w:p>
    <w:p w14:paraId="640B77A6" w14:textId="77777777" w:rsidR="00797CD8" w:rsidRPr="00AE5EFF" w:rsidRDefault="00797CD8" w:rsidP="00797CD8">
      <w:pPr>
        <w:spacing w:line="360" w:lineRule="auto"/>
        <w:ind w:right="48"/>
        <w:jc w:val="both"/>
        <w:rPr>
          <w:rFonts w:ascii="Palatino Linotype" w:hAnsi="Palatino Linotype"/>
        </w:rPr>
      </w:pPr>
    </w:p>
    <w:p w14:paraId="1642DF95" w14:textId="77777777" w:rsidR="00272348" w:rsidRPr="00AE5EFF" w:rsidRDefault="00272348" w:rsidP="00272348">
      <w:pPr>
        <w:spacing w:before="240" w:after="240" w:line="360" w:lineRule="auto"/>
        <w:ind w:firstLine="1"/>
        <w:jc w:val="both"/>
        <w:rPr>
          <w:rFonts w:ascii="Palatino Linotype" w:hAnsi="Palatino Linotype"/>
        </w:rPr>
      </w:pPr>
      <w:bookmarkStart w:id="16" w:name="_Hlk99014733"/>
      <w:r w:rsidRPr="00AE5EF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AE5EFF">
        <w:rPr>
          <w:rFonts w:ascii="Palatino Linotype" w:hAnsi="Palatino Linotype" w:cs="Palatino Linotype"/>
        </w:rPr>
        <w:lastRenderedPageBreak/>
        <w:t xml:space="preserve">GUADALUPE RAMÍREZ PEÑA; EN LA VIGÉSIMA SEGUNDA SESIÓN ORDINARIA, CELEBRADA EL DIECISIETE (17) DE JUNIO DE DOS MIL VEINTISÉIS, ANTE EL SECRETARIO TÉCNICO DEL PLENO </w:t>
      </w:r>
      <w:r w:rsidRPr="00AE5EFF">
        <w:rPr>
          <w:rFonts w:ascii="Palatino Linotype" w:hAnsi="Palatino Linotype" w:cs="Palatino Linotype"/>
          <w:color w:val="000000" w:themeColor="text1"/>
        </w:rPr>
        <w:t>ALEXIS TAPIA RAMÍREZ.</w:t>
      </w:r>
    </w:p>
    <w:bookmarkEnd w:id="16"/>
    <w:p w14:paraId="15631B5F"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161DD372"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11457E47"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320A36AC"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4CE025E5"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4E1AB1FC"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712AEAAF"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167A291F"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67885351"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73F12815"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059BAFC9"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40B352C3"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3A7AEB24" w14:textId="77777777" w:rsidR="00797CD8" w:rsidRPr="00AE5EFF" w:rsidRDefault="00797CD8" w:rsidP="00797CD8">
      <w:pPr>
        <w:spacing w:line="360" w:lineRule="auto"/>
        <w:ind w:right="49"/>
        <w:jc w:val="both"/>
        <w:rPr>
          <w:rFonts w:ascii="Palatino Linotype" w:eastAsiaTheme="minorEastAsia" w:hAnsi="Palatino Linotype" w:cs="Arial"/>
          <w:lang w:val="es-ES_tradnl" w:eastAsia="es-ES"/>
        </w:rPr>
      </w:pPr>
    </w:p>
    <w:p w14:paraId="189B97ED" w14:textId="77777777" w:rsidR="00797CD8" w:rsidRPr="00AE5EFF" w:rsidRDefault="00797CD8" w:rsidP="00797CD8">
      <w:pPr>
        <w:spacing w:line="360" w:lineRule="auto"/>
        <w:rPr>
          <w:rFonts w:ascii="Palatino Linotype" w:hAnsi="Palatino Linotype"/>
        </w:rPr>
      </w:pPr>
    </w:p>
    <w:p w14:paraId="24201C64" w14:textId="77777777" w:rsidR="00797CD8" w:rsidRPr="00AE5EFF" w:rsidRDefault="00797CD8" w:rsidP="00797CD8">
      <w:pPr>
        <w:spacing w:line="360" w:lineRule="auto"/>
        <w:rPr>
          <w:rFonts w:ascii="Palatino Linotype" w:hAnsi="Palatino Linotype"/>
        </w:rPr>
      </w:pPr>
    </w:p>
    <w:p w14:paraId="7EEDF221" w14:textId="77777777" w:rsidR="00797CD8" w:rsidRPr="00AE5EFF" w:rsidRDefault="00797CD8" w:rsidP="00797CD8">
      <w:pPr>
        <w:spacing w:line="360" w:lineRule="auto"/>
        <w:rPr>
          <w:rFonts w:ascii="Palatino Linotype" w:hAnsi="Palatino Linotype"/>
        </w:rPr>
      </w:pPr>
    </w:p>
    <w:p w14:paraId="096ED8F9" w14:textId="77777777" w:rsidR="00797CD8" w:rsidRPr="00AE5EFF" w:rsidRDefault="00797CD8" w:rsidP="00797CD8">
      <w:pPr>
        <w:spacing w:line="360" w:lineRule="auto"/>
        <w:rPr>
          <w:rFonts w:ascii="Palatino Linotype" w:hAnsi="Palatino Linotype"/>
        </w:rPr>
      </w:pPr>
    </w:p>
    <w:p w14:paraId="7C867B08" w14:textId="77777777" w:rsidR="00797CD8" w:rsidRPr="00AE5EFF" w:rsidRDefault="00797CD8" w:rsidP="00797CD8">
      <w:pPr>
        <w:spacing w:line="360" w:lineRule="auto"/>
        <w:rPr>
          <w:rFonts w:ascii="Palatino Linotype" w:hAnsi="Palatino Linotype"/>
        </w:rPr>
      </w:pPr>
    </w:p>
    <w:p w14:paraId="4E2AD30C" w14:textId="77777777" w:rsidR="00797CD8" w:rsidRPr="00AE5EFF" w:rsidRDefault="00797CD8" w:rsidP="00797CD8">
      <w:pPr>
        <w:spacing w:line="360" w:lineRule="auto"/>
        <w:rPr>
          <w:rFonts w:ascii="Palatino Linotype" w:hAnsi="Palatino Linotype"/>
        </w:rPr>
      </w:pPr>
    </w:p>
    <w:p w14:paraId="5BEF57FD" w14:textId="77777777" w:rsidR="00797CD8" w:rsidRPr="00AE5EFF" w:rsidRDefault="00797CD8" w:rsidP="00797CD8">
      <w:pPr>
        <w:spacing w:line="360" w:lineRule="auto"/>
        <w:rPr>
          <w:rFonts w:ascii="Palatino Linotype" w:hAnsi="Palatino Linotype"/>
        </w:rPr>
      </w:pPr>
    </w:p>
    <w:p w14:paraId="080F5C94" w14:textId="77777777" w:rsidR="00797CD8" w:rsidRPr="00AE5EFF" w:rsidRDefault="00797CD8" w:rsidP="00797CD8">
      <w:pPr>
        <w:spacing w:line="360" w:lineRule="auto"/>
        <w:rPr>
          <w:rFonts w:ascii="Palatino Linotype" w:hAnsi="Palatino Linotype"/>
        </w:rPr>
      </w:pPr>
    </w:p>
    <w:p w14:paraId="761FB2CB" w14:textId="77777777" w:rsidR="00EA57C4" w:rsidRPr="00AE5EFF" w:rsidRDefault="00EA57C4">
      <w:pPr>
        <w:rPr>
          <w:rFonts w:ascii="Palatino Linotype" w:hAnsi="Palatino Linotype"/>
        </w:rPr>
      </w:pPr>
    </w:p>
    <w:p w14:paraId="4DF0C89F" w14:textId="77777777" w:rsidR="009318B1" w:rsidRPr="00AE5EFF" w:rsidRDefault="009318B1">
      <w:pPr>
        <w:rPr>
          <w:rFonts w:ascii="Palatino Linotype" w:hAnsi="Palatino Linotype"/>
        </w:rPr>
      </w:pPr>
    </w:p>
    <w:p w14:paraId="658CA7C0" w14:textId="77777777" w:rsidR="002B7873" w:rsidRPr="00AE5EFF" w:rsidRDefault="002B7873">
      <w:pPr>
        <w:rPr>
          <w:rFonts w:ascii="Palatino Linotype" w:hAnsi="Palatino Linotype"/>
        </w:rPr>
      </w:pPr>
    </w:p>
    <w:sectPr w:rsidR="002B7873" w:rsidRPr="00AE5EFF" w:rsidSect="00AE5EFF">
      <w:headerReference w:type="even" r:id="rId10"/>
      <w:headerReference w:type="default" r:id="rId11"/>
      <w:footerReference w:type="default" r:id="rId12"/>
      <w:headerReference w:type="first" r:id="rId13"/>
      <w:footerReference w:type="first" r:id="rId14"/>
      <w:pgSz w:w="12240" w:h="15840"/>
      <w:pgMar w:top="80" w:right="75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B8298" w14:textId="77777777" w:rsidR="00090411" w:rsidRDefault="00090411" w:rsidP="00797CD8">
      <w:r>
        <w:separator/>
      </w:r>
    </w:p>
  </w:endnote>
  <w:endnote w:type="continuationSeparator" w:id="0">
    <w:p w14:paraId="6CA70276" w14:textId="77777777" w:rsidR="00090411" w:rsidRDefault="00090411" w:rsidP="0079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29CAA" w14:textId="77777777" w:rsidR="00550FA6" w:rsidRPr="00AE5EFF" w:rsidRDefault="00550FA6">
    <w:pPr>
      <w:pStyle w:val="Piedepgina"/>
      <w:jc w:val="right"/>
      <w:rPr>
        <w:rFonts w:ascii="Palatino Linotype" w:hAnsi="Palatino Linotype"/>
        <w:sz w:val="22"/>
      </w:rPr>
    </w:pPr>
    <w:r w:rsidRPr="00AE5EFF">
      <w:rPr>
        <w:rFonts w:ascii="Palatino Linotype" w:hAnsi="Palatino Linotype"/>
        <w:sz w:val="22"/>
        <w:lang w:val="es-ES"/>
      </w:rPr>
      <w:t xml:space="preserve">Página </w:t>
    </w:r>
    <w:r w:rsidRPr="00AE5EFF">
      <w:rPr>
        <w:rFonts w:ascii="Palatino Linotype" w:hAnsi="Palatino Linotype"/>
        <w:b/>
        <w:bCs/>
        <w:sz w:val="22"/>
      </w:rPr>
      <w:fldChar w:fldCharType="begin"/>
    </w:r>
    <w:r w:rsidRPr="00AE5EFF">
      <w:rPr>
        <w:rFonts w:ascii="Palatino Linotype" w:hAnsi="Palatino Linotype"/>
        <w:b/>
        <w:bCs/>
        <w:sz w:val="22"/>
      </w:rPr>
      <w:instrText>PAGE</w:instrText>
    </w:r>
    <w:r w:rsidRPr="00AE5EFF">
      <w:rPr>
        <w:rFonts w:ascii="Palatino Linotype" w:hAnsi="Palatino Linotype"/>
        <w:b/>
        <w:bCs/>
        <w:sz w:val="22"/>
      </w:rPr>
      <w:fldChar w:fldCharType="separate"/>
    </w:r>
    <w:r w:rsidR="00A76846">
      <w:rPr>
        <w:rFonts w:ascii="Palatino Linotype" w:hAnsi="Palatino Linotype"/>
        <w:b/>
        <w:bCs/>
        <w:noProof/>
        <w:sz w:val="22"/>
      </w:rPr>
      <w:t>7</w:t>
    </w:r>
    <w:r w:rsidRPr="00AE5EFF">
      <w:rPr>
        <w:rFonts w:ascii="Palatino Linotype" w:hAnsi="Palatino Linotype"/>
        <w:b/>
        <w:bCs/>
        <w:sz w:val="22"/>
      </w:rPr>
      <w:fldChar w:fldCharType="end"/>
    </w:r>
    <w:r w:rsidRPr="00AE5EFF">
      <w:rPr>
        <w:rFonts w:ascii="Palatino Linotype" w:hAnsi="Palatino Linotype"/>
        <w:sz w:val="22"/>
        <w:lang w:val="es-ES"/>
      </w:rPr>
      <w:t xml:space="preserve"> de </w:t>
    </w:r>
    <w:r w:rsidRPr="00AE5EFF">
      <w:rPr>
        <w:rFonts w:ascii="Palatino Linotype" w:hAnsi="Palatino Linotype"/>
        <w:b/>
        <w:bCs/>
        <w:sz w:val="22"/>
      </w:rPr>
      <w:fldChar w:fldCharType="begin"/>
    </w:r>
    <w:r w:rsidRPr="00AE5EFF">
      <w:rPr>
        <w:rFonts w:ascii="Palatino Linotype" w:hAnsi="Palatino Linotype"/>
        <w:b/>
        <w:bCs/>
        <w:sz w:val="22"/>
      </w:rPr>
      <w:instrText>NUMPAGES</w:instrText>
    </w:r>
    <w:r w:rsidRPr="00AE5EFF">
      <w:rPr>
        <w:rFonts w:ascii="Palatino Linotype" w:hAnsi="Palatino Linotype"/>
        <w:b/>
        <w:bCs/>
        <w:sz w:val="22"/>
      </w:rPr>
      <w:fldChar w:fldCharType="separate"/>
    </w:r>
    <w:r w:rsidR="00A76846">
      <w:rPr>
        <w:rFonts w:ascii="Palatino Linotype" w:hAnsi="Palatino Linotype"/>
        <w:b/>
        <w:bCs/>
        <w:noProof/>
        <w:sz w:val="22"/>
      </w:rPr>
      <w:t>12</w:t>
    </w:r>
    <w:r w:rsidRPr="00AE5EFF">
      <w:rPr>
        <w:rFonts w:ascii="Palatino Linotype" w:hAnsi="Palatino Linotype"/>
        <w:b/>
        <w:bCs/>
        <w:sz w:val="22"/>
      </w:rPr>
      <w:fldChar w:fldCharType="end"/>
    </w:r>
  </w:p>
  <w:p w14:paraId="66B0F435" w14:textId="77777777" w:rsidR="00550FA6" w:rsidRDefault="00550FA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06758" w14:textId="77777777" w:rsidR="00550FA6" w:rsidRPr="00AE5EFF" w:rsidRDefault="00550FA6">
    <w:pPr>
      <w:pStyle w:val="Piedepgina"/>
      <w:jc w:val="right"/>
      <w:rPr>
        <w:rFonts w:ascii="Palatino Linotype" w:hAnsi="Palatino Linotype"/>
        <w:sz w:val="22"/>
      </w:rPr>
    </w:pPr>
    <w:r w:rsidRPr="00AE5EFF">
      <w:rPr>
        <w:rFonts w:ascii="Palatino Linotype" w:hAnsi="Palatino Linotype"/>
        <w:sz w:val="22"/>
        <w:lang w:val="es-ES"/>
      </w:rPr>
      <w:t xml:space="preserve">Página </w:t>
    </w:r>
    <w:r w:rsidRPr="00AE5EFF">
      <w:rPr>
        <w:rFonts w:ascii="Palatino Linotype" w:hAnsi="Palatino Linotype"/>
        <w:b/>
        <w:bCs/>
        <w:sz w:val="22"/>
      </w:rPr>
      <w:fldChar w:fldCharType="begin"/>
    </w:r>
    <w:r w:rsidRPr="00AE5EFF">
      <w:rPr>
        <w:rFonts w:ascii="Palatino Linotype" w:hAnsi="Palatino Linotype"/>
        <w:b/>
        <w:bCs/>
        <w:sz w:val="22"/>
      </w:rPr>
      <w:instrText>PAGE</w:instrText>
    </w:r>
    <w:r w:rsidRPr="00AE5EFF">
      <w:rPr>
        <w:rFonts w:ascii="Palatino Linotype" w:hAnsi="Palatino Linotype"/>
        <w:b/>
        <w:bCs/>
        <w:sz w:val="22"/>
      </w:rPr>
      <w:fldChar w:fldCharType="separate"/>
    </w:r>
    <w:r w:rsidR="00A76846">
      <w:rPr>
        <w:rFonts w:ascii="Palatino Linotype" w:hAnsi="Palatino Linotype"/>
        <w:b/>
        <w:bCs/>
        <w:noProof/>
        <w:sz w:val="22"/>
      </w:rPr>
      <w:t>1</w:t>
    </w:r>
    <w:r w:rsidRPr="00AE5EFF">
      <w:rPr>
        <w:rFonts w:ascii="Palatino Linotype" w:hAnsi="Palatino Linotype"/>
        <w:b/>
        <w:bCs/>
        <w:sz w:val="22"/>
      </w:rPr>
      <w:fldChar w:fldCharType="end"/>
    </w:r>
    <w:r w:rsidRPr="00AE5EFF">
      <w:rPr>
        <w:rFonts w:ascii="Palatino Linotype" w:hAnsi="Palatino Linotype"/>
        <w:sz w:val="22"/>
        <w:lang w:val="es-ES"/>
      </w:rPr>
      <w:t xml:space="preserve"> de </w:t>
    </w:r>
    <w:r w:rsidRPr="00AE5EFF">
      <w:rPr>
        <w:rFonts w:ascii="Palatino Linotype" w:hAnsi="Palatino Linotype"/>
        <w:b/>
        <w:bCs/>
        <w:sz w:val="22"/>
      </w:rPr>
      <w:fldChar w:fldCharType="begin"/>
    </w:r>
    <w:r w:rsidRPr="00AE5EFF">
      <w:rPr>
        <w:rFonts w:ascii="Palatino Linotype" w:hAnsi="Palatino Linotype"/>
        <w:b/>
        <w:bCs/>
        <w:sz w:val="22"/>
      </w:rPr>
      <w:instrText>NUMPAGES</w:instrText>
    </w:r>
    <w:r w:rsidRPr="00AE5EFF">
      <w:rPr>
        <w:rFonts w:ascii="Palatino Linotype" w:hAnsi="Palatino Linotype"/>
        <w:b/>
        <w:bCs/>
        <w:sz w:val="22"/>
      </w:rPr>
      <w:fldChar w:fldCharType="separate"/>
    </w:r>
    <w:r w:rsidR="00A76846">
      <w:rPr>
        <w:rFonts w:ascii="Palatino Linotype" w:hAnsi="Palatino Linotype"/>
        <w:b/>
        <w:bCs/>
        <w:noProof/>
        <w:sz w:val="22"/>
      </w:rPr>
      <w:t>12</w:t>
    </w:r>
    <w:r w:rsidRPr="00AE5EFF">
      <w:rPr>
        <w:rFonts w:ascii="Palatino Linotype" w:hAnsi="Palatino Linotype"/>
        <w:b/>
        <w:bCs/>
        <w:sz w:val="22"/>
      </w:rPr>
      <w:fldChar w:fldCharType="end"/>
    </w:r>
  </w:p>
  <w:p w14:paraId="2B795856" w14:textId="77777777" w:rsidR="00550FA6" w:rsidRDefault="00550F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543D2" w14:textId="77777777" w:rsidR="00090411" w:rsidRDefault="00090411" w:rsidP="00797CD8">
      <w:r>
        <w:separator/>
      </w:r>
    </w:p>
  </w:footnote>
  <w:footnote w:type="continuationSeparator" w:id="0">
    <w:p w14:paraId="5377F09F" w14:textId="77777777" w:rsidR="00090411" w:rsidRDefault="00090411" w:rsidP="0079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5139D" w14:textId="77777777" w:rsidR="00550FA6" w:rsidRDefault="00090411">
    <w:pPr>
      <w:pStyle w:val="Encabezado"/>
    </w:pPr>
    <w:r>
      <w:rPr>
        <w:noProof/>
      </w:rPr>
      <w:pict w14:anchorId="3F38D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3" o:spid="_x0000_s2051" type="#_x0000_t75" alt="" style="position:absolute;margin-left:0;margin-top:0;width:589.8pt;height:768pt;z-index:-251657216;mso-wrap-edited:f;mso-width-percent:0;mso-height-percent:0;mso-position-horizontal:center;mso-position-horizontal-relative:margin;mso-position-vertical:center;mso-position-vertical-relative:margin;mso-width-percent:0;mso-height-percent:0" o:allowincell="f">
          <v:imagedata r:id="rId1" o:title="resolución infoem image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2268"/>
      <w:gridCol w:w="8222"/>
    </w:tblGrid>
    <w:tr w:rsidR="00550FA6" w:rsidRPr="005C106F" w14:paraId="352B99A6" w14:textId="77777777" w:rsidTr="00AE5EFF">
      <w:trPr>
        <w:trHeight w:val="1435"/>
      </w:trPr>
      <w:tc>
        <w:tcPr>
          <w:tcW w:w="2268" w:type="dxa"/>
          <w:shd w:val="clear" w:color="auto" w:fill="auto"/>
        </w:tcPr>
        <w:p w14:paraId="3387C053" w14:textId="77777777" w:rsidR="00550FA6" w:rsidRPr="005C106F" w:rsidRDefault="00550FA6" w:rsidP="00EA57C4">
          <w:pPr>
            <w:tabs>
              <w:tab w:val="right" w:pos="4273"/>
            </w:tabs>
            <w:rPr>
              <w:rFonts w:ascii="Garamond" w:eastAsia="Calibri" w:hAnsi="Garamond"/>
              <w:sz w:val="16"/>
              <w:szCs w:val="16"/>
              <w:lang w:eastAsia="en-US"/>
            </w:rPr>
          </w:pPr>
        </w:p>
      </w:tc>
      <w:tc>
        <w:tcPr>
          <w:tcW w:w="8222" w:type="dxa"/>
          <w:shd w:val="clear" w:color="auto" w:fill="auto"/>
        </w:tcPr>
        <w:tbl>
          <w:tblPr>
            <w:tblW w:w="6946" w:type="dxa"/>
            <w:tblInd w:w="1310" w:type="dxa"/>
            <w:tblLayout w:type="fixed"/>
            <w:tblLook w:val="0420" w:firstRow="1" w:lastRow="0" w:firstColumn="0" w:lastColumn="0" w:noHBand="0" w:noVBand="1"/>
          </w:tblPr>
          <w:tblGrid>
            <w:gridCol w:w="2835"/>
            <w:gridCol w:w="4111"/>
          </w:tblGrid>
          <w:tr w:rsidR="00DD4123" w14:paraId="6D92F205" w14:textId="77777777" w:rsidTr="00AE5EFF">
            <w:trPr>
              <w:trHeight w:val="150"/>
            </w:trPr>
            <w:tc>
              <w:tcPr>
                <w:tcW w:w="2835" w:type="dxa"/>
                <w:shd w:val="clear" w:color="auto" w:fill="auto"/>
              </w:tcPr>
              <w:p w14:paraId="1F43ECD7" w14:textId="7E574DBD" w:rsidR="00DD4123" w:rsidRPr="00AE5EFF" w:rsidRDefault="00DD4123" w:rsidP="00272348">
                <w:pPr>
                  <w:tabs>
                    <w:tab w:val="right" w:pos="8838"/>
                  </w:tabs>
                  <w:ind w:right="-105"/>
                  <w:rPr>
                    <w:rFonts w:ascii="Palatino Linotype" w:eastAsia="Calibri" w:hAnsi="Palatino Linotype" w:cs="Tahoma"/>
                    <w:b/>
                    <w:szCs w:val="22"/>
                    <w:lang w:val="es-ES" w:eastAsia="en-US"/>
                  </w:rPr>
                </w:pPr>
                <w:r w:rsidRPr="00AE5EFF">
                  <w:rPr>
                    <w:rFonts w:ascii="Palatino Linotype" w:eastAsia="Palatino Linotype" w:hAnsi="Palatino Linotype" w:cs="Palatino Linotype"/>
                    <w:b/>
                    <w:szCs w:val="22"/>
                  </w:rPr>
                  <w:t>Recurso de Revisión:</w:t>
                </w:r>
              </w:p>
            </w:tc>
            <w:tc>
              <w:tcPr>
                <w:tcW w:w="4111" w:type="dxa"/>
                <w:shd w:val="clear" w:color="auto" w:fill="auto"/>
              </w:tcPr>
              <w:p w14:paraId="0BE1B96B" w14:textId="3300C335" w:rsidR="00DD4123" w:rsidRPr="00AE5EFF" w:rsidRDefault="00DD4123" w:rsidP="00272348">
                <w:pPr>
                  <w:tabs>
                    <w:tab w:val="right" w:pos="8838"/>
                  </w:tabs>
                  <w:ind w:right="-102"/>
                  <w:jc w:val="both"/>
                  <w:rPr>
                    <w:rFonts w:ascii="Palatino Linotype" w:eastAsia="Calibri" w:hAnsi="Palatino Linotype" w:cs="Tahoma"/>
                    <w:bCs/>
                    <w:szCs w:val="22"/>
                    <w:lang w:eastAsia="en-US"/>
                  </w:rPr>
                </w:pPr>
                <w:r w:rsidRPr="00AE5EFF">
                  <w:rPr>
                    <w:rFonts w:ascii="Palatino Linotype" w:eastAsia="Palatino Linotype" w:hAnsi="Palatino Linotype" w:cs="Palatino Linotype"/>
                    <w:szCs w:val="22"/>
                  </w:rPr>
                  <w:t xml:space="preserve">05193/INFOEM/IP/RR/2026 </w:t>
                </w:r>
              </w:p>
            </w:tc>
          </w:tr>
          <w:tr w:rsidR="00DD4123" w14:paraId="7CA62C08" w14:textId="77777777" w:rsidTr="00AE5EFF">
            <w:trPr>
              <w:trHeight w:val="295"/>
            </w:trPr>
            <w:tc>
              <w:tcPr>
                <w:tcW w:w="2835" w:type="dxa"/>
                <w:shd w:val="clear" w:color="auto" w:fill="auto"/>
              </w:tcPr>
              <w:p w14:paraId="395B93D7" w14:textId="1FE8C90C" w:rsidR="00DD4123" w:rsidRPr="00AE5EFF" w:rsidRDefault="00DD4123" w:rsidP="00272348">
                <w:pPr>
                  <w:tabs>
                    <w:tab w:val="right" w:pos="8838"/>
                  </w:tabs>
                  <w:ind w:right="-105"/>
                  <w:rPr>
                    <w:rFonts w:ascii="Palatino Linotype" w:eastAsia="Calibri" w:hAnsi="Palatino Linotype" w:cs="Tahoma"/>
                    <w:b/>
                    <w:szCs w:val="22"/>
                    <w:lang w:val="es-ES" w:eastAsia="en-US"/>
                  </w:rPr>
                </w:pPr>
                <w:r w:rsidRPr="00AE5EFF">
                  <w:rPr>
                    <w:rFonts w:ascii="Palatino Linotype" w:eastAsia="Palatino Linotype" w:hAnsi="Palatino Linotype" w:cs="Palatino Linotype"/>
                    <w:b/>
                    <w:szCs w:val="22"/>
                  </w:rPr>
                  <w:t>Sujeto Obligado:</w:t>
                </w:r>
              </w:p>
            </w:tc>
            <w:tc>
              <w:tcPr>
                <w:tcW w:w="4111" w:type="dxa"/>
                <w:shd w:val="clear" w:color="auto" w:fill="auto"/>
              </w:tcPr>
              <w:p w14:paraId="094379D9" w14:textId="7C60DEC4" w:rsidR="00DD4123" w:rsidRPr="00AE5EFF" w:rsidRDefault="00DD4123" w:rsidP="00272348">
                <w:pPr>
                  <w:tabs>
                    <w:tab w:val="left" w:pos="2834"/>
                    <w:tab w:val="right" w:pos="8838"/>
                  </w:tabs>
                  <w:ind w:right="-102"/>
                  <w:jc w:val="both"/>
                  <w:rPr>
                    <w:rFonts w:ascii="Palatino Linotype" w:eastAsia="Calibri" w:hAnsi="Palatino Linotype" w:cs="Tahoma"/>
                    <w:b/>
                    <w:szCs w:val="22"/>
                    <w:lang w:val="es-ES" w:eastAsia="en-US"/>
                  </w:rPr>
                </w:pPr>
                <w:r w:rsidRPr="00AE5EFF">
                  <w:rPr>
                    <w:rFonts w:ascii="Palatino Linotype" w:eastAsia="Palatino Linotype" w:hAnsi="Palatino Linotype" w:cs="Palatino Linotype"/>
                    <w:szCs w:val="22"/>
                  </w:rPr>
                  <w:t xml:space="preserve">Ayuntamiento de Teoloyucan </w:t>
                </w:r>
              </w:p>
            </w:tc>
          </w:tr>
          <w:tr w:rsidR="00DD4123" w14:paraId="773231CF" w14:textId="77777777" w:rsidTr="00AE5EFF">
            <w:trPr>
              <w:trHeight w:val="295"/>
            </w:trPr>
            <w:tc>
              <w:tcPr>
                <w:tcW w:w="2835" w:type="dxa"/>
                <w:shd w:val="clear" w:color="auto" w:fill="auto"/>
              </w:tcPr>
              <w:p w14:paraId="0DF42393" w14:textId="11333CAB" w:rsidR="00DD4123" w:rsidRPr="00AE5EFF" w:rsidRDefault="00DD4123" w:rsidP="00272348">
                <w:pPr>
                  <w:tabs>
                    <w:tab w:val="right" w:pos="8838"/>
                  </w:tabs>
                  <w:ind w:right="-105"/>
                  <w:rPr>
                    <w:rFonts w:ascii="Palatino Linotype" w:eastAsia="Calibri" w:hAnsi="Palatino Linotype" w:cs="Tahoma"/>
                    <w:b/>
                    <w:szCs w:val="22"/>
                    <w:lang w:val="es-ES" w:eastAsia="en-US"/>
                  </w:rPr>
                </w:pPr>
                <w:r w:rsidRPr="00AE5EFF">
                  <w:rPr>
                    <w:rFonts w:ascii="Palatino Linotype" w:eastAsia="Palatino Linotype" w:hAnsi="Palatino Linotype" w:cs="Palatino Linotype"/>
                    <w:b/>
                    <w:szCs w:val="22"/>
                  </w:rPr>
                  <w:t>Comisionada ponente:</w:t>
                </w:r>
              </w:p>
            </w:tc>
            <w:tc>
              <w:tcPr>
                <w:tcW w:w="4111" w:type="dxa"/>
                <w:shd w:val="clear" w:color="auto" w:fill="auto"/>
              </w:tcPr>
              <w:p w14:paraId="75AB36E6" w14:textId="77777777" w:rsidR="00DD4123" w:rsidRPr="00AE5EFF" w:rsidRDefault="00DD4123" w:rsidP="00272348">
                <w:pPr>
                  <w:tabs>
                    <w:tab w:val="right" w:pos="8838"/>
                  </w:tabs>
                  <w:ind w:right="-1416"/>
                  <w:rPr>
                    <w:rFonts w:ascii="Palatino Linotype" w:eastAsia="Palatino Linotype" w:hAnsi="Palatino Linotype" w:cs="Palatino Linotype"/>
                    <w:szCs w:val="22"/>
                  </w:rPr>
                </w:pPr>
                <w:r w:rsidRPr="00AE5EFF">
                  <w:rPr>
                    <w:rFonts w:ascii="Palatino Linotype" w:eastAsia="Palatino Linotype" w:hAnsi="Palatino Linotype" w:cs="Palatino Linotype"/>
                    <w:szCs w:val="22"/>
                  </w:rPr>
                  <w:t>María del Rosario Mejía Ayala</w:t>
                </w:r>
              </w:p>
              <w:p w14:paraId="6CE06290" w14:textId="77777777" w:rsidR="00DD4123" w:rsidRPr="00AE5EFF" w:rsidRDefault="00DD4123" w:rsidP="00272348">
                <w:pPr>
                  <w:tabs>
                    <w:tab w:val="right" w:pos="8838"/>
                  </w:tabs>
                  <w:ind w:right="171"/>
                  <w:jc w:val="both"/>
                  <w:rPr>
                    <w:rFonts w:ascii="Palatino Linotype" w:eastAsia="Calibri" w:hAnsi="Palatino Linotype" w:cs="Tahoma"/>
                    <w:b/>
                    <w:szCs w:val="22"/>
                    <w:lang w:val="es-ES" w:eastAsia="en-US"/>
                  </w:rPr>
                </w:pPr>
              </w:p>
            </w:tc>
          </w:tr>
        </w:tbl>
        <w:p w14:paraId="5BADCA02" w14:textId="77777777" w:rsidR="00550FA6" w:rsidRPr="005C106F" w:rsidRDefault="00550FA6" w:rsidP="00EA57C4">
          <w:pPr>
            <w:tabs>
              <w:tab w:val="right" w:pos="8838"/>
            </w:tabs>
            <w:ind w:left="-28"/>
            <w:jc w:val="both"/>
            <w:rPr>
              <w:rFonts w:ascii="Arial" w:eastAsia="Calibri" w:hAnsi="Arial" w:cs="Arial"/>
              <w:b/>
              <w:sz w:val="22"/>
              <w:szCs w:val="22"/>
              <w:lang w:eastAsia="en-US"/>
            </w:rPr>
          </w:pPr>
        </w:p>
      </w:tc>
    </w:tr>
  </w:tbl>
  <w:p w14:paraId="64B256DC" w14:textId="77777777" w:rsidR="00550FA6" w:rsidRPr="00443C6B" w:rsidRDefault="00090411" w:rsidP="00EA57C4">
    <w:pPr>
      <w:pStyle w:val="Encabezado"/>
      <w:rPr>
        <w:sz w:val="14"/>
      </w:rPr>
    </w:pPr>
    <w:r>
      <w:rPr>
        <w:noProof/>
        <w:sz w:val="14"/>
      </w:rPr>
      <w:pict w14:anchorId="05562A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4" o:spid="_x0000_s2050" type="#_x0000_t75" alt="" style="position:absolute;margin-left:-68.8pt;margin-top:-120.5pt;width:589.8pt;height:768pt;z-index:-251656192;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3" w:type="dxa"/>
      <w:tblLayout w:type="fixed"/>
      <w:tblLook w:val="04A0" w:firstRow="1" w:lastRow="0" w:firstColumn="1" w:lastColumn="0" w:noHBand="0" w:noVBand="1"/>
    </w:tblPr>
    <w:tblGrid>
      <w:gridCol w:w="2268"/>
      <w:gridCol w:w="8505"/>
    </w:tblGrid>
    <w:tr w:rsidR="00550FA6" w:rsidRPr="00330DA7" w14:paraId="3A2CD559" w14:textId="77777777" w:rsidTr="00AE5EFF">
      <w:trPr>
        <w:trHeight w:val="1435"/>
      </w:trPr>
      <w:tc>
        <w:tcPr>
          <w:tcW w:w="2268" w:type="dxa"/>
          <w:shd w:val="clear" w:color="auto" w:fill="auto"/>
        </w:tcPr>
        <w:p w14:paraId="59D9519F" w14:textId="77777777" w:rsidR="00550FA6" w:rsidRPr="00330DA7" w:rsidRDefault="00550FA6" w:rsidP="00EA57C4">
          <w:pPr>
            <w:tabs>
              <w:tab w:val="right" w:pos="4273"/>
            </w:tabs>
            <w:rPr>
              <w:rFonts w:ascii="Garamond" w:eastAsia="Calibri" w:hAnsi="Garamond"/>
              <w:sz w:val="22"/>
              <w:szCs w:val="22"/>
              <w:lang w:eastAsia="en-US"/>
            </w:rPr>
          </w:pPr>
        </w:p>
      </w:tc>
      <w:tc>
        <w:tcPr>
          <w:tcW w:w="8505" w:type="dxa"/>
          <w:shd w:val="clear" w:color="auto" w:fill="auto"/>
        </w:tcPr>
        <w:tbl>
          <w:tblPr>
            <w:tblW w:w="7053" w:type="dxa"/>
            <w:tblInd w:w="1452" w:type="dxa"/>
            <w:tblLayout w:type="fixed"/>
            <w:tblLook w:val="0420" w:firstRow="1" w:lastRow="0" w:firstColumn="0" w:lastColumn="0" w:noHBand="0" w:noVBand="1"/>
          </w:tblPr>
          <w:tblGrid>
            <w:gridCol w:w="2835"/>
            <w:gridCol w:w="4218"/>
          </w:tblGrid>
          <w:tr w:rsidR="00DD4123" w:rsidRPr="00330DA7" w14:paraId="013337E0" w14:textId="77777777" w:rsidTr="00AE5EFF">
            <w:trPr>
              <w:trHeight w:val="144"/>
            </w:trPr>
            <w:tc>
              <w:tcPr>
                <w:tcW w:w="2835" w:type="dxa"/>
                <w:shd w:val="clear" w:color="auto" w:fill="auto"/>
              </w:tcPr>
              <w:p w14:paraId="011D22C6" w14:textId="098DA1B7" w:rsidR="00DD4123" w:rsidRPr="00272348" w:rsidRDefault="00DD4123" w:rsidP="00DD4123">
                <w:pPr>
                  <w:tabs>
                    <w:tab w:val="right" w:pos="8838"/>
                  </w:tabs>
                  <w:ind w:left="-264" w:right="-105" w:firstLine="195"/>
                  <w:rPr>
                    <w:rFonts w:ascii="Palatino Linotype" w:eastAsia="Calibri" w:hAnsi="Palatino Linotype" w:cs="Tahoma"/>
                    <w:b/>
                    <w:szCs w:val="22"/>
                    <w:lang w:val="es-ES" w:eastAsia="en-US"/>
                  </w:rPr>
                </w:pPr>
                <w:r w:rsidRPr="00272348">
                  <w:rPr>
                    <w:rFonts w:ascii="Palatino Linotype" w:eastAsia="Palatino Linotype" w:hAnsi="Palatino Linotype" w:cs="Palatino Linotype"/>
                    <w:b/>
                    <w:szCs w:val="20"/>
                  </w:rPr>
                  <w:t>Recurso de Revisión:</w:t>
                </w:r>
              </w:p>
            </w:tc>
            <w:tc>
              <w:tcPr>
                <w:tcW w:w="4218" w:type="dxa"/>
                <w:shd w:val="clear" w:color="auto" w:fill="auto"/>
              </w:tcPr>
              <w:p w14:paraId="55CBA985" w14:textId="1F51F371" w:rsidR="00DD4123" w:rsidRPr="00272348" w:rsidRDefault="00DD4123" w:rsidP="00DD4123">
                <w:pPr>
                  <w:tabs>
                    <w:tab w:val="right" w:pos="8838"/>
                  </w:tabs>
                  <w:ind w:left="-74" w:right="-105"/>
                  <w:jc w:val="both"/>
                  <w:rPr>
                    <w:rFonts w:ascii="Palatino Linotype" w:eastAsia="Calibri" w:hAnsi="Palatino Linotype" w:cs="Tahoma"/>
                    <w:bCs/>
                    <w:szCs w:val="22"/>
                    <w:lang w:val="es-ES" w:eastAsia="en-US"/>
                  </w:rPr>
                </w:pPr>
                <w:r w:rsidRPr="00272348">
                  <w:rPr>
                    <w:rFonts w:ascii="Palatino Linotype" w:eastAsia="Palatino Linotype" w:hAnsi="Palatino Linotype" w:cs="Palatino Linotype"/>
                    <w:szCs w:val="20"/>
                  </w:rPr>
                  <w:t xml:space="preserve">05193/INFOEM/IP/RR/2026 </w:t>
                </w:r>
              </w:p>
            </w:tc>
          </w:tr>
          <w:tr w:rsidR="00DD4123" w:rsidRPr="00330DA7" w14:paraId="2F227F27" w14:textId="77777777" w:rsidTr="00AE5EFF">
            <w:trPr>
              <w:trHeight w:val="144"/>
            </w:trPr>
            <w:tc>
              <w:tcPr>
                <w:tcW w:w="2835" w:type="dxa"/>
                <w:shd w:val="clear" w:color="auto" w:fill="auto"/>
              </w:tcPr>
              <w:p w14:paraId="24F3422D" w14:textId="41E0387F" w:rsidR="00DD4123" w:rsidRPr="00272348" w:rsidRDefault="00DD4123" w:rsidP="00DD4123">
                <w:pPr>
                  <w:tabs>
                    <w:tab w:val="right" w:pos="8838"/>
                  </w:tabs>
                  <w:ind w:left="-74" w:right="-105"/>
                  <w:rPr>
                    <w:rFonts w:ascii="Palatino Linotype" w:eastAsia="Calibri" w:hAnsi="Palatino Linotype" w:cs="Tahoma"/>
                    <w:b/>
                    <w:szCs w:val="22"/>
                    <w:lang w:val="es-ES" w:eastAsia="en-US"/>
                  </w:rPr>
                </w:pPr>
                <w:r w:rsidRPr="00272348">
                  <w:rPr>
                    <w:rFonts w:ascii="Palatino Linotype" w:eastAsia="Palatino Linotype" w:hAnsi="Palatino Linotype" w:cs="Palatino Linotype"/>
                    <w:b/>
                    <w:szCs w:val="20"/>
                  </w:rPr>
                  <w:t>Recurrente:</w:t>
                </w:r>
              </w:p>
            </w:tc>
            <w:tc>
              <w:tcPr>
                <w:tcW w:w="4218" w:type="dxa"/>
                <w:shd w:val="clear" w:color="auto" w:fill="auto"/>
              </w:tcPr>
              <w:p w14:paraId="233E7BDC" w14:textId="40ABF8B3" w:rsidR="00DD4123" w:rsidRPr="00272348" w:rsidRDefault="00A76846" w:rsidP="00DD4123">
                <w:pPr>
                  <w:tabs>
                    <w:tab w:val="left" w:pos="3122"/>
                    <w:tab w:val="right" w:pos="8838"/>
                  </w:tabs>
                  <w:ind w:left="-74" w:right="-105"/>
                  <w:jc w:val="both"/>
                  <w:rPr>
                    <w:rFonts w:ascii="Palatino Linotype" w:eastAsia="Calibri" w:hAnsi="Palatino Linotype" w:cs="Tahoma"/>
                    <w:szCs w:val="22"/>
                    <w:lang w:val="es-ES" w:eastAsia="en-US"/>
                  </w:rPr>
                </w:pPr>
                <w:r>
                  <w:rPr>
                    <w:rFonts w:ascii="Palatino Linotype" w:eastAsia="Palatino Linotype" w:hAnsi="Palatino Linotype" w:cs="Palatino Linotype"/>
                    <w:szCs w:val="20"/>
                  </w:rPr>
                  <w:t>XXXX</w:t>
                </w:r>
              </w:p>
            </w:tc>
          </w:tr>
          <w:tr w:rsidR="00DD4123" w:rsidRPr="00330DA7" w14:paraId="74425B02" w14:textId="77777777" w:rsidTr="00AE5EFF">
            <w:trPr>
              <w:trHeight w:val="283"/>
            </w:trPr>
            <w:tc>
              <w:tcPr>
                <w:tcW w:w="2835" w:type="dxa"/>
                <w:shd w:val="clear" w:color="auto" w:fill="auto"/>
              </w:tcPr>
              <w:p w14:paraId="5974BD4A" w14:textId="033E41BF" w:rsidR="00DD4123" w:rsidRPr="00272348" w:rsidRDefault="00DD4123" w:rsidP="00DD4123">
                <w:pPr>
                  <w:tabs>
                    <w:tab w:val="right" w:pos="8838"/>
                  </w:tabs>
                  <w:ind w:left="-74" w:right="-105"/>
                  <w:rPr>
                    <w:rFonts w:ascii="Palatino Linotype" w:eastAsia="Calibri" w:hAnsi="Palatino Linotype" w:cs="Tahoma"/>
                    <w:b/>
                    <w:szCs w:val="22"/>
                    <w:lang w:val="es-ES" w:eastAsia="en-US"/>
                  </w:rPr>
                </w:pPr>
                <w:r w:rsidRPr="00272348">
                  <w:rPr>
                    <w:rFonts w:ascii="Palatino Linotype" w:eastAsia="Palatino Linotype" w:hAnsi="Palatino Linotype" w:cs="Palatino Linotype"/>
                    <w:b/>
                    <w:szCs w:val="20"/>
                  </w:rPr>
                  <w:t>Sujeto Obligado:</w:t>
                </w:r>
              </w:p>
            </w:tc>
            <w:tc>
              <w:tcPr>
                <w:tcW w:w="4218" w:type="dxa"/>
                <w:shd w:val="clear" w:color="auto" w:fill="auto"/>
              </w:tcPr>
              <w:p w14:paraId="6E8EB854" w14:textId="1A88B67D" w:rsidR="00DD4123" w:rsidRPr="00272348" w:rsidRDefault="00DD4123" w:rsidP="00DD4123">
                <w:pPr>
                  <w:tabs>
                    <w:tab w:val="left" w:pos="2834"/>
                    <w:tab w:val="right" w:pos="8838"/>
                  </w:tabs>
                  <w:ind w:left="-74" w:right="-105"/>
                  <w:jc w:val="both"/>
                  <w:rPr>
                    <w:rFonts w:ascii="Palatino Linotype" w:eastAsia="Calibri" w:hAnsi="Palatino Linotype" w:cs="Tahoma"/>
                    <w:szCs w:val="22"/>
                    <w:lang w:val="es-ES" w:eastAsia="en-US"/>
                  </w:rPr>
                </w:pPr>
                <w:r w:rsidRPr="00272348">
                  <w:rPr>
                    <w:rFonts w:ascii="Palatino Linotype" w:eastAsia="Palatino Linotype" w:hAnsi="Palatino Linotype" w:cs="Palatino Linotype"/>
                    <w:szCs w:val="20"/>
                  </w:rPr>
                  <w:t>Ayuntamiento de Teoloyucan</w:t>
                </w:r>
              </w:p>
            </w:tc>
          </w:tr>
          <w:tr w:rsidR="00DD4123" w:rsidRPr="00330DA7" w14:paraId="5725E2C3" w14:textId="77777777" w:rsidTr="00AE5EFF">
            <w:trPr>
              <w:trHeight w:val="283"/>
            </w:trPr>
            <w:tc>
              <w:tcPr>
                <w:tcW w:w="2835" w:type="dxa"/>
                <w:shd w:val="clear" w:color="auto" w:fill="auto"/>
              </w:tcPr>
              <w:p w14:paraId="30AA5C88" w14:textId="3248609F" w:rsidR="00DD4123" w:rsidRPr="00272348" w:rsidRDefault="00DD4123" w:rsidP="00DD4123">
                <w:pPr>
                  <w:tabs>
                    <w:tab w:val="right" w:pos="8838"/>
                  </w:tabs>
                  <w:ind w:left="-74" w:right="-105"/>
                  <w:rPr>
                    <w:rFonts w:ascii="Palatino Linotype" w:eastAsia="Calibri" w:hAnsi="Palatino Linotype" w:cs="Tahoma"/>
                    <w:b/>
                    <w:szCs w:val="22"/>
                    <w:lang w:val="es-ES" w:eastAsia="en-US"/>
                  </w:rPr>
                </w:pPr>
                <w:r w:rsidRPr="00272348">
                  <w:rPr>
                    <w:rFonts w:ascii="Palatino Linotype" w:eastAsia="Palatino Linotype" w:hAnsi="Palatino Linotype" w:cs="Palatino Linotype"/>
                    <w:b/>
                    <w:szCs w:val="20"/>
                  </w:rPr>
                  <w:t>Comisionada ponente:</w:t>
                </w:r>
              </w:p>
            </w:tc>
            <w:tc>
              <w:tcPr>
                <w:tcW w:w="4218" w:type="dxa"/>
                <w:shd w:val="clear" w:color="auto" w:fill="auto"/>
              </w:tcPr>
              <w:p w14:paraId="1DAF8F97" w14:textId="77777777" w:rsidR="00DD4123" w:rsidRPr="00272348" w:rsidRDefault="00DD4123" w:rsidP="00DD4123">
                <w:pPr>
                  <w:ind w:left="-74" w:right="-1663"/>
                  <w:rPr>
                    <w:rFonts w:ascii="Palatino Linotype" w:eastAsia="Palatino Linotype" w:hAnsi="Palatino Linotype" w:cs="Palatino Linotype"/>
                    <w:szCs w:val="20"/>
                  </w:rPr>
                </w:pPr>
                <w:r w:rsidRPr="00272348">
                  <w:rPr>
                    <w:rFonts w:ascii="Palatino Linotype" w:eastAsia="Palatino Linotype" w:hAnsi="Palatino Linotype" w:cs="Palatino Linotype"/>
                    <w:szCs w:val="20"/>
                  </w:rPr>
                  <w:t>María del Rosario Mejía Ayala</w:t>
                </w:r>
              </w:p>
              <w:p w14:paraId="003D9FBE" w14:textId="77777777" w:rsidR="00DD4123" w:rsidRPr="00272348" w:rsidRDefault="00DD4123" w:rsidP="00DD4123">
                <w:pPr>
                  <w:tabs>
                    <w:tab w:val="right" w:pos="8838"/>
                  </w:tabs>
                  <w:ind w:left="-74" w:right="-105"/>
                  <w:jc w:val="both"/>
                  <w:rPr>
                    <w:rFonts w:ascii="Palatino Linotype" w:eastAsia="Calibri" w:hAnsi="Palatino Linotype" w:cs="Tahoma"/>
                    <w:b/>
                    <w:szCs w:val="22"/>
                    <w:lang w:val="es-ES" w:eastAsia="en-US"/>
                  </w:rPr>
                </w:pPr>
              </w:p>
            </w:tc>
          </w:tr>
        </w:tbl>
        <w:p w14:paraId="63792928" w14:textId="77777777" w:rsidR="00550FA6" w:rsidRPr="00330DA7" w:rsidRDefault="00550FA6" w:rsidP="00EA57C4">
          <w:pPr>
            <w:tabs>
              <w:tab w:val="right" w:pos="8838"/>
            </w:tabs>
            <w:ind w:left="-28"/>
            <w:jc w:val="both"/>
            <w:rPr>
              <w:rFonts w:ascii="Arial" w:eastAsia="Calibri" w:hAnsi="Arial" w:cs="Arial"/>
              <w:b/>
              <w:sz w:val="22"/>
              <w:szCs w:val="22"/>
              <w:lang w:eastAsia="en-US"/>
            </w:rPr>
          </w:pPr>
        </w:p>
      </w:tc>
    </w:tr>
  </w:tbl>
  <w:p w14:paraId="65018DCC" w14:textId="77777777" w:rsidR="00550FA6" w:rsidRPr="00827FA0" w:rsidRDefault="00090411" w:rsidP="00EA57C4">
    <w:pPr>
      <w:pStyle w:val="Encabezado"/>
      <w:rPr>
        <w:sz w:val="2"/>
        <w:szCs w:val="22"/>
      </w:rPr>
    </w:pPr>
    <w:r>
      <w:rPr>
        <w:noProof/>
        <w:sz w:val="2"/>
        <w:szCs w:val="22"/>
      </w:rPr>
      <w:pict w14:anchorId="46CDF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7395962" o:spid="_x0000_s2049" type="#_x0000_t75" alt="" style="position:absolute;margin-left:-68.8pt;margin-top:-117.6pt;width:589.8pt;height:768pt;z-index:-251655168;mso-wrap-edited:f;mso-width-percent:0;mso-height-percent:0;mso-position-horizontal-relative:margin;mso-position-vertical-relative:margin;mso-width-percent:0;mso-height-percent:0" o:allowincell="f">
          <v:imagedata r:id="rId1" o:title="resolución infoem image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6F87AA4"/>
    <w:multiLevelType w:val="hybridMultilevel"/>
    <w:tmpl w:val="6608A0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B51425"/>
    <w:multiLevelType w:val="hybridMultilevel"/>
    <w:tmpl w:val="27462B8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A8967EA"/>
    <w:multiLevelType w:val="hybridMultilevel"/>
    <w:tmpl w:val="4FB6851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 w15:restartNumberingAfterBreak="0">
    <w:nsid w:val="0C4C6776"/>
    <w:multiLevelType w:val="multilevel"/>
    <w:tmpl w:val="B7A6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3769E"/>
    <w:multiLevelType w:val="hybridMultilevel"/>
    <w:tmpl w:val="1B2E098E"/>
    <w:lvl w:ilvl="0" w:tplc="92BE0B36">
      <w:start w:val="1"/>
      <w:numFmt w:val="decimal"/>
      <w:lvlText w:val="%1."/>
      <w:lvlJc w:val="left"/>
      <w:pPr>
        <w:ind w:left="644"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DB0E20"/>
    <w:multiLevelType w:val="hybridMultilevel"/>
    <w:tmpl w:val="44303D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358391F"/>
    <w:multiLevelType w:val="hybridMultilevel"/>
    <w:tmpl w:val="1518774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BF3816"/>
    <w:multiLevelType w:val="hybridMultilevel"/>
    <w:tmpl w:val="BE80D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4CA3D22"/>
    <w:multiLevelType w:val="hybridMultilevel"/>
    <w:tmpl w:val="DE9A70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7426E6F"/>
    <w:multiLevelType w:val="hybridMultilevel"/>
    <w:tmpl w:val="EF10DD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8047B1B"/>
    <w:multiLevelType w:val="hybridMultilevel"/>
    <w:tmpl w:val="69AE91D0"/>
    <w:lvl w:ilvl="0" w:tplc="069E2F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B13566B"/>
    <w:multiLevelType w:val="multilevel"/>
    <w:tmpl w:val="30548C3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3" w15:restartNumberingAfterBreak="0">
    <w:nsid w:val="1C68060B"/>
    <w:multiLevelType w:val="multilevel"/>
    <w:tmpl w:val="1846A92A"/>
    <w:lvl w:ilvl="0">
      <w:start w:val="1"/>
      <w:numFmt w:val="decimal"/>
      <w:lvlText w:val="%1."/>
      <w:lvlJc w:val="left"/>
      <w:pPr>
        <w:ind w:left="7731"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A2242B"/>
    <w:multiLevelType w:val="hybridMultilevel"/>
    <w:tmpl w:val="81F639EE"/>
    <w:lvl w:ilvl="0" w:tplc="FFFFFFFF">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FFFFFFFF">
      <w:start w:val="1"/>
      <w:numFmt w:val="bullet"/>
      <w:lvlText w:val=""/>
      <w:lvlJc w:val="left"/>
      <w:pPr>
        <w:ind w:left="2340" w:hanging="360"/>
      </w:pPr>
      <w:rPr>
        <w:rFonts w:ascii="Wingdings" w:hAnsi="Wingdings" w:cs="Wingdings" w:hint="default"/>
        <w:strike w:val="0"/>
      </w:rPr>
    </w:lvl>
    <w:lvl w:ilvl="3" w:tplc="AF5E5232">
      <w:start w:val="1"/>
      <w:numFmt w:val="upperRoman"/>
      <w:lvlText w:val="%4."/>
      <w:lvlJc w:val="left"/>
      <w:pPr>
        <w:ind w:left="3240" w:hanging="720"/>
      </w:pPr>
      <w:rPr>
        <w:rFonts w:hint="default"/>
        <w:b/>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C0610A"/>
    <w:multiLevelType w:val="hybridMultilevel"/>
    <w:tmpl w:val="C44AC4EC"/>
    <w:lvl w:ilvl="0" w:tplc="5B82041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E1354FC"/>
    <w:multiLevelType w:val="hybridMultilevel"/>
    <w:tmpl w:val="1AF20ADE"/>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2ECF7137"/>
    <w:multiLevelType w:val="multilevel"/>
    <w:tmpl w:val="58F073C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3736CB"/>
    <w:multiLevelType w:val="hybridMultilevel"/>
    <w:tmpl w:val="640A69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4317490"/>
    <w:multiLevelType w:val="hybridMultilevel"/>
    <w:tmpl w:val="1B2E098E"/>
    <w:lvl w:ilvl="0" w:tplc="92BE0B36">
      <w:start w:val="1"/>
      <w:numFmt w:val="decimal"/>
      <w:lvlText w:val="%1."/>
      <w:lvlJc w:val="left"/>
      <w:pPr>
        <w:ind w:left="360"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5924F83"/>
    <w:multiLevelType w:val="hybridMultilevel"/>
    <w:tmpl w:val="0F6A9DB8"/>
    <w:lvl w:ilvl="0" w:tplc="42F87DBA">
      <w:start w:val="1"/>
      <w:numFmt w:val="upperRoman"/>
      <w:lvlText w:val="%1."/>
      <w:lvlJc w:val="left"/>
      <w:pPr>
        <w:ind w:left="1138" w:hanging="185"/>
      </w:pPr>
      <w:rPr>
        <w:rFonts w:ascii="Palatino Linotype" w:eastAsia="Palatino Linotype" w:hAnsi="Palatino Linotype" w:cs="Palatino Linotype" w:hint="default"/>
        <w:i/>
        <w:iCs/>
        <w:w w:val="100"/>
        <w:sz w:val="22"/>
        <w:szCs w:val="22"/>
        <w:lang w:val="es-ES" w:eastAsia="en-US" w:bidi="ar-SA"/>
      </w:rPr>
    </w:lvl>
    <w:lvl w:ilvl="1" w:tplc="B5761D28">
      <w:numFmt w:val="bullet"/>
      <w:lvlText w:val="•"/>
      <w:lvlJc w:val="left"/>
      <w:pPr>
        <w:ind w:left="1964" w:hanging="185"/>
      </w:pPr>
      <w:rPr>
        <w:rFonts w:hint="default"/>
        <w:lang w:val="es-ES" w:eastAsia="en-US" w:bidi="ar-SA"/>
      </w:rPr>
    </w:lvl>
    <w:lvl w:ilvl="2" w:tplc="C9403760">
      <w:numFmt w:val="bullet"/>
      <w:lvlText w:val="•"/>
      <w:lvlJc w:val="left"/>
      <w:pPr>
        <w:ind w:left="2788" w:hanging="185"/>
      </w:pPr>
      <w:rPr>
        <w:rFonts w:hint="default"/>
        <w:lang w:val="es-ES" w:eastAsia="en-US" w:bidi="ar-SA"/>
      </w:rPr>
    </w:lvl>
    <w:lvl w:ilvl="3" w:tplc="ECFAC9FC">
      <w:numFmt w:val="bullet"/>
      <w:lvlText w:val="•"/>
      <w:lvlJc w:val="left"/>
      <w:pPr>
        <w:ind w:left="3612" w:hanging="185"/>
      </w:pPr>
      <w:rPr>
        <w:rFonts w:hint="default"/>
        <w:lang w:val="es-ES" w:eastAsia="en-US" w:bidi="ar-SA"/>
      </w:rPr>
    </w:lvl>
    <w:lvl w:ilvl="4" w:tplc="4C92CD8E">
      <w:numFmt w:val="bullet"/>
      <w:lvlText w:val="•"/>
      <w:lvlJc w:val="left"/>
      <w:pPr>
        <w:ind w:left="4436" w:hanging="185"/>
      </w:pPr>
      <w:rPr>
        <w:rFonts w:hint="default"/>
        <w:lang w:val="es-ES" w:eastAsia="en-US" w:bidi="ar-SA"/>
      </w:rPr>
    </w:lvl>
    <w:lvl w:ilvl="5" w:tplc="7870BB86">
      <w:numFmt w:val="bullet"/>
      <w:lvlText w:val="•"/>
      <w:lvlJc w:val="left"/>
      <w:pPr>
        <w:ind w:left="5260" w:hanging="185"/>
      </w:pPr>
      <w:rPr>
        <w:rFonts w:hint="default"/>
        <w:lang w:val="es-ES" w:eastAsia="en-US" w:bidi="ar-SA"/>
      </w:rPr>
    </w:lvl>
    <w:lvl w:ilvl="6" w:tplc="83225548">
      <w:numFmt w:val="bullet"/>
      <w:lvlText w:val="•"/>
      <w:lvlJc w:val="left"/>
      <w:pPr>
        <w:ind w:left="6084" w:hanging="185"/>
      </w:pPr>
      <w:rPr>
        <w:rFonts w:hint="default"/>
        <w:lang w:val="es-ES" w:eastAsia="en-US" w:bidi="ar-SA"/>
      </w:rPr>
    </w:lvl>
    <w:lvl w:ilvl="7" w:tplc="2C38DBD6">
      <w:numFmt w:val="bullet"/>
      <w:lvlText w:val="•"/>
      <w:lvlJc w:val="left"/>
      <w:pPr>
        <w:ind w:left="6908" w:hanging="185"/>
      </w:pPr>
      <w:rPr>
        <w:rFonts w:hint="default"/>
        <w:lang w:val="es-ES" w:eastAsia="en-US" w:bidi="ar-SA"/>
      </w:rPr>
    </w:lvl>
    <w:lvl w:ilvl="8" w:tplc="2D48A632">
      <w:numFmt w:val="bullet"/>
      <w:lvlText w:val="•"/>
      <w:lvlJc w:val="left"/>
      <w:pPr>
        <w:ind w:left="7732" w:hanging="185"/>
      </w:pPr>
      <w:rPr>
        <w:rFonts w:hint="default"/>
        <w:lang w:val="es-ES" w:eastAsia="en-US" w:bidi="ar-SA"/>
      </w:rPr>
    </w:lvl>
  </w:abstractNum>
  <w:abstractNum w:abstractNumId="21" w15:restartNumberingAfterBreak="0">
    <w:nsid w:val="36046F80"/>
    <w:multiLevelType w:val="multilevel"/>
    <w:tmpl w:val="C6206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7030033"/>
    <w:multiLevelType w:val="hybridMultilevel"/>
    <w:tmpl w:val="AAAACA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95F0958"/>
    <w:multiLevelType w:val="hybridMultilevel"/>
    <w:tmpl w:val="7166E05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4" w15:restartNumberingAfterBreak="0">
    <w:nsid w:val="54591DE2"/>
    <w:multiLevelType w:val="hybridMultilevel"/>
    <w:tmpl w:val="62607FDC"/>
    <w:lvl w:ilvl="0" w:tplc="080A000B">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5" w15:restartNumberingAfterBreak="0">
    <w:nsid w:val="5A000E0A"/>
    <w:multiLevelType w:val="hybridMultilevel"/>
    <w:tmpl w:val="504CFAD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02B190D"/>
    <w:multiLevelType w:val="hybridMultilevel"/>
    <w:tmpl w:val="C3588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60DB781E"/>
    <w:multiLevelType w:val="hybridMultilevel"/>
    <w:tmpl w:val="151877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2C279C1"/>
    <w:multiLevelType w:val="hybridMultilevel"/>
    <w:tmpl w:val="8BE44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8413B4"/>
    <w:multiLevelType w:val="multilevel"/>
    <w:tmpl w:val="2C6A432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8B35820"/>
    <w:multiLevelType w:val="multilevel"/>
    <w:tmpl w:val="2B62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FC131A"/>
    <w:multiLevelType w:val="multilevel"/>
    <w:tmpl w:val="0040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06443B"/>
    <w:multiLevelType w:val="multilevel"/>
    <w:tmpl w:val="97DA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C62072"/>
    <w:multiLevelType w:val="hybridMultilevel"/>
    <w:tmpl w:val="B48C171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4" w15:restartNumberingAfterBreak="0">
    <w:nsid w:val="6F5A1916"/>
    <w:multiLevelType w:val="hybridMultilevel"/>
    <w:tmpl w:val="0F4C31C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5" w15:restartNumberingAfterBreak="0">
    <w:nsid w:val="74E54885"/>
    <w:multiLevelType w:val="hybridMultilevel"/>
    <w:tmpl w:val="6FC09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70136A0"/>
    <w:multiLevelType w:val="hybridMultilevel"/>
    <w:tmpl w:val="F072DB56"/>
    <w:lvl w:ilvl="0" w:tplc="080A000F">
      <w:start w:val="1"/>
      <w:numFmt w:val="decimal"/>
      <w:lvlText w:val="%1."/>
      <w:lvlJc w:val="left"/>
      <w:pPr>
        <w:ind w:left="2629"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9296A18"/>
    <w:multiLevelType w:val="multilevel"/>
    <w:tmpl w:val="C06C9D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15"/>
  </w:num>
  <w:num w:numId="3">
    <w:abstractNumId w:val="18"/>
  </w:num>
  <w:num w:numId="4">
    <w:abstractNumId w:val="25"/>
  </w:num>
  <w:num w:numId="5">
    <w:abstractNumId w:val="30"/>
  </w:num>
  <w:num w:numId="6">
    <w:abstractNumId w:val="32"/>
  </w:num>
  <w:num w:numId="7">
    <w:abstractNumId w:val="31"/>
  </w:num>
  <w:num w:numId="8">
    <w:abstractNumId w:val="5"/>
  </w:num>
  <w:num w:numId="9">
    <w:abstractNumId w:val="0"/>
  </w:num>
  <w:num w:numId="10">
    <w:abstractNumId w:val="9"/>
  </w:num>
  <w:num w:numId="11">
    <w:abstractNumId w:val="35"/>
  </w:num>
  <w:num w:numId="12">
    <w:abstractNumId w:val="2"/>
  </w:num>
  <w:num w:numId="13">
    <w:abstractNumId w:val="4"/>
  </w:num>
  <w:num w:numId="14">
    <w:abstractNumId w:val="8"/>
  </w:num>
  <w:num w:numId="15">
    <w:abstractNumId w:val="27"/>
  </w:num>
  <w:num w:numId="16">
    <w:abstractNumId w:val="7"/>
  </w:num>
  <w:num w:numId="17">
    <w:abstractNumId w:val="20"/>
  </w:num>
  <w:num w:numId="18">
    <w:abstractNumId w:val="1"/>
  </w:num>
  <w:num w:numId="19">
    <w:abstractNumId w:val="36"/>
  </w:num>
  <w:num w:numId="20">
    <w:abstractNumId w:val="6"/>
  </w:num>
  <w:num w:numId="21">
    <w:abstractNumId w:val="24"/>
  </w:num>
  <w:num w:numId="22">
    <w:abstractNumId w:val="22"/>
  </w:num>
  <w:num w:numId="23">
    <w:abstractNumId w:val="28"/>
  </w:num>
  <w:num w:numId="24">
    <w:abstractNumId w:val="16"/>
  </w:num>
  <w:num w:numId="25">
    <w:abstractNumId w:val="23"/>
  </w:num>
  <w:num w:numId="26">
    <w:abstractNumId w:val="34"/>
  </w:num>
  <w:num w:numId="27">
    <w:abstractNumId w:val="11"/>
  </w:num>
  <w:num w:numId="28">
    <w:abstractNumId w:val="26"/>
  </w:num>
  <w:num w:numId="29">
    <w:abstractNumId w:val="14"/>
  </w:num>
  <w:num w:numId="30">
    <w:abstractNumId w:val="38"/>
  </w:num>
  <w:num w:numId="31">
    <w:abstractNumId w:val="29"/>
  </w:num>
  <w:num w:numId="32">
    <w:abstractNumId w:val="12"/>
  </w:num>
  <w:num w:numId="33">
    <w:abstractNumId w:val="21"/>
  </w:num>
  <w:num w:numId="34">
    <w:abstractNumId w:val="37"/>
  </w:num>
  <w:num w:numId="35">
    <w:abstractNumId w:val="17"/>
  </w:num>
  <w:num w:numId="36">
    <w:abstractNumId w:val="33"/>
  </w:num>
  <w:num w:numId="37">
    <w:abstractNumId w:val="13"/>
  </w:num>
  <w:num w:numId="38">
    <w:abstractNumId w:val="10"/>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CD8"/>
    <w:rsid w:val="00002F8F"/>
    <w:rsid w:val="00007A3C"/>
    <w:rsid w:val="00024DD8"/>
    <w:rsid w:val="00027F32"/>
    <w:rsid w:val="000345A1"/>
    <w:rsid w:val="00043D6D"/>
    <w:rsid w:val="000546BC"/>
    <w:rsid w:val="0006267C"/>
    <w:rsid w:val="00062F95"/>
    <w:rsid w:val="0008452B"/>
    <w:rsid w:val="00090411"/>
    <w:rsid w:val="00094501"/>
    <w:rsid w:val="0009519A"/>
    <w:rsid w:val="000A2EB0"/>
    <w:rsid w:val="000B1FC7"/>
    <w:rsid w:val="000B718C"/>
    <w:rsid w:val="000B7415"/>
    <w:rsid w:val="000C093D"/>
    <w:rsid w:val="000C60CD"/>
    <w:rsid w:val="000E138C"/>
    <w:rsid w:val="000E7DE8"/>
    <w:rsid w:val="00107D43"/>
    <w:rsid w:val="00112E8F"/>
    <w:rsid w:val="0012408E"/>
    <w:rsid w:val="00127347"/>
    <w:rsid w:val="00153FC8"/>
    <w:rsid w:val="00156B91"/>
    <w:rsid w:val="00192704"/>
    <w:rsid w:val="00194161"/>
    <w:rsid w:val="001A1A60"/>
    <w:rsid w:val="001A37FB"/>
    <w:rsid w:val="001A7288"/>
    <w:rsid w:val="001C7C65"/>
    <w:rsid w:val="001F1419"/>
    <w:rsid w:val="001F2181"/>
    <w:rsid w:val="001F66AD"/>
    <w:rsid w:val="00214EBE"/>
    <w:rsid w:val="00222E05"/>
    <w:rsid w:val="00224A65"/>
    <w:rsid w:val="00225054"/>
    <w:rsid w:val="00231137"/>
    <w:rsid w:val="0023583D"/>
    <w:rsid w:val="00250F94"/>
    <w:rsid w:val="00253784"/>
    <w:rsid w:val="00272348"/>
    <w:rsid w:val="00273429"/>
    <w:rsid w:val="00276886"/>
    <w:rsid w:val="002A72EB"/>
    <w:rsid w:val="002B70A8"/>
    <w:rsid w:val="002B784C"/>
    <w:rsid w:val="002B7873"/>
    <w:rsid w:val="002D5415"/>
    <w:rsid w:val="002E20F0"/>
    <w:rsid w:val="002F3D78"/>
    <w:rsid w:val="002F5041"/>
    <w:rsid w:val="002F7FBE"/>
    <w:rsid w:val="0030038E"/>
    <w:rsid w:val="003046ED"/>
    <w:rsid w:val="00307AE4"/>
    <w:rsid w:val="00325DF2"/>
    <w:rsid w:val="00352357"/>
    <w:rsid w:val="00364B24"/>
    <w:rsid w:val="00372A8B"/>
    <w:rsid w:val="0037310B"/>
    <w:rsid w:val="0039710F"/>
    <w:rsid w:val="003A128F"/>
    <w:rsid w:val="003A4AB7"/>
    <w:rsid w:val="003B191A"/>
    <w:rsid w:val="003B2E45"/>
    <w:rsid w:val="003C312F"/>
    <w:rsid w:val="003D6293"/>
    <w:rsid w:val="003E0425"/>
    <w:rsid w:val="003F34FF"/>
    <w:rsid w:val="003F43DC"/>
    <w:rsid w:val="003F55A0"/>
    <w:rsid w:val="00446E9F"/>
    <w:rsid w:val="0045198B"/>
    <w:rsid w:val="00451E6C"/>
    <w:rsid w:val="0045418C"/>
    <w:rsid w:val="00456176"/>
    <w:rsid w:val="0046117C"/>
    <w:rsid w:val="00464C9A"/>
    <w:rsid w:val="00471273"/>
    <w:rsid w:val="00485424"/>
    <w:rsid w:val="00496F86"/>
    <w:rsid w:val="004A5075"/>
    <w:rsid w:val="004C0E29"/>
    <w:rsid w:val="004D1330"/>
    <w:rsid w:val="004D2A95"/>
    <w:rsid w:val="004D6DFD"/>
    <w:rsid w:val="004F5FF5"/>
    <w:rsid w:val="00502214"/>
    <w:rsid w:val="00502D20"/>
    <w:rsid w:val="00512488"/>
    <w:rsid w:val="00512737"/>
    <w:rsid w:val="005127F4"/>
    <w:rsid w:val="005255B9"/>
    <w:rsid w:val="00541BEA"/>
    <w:rsid w:val="00550FA6"/>
    <w:rsid w:val="00570806"/>
    <w:rsid w:val="00586F37"/>
    <w:rsid w:val="005A1BEC"/>
    <w:rsid w:val="005B2C1C"/>
    <w:rsid w:val="005B3D9D"/>
    <w:rsid w:val="005C35FA"/>
    <w:rsid w:val="005E2928"/>
    <w:rsid w:val="005E3D18"/>
    <w:rsid w:val="005E5C72"/>
    <w:rsid w:val="006050D1"/>
    <w:rsid w:val="00631E3F"/>
    <w:rsid w:val="00633679"/>
    <w:rsid w:val="006345B5"/>
    <w:rsid w:val="00635B55"/>
    <w:rsid w:val="00655B9D"/>
    <w:rsid w:val="0066026C"/>
    <w:rsid w:val="0068161F"/>
    <w:rsid w:val="00687A28"/>
    <w:rsid w:val="006B402B"/>
    <w:rsid w:val="006C534F"/>
    <w:rsid w:val="006E5BE1"/>
    <w:rsid w:val="006F4A8D"/>
    <w:rsid w:val="006F5A6C"/>
    <w:rsid w:val="00702644"/>
    <w:rsid w:val="00704E76"/>
    <w:rsid w:val="00710718"/>
    <w:rsid w:val="00711409"/>
    <w:rsid w:val="00711A1B"/>
    <w:rsid w:val="00716C6A"/>
    <w:rsid w:val="00723BFD"/>
    <w:rsid w:val="00726BF5"/>
    <w:rsid w:val="00745061"/>
    <w:rsid w:val="00750AB4"/>
    <w:rsid w:val="00754566"/>
    <w:rsid w:val="0076088E"/>
    <w:rsid w:val="007617EE"/>
    <w:rsid w:val="0076643E"/>
    <w:rsid w:val="0077506F"/>
    <w:rsid w:val="007840E1"/>
    <w:rsid w:val="007849C0"/>
    <w:rsid w:val="00786A54"/>
    <w:rsid w:val="007901B0"/>
    <w:rsid w:val="00790385"/>
    <w:rsid w:val="00792381"/>
    <w:rsid w:val="00797A3E"/>
    <w:rsid w:val="00797CD8"/>
    <w:rsid w:val="007A07BD"/>
    <w:rsid w:val="007A1A1B"/>
    <w:rsid w:val="007B12B7"/>
    <w:rsid w:val="007B5A32"/>
    <w:rsid w:val="007B719A"/>
    <w:rsid w:val="007C349D"/>
    <w:rsid w:val="007C5CA5"/>
    <w:rsid w:val="007D1B78"/>
    <w:rsid w:val="007E5442"/>
    <w:rsid w:val="007F1583"/>
    <w:rsid w:val="008075F3"/>
    <w:rsid w:val="00810262"/>
    <w:rsid w:val="00810D19"/>
    <w:rsid w:val="00814037"/>
    <w:rsid w:val="00824065"/>
    <w:rsid w:val="008255F6"/>
    <w:rsid w:val="008379A6"/>
    <w:rsid w:val="00846CF4"/>
    <w:rsid w:val="00874BA2"/>
    <w:rsid w:val="0087587F"/>
    <w:rsid w:val="00896C1C"/>
    <w:rsid w:val="008B79AD"/>
    <w:rsid w:val="008D285B"/>
    <w:rsid w:val="008D4F3A"/>
    <w:rsid w:val="008E6D32"/>
    <w:rsid w:val="008F2AFE"/>
    <w:rsid w:val="009048F3"/>
    <w:rsid w:val="009058C2"/>
    <w:rsid w:val="009109C5"/>
    <w:rsid w:val="0092552A"/>
    <w:rsid w:val="009318B1"/>
    <w:rsid w:val="0093562D"/>
    <w:rsid w:val="00961B05"/>
    <w:rsid w:val="00974281"/>
    <w:rsid w:val="00992476"/>
    <w:rsid w:val="0099398F"/>
    <w:rsid w:val="009B2F6E"/>
    <w:rsid w:val="009B6D30"/>
    <w:rsid w:val="009D1E35"/>
    <w:rsid w:val="009D1E38"/>
    <w:rsid w:val="009D4BF1"/>
    <w:rsid w:val="009E46D4"/>
    <w:rsid w:val="009E61D8"/>
    <w:rsid w:val="009F247C"/>
    <w:rsid w:val="00A0229E"/>
    <w:rsid w:val="00A03020"/>
    <w:rsid w:val="00A03062"/>
    <w:rsid w:val="00A1172E"/>
    <w:rsid w:val="00A132F4"/>
    <w:rsid w:val="00A25966"/>
    <w:rsid w:val="00A3695A"/>
    <w:rsid w:val="00A47A27"/>
    <w:rsid w:val="00A5508B"/>
    <w:rsid w:val="00A61139"/>
    <w:rsid w:val="00A616F0"/>
    <w:rsid w:val="00A64CC3"/>
    <w:rsid w:val="00A76846"/>
    <w:rsid w:val="00A814FE"/>
    <w:rsid w:val="00A83AD0"/>
    <w:rsid w:val="00AA6279"/>
    <w:rsid w:val="00AB3B1B"/>
    <w:rsid w:val="00AE5777"/>
    <w:rsid w:val="00AE5EFF"/>
    <w:rsid w:val="00AF3C54"/>
    <w:rsid w:val="00AF748E"/>
    <w:rsid w:val="00B05BA3"/>
    <w:rsid w:val="00B07605"/>
    <w:rsid w:val="00B15957"/>
    <w:rsid w:val="00B23438"/>
    <w:rsid w:val="00B2788A"/>
    <w:rsid w:val="00B747A5"/>
    <w:rsid w:val="00B804C5"/>
    <w:rsid w:val="00B94619"/>
    <w:rsid w:val="00BA0783"/>
    <w:rsid w:val="00BC1788"/>
    <w:rsid w:val="00BC1BF5"/>
    <w:rsid w:val="00BC1D3F"/>
    <w:rsid w:val="00BC2F3D"/>
    <w:rsid w:val="00BD48EB"/>
    <w:rsid w:val="00BD5A39"/>
    <w:rsid w:val="00BE0EEC"/>
    <w:rsid w:val="00BF5640"/>
    <w:rsid w:val="00C52B3E"/>
    <w:rsid w:val="00C70323"/>
    <w:rsid w:val="00C84824"/>
    <w:rsid w:val="00C9689D"/>
    <w:rsid w:val="00C97E72"/>
    <w:rsid w:val="00CA03D5"/>
    <w:rsid w:val="00CA54E0"/>
    <w:rsid w:val="00CB017B"/>
    <w:rsid w:val="00CC1041"/>
    <w:rsid w:val="00CD38D7"/>
    <w:rsid w:val="00CD3B25"/>
    <w:rsid w:val="00CE5B80"/>
    <w:rsid w:val="00CE71BA"/>
    <w:rsid w:val="00CE7A04"/>
    <w:rsid w:val="00CF2CD8"/>
    <w:rsid w:val="00CF4323"/>
    <w:rsid w:val="00D06B75"/>
    <w:rsid w:val="00D10A42"/>
    <w:rsid w:val="00D23049"/>
    <w:rsid w:val="00D2756A"/>
    <w:rsid w:val="00D3167E"/>
    <w:rsid w:val="00D34E6B"/>
    <w:rsid w:val="00D55687"/>
    <w:rsid w:val="00D56B9F"/>
    <w:rsid w:val="00D57659"/>
    <w:rsid w:val="00D83ED0"/>
    <w:rsid w:val="00DA3D6B"/>
    <w:rsid w:val="00DB1141"/>
    <w:rsid w:val="00DB4A19"/>
    <w:rsid w:val="00DB6826"/>
    <w:rsid w:val="00DB713A"/>
    <w:rsid w:val="00DC0FC7"/>
    <w:rsid w:val="00DD4123"/>
    <w:rsid w:val="00DF276D"/>
    <w:rsid w:val="00E16B66"/>
    <w:rsid w:val="00E23694"/>
    <w:rsid w:val="00E5571F"/>
    <w:rsid w:val="00E55FF9"/>
    <w:rsid w:val="00E62CD7"/>
    <w:rsid w:val="00E67667"/>
    <w:rsid w:val="00E71248"/>
    <w:rsid w:val="00E87190"/>
    <w:rsid w:val="00EA28EA"/>
    <w:rsid w:val="00EA57C4"/>
    <w:rsid w:val="00EB6CF4"/>
    <w:rsid w:val="00ED3C5A"/>
    <w:rsid w:val="00EE36DF"/>
    <w:rsid w:val="00EE5D2E"/>
    <w:rsid w:val="00F01435"/>
    <w:rsid w:val="00F025B7"/>
    <w:rsid w:val="00F076A2"/>
    <w:rsid w:val="00F362B5"/>
    <w:rsid w:val="00F4351F"/>
    <w:rsid w:val="00F4429D"/>
    <w:rsid w:val="00F448B7"/>
    <w:rsid w:val="00F44E66"/>
    <w:rsid w:val="00F45875"/>
    <w:rsid w:val="00F5581C"/>
    <w:rsid w:val="00F55E41"/>
    <w:rsid w:val="00F66D77"/>
    <w:rsid w:val="00F66EFD"/>
    <w:rsid w:val="00F87E09"/>
    <w:rsid w:val="00F94232"/>
    <w:rsid w:val="00F974AD"/>
    <w:rsid w:val="00FB16A2"/>
    <w:rsid w:val="00FD4F8F"/>
    <w:rsid w:val="00FE1D43"/>
    <w:rsid w:val="00FF4563"/>
    <w:rsid w:val="00FF7D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049268"/>
  <w15:chartTrackingRefBased/>
  <w15:docId w15:val="{D2002559-9A95-401F-8382-DD517C7D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232"/>
    <w:pPr>
      <w:spacing w:after="0" w:line="240" w:lineRule="auto"/>
    </w:pPr>
    <w:rPr>
      <w:rFonts w:ascii="Times New Roman" w:eastAsia="Times New Roman" w:hAnsi="Times New Roman" w:cs="Times New Roman"/>
      <w:sz w:val="24"/>
      <w:szCs w:val="24"/>
      <w:lang w:val="es-MX" w:eastAsia="es-MX"/>
    </w:rPr>
  </w:style>
  <w:style w:type="paragraph" w:styleId="Ttulo1">
    <w:name w:val="heading 1"/>
    <w:basedOn w:val="Normal"/>
    <w:next w:val="Normal"/>
    <w:link w:val="Ttulo1Car"/>
    <w:uiPriority w:val="9"/>
    <w:qFormat/>
    <w:rsid w:val="00797CD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D4F8F"/>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7CD8"/>
    <w:rPr>
      <w:rFonts w:asciiTheme="majorHAnsi" w:eastAsiaTheme="majorEastAsia" w:hAnsiTheme="majorHAnsi" w:cstheme="majorBidi"/>
      <w:color w:val="2E74B5" w:themeColor="accent1" w:themeShade="BF"/>
      <w:sz w:val="32"/>
      <w:szCs w:val="32"/>
      <w:lang w:val="es-MX" w:eastAsia="es-MX"/>
    </w:rPr>
  </w:style>
  <w:style w:type="paragraph" w:styleId="Encabezado">
    <w:name w:val="header"/>
    <w:basedOn w:val="Normal"/>
    <w:link w:val="EncabezadoCar"/>
    <w:uiPriority w:val="99"/>
    <w:unhideWhenUsed/>
    <w:rsid w:val="00797CD8"/>
    <w:pPr>
      <w:tabs>
        <w:tab w:val="center" w:pos="4419"/>
        <w:tab w:val="right" w:pos="8838"/>
      </w:tabs>
    </w:pPr>
  </w:style>
  <w:style w:type="character" w:customStyle="1" w:styleId="EncabezadoCar">
    <w:name w:val="Encabezado Car"/>
    <w:basedOn w:val="Fuentedeprrafopredeter"/>
    <w:link w:val="Encabezado"/>
    <w:uiPriority w:val="99"/>
    <w:rsid w:val="00797CD8"/>
    <w:rPr>
      <w:rFonts w:ascii="Times New Roman" w:eastAsia="Times New Roman" w:hAnsi="Times New Roman" w:cs="Times New Roman"/>
      <w:sz w:val="24"/>
      <w:szCs w:val="24"/>
      <w:lang w:val="es-MX" w:eastAsia="es-MX"/>
    </w:rPr>
  </w:style>
  <w:style w:type="paragraph" w:styleId="Piedepgina">
    <w:name w:val="footer"/>
    <w:basedOn w:val="Normal"/>
    <w:link w:val="PiedepginaCar"/>
    <w:uiPriority w:val="99"/>
    <w:unhideWhenUsed/>
    <w:rsid w:val="00797CD8"/>
    <w:pPr>
      <w:tabs>
        <w:tab w:val="center" w:pos="4419"/>
        <w:tab w:val="right" w:pos="8838"/>
      </w:tabs>
    </w:pPr>
  </w:style>
  <w:style w:type="character" w:customStyle="1" w:styleId="PiedepginaCar">
    <w:name w:val="Pie de página Car"/>
    <w:basedOn w:val="Fuentedeprrafopredeter"/>
    <w:link w:val="Piedepgina"/>
    <w:uiPriority w:val="99"/>
    <w:rsid w:val="00797CD8"/>
    <w:rPr>
      <w:rFonts w:ascii="Times New Roman" w:eastAsia="Times New Roman" w:hAnsi="Times New Roman" w:cs="Times New Roman"/>
      <w:sz w:val="24"/>
      <w:szCs w:val="24"/>
      <w:lang w:val="es-MX"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97CD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797CD8"/>
    <w:rPr>
      <w:rFonts w:ascii="Century Gothic" w:eastAsia="Times New Roman" w:hAnsi="Century Gothic" w:cs="Times New Roman"/>
      <w:szCs w:val="24"/>
      <w:lang w:val="es-MX" w:eastAsia="es-MX"/>
    </w:rPr>
  </w:style>
  <w:style w:type="character" w:styleId="Hipervnculo">
    <w:name w:val="Hyperlink"/>
    <w:aliases w:val="Hipervínculo1,Hipervínculo11,Hipervínculo12,Hipervínculo13,Hipervínculo14,Hipervínculo15"/>
    <w:uiPriority w:val="99"/>
    <w:unhideWhenUsed/>
    <w:rsid w:val="00797CD8"/>
    <w:rPr>
      <w:color w:val="0563C1"/>
      <w:u w:val="single"/>
    </w:rPr>
  </w:style>
  <w:style w:type="paragraph" w:styleId="Sinespaciado">
    <w:name w:val="No Spacing"/>
    <w:aliases w:val="Francesa,INAI"/>
    <w:link w:val="SinespaciadoCar"/>
    <w:uiPriority w:val="1"/>
    <w:qFormat/>
    <w:rsid w:val="00797CD8"/>
    <w:pPr>
      <w:spacing w:after="0" w:line="240" w:lineRule="auto"/>
    </w:pPr>
    <w:rPr>
      <w:lang w:val="es-MX"/>
    </w:rPr>
  </w:style>
  <w:style w:type="character" w:customStyle="1" w:styleId="SinespaciadoCar">
    <w:name w:val="Sin espaciado Car"/>
    <w:aliases w:val="Francesa Car,INAI Car"/>
    <w:link w:val="Sinespaciado"/>
    <w:uiPriority w:val="1"/>
    <w:locked/>
    <w:rsid w:val="00797CD8"/>
    <w:rPr>
      <w:lang w:val="es-MX"/>
    </w:rPr>
  </w:style>
  <w:style w:type="paragraph" w:styleId="TDC1">
    <w:name w:val="toc 1"/>
    <w:basedOn w:val="Normal"/>
    <w:next w:val="Normal"/>
    <w:autoRedefine/>
    <w:uiPriority w:val="39"/>
    <w:unhideWhenUsed/>
    <w:rsid w:val="00797CD8"/>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797CD8"/>
    <w:pPr>
      <w:tabs>
        <w:tab w:val="right" w:leader="dot" w:pos="8637"/>
      </w:tabs>
      <w:spacing w:line="480" w:lineRule="auto"/>
    </w:pPr>
    <w:rPr>
      <w:rFonts w:asciiTheme="minorHAnsi" w:eastAsiaTheme="minorHAnsi" w:hAnsiTheme="minorHAnsi" w:cstheme="minorBidi"/>
      <w:sz w:val="22"/>
      <w:szCs w:val="22"/>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97CD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797CD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97CD8"/>
    <w:rPr>
      <w:rFonts w:asciiTheme="minorHAnsi" w:eastAsiaTheme="minorHAnsi" w:hAnsiTheme="minorHAnsi" w:cstheme="minorBidi"/>
      <w:sz w:val="20"/>
      <w:szCs w:val="20"/>
      <w:lang w:val="es-ES" w:eastAsia="en-US"/>
    </w:rPr>
  </w:style>
  <w:style w:type="character" w:customStyle="1" w:styleId="TextonotapieCar1">
    <w:name w:val="Texto nota pie Car1"/>
    <w:basedOn w:val="Fuentedeprrafopredeter"/>
    <w:uiPriority w:val="99"/>
    <w:semiHidden/>
    <w:rsid w:val="00797CD8"/>
    <w:rPr>
      <w:rFonts w:ascii="Times New Roman" w:eastAsia="Times New Roman" w:hAnsi="Times New Roman" w:cs="Times New Roman"/>
      <w:sz w:val="20"/>
      <w:szCs w:val="20"/>
      <w:lang w:val="es-MX" w:eastAsia="es-MX"/>
    </w:rPr>
  </w:style>
  <w:style w:type="paragraph" w:styleId="Listaconvietas2">
    <w:name w:val="List Bullet 2"/>
    <w:basedOn w:val="Normal"/>
    <w:uiPriority w:val="99"/>
    <w:unhideWhenUsed/>
    <w:rsid w:val="000B718C"/>
    <w:pPr>
      <w:numPr>
        <w:numId w:val="9"/>
      </w:numPr>
      <w:contextualSpacing/>
    </w:pPr>
    <w:rPr>
      <w:sz w:val="20"/>
      <w:szCs w:val="20"/>
      <w:lang w:eastAsia="es-ES"/>
    </w:rPr>
  </w:style>
  <w:style w:type="character" w:styleId="Hipervnculovisitado">
    <w:name w:val="FollowedHyperlink"/>
    <w:basedOn w:val="Fuentedeprrafopredeter"/>
    <w:uiPriority w:val="99"/>
    <w:semiHidden/>
    <w:unhideWhenUsed/>
    <w:rsid w:val="00512488"/>
    <w:rPr>
      <w:color w:val="954F72" w:themeColor="followedHyperlink"/>
      <w:u w:val="single"/>
    </w:rPr>
  </w:style>
  <w:style w:type="character" w:customStyle="1" w:styleId="Ttulo2Car">
    <w:name w:val="Título 2 Car"/>
    <w:basedOn w:val="Fuentedeprrafopredeter"/>
    <w:link w:val="Ttulo2"/>
    <w:uiPriority w:val="9"/>
    <w:rsid w:val="00FD4F8F"/>
    <w:rPr>
      <w:rFonts w:asciiTheme="majorHAnsi" w:eastAsiaTheme="majorEastAsia" w:hAnsiTheme="majorHAnsi" w:cstheme="majorBidi"/>
      <w:color w:val="2E74B5" w:themeColor="accent1" w:themeShade="BF"/>
      <w:sz w:val="26"/>
      <w:szCs w:val="26"/>
      <w:lang w:val="es-MX"/>
    </w:rPr>
  </w:style>
  <w:style w:type="paragraph" w:styleId="Textoindependiente">
    <w:name w:val="Body Text"/>
    <w:basedOn w:val="Normal"/>
    <w:link w:val="TextoindependienteCar"/>
    <w:rsid w:val="00EE36DF"/>
    <w:pPr>
      <w:jc w:val="both"/>
    </w:pPr>
    <w:rPr>
      <w:rFonts w:ascii="Arial" w:hAnsi="Arial"/>
      <w:szCs w:val="20"/>
      <w:lang w:eastAsia="es-ES_tradnl"/>
    </w:rPr>
  </w:style>
  <w:style w:type="character" w:customStyle="1" w:styleId="TextoindependienteCar">
    <w:name w:val="Texto independiente Car"/>
    <w:basedOn w:val="Fuentedeprrafopredeter"/>
    <w:link w:val="Textoindependiente"/>
    <w:rsid w:val="00EE36DF"/>
    <w:rPr>
      <w:rFonts w:ascii="Arial" w:eastAsia="Times New Roman" w:hAnsi="Arial" w:cs="Times New Roman"/>
      <w:sz w:val="24"/>
      <w:szCs w:val="20"/>
      <w:lang w:val="es-MX" w:eastAsia="es-ES_tradnl"/>
    </w:rPr>
  </w:style>
  <w:style w:type="paragraph" w:customStyle="1" w:styleId="Default">
    <w:name w:val="Default"/>
    <w:rsid w:val="00CA54E0"/>
    <w:pPr>
      <w:autoSpaceDE w:val="0"/>
      <w:autoSpaceDN w:val="0"/>
      <w:adjustRightInd w:val="0"/>
      <w:spacing w:after="0" w:line="240" w:lineRule="auto"/>
    </w:pPr>
    <w:rPr>
      <w:rFonts w:ascii="Arial" w:hAnsi="Arial" w:cs="Arial"/>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79494">
      <w:bodyDiv w:val="1"/>
      <w:marLeft w:val="0"/>
      <w:marRight w:val="0"/>
      <w:marTop w:val="0"/>
      <w:marBottom w:val="0"/>
      <w:divBdr>
        <w:top w:val="none" w:sz="0" w:space="0" w:color="auto"/>
        <w:left w:val="none" w:sz="0" w:space="0" w:color="auto"/>
        <w:bottom w:val="none" w:sz="0" w:space="0" w:color="auto"/>
        <w:right w:val="none" w:sz="0" w:space="0" w:color="auto"/>
      </w:divBdr>
    </w:div>
    <w:div w:id="69930167">
      <w:bodyDiv w:val="1"/>
      <w:marLeft w:val="0"/>
      <w:marRight w:val="0"/>
      <w:marTop w:val="0"/>
      <w:marBottom w:val="0"/>
      <w:divBdr>
        <w:top w:val="none" w:sz="0" w:space="0" w:color="auto"/>
        <w:left w:val="none" w:sz="0" w:space="0" w:color="auto"/>
        <w:bottom w:val="none" w:sz="0" w:space="0" w:color="auto"/>
        <w:right w:val="none" w:sz="0" w:space="0" w:color="auto"/>
      </w:divBdr>
    </w:div>
    <w:div w:id="98179789">
      <w:bodyDiv w:val="1"/>
      <w:marLeft w:val="0"/>
      <w:marRight w:val="0"/>
      <w:marTop w:val="0"/>
      <w:marBottom w:val="0"/>
      <w:divBdr>
        <w:top w:val="none" w:sz="0" w:space="0" w:color="auto"/>
        <w:left w:val="none" w:sz="0" w:space="0" w:color="auto"/>
        <w:bottom w:val="none" w:sz="0" w:space="0" w:color="auto"/>
        <w:right w:val="none" w:sz="0" w:space="0" w:color="auto"/>
      </w:divBdr>
    </w:div>
    <w:div w:id="103810261">
      <w:bodyDiv w:val="1"/>
      <w:marLeft w:val="0"/>
      <w:marRight w:val="0"/>
      <w:marTop w:val="0"/>
      <w:marBottom w:val="0"/>
      <w:divBdr>
        <w:top w:val="none" w:sz="0" w:space="0" w:color="auto"/>
        <w:left w:val="none" w:sz="0" w:space="0" w:color="auto"/>
        <w:bottom w:val="none" w:sz="0" w:space="0" w:color="auto"/>
        <w:right w:val="none" w:sz="0" w:space="0" w:color="auto"/>
      </w:divBdr>
    </w:div>
    <w:div w:id="148254861">
      <w:bodyDiv w:val="1"/>
      <w:marLeft w:val="0"/>
      <w:marRight w:val="0"/>
      <w:marTop w:val="0"/>
      <w:marBottom w:val="0"/>
      <w:divBdr>
        <w:top w:val="none" w:sz="0" w:space="0" w:color="auto"/>
        <w:left w:val="none" w:sz="0" w:space="0" w:color="auto"/>
        <w:bottom w:val="none" w:sz="0" w:space="0" w:color="auto"/>
        <w:right w:val="none" w:sz="0" w:space="0" w:color="auto"/>
      </w:divBdr>
    </w:div>
    <w:div w:id="154879667">
      <w:bodyDiv w:val="1"/>
      <w:marLeft w:val="0"/>
      <w:marRight w:val="0"/>
      <w:marTop w:val="0"/>
      <w:marBottom w:val="0"/>
      <w:divBdr>
        <w:top w:val="none" w:sz="0" w:space="0" w:color="auto"/>
        <w:left w:val="none" w:sz="0" w:space="0" w:color="auto"/>
        <w:bottom w:val="none" w:sz="0" w:space="0" w:color="auto"/>
        <w:right w:val="none" w:sz="0" w:space="0" w:color="auto"/>
      </w:divBdr>
    </w:div>
    <w:div w:id="158083277">
      <w:bodyDiv w:val="1"/>
      <w:marLeft w:val="0"/>
      <w:marRight w:val="0"/>
      <w:marTop w:val="0"/>
      <w:marBottom w:val="0"/>
      <w:divBdr>
        <w:top w:val="none" w:sz="0" w:space="0" w:color="auto"/>
        <w:left w:val="none" w:sz="0" w:space="0" w:color="auto"/>
        <w:bottom w:val="none" w:sz="0" w:space="0" w:color="auto"/>
        <w:right w:val="none" w:sz="0" w:space="0" w:color="auto"/>
      </w:divBdr>
    </w:div>
    <w:div w:id="198516728">
      <w:bodyDiv w:val="1"/>
      <w:marLeft w:val="0"/>
      <w:marRight w:val="0"/>
      <w:marTop w:val="0"/>
      <w:marBottom w:val="0"/>
      <w:divBdr>
        <w:top w:val="none" w:sz="0" w:space="0" w:color="auto"/>
        <w:left w:val="none" w:sz="0" w:space="0" w:color="auto"/>
        <w:bottom w:val="none" w:sz="0" w:space="0" w:color="auto"/>
        <w:right w:val="none" w:sz="0" w:space="0" w:color="auto"/>
      </w:divBdr>
    </w:div>
    <w:div w:id="233203966">
      <w:bodyDiv w:val="1"/>
      <w:marLeft w:val="0"/>
      <w:marRight w:val="0"/>
      <w:marTop w:val="0"/>
      <w:marBottom w:val="0"/>
      <w:divBdr>
        <w:top w:val="none" w:sz="0" w:space="0" w:color="auto"/>
        <w:left w:val="none" w:sz="0" w:space="0" w:color="auto"/>
        <w:bottom w:val="none" w:sz="0" w:space="0" w:color="auto"/>
        <w:right w:val="none" w:sz="0" w:space="0" w:color="auto"/>
      </w:divBdr>
    </w:div>
    <w:div w:id="263421095">
      <w:bodyDiv w:val="1"/>
      <w:marLeft w:val="0"/>
      <w:marRight w:val="0"/>
      <w:marTop w:val="0"/>
      <w:marBottom w:val="0"/>
      <w:divBdr>
        <w:top w:val="none" w:sz="0" w:space="0" w:color="auto"/>
        <w:left w:val="none" w:sz="0" w:space="0" w:color="auto"/>
        <w:bottom w:val="none" w:sz="0" w:space="0" w:color="auto"/>
        <w:right w:val="none" w:sz="0" w:space="0" w:color="auto"/>
      </w:divBdr>
    </w:div>
    <w:div w:id="325522893">
      <w:bodyDiv w:val="1"/>
      <w:marLeft w:val="0"/>
      <w:marRight w:val="0"/>
      <w:marTop w:val="0"/>
      <w:marBottom w:val="0"/>
      <w:divBdr>
        <w:top w:val="none" w:sz="0" w:space="0" w:color="auto"/>
        <w:left w:val="none" w:sz="0" w:space="0" w:color="auto"/>
        <w:bottom w:val="none" w:sz="0" w:space="0" w:color="auto"/>
        <w:right w:val="none" w:sz="0" w:space="0" w:color="auto"/>
      </w:divBdr>
    </w:div>
    <w:div w:id="385878924">
      <w:bodyDiv w:val="1"/>
      <w:marLeft w:val="0"/>
      <w:marRight w:val="0"/>
      <w:marTop w:val="0"/>
      <w:marBottom w:val="0"/>
      <w:divBdr>
        <w:top w:val="none" w:sz="0" w:space="0" w:color="auto"/>
        <w:left w:val="none" w:sz="0" w:space="0" w:color="auto"/>
        <w:bottom w:val="none" w:sz="0" w:space="0" w:color="auto"/>
        <w:right w:val="none" w:sz="0" w:space="0" w:color="auto"/>
      </w:divBdr>
    </w:div>
    <w:div w:id="397358874">
      <w:bodyDiv w:val="1"/>
      <w:marLeft w:val="0"/>
      <w:marRight w:val="0"/>
      <w:marTop w:val="0"/>
      <w:marBottom w:val="0"/>
      <w:divBdr>
        <w:top w:val="none" w:sz="0" w:space="0" w:color="auto"/>
        <w:left w:val="none" w:sz="0" w:space="0" w:color="auto"/>
        <w:bottom w:val="none" w:sz="0" w:space="0" w:color="auto"/>
        <w:right w:val="none" w:sz="0" w:space="0" w:color="auto"/>
      </w:divBdr>
    </w:div>
    <w:div w:id="503328747">
      <w:bodyDiv w:val="1"/>
      <w:marLeft w:val="0"/>
      <w:marRight w:val="0"/>
      <w:marTop w:val="0"/>
      <w:marBottom w:val="0"/>
      <w:divBdr>
        <w:top w:val="none" w:sz="0" w:space="0" w:color="auto"/>
        <w:left w:val="none" w:sz="0" w:space="0" w:color="auto"/>
        <w:bottom w:val="none" w:sz="0" w:space="0" w:color="auto"/>
        <w:right w:val="none" w:sz="0" w:space="0" w:color="auto"/>
      </w:divBdr>
    </w:div>
    <w:div w:id="505367321">
      <w:bodyDiv w:val="1"/>
      <w:marLeft w:val="0"/>
      <w:marRight w:val="0"/>
      <w:marTop w:val="0"/>
      <w:marBottom w:val="0"/>
      <w:divBdr>
        <w:top w:val="none" w:sz="0" w:space="0" w:color="auto"/>
        <w:left w:val="none" w:sz="0" w:space="0" w:color="auto"/>
        <w:bottom w:val="none" w:sz="0" w:space="0" w:color="auto"/>
        <w:right w:val="none" w:sz="0" w:space="0" w:color="auto"/>
      </w:divBdr>
    </w:div>
    <w:div w:id="513113806">
      <w:bodyDiv w:val="1"/>
      <w:marLeft w:val="0"/>
      <w:marRight w:val="0"/>
      <w:marTop w:val="0"/>
      <w:marBottom w:val="0"/>
      <w:divBdr>
        <w:top w:val="none" w:sz="0" w:space="0" w:color="auto"/>
        <w:left w:val="none" w:sz="0" w:space="0" w:color="auto"/>
        <w:bottom w:val="none" w:sz="0" w:space="0" w:color="auto"/>
        <w:right w:val="none" w:sz="0" w:space="0" w:color="auto"/>
      </w:divBdr>
    </w:div>
    <w:div w:id="526992743">
      <w:bodyDiv w:val="1"/>
      <w:marLeft w:val="0"/>
      <w:marRight w:val="0"/>
      <w:marTop w:val="0"/>
      <w:marBottom w:val="0"/>
      <w:divBdr>
        <w:top w:val="none" w:sz="0" w:space="0" w:color="auto"/>
        <w:left w:val="none" w:sz="0" w:space="0" w:color="auto"/>
        <w:bottom w:val="none" w:sz="0" w:space="0" w:color="auto"/>
        <w:right w:val="none" w:sz="0" w:space="0" w:color="auto"/>
      </w:divBdr>
    </w:div>
    <w:div w:id="536552630">
      <w:bodyDiv w:val="1"/>
      <w:marLeft w:val="0"/>
      <w:marRight w:val="0"/>
      <w:marTop w:val="0"/>
      <w:marBottom w:val="0"/>
      <w:divBdr>
        <w:top w:val="none" w:sz="0" w:space="0" w:color="auto"/>
        <w:left w:val="none" w:sz="0" w:space="0" w:color="auto"/>
        <w:bottom w:val="none" w:sz="0" w:space="0" w:color="auto"/>
        <w:right w:val="none" w:sz="0" w:space="0" w:color="auto"/>
      </w:divBdr>
    </w:div>
    <w:div w:id="585727008">
      <w:bodyDiv w:val="1"/>
      <w:marLeft w:val="0"/>
      <w:marRight w:val="0"/>
      <w:marTop w:val="0"/>
      <w:marBottom w:val="0"/>
      <w:divBdr>
        <w:top w:val="none" w:sz="0" w:space="0" w:color="auto"/>
        <w:left w:val="none" w:sz="0" w:space="0" w:color="auto"/>
        <w:bottom w:val="none" w:sz="0" w:space="0" w:color="auto"/>
        <w:right w:val="none" w:sz="0" w:space="0" w:color="auto"/>
      </w:divBdr>
    </w:div>
    <w:div w:id="591817517">
      <w:bodyDiv w:val="1"/>
      <w:marLeft w:val="0"/>
      <w:marRight w:val="0"/>
      <w:marTop w:val="0"/>
      <w:marBottom w:val="0"/>
      <w:divBdr>
        <w:top w:val="none" w:sz="0" w:space="0" w:color="auto"/>
        <w:left w:val="none" w:sz="0" w:space="0" w:color="auto"/>
        <w:bottom w:val="none" w:sz="0" w:space="0" w:color="auto"/>
        <w:right w:val="none" w:sz="0" w:space="0" w:color="auto"/>
      </w:divBdr>
    </w:div>
    <w:div w:id="651982055">
      <w:bodyDiv w:val="1"/>
      <w:marLeft w:val="0"/>
      <w:marRight w:val="0"/>
      <w:marTop w:val="0"/>
      <w:marBottom w:val="0"/>
      <w:divBdr>
        <w:top w:val="none" w:sz="0" w:space="0" w:color="auto"/>
        <w:left w:val="none" w:sz="0" w:space="0" w:color="auto"/>
        <w:bottom w:val="none" w:sz="0" w:space="0" w:color="auto"/>
        <w:right w:val="none" w:sz="0" w:space="0" w:color="auto"/>
      </w:divBdr>
    </w:div>
    <w:div w:id="730153696">
      <w:bodyDiv w:val="1"/>
      <w:marLeft w:val="0"/>
      <w:marRight w:val="0"/>
      <w:marTop w:val="0"/>
      <w:marBottom w:val="0"/>
      <w:divBdr>
        <w:top w:val="none" w:sz="0" w:space="0" w:color="auto"/>
        <w:left w:val="none" w:sz="0" w:space="0" w:color="auto"/>
        <w:bottom w:val="none" w:sz="0" w:space="0" w:color="auto"/>
        <w:right w:val="none" w:sz="0" w:space="0" w:color="auto"/>
      </w:divBdr>
    </w:div>
    <w:div w:id="792947026">
      <w:bodyDiv w:val="1"/>
      <w:marLeft w:val="0"/>
      <w:marRight w:val="0"/>
      <w:marTop w:val="0"/>
      <w:marBottom w:val="0"/>
      <w:divBdr>
        <w:top w:val="none" w:sz="0" w:space="0" w:color="auto"/>
        <w:left w:val="none" w:sz="0" w:space="0" w:color="auto"/>
        <w:bottom w:val="none" w:sz="0" w:space="0" w:color="auto"/>
        <w:right w:val="none" w:sz="0" w:space="0" w:color="auto"/>
      </w:divBdr>
    </w:div>
    <w:div w:id="866337708">
      <w:bodyDiv w:val="1"/>
      <w:marLeft w:val="0"/>
      <w:marRight w:val="0"/>
      <w:marTop w:val="0"/>
      <w:marBottom w:val="0"/>
      <w:divBdr>
        <w:top w:val="none" w:sz="0" w:space="0" w:color="auto"/>
        <w:left w:val="none" w:sz="0" w:space="0" w:color="auto"/>
        <w:bottom w:val="none" w:sz="0" w:space="0" w:color="auto"/>
        <w:right w:val="none" w:sz="0" w:space="0" w:color="auto"/>
      </w:divBdr>
    </w:div>
    <w:div w:id="900095694">
      <w:bodyDiv w:val="1"/>
      <w:marLeft w:val="0"/>
      <w:marRight w:val="0"/>
      <w:marTop w:val="0"/>
      <w:marBottom w:val="0"/>
      <w:divBdr>
        <w:top w:val="none" w:sz="0" w:space="0" w:color="auto"/>
        <w:left w:val="none" w:sz="0" w:space="0" w:color="auto"/>
        <w:bottom w:val="none" w:sz="0" w:space="0" w:color="auto"/>
        <w:right w:val="none" w:sz="0" w:space="0" w:color="auto"/>
      </w:divBdr>
    </w:div>
    <w:div w:id="910387647">
      <w:bodyDiv w:val="1"/>
      <w:marLeft w:val="0"/>
      <w:marRight w:val="0"/>
      <w:marTop w:val="0"/>
      <w:marBottom w:val="0"/>
      <w:divBdr>
        <w:top w:val="none" w:sz="0" w:space="0" w:color="auto"/>
        <w:left w:val="none" w:sz="0" w:space="0" w:color="auto"/>
        <w:bottom w:val="none" w:sz="0" w:space="0" w:color="auto"/>
        <w:right w:val="none" w:sz="0" w:space="0" w:color="auto"/>
      </w:divBdr>
    </w:div>
    <w:div w:id="982924818">
      <w:bodyDiv w:val="1"/>
      <w:marLeft w:val="0"/>
      <w:marRight w:val="0"/>
      <w:marTop w:val="0"/>
      <w:marBottom w:val="0"/>
      <w:divBdr>
        <w:top w:val="none" w:sz="0" w:space="0" w:color="auto"/>
        <w:left w:val="none" w:sz="0" w:space="0" w:color="auto"/>
        <w:bottom w:val="none" w:sz="0" w:space="0" w:color="auto"/>
        <w:right w:val="none" w:sz="0" w:space="0" w:color="auto"/>
      </w:divBdr>
    </w:div>
    <w:div w:id="995065099">
      <w:bodyDiv w:val="1"/>
      <w:marLeft w:val="0"/>
      <w:marRight w:val="0"/>
      <w:marTop w:val="0"/>
      <w:marBottom w:val="0"/>
      <w:divBdr>
        <w:top w:val="none" w:sz="0" w:space="0" w:color="auto"/>
        <w:left w:val="none" w:sz="0" w:space="0" w:color="auto"/>
        <w:bottom w:val="none" w:sz="0" w:space="0" w:color="auto"/>
        <w:right w:val="none" w:sz="0" w:space="0" w:color="auto"/>
      </w:divBdr>
    </w:div>
    <w:div w:id="1023676600">
      <w:bodyDiv w:val="1"/>
      <w:marLeft w:val="0"/>
      <w:marRight w:val="0"/>
      <w:marTop w:val="0"/>
      <w:marBottom w:val="0"/>
      <w:divBdr>
        <w:top w:val="none" w:sz="0" w:space="0" w:color="auto"/>
        <w:left w:val="none" w:sz="0" w:space="0" w:color="auto"/>
        <w:bottom w:val="none" w:sz="0" w:space="0" w:color="auto"/>
        <w:right w:val="none" w:sz="0" w:space="0" w:color="auto"/>
      </w:divBdr>
    </w:div>
    <w:div w:id="1026978875">
      <w:bodyDiv w:val="1"/>
      <w:marLeft w:val="0"/>
      <w:marRight w:val="0"/>
      <w:marTop w:val="0"/>
      <w:marBottom w:val="0"/>
      <w:divBdr>
        <w:top w:val="none" w:sz="0" w:space="0" w:color="auto"/>
        <w:left w:val="none" w:sz="0" w:space="0" w:color="auto"/>
        <w:bottom w:val="none" w:sz="0" w:space="0" w:color="auto"/>
        <w:right w:val="none" w:sz="0" w:space="0" w:color="auto"/>
      </w:divBdr>
    </w:div>
    <w:div w:id="1029184109">
      <w:bodyDiv w:val="1"/>
      <w:marLeft w:val="0"/>
      <w:marRight w:val="0"/>
      <w:marTop w:val="0"/>
      <w:marBottom w:val="0"/>
      <w:divBdr>
        <w:top w:val="none" w:sz="0" w:space="0" w:color="auto"/>
        <w:left w:val="none" w:sz="0" w:space="0" w:color="auto"/>
        <w:bottom w:val="none" w:sz="0" w:space="0" w:color="auto"/>
        <w:right w:val="none" w:sz="0" w:space="0" w:color="auto"/>
      </w:divBdr>
    </w:div>
    <w:div w:id="1125660243">
      <w:bodyDiv w:val="1"/>
      <w:marLeft w:val="0"/>
      <w:marRight w:val="0"/>
      <w:marTop w:val="0"/>
      <w:marBottom w:val="0"/>
      <w:divBdr>
        <w:top w:val="none" w:sz="0" w:space="0" w:color="auto"/>
        <w:left w:val="none" w:sz="0" w:space="0" w:color="auto"/>
        <w:bottom w:val="none" w:sz="0" w:space="0" w:color="auto"/>
        <w:right w:val="none" w:sz="0" w:space="0" w:color="auto"/>
      </w:divBdr>
    </w:div>
    <w:div w:id="1139110776">
      <w:bodyDiv w:val="1"/>
      <w:marLeft w:val="0"/>
      <w:marRight w:val="0"/>
      <w:marTop w:val="0"/>
      <w:marBottom w:val="0"/>
      <w:divBdr>
        <w:top w:val="none" w:sz="0" w:space="0" w:color="auto"/>
        <w:left w:val="none" w:sz="0" w:space="0" w:color="auto"/>
        <w:bottom w:val="none" w:sz="0" w:space="0" w:color="auto"/>
        <w:right w:val="none" w:sz="0" w:space="0" w:color="auto"/>
      </w:divBdr>
    </w:div>
    <w:div w:id="1215197125">
      <w:bodyDiv w:val="1"/>
      <w:marLeft w:val="0"/>
      <w:marRight w:val="0"/>
      <w:marTop w:val="0"/>
      <w:marBottom w:val="0"/>
      <w:divBdr>
        <w:top w:val="none" w:sz="0" w:space="0" w:color="auto"/>
        <w:left w:val="none" w:sz="0" w:space="0" w:color="auto"/>
        <w:bottom w:val="none" w:sz="0" w:space="0" w:color="auto"/>
        <w:right w:val="none" w:sz="0" w:space="0" w:color="auto"/>
      </w:divBdr>
    </w:div>
    <w:div w:id="1318725049">
      <w:bodyDiv w:val="1"/>
      <w:marLeft w:val="0"/>
      <w:marRight w:val="0"/>
      <w:marTop w:val="0"/>
      <w:marBottom w:val="0"/>
      <w:divBdr>
        <w:top w:val="none" w:sz="0" w:space="0" w:color="auto"/>
        <w:left w:val="none" w:sz="0" w:space="0" w:color="auto"/>
        <w:bottom w:val="none" w:sz="0" w:space="0" w:color="auto"/>
        <w:right w:val="none" w:sz="0" w:space="0" w:color="auto"/>
      </w:divBdr>
    </w:div>
    <w:div w:id="1385913932">
      <w:bodyDiv w:val="1"/>
      <w:marLeft w:val="0"/>
      <w:marRight w:val="0"/>
      <w:marTop w:val="0"/>
      <w:marBottom w:val="0"/>
      <w:divBdr>
        <w:top w:val="none" w:sz="0" w:space="0" w:color="auto"/>
        <w:left w:val="none" w:sz="0" w:space="0" w:color="auto"/>
        <w:bottom w:val="none" w:sz="0" w:space="0" w:color="auto"/>
        <w:right w:val="none" w:sz="0" w:space="0" w:color="auto"/>
      </w:divBdr>
    </w:div>
    <w:div w:id="1409692307">
      <w:bodyDiv w:val="1"/>
      <w:marLeft w:val="0"/>
      <w:marRight w:val="0"/>
      <w:marTop w:val="0"/>
      <w:marBottom w:val="0"/>
      <w:divBdr>
        <w:top w:val="none" w:sz="0" w:space="0" w:color="auto"/>
        <w:left w:val="none" w:sz="0" w:space="0" w:color="auto"/>
        <w:bottom w:val="none" w:sz="0" w:space="0" w:color="auto"/>
        <w:right w:val="none" w:sz="0" w:space="0" w:color="auto"/>
      </w:divBdr>
    </w:div>
    <w:div w:id="1452169967">
      <w:bodyDiv w:val="1"/>
      <w:marLeft w:val="0"/>
      <w:marRight w:val="0"/>
      <w:marTop w:val="0"/>
      <w:marBottom w:val="0"/>
      <w:divBdr>
        <w:top w:val="none" w:sz="0" w:space="0" w:color="auto"/>
        <w:left w:val="none" w:sz="0" w:space="0" w:color="auto"/>
        <w:bottom w:val="none" w:sz="0" w:space="0" w:color="auto"/>
        <w:right w:val="none" w:sz="0" w:space="0" w:color="auto"/>
      </w:divBdr>
    </w:div>
    <w:div w:id="1461143096">
      <w:bodyDiv w:val="1"/>
      <w:marLeft w:val="0"/>
      <w:marRight w:val="0"/>
      <w:marTop w:val="0"/>
      <w:marBottom w:val="0"/>
      <w:divBdr>
        <w:top w:val="none" w:sz="0" w:space="0" w:color="auto"/>
        <w:left w:val="none" w:sz="0" w:space="0" w:color="auto"/>
        <w:bottom w:val="none" w:sz="0" w:space="0" w:color="auto"/>
        <w:right w:val="none" w:sz="0" w:space="0" w:color="auto"/>
      </w:divBdr>
    </w:div>
    <w:div w:id="1554661725">
      <w:bodyDiv w:val="1"/>
      <w:marLeft w:val="0"/>
      <w:marRight w:val="0"/>
      <w:marTop w:val="0"/>
      <w:marBottom w:val="0"/>
      <w:divBdr>
        <w:top w:val="none" w:sz="0" w:space="0" w:color="auto"/>
        <w:left w:val="none" w:sz="0" w:space="0" w:color="auto"/>
        <w:bottom w:val="none" w:sz="0" w:space="0" w:color="auto"/>
        <w:right w:val="none" w:sz="0" w:space="0" w:color="auto"/>
      </w:divBdr>
    </w:div>
    <w:div w:id="1592854285">
      <w:bodyDiv w:val="1"/>
      <w:marLeft w:val="0"/>
      <w:marRight w:val="0"/>
      <w:marTop w:val="0"/>
      <w:marBottom w:val="0"/>
      <w:divBdr>
        <w:top w:val="none" w:sz="0" w:space="0" w:color="auto"/>
        <w:left w:val="none" w:sz="0" w:space="0" w:color="auto"/>
        <w:bottom w:val="none" w:sz="0" w:space="0" w:color="auto"/>
        <w:right w:val="none" w:sz="0" w:space="0" w:color="auto"/>
      </w:divBdr>
    </w:div>
    <w:div w:id="1595549211">
      <w:bodyDiv w:val="1"/>
      <w:marLeft w:val="0"/>
      <w:marRight w:val="0"/>
      <w:marTop w:val="0"/>
      <w:marBottom w:val="0"/>
      <w:divBdr>
        <w:top w:val="none" w:sz="0" w:space="0" w:color="auto"/>
        <w:left w:val="none" w:sz="0" w:space="0" w:color="auto"/>
        <w:bottom w:val="none" w:sz="0" w:space="0" w:color="auto"/>
        <w:right w:val="none" w:sz="0" w:space="0" w:color="auto"/>
      </w:divBdr>
    </w:div>
    <w:div w:id="1609657914">
      <w:bodyDiv w:val="1"/>
      <w:marLeft w:val="0"/>
      <w:marRight w:val="0"/>
      <w:marTop w:val="0"/>
      <w:marBottom w:val="0"/>
      <w:divBdr>
        <w:top w:val="none" w:sz="0" w:space="0" w:color="auto"/>
        <w:left w:val="none" w:sz="0" w:space="0" w:color="auto"/>
        <w:bottom w:val="none" w:sz="0" w:space="0" w:color="auto"/>
        <w:right w:val="none" w:sz="0" w:space="0" w:color="auto"/>
      </w:divBdr>
    </w:div>
    <w:div w:id="1609969211">
      <w:bodyDiv w:val="1"/>
      <w:marLeft w:val="0"/>
      <w:marRight w:val="0"/>
      <w:marTop w:val="0"/>
      <w:marBottom w:val="0"/>
      <w:divBdr>
        <w:top w:val="none" w:sz="0" w:space="0" w:color="auto"/>
        <w:left w:val="none" w:sz="0" w:space="0" w:color="auto"/>
        <w:bottom w:val="none" w:sz="0" w:space="0" w:color="auto"/>
        <w:right w:val="none" w:sz="0" w:space="0" w:color="auto"/>
      </w:divBdr>
    </w:div>
    <w:div w:id="1612931233">
      <w:bodyDiv w:val="1"/>
      <w:marLeft w:val="0"/>
      <w:marRight w:val="0"/>
      <w:marTop w:val="0"/>
      <w:marBottom w:val="0"/>
      <w:divBdr>
        <w:top w:val="none" w:sz="0" w:space="0" w:color="auto"/>
        <w:left w:val="none" w:sz="0" w:space="0" w:color="auto"/>
        <w:bottom w:val="none" w:sz="0" w:space="0" w:color="auto"/>
        <w:right w:val="none" w:sz="0" w:space="0" w:color="auto"/>
      </w:divBdr>
    </w:div>
    <w:div w:id="1665620354">
      <w:bodyDiv w:val="1"/>
      <w:marLeft w:val="0"/>
      <w:marRight w:val="0"/>
      <w:marTop w:val="0"/>
      <w:marBottom w:val="0"/>
      <w:divBdr>
        <w:top w:val="none" w:sz="0" w:space="0" w:color="auto"/>
        <w:left w:val="none" w:sz="0" w:space="0" w:color="auto"/>
        <w:bottom w:val="none" w:sz="0" w:space="0" w:color="auto"/>
        <w:right w:val="none" w:sz="0" w:space="0" w:color="auto"/>
      </w:divBdr>
    </w:div>
    <w:div w:id="1695957936">
      <w:bodyDiv w:val="1"/>
      <w:marLeft w:val="0"/>
      <w:marRight w:val="0"/>
      <w:marTop w:val="0"/>
      <w:marBottom w:val="0"/>
      <w:divBdr>
        <w:top w:val="none" w:sz="0" w:space="0" w:color="auto"/>
        <w:left w:val="none" w:sz="0" w:space="0" w:color="auto"/>
        <w:bottom w:val="none" w:sz="0" w:space="0" w:color="auto"/>
        <w:right w:val="none" w:sz="0" w:space="0" w:color="auto"/>
      </w:divBdr>
    </w:div>
    <w:div w:id="1724987302">
      <w:bodyDiv w:val="1"/>
      <w:marLeft w:val="0"/>
      <w:marRight w:val="0"/>
      <w:marTop w:val="0"/>
      <w:marBottom w:val="0"/>
      <w:divBdr>
        <w:top w:val="none" w:sz="0" w:space="0" w:color="auto"/>
        <w:left w:val="none" w:sz="0" w:space="0" w:color="auto"/>
        <w:bottom w:val="none" w:sz="0" w:space="0" w:color="auto"/>
        <w:right w:val="none" w:sz="0" w:space="0" w:color="auto"/>
      </w:divBdr>
    </w:div>
    <w:div w:id="2018650278">
      <w:bodyDiv w:val="1"/>
      <w:marLeft w:val="0"/>
      <w:marRight w:val="0"/>
      <w:marTop w:val="0"/>
      <w:marBottom w:val="0"/>
      <w:divBdr>
        <w:top w:val="none" w:sz="0" w:space="0" w:color="auto"/>
        <w:left w:val="none" w:sz="0" w:space="0" w:color="auto"/>
        <w:bottom w:val="none" w:sz="0" w:space="0" w:color="auto"/>
        <w:right w:val="none" w:sz="0" w:space="0" w:color="auto"/>
      </w:divBdr>
    </w:div>
    <w:div w:id="2055159745">
      <w:bodyDiv w:val="1"/>
      <w:marLeft w:val="0"/>
      <w:marRight w:val="0"/>
      <w:marTop w:val="0"/>
      <w:marBottom w:val="0"/>
      <w:divBdr>
        <w:top w:val="none" w:sz="0" w:space="0" w:color="auto"/>
        <w:left w:val="none" w:sz="0" w:space="0" w:color="auto"/>
        <w:bottom w:val="none" w:sz="0" w:space="0" w:color="auto"/>
        <w:right w:val="none" w:sz="0" w:space="0" w:color="auto"/>
      </w:divBdr>
    </w:div>
    <w:div w:id="2071076511">
      <w:bodyDiv w:val="1"/>
      <w:marLeft w:val="0"/>
      <w:marRight w:val="0"/>
      <w:marTop w:val="0"/>
      <w:marBottom w:val="0"/>
      <w:divBdr>
        <w:top w:val="none" w:sz="0" w:space="0" w:color="auto"/>
        <w:left w:val="none" w:sz="0" w:space="0" w:color="auto"/>
        <w:bottom w:val="none" w:sz="0" w:space="0" w:color="auto"/>
        <w:right w:val="none" w:sz="0" w:space="0" w:color="auto"/>
      </w:divBdr>
    </w:div>
    <w:div w:id="211498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eoloyucan.gob.mx/wpconten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12</Pages>
  <Words>2471</Words>
  <Characters>13594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12</cp:revision>
  <cp:lastPrinted>2026-06-18T18:48:00Z</cp:lastPrinted>
  <dcterms:created xsi:type="dcterms:W3CDTF">2026-03-05T20:08:00Z</dcterms:created>
  <dcterms:modified xsi:type="dcterms:W3CDTF">2026-06-24T19:25:00Z</dcterms:modified>
</cp:coreProperties>
</file>