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DF1" w:rsidRPr="00157A35" w:rsidRDefault="009D3673" w:rsidP="009D2474">
      <w:pPr>
        <w:tabs>
          <w:tab w:val="left" w:pos="3465"/>
        </w:tabs>
        <w:spacing w:line="360" w:lineRule="auto"/>
        <w:ind w:right="49"/>
        <w:jc w:val="both"/>
        <w:rPr>
          <w:rFonts w:ascii="Palatino Linotype" w:eastAsia="Palatino Linotype" w:hAnsi="Palatino Linotype" w:cs="Palatino Linotype"/>
          <w:b/>
        </w:rPr>
      </w:pPr>
      <w:r w:rsidRPr="009D2474">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w:t>
      </w:r>
      <w:r w:rsidR="0081462E" w:rsidRPr="009D2474">
        <w:rPr>
          <w:rFonts w:ascii="Palatino Linotype" w:eastAsia="Palatino Linotype" w:hAnsi="Palatino Linotype" w:cs="Palatino Linotype"/>
        </w:rPr>
        <w:t xml:space="preserve">tado de México; </w:t>
      </w:r>
      <w:r w:rsidR="0081462E" w:rsidRPr="00157A35">
        <w:rPr>
          <w:rFonts w:ascii="Palatino Linotype" w:eastAsia="Palatino Linotype" w:hAnsi="Palatino Linotype" w:cs="Palatino Linotype"/>
          <w:b/>
        </w:rPr>
        <w:t xml:space="preserve">de fecha </w:t>
      </w:r>
      <w:r w:rsidR="00DF4EBD" w:rsidRPr="00157A35">
        <w:rPr>
          <w:rFonts w:ascii="Palatino Linotype" w:eastAsia="Palatino Linotype" w:hAnsi="Palatino Linotype" w:cs="Palatino Linotype"/>
          <w:b/>
        </w:rPr>
        <w:t>veintiuno</w:t>
      </w:r>
      <w:r w:rsidR="00157A35" w:rsidRPr="00157A35">
        <w:rPr>
          <w:rFonts w:ascii="Palatino Linotype" w:eastAsia="Palatino Linotype" w:hAnsi="Palatino Linotype" w:cs="Palatino Linotype"/>
          <w:b/>
        </w:rPr>
        <w:t xml:space="preserve"> (21)</w:t>
      </w:r>
      <w:r w:rsidR="004B5F96" w:rsidRPr="00157A35">
        <w:rPr>
          <w:rFonts w:ascii="Palatino Linotype" w:eastAsia="Palatino Linotype" w:hAnsi="Palatino Linotype" w:cs="Palatino Linotype"/>
          <w:b/>
        </w:rPr>
        <w:t xml:space="preserve"> de </w:t>
      </w:r>
      <w:r w:rsidR="007D013F" w:rsidRPr="00157A35">
        <w:rPr>
          <w:rFonts w:ascii="Palatino Linotype" w:eastAsia="Palatino Linotype" w:hAnsi="Palatino Linotype" w:cs="Palatino Linotype"/>
          <w:b/>
        </w:rPr>
        <w:t>enero de dos mil veintiséis</w:t>
      </w:r>
      <w:r w:rsidRPr="00157A35">
        <w:rPr>
          <w:rFonts w:ascii="Palatino Linotype" w:eastAsia="Palatino Linotype" w:hAnsi="Palatino Linotype" w:cs="Palatino Linotype"/>
          <w:b/>
        </w:rPr>
        <w:t>.</w:t>
      </w:r>
    </w:p>
    <w:p w:rsidR="00B84DF1" w:rsidRPr="009D2474" w:rsidRDefault="00B84DF1" w:rsidP="009D2474">
      <w:pPr>
        <w:tabs>
          <w:tab w:val="left" w:pos="3465"/>
        </w:tabs>
        <w:spacing w:line="360" w:lineRule="auto"/>
        <w:ind w:right="49"/>
        <w:jc w:val="both"/>
        <w:rPr>
          <w:rFonts w:ascii="Palatino Linotype" w:eastAsia="Palatino Linotype" w:hAnsi="Palatino Linotype" w:cs="Palatino Linotype"/>
        </w:rPr>
      </w:pPr>
    </w:p>
    <w:p w:rsidR="00B84DF1" w:rsidRPr="009D2474" w:rsidRDefault="009D3673" w:rsidP="009D2474">
      <w:pPr>
        <w:spacing w:line="360" w:lineRule="auto"/>
        <w:ind w:right="49"/>
        <w:jc w:val="both"/>
        <w:rPr>
          <w:rFonts w:ascii="Palatino Linotype" w:eastAsia="Palatino Linotype" w:hAnsi="Palatino Linotype" w:cs="Palatino Linotype"/>
        </w:rPr>
      </w:pPr>
      <w:r w:rsidRPr="009D2474">
        <w:rPr>
          <w:rFonts w:ascii="Palatino Linotype" w:eastAsia="Palatino Linotype" w:hAnsi="Palatino Linotype" w:cs="Palatino Linotype"/>
          <w:b/>
        </w:rPr>
        <w:t xml:space="preserve">VISTAS </w:t>
      </w:r>
      <w:r w:rsidRPr="009D2474">
        <w:rPr>
          <w:rFonts w:ascii="Palatino Linotype" w:eastAsia="Palatino Linotype" w:hAnsi="Palatino Linotype" w:cs="Palatino Linotype"/>
        </w:rPr>
        <w:t xml:space="preserve">las constancias para resolver el Recurso de Revisión </w:t>
      </w:r>
      <w:r w:rsidR="00DF4EBD" w:rsidRPr="009D2474">
        <w:rPr>
          <w:rFonts w:ascii="Palatino Linotype" w:eastAsia="Palatino Linotype" w:hAnsi="Palatino Linotype" w:cs="Palatino Linotype"/>
          <w:b/>
        </w:rPr>
        <w:t>06753</w:t>
      </w:r>
      <w:r w:rsidR="008940A5" w:rsidRPr="009D2474">
        <w:rPr>
          <w:rFonts w:ascii="Palatino Linotype" w:eastAsia="Palatino Linotype" w:hAnsi="Palatino Linotype" w:cs="Palatino Linotype"/>
          <w:b/>
        </w:rPr>
        <w:t>/INFOEM/IP/RR/2025</w:t>
      </w:r>
      <w:r w:rsidRPr="009D2474">
        <w:rPr>
          <w:rFonts w:ascii="Palatino Linotype" w:eastAsia="Palatino Linotype" w:hAnsi="Palatino Linotype" w:cs="Palatino Linotype"/>
          <w:b/>
        </w:rPr>
        <w:t>,</w:t>
      </w:r>
      <w:r w:rsidRPr="009D2474">
        <w:rPr>
          <w:rFonts w:ascii="Palatino Linotype" w:eastAsia="Palatino Linotype" w:hAnsi="Palatino Linotype" w:cs="Palatino Linotype"/>
        </w:rPr>
        <w:t xml:space="preserve"> presentado por </w:t>
      </w:r>
      <w:r w:rsidR="00361255">
        <w:rPr>
          <w:rFonts w:ascii="Palatino Linotype" w:eastAsia="Palatino Linotype" w:hAnsi="Palatino Linotype" w:cs="Palatino Linotype"/>
          <w:b/>
        </w:rPr>
        <w:t>XXXX</w:t>
      </w:r>
      <w:r w:rsidRPr="009D2474">
        <w:rPr>
          <w:rFonts w:ascii="Palatino Linotype" w:eastAsia="Palatino Linotype" w:hAnsi="Palatino Linotype" w:cs="Palatino Linotype"/>
          <w:b/>
        </w:rPr>
        <w:t>,</w:t>
      </w:r>
      <w:r w:rsidRPr="009D2474">
        <w:rPr>
          <w:rFonts w:ascii="Palatino Linotype" w:eastAsia="Palatino Linotype" w:hAnsi="Palatino Linotype" w:cs="Palatino Linotype"/>
        </w:rPr>
        <w:t xml:space="preserve"> a quie</w:t>
      </w:r>
      <w:r w:rsidR="0064652D" w:rsidRPr="009D2474">
        <w:rPr>
          <w:rFonts w:ascii="Palatino Linotype" w:eastAsia="Palatino Linotype" w:hAnsi="Palatino Linotype" w:cs="Palatino Linotype"/>
        </w:rPr>
        <w:t xml:space="preserve">n en lo sucesivo se denominará </w:t>
      </w:r>
      <w:r w:rsidRPr="009D2474">
        <w:rPr>
          <w:rFonts w:ascii="Palatino Linotype" w:eastAsia="Palatino Linotype" w:hAnsi="Palatino Linotype" w:cs="Palatino Linotype"/>
          <w:b/>
        </w:rPr>
        <w:t>EL RECURRENTE</w:t>
      </w:r>
      <w:r w:rsidRPr="009D2474">
        <w:rPr>
          <w:rFonts w:ascii="Palatino Linotype" w:eastAsia="Palatino Linotype" w:hAnsi="Palatino Linotype" w:cs="Palatino Linotype"/>
        </w:rPr>
        <w:t xml:space="preserve">, en contra de la respuesta otorgada a la </w:t>
      </w:r>
      <w:r w:rsidR="0044042A" w:rsidRPr="009D2474">
        <w:rPr>
          <w:rFonts w:ascii="Palatino Linotype" w:eastAsia="Palatino Linotype" w:hAnsi="Palatino Linotype" w:cs="Palatino Linotype"/>
        </w:rPr>
        <w:t>S</w:t>
      </w:r>
      <w:r w:rsidRPr="009D2474">
        <w:rPr>
          <w:rFonts w:ascii="Palatino Linotype" w:eastAsia="Palatino Linotype" w:hAnsi="Palatino Linotype" w:cs="Palatino Linotype"/>
        </w:rPr>
        <w:t xml:space="preserve">olicitud de </w:t>
      </w:r>
      <w:r w:rsidR="0044042A" w:rsidRPr="009D2474">
        <w:rPr>
          <w:rFonts w:ascii="Palatino Linotype" w:eastAsia="Palatino Linotype" w:hAnsi="Palatino Linotype" w:cs="Palatino Linotype"/>
        </w:rPr>
        <w:t>I</w:t>
      </w:r>
      <w:r w:rsidRPr="009D2474">
        <w:rPr>
          <w:rFonts w:ascii="Palatino Linotype" w:eastAsia="Palatino Linotype" w:hAnsi="Palatino Linotype" w:cs="Palatino Linotype"/>
        </w:rPr>
        <w:t xml:space="preserve">nformación con número de folio </w:t>
      </w:r>
      <w:r w:rsidR="00427B63" w:rsidRPr="009D2474">
        <w:rPr>
          <w:rFonts w:ascii="Palatino Linotype" w:eastAsia="Palatino Linotype" w:hAnsi="Palatino Linotype" w:cs="Palatino Linotype"/>
          <w:b/>
        </w:rPr>
        <w:t>00290/ATIZARA/IP/2025</w:t>
      </w:r>
      <w:r w:rsidRPr="009D2474">
        <w:rPr>
          <w:rFonts w:ascii="Palatino Linotype" w:eastAsia="Palatino Linotype" w:hAnsi="Palatino Linotype" w:cs="Palatino Linotype"/>
        </w:rPr>
        <w:t xml:space="preserve">, por parte del </w:t>
      </w:r>
      <w:r w:rsidR="00427B63" w:rsidRPr="009D2474">
        <w:rPr>
          <w:rFonts w:ascii="Palatino Linotype" w:eastAsia="Palatino Linotype" w:hAnsi="Palatino Linotype" w:cs="Palatino Linotype"/>
          <w:b/>
        </w:rPr>
        <w:t>Ayuntamiento de Atizapán de Zaragoza</w:t>
      </w:r>
      <w:r w:rsidRPr="009D2474">
        <w:rPr>
          <w:rFonts w:ascii="Palatino Linotype" w:eastAsia="Palatino Linotype" w:hAnsi="Palatino Linotype" w:cs="Palatino Linotype"/>
          <w:b/>
        </w:rPr>
        <w:t xml:space="preserve">, </w:t>
      </w:r>
      <w:r w:rsidRPr="009D2474">
        <w:rPr>
          <w:rFonts w:ascii="Palatino Linotype" w:eastAsia="Palatino Linotype" w:hAnsi="Palatino Linotype" w:cs="Palatino Linotype"/>
        </w:rPr>
        <w:t xml:space="preserve">en adelante </w:t>
      </w:r>
      <w:r w:rsidRPr="009D2474">
        <w:rPr>
          <w:rFonts w:ascii="Palatino Linotype" w:eastAsia="Palatino Linotype" w:hAnsi="Palatino Linotype" w:cs="Palatino Linotype"/>
          <w:b/>
        </w:rPr>
        <w:t>EL SUJETO OBLIGADO,</w:t>
      </w:r>
      <w:r w:rsidRPr="009D2474">
        <w:rPr>
          <w:rFonts w:ascii="Palatino Linotype" w:eastAsia="Palatino Linotype" w:hAnsi="Palatino Linotype" w:cs="Palatino Linotype"/>
        </w:rPr>
        <w:t xml:space="preserve"> se emite la presente </w:t>
      </w:r>
      <w:r w:rsidR="0081462E" w:rsidRPr="009D2474">
        <w:rPr>
          <w:rFonts w:ascii="Palatino Linotype" w:eastAsia="Palatino Linotype" w:hAnsi="Palatino Linotype" w:cs="Palatino Linotype"/>
        </w:rPr>
        <w:t>R</w:t>
      </w:r>
      <w:r w:rsidRPr="009D2474">
        <w:rPr>
          <w:rFonts w:ascii="Palatino Linotype" w:eastAsia="Palatino Linotype" w:hAnsi="Palatino Linotype" w:cs="Palatino Linotype"/>
        </w:rPr>
        <w:t>esolución con base en los siguientes:</w:t>
      </w:r>
      <w:bookmarkStart w:id="0" w:name="_GoBack"/>
      <w:bookmarkEnd w:id="0"/>
    </w:p>
    <w:p w:rsidR="00B84DF1" w:rsidRPr="009D2474" w:rsidRDefault="00B84DF1" w:rsidP="009D2474">
      <w:pPr>
        <w:spacing w:line="360" w:lineRule="auto"/>
        <w:ind w:right="49"/>
        <w:jc w:val="both"/>
        <w:rPr>
          <w:rFonts w:ascii="Palatino Linotype" w:eastAsia="Palatino Linotype" w:hAnsi="Palatino Linotype" w:cs="Palatino Linotype"/>
        </w:rPr>
      </w:pPr>
    </w:p>
    <w:p w:rsidR="00B84DF1" w:rsidRPr="009D2474" w:rsidRDefault="009D3673" w:rsidP="009D2474">
      <w:pPr>
        <w:pStyle w:val="Ttulo1"/>
        <w:spacing w:before="0" w:line="360" w:lineRule="auto"/>
        <w:ind w:right="49"/>
        <w:jc w:val="center"/>
        <w:rPr>
          <w:rFonts w:ascii="Palatino Linotype" w:eastAsia="Palatino Linotype" w:hAnsi="Palatino Linotype" w:cs="Palatino Linotype"/>
          <w:b/>
          <w:color w:val="000000"/>
          <w:sz w:val="24"/>
          <w:szCs w:val="24"/>
        </w:rPr>
      </w:pPr>
      <w:bookmarkStart w:id="1" w:name="_heading=h.gjdgxs" w:colFirst="0" w:colLast="0"/>
      <w:bookmarkEnd w:id="1"/>
      <w:r w:rsidRPr="009D2474">
        <w:rPr>
          <w:rFonts w:ascii="Palatino Linotype" w:eastAsia="Palatino Linotype" w:hAnsi="Palatino Linotype" w:cs="Palatino Linotype"/>
          <w:b/>
          <w:color w:val="000000"/>
          <w:sz w:val="24"/>
          <w:szCs w:val="24"/>
        </w:rPr>
        <w:t>A N T E C E D E N T E S</w:t>
      </w:r>
    </w:p>
    <w:p w:rsidR="00B84DF1" w:rsidRPr="009D2474" w:rsidRDefault="00B84DF1" w:rsidP="009D2474">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u w:val="single"/>
        </w:rPr>
      </w:pPr>
    </w:p>
    <w:p w:rsidR="00B84DF1" w:rsidRPr="009D2474" w:rsidRDefault="009D3673" w:rsidP="009D2474">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9D2474">
        <w:rPr>
          <w:rFonts w:ascii="Palatino Linotype" w:eastAsia="Palatino Linotype" w:hAnsi="Palatino Linotype" w:cs="Palatino Linotype"/>
          <w:color w:val="000000"/>
        </w:rPr>
        <w:t>El día</w:t>
      </w:r>
      <w:r w:rsidRPr="009D2474">
        <w:rPr>
          <w:rFonts w:ascii="Palatino Linotype" w:eastAsia="Palatino Linotype" w:hAnsi="Palatino Linotype" w:cs="Palatino Linotype"/>
          <w:b/>
          <w:color w:val="000000"/>
        </w:rPr>
        <w:t xml:space="preserve"> </w:t>
      </w:r>
      <w:r w:rsidR="00E87A76" w:rsidRPr="009D2474">
        <w:rPr>
          <w:rFonts w:ascii="Palatino Linotype" w:eastAsia="Palatino Linotype" w:hAnsi="Palatino Linotype" w:cs="Palatino Linotype"/>
          <w:b/>
          <w:color w:val="000000"/>
        </w:rPr>
        <w:t>ocho</w:t>
      </w:r>
      <w:r w:rsidR="001D7945" w:rsidRPr="009D2474">
        <w:rPr>
          <w:rFonts w:ascii="Palatino Linotype" w:eastAsia="Palatino Linotype" w:hAnsi="Palatino Linotype" w:cs="Palatino Linotype"/>
          <w:b/>
          <w:color w:val="000000"/>
        </w:rPr>
        <w:t xml:space="preserve"> de </w:t>
      </w:r>
      <w:r w:rsidR="00E87A76" w:rsidRPr="009D2474">
        <w:rPr>
          <w:rFonts w:ascii="Palatino Linotype" w:eastAsia="Palatino Linotype" w:hAnsi="Palatino Linotype" w:cs="Palatino Linotype"/>
          <w:b/>
          <w:color w:val="000000"/>
        </w:rPr>
        <w:t>mayo</w:t>
      </w:r>
      <w:r w:rsidRPr="009D2474">
        <w:rPr>
          <w:rFonts w:ascii="Palatino Linotype" w:eastAsia="Palatino Linotype" w:hAnsi="Palatino Linotype" w:cs="Palatino Linotype"/>
          <w:b/>
          <w:color w:val="000000"/>
        </w:rPr>
        <w:t xml:space="preserve"> dos mil veintic</w:t>
      </w:r>
      <w:r w:rsidR="00AC01CA" w:rsidRPr="009D2474">
        <w:rPr>
          <w:rFonts w:ascii="Palatino Linotype" w:eastAsia="Palatino Linotype" w:hAnsi="Palatino Linotype" w:cs="Palatino Linotype"/>
          <w:b/>
          <w:color w:val="000000"/>
        </w:rPr>
        <w:t>inco</w:t>
      </w:r>
      <w:r w:rsidRPr="009D2474">
        <w:rPr>
          <w:rFonts w:ascii="Palatino Linotype" w:eastAsia="Palatino Linotype" w:hAnsi="Palatino Linotype" w:cs="Palatino Linotype"/>
          <w:color w:val="000000"/>
        </w:rPr>
        <w:t>,</w:t>
      </w:r>
      <w:r w:rsidRPr="009D2474">
        <w:rPr>
          <w:rFonts w:ascii="Palatino Linotype" w:eastAsia="Palatino Linotype" w:hAnsi="Palatino Linotype" w:cs="Palatino Linotype"/>
          <w:b/>
          <w:color w:val="000000"/>
        </w:rPr>
        <w:t xml:space="preserve"> </w:t>
      </w:r>
      <w:r w:rsidRPr="009D2474">
        <w:rPr>
          <w:rFonts w:ascii="Palatino Linotype" w:eastAsia="Palatino Linotype" w:hAnsi="Palatino Linotype" w:cs="Palatino Linotype"/>
          <w:color w:val="000000"/>
        </w:rPr>
        <w:t>se presentó ante el Sujeto Obligado vía Sistema de Acceso a la Información Mexiquense, en adelante (SAIMEX), la siguiente solicitud de información pública:</w:t>
      </w:r>
    </w:p>
    <w:p w:rsidR="00B84DF1" w:rsidRPr="009D2474" w:rsidRDefault="00B84DF1" w:rsidP="009D2474">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B84DF1" w:rsidRPr="009D2474" w:rsidRDefault="009D3673" w:rsidP="009D2474">
      <w:pPr>
        <w:pBdr>
          <w:top w:val="nil"/>
          <w:left w:val="nil"/>
          <w:bottom w:val="nil"/>
          <w:right w:val="nil"/>
          <w:between w:val="nil"/>
        </w:pBdr>
        <w:spacing w:line="360" w:lineRule="auto"/>
        <w:ind w:left="425" w:right="333"/>
        <w:jc w:val="both"/>
        <w:rPr>
          <w:rFonts w:ascii="Palatino Linotype" w:eastAsia="Palatino Linotype" w:hAnsi="Palatino Linotype" w:cs="Palatino Linotype"/>
          <w:i/>
          <w:color w:val="000000"/>
        </w:rPr>
      </w:pPr>
      <w:r w:rsidRPr="009D2474">
        <w:rPr>
          <w:rFonts w:ascii="Palatino Linotype" w:eastAsia="Palatino Linotype" w:hAnsi="Palatino Linotype" w:cs="Palatino Linotype"/>
          <w:i/>
          <w:color w:val="000000"/>
        </w:rPr>
        <w:t>“</w:t>
      </w:r>
      <w:r w:rsidR="00E87A76" w:rsidRPr="009D2474">
        <w:rPr>
          <w:rFonts w:ascii="Palatino Linotype" w:eastAsia="Palatino Linotype" w:hAnsi="Palatino Linotype" w:cs="Palatino Linotype"/>
          <w:i/>
        </w:rPr>
        <w:t>solicito copia simple digitalizada a través del sistema electrónico saimex de los recibos de nómina del presidente municipal, sindicos, regidores y directores de área correspondientes a la segunda quincena del mes de abril de 2025.</w:t>
      </w:r>
      <w:r w:rsidRPr="009D2474">
        <w:rPr>
          <w:rFonts w:ascii="Palatino Linotype" w:eastAsia="Palatino Linotype" w:hAnsi="Palatino Linotype" w:cs="Palatino Linotype"/>
          <w:i/>
          <w:color w:val="000000"/>
        </w:rPr>
        <w:t>”</w:t>
      </w:r>
    </w:p>
    <w:p w:rsidR="00B84DF1" w:rsidRPr="009D2474" w:rsidRDefault="00B84DF1" w:rsidP="009D2474">
      <w:pPr>
        <w:pBdr>
          <w:top w:val="nil"/>
          <w:left w:val="nil"/>
          <w:bottom w:val="nil"/>
          <w:right w:val="nil"/>
          <w:between w:val="nil"/>
        </w:pBdr>
        <w:spacing w:line="360" w:lineRule="auto"/>
        <w:ind w:left="425" w:right="49"/>
        <w:jc w:val="both"/>
        <w:rPr>
          <w:rFonts w:ascii="Palatino Linotype" w:eastAsia="Palatino Linotype" w:hAnsi="Palatino Linotype" w:cs="Palatino Linotype"/>
          <w:color w:val="000000"/>
        </w:rPr>
      </w:pPr>
    </w:p>
    <w:p w:rsidR="00B84DF1" w:rsidRPr="00157A35" w:rsidRDefault="009D3673" w:rsidP="00157A35">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9D2474">
        <w:rPr>
          <w:rFonts w:ascii="Palatino Linotype" w:eastAsia="Palatino Linotype" w:hAnsi="Palatino Linotype" w:cs="Palatino Linotype"/>
          <w:color w:val="000000"/>
        </w:rPr>
        <w:t xml:space="preserve">Se eligió como modalidad de entrega de la información: </w:t>
      </w:r>
      <w:r w:rsidR="00CB1566" w:rsidRPr="009D2474">
        <w:rPr>
          <w:rFonts w:ascii="Palatino Linotype" w:eastAsia="Palatino Linotype" w:hAnsi="Palatino Linotype" w:cs="Palatino Linotype"/>
          <w:b/>
          <w:color w:val="000000"/>
        </w:rPr>
        <w:t>a través de SAIMEX</w:t>
      </w:r>
    </w:p>
    <w:p w:rsidR="00157A35" w:rsidRPr="009D2474" w:rsidRDefault="00157A35" w:rsidP="00157A35">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E87A76" w:rsidRPr="009D2474" w:rsidRDefault="00E87A76" w:rsidP="009D2474">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9D2474">
        <w:rPr>
          <w:rFonts w:ascii="Palatino Linotype" w:eastAsia="Palatino Linotype" w:hAnsi="Palatino Linotype" w:cs="Palatino Linotype"/>
        </w:rPr>
        <w:lastRenderedPageBreak/>
        <w:t>El día</w:t>
      </w:r>
      <w:r w:rsidRPr="009D2474">
        <w:rPr>
          <w:rFonts w:ascii="Palatino Linotype" w:eastAsia="Palatino Linotype" w:hAnsi="Palatino Linotype" w:cs="Palatino Linotype"/>
          <w:b/>
        </w:rPr>
        <w:t xml:space="preserve"> veintinueve de mayo de dos mil veinticinco, </w:t>
      </w:r>
      <w:r w:rsidRPr="009D2474">
        <w:rPr>
          <w:rFonts w:ascii="Palatino Linotype" w:eastAsia="Palatino Linotype" w:hAnsi="Palatino Linotype" w:cs="Palatino Linotype"/>
        </w:rPr>
        <w:t xml:space="preserve"> el </w:t>
      </w:r>
      <w:r w:rsidRPr="009D2474">
        <w:rPr>
          <w:rFonts w:ascii="Palatino Linotype" w:eastAsia="Palatino Linotype" w:hAnsi="Palatino Linotype" w:cs="Palatino Linotype"/>
          <w:b/>
        </w:rPr>
        <w:t xml:space="preserve">SUJETO OBLIGADO </w:t>
      </w:r>
      <w:r w:rsidRPr="009D2474">
        <w:rPr>
          <w:rFonts w:ascii="Palatino Linotype" w:eastAsia="Palatino Linotype" w:hAnsi="Palatino Linotype" w:cs="Palatino Linotype"/>
        </w:rPr>
        <w:t xml:space="preserve">con fundamento en los artículos 4, 23 fracción IV, 24 último párrafo, 53 fracción VI, 59, 160, 163 </w:t>
      </w:r>
      <w:r w:rsidRPr="009D2474">
        <w:rPr>
          <w:rFonts w:ascii="Palatino Linotype" w:eastAsia="Palatino Linotype" w:hAnsi="Palatino Linotype" w:cs="Palatino Linotype"/>
          <w:color w:val="000000"/>
        </w:rPr>
        <w:t>segundo</w:t>
      </w:r>
      <w:r w:rsidRPr="009D2474">
        <w:rPr>
          <w:rFonts w:ascii="Palatino Linotype" w:eastAsia="Palatino Linotype" w:hAnsi="Palatino Linotype" w:cs="Palatino Linotype"/>
        </w:rPr>
        <w:t xml:space="preserve"> párrafo y demás relativos de la Ley de Transparencia y Acceso a la Información Pública del Estado de México y Municipios, solicitó una prórroga para la entrega de la información, ya que a su decir requiere un procesamiento, </w:t>
      </w:r>
      <w:r w:rsidRPr="009D2474">
        <w:rPr>
          <w:rFonts w:ascii="Palatino Linotype" w:eastAsia="Palatino Linotype" w:hAnsi="Palatino Linotype" w:cs="Palatino Linotype"/>
          <w:i/>
        </w:rPr>
        <w:t>máxime</w:t>
      </w:r>
      <w:r w:rsidRPr="009D2474">
        <w:rPr>
          <w:rFonts w:ascii="Palatino Linotype" w:eastAsia="Palatino Linotype" w:hAnsi="Palatino Linotype" w:cs="Palatino Linotype"/>
        </w:rPr>
        <w:t xml:space="preserve"> de señalar que el número de solicitudes recibidas retrasa la búsqueda de la información.</w:t>
      </w:r>
    </w:p>
    <w:p w:rsidR="00E87A76" w:rsidRPr="009D2474" w:rsidRDefault="00E87A76" w:rsidP="009D2474">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b/>
        </w:rPr>
      </w:pPr>
    </w:p>
    <w:p w:rsidR="001D7945" w:rsidRPr="009D2474" w:rsidRDefault="009D3673" w:rsidP="009D2474">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b/>
        </w:rPr>
      </w:pPr>
      <w:r w:rsidRPr="009D2474">
        <w:rPr>
          <w:rFonts w:ascii="Palatino Linotype" w:eastAsia="Palatino Linotype" w:hAnsi="Palatino Linotype" w:cs="Palatino Linotype"/>
          <w:color w:val="000000"/>
        </w:rPr>
        <w:t xml:space="preserve">El </w:t>
      </w:r>
      <w:r w:rsidR="002A5587" w:rsidRPr="009D2474">
        <w:rPr>
          <w:rFonts w:ascii="Palatino Linotype" w:eastAsia="Palatino Linotype" w:hAnsi="Palatino Linotype" w:cs="Palatino Linotype"/>
          <w:b/>
          <w:color w:val="000000"/>
        </w:rPr>
        <w:t>nueve de junio</w:t>
      </w:r>
      <w:r w:rsidR="009F6E27" w:rsidRPr="009D2474">
        <w:rPr>
          <w:rFonts w:ascii="Palatino Linotype" w:eastAsia="Palatino Linotype" w:hAnsi="Palatino Linotype" w:cs="Palatino Linotype"/>
          <w:b/>
          <w:color w:val="000000"/>
        </w:rPr>
        <w:t xml:space="preserve"> de</w:t>
      </w:r>
      <w:r w:rsidR="00BE415E" w:rsidRPr="009D2474">
        <w:rPr>
          <w:rFonts w:ascii="Palatino Linotype" w:eastAsia="Palatino Linotype" w:hAnsi="Palatino Linotype" w:cs="Palatino Linotype"/>
          <w:b/>
          <w:color w:val="000000"/>
        </w:rPr>
        <w:t xml:space="preserve"> </w:t>
      </w:r>
      <w:r w:rsidR="00654047" w:rsidRPr="009D2474">
        <w:rPr>
          <w:rFonts w:ascii="Palatino Linotype" w:eastAsia="Palatino Linotype" w:hAnsi="Palatino Linotype" w:cs="Palatino Linotype"/>
        </w:rPr>
        <w:t>dos</w:t>
      </w:r>
      <w:r w:rsidR="00654047" w:rsidRPr="009D2474">
        <w:rPr>
          <w:rFonts w:ascii="Palatino Linotype" w:eastAsia="Palatino Linotype" w:hAnsi="Palatino Linotype" w:cs="Palatino Linotype"/>
          <w:b/>
          <w:color w:val="000000"/>
        </w:rPr>
        <w:t xml:space="preserve"> mil veinticinco</w:t>
      </w:r>
      <w:r w:rsidRPr="009D2474">
        <w:rPr>
          <w:rFonts w:ascii="Palatino Linotype" w:eastAsia="Palatino Linotype" w:hAnsi="Palatino Linotype" w:cs="Palatino Linotype"/>
          <w:color w:val="000000"/>
        </w:rPr>
        <w:t xml:space="preserve">, </w:t>
      </w:r>
      <w:r w:rsidR="00CB1566" w:rsidRPr="009D2474">
        <w:rPr>
          <w:rFonts w:ascii="Palatino Linotype" w:eastAsia="Palatino Linotype" w:hAnsi="Palatino Linotype" w:cs="Palatino Linotype"/>
        </w:rPr>
        <w:t xml:space="preserve">el </w:t>
      </w:r>
      <w:r w:rsidR="0064652D" w:rsidRPr="009D2474">
        <w:rPr>
          <w:rFonts w:ascii="Palatino Linotype" w:eastAsia="Palatino Linotype" w:hAnsi="Palatino Linotype" w:cs="Palatino Linotype"/>
          <w:b/>
        </w:rPr>
        <w:t>SUJETO OBLIGADO</w:t>
      </w:r>
      <w:r w:rsidR="00CB1566" w:rsidRPr="009D2474">
        <w:rPr>
          <w:rFonts w:ascii="Palatino Linotype" w:eastAsia="Palatino Linotype" w:hAnsi="Palatino Linotype" w:cs="Palatino Linotype"/>
          <w:b/>
        </w:rPr>
        <w:t xml:space="preserve"> </w:t>
      </w:r>
      <w:r w:rsidR="001D7945" w:rsidRPr="009D2474">
        <w:rPr>
          <w:rFonts w:ascii="Palatino Linotype" w:eastAsia="Palatino Linotype" w:hAnsi="Palatino Linotype" w:cs="Palatino Linotype"/>
        </w:rPr>
        <w:t>dio</w:t>
      </w:r>
      <w:r w:rsidR="00CB1566" w:rsidRPr="009D2474">
        <w:rPr>
          <w:rFonts w:ascii="Palatino Linotype" w:eastAsia="Palatino Linotype" w:hAnsi="Palatino Linotype" w:cs="Palatino Linotype"/>
        </w:rPr>
        <w:t xml:space="preserve"> respuesta a la solicitud de acceso a la información a través de SAIMEX, </w:t>
      </w:r>
      <w:r w:rsidR="008940A5" w:rsidRPr="009D2474">
        <w:rPr>
          <w:rFonts w:ascii="Palatino Linotype" w:eastAsia="Palatino Linotype" w:hAnsi="Palatino Linotype" w:cs="Palatino Linotype"/>
        </w:rPr>
        <w:t xml:space="preserve">mediante </w:t>
      </w:r>
      <w:r w:rsidR="002A5587" w:rsidRPr="009D2474">
        <w:rPr>
          <w:rFonts w:ascii="Palatino Linotype" w:eastAsia="Palatino Linotype" w:hAnsi="Palatino Linotype" w:cs="Palatino Linotype"/>
        </w:rPr>
        <w:t>tres</w:t>
      </w:r>
      <w:r w:rsidR="008940A5" w:rsidRPr="009D2474">
        <w:rPr>
          <w:rFonts w:ascii="Palatino Linotype" w:eastAsia="Palatino Linotype" w:hAnsi="Palatino Linotype" w:cs="Palatino Linotype"/>
        </w:rPr>
        <w:t xml:space="preserve"> archivo</w:t>
      </w:r>
      <w:r w:rsidR="001D7945" w:rsidRPr="009D2474">
        <w:rPr>
          <w:rFonts w:ascii="Palatino Linotype" w:eastAsia="Palatino Linotype" w:hAnsi="Palatino Linotype" w:cs="Palatino Linotype"/>
        </w:rPr>
        <w:t>s</w:t>
      </w:r>
      <w:r w:rsidR="008940A5" w:rsidRPr="009D2474">
        <w:rPr>
          <w:rFonts w:ascii="Palatino Linotype" w:eastAsia="Palatino Linotype" w:hAnsi="Palatino Linotype" w:cs="Palatino Linotype"/>
        </w:rPr>
        <w:t xml:space="preserve"> denominado</w:t>
      </w:r>
      <w:r w:rsidR="001D7945" w:rsidRPr="009D2474">
        <w:rPr>
          <w:rFonts w:ascii="Palatino Linotype" w:eastAsia="Palatino Linotype" w:hAnsi="Palatino Linotype" w:cs="Palatino Linotype"/>
        </w:rPr>
        <w:t xml:space="preserve">s </w:t>
      </w:r>
      <w:r w:rsidR="002A5587" w:rsidRPr="009D2474">
        <w:rPr>
          <w:rFonts w:ascii="Palatino Linotype" w:eastAsia="Palatino Linotype" w:hAnsi="Palatino Linotype" w:cs="Palatino Linotype"/>
          <w:i/>
        </w:rPr>
        <w:t>RECIBOS DE NÓMINA.pdf, 290.pdf</w:t>
      </w:r>
      <w:r w:rsidR="002A5587" w:rsidRPr="009D2474">
        <w:rPr>
          <w:rFonts w:ascii="Palatino Linotype" w:eastAsia="Palatino Linotype" w:hAnsi="Palatino Linotype" w:cs="Palatino Linotype"/>
        </w:rPr>
        <w:t xml:space="preserve"> y, </w:t>
      </w:r>
      <w:r w:rsidR="002A5587" w:rsidRPr="009D2474">
        <w:rPr>
          <w:rFonts w:ascii="Palatino Linotype" w:eastAsia="Palatino Linotype" w:hAnsi="Palatino Linotype" w:cs="Palatino Linotype"/>
          <w:i/>
        </w:rPr>
        <w:t>[Untitled]_2025060915483732.pdf</w:t>
      </w:r>
      <w:r w:rsidR="001D7945" w:rsidRPr="009D2474">
        <w:rPr>
          <w:rFonts w:ascii="Palatino Linotype" w:eastAsia="Palatino Linotype" w:hAnsi="Palatino Linotype" w:cs="Palatino Linotype"/>
        </w:rPr>
        <w:t>,</w:t>
      </w:r>
      <w:r w:rsidR="002A5587" w:rsidRPr="009D2474">
        <w:rPr>
          <w:rFonts w:ascii="Palatino Linotype" w:eastAsia="Palatino Linotype" w:hAnsi="Palatino Linotype" w:cs="Palatino Linotype"/>
        </w:rPr>
        <w:t xml:space="preserve"> que de manera general contiene  recibos de nómina de los servidores públicos referidos en la solicitud de información de la segunda quincena de abril del dos mil veinticinco y el Acuerdo que sustenta la versión pública generada.</w:t>
      </w:r>
    </w:p>
    <w:p w:rsidR="001D7945" w:rsidRPr="009D2474" w:rsidRDefault="001D7945" w:rsidP="009D2474">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b/>
        </w:rPr>
      </w:pPr>
    </w:p>
    <w:p w:rsidR="00CB1566" w:rsidRPr="009D2474" w:rsidRDefault="009D3673" w:rsidP="009D2474">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9D2474">
        <w:rPr>
          <w:rFonts w:ascii="Palatino Linotype" w:eastAsia="Palatino Linotype" w:hAnsi="Palatino Linotype" w:cs="Palatino Linotype"/>
          <w:color w:val="000000"/>
        </w:rPr>
        <w:t>El</w:t>
      </w:r>
      <w:r w:rsidRPr="009D2474">
        <w:rPr>
          <w:rFonts w:ascii="Palatino Linotype" w:eastAsia="Palatino Linotype" w:hAnsi="Palatino Linotype" w:cs="Palatino Linotype"/>
          <w:b/>
          <w:color w:val="000000"/>
        </w:rPr>
        <w:t xml:space="preserve"> </w:t>
      </w:r>
      <w:r w:rsidR="002A5587" w:rsidRPr="009D2474">
        <w:rPr>
          <w:rFonts w:ascii="Palatino Linotype" w:eastAsia="Palatino Linotype" w:hAnsi="Palatino Linotype" w:cs="Palatino Linotype"/>
          <w:b/>
        </w:rPr>
        <w:t>diez de junio</w:t>
      </w:r>
      <w:r w:rsidR="00CB1566" w:rsidRPr="009D2474">
        <w:rPr>
          <w:rFonts w:ascii="Palatino Linotype" w:eastAsia="Palatino Linotype" w:hAnsi="Palatino Linotype" w:cs="Palatino Linotype"/>
          <w:b/>
        </w:rPr>
        <w:t xml:space="preserve"> de dos mil veinticinco, </w:t>
      </w:r>
      <w:r w:rsidR="00CB1566" w:rsidRPr="009D2474">
        <w:rPr>
          <w:rFonts w:ascii="Palatino Linotype" w:eastAsia="Palatino Linotype" w:hAnsi="Palatino Linotype" w:cs="Palatino Linotype"/>
        </w:rPr>
        <w:t xml:space="preserve">la parte </w:t>
      </w:r>
      <w:r w:rsidR="00CB1566" w:rsidRPr="009D2474">
        <w:rPr>
          <w:rFonts w:ascii="Palatino Linotype" w:eastAsia="Palatino Linotype" w:hAnsi="Palatino Linotype" w:cs="Palatino Linotype"/>
          <w:b/>
        </w:rPr>
        <w:t>Recurrente</w:t>
      </w:r>
      <w:r w:rsidR="00CB1566" w:rsidRPr="009D2474">
        <w:rPr>
          <w:rFonts w:ascii="Palatino Linotype" w:eastAsia="Palatino Linotype" w:hAnsi="Palatino Linotype" w:cs="Palatino Linotype"/>
        </w:rPr>
        <w:t xml:space="preserve"> interpuso el recurso de revisión a través de </w:t>
      </w:r>
      <w:r w:rsidR="00CB1566" w:rsidRPr="009D2474">
        <w:rPr>
          <w:rFonts w:ascii="Palatino Linotype" w:eastAsia="Palatino Linotype" w:hAnsi="Palatino Linotype" w:cs="Palatino Linotype"/>
          <w:b/>
        </w:rPr>
        <w:t xml:space="preserve">SAIMEX, </w:t>
      </w:r>
      <w:r w:rsidR="00CB1566" w:rsidRPr="009D2474">
        <w:rPr>
          <w:rFonts w:ascii="Palatino Linotype" w:eastAsia="Palatino Linotype" w:hAnsi="Palatino Linotype" w:cs="Palatino Linotype"/>
        </w:rPr>
        <w:t xml:space="preserve">en donde se manifestó </w:t>
      </w:r>
      <w:r w:rsidR="001D7945" w:rsidRPr="009D2474">
        <w:rPr>
          <w:rFonts w:ascii="Palatino Linotype" w:eastAsia="Palatino Linotype" w:hAnsi="Palatino Linotype" w:cs="Palatino Linotype"/>
        </w:rPr>
        <w:t>lo siguiente</w:t>
      </w:r>
      <w:r w:rsidR="00CB1566" w:rsidRPr="009D2474">
        <w:rPr>
          <w:rFonts w:ascii="Palatino Linotype" w:eastAsia="Palatino Linotype" w:hAnsi="Palatino Linotype" w:cs="Palatino Linotype"/>
        </w:rPr>
        <w:t>:</w:t>
      </w:r>
    </w:p>
    <w:p w:rsidR="00CB1566" w:rsidRPr="009D2474" w:rsidRDefault="00CB1566" w:rsidP="009D2474">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rPr>
      </w:pPr>
    </w:p>
    <w:p w:rsidR="00CB1566" w:rsidRPr="00157A35" w:rsidRDefault="00157A35" w:rsidP="00157A35">
      <w:pPr>
        <w:pStyle w:val="Prrafodelista"/>
        <w:numPr>
          <w:ilvl w:val="0"/>
          <w:numId w:val="44"/>
        </w:numPr>
        <w:tabs>
          <w:tab w:val="left" w:pos="2745"/>
        </w:tabs>
        <w:spacing w:line="360" w:lineRule="auto"/>
        <w:ind w:right="616"/>
        <w:jc w:val="both"/>
        <w:rPr>
          <w:rFonts w:ascii="Palatino Linotype" w:eastAsia="Palatino Linotype" w:hAnsi="Palatino Linotype" w:cs="Palatino Linotype"/>
          <w:b/>
        </w:rPr>
      </w:pPr>
      <w:r w:rsidRPr="00157A35">
        <w:rPr>
          <w:rFonts w:ascii="Palatino Linotype" w:eastAsia="Palatino Linotype" w:hAnsi="Palatino Linotype" w:cs="Palatino Linotype"/>
          <w:b/>
        </w:rPr>
        <w:t xml:space="preserve">ACTO IMPUGNADO: </w:t>
      </w:r>
    </w:p>
    <w:p w:rsidR="00CB1566" w:rsidRPr="009D2474" w:rsidRDefault="00157A35" w:rsidP="00157A35">
      <w:pPr>
        <w:spacing w:line="360" w:lineRule="auto"/>
        <w:ind w:right="616"/>
        <w:jc w:val="both"/>
        <w:rPr>
          <w:rFonts w:ascii="Palatino Linotype" w:eastAsia="Palatino Linotype" w:hAnsi="Palatino Linotype" w:cs="Palatino Linotype"/>
          <w:i/>
        </w:rPr>
      </w:pPr>
      <w:r>
        <w:rPr>
          <w:rFonts w:ascii="Palatino Linotype" w:eastAsia="Palatino Linotype" w:hAnsi="Palatino Linotype" w:cs="Palatino Linotype"/>
          <w:i/>
        </w:rPr>
        <w:tab/>
      </w:r>
      <w:r w:rsidR="00CB1566" w:rsidRPr="009D2474">
        <w:rPr>
          <w:rFonts w:ascii="Palatino Linotype" w:eastAsia="Palatino Linotype" w:hAnsi="Palatino Linotype" w:cs="Palatino Linotype"/>
          <w:i/>
        </w:rPr>
        <w:t>“</w:t>
      </w:r>
      <w:r w:rsidR="002A5587" w:rsidRPr="009D2474">
        <w:rPr>
          <w:rFonts w:ascii="Palatino Linotype" w:eastAsia="Palatino Linotype" w:hAnsi="Palatino Linotype" w:cs="Palatino Linotype"/>
          <w:i/>
        </w:rPr>
        <w:t>REPUESTA A LA SOLICITUD 00290/ATIZARA/IP/2025</w:t>
      </w:r>
      <w:r w:rsidR="009F6E27" w:rsidRPr="009D2474">
        <w:rPr>
          <w:rFonts w:ascii="Palatino Linotype" w:eastAsia="Palatino Linotype" w:hAnsi="Palatino Linotype" w:cs="Palatino Linotype"/>
          <w:i/>
        </w:rPr>
        <w:t>”</w:t>
      </w:r>
    </w:p>
    <w:p w:rsidR="00CB1566" w:rsidRPr="009D2474" w:rsidRDefault="00CB1566" w:rsidP="00157A35">
      <w:pPr>
        <w:tabs>
          <w:tab w:val="left" w:pos="2745"/>
        </w:tabs>
        <w:spacing w:line="360" w:lineRule="auto"/>
        <w:ind w:right="616"/>
        <w:jc w:val="both"/>
        <w:rPr>
          <w:rFonts w:ascii="Palatino Linotype" w:eastAsia="Palatino Linotype" w:hAnsi="Palatino Linotype" w:cs="Palatino Linotype"/>
          <w:i/>
        </w:rPr>
      </w:pPr>
    </w:p>
    <w:p w:rsidR="00CB1566" w:rsidRPr="00157A35" w:rsidRDefault="00157A35" w:rsidP="00157A35">
      <w:pPr>
        <w:pStyle w:val="Prrafodelista"/>
        <w:numPr>
          <w:ilvl w:val="0"/>
          <w:numId w:val="44"/>
        </w:numPr>
        <w:spacing w:line="360" w:lineRule="auto"/>
        <w:ind w:right="616"/>
        <w:jc w:val="both"/>
        <w:rPr>
          <w:rFonts w:ascii="Palatino Linotype" w:eastAsia="Palatino Linotype" w:hAnsi="Palatino Linotype" w:cs="Palatino Linotype"/>
        </w:rPr>
      </w:pPr>
      <w:bookmarkStart w:id="2" w:name="_heading=h.30j0zll" w:colFirst="0" w:colLast="0"/>
      <w:bookmarkEnd w:id="2"/>
      <w:r w:rsidRPr="00157A35">
        <w:rPr>
          <w:rFonts w:ascii="Palatino Linotype" w:eastAsia="Palatino Linotype" w:hAnsi="Palatino Linotype" w:cs="Palatino Linotype"/>
          <w:b/>
        </w:rPr>
        <w:t>RAZONES O MOTIVOS DE INCONFORMIDAD</w:t>
      </w:r>
      <w:r w:rsidRPr="00157A35">
        <w:rPr>
          <w:rFonts w:ascii="Palatino Linotype" w:eastAsia="Palatino Linotype" w:hAnsi="Palatino Linotype" w:cs="Palatino Linotype"/>
        </w:rPr>
        <w:t>:</w:t>
      </w:r>
    </w:p>
    <w:p w:rsidR="00CB1566" w:rsidRPr="009D2474" w:rsidRDefault="00CB1566" w:rsidP="00157A35">
      <w:pPr>
        <w:spacing w:line="360" w:lineRule="auto"/>
        <w:ind w:left="720" w:right="616"/>
        <w:jc w:val="both"/>
        <w:rPr>
          <w:rFonts w:ascii="Palatino Linotype" w:eastAsia="Palatino Linotype" w:hAnsi="Palatino Linotype" w:cs="Palatino Linotype"/>
          <w:i/>
        </w:rPr>
      </w:pPr>
      <w:r w:rsidRPr="009D2474">
        <w:rPr>
          <w:rFonts w:ascii="Palatino Linotype" w:eastAsia="Palatino Linotype" w:hAnsi="Palatino Linotype" w:cs="Palatino Linotype"/>
          <w:i/>
        </w:rPr>
        <w:t>“</w:t>
      </w:r>
      <w:r w:rsidR="002A5587" w:rsidRPr="009D2474">
        <w:rPr>
          <w:rFonts w:ascii="Palatino Linotype" w:eastAsia="Palatino Linotype" w:hAnsi="Palatino Linotype" w:cs="Palatino Linotype"/>
          <w:i/>
        </w:rPr>
        <w:t xml:space="preserve">EN LA RESPUESTA ENTREGADA POR EL SUJETO OBLIGADO SE OCULTAN LOS NOMBRES DE ALGUNOS SERVIDORES PÚBLICOS, LO CUAL ES </w:t>
      </w:r>
      <w:r w:rsidR="002A5587" w:rsidRPr="009D2474">
        <w:rPr>
          <w:rFonts w:ascii="Palatino Linotype" w:eastAsia="Palatino Linotype" w:hAnsi="Palatino Linotype" w:cs="Palatino Linotype"/>
          <w:i/>
        </w:rPr>
        <w:lastRenderedPageBreak/>
        <w:t>INDEBIDO, YA QUE SE TRATA DE INFORMACIÓN PÚBLICA QUE DEBE DEJARSE A LA VISTA DEL SOLICITANTE.</w:t>
      </w:r>
      <w:r w:rsidR="009F6E27" w:rsidRPr="009D2474">
        <w:rPr>
          <w:rFonts w:ascii="Palatino Linotype" w:eastAsia="Palatino Linotype" w:hAnsi="Palatino Linotype" w:cs="Palatino Linotype"/>
          <w:i/>
        </w:rPr>
        <w:t>”</w:t>
      </w:r>
    </w:p>
    <w:p w:rsidR="00AF6023" w:rsidRPr="009D2474" w:rsidRDefault="00AF6023" w:rsidP="009D2474">
      <w:pPr>
        <w:pBdr>
          <w:top w:val="nil"/>
          <w:left w:val="nil"/>
          <w:bottom w:val="nil"/>
          <w:right w:val="nil"/>
          <w:between w:val="nil"/>
        </w:pBdr>
        <w:spacing w:line="360" w:lineRule="auto"/>
        <w:ind w:left="709" w:right="49"/>
        <w:jc w:val="both"/>
        <w:rPr>
          <w:rFonts w:ascii="Palatino Linotype" w:eastAsia="Palatino Linotype" w:hAnsi="Palatino Linotype" w:cs="Palatino Linotype"/>
          <w:i/>
          <w:color w:val="000000"/>
        </w:rPr>
      </w:pPr>
    </w:p>
    <w:p w:rsidR="00B84DF1" w:rsidRPr="009D2474" w:rsidRDefault="00CB1566" w:rsidP="009D2474">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9D2474">
        <w:rPr>
          <w:rFonts w:ascii="Palatino Linotype" w:eastAsia="Palatino Linotype" w:hAnsi="Palatino Linotype" w:cs="Palatino Linotype"/>
        </w:rPr>
        <w:t>Con fecha</w:t>
      </w:r>
      <w:r w:rsidRPr="009D2474">
        <w:rPr>
          <w:rFonts w:ascii="Palatino Linotype" w:eastAsia="Palatino Linotype" w:hAnsi="Palatino Linotype" w:cs="Palatino Linotype"/>
          <w:b/>
        </w:rPr>
        <w:t xml:space="preserve"> </w:t>
      </w:r>
      <w:r w:rsidR="002A5587" w:rsidRPr="009D2474">
        <w:rPr>
          <w:rFonts w:ascii="Palatino Linotype" w:eastAsia="Palatino Linotype" w:hAnsi="Palatino Linotype" w:cs="Palatino Linotype"/>
          <w:b/>
        </w:rPr>
        <w:t>diecisiete</w:t>
      </w:r>
      <w:r w:rsidR="001360AA" w:rsidRPr="009D2474">
        <w:rPr>
          <w:rFonts w:ascii="Palatino Linotype" w:eastAsia="Palatino Linotype" w:hAnsi="Palatino Linotype" w:cs="Palatino Linotype"/>
          <w:b/>
        </w:rPr>
        <w:t xml:space="preserve"> de </w:t>
      </w:r>
      <w:r w:rsidR="002A5587" w:rsidRPr="009D2474">
        <w:rPr>
          <w:rFonts w:ascii="Palatino Linotype" w:eastAsia="Palatino Linotype" w:hAnsi="Palatino Linotype" w:cs="Palatino Linotype"/>
          <w:b/>
        </w:rPr>
        <w:t>junio</w:t>
      </w:r>
      <w:r w:rsidR="0090156E" w:rsidRPr="009D2474">
        <w:rPr>
          <w:rFonts w:ascii="Palatino Linotype" w:eastAsia="Palatino Linotype" w:hAnsi="Palatino Linotype" w:cs="Palatino Linotype"/>
          <w:b/>
        </w:rPr>
        <w:t xml:space="preserve"> </w:t>
      </w:r>
      <w:r w:rsidRPr="009D2474">
        <w:rPr>
          <w:rFonts w:ascii="Palatino Linotype" w:eastAsia="Palatino Linotype" w:hAnsi="Palatino Linotype" w:cs="Palatino Linotype"/>
          <w:b/>
        </w:rPr>
        <w:t xml:space="preserve">dos mil veinticinco, </w:t>
      </w:r>
      <w:r w:rsidRPr="009D2474">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9D2474">
        <w:rPr>
          <w:rFonts w:ascii="Palatino Linotype" w:eastAsia="Palatino Linotype" w:hAnsi="Palatino Linotype" w:cs="Palatino Linotype"/>
          <w:b/>
        </w:rPr>
        <w:t xml:space="preserve">Sujeto Obligado </w:t>
      </w:r>
      <w:r w:rsidRPr="009D2474">
        <w:rPr>
          <w:rFonts w:ascii="Palatino Linotype" w:eastAsia="Palatino Linotype" w:hAnsi="Palatino Linotype" w:cs="Palatino Linotype"/>
        </w:rPr>
        <w:t>presentara su informe justificado.</w:t>
      </w:r>
    </w:p>
    <w:p w:rsidR="00C273BD" w:rsidRPr="009D2474" w:rsidRDefault="00C273BD" w:rsidP="009D2474">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B84DF1" w:rsidRPr="009D2474" w:rsidRDefault="00760330" w:rsidP="009D2474">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rPr>
      </w:pPr>
      <w:r w:rsidRPr="009D2474">
        <w:rPr>
          <w:rFonts w:ascii="Palatino Linotype" w:eastAsia="Palatino Linotype" w:hAnsi="Palatino Linotype" w:cs="Palatino Linotype"/>
          <w:color w:val="000000"/>
        </w:rPr>
        <w:t>E</w:t>
      </w:r>
      <w:r w:rsidR="00874872" w:rsidRPr="009D2474">
        <w:rPr>
          <w:rFonts w:ascii="Palatino Linotype" w:eastAsia="Palatino Linotype" w:hAnsi="Palatino Linotype" w:cs="Palatino Linotype"/>
          <w:color w:val="000000"/>
        </w:rPr>
        <w:t>l</w:t>
      </w:r>
      <w:r w:rsidR="00874872" w:rsidRPr="009D2474">
        <w:rPr>
          <w:rFonts w:ascii="Palatino Linotype" w:eastAsia="Palatino Linotype" w:hAnsi="Palatino Linotype" w:cs="Palatino Linotype"/>
          <w:b/>
          <w:color w:val="000000"/>
        </w:rPr>
        <w:t xml:space="preserve"> SUJETO </w:t>
      </w:r>
      <w:r w:rsidR="00874872" w:rsidRPr="009D2474">
        <w:rPr>
          <w:rFonts w:ascii="Palatino Linotype" w:eastAsia="Palatino Linotype" w:hAnsi="Palatino Linotype" w:cs="Palatino Linotype"/>
          <w:b/>
        </w:rPr>
        <w:t>OBLIGADO</w:t>
      </w:r>
      <w:r w:rsidR="00874872" w:rsidRPr="009D2474">
        <w:rPr>
          <w:rFonts w:ascii="Palatino Linotype" w:eastAsia="Palatino Linotype" w:hAnsi="Palatino Linotype" w:cs="Palatino Linotype"/>
          <w:b/>
          <w:color w:val="000000"/>
        </w:rPr>
        <w:t xml:space="preserve"> </w:t>
      </w:r>
      <w:r w:rsidR="008D2D54" w:rsidRPr="009D2474">
        <w:rPr>
          <w:rFonts w:ascii="Palatino Linotype" w:eastAsia="Palatino Linotype" w:hAnsi="Palatino Linotype" w:cs="Palatino Linotype"/>
          <w:color w:val="000000"/>
        </w:rPr>
        <w:t>e</w:t>
      </w:r>
      <w:r w:rsidR="002A5587" w:rsidRPr="009D2474">
        <w:rPr>
          <w:rFonts w:ascii="Palatino Linotype" w:eastAsia="Palatino Linotype" w:hAnsi="Palatino Linotype" w:cs="Palatino Linotype"/>
          <w:color w:val="000000"/>
        </w:rPr>
        <w:t>l</w:t>
      </w:r>
      <w:r w:rsidR="008D2D54" w:rsidRPr="009D2474">
        <w:rPr>
          <w:rFonts w:ascii="Palatino Linotype" w:eastAsia="Palatino Linotype" w:hAnsi="Palatino Linotype" w:cs="Palatino Linotype"/>
          <w:color w:val="000000"/>
        </w:rPr>
        <w:t xml:space="preserve"> día </w:t>
      </w:r>
      <w:r w:rsidR="002A5587" w:rsidRPr="009D2474">
        <w:rPr>
          <w:rFonts w:ascii="Palatino Linotype" w:eastAsia="Palatino Linotype" w:hAnsi="Palatino Linotype" w:cs="Palatino Linotype"/>
          <w:b/>
          <w:color w:val="000000"/>
        </w:rPr>
        <w:t xml:space="preserve">diecinueve de junio de dos mil </w:t>
      </w:r>
      <w:r w:rsidR="0044042A" w:rsidRPr="009D2474">
        <w:rPr>
          <w:rFonts w:ascii="Palatino Linotype" w:eastAsia="Palatino Linotype" w:hAnsi="Palatino Linotype" w:cs="Palatino Linotype"/>
          <w:b/>
          <w:color w:val="000000"/>
        </w:rPr>
        <w:t>veinticinco</w:t>
      </w:r>
      <w:r w:rsidR="008D2D54" w:rsidRPr="009D2474">
        <w:rPr>
          <w:rFonts w:ascii="Palatino Linotype" w:eastAsia="Palatino Linotype" w:hAnsi="Palatino Linotype" w:cs="Palatino Linotype"/>
          <w:b/>
          <w:color w:val="000000"/>
        </w:rPr>
        <w:t xml:space="preserve"> </w:t>
      </w:r>
      <w:r w:rsidR="008D2D54" w:rsidRPr="009D2474">
        <w:rPr>
          <w:rFonts w:ascii="Palatino Linotype" w:eastAsia="Palatino Linotype" w:hAnsi="Palatino Linotype" w:cs="Palatino Linotype"/>
          <w:color w:val="000000"/>
        </w:rPr>
        <w:t>rindió info</w:t>
      </w:r>
      <w:r w:rsidR="002A5587" w:rsidRPr="009D2474">
        <w:rPr>
          <w:rFonts w:ascii="Palatino Linotype" w:eastAsia="Palatino Linotype" w:hAnsi="Palatino Linotype" w:cs="Palatino Linotype"/>
          <w:color w:val="000000"/>
        </w:rPr>
        <w:t>rme justificado por medio de do</w:t>
      </w:r>
      <w:r w:rsidR="008D2D54" w:rsidRPr="009D2474">
        <w:rPr>
          <w:rFonts w:ascii="Palatino Linotype" w:eastAsia="Palatino Linotype" w:hAnsi="Palatino Linotype" w:cs="Palatino Linotype"/>
          <w:color w:val="000000"/>
        </w:rPr>
        <w:t xml:space="preserve">s archivos denominados </w:t>
      </w:r>
      <w:r w:rsidR="002A5587" w:rsidRPr="009D2474">
        <w:rPr>
          <w:rFonts w:ascii="Palatino Linotype" w:eastAsia="Palatino Linotype" w:hAnsi="Palatino Linotype" w:cs="Palatino Linotype"/>
          <w:i/>
          <w:color w:val="000000"/>
        </w:rPr>
        <w:t xml:space="preserve">Recibos de Nómina II.pdf </w:t>
      </w:r>
      <w:r w:rsidR="002A5587" w:rsidRPr="009D2474">
        <w:rPr>
          <w:rFonts w:ascii="Palatino Linotype" w:eastAsia="Palatino Linotype" w:hAnsi="Palatino Linotype" w:cs="Palatino Linotype"/>
          <w:color w:val="000000"/>
        </w:rPr>
        <w:t>y</w:t>
      </w:r>
      <w:r w:rsidR="002A5587" w:rsidRPr="009D2474">
        <w:rPr>
          <w:rFonts w:ascii="Palatino Linotype" w:eastAsia="Palatino Linotype" w:hAnsi="Palatino Linotype" w:cs="Palatino Linotype"/>
          <w:i/>
          <w:color w:val="000000"/>
        </w:rPr>
        <w:t xml:space="preserve"> [Untitled]_2025061910104918.pdf</w:t>
      </w:r>
      <w:r w:rsidR="008D2D54" w:rsidRPr="009D2474">
        <w:rPr>
          <w:rFonts w:ascii="Palatino Linotype" w:eastAsia="Palatino Linotype" w:hAnsi="Palatino Linotype" w:cs="Palatino Linotype"/>
          <w:color w:val="000000"/>
        </w:rPr>
        <w:t xml:space="preserve">, que contiene </w:t>
      </w:r>
      <w:r w:rsidR="002F7D36" w:rsidRPr="009D2474">
        <w:rPr>
          <w:rFonts w:ascii="Palatino Linotype" w:eastAsia="Palatino Linotype" w:hAnsi="Palatino Linotype" w:cs="Palatino Linotype"/>
          <w:i/>
          <w:color w:val="000000"/>
        </w:rPr>
        <w:t xml:space="preserve">grosso modo </w:t>
      </w:r>
      <w:r w:rsidR="002F7D36" w:rsidRPr="009D2474">
        <w:rPr>
          <w:rFonts w:ascii="Palatino Linotype" w:eastAsia="Palatino Linotype" w:hAnsi="Palatino Linotype" w:cs="Palatino Linotype"/>
          <w:color w:val="000000"/>
        </w:rPr>
        <w:t>los mismos recibos de nómina entregados en la respuesta inicial, con el nombre de los servidores públicos visible, derivado que se refiere el archivo inicial se encontraba dañado</w:t>
      </w:r>
      <w:r w:rsidR="008D2D54" w:rsidRPr="009D2474">
        <w:rPr>
          <w:rFonts w:ascii="Palatino Linotype" w:eastAsia="Palatino Linotype" w:hAnsi="Palatino Linotype" w:cs="Palatino Linotype"/>
          <w:color w:val="000000"/>
        </w:rPr>
        <w:t>.</w:t>
      </w:r>
      <w:r w:rsidR="0090156E" w:rsidRPr="009D2474">
        <w:rPr>
          <w:rFonts w:ascii="Palatino Linotype" w:eastAsia="Palatino Linotype" w:hAnsi="Palatino Linotype" w:cs="Palatino Linotype"/>
        </w:rPr>
        <w:t xml:space="preserve"> </w:t>
      </w:r>
      <w:r w:rsidR="00B05FE8" w:rsidRPr="009D2474">
        <w:rPr>
          <w:rFonts w:ascii="Palatino Linotype" w:eastAsia="Palatino Linotype" w:hAnsi="Palatino Linotype" w:cs="Palatino Linotype"/>
        </w:rPr>
        <w:t>Por su parte el solicitante fue omiso en realizar manifestaciones que a su derecho conviniera y asistiera.</w:t>
      </w:r>
    </w:p>
    <w:p w:rsidR="00B84DF1" w:rsidRPr="009D2474" w:rsidRDefault="00B84DF1" w:rsidP="009D2474">
      <w:pPr>
        <w:pBdr>
          <w:top w:val="nil"/>
          <w:left w:val="nil"/>
          <w:bottom w:val="nil"/>
          <w:right w:val="nil"/>
          <w:between w:val="nil"/>
        </w:pBdr>
        <w:spacing w:line="360" w:lineRule="auto"/>
        <w:ind w:left="720" w:right="49"/>
        <w:jc w:val="center"/>
        <w:rPr>
          <w:rFonts w:ascii="Palatino Linotype" w:eastAsia="Palatino Linotype" w:hAnsi="Palatino Linotype" w:cs="Palatino Linotype"/>
          <w:b/>
          <w:color w:val="000000"/>
        </w:rPr>
      </w:pPr>
    </w:p>
    <w:p w:rsidR="00B84DF1" w:rsidRPr="009D2474" w:rsidRDefault="009D3673" w:rsidP="009D2474">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rPr>
      </w:pPr>
      <w:r w:rsidRPr="009D2474">
        <w:rPr>
          <w:rFonts w:ascii="Palatino Linotype" w:eastAsia="Palatino Linotype" w:hAnsi="Palatino Linotype" w:cs="Palatino Linotype"/>
          <w:b/>
          <w:color w:val="000000"/>
        </w:rPr>
        <w:t>C O N S I D E R A C I O N E S</w:t>
      </w:r>
    </w:p>
    <w:p w:rsidR="00B84DF1" w:rsidRPr="009D2474" w:rsidRDefault="00B84DF1" w:rsidP="009D2474">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rPr>
      </w:pPr>
    </w:p>
    <w:p w:rsidR="00B84DF1" w:rsidRPr="009D2474" w:rsidRDefault="003B59FA" w:rsidP="009D2474">
      <w:pPr>
        <w:pStyle w:val="Ttulo2"/>
        <w:spacing w:before="0" w:line="360" w:lineRule="auto"/>
        <w:ind w:right="49"/>
        <w:rPr>
          <w:rFonts w:ascii="Palatino Linotype" w:eastAsia="Palatino Linotype" w:hAnsi="Palatino Linotype" w:cs="Palatino Linotype"/>
          <w:b/>
          <w:color w:val="000000"/>
          <w:sz w:val="24"/>
          <w:szCs w:val="24"/>
        </w:rPr>
      </w:pPr>
      <w:bookmarkStart w:id="3" w:name="_heading=h.3znysh7" w:colFirst="0" w:colLast="0"/>
      <w:bookmarkEnd w:id="3"/>
      <w:r w:rsidRPr="009D2474">
        <w:rPr>
          <w:rFonts w:ascii="Palatino Linotype" w:eastAsia="Palatino Linotype" w:hAnsi="Palatino Linotype" w:cs="Palatino Linotype"/>
          <w:b/>
          <w:color w:val="000000"/>
          <w:sz w:val="24"/>
          <w:szCs w:val="24"/>
        </w:rPr>
        <w:t>PRIMERO</w:t>
      </w:r>
      <w:r w:rsidR="009D3673" w:rsidRPr="009D2474">
        <w:rPr>
          <w:rFonts w:ascii="Palatino Linotype" w:eastAsia="Palatino Linotype" w:hAnsi="Palatino Linotype" w:cs="Palatino Linotype"/>
          <w:b/>
          <w:color w:val="000000"/>
          <w:sz w:val="24"/>
          <w:szCs w:val="24"/>
        </w:rPr>
        <w:t>. Competencia</w:t>
      </w:r>
    </w:p>
    <w:p w:rsidR="00B84DF1" w:rsidRPr="009D2474" w:rsidRDefault="0090156E" w:rsidP="009D2474">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9D2474">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w:t>
      </w:r>
      <w:r w:rsidRPr="009D2474">
        <w:rPr>
          <w:rFonts w:ascii="Palatino Linotype" w:eastAsia="Palatino Linotype" w:hAnsi="Palatino Linotype" w:cs="Palatino Linotype"/>
        </w:rPr>
        <w:t>trigésimo</w:t>
      </w:r>
      <w:r w:rsidRPr="009D2474">
        <w:rPr>
          <w:rFonts w:ascii="Palatino Linotype" w:eastAsia="Palatino Linotype" w:hAnsi="Palatino Linotype" w:cs="Palatino Linotype"/>
          <w:color w:val="000000"/>
        </w:rPr>
        <w:t xml:space="preserve"> séptimo, trigésimo octavo y trigésimo noveno fracciones IV y V de la Constitución Política </w:t>
      </w:r>
      <w:r w:rsidRPr="009D2474">
        <w:rPr>
          <w:rFonts w:ascii="Palatino Linotype" w:eastAsia="Palatino Linotype" w:hAnsi="Palatino Linotype" w:cs="Palatino Linotype"/>
          <w:color w:val="000000"/>
        </w:rPr>
        <w:lastRenderedPageBreak/>
        <w:t>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6535A3" w:rsidRPr="009D2474" w:rsidRDefault="006535A3" w:rsidP="009D2474">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B84DF1" w:rsidRPr="009D2474" w:rsidRDefault="009D3673" w:rsidP="009D2474">
      <w:pPr>
        <w:pStyle w:val="Ttulo2"/>
        <w:spacing w:before="0" w:line="360" w:lineRule="auto"/>
        <w:ind w:right="49"/>
        <w:rPr>
          <w:rFonts w:ascii="Palatino Linotype" w:eastAsia="Palatino Linotype" w:hAnsi="Palatino Linotype" w:cs="Palatino Linotype"/>
          <w:b/>
          <w:color w:val="000000"/>
          <w:sz w:val="24"/>
          <w:szCs w:val="24"/>
        </w:rPr>
      </w:pPr>
      <w:bookmarkStart w:id="4" w:name="_heading=h.2et92p0" w:colFirst="0" w:colLast="0"/>
      <w:bookmarkEnd w:id="4"/>
      <w:r w:rsidRPr="009D2474">
        <w:rPr>
          <w:rFonts w:ascii="Palatino Linotype" w:eastAsia="Palatino Linotype" w:hAnsi="Palatino Linotype" w:cs="Palatino Linotype"/>
          <w:b/>
          <w:color w:val="000000"/>
          <w:sz w:val="24"/>
          <w:szCs w:val="24"/>
        </w:rPr>
        <w:t>SEGUND</w:t>
      </w:r>
      <w:r w:rsidR="003B59FA" w:rsidRPr="009D2474">
        <w:rPr>
          <w:rFonts w:ascii="Palatino Linotype" w:eastAsia="Palatino Linotype" w:hAnsi="Palatino Linotype" w:cs="Palatino Linotype"/>
          <w:b/>
          <w:color w:val="000000"/>
          <w:sz w:val="24"/>
          <w:szCs w:val="24"/>
        </w:rPr>
        <w:t>O</w:t>
      </w:r>
      <w:r w:rsidRPr="009D2474">
        <w:rPr>
          <w:rFonts w:ascii="Palatino Linotype" w:eastAsia="Palatino Linotype" w:hAnsi="Palatino Linotype" w:cs="Palatino Linotype"/>
          <w:b/>
          <w:color w:val="000000"/>
          <w:sz w:val="24"/>
          <w:szCs w:val="24"/>
        </w:rPr>
        <w:t>. Procedencia.</w:t>
      </w:r>
    </w:p>
    <w:p w:rsidR="00B84DF1" w:rsidRPr="009D2474" w:rsidRDefault="009D3673" w:rsidP="009D2474">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9D2474">
        <w:rPr>
          <w:rFonts w:ascii="Palatino Linotype" w:eastAsia="Palatino Linotype" w:hAnsi="Palatino Linotype" w:cs="Palatino Linotype"/>
        </w:rPr>
        <w:t xml:space="preserve">Este Órgano Garante considera que el medio de impugnación reúne los requisitos de </w:t>
      </w:r>
      <w:r w:rsidRPr="009D2474">
        <w:rPr>
          <w:rFonts w:ascii="Palatino Linotype" w:eastAsia="Palatino Linotype" w:hAnsi="Palatino Linotype" w:cs="Palatino Linotype"/>
          <w:color w:val="000000"/>
        </w:rPr>
        <w:t>procedencia</w:t>
      </w:r>
      <w:r w:rsidRPr="009D2474">
        <w:rPr>
          <w:rFonts w:ascii="Palatino Linotype" w:eastAsia="Palatino Linotype" w:hAnsi="Palatino Linotype" w:cs="Palatino Linotype"/>
        </w:rPr>
        <w:t xml:space="preserve"> </w:t>
      </w:r>
      <w:r w:rsidRPr="009D2474">
        <w:rPr>
          <w:rFonts w:ascii="Palatino Linotype" w:eastAsia="Palatino Linotype" w:hAnsi="Palatino Linotype" w:cs="Palatino Linotype"/>
          <w:color w:val="000000"/>
        </w:rPr>
        <w:t>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90156E" w:rsidRPr="009D2474" w:rsidRDefault="0090156E" w:rsidP="009D2474">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B84DF1" w:rsidRPr="009D2474" w:rsidRDefault="009D3673" w:rsidP="009D2474">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9D2474">
        <w:rPr>
          <w:rFonts w:ascii="Palatino Linotype" w:eastAsia="Palatino Linotype" w:hAnsi="Palatino Linotype" w:cs="Palatino Linotype"/>
        </w:rPr>
        <w:t xml:space="preserve">Finalmente, el escrito contiene las formalidades previstas por el artículo 180 último </w:t>
      </w:r>
      <w:r w:rsidR="00A227E2" w:rsidRPr="009D2474">
        <w:rPr>
          <w:rFonts w:ascii="Palatino Linotype" w:eastAsia="Palatino Linotype" w:hAnsi="Palatino Linotype" w:cs="Palatino Linotype"/>
        </w:rPr>
        <w:t>párrafo de la citada Ley de la M</w:t>
      </w:r>
      <w:r w:rsidRPr="009D2474">
        <w:rPr>
          <w:rFonts w:ascii="Palatino Linotype" w:eastAsia="Palatino Linotype" w:hAnsi="Palatino Linotype" w:cs="Palatino Linotype"/>
        </w:rPr>
        <w:t>ateria, por lo que es procedente que este Instituto conozca y resuelva el presente Recurso de Revisión.</w:t>
      </w:r>
    </w:p>
    <w:p w:rsidR="00B84DF1" w:rsidRPr="009D2474" w:rsidRDefault="00B84DF1" w:rsidP="009D2474">
      <w:pPr>
        <w:pBdr>
          <w:top w:val="nil"/>
          <w:left w:val="nil"/>
          <w:bottom w:val="nil"/>
          <w:right w:val="nil"/>
          <w:between w:val="nil"/>
        </w:pBdr>
        <w:spacing w:line="360" w:lineRule="auto"/>
        <w:ind w:right="49"/>
        <w:rPr>
          <w:rFonts w:ascii="Palatino Linotype" w:eastAsia="Palatino Linotype" w:hAnsi="Palatino Linotype" w:cs="Palatino Linotype"/>
          <w:color w:val="000000"/>
        </w:rPr>
      </w:pPr>
    </w:p>
    <w:p w:rsidR="00313EA6" w:rsidRPr="009D2474" w:rsidRDefault="00313EA6" w:rsidP="009D2474">
      <w:pPr>
        <w:pStyle w:val="Ttulo2"/>
        <w:tabs>
          <w:tab w:val="left" w:pos="284"/>
          <w:tab w:val="left" w:pos="426"/>
        </w:tabs>
        <w:spacing w:before="0" w:line="360" w:lineRule="auto"/>
        <w:rPr>
          <w:rFonts w:ascii="Palatino Linotype" w:hAnsi="Palatino Linotype"/>
          <w:b/>
          <w:bCs/>
          <w:color w:val="000000" w:themeColor="text1"/>
          <w:sz w:val="24"/>
          <w:szCs w:val="24"/>
        </w:rPr>
      </w:pPr>
      <w:bookmarkStart w:id="5" w:name="_heading=h.tyjcwt" w:colFirst="0" w:colLast="0"/>
      <w:bookmarkStart w:id="6" w:name="_Toc500360400"/>
      <w:bookmarkStart w:id="7" w:name="_Toc81233127"/>
      <w:bookmarkStart w:id="8" w:name="_Toc459174366"/>
      <w:bookmarkStart w:id="9" w:name="_Toc459659884"/>
      <w:bookmarkStart w:id="10" w:name="_Toc461687280"/>
      <w:bookmarkStart w:id="11" w:name="_Toc462771051"/>
      <w:bookmarkStart w:id="12" w:name="_Toc464139201"/>
      <w:bookmarkStart w:id="13" w:name="_Toc495427545"/>
      <w:bookmarkStart w:id="14" w:name="_Toc499296549"/>
      <w:bookmarkEnd w:id="5"/>
      <w:r w:rsidRPr="009D2474">
        <w:rPr>
          <w:rFonts w:ascii="Palatino Linotype" w:hAnsi="Palatino Linotype"/>
          <w:b/>
          <w:bCs/>
          <w:color w:val="000000" w:themeColor="text1"/>
          <w:sz w:val="24"/>
          <w:szCs w:val="24"/>
        </w:rPr>
        <w:t xml:space="preserve">TERCERO. </w:t>
      </w:r>
      <w:bookmarkEnd w:id="6"/>
      <w:bookmarkEnd w:id="7"/>
      <w:r w:rsidRPr="009D2474">
        <w:rPr>
          <w:rFonts w:ascii="Palatino Linotype" w:hAnsi="Palatino Linotype"/>
          <w:b/>
          <w:bCs/>
          <w:color w:val="000000" w:themeColor="text1"/>
          <w:sz w:val="24"/>
          <w:szCs w:val="24"/>
        </w:rPr>
        <w:t>De</w:t>
      </w:r>
      <w:r w:rsidR="0044042A" w:rsidRPr="009D2474">
        <w:rPr>
          <w:rFonts w:ascii="Palatino Linotype" w:hAnsi="Palatino Linotype"/>
          <w:b/>
          <w:bCs/>
          <w:color w:val="000000" w:themeColor="text1"/>
          <w:sz w:val="24"/>
          <w:szCs w:val="24"/>
        </w:rPr>
        <w:t xml:space="preserve"> las causales de sobreseimiento.</w:t>
      </w:r>
    </w:p>
    <w:p w:rsidR="00313EA6" w:rsidRPr="009D2474" w:rsidRDefault="00313EA6" w:rsidP="009D2474">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9D2474">
        <w:rPr>
          <w:rFonts w:ascii="Palatino Linotype" w:hAnsi="Palatino Linotype"/>
        </w:rPr>
        <w:t xml:space="preserve">Se solicitó </w:t>
      </w:r>
      <w:r w:rsidRPr="009D2474">
        <w:rPr>
          <w:rFonts w:ascii="Palatino Linotype" w:eastAsia="Palatino Linotype" w:hAnsi="Palatino Linotype" w:cs="Palatino Linotype"/>
        </w:rPr>
        <w:t>tener</w:t>
      </w:r>
      <w:r w:rsidRPr="009D2474">
        <w:rPr>
          <w:rFonts w:ascii="Palatino Linotype" w:hAnsi="Palatino Linotype"/>
        </w:rPr>
        <w:t xml:space="preserve"> </w:t>
      </w:r>
      <w:r w:rsidRPr="009D2474">
        <w:rPr>
          <w:rFonts w:ascii="Palatino Linotype" w:eastAsia="Palatino Linotype" w:hAnsi="Palatino Linotype" w:cs="Palatino Linotype"/>
        </w:rPr>
        <w:t>acceso</w:t>
      </w:r>
      <w:r w:rsidRPr="009D2474">
        <w:rPr>
          <w:rFonts w:ascii="Palatino Linotype" w:hAnsi="Palatino Linotype"/>
        </w:rPr>
        <w:t>, a la información que a continuación se simplifica:</w:t>
      </w:r>
    </w:p>
    <w:p w:rsidR="009D0F55" w:rsidRPr="009D2474" w:rsidRDefault="002F7D36" w:rsidP="009D2474">
      <w:pPr>
        <w:pStyle w:val="Prrafodelista"/>
        <w:numPr>
          <w:ilvl w:val="0"/>
          <w:numId w:val="35"/>
        </w:numPr>
        <w:spacing w:line="360" w:lineRule="auto"/>
        <w:ind w:right="567"/>
        <w:contextualSpacing w:val="0"/>
        <w:jc w:val="both"/>
        <w:rPr>
          <w:rFonts w:ascii="Palatino Linotype" w:eastAsia="Calibri" w:hAnsi="Palatino Linotype" w:cs="Arial"/>
          <w:b/>
          <w:lang w:val="es-AR"/>
        </w:rPr>
      </w:pPr>
      <w:r w:rsidRPr="009D2474">
        <w:rPr>
          <w:rFonts w:ascii="Palatino Linotype" w:eastAsia="Calibri" w:hAnsi="Palatino Linotype" w:cs="Arial"/>
          <w:b/>
        </w:rPr>
        <w:t>Recibos de nómina del Presidente Municipal, síndicos, regidores y directores de área de la segunda quincena del mes de abril de 2025.</w:t>
      </w:r>
    </w:p>
    <w:p w:rsidR="009D0F55" w:rsidRPr="009D2474" w:rsidRDefault="009D0F55" w:rsidP="009D2474">
      <w:pPr>
        <w:pStyle w:val="Prrafodelista"/>
        <w:spacing w:line="360" w:lineRule="auto"/>
        <w:ind w:left="1080" w:right="567"/>
        <w:contextualSpacing w:val="0"/>
        <w:jc w:val="both"/>
        <w:rPr>
          <w:rFonts w:ascii="Palatino Linotype" w:eastAsia="Calibri" w:hAnsi="Palatino Linotype" w:cs="Arial"/>
          <w:b/>
          <w:lang w:val="es-AR"/>
        </w:rPr>
      </w:pPr>
    </w:p>
    <w:p w:rsidR="00313EA6" w:rsidRPr="009D2474" w:rsidRDefault="00313EA6" w:rsidP="009D2474">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9D2474">
        <w:rPr>
          <w:rFonts w:ascii="Palatino Linotype" w:hAnsi="Palatino Linotype"/>
        </w:rPr>
        <w:t xml:space="preserve">Inconforme con la respuesta, el solicitante interpuso recurso de revisión </w:t>
      </w:r>
      <w:r w:rsidR="00945C3B" w:rsidRPr="009D2474">
        <w:rPr>
          <w:rFonts w:ascii="Palatino Linotype" w:hAnsi="Palatino Linotype"/>
        </w:rPr>
        <w:t xml:space="preserve">de manera general </w:t>
      </w:r>
      <w:r w:rsidR="00F11260" w:rsidRPr="009D2474">
        <w:rPr>
          <w:rFonts w:ascii="Palatino Linotype" w:hAnsi="Palatino Linotype"/>
        </w:rPr>
        <w:t>en contra de</w:t>
      </w:r>
      <w:r w:rsidR="00945C3B" w:rsidRPr="009D2474">
        <w:rPr>
          <w:rFonts w:ascii="Palatino Linotype" w:hAnsi="Palatino Linotype"/>
        </w:rPr>
        <w:t xml:space="preserve"> </w:t>
      </w:r>
      <w:r w:rsidR="002F7D36" w:rsidRPr="009D2474">
        <w:rPr>
          <w:rFonts w:ascii="Palatino Linotype" w:hAnsi="Palatino Linotype"/>
        </w:rPr>
        <w:t>indebida clasificación de nombres de servidores públicos</w:t>
      </w:r>
      <w:r w:rsidRPr="009D2474">
        <w:rPr>
          <w:rFonts w:ascii="Palatino Linotype" w:eastAsia="Palatino Linotype" w:hAnsi="Palatino Linotype" w:cs="Palatino Linotype"/>
          <w:color w:val="000000"/>
        </w:rPr>
        <w:t xml:space="preserve">. </w:t>
      </w:r>
      <w:r w:rsidRPr="009D2474">
        <w:rPr>
          <w:rFonts w:ascii="Palatino Linotype" w:hAnsi="Palatino Linotype"/>
        </w:rPr>
        <w:t xml:space="preserve">En dichas </w:t>
      </w:r>
      <w:r w:rsidRPr="009D2474">
        <w:rPr>
          <w:rFonts w:ascii="Palatino Linotype" w:hAnsi="Palatino Linotype"/>
        </w:rPr>
        <w:lastRenderedPageBreak/>
        <w:t>condiciones, la controversia a resolver en el presente proveído, corresponde a determinar si se actualiza la causal de procedencia previst</w:t>
      </w:r>
      <w:r w:rsidR="007147C0" w:rsidRPr="009D2474">
        <w:rPr>
          <w:rFonts w:ascii="Palatino Linotype" w:hAnsi="Palatino Linotype"/>
        </w:rPr>
        <w:t xml:space="preserve">a en el artículo 179, fracción </w:t>
      </w:r>
      <w:r w:rsidR="00F11260" w:rsidRPr="009D2474">
        <w:rPr>
          <w:rFonts w:ascii="Palatino Linotype" w:hAnsi="Palatino Linotype"/>
        </w:rPr>
        <w:t>I</w:t>
      </w:r>
      <w:r w:rsidR="002F7D36" w:rsidRPr="009D2474">
        <w:rPr>
          <w:rFonts w:ascii="Palatino Linotype" w:hAnsi="Palatino Linotype"/>
        </w:rPr>
        <w:t>I</w:t>
      </w:r>
      <w:r w:rsidRPr="009D2474">
        <w:rPr>
          <w:rFonts w:ascii="Palatino Linotype" w:hAnsi="Palatino Linotype"/>
        </w:rPr>
        <w:t xml:space="preserve">, de la Ley de Transparencia y Acceso a la Información Pública del Estado de México y Municipios; fracción que determina la hipótesis relativa a la </w:t>
      </w:r>
      <w:r w:rsidR="002F7D36" w:rsidRPr="009D2474">
        <w:rPr>
          <w:rFonts w:ascii="Palatino Linotype" w:hAnsi="Palatino Linotype"/>
        </w:rPr>
        <w:t>clasificación</w:t>
      </w:r>
      <w:r w:rsidR="007147C0" w:rsidRPr="009D2474">
        <w:rPr>
          <w:rFonts w:ascii="Palatino Linotype" w:hAnsi="Palatino Linotype"/>
        </w:rPr>
        <w:t xml:space="preserve"> de la información</w:t>
      </w:r>
      <w:r w:rsidR="00F11260" w:rsidRPr="009D2474">
        <w:rPr>
          <w:rFonts w:ascii="Palatino Linotype" w:hAnsi="Palatino Linotype"/>
        </w:rPr>
        <w:t>;</w:t>
      </w:r>
      <w:r w:rsidRPr="009D2474">
        <w:rPr>
          <w:rFonts w:ascii="Palatino Linotype" w:hAnsi="Palatino Linotype"/>
        </w:rPr>
        <w:t xml:space="preserve"> contexto del cual se dolió el Recurrente al momento de interponer su inconformidad. De modo tal que el presente recurso de revisión se abocará en determinar si el Sujeto Obligado con su respuesta ciertamente actualiza la causal de procedencia señalada. </w:t>
      </w:r>
    </w:p>
    <w:p w:rsidR="00313EA6" w:rsidRPr="009D2474" w:rsidRDefault="00313EA6" w:rsidP="009D2474">
      <w:pPr>
        <w:pStyle w:val="Prrafodelista"/>
        <w:spacing w:line="360" w:lineRule="auto"/>
        <w:rPr>
          <w:rFonts w:ascii="Palatino Linotype" w:hAnsi="Palatino Linotype"/>
        </w:rPr>
      </w:pPr>
    </w:p>
    <w:p w:rsidR="00313EA6" w:rsidRPr="009D2474" w:rsidRDefault="00313EA6" w:rsidP="009D2474">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9D2474">
        <w:rPr>
          <w:rFonts w:ascii="Palatino Linotype" w:hAnsi="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313EA6" w:rsidRPr="009D2474" w:rsidRDefault="00313EA6" w:rsidP="009D2474">
      <w:pPr>
        <w:pStyle w:val="Prrafodelista"/>
        <w:spacing w:line="360" w:lineRule="auto"/>
        <w:ind w:left="0"/>
        <w:jc w:val="both"/>
        <w:rPr>
          <w:rFonts w:ascii="Palatino Linotype" w:hAnsi="Palatino Linotype"/>
        </w:rPr>
      </w:pPr>
    </w:p>
    <w:p w:rsidR="00313EA6" w:rsidRPr="009D2474" w:rsidRDefault="00313EA6" w:rsidP="009D2474">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9D2474">
        <w:rPr>
          <w:rFonts w:ascii="Palatino Linotype" w:hAnsi="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313EA6" w:rsidRPr="009D2474" w:rsidRDefault="00313EA6" w:rsidP="009D2474">
      <w:pPr>
        <w:pStyle w:val="Prrafodelista"/>
        <w:spacing w:line="360" w:lineRule="auto"/>
        <w:rPr>
          <w:rFonts w:ascii="Palatino Linotype" w:hAnsi="Palatino Linotype"/>
        </w:rPr>
      </w:pPr>
    </w:p>
    <w:p w:rsidR="00313EA6" w:rsidRPr="009D2474" w:rsidRDefault="00313EA6" w:rsidP="009D2474">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9D2474">
        <w:rPr>
          <w:rFonts w:ascii="Palatino Linotype" w:hAnsi="Palatino Linotype"/>
        </w:rPr>
        <w:lastRenderedPageBreak/>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F867E2" w:rsidRPr="009D2474" w:rsidRDefault="00F867E2" w:rsidP="009D2474">
      <w:pPr>
        <w:pStyle w:val="Prrafodelista"/>
        <w:spacing w:line="360" w:lineRule="auto"/>
        <w:rPr>
          <w:rFonts w:ascii="Palatino Linotype" w:hAnsi="Palatino Linotype"/>
        </w:rPr>
      </w:pPr>
    </w:p>
    <w:p w:rsidR="007E1DBF" w:rsidRPr="009D2474" w:rsidRDefault="00313EA6" w:rsidP="009D2474">
      <w:pPr>
        <w:numPr>
          <w:ilvl w:val="0"/>
          <w:numId w:val="1"/>
        </w:numPr>
        <w:pBdr>
          <w:top w:val="nil"/>
          <w:left w:val="nil"/>
          <w:bottom w:val="nil"/>
          <w:right w:val="nil"/>
          <w:between w:val="nil"/>
        </w:pBdr>
        <w:spacing w:line="360" w:lineRule="auto"/>
        <w:ind w:left="0" w:right="49" w:firstLine="0"/>
        <w:jc w:val="both"/>
        <w:rPr>
          <w:rFonts w:ascii="Palatino Linotype" w:hAnsi="Palatino Linotype" w:cs="Arial"/>
        </w:rPr>
      </w:pPr>
      <w:bookmarkStart w:id="15" w:name="_Toc455991148"/>
      <w:bookmarkStart w:id="16" w:name="_Toc450120669"/>
      <w:bookmarkStart w:id="17" w:name="_Toc461555896"/>
      <w:bookmarkStart w:id="18" w:name="_Toc462154385"/>
      <w:bookmarkStart w:id="19" w:name="_Toc462660376"/>
      <w:bookmarkStart w:id="20" w:name="_Toc462660687"/>
      <w:bookmarkStart w:id="21" w:name="_Toc462660766"/>
      <w:bookmarkStart w:id="22" w:name="_Toc465264624"/>
      <w:bookmarkStart w:id="23" w:name="_Toc465264870"/>
      <w:bookmarkStart w:id="24" w:name="_Toc465266520"/>
      <w:bookmarkStart w:id="25" w:name="_Toc466302258"/>
      <w:bookmarkStart w:id="26" w:name="_Toc466371866"/>
      <w:bookmarkStart w:id="27" w:name="_Toc466371925"/>
      <w:bookmarkStart w:id="28" w:name="_Toc466377654"/>
      <w:bookmarkStart w:id="29" w:name="_Toc478549736"/>
      <w:bookmarkStart w:id="30" w:name="_Toc478572850"/>
      <w:bookmarkStart w:id="31" w:name="_Toc479238537"/>
      <w:bookmarkEnd w:id="8"/>
      <w:bookmarkEnd w:id="9"/>
      <w:bookmarkEnd w:id="10"/>
      <w:bookmarkEnd w:id="11"/>
      <w:bookmarkEnd w:id="12"/>
      <w:bookmarkEnd w:id="13"/>
      <w:bookmarkEnd w:id="14"/>
      <w:r w:rsidRPr="009D2474">
        <w:rPr>
          <w:rFonts w:ascii="Palatino Linotype" w:eastAsia="Palatino Linotype" w:hAnsi="Palatino Linotype" w:cs="Palatino Linotype"/>
        </w:rPr>
        <w:t xml:space="preserve">Dicho lo anterior es necesario </w:t>
      </w:r>
      <w:r w:rsidR="008D2D54" w:rsidRPr="009D2474">
        <w:rPr>
          <w:rFonts w:ascii="Palatino Linotype" w:eastAsia="Palatino Linotype" w:hAnsi="Palatino Linotype" w:cs="Palatino Linotype"/>
        </w:rPr>
        <w:t xml:space="preserve">traer a contexto los motivos de inconformidad; toda vez que estos </w:t>
      </w:r>
      <w:r w:rsidR="008D2D54" w:rsidRPr="009D2474">
        <w:rPr>
          <w:rFonts w:ascii="Palatino Linotype" w:hAnsi="Palatino Linotype"/>
        </w:rPr>
        <w:t>son</w:t>
      </w:r>
      <w:r w:rsidR="008D2D54" w:rsidRPr="009D2474">
        <w:rPr>
          <w:rFonts w:ascii="Palatino Linotype" w:eastAsia="Palatino Linotype" w:hAnsi="Palatino Linotype" w:cs="Palatino Linotype"/>
        </w:rPr>
        <w:t xml:space="preserve"> </w:t>
      </w:r>
      <w:r w:rsidR="008D2D54" w:rsidRPr="009D2474">
        <w:rPr>
          <w:rFonts w:ascii="Palatino Linotype" w:hAnsi="Palatino Linotype"/>
        </w:rPr>
        <w:t>tendentes</w:t>
      </w:r>
      <w:r w:rsidR="008D2D54" w:rsidRPr="009D2474">
        <w:rPr>
          <w:rFonts w:ascii="Palatino Linotype" w:eastAsia="Palatino Linotype" w:hAnsi="Palatino Linotype" w:cs="Palatino Linotype"/>
        </w:rPr>
        <w:t xml:space="preserve"> a impugnar la </w:t>
      </w:r>
      <w:r w:rsidR="002F7D36" w:rsidRPr="009D2474">
        <w:rPr>
          <w:rFonts w:ascii="Palatino Linotype" w:eastAsia="Palatino Linotype" w:hAnsi="Palatino Linotype" w:cs="Palatino Linotype"/>
        </w:rPr>
        <w:t>versión pública del soporte documental entregado; e</w:t>
      </w:r>
      <w:r w:rsidR="00C33FDB" w:rsidRPr="009D2474">
        <w:rPr>
          <w:rFonts w:ascii="Palatino Linotype" w:eastAsia="Palatino Linotype" w:hAnsi="Palatino Linotype" w:cs="Palatino Linotype"/>
        </w:rPr>
        <w:t>s decir que no se impugna el tipo de recibo de nómina que le fue remitido o su entrega de información incompleta, de lo que se d</w:t>
      </w:r>
      <w:r w:rsidR="0044042A" w:rsidRPr="009D2474">
        <w:rPr>
          <w:rFonts w:ascii="Palatino Linotype" w:eastAsia="Palatino Linotype" w:hAnsi="Palatino Linotype" w:cs="Palatino Linotype"/>
        </w:rPr>
        <w:t xml:space="preserve">educe se encuentra </w:t>
      </w:r>
      <w:r w:rsidR="00C33FDB" w:rsidRPr="009D2474">
        <w:rPr>
          <w:rFonts w:ascii="Palatino Linotype" w:eastAsia="Palatino Linotype" w:hAnsi="Palatino Linotype" w:cs="Palatino Linotype"/>
        </w:rPr>
        <w:t xml:space="preserve">conforme con lo entregado, exceptuando </w:t>
      </w:r>
      <w:r w:rsidR="0044042A" w:rsidRPr="009D2474">
        <w:rPr>
          <w:rFonts w:ascii="Palatino Linotype" w:eastAsia="Palatino Linotype" w:hAnsi="Palatino Linotype" w:cs="Palatino Linotype"/>
        </w:rPr>
        <w:t>el hecho de</w:t>
      </w:r>
      <w:r w:rsidR="00C33FDB" w:rsidRPr="009D2474">
        <w:rPr>
          <w:rFonts w:ascii="Palatino Linotype" w:eastAsia="Palatino Linotype" w:hAnsi="Palatino Linotype" w:cs="Palatino Linotype"/>
        </w:rPr>
        <w:t xml:space="preserve"> haberse testado el nombre de los servidores públicos.</w:t>
      </w:r>
    </w:p>
    <w:p w:rsidR="00ED457F" w:rsidRPr="009D2474" w:rsidRDefault="00ED457F" w:rsidP="009D2474">
      <w:pPr>
        <w:pStyle w:val="Prrafodelista"/>
        <w:spacing w:line="360" w:lineRule="auto"/>
        <w:rPr>
          <w:rFonts w:ascii="Palatino Linotype" w:hAnsi="Palatino Linotype" w:cs="Arial"/>
        </w:rPr>
      </w:pPr>
    </w:p>
    <w:p w:rsidR="004E489A" w:rsidRPr="009D2474" w:rsidRDefault="004E489A" w:rsidP="009D2474">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9D2474">
        <w:rPr>
          <w:rFonts w:ascii="Palatino Linotype" w:eastAsia="Palatino Linotype" w:hAnsi="Palatino Linotype" w:cs="Palatino Linotype"/>
        </w:rPr>
        <w:t xml:space="preserve">De tal forma que, la parte de la solicitud </w:t>
      </w:r>
      <w:r w:rsidRPr="009D2474">
        <w:rPr>
          <w:rFonts w:ascii="Palatino Linotype" w:eastAsia="Palatino Linotype" w:hAnsi="Palatino Linotype" w:cs="Palatino Linotype"/>
          <w:u w:val="single"/>
        </w:rPr>
        <w:t xml:space="preserve">o de lo entregado en respuesta, </w:t>
      </w:r>
      <w:r w:rsidRPr="009D2474">
        <w:rPr>
          <w:rFonts w:ascii="Palatino Linotype" w:eastAsia="Palatino Linotype" w:hAnsi="Palatino Linotype" w:cs="Palatino Linotype"/>
        </w:rPr>
        <w:t xml:space="preserve">que no fue impugnada debe declararse consentida, toda vez que al no realizar manifestaciones de inconformidad; no pueden producirse efectos jurídicos tendentes a revocar, confirmar o modificar el acto reclamado, ya que no realizó manifestación alguna al respecto. </w:t>
      </w:r>
    </w:p>
    <w:p w:rsidR="004E489A" w:rsidRPr="009D2474" w:rsidRDefault="004E489A" w:rsidP="009D2474">
      <w:pPr>
        <w:pStyle w:val="Prrafodelista"/>
        <w:spacing w:line="360" w:lineRule="auto"/>
        <w:rPr>
          <w:rFonts w:ascii="Palatino Linotype" w:eastAsia="Palatino Linotype" w:hAnsi="Palatino Linotype" w:cs="Palatino Linotype"/>
        </w:rPr>
      </w:pPr>
    </w:p>
    <w:p w:rsidR="004E489A" w:rsidRPr="009D2474" w:rsidRDefault="004E489A" w:rsidP="009D2474">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9D2474">
        <w:rPr>
          <w:rFonts w:ascii="Palatino Linotype" w:eastAsia="Palatino Linotype" w:hAnsi="Palatino Linotype" w:cs="Palatino Linotype"/>
        </w:rPr>
        <w:lastRenderedPageBreak/>
        <w:t>Sirve de sustento, la tesis jurisprudencial número VI.3o.C. J/60, publicada en el Semanario Judicial de la Federación y su Gaceta bajo el número de registro 176,608 que a la letra dice:</w:t>
      </w:r>
    </w:p>
    <w:p w:rsidR="004E489A" w:rsidRPr="009D2474" w:rsidRDefault="004E489A" w:rsidP="009D2474">
      <w:pPr>
        <w:tabs>
          <w:tab w:val="left" w:pos="851"/>
        </w:tabs>
        <w:spacing w:line="360" w:lineRule="auto"/>
        <w:ind w:left="851" w:right="616"/>
        <w:jc w:val="both"/>
        <w:rPr>
          <w:rFonts w:ascii="Palatino Linotype" w:eastAsia="Palatino Linotype" w:hAnsi="Palatino Linotype" w:cs="Palatino Linotype"/>
          <w:i/>
        </w:rPr>
      </w:pPr>
      <w:r w:rsidRPr="009D2474">
        <w:rPr>
          <w:rFonts w:ascii="Palatino Linotype" w:eastAsia="Palatino Linotype" w:hAnsi="Palatino Linotype" w:cs="Palatino Linotype"/>
          <w:b/>
          <w:i/>
        </w:rPr>
        <w:t xml:space="preserve">“ACTOS CONSENTIDOS. SON LOS QUE NO SE IMPUGNAN MEDIANTE EL RECURSO IDÓNEO. </w:t>
      </w:r>
      <w:r w:rsidRPr="009D2474">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4E489A" w:rsidRPr="009D2474" w:rsidRDefault="004E489A" w:rsidP="009D2474">
      <w:pPr>
        <w:tabs>
          <w:tab w:val="left" w:pos="851"/>
        </w:tabs>
        <w:spacing w:line="360" w:lineRule="auto"/>
        <w:ind w:left="851" w:right="616"/>
        <w:jc w:val="both"/>
        <w:rPr>
          <w:rFonts w:ascii="Palatino Linotype" w:eastAsia="Palatino Linotype" w:hAnsi="Palatino Linotype" w:cs="Palatino Linotype"/>
          <w:i/>
        </w:rPr>
      </w:pPr>
    </w:p>
    <w:p w:rsidR="004E489A" w:rsidRPr="009D2474" w:rsidRDefault="004E489A" w:rsidP="009D2474">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9D2474">
        <w:rPr>
          <w:rFonts w:ascii="Palatino Linotype" w:eastAsia="Palatino Linotype" w:hAnsi="Palatino Linotype" w:cs="Palatino Linotype"/>
        </w:rPr>
        <w:t xml:space="preserve">De la interpretación del criterio antes citado, se advierte que cuando el particular impugnó la respuesta del </w:t>
      </w:r>
      <w:r w:rsidRPr="009D2474">
        <w:rPr>
          <w:rFonts w:ascii="Palatino Linotype" w:eastAsia="Palatino Linotype" w:hAnsi="Palatino Linotype" w:cs="Palatino Linotype"/>
          <w:b/>
        </w:rPr>
        <w:t>SUJETO OBLIGADO</w:t>
      </w:r>
      <w:r w:rsidRPr="009D2474">
        <w:rPr>
          <w:rFonts w:ascii="Palatino Linotype" w:eastAsia="Palatino Linotype" w:hAnsi="Palatino Linotype" w:cs="Palatino Linotype"/>
        </w:rPr>
        <w:t xml:space="preserve">, no expresó razón o motivo de inconformidad en contra de todos los rubros solicitados, por tanto estos deben declararse atendidos, pues se entiende que </w:t>
      </w:r>
      <w:r w:rsidRPr="009D2474">
        <w:rPr>
          <w:rFonts w:ascii="Palatino Linotype" w:eastAsia="Palatino Linotype" w:hAnsi="Palatino Linotype" w:cs="Palatino Linotype"/>
          <w:b/>
        </w:rPr>
        <w:t>EL RECURRENTE</w:t>
      </w:r>
      <w:r w:rsidRPr="009D2474">
        <w:rPr>
          <w:rFonts w:ascii="Palatino Linotype" w:eastAsia="Palatino Linotype" w:hAnsi="Palatino Linotype" w:cs="Palatino Linotype"/>
        </w:rPr>
        <w:t xml:space="preserve"> está conforme con la respuesta proporcionada por </w:t>
      </w:r>
      <w:r w:rsidRPr="009D2474">
        <w:rPr>
          <w:rFonts w:ascii="Palatino Linotype" w:eastAsia="Palatino Linotype" w:hAnsi="Palatino Linotype" w:cs="Palatino Linotype"/>
          <w:b/>
        </w:rPr>
        <w:t>EL SUJETO OBLIGADO,</w:t>
      </w:r>
      <w:r w:rsidRPr="009D2474">
        <w:rPr>
          <w:rFonts w:ascii="Palatino Linotype" w:eastAsia="Palatino Linotype" w:hAnsi="Palatino Linotype" w:cs="Palatino Linotype"/>
        </w:rPr>
        <w:t xml:space="preserve"> al no contravenir la misma. </w:t>
      </w:r>
    </w:p>
    <w:p w:rsidR="004E489A" w:rsidRPr="009D2474" w:rsidRDefault="004E489A" w:rsidP="009D2474">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4E489A" w:rsidRPr="009D2474" w:rsidRDefault="004E489A" w:rsidP="009D2474">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9D2474">
        <w:rPr>
          <w:rFonts w:ascii="Palatino Linotype" w:eastAsia="Palatino Linotype" w:hAnsi="Palatino Linotype" w:cs="Palatino Linotype"/>
        </w:rPr>
        <w:t>Atento a ello, es importante traer a contexto la Tesis Jurisprudencial Número 3ª./J.7/91, Publicada en el Semanario Judicial de la Federación y su Gaceta bajo el número de registro 174,177, que establece lo siguiente:</w:t>
      </w:r>
    </w:p>
    <w:p w:rsidR="004E489A" w:rsidRPr="009D2474" w:rsidRDefault="004E489A" w:rsidP="009D2474">
      <w:pPr>
        <w:tabs>
          <w:tab w:val="left" w:pos="7937"/>
          <w:tab w:val="left" w:pos="8222"/>
        </w:tabs>
        <w:spacing w:line="360" w:lineRule="auto"/>
        <w:ind w:left="851" w:right="901"/>
        <w:jc w:val="both"/>
        <w:rPr>
          <w:rFonts w:ascii="Palatino Linotype" w:eastAsia="Palatino Linotype" w:hAnsi="Palatino Linotype" w:cs="Palatino Linotype"/>
          <w:i/>
        </w:rPr>
      </w:pPr>
      <w:r w:rsidRPr="009D2474">
        <w:rPr>
          <w:rFonts w:ascii="Palatino Linotype" w:eastAsia="Palatino Linotype" w:hAnsi="Palatino Linotype" w:cs="Palatino Linotype"/>
          <w:b/>
          <w:i/>
        </w:rPr>
        <w:t xml:space="preserve">“REVISIÓN EN AMPARO. LOS RESOLUTIVOS NO COMBATIDOS DEBEN DECLARARSE FIRMES. </w:t>
      </w:r>
      <w:r w:rsidRPr="009D2474">
        <w:rPr>
          <w:rFonts w:ascii="Palatino Linotype" w:eastAsia="Palatino Linotype" w:hAnsi="Palatino Linotype" w:cs="Palatino Linotype"/>
          <w:i/>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w:t>
      </w:r>
      <w:r w:rsidRPr="009D2474">
        <w:rPr>
          <w:rFonts w:ascii="Palatino Linotype" w:eastAsia="Palatino Linotype" w:hAnsi="Palatino Linotype" w:cs="Palatino Linotype"/>
          <w:i/>
        </w:rPr>
        <w:lastRenderedPageBreak/>
        <w:t>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4E489A" w:rsidRPr="009D2474" w:rsidRDefault="004E489A" w:rsidP="009D2474">
      <w:pPr>
        <w:tabs>
          <w:tab w:val="left" w:pos="7937"/>
          <w:tab w:val="left" w:pos="8222"/>
        </w:tabs>
        <w:spacing w:line="360" w:lineRule="auto"/>
        <w:ind w:left="851" w:right="901"/>
        <w:jc w:val="both"/>
        <w:rPr>
          <w:rFonts w:ascii="Palatino Linotype" w:eastAsia="Palatino Linotype" w:hAnsi="Palatino Linotype" w:cs="Palatino Linotype"/>
          <w:i/>
        </w:rPr>
      </w:pPr>
    </w:p>
    <w:p w:rsidR="004E489A" w:rsidRPr="009D2474" w:rsidRDefault="004E489A" w:rsidP="009D2474">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9D2474">
        <w:rPr>
          <w:rFonts w:ascii="Palatino Linotype" w:eastAsia="Palatino Linotype" w:hAnsi="Palatino Linotype" w:cs="Palatino Linotype"/>
        </w:rPr>
        <w:t xml:space="preserve">En consecuencia que los demás fundamentos remitidos en respuesta. Se consideran un acto consentido y, en consecuencia, este Órgano Resolutor no entrará al estudio del mismo por las razones hasta aquí expuestas. </w:t>
      </w:r>
    </w:p>
    <w:p w:rsidR="004E489A" w:rsidRPr="009D2474" w:rsidRDefault="004E489A" w:rsidP="009D2474">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4E489A" w:rsidRPr="009D2474" w:rsidRDefault="004E489A" w:rsidP="009D2474">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9D2474">
        <w:rPr>
          <w:rFonts w:ascii="Palatino Linotype" w:eastAsia="Palatino Linotype" w:hAnsi="Palatino Linotype" w:cs="Palatino Linotype"/>
        </w:rPr>
        <w:t xml:space="preserve">Ahora bien, respecto del rubro impugnado, este se advierte parcialmente procedente por las siguientes consideraciones: que ciertamente, solo en </w:t>
      </w:r>
      <w:r w:rsidR="00AF048E" w:rsidRPr="009D2474">
        <w:rPr>
          <w:rFonts w:ascii="Palatino Linotype" w:eastAsia="Palatino Linotype" w:hAnsi="Palatino Linotype" w:cs="Palatino Linotype"/>
        </w:rPr>
        <w:t>1</w:t>
      </w:r>
      <w:r w:rsidRPr="009D2474">
        <w:rPr>
          <w:rFonts w:ascii="Palatino Linotype" w:eastAsia="Palatino Linotype" w:hAnsi="Palatino Linotype" w:cs="Palatino Linotype"/>
        </w:rPr>
        <w:t xml:space="preserve"> </w:t>
      </w:r>
      <w:r w:rsidR="00AF048E" w:rsidRPr="009D2474">
        <w:rPr>
          <w:rFonts w:ascii="Palatino Linotype" w:eastAsia="Palatino Linotype" w:hAnsi="Palatino Linotype" w:cs="Palatino Linotype"/>
        </w:rPr>
        <w:t>de los 31 recibos de nómina entregados, se puede observar el nombre del servidor público.</w:t>
      </w:r>
    </w:p>
    <w:p w:rsidR="004E489A" w:rsidRPr="009D2474" w:rsidRDefault="004E489A" w:rsidP="009D2474">
      <w:pPr>
        <w:pStyle w:val="Prrafodelista"/>
        <w:spacing w:line="360" w:lineRule="auto"/>
        <w:rPr>
          <w:rFonts w:ascii="Palatino Linotype" w:hAnsi="Palatino Linotype" w:cs="Arial"/>
        </w:rPr>
      </w:pPr>
    </w:p>
    <w:p w:rsidR="004E489A" w:rsidRPr="009D2474" w:rsidRDefault="00AF048E" w:rsidP="009D2474">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9D2474">
        <w:rPr>
          <w:rFonts w:ascii="Palatino Linotype" w:eastAsia="Palatino Linotype" w:hAnsi="Palatino Linotype" w:cs="Palatino Linotype"/>
        </w:rPr>
        <w:t xml:space="preserve">Motivo por el cual, una vez interpuesto el recurso de revisión, el </w:t>
      </w:r>
      <w:r w:rsidRPr="009D2474">
        <w:rPr>
          <w:rFonts w:ascii="Palatino Linotype" w:eastAsia="Palatino Linotype" w:hAnsi="Palatino Linotype" w:cs="Palatino Linotype"/>
          <w:b/>
        </w:rPr>
        <w:t>SUJETO OBLIGADO</w:t>
      </w:r>
      <w:r w:rsidRPr="009D2474">
        <w:rPr>
          <w:rFonts w:ascii="Palatino Linotype" w:eastAsia="Palatino Linotype" w:hAnsi="Palatino Linotype" w:cs="Palatino Linotype"/>
        </w:rPr>
        <w:t xml:space="preserve"> en calidad de informe justificado, modificó su respuesta, aceptando que ciertamente lo entregado se encontraba deficiente; no obstante que no se trató de una clasificación indebida del dato, sino que obedeció a que el archivo electrónico se encontraba dañado, motivo por el cual se reenviaron los documentos de referencia con los nombres visibles.</w:t>
      </w:r>
    </w:p>
    <w:p w:rsidR="00AF048E" w:rsidRPr="009D2474" w:rsidRDefault="00AF048E" w:rsidP="009D2474">
      <w:pPr>
        <w:pStyle w:val="Prrafodelista"/>
        <w:spacing w:line="360" w:lineRule="auto"/>
        <w:rPr>
          <w:rFonts w:ascii="Palatino Linotype" w:eastAsia="Palatino Linotype" w:hAnsi="Palatino Linotype" w:cs="Palatino Linotype"/>
        </w:rPr>
      </w:pPr>
    </w:p>
    <w:p w:rsidR="00AF048E" w:rsidRPr="009D2474" w:rsidRDefault="00AF048E" w:rsidP="009D2474">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9D2474">
        <w:rPr>
          <w:rFonts w:ascii="Palatino Linotype" w:eastAsia="Palatino Linotype" w:hAnsi="Palatino Linotype" w:cs="Palatino Linotype"/>
        </w:rPr>
        <w:t>Al respecto, del análisis al documento electrónico remitido de manera inicial, se advierte que ciertamente el nombre de los servidores públicos no fue objeto de clasificación; sino que efectivamente corresponde al hecho de que el documento, se encuentra en formato abierto en un formato PDF corrupto</w:t>
      </w:r>
      <w:r w:rsidR="00CD36ED">
        <w:rPr>
          <w:rFonts w:ascii="Palatino Linotype" w:eastAsia="Palatino Linotype" w:hAnsi="Palatino Linotype" w:cs="Palatino Linotype"/>
        </w:rPr>
        <w:t xml:space="preserve">; pudiendo ser visibles los nombres si se abre desde el </w:t>
      </w:r>
      <w:r w:rsidR="00CD36ED" w:rsidRPr="00CD36ED">
        <w:rPr>
          <w:rFonts w:ascii="Palatino Linotype" w:eastAsia="Palatino Linotype" w:hAnsi="Palatino Linotype" w:cs="Palatino Linotype"/>
          <w:i/>
        </w:rPr>
        <w:lastRenderedPageBreak/>
        <w:t>software</w:t>
      </w:r>
      <w:r w:rsidR="00CD36ED">
        <w:rPr>
          <w:rFonts w:ascii="Palatino Linotype" w:eastAsia="Palatino Linotype" w:hAnsi="Palatino Linotype" w:cs="Palatino Linotype"/>
        </w:rPr>
        <w:t xml:space="preserve"> adecuado, no obstante los solicitantes no están obligados a contar con determinado programa para el ejercicio de su derecho humano de acceso a la información pública.</w:t>
      </w:r>
    </w:p>
    <w:p w:rsidR="00AF048E" w:rsidRPr="009D2474" w:rsidRDefault="00AF048E" w:rsidP="009D2474">
      <w:pPr>
        <w:pStyle w:val="Prrafodelista"/>
        <w:spacing w:line="360" w:lineRule="auto"/>
        <w:rPr>
          <w:rFonts w:ascii="Palatino Linotype" w:eastAsia="Palatino Linotype" w:hAnsi="Palatino Linotype" w:cs="Palatino Linotype"/>
        </w:rPr>
      </w:pPr>
    </w:p>
    <w:p w:rsidR="00AF048E" w:rsidRPr="009D2474" w:rsidRDefault="00CD36ED" w:rsidP="009D2474">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Pr>
          <w:rFonts w:ascii="Palatino Linotype" w:eastAsia="Palatino Linotype" w:hAnsi="Palatino Linotype" w:cs="Palatino Linotype"/>
        </w:rPr>
        <w:t>Por otro lado</w:t>
      </w:r>
      <w:r w:rsidR="00AF048E" w:rsidRPr="009D2474">
        <w:rPr>
          <w:rFonts w:ascii="Palatino Linotype" w:eastAsia="Palatino Linotype" w:hAnsi="Palatino Linotype" w:cs="Palatino Linotype"/>
        </w:rPr>
        <w:t>, del análisis al</w:t>
      </w:r>
      <w:r w:rsidR="00FD719C" w:rsidRPr="009D2474">
        <w:rPr>
          <w:rFonts w:ascii="Palatino Linotype" w:eastAsia="Palatino Linotype" w:hAnsi="Palatino Linotype" w:cs="Palatino Linotype"/>
        </w:rPr>
        <w:t xml:space="preserve"> documento remitido en informe justificado, se desprende que corresponde a un documento </w:t>
      </w:r>
      <w:r w:rsidR="0044042A" w:rsidRPr="009D2474">
        <w:rPr>
          <w:rFonts w:ascii="Palatino Linotype" w:eastAsia="Palatino Linotype" w:hAnsi="Palatino Linotype" w:cs="Palatino Linotype"/>
        </w:rPr>
        <w:t xml:space="preserve">igualmente </w:t>
      </w:r>
      <w:r w:rsidR="00FD719C" w:rsidRPr="009D2474">
        <w:rPr>
          <w:rFonts w:ascii="Palatino Linotype" w:eastAsia="Palatino Linotype" w:hAnsi="Palatino Linotype" w:cs="Palatino Linotype"/>
        </w:rPr>
        <w:t>en formato PDF</w:t>
      </w:r>
      <w:r w:rsidR="0044042A" w:rsidRPr="009D2474">
        <w:rPr>
          <w:rFonts w:ascii="Palatino Linotype" w:eastAsia="Palatino Linotype" w:hAnsi="Palatino Linotype" w:cs="Palatino Linotype"/>
        </w:rPr>
        <w:t>,</w:t>
      </w:r>
      <w:r w:rsidR="00FD719C" w:rsidRPr="009D2474">
        <w:rPr>
          <w:rFonts w:ascii="Palatino Linotype" w:eastAsia="Palatino Linotype" w:hAnsi="Palatino Linotype" w:cs="Palatino Linotype"/>
        </w:rPr>
        <w:t xml:space="preserve"> con otra calidad de imagen menor; pero que sin embargo ofrece la información objeto de impugnación, a saber, los nombres de los servidores públicos</w:t>
      </w:r>
      <w:r>
        <w:rPr>
          <w:rFonts w:ascii="Palatino Linotype" w:eastAsia="Palatino Linotype" w:hAnsi="Palatino Linotype" w:cs="Palatino Linotype"/>
        </w:rPr>
        <w:t xml:space="preserve"> con independencia del </w:t>
      </w:r>
      <w:r w:rsidRPr="00CD36ED">
        <w:rPr>
          <w:rFonts w:ascii="Palatino Linotype" w:eastAsia="Palatino Linotype" w:hAnsi="Palatino Linotype" w:cs="Palatino Linotype"/>
          <w:i/>
        </w:rPr>
        <w:t>software</w:t>
      </w:r>
      <w:r>
        <w:rPr>
          <w:rFonts w:ascii="Palatino Linotype" w:eastAsia="Palatino Linotype" w:hAnsi="Palatino Linotype" w:cs="Palatino Linotype"/>
        </w:rPr>
        <w:t>, programa o aplicación en que se abra o visualice</w:t>
      </w:r>
      <w:r w:rsidR="00FD719C" w:rsidRPr="009D2474">
        <w:rPr>
          <w:rFonts w:ascii="Palatino Linotype" w:eastAsia="Palatino Linotype" w:hAnsi="Palatino Linotype" w:cs="Palatino Linotype"/>
        </w:rPr>
        <w:t>, de tal forma que fue subsanado el motivo de inconformidad.</w:t>
      </w:r>
    </w:p>
    <w:p w:rsidR="00FD719C" w:rsidRPr="009D2474" w:rsidRDefault="00FD719C" w:rsidP="009D2474">
      <w:pPr>
        <w:pStyle w:val="Prrafodelista"/>
        <w:spacing w:line="360" w:lineRule="auto"/>
        <w:rPr>
          <w:rFonts w:ascii="Palatino Linotype" w:eastAsia="Palatino Linotype" w:hAnsi="Palatino Linotype" w:cs="Palatino Linotype"/>
        </w:rPr>
      </w:pPr>
    </w:p>
    <w:p w:rsidR="00FD719C" w:rsidRPr="009D2474" w:rsidRDefault="00FD719C" w:rsidP="009D2474">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9D2474">
        <w:rPr>
          <w:rFonts w:ascii="Palatino Linotype" w:eastAsia="Palatino Linotype" w:hAnsi="Palatino Linotype" w:cs="Palatino Linotype"/>
        </w:rPr>
        <w:t xml:space="preserve">Asimismo no pasa desapercibido que no se estima necesaria la generación de un Acuerdo que sustente la versión pública de la información entregada; toda vez que desde la respuesta inicial </w:t>
      </w:r>
      <w:r w:rsidR="00F85D77" w:rsidRPr="009D2474">
        <w:rPr>
          <w:rFonts w:ascii="Palatino Linotype" w:eastAsia="Palatino Linotype" w:hAnsi="Palatino Linotype" w:cs="Palatino Linotype"/>
        </w:rPr>
        <w:t>se entregó un Acuerdo emitido por el Comité de Transparencia, en donde se aprobó la clasificación de los siguientes datos:</w:t>
      </w:r>
    </w:p>
    <w:p w:rsidR="00F85D77" w:rsidRPr="009D2474" w:rsidRDefault="00F85D77" w:rsidP="009D2474">
      <w:pPr>
        <w:spacing w:line="360" w:lineRule="auto"/>
        <w:jc w:val="center"/>
        <w:rPr>
          <w:rFonts w:ascii="Palatino Linotype" w:eastAsia="Palatino Linotype" w:hAnsi="Palatino Linotype" w:cs="Palatino Linotype"/>
        </w:rPr>
      </w:pPr>
      <w:r w:rsidRPr="009D2474">
        <w:rPr>
          <w:rFonts w:ascii="Palatino Linotype" w:eastAsia="Palatino Linotype" w:hAnsi="Palatino Linotype" w:cs="Palatino Linotype"/>
          <w:noProof/>
          <w:lang w:val="es-MX" w:eastAsia="es-MX"/>
        </w:rPr>
        <w:lastRenderedPageBreak/>
        <w:drawing>
          <wp:inline distT="0" distB="0" distL="0" distR="0" wp14:anchorId="2A65D746" wp14:editId="2961CEB1">
            <wp:extent cx="5265793" cy="442569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20837" cy="4471958"/>
                    </a:xfrm>
                    <a:prstGeom prst="rect">
                      <a:avLst/>
                    </a:prstGeom>
                  </pic:spPr>
                </pic:pic>
              </a:graphicData>
            </a:graphic>
          </wp:inline>
        </w:drawing>
      </w:r>
    </w:p>
    <w:p w:rsidR="0044042A" w:rsidRPr="009D2474" w:rsidRDefault="0044042A" w:rsidP="009D2474">
      <w:pPr>
        <w:spacing w:line="360" w:lineRule="auto"/>
        <w:jc w:val="center"/>
        <w:rPr>
          <w:rFonts w:ascii="Palatino Linotype" w:eastAsia="Palatino Linotype" w:hAnsi="Palatino Linotype" w:cs="Palatino Linotype"/>
        </w:rPr>
      </w:pPr>
    </w:p>
    <w:p w:rsidR="00F85D77" w:rsidRPr="009D2474" w:rsidRDefault="00F85D77" w:rsidP="009D2474">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9D2474">
        <w:rPr>
          <w:rFonts w:ascii="Palatino Linotype" w:eastAsia="Palatino Linotype" w:hAnsi="Palatino Linotype" w:cs="Palatino Linotype"/>
        </w:rPr>
        <w:t xml:space="preserve">Lo anterior adicionalmente confirma, lo informado por el </w:t>
      </w:r>
      <w:r w:rsidRPr="009D2474">
        <w:rPr>
          <w:rFonts w:ascii="Palatino Linotype" w:eastAsia="Palatino Linotype" w:hAnsi="Palatino Linotype" w:cs="Palatino Linotype"/>
          <w:b/>
        </w:rPr>
        <w:t>SUJETO OBLIGADO</w:t>
      </w:r>
      <w:r w:rsidRPr="009D2474">
        <w:rPr>
          <w:rFonts w:ascii="Palatino Linotype" w:eastAsia="Palatino Linotype" w:hAnsi="Palatino Linotype" w:cs="Palatino Linotype"/>
        </w:rPr>
        <w:t xml:space="preserve"> en informe justificado, relativo a que el nombre de los servidores públicos, no fue </w:t>
      </w:r>
      <w:r w:rsidR="0044042A" w:rsidRPr="009D2474">
        <w:rPr>
          <w:rFonts w:ascii="Palatino Linotype" w:eastAsia="Palatino Linotype" w:hAnsi="Palatino Linotype" w:cs="Palatino Linotype"/>
        </w:rPr>
        <w:t>objeto de clasificación</w:t>
      </w:r>
      <w:r w:rsidRPr="009D2474">
        <w:rPr>
          <w:rFonts w:ascii="Palatino Linotype" w:eastAsia="Palatino Linotype" w:hAnsi="Palatino Linotype" w:cs="Palatino Linotype"/>
        </w:rPr>
        <w:t>; sino que se trató de un error en el archivo electrónico.</w:t>
      </w:r>
    </w:p>
    <w:p w:rsidR="00F85D77" w:rsidRPr="009D2474" w:rsidRDefault="00F85D77" w:rsidP="009D2474">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44042A" w:rsidRPr="009D2474" w:rsidRDefault="0044042A" w:rsidP="009D2474">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9D2474">
        <w:rPr>
          <w:rFonts w:ascii="Palatino Linotype" w:eastAsia="Palatino Linotype" w:hAnsi="Palatino Linotype" w:cs="Palatino Linotype"/>
        </w:rPr>
        <w:t>Por otro lado, no pasa desapercibido que del p</w:t>
      </w:r>
      <w:r w:rsidRPr="009D2474">
        <w:rPr>
          <w:rFonts w:ascii="Palatino Linotype" w:eastAsia="Palatino Linotype" w:hAnsi="Palatino Linotype" w:cs="Palatino Linotype"/>
          <w:color w:val="000000"/>
        </w:rPr>
        <w:t xml:space="preserve">ronunciamiento referido en informe justificado y de la información que contienen los recibos entregados, </w:t>
      </w:r>
      <w:r w:rsidRPr="009D2474">
        <w:rPr>
          <w:rFonts w:ascii="Palatino Linotype" w:hAnsi="Palatino Linotype"/>
          <w:color w:val="000000" w:themeColor="text1"/>
        </w:rPr>
        <w:t xml:space="preserve">este Órgano </w:t>
      </w:r>
      <w:r w:rsidRPr="009D2474">
        <w:rPr>
          <w:rFonts w:ascii="Palatino Linotype" w:eastAsia="Palatino Linotype" w:hAnsi="Palatino Linotype" w:cs="Palatino Linotype"/>
        </w:rPr>
        <w:t>Garante</w:t>
      </w:r>
      <w:r w:rsidRPr="009D2474">
        <w:rPr>
          <w:rFonts w:ascii="Palatino Linotype" w:hAnsi="Palatino Linotype"/>
          <w:color w:val="000000" w:themeColor="text1"/>
        </w:rPr>
        <w:t xml:space="preserve"> no se encuentra facultado para dudar de su veracidad</w:t>
      </w:r>
      <w:r w:rsidRPr="009D2474">
        <w:rPr>
          <w:rFonts w:ascii="Palatino Linotype" w:eastAsia="Palatino Linotype" w:hAnsi="Palatino Linotype" w:cs="Palatino Linotype"/>
          <w:color w:val="000000"/>
        </w:rPr>
        <w:t xml:space="preserve"> de la </w:t>
      </w:r>
      <w:r w:rsidRPr="009D2474">
        <w:rPr>
          <w:rFonts w:ascii="Palatino Linotype" w:eastAsia="MS Mincho" w:hAnsi="Palatino Linotype" w:cs="Arial"/>
        </w:rPr>
        <w:t>información</w:t>
      </w:r>
      <w:r w:rsidRPr="009D2474">
        <w:rPr>
          <w:rFonts w:ascii="Palatino Linotype" w:eastAsia="Palatino Linotype" w:hAnsi="Palatino Linotype" w:cs="Palatino Linotype"/>
          <w:color w:val="000000"/>
        </w:rPr>
        <w:t xml:space="preserve"> que le fue entregada al hoy </w:t>
      </w:r>
      <w:r w:rsidRPr="009D2474">
        <w:rPr>
          <w:rFonts w:ascii="Palatino Linotype" w:eastAsia="Palatino Linotype" w:hAnsi="Palatino Linotype" w:cs="Palatino Linotype"/>
          <w:b/>
          <w:color w:val="000000"/>
        </w:rPr>
        <w:t>RECURRENTE</w:t>
      </w:r>
      <w:r w:rsidRPr="009D2474">
        <w:rPr>
          <w:rFonts w:ascii="Palatino Linotype" w:eastAsia="Palatino Linotype" w:hAnsi="Palatino Linotype" w:cs="Palatino Linotype"/>
          <w:color w:val="000000"/>
        </w:rPr>
        <w:t xml:space="preserve"> en el presente asunto, ni de las respuestas, ni de las documentales que </w:t>
      </w:r>
      <w:r w:rsidRPr="009D2474">
        <w:rPr>
          <w:rFonts w:ascii="Palatino Linotype" w:eastAsia="Palatino Linotype" w:hAnsi="Palatino Linotype" w:cs="Palatino Linotype"/>
          <w:color w:val="000000"/>
        </w:rPr>
        <w:lastRenderedPageBreak/>
        <w:t xml:space="preserve">ponen a disposición de los solicitantes los sujetos obligados, </w:t>
      </w:r>
      <w:r w:rsidRPr="009D2474">
        <w:rPr>
          <w:rFonts w:ascii="Palatino Linotype" w:hAnsi="Palatino Linotype" w:cs="Arial"/>
        </w:rPr>
        <w:t xml:space="preserve">situación que se aleja de las atribuciones de este Instituto </w:t>
      </w:r>
      <w:r w:rsidRPr="009D2474">
        <w:rPr>
          <w:rFonts w:ascii="Palatino Linotype" w:hAnsi="Palatino Linotype"/>
          <w:i/>
          <w:color w:val="000000"/>
        </w:rPr>
        <w:t>máxime</w:t>
      </w:r>
      <w:r w:rsidRPr="009D2474">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rsidR="0044042A" w:rsidRPr="009D2474" w:rsidRDefault="0044042A" w:rsidP="009D2474">
      <w:pPr>
        <w:pStyle w:val="Prrafodelista"/>
        <w:spacing w:line="360" w:lineRule="auto"/>
        <w:rPr>
          <w:rFonts w:ascii="Palatino Linotype" w:hAnsi="Palatino Linotype"/>
        </w:rPr>
      </w:pPr>
    </w:p>
    <w:p w:rsidR="0044042A" w:rsidRPr="009D2474" w:rsidRDefault="0044042A" w:rsidP="009D2474">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9D2474">
        <w:rPr>
          <w:rFonts w:ascii="Palatino Linotype" w:hAnsi="Palatino Linotype"/>
        </w:rPr>
        <w:t xml:space="preserve">Sirviendo de apoyo </w:t>
      </w:r>
      <w:r w:rsidR="003960D8" w:rsidRPr="009D2474">
        <w:rPr>
          <w:rFonts w:ascii="Palatino Linotype" w:hAnsi="Palatino Linotype"/>
        </w:rPr>
        <w:t>a lo anterior por analogía, el C</w:t>
      </w:r>
      <w:r w:rsidRPr="009D2474">
        <w:rPr>
          <w:rFonts w:ascii="Palatino Linotype" w:hAnsi="Palatino Linotype"/>
        </w:rPr>
        <w:t xml:space="preserve">riterio 31-10 emitido por el ahora </w:t>
      </w:r>
      <w:r w:rsidRPr="009D2474">
        <w:rPr>
          <w:rFonts w:ascii="Palatino Linotype" w:eastAsia="Palatino Linotype" w:hAnsi="Palatino Linotype" w:cs="Palatino Linotype"/>
        </w:rPr>
        <w:t>Instituto</w:t>
      </w:r>
      <w:r w:rsidRPr="009D2474">
        <w:rPr>
          <w:rFonts w:ascii="Palatino Linotype" w:hAnsi="Palatino Linotype"/>
        </w:rPr>
        <w:t xml:space="preserve"> </w:t>
      </w:r>
      <w:r w:rsidRPr="009D2474">
        <w:rPr>
          <w:rFonts w:ascii="Palatino Linotype" w:eastAsia="Palatino Linotype" w:hAnsi="Palatino Linotype" w:cs="Palatino Linotype"/>
          <w:color w:val="000000"/>
        </w:rPr>
        <w:t>Nacional</w:t>
      </w:r>
      <w:r w:rsidRPr="009D2474">
        <w:rPr>
          <w:rFonts w:ascii="Palatino Linotype" w:hAnsi="Palatino Linotype"/>
        </w:rPr>
        <w:t xml:space="preserve"> de Transparencia, Acceso a la Información y Protección de Datos Personales, que a la letra dice:</w:t>
      </w:r>
    </w:p>
    <w:p w:rsidR="0044042A" w:rsidRPr="009D2474" w:rsidRDefault="0044042A" w:rsidP="009D2474">
      <w:pPr>
        <w:pStyle w:val="Default"/>
        <w:spacing w:line="360" w:lineRule="auto"/>
        <w:ind w:left="567" w:right="616"/>
        <w:jc w:val="both"/>
        <w:rPr>
          <w:rFonts w:ascii="Palatino Linotype" w:hAnsi="Palatino Linotype"/>
          <w:i/>
        </w:rPr>
      </w:pPr>
      <w:r w:rsidRPr="009D2474">
        <w:rPr>
          <w:rFonts w:ascii="Palatino Linotype" w:hAnsi="Palatino Linotype"/>
          <w:i/>
        </w:rPr>
        <w:t xml:space="preserve">“El Instituto Federal de Acceso a la Información y Protección de Datos </w:t>
      </w:r>
      <w:r w:rsidRPr="009D2474">
        <w:rPr>
          <w:rFonts w:ascii="Palatino Linotype" w:hAnsi="Palatino Linotype"/>
          <w:b/>
          <w:i/>
        </w:rPr>
        <w:t>no cuenta con facultades para pronunciarse respecto de la veracidad de los documentos proporcionados por los sujetos obligados.</w:t>
      </w:r>
      <w:r w:rsidRPr="009D2474">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44042A" w:rsidRPr="009D2474" w:rsidRDefault="0044042A" w:rsidP="009D2474">
      <w:pPr>
        <w:pStyle w:val="Default"/>
        <w:spacing w:line="360" w:lineRule="auto"/>
        <w:ind w:left="851" w:right="850"/>
        <w:jc w:val="both"/>
        <w:rPr>
          <w:rFonts w:ascii="Palatino Linotype" w:hAnsi="Palatino Linotype"/>
          <w:i/>
        </w:rPr>
      </w:pPr>
    </w:p>
    <w:p w:rsidR="0044042A" w:rsidRPr="009D2474" w:rsidRDefault="0044042A" w:rsidP="009D2474">
      <w:pPr>
        <w:numPr>
          <w:ilvl w:val="0"/>
          <w:numId w:val="1"/>
        </w:numPr>
        <w:pBdr>
          <w:top w:val="nil"/>
          <w:left w:val="nil"/>
          <w:bottom w:val="nil"/>
          <w:right w:val="nil"/>
          <w:between w:val="nil"/>
        </w:pBdr>
        <w:spacing w:line="360" w:lineRule="auto"/>
        <w:ind w:left="0" w:right="49" w:firstLine="0"/>
        <w:jc w:val="both"/>
        <w:rPr>
          <w:rFonts w:ascii="Palatino Linotype" w:hAnsi="Palatino Linotype"/>
          <w:i/>
        </w:rPr>
      </w:pPr>
      <w:r w:rsidRPr="009D2474">
        <w:rPr>
          <w:rFonts w:ascii="Palatino Linotype" w:hAnsi="Palatino Linotype" w:cs="Arial"/>
        </w:rPr>
        <w:t>Así como lo dispuesto por</w:t>
      </w:r>
      <w:r w:rsidRPr="009D2474">
        <w:rPr>
          <w:rFonts w:ascii="Palatino Linotype" w:hAnsi="Palatino Linotype"/>
        </w:rPr>
        <w:t xml:space="preserve"> la </w:t>
      </w:r>
      <w:r w:rsidRPr="009D2474">
        <w:rPr>
          <w:rFonts w:ascii="Palatino Linotype" w:hAnsi="Palatino Linotype"/>
          <w:b/>
        </w:rPr>
        <w:t xml:space="preserve">Ley de Transparencia y Acceso a la Información Pública del </w:t>
      </w:r>
      <w:r w:rsidRPr="009D2474">
        <w:rPr>
          <w:rFonts w:ascii="Palatino Linotype" w:eastAsia="Palatino Linotype" w:hAnsi="Palatino Linotype" w:cs="Palatino Linotype"/>
          <w:color w:val="000000"/>
        </w:rPr>
        <w:t>Estado</w:t>
      </w:r>
      <w:r w:rsidRPr="009D2474">
        <w:rPr>
          <w:rFonts w:ascii="Palatino Linotype" w:hAnsi="Palatino Linotype"/>
          <w:b/>
        </w:rPr>
        <w:t xml:space="preserve"> de México y Municipios</w:t>
      </w:r>
      <w:r w:rsidRPr="009D2474">
        <w:rPr>
          <w:rFonts w:ascii="Palatino Linotype" w:hAnsi="Palatino Linotype"/>
        </w:rPr>
        <w:t xml:space="preserve"> en su artículo 3, el cual establece que la información </w:t>
      </w:r>
      <w:r w:rsidRPr="009D2474">
        <w:rPr>
          <w:rFonts w:ascii="Palatino Linotype" w:hAnsi="Palatino Linotype"/>
        </w:rPr>
        <w:lastRenderedPageBreak/>
        <w:t>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44042A" w:rsidRPr="009D2474" w:rsidRDefault="0044042A" w:rsidP="009D2474">
      <w:pPr>
        <w:pStyle w:val="Prrafodelista"/>
        <w:spacing w:line="360" w:lineRule="auto"/>
        <w:ind w:left="567" w:right="680"/>
        <w:jc w:val="both"/>
        <w:rPr>
          <w:rFonts w:ascii="Palatino Linotype" w:hAnsi="Palatino Linotype" w:cs="Arial"/>
          <w:b/>
          <w:i/>
        </w:rPr>
      </w:pPr>
      <w:r w:rsidRPr="009D2474">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9D2474">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44042A" w:rsidRPr="009D2474" w:rsidRDefault="0044042A" w:rsidP="009D2474">
      <w:pPr>
        <w:pStyle w:val="Prrafodelista"/>
        <w:spacing w:line="360" w:lineRule="auto"/>
        <w:ind w:left="567" w:right="680"/>
        <w:jc w:val="both"/>
        <w:rPr>
          <w:rFonts w:ascii="Palatino Linotype" w:hAnsi="Palatino Linotype" w:cs="Arial"/>
          <w:b/>
          <w:i/>
        </w:rPr>
      </w:pPr>
    </w:p>
    <w:p w:rsidR="0044042A" w:rsidRPr="009D2474" w:rsidRDefault="0044042A" w:rsidP="009D2474">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9D2474">
        <w:rPr>
          <w:rFonts w:ascii="Palatino Linotype" w:hAnsi="Palatino Linotype" w:cs="Arial"/>
        </w:rPr>
        <w:t>Numerales</w:t>
      </w:r>
      <w:r w:rsidRPr="009D2474">
        <w:rPr>
          <w:rFonts w:ascii="Palatino Linotype" w:hAnsi="Palatino Linotype" w:cs="Arial"/>
          <w:noProof/>
          <w:lang w:eastAsia="es-MX"/>
        </w:rPr>
        <w:t xml:space="preserve"> que compelen al </w:t>
      </w:r>
      <w:r w:rsidRPr="009D2474">
        <w:rPr>
          <w:rFonts w:ascii="Palatino Linotype" w:hAnsi="Palatino Linotype" w:cs="Arial"/>
          <w:b/>
          <w:noProof/>
          <w:lang w:eastAsia="es-MX"/>
        </w:rPr>
        <w:t>SUJETO OBLIGADO</w:t>
      </w:r>
      <w:r w:rsidRPr="009D2474">
        <w:rPr>
          <w:rFonts w:ascii="Palatino Linotype" w:hAnsi="Palatino Linotype" w:cs="Arial"/>
          <w:noProof/>
          <w:lang w:eastAsia="es-MX"/>
        </w:rPr>
        <w:t xml:space="preserve"> apegarse en todo momento a los </w:t>
      </w:r>
      <w:r w:rsidRPr="009D2474">
        <w:rPr>
          <w:rFonts w:ascii="Palatino Linotype" w:hAnsi="Palatino Linotype" w:cs="Arial"/>
        </w:rPr>
        <w:t>criterios</w:t>
      </w:r>
      <w:r w:rsidRPr="009D2474">
        <w:rPr>
          <w:rFonts w:ascii="Palatino Linotype" w:hAnsi="Palatino Linotype" w:cs="Arial"/>
          <w:noProof/>
          <w:lang w:eastAsia="es-MX"/>
        </w:rPr>
        <w:t xml:space="preserve"> ya expuestos, impidiendo a este Órgano Colegiado cuestionar la veracidad de la información. </w:t>
      </w:r>
    </w:p>
    <w:p w:rsidR="0044042A" w:rsidRPr="009D2474" w:rsidRDefault="0044042A" w:rsidP="009D2474">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rsidR="0044042A" w:rsidRPr="009D2474" w:rsidRDefault="0044042A" w:rsidP="009D2474">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9D2474">
        <w:rPr>
          <w:rFonts w:ascii="Palatino Linotype" w:hAnsi="Palatino Linotype"/>
          <w:bCs/>
        </w:rPr>
        <w:t xml:space="preserve">En razón de lo anterior, es que se estima que la información remitida en un hecho posterior </w:t>
      </w:r>
      <w:r w:rsidRPr="009D2474">
        <w:rPr>
          <w:rFonts w:ascii="Palatino Linotype" w:hAnsi="Palatino Linotype" w:cs="Arial"/>
        </w:rPr>
        <w:t>como</w:t>
      </w:r>
      <w:r w:rsidRPr="009D2474">
        <w:rPr>
          <w:rFonts w:ascii="Palatino Linotype" w:hAnsi="Palatino Linotype"/>
          <w:bCs/>
        </w:rPr>
        <w:t xml:space="preserve"> lo es la etapa de manifestaciones en calidad de informe justificado</w:t>
      </w:r>
      <w:r w:rsidRPr="009D2474">
        <w:rPr>
          <w:rFonts w:ascii="Palatino Linotype" w:hAnsi="Palatino Linotype"/>
        </w:rPr>
        <w:t xml:space="preserve">, </w:t>
      </w:r>
      <w:r w:rsidRPr="009D2474">
        <w:rPr>
          <w:rFonts w:ascii="Palatino Linotype" w:hAnsi="Palatino Linotype" w:cs="Arial"/>
        </w:rPr>
        <w:t>resulta</w:t>
      </w:r>
      <w:r w:rsidRPr="009D2474">
        <w:rPr>
          <w:rFonts w:ascii="Palatino Linotype" w:hAnsi="Palatino Linotype"/>
        </w:rPr>
        <w:t xml:space="preserve"> un hecho que actualiza una causal de sobreseimiento del Recurso de Revisión de mérito, en términos de lo dispuesto por</w:t>
      </w:r>
      <w:r w:rsidRPr="009D2474">
        <w:rPr>
          <w:rFonts w:ascii="Palatino Linotype" w:eastAsia="Palatino Linotype" w:hAnsi="Palatino Linotype" w:cs="Palatino Linotype"/>
        </w:rPr>
        <w:t xml:space="preserve"> la fracción III del artículo 192 de la Ley de Transparencia y Acceso a la Información Pública del Estado de México y Municipios en su correlación con la causal de improcedencia contemplada en la </w:t>
      </w:r>
      <w:r w:rsidRPr="009D2474">
        <w:rPr>
          <w:rFonts w:ascii="Palatino Linotype" w:eastAsia="Palatino Linotype" w:hAnsi="Palatino Linotype" w:cs="Palatino Linotype"/>
        </w:rPr>
        <w:fldChar w:fldCharType="begin"/>
      </w:r>
      <w:r w:rsidRPr="009D2474">
        <w:rPr>
          <w:rFonts w:ascii="Palatino Linotype" w:eastAsia="Palatino Linotype" w:hAnsi="Palatino Linotype" w:cs="Palatino Linotype"/>
        </w:rPr>
        <w:instrText xml:space="preserve"> fracción VII del  </w:instrText>
      </w:r>
      <w:r w:rsidRPr="009D2474">
        <w:rPr>
          <w:rFonts w:ascii="Palatino Linotype" w:eastAsia="Palatino Linotype" w:hAnsi="Palatino Linotype" w:cs="Palatino Linotype"/>
        </w:rPr>
        <w:fldChar w:fldCharType="end"/>
      </w:r>
      <w:r w:rsidRPr="009D2474">
        <w:rPr>
          <w:rFonts w:ascii="Palatino Linotype" w:eastAsia="Palatino Linotype" w:hAnsi="Palatino Linotype" w:cs="Palatino Linotype"/>
        </w:rPr>
        <w:t>artículo 191 del ordenamiento legal en cita, los que se transcriben a continuación, para un mejor entendimiento:</w:t>
      </w:r>
    </w:p>
    <w:p w:rsidR="0044042A" w:rsidRPr="009D2474" w:rsidRDefault="0044042A" w:rsidP="009D2474">
      <w:pPr>
        <w:spacing w:line="360" w:lineRule="auto"/>
        <w:ind w:right="49"/>
        <w:jc w:val="both"/>
        <w:rPr>
          <w:rFonts w:ascii="Palatino Linotype" w:eastAsia="Palatino Linotype" w:hAnsi="Palatino Linotype" w:cs="Palatino Linotype"/>
        </w:rPr>
      </w:pPr>
    </w:p>
    <w:p w:rsidR="0044042A" w:rsidRPr="009D2474" w:rsidRDefault="0044042A" w:rsidP="009D2474">
      <w:pPr>
        <w:pStyle w:val="Prrafodelista"/>
        <w:pBdr>
          <w:top w:val="nil"/>
          <w:left w:val="nil"/>
          <w:bottom w:val="nil"/>
          <w:right w:val="nil"/>
          <w:between w:val="nil"/>
        </w:pBdr>
        <w:tabs>
          <w:tab w:val="left" w:pos="7938"/>
        </w:tabs>
        <w:spacing w:line="360" w:lineRule="auto"/>
        <w:ind w:left="360" w:right="902"/>
        <w:jc w:val="both"/>
        <w:rPr>
          <w:rFonts w:ascii="Palatino Linotype" w:eastAsia="Palatino Linotype" w:hAnsi="Palatino Linotype" w:cs="Palatino Linotype"/>
          <w:i/>
        </w:rPr>
      </w:pPr>
      <w:r w:rsidRPr="009D2474">
        <w:rPr>
          <w:rFonts w:ascii="Palatino Linotype" w:eastAsia="Palatino Linotype" w:hAnsi="Palatino Linotype" w:cs="Palatino Linotype"/>
          <w:b/>
          <w:i/>
        </w:rPr>
        <w:lastRenderedPageBreak/>
        <w:t>Artículo 192.</w:t>
      </w:r>
      <w:r w:rsidRPr="009D2474">
        <w:rPr>
          <w:rFonts w:ascii="Palatino Linotype" w:eastAsia="Palatino Linotype" w:hAnsi="Palatino Linotype" w:cs="Palatino Linotype"/>
          <w:i/>
        </w:rPr>
        <w:t xml:space="preserve"> El recurso será sobreseído, en todo o en parte, cuando una vez admitido, se actualicen alguno de los siguientes supuestos:</w:t>
      </w:r>
    </w:p>
    <w:p w:rsidR="0044042A" w:rsidRPr="009D2474" w:rsidRDefault="0044042A" w:rsidP="009D2474">
      <w:pPr>
        <w:pStyle w:val="Prrafodelista"/>
        <w:pBdr>
          <w:top w:val="nil"/>
          <w:left w:val="nil"/>
          <w:bottom w:val="nil"/>
          <w:right w:val="nil"/>
          <w:between w:val="nil"/>
        </w:pBdr>
        <w:tabs>
          <w:tab w:val="left" w:pos="7938"/>
        </w:tabs>
        <w:spacing w:line="360" w:lineRule="auto"/>
        <w:ind w:left="360" w:right="902"/>
        <w:jc w:val="both"/>
        <w:rPr>
          <w:rFonts w:ascii="Palatino Linotype" w:eastAsia="Palatino Linotype" w:hAnsi="Palatino Linotype" w:cs="Palatino Linotype"/>
          <w:i/>
        </w:rPr>
      </w:pPr>
      <w:r w:rsidRPr="009D2474">
        <w:rPr>
          <w:rFonts w:ascii="Palatino Linotype" w:eastAsia="Palatino Linotype" w:hAnsi="Palatino Linotype" w:cs="Palatino Linotype"/>
          <w:i/>
        </w:rPr>
        <w:t>…</w:t>
      </w:r>
    </w:p>
    <w:p w:rsidR="0044042A" w:rsidRPr="009D2474" w:rsidRDefault="0044042A" w:rsidP="009D2474">
      <w:pPr>
        <w:pStyle w:val="Prrafodelista"/>
        <w:pBdr>
          <w:top w:val="nil"/>
          <w:left w:val="nil"/>
          <w:bottom w:val="nil"/>
          <w:right w:val="nil"/>
          <w:between w:val="nil"/>
        </w:pBdr>
        <w:tabs>
          <w:tab w:val="left" w:pos="7938"/>
        </w:tabs>
        <w:spacing w:line="360" w:lineRule="auto"/>
        <w:ind w:left="360" w:right="902"/>
        <w:jc w:val="both"/>
        <w:rPr>
          <w:rFonts w:ascii="Palatino Linotype" w:eastAsia="Palatino Linotype" w:hAnsi="Palatino Linotype" w:cs="Palatino Linotype"/>
          <w:i/>
        </w:rPr>
      </w:pPr>
      <w:r w:rsidRPr="009D2474">
        <w:rPr>
          <w:rFonts w:ascii="Palatino Linotype" w:eastAsia="Palatino Linotype" w:hAnsi="Palatino Linotype" w:cs="Palatino Linotype"/>
          <w:b/>
          <w:i/>
        </w:rPr>
        <w:t xml:space="preserve">III. </w:t>
      </w:r>
      <w:r w:rsidRPr="009D2474">
        <w:rPr>
          <w:rFonts w:ascii="Palatino Linotype" w:eastAsia="Palatino Linotype" w:hAnsi="Palatino Linotype" w:cs="Palatino Linotype"/>
          <w:b/>
          <w:bCs/>
          <w:i/>
        </w:rPr>
        <w:t>El sujeto obligado responsable del acto lo modifique o revoque de tal manera que el recurso de revisión quede sin materia</w:t>
      </w:r>
      <w:r w:rsidRPr="009D2474">
        <w:rPr>
          <w:rFonts w:ascii="Palatino Linotype" w:eastAsia="Palatino Linotype" w:hAnsi="Palatino Linotype" w:cs="Palatino Linotype"/>
          <w:bCs/>
          <w:i/>
        </w:rPr>
        <w:t>;</w:t>
      </w:r>
      <w:r w:rsidRPr="009D2474">
        <w:rPr>
          <w:rFonts w:ascii="Palatino Linotype" w:eastAsia="Palatino Linotype" w:hAnsi="Palatino Linotype" w:cs="Palatino Linotype"/>
          <w:i/>
        </w:rPr>
        <w:t xml:space="preserve"> </w:t>
      </w:r>
    </w:p>
    <w:p w:rsidR="0044042A" w:rsidRPr="009D2474" w:rsidRDefault="0044042A" w:rsidP="009D2474">
      <w:pPr>
        <w:pStyle w:val="Prrafodelista"/>
        <w:pBdr>
          <w:top w:val="nil"/>
          <w:left w:val="nil"/>
          <w:bottom w:val="nil"/>
          <w:right w:val="nil"/>
          <w:between w:val="nil"/>
        </w:pBdr>
        <w:tabs>
          <w:tab w:val="left" w:pos="7938"/>
        </w:tabs>
        <w:spacing w:line="360" w:lineRule="auto"/>
        <w:ind w:left="360" w:right="902"/>
        <w:jc w:val="both"/>
        <w:rPr>
          <w:rFonts w:ascii="Palatino Linotype" w:eastAsia="Palatino Linotype" w:hAnsi="Palatino Linotype" w:cs="Palatino Linotype"/>
          <w:i/>
        </w:rPr>
      </w:pPr>
      <w:r w:rsidRPr="009D2474">
        <w:rPr>
          <w:rFonts w:ascii="Palatino Linotype" w:eastAsia="Palatino Linotype" w:hAnsi="Palatino Linotype" w:cs="Palatino Linotype"/>
          <w:b/>
          <w:i/>
        </w:rPr>
        <w:t>…</w:t>
      </w:r>
      <w:r w:rsidRPr="009D2474">
        <w:rPr>
          <w:rFonts w:ascii="Palatino Linotype" w:eastAsia="Palatino Linotype" w:hAnsi="Palatino Linotype" w:cs="Palatino Linotype"/>
          <w:i/>
        </w:rPr>
        <w:t>“</w:t>
      </w:r>
    </w:p>
    <w:p w:rsidR="0044042A" w:rsidRPr="009D2474" w:rsidRDefault="0044042A" w:rsidP="009D2474">
      <w:pPr>
        <w:pStyle w:val="Prrafodelista"/>
        <w:pBdr>
          <w:top w:val="nil"/>
          <w:left w:val="nil"/>
          <w:bottom w:val="nil"/>
          <w:right w:val="nil"/>
          <w:between w:val="nil"/>
        </w:pBdr>
        <w:tabs>
          <w:tab w:val="left" w:pos="7938"/>
        </w:tabs>
        <w:spacing w:line="360" w:lineRule="auto"/>
        <w:ind w:left="360" w:right="902"/>
        <w:jc w:val="both"/>
        <w:rPr>
          <w:rFonts w:ascii="Palatino Linotype" w:eastAsia="Palatino Linotype" w:hAnsi="Palatino Linotype" w:cs="Palatino Linotype"/>
        </w:rPr>
      </w:pPr>
      <w:r w:rsidRPr="009D2474">
        <w:rPr>
          <w:rFonts w:ascii="Palatino Linotype" w:eastAsia="Palatino Linotype" w:hAnsi="Palatino Linotype" w:cs="Palatino Linotype"/>
        </w:rPr>
        <w:t>Énfasis propio</w:t>
      </w:r>
    </w:p>
    <w:p w:rsidR="0044042A" w:rsidRPr="009D2474" w:rsidRDefault="0044042A" w:rsidP="009D2474">
      <w:pPr>
        <w:pStyle w:val="Prrafodelista"/>
        <w:pBdr>
          <w:top w:val="nil"/>
          <w:left w:val="nil"/>
          <w:bottom w:val="nil"/>
          <w:right w:val="nil"/>
          <w:between w:val="nil"/>
        </w:pBdr>
        <w:tabs>
          <w:tab w:val="left" w:pos="7938"/>
        </w:tabs>
        <w:spacing w:line="360" w:lineRule="auto"/>
        <w:ind w:left="360" w:right="902"/>
        <w:jc w:val="both"/>
        <w:rPr>
          <w:rFonts w:ascii="Palatino Linotype" w:eastAsia="Palatino Linotype" w:hAnsi="Palatino Linotype" w:cs="Palatino Linotype"/>
        </w:rPr>
      </w:pPr>
    </w:p>
    <w:p w:rsidR="0044042A" w:rsidRPr="009D2474" w:rsidRDefault="0044042A" w:rsidP="009D2474">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9D2474">
        <w:rPr>
          <w:rFonts w:ascii="Palatino Linotype" w:eastAsia="Palatino Linotype" w:hAnsi="Palatino Linotype" w:cs="Palatino Linotype"/>
        </w:rPr>
        <w:t xml:space="preserve">Siendo el sobreseimiento un acto que da por terminado el procedimiento </w:t>
      </w:r>
      <w:r w:rsidRPr="009D2474">
        <w:rPr>
          <w:rFonts w:ascii="Palatino Linotype" w:hAnsi="Palatino Linotype"/>
          <w:bCs/>
        </w:rPr>
        <w:t>administrativo</w:t>
      </w:r>
      <w:r w:rsidRPr="009D2474">
        <w:rPr>
          <w:rFonts w:ascii="Palatino Linotype" w:eastAsia="Palatino Linotype" w:hAnsi="Palatino Linotype" w:cs="Palatino Linotype"/>
        </w:rPr>
        <w:t xml:space="preserve"> de </w:t>
      </w:r>
      <w:r w:rsidRPr="009D2474">
        <w:rPr>
          <w:rFonts w:ascii="Palatino Linotype" w:hAnsi="Palatino Linotype"/>
        </w:rPr>
        <w:t>impugnación</w:t>
      </w:r>
      <w:r w:rsidRPr="009D2474">
        <w:rPr>
          <w:rFonts w:ascii="Palatino Linotype" w:eastAsia="Palatino Linotype" w:hAnsi="Palatino Linotype" w:cs="Palatino Linotype"/>
        </w:rPr>
        <w:t xml:space="preserve"> sin resolver el fondo de la cuestión planteada, por presentarse causas que impiden a la autoridad referirse a lo sustancial de lo planteado por </w:t>
      </w:r>
      <w:r w:rsidRPr="009D2474">
        <w:rPr>
          <w:rFonts w:ascii="Palatino Linotype" w:eastAsia="Palatino Linotype" w:hAnsi="Palatino Linotype" w:cs="Palatino Linotype"/>
          <w:b/>
        </w:rPr>
        <w:t>EL RECURRENTE</w:t>
      </w:r>
      <w:r w:rsidRPr="009D2474">
        <w:rPr>
          <w:rFonts w:ascii="Palatino Linotype" w:eastAsia="Palatino Linotype" w:hAnsi="Palatino Linotype" w:cs="Palatino Linotype"/>
        </w:rPr>
        <w:t>, los efectos del sobreseimiento consisten en dar por concluido el recurso administrativo sin entrar al estudio de fondo del asunto de que se trate; lo anterior con apoyo en el criterio del Poder Judicial de la Federación con rubro:</w:t>
      </w:r>
    </w:p>
    <w:p w:rsidR="0044042A" w:rsidRPr="009D2474" w:rsidRDefault="0044042A" w:rsidP="009D2474">
      <w:pPr>
        <w:pStyle w:val="Prrafodelista"/>
        <w:spacing w:line="360" w:lineRule="auto"/>
        <w:ind w:left="360" w:right="902"/>
        <w:jc w:val="both"/>
        <w:rPr>
          <w:rFonts w:ascii="Palatino Linotype" w:eastAsia="Palatino Linotype" w:hAnsi="Palatino Linotype" w:cs="Palatino Linotype"/>
          <w:b/>
          <w:i/>
        </w:rPr>
      </w:pPr>
      <w:r w:rsidRPr="009D2474">
        <w:rPr>
          <w:rFonts w:ascii="Palatino Linotype" w:eastAsia="Palatino Linotype" w:hAnsi="Palatino Linotype" w:cs="Palatino Linotype"/>
          <w:i/>
        </w:rPr>
        <w:t>“</w:t>
      </w:r>
      <w:r w:rsidRPr="009D2474">
        <w:rPr>
          <w:rFonts w:ascii="Palatino Linotype" w:eastAsia="Palatino Linotype" w:hAnsi="Palatino Linotype" w:cs="Palatino Linotype"/>
          <w:b/>
          <w:i/>
        </w:rPr>
        <w:t>SOBRESEIMIENTO, NO PERMITE ENTRAR AL ESTUDIO DE LAS CUESTIONES DE FONDO</w:t>
      </w:r>
    </w:p>
    <w:p w:rsidR="0044042A" w:rsidRPr="009D2474" w:rsidRDefault="0044042A" w:rsidP="009D2474">
      <w:pPr>
        <w:pStyle w:val="Prrafodelista"/>
        <w:spacing w:line="360" w:lineRule="auto"/>
        <w:ind w:left="360" w:right="902"/>
        <w:jc w:val="both"/>
        <w:rPr>
          <w:rFonts w:ascii="Palatino Linotype" w:eastAsia="Palatino Linotype" w:hAnsi="Palatino Linotype" w:cs="Palatino Linotype"/>
          <w:i/>
        </w:rPr>
      </w:pPr>
      <w:r w:rsidRPr="009D2474">
        <w:rPr>
          <w:rFonts w:ascii="Palatino Linotype" w:eastAsia="Palatino Linotype" w:hAnsi="Palatino Linotype" w:cs="Palatino Linotype"/>
          <w:i/>
        </w:rPr>
        <w:t>Localización: 213609. II.2o.183 K. Tribunales Colegiados de Circuito. Octava Época. Semanario Judicial de la Federación. Tomo XIII, Febrero de 1994, Pág. 420</w:t>
      </w:r>
    </w:p>
    <w:p w:rsidR="0044042A" w:rsidRPr="009D2474" w:rsidRDefault="0044042A" w:rsidP="009D2474">
      <w:pPr>
        <w:pStyle w:val="Prrafodelista"/>
        <w:spacing w:line="360" w:lineRule="auto"/>
        <w:ind w:left="360" w:right="902"/>
        <w:jc w:val="both"/>
        <w:rPr>
          <w:rFonts w:ascii="Palatino Linotype" w:eastAsia="Palatino Linotype" w:hAnsi="Palatino Linotype" w:cs="Palatino Linotype"/>
          <w:i/>
        </w:rPr>
      </w:pPr>
      <w:r w:rsidRPr="009D2474">
        <w:rPr>
          <w:rFonts w:ascii="Palatino Linotype" w:eastAsia="Palatino Linotype" w:hAnsi="Palatino Linotype" w:cs="Palatino Linotype"/>
          <w:i/>
        </w:rPr>
        <w:t xml:space="preserve">Cuerpo de tesis: No causa agravio la sentencia que no se ocupa de los razonamientos tendientes a demostrar la inconstitucionalidad de los actos reclamados de las autoridades responsables, que constituyen el problema de fondo, si se decreta el sobreseimiento del juicio.” </w:t>
      </w:r>
    </w:p>
    <w:p w:rsidR="0044042A" w:rsidRPr="009D2474" w:rsidRDefault="0044042A" w:rsidP="009D2474">
      <w:pPr>
        <w:pStyle w:val="Prrafodelista"/>
        <w:spacing w:line="360" w:lineRule="auto"/>
        <w:ind w:left="360" w:right="902"/>
        <w:jc w:val="both"/>
        <w:rPr>
          <w:rFonts w:ascii="Palatino Linotype" w:eastAsia="Palatino Linotype" w:hAnsi="Palatino Linotype" w:cs="Palatino Linotype"/>
          <w:i/>
        </w:rPr>
      </w:pPr>
    </w:p>
    <w:p w:rsidR="0044042A" w:rsidRPr="009D2474" w:rsidRDefault="0044042A" w:rsidP="009D2474">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9D2474">
        <w:rPr>
          <w:rFonts w:ascii="Palatino Linotype" w:eastAsia="Palatino Linotype" w:hAnsi="Palatino Linotype" w:cs="Palatino Linotype"/>
        </w:rPr>
        <w:lastRenderedPageBreak/>
        <w:t>Cabe destacar que la decisión de este Organismo Colegiado de sobreseer el recurso de revisión no implica una limitación o negación a la justicia, según lo ha establecido el Poder Judicial Federal, en el criterio que es aplicable por analogía, con rubro:</w:t>
      </w:r>
    </w:p>
    <w:p w:rsidR="0044042A" w:rsidRPr="009D2474" w:rsidRDefault="0044042A" w:rsidP="009D2474">
      <w:pPr>
        <w:pStyle w:val="Prrafodelista"/>
        <w:spacing w:line="360" w:lineRule="auto"/>
        <w:ind w:left="360" w:right="902"/>
        <w:jc w:val="both"/>
        <w:rPr>
          <w:rFonts w:ascii="Palatino Linotype" w:eastAsia="Palatino Linotype" w:hAnsi="Palatino Linotype" w:cs="Palatino Linotype"/>
          <w:b/>
          <w:i/>
        </w:rPr>
      </w:pPr>
      <w:r w:rsidRPr="009D2474">
        <w:rPr>
          <w:rFonts w:ascii="Palatino Linotype" w:eastAsia="Palatino Linotype" w:hAnsi="Palatino Linotype" w:cs="Palatino Linotype"/>
          <w:b/>
          <w:i/>
        </w:rPr>
        <w:t>“DESECHAMIENTO O SOBRESEIMIENTO EN EL JUICIO DE AMPARO. NO IMPLICA DENEGACIÓN DE JUSTICIA NI GENERA INSEGURIDAD JURÍDICA”</w:t>
      </w:r>
    </w:p>
    <w:p w:rsidR="0044042A" w:rsidRPr="009D2474" w:rsidRDefault="0044042A" w:rsidP="009D2474">
      <w:pPr>
        <w:pStyle w:val="Prrafodelista"/>
        <w:spacing w:line="360" w:lineRule="auto"/>
        <w:ind w:left="360" w:right="902"/>
        <w:jc w:val="both"/>
        <w:rPr>
          <w:rFonts w:ascii="Palatino Linotype" w:eastAsia="Palatino Linotype" w:hAnsi="Palatino Linotype" w:cs="Palatino Linotype"/>
          <w:i/>
        </w:rPr>
      </w:pPr>
      <w:r w:rsidRPr="009D2474">
        <w:rPr>
          <w:rFonts w:ascii="Palatino Linotype" w:eastAsia="Palatino Linotype" w:hAnsi="Palatino Linotype" w:cs="Palatino Linotype"/>
          <w:i/>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rsidR="0044042A" w:rsidRPr="009D2474" w:rsidRDefault="0044042A" w:rsidP="009D2474">
      <w:pPr>
        <w:pStyle w:val="Prrafodelista"/>
        <w:spacing w:line="360" w:lineRule="auto"/>
        <w:ind w:left="360" w:right="902"/>
        <w:jc w:val="both"/>
        <w:rPr>
          <w:rFonts w:ascii="Palatino Linotype" w:eastAsia="Palatino Linotype" w:hAnsi="Palatino Linotype" w:cs="Palatino Linotype"/>
          <w:i/>
        </w:rPr>
      </w:pPr>
    </w:p>
    <w:p w:rsidR="0044042A" w:rsidRPr="009D2474" w:rsidRDefault="0044042A" w:rsidP="009D2474">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9D2474">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w:t>
      </w:r>
      <w:r w:rsidRPr="009D2474">
        <w:rPr>
          <w:rFonts w:ascii="Palatino Linotype" w:eastAsia="Palatino Linotype" w:hAnsi="Palatino Linotype" w:cs="Palatino Linotype"/>
        </w:rPr>
        <w:lastRenderedPageBreak/>
        <w:t xml:space="preserve">Municipios, se </w:t>
      </w:r>
      <w:r w:rsidRPr="009D2474">
        <w:rPr>
          <w:rFonts w:ascii="Palatino Linotype" w:eastAsia="Palatino Linotype" w:hAnsi="Palatino Linotype" w:cs="Palatino Linotype"/>
          <w:b/>
        </w:rPr>
        <w:t xml:space="preserve">sobresee </w:t>
      </w:r>
      <w:r w:rsidRPr="009D2474">
        <w:rPr>
          <w:rFonts w:ascii="Palatino Linotype" w:eastAsia="Palatino Linotype" w:hAnsi="Palatino Linotype" w:cs="Palatino Linotype"/>
        </w:rPr>
        <w:t xml:space="preserve">el Recurso de Revisión </w:t>
      </w:r>
      <w:r w:rsidRPr="009D2474">
        <w:rPr>
          <w:rFonts w:ascii="Palatino Linotype" w:eastAsia="Palatino Linotype" w:hAnsi="Palatino Linotype" w:cs="Palatino Linotype"/>
          <w:b/>
        </w:rPr>
        <w:t>06753/INFOEM/IP/RR/2025</w:t>
      </w:r>
      <w:r w:rsidRPr="009D2474">
        <w:rPr>
          <w:rFonts w:ascii="Palatino Linotype" w:eastAsia="Palatino Linotype" w:hAnsi="Palatino Linotype" w:cs="Palatino Linotype"/>
        </w:rPr>
        <w:t>, que ha sido materia del presente fallo.</w:t>
      </w:r>
    </w:p>
    <w:p w:rsidR="0044042A" w:rsidRPr="009D2474" w:rsidRDefault="0044042A" w:rsidP="009D2474">
      <w:pPr>
        <w:pStyle w:val="Prrafodelista"/>
        <w:spacing w:line="360" w:lineRule="auto"/>
        <w:rPr>
          <w:rFonts w:ascii="Palatino Linotype" w:eastAsia="Palatino Linotype" w:hAnsi="Palatino Linotype" w:cs="Palatino Linotype"/>
        </w:rPr>
      </w:pPr>
    </w:p>
    <w:p w:rsidR="00083BB7" w:rsidRPr="00157A35" w:rsidRDefault="00083BB7" w:rsidP="009D2474">
      <w:pPr>
        <w:pStyle w:val="Prrafodelista"/>
        <w:numPr>
          <w:ilvl w:val="0"/>
          <w:numId w:val="35"/>
        </w:numPr>
        <w:tabs>
          <w:tab w:val="left" w:pos="426"/>
        </w:tabs>
        <w:spacing w:line="360" w:lineRule="auto"/>
        <w:ind w:right="-307"/>
        <w:jc w:val="both"/>
        <w:rPr>
          <w:rFonts w:ascii="Palatino Linotype" w:eastAsia="Palatino Linotype" w:hAnsi="Palatino Linotype" w:cs="Palatino Linotype"/>
          <w:b/>
          <w:color w:val="000000"/>
        </w:rPr>
      </w:pPr>
      <w:r w:rsidRPr="00157A35">
        <w:rPr>
          <w:rFonts w:ascii="Palatino Linotype" w:eastAsia="Palatino Linotype" w:hAnsi="Palatino Linotype" w:cs="Palatino Linotype"/>
          <w:b/>
          <w:color w:val="000000"/>
        </w:rPr>
        <w:t>Vista a la Dirección General de Protección de Datos Personales.</w:t>
      </w:r>
    </w:p>
    <w:p w:rsidR="009D2474" w:rsidRPr="00157A35" w:rsidRDefault="00083BB7" w:rsidP="009D2474">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157A35">
        <w:rPr>
          <w:rFonts w:ascii="Palatino Linotype" w:eastAsia="Palatino Linotype" w:hAnsi="Palatino Linotype" w:cs="Palatino Linotype"/>
        </w:rPr>
        <w:t>Finalmente, no pasa desapercibido</w:t>
      </w:r>
      <w:r w:rsidRPr="00157A35">
        <w:rPr>
          <w:rFonts w:ascii="Palatino Linotype" w:eastAsia="Palatino Linotype" w:hAnsi="Palatino Linotype" w:cs="Palatino Linotype"/>
          <w:b/>
        </w:rPr>
        <w:t xml:space="preserve"> </w:t>
      </w:r>
      <w:r w:rsidR="009D2474" w:rsidRPr="00157A35">
        <w:rPr>
          <w:rFonts w:ascii="Palatino Linotype" w:eastAsia="Palatino Linotype" w:hAnsi="Palatino Linotype" w:cs="Palatino Linotype"/>
        </w:rPr>
        <w:t xml:space="preserve">que en la respuesta inicial, el archivo que contiene los recibos de nómina al encontrarse en datos abiertos, permite la selección del texto, que al copiarlo y pegarlo en documento diverso, permite conocer los </w:t>
      </w:r>
      <w:r w:rsidR="00D36388" w:rsidRPr="00157A35">
        <w:rPr>
          <w:rFonts w:ascii="Palatino Linotype" w:eastAsia="Palatino Linotype" w:hAnsi="Palatino Linotype" w:cs="Palatino Linotype"/>
        </w:rPr>
        <w:t>datos</w:t>
      </w:r>
      <w:r w:rsidR="009D2474" w:rsidRPr="00157A35">
        <w:rPr>
          <w:rFonts w:ascii="Palatino Linotype" w:eastAsia="Palatino Linotype" w:hAnsi="Palatino Linotype" w:cs="Palatino Linotype"/>
        </w:rPr>
        <w:t xml:space="preserve"> que fueran testados, pudiendo conocer su contenido. Por tanto se concluye que la versión pública elaborada resulta deficiente.</w:t>
      </w:r>
    </w:p>
    <w:p w:rsidR="009D2474" w:rsidRPr="00157A35" w:rsidRDefault="009D2474" w:rsidP="009D2474">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083BB7" w:rsidRPr="00157A35" w:rsidRDefault="009D2474" w:rsidP="009D2474">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157A35">
        <w:rPr>
          <w:rFonts w:ascii="Palatino Linotype" w:eastAsia="Palatino Linotype" w:hAnsi="Palatino Linotype" w:cs="Palatino Linotype"/>
        </w:rPr>
        <w:t xml:space="preserve">Al respecto, es </w:t>
      </w:r>
      <w:r w:rsidR="00083BB7" w:rsidRPr="00157A35">
        <w:rPr>
          <w:rFonts w:ascii="Palatino Linotype" w:eastAsia="Palatino Linotype" w:hAnsi="Palatino Linotype" w:cs="Palatino Linotype"/>
        </w:rPr>
        <w:t>necesario resaltar que el recurso de revisión previsto en la Ley de la materia no es el medio para investigar y, en su caso, sancionar a servidores públicos por la falta de cuidado de la protección de datos personales; es así que, de la información remitida en respuesta a la solicitud, se aprecia que s</w:t>
      </w:r>
      <w:r w:rsidRPr="00157A35">
        <w:rPr>
          <w:rFonts w:ascii="Palatino Linotype" w:eastAsia="Palatino Linotype" w:hAnsi="Palatino Linotype" w:cs="Palatino Linotype"/>
        </w:rPr>
        <w:t>i bien no s</w:t>
      </w:r>
      <w:r w:rsidR="00083BB7" w:rsidRPr="00157A35">
        <w:rPr>
          <w:rFonts w:ascii="Palatino Linotype" w:eastAsia="Palatino Linotype" w:hAnsi="Palatino Linotype" w:cs="Palatino Linotype"/>
        </w:rPr>
        <w:t xml:space="preserve">e dejaron </w:t>
      </w:r>
      <w:r w:rsidRPr="00157A35">
        <w:rPr>
          <w:rFonts w:ascii="Palatino Linotype" w:eastAsia="Palatino Linotype" w:hAnsi="Palatino Linotype" w:cs="Palatino Linotype"/>
        </w:rPr>
        <w:t xml:space="preserve">en estricto sentido a la </w:t>
      </w:r>
      <w:r w:rsidR="00083BB7" w:rsidRPr="00157A35">
        <w:rPr>
          <w:rFonts w:ascii="Palatino Linotype" w:eastAsia="Palatino Linotype" w:hAnsi="Palatino Linotype" w:cs="Palatino Linotype"/>
        </w:rPr>
        <w:t>vista datos personales susceptibles de ser clasificados como confidenciales,</w:t>
      </w:r>
      <w:r w:rsidRPr="00157A35">
        <w:rPr>
          <w:rFonts w:ascii="Palatino Linotype" w:eastAsia="Palatino Linotype" w:hAnsi="Palatino Linotype" w:cs="Palatino Linotype"/>
        </w:rPr>
        <w:t xml:space="preserve"> si pueden ser conocidos como anteriormente se señaló.</w:t>
      </w:r>
      <w:r w:rsidR="00083BB7" w:rsidRPr="00157A35">
        <w:rPr>
          <w:rFonts w:ascii="Palatino Linotype" w:eastAsia="Palatino Linotype" w:hAnsi="Palatino Linotype" w:cs="Palatino Linotype"/>
        </w:rPr>
        <w:t xml:space="preserve"> </w:t>
      </w:r>
      <w:r w:rsidRPr="00157A35">
        <w:rPr>
          <w:rFonts w:ascii="Palatino Linotype" w:eastAsia="Palatino Linotype" w:hAnsi="Palatino Linotype" w:cs="Palatino Linotype"/>
        </w:rPr>
        <w:t>P</w:t>
      </w:r>
      <w:r w:rsidR="00083BB7" w:rsidRPr="00157A35">
        <w:rPr>
          <w:rFonts w:ascii="Palatino Linotype" w:eastAsia="Palatino Linotype" w:hAnsi="Palatino Linotype" w:cs="Palatino Linotype"/>
        </w:rPr>
        <w:t xml:space="preserve">or </w:t>
      </w:r>
      <w:r w:rsidRPr="00157A35">
        <w:rPr>
          <w:rFonts w:ascii="Palatino Linotype" w:eastAsia="Palatino Linotype" w:hAnsi="Palatino Linotype" w:cs="Palatino Linotype"/>
        </w:rPr>
        <w:t>tanto</w:t>
      </w:r>
      <w:r w:rsidR="00083BB7" w:rsidRPr="00157A35">
        <w:rPr>
          <w:rFonts w:ascii="Palatino Linotype" w:eastAsia="Palatino Linotype" w:hAnsi="Palatino Linotype" w:cs="Palatino Linotype"/>
        </w:rPr>
        <w:t xml:space="preserve"> es necesario dar vista al área competente para que en ejercicio de sus atribuciones realice las investigaciones pertinentes por las omisiones detectadas atribuibles al </w:t>
      </w:r>
      <w:r w:rsidR="00083BB7" w:rsidRPr="00157A35">
        <w:rPr>
          <w:rFonts w:ascii="Palatino Linotype" w:eastAsia="Palatino Linotype" w:hAnsi="Palatino Linotype" w:cs="Palatino Linotype"/>
          <w:b/>
        </w:rPr>
        <w:t>SUJETO OBLIGADO</w:t>
      </w:r>
      <w:r w:rsidR="00083BB7" w:rsidRPr="00157A35">
        <w:rPr>
          <w:rFonts w:ascii="Palatino Linotype" w:eastAsia="Palatino Linotype" w:hAnsi="Palatino Linotype" w:cs="Palatino Linotype"/>
        </w:rPr>
        <w:t>.</w:t>
      </w:r>
    </w:p>
    <w:p w:rsidR="00083BB7" w:rsidRPr="00157A35" w:rsidRDefault="00083BB7" w:rsidP="009D2474">
      <w:pPr>
        <w:tabs>
          <w:tab w:val="left" w:pos="709"/>
        </w:tabs>
        <w:spacing w:line="360" w:lineRule="auto"/>
        <w:ind w:right="-307"/>
        <w:jc w:val="both"/>
        <w:rPr>
          <w:rFonts w:ascii="Palatino Linotype" w:eastAsia="Palatino Linotype" w:hAnsi="Palatino Linotype" w:cs="Palatino Linotype"/>
        </w:rPr>
      </w:pPr>
    </w:p>
    <w:p w:rsidR="00083BB7" w:rsidRPr="00157A35" w:rsidRDefault="00083BB7" w:rsidP="00157A35">
      <w:pPr>
        <w:pStyle w:val="Prrafodelista"/>
        <w:numPr>
          <w:ilvl w:val="0"/>
          <w:numId w:val="1"/>
        </w:numPr>
        <w:spacing w:line="360" w:lineRule="auto"/>
        <w:ind w:left="0" w:right="-307" w:firstLine="0"/>
        <w:jc w:val="both"/>
        <w:rPr>
          <w:rFonts w:ascii="Palatino Linotype" w:eastAsia="Palatino Linotype" w:hAnsi="Palatino Linotype" w:cs="Palatino Linotype"/>
        </w:rPr>
      </w:pPr>
      <w:r w:rsidRPr="00157A35">
        <w:rPr>
          <w:rFonts w:ascii="Palatino Linotype" w:eastAsia="Palatino Linotype" w:hAnsi="Palatino Linotype" w:cs="Palatino Linotype"/>
        </w:rPr>
        <w:t>Por ello, es conveniente señalar las fracciones XIV, XXII, XXIII y XXV, del artículo 82, de la Ley de Protección de Datos Personales en Posesión de Sujetos Obligados del Estado de México y Municipios, que establece:</w:t>
      </w:r>
    </w:p>
    <w:p w:rsidR="00157A35" w:rsidRDefault="00157A35" w:rsidP="009D2474">
      <w:pPr>
        <w:tabs>
          <w:tab w:val="left" w:pos="142"/>
          <w:tab w:val="left" w:pos="284"/>
          <w:tab w:val="left" w:pos="426"/>
          <w:tab w:val="left" w:pos="993"/>
        </w:tabs>
        <w:spacing w:line="360" w:lineRule="auto"/>
        <w:ind w:left="567" w:right="255"/>
        <w:jc w:val="both"/>
        <w:rPr>
          <w:rFonts w:ascii="Palatino Linotype" w:eastAsia="Palatino Linotype" w:hAnsi="Palatino Linotype" w:cs="Palatino Linotype"/>
          <w:b/>
          <w:i/>
        </w:rPr>
      </w:pPr>
    </w:p>
    <w:p w:rsidR="00157A35" w:rsidRDefault="00157A35" w:rsidP="009D2474">
      <w:pPr>
        <w:tabs>
          <w:tab w:val="left" w:pos="142"/>
          <w:tab w:val="left" w:pos="284"/>
          <w:tab w:val="left" w:pos="426"/>
          <w:tab w:val="left" w:pos="993"/>
        </w:tabs>
        <w:spacing w:line="360" w:lineRule="auto"/>
        <w:ind w:left="567" w:right="255"/>
        <w:jc w:val="both"/>
        <w:rPr>
          <w:rFonts w:ascii="Palatino Linotype" w:eastAsia="Palatino Linotype" w:hAnsi="Palatino Linotype" w:cs="Palatino Linotype"/>
          <w:b/>
          <w:i/>
        </w:rPr>
      </w:pPr>
    </w:p>
    <w:p w:rsidR="00083BB7" w:rsidRPr="00157A35" w:rsidRDefault="00083BB7" w:rsidP="009D2474">
      <w:pPr>
        <w:tabs>
          <w:tab w:val="left" w:pos="142"/>
          <w:tab w:val="left" w:pos="284"/>
          <w:tab w:val="left" w:pos="426"/>
          <w:tab w:val="left" w:pos="993"/>
        </w:tabs>
        <w:spacing w:line="360" w:lineRule="auto"/>
        <w:ind w:left="567" w:right="255"/>
        <w:jc w:val="both"/>
        <w:rPr>
          <w:rFonts w:ascii="Palatino Linotype" w:eastAsia="Palatino Linotype" w:hAnsi="Palatino Linotype" w:cs="Palatino Linotype"/>
          <w:b/>
          <w:i/>
        </w:rPr>
      </w:pPr>
      <w:r w:rsidRPr="00157A35">
        <w:rPr>
          <w:rFonts w:ascii="Palatino Linotype" w:eastAsia="Palatino Linotype" w:hAnsi="Palatino Linotype" w:cs="Palatino Linotype"/>
          <w:b/>
          <w:i/>
        </w:rPr>
        <w:lastRenderedPageBreak/>
        <w:t xml:space="preserve">Atribuciones del Instituto </w:t>
      </w:r>
    </w:p>
    <w:p w:rsidR="00083BB7" w:rsidRPr="00157A35" w:rsidRDefault="00083BB7" w:rsidP="009D2474">
      <w:pPr>
        <w:tabs>
          <w:tab w:val="left" w:pos="142"/>
          <w:tab w:val="left" w:pos="284"/>
          <w:tab w:val="left" w:pos="426"/>
          <w:tab w:val="left" w:pos="993"/>
        </w:tabs>
        <w:spacing w:line="360" w:lineRule="auto"/>
        <w:ind w:left="567" w:right="255"/>
        <w:jc w:val="both"/>
        <w:rPr>
          <w:rFonts w:ascii="Palatino Linotype" w:eastAsia="Palatino Linotype" w:hAnsi="Palatino Linotype" w:cs="Palatino Linotype"/>
          <w:i/>
        </w:rPr>
      </w:pPr>
      <w:r w:rsidRPr="00157A35">
        <w:rPr>
          <w:rFonts w:ascii="Palatino Linotype" w:eastAsia="Palatino Linotype" w:hAnsi="Palatino Linotype" w:cs="Palatino Linotype"/>
          <w:b/>
          <w:i/>
        </w:rPr>
        <w:t>Artículo 82.</w:t>
      </w:r>
      <w:r w:rsidRPr="00157A35">
        <w:rPr>
          <w:rFonts w:ascii="Palatino Linotype" w:eastAsia="Palatino Linotype" w:hAnsi="Palatino Linotype" w:cs="Palatino Linotype"/>
          <w:i/>
        </w:rPr>
        <w:t xml:space="preserve"> El Instituto, además de las atribuciones encomendadas por la Ley de Transparencia y normatividad aplicable, tendrá las atribuciones siguientes:</w:t>
      </w:r>
    </w:p>
    <w:p w:rsidR="00083BB7" w:rsidRPr="00157A35" w:rsidRDefault="00083BB7" w:rsidP="009D2474">
      <w:pPr>
        <w:tabs>
          <w:tab w:val="left" w:pos="142"/>
          <w:tab w:val="left" w:pos="284"/>
          <w:tab w:val="left" w:pos="426"/>
          <w:tab w:val="left" w:pos="993"/>
        </w:tabs>
        <w:spacing w:line="360" w:lineRule="auto"/>
        <w:ind w:left="567" w:right="255"/>
        <w:jc w:val="both"/>
        <w:rPr>
          <w:rFonts w:ascii="Palatino Linotype" w:eastAsia="Palatino Linotype" w:hAnsi="Palatino Linotype" w:cs="Palatino Linotype"/>
          <w:i/>
        </w:rPr>
      </w:pPr>
      <w:r w:rsidRPr="00157A35">
        <w:rPr>
          <w:rFonts w:ascii="Palatino Linotype" w:eastAsia="Palatino Linotype" w:hAnsi="Palatino Linotype" w:cs="Palatino Linotype"/>
          <w:i/>
        </w:rPr>
        <w:t>(…)</w:t>
      </w:r>
    </w:p>
    <w:p w:rsidR="00083BB7" w:rsidRPr="00157A35" w:rsidRDefault="00083BB7" w:rsidP="009D2474">
      <w:pPr>
        <w:tabs>
          <w:tab w:val="left" w:pos="142"/>
          <w:tab w:val="left" w:pos="284"/>
          <w:tab w:val="left" w:pos="426"/>
          <w:tab w:val="left" w:pos="993"/>
        </w:tabs>
        <w:spacing w:line="360" w:lineRule="auto"/>
        <w:ind w:left="567" w:right="255"/>
        <w:jc w:val="both"/>
        <w:rPr>
          <w:rFonts w:ascii="Palatino Linotype" w:eastAsia="Palatino Linotype" w:hAnsi="Palatino Linotype" w:cs="Palatino Linotype"/>
          <w:i/>
        </w:rPr>
      </w:pPr>
      <w:r w:rsidRPr="00157A35">
        <w:rPr>
          <w:rFonts w:ascii="Palatino Linotype" w:eastAsia="Palatino Linotype" w:hAnsi="Palatino Linotype" w:cs="Palatino Linotype"/>
          <w:b/>
          <w:i/>
        </w:rPr>
        <w:t>XIV.</w:t>
      </w:r>
      <w:r w:rsidRPr="00157A35">
        <w:rPr>
          <w:rFonts w:ascii="Palatino Linotype" w:eastAsia="Palatino Linotype" w:hAnsi="Palatino Linotype" w:cs="Palatino Linotype"/>
          <w:i/>
        </w:rPr>
        <w:t xml:space="preserve"> </w:t>
      </w:r>
      <w:r w:rsidRPr="00157A35">
        <w:rPr>
          <w:rFonts w:ascii="Palatino Linotype" w:eastAsia="Palatino Linotype" w:hAnsi="Palatino Linotype" w:cs="Palatino Linotype"/>
          <w:b/>
          <w:i/>
        </w:rPr>
        <w:t>Formular observaciones y recomendaciones</w:t>
      </w:r>
      <w:r w:rsidRPr="00157A35">
        <w:rPr>
          <w:rFonts w:ascii="Palatino Linotype" w:eastAsia="Palatino Linotype" w:hAnsi="Palatino Linotype" w:cs="Palatino Linotype"/>
          <w:i/>
        </w:rPr>
        <w:t xml:space="preserve"> a los sujetos obligados que incumplan esta Ley.</w:t>
      </w:r>
    </w:p>
    <w:p w:rsidR="00083BB7" w:rsidRPr="00157A35" w:rsidRDefault="00083BB7" w:rsidP="009D2474">
      <w:pPr>
        <w:tabs>
          <w:tab w:val="left" w:pos="142"/>
          <w:tab w:val="left" w:pos="284"/>
          <w:tab w:val="left" w:pos="426"/>
          <w:tab w:val="left" w:pos="993"/>
        </w:tabs>
        <w:spacing w:line="360" w:lineRule="auto"/>
        <w:ind w:left="567" w:right="255"/>
        <w:jc w:val="both"/>
        <w:rPr>
          <w:rFonts w:ascii="Palatino Linotype" w:eastAsia="Palatino Linotype" w:hAnsi="Palatino Linotype" w:cs="Palatino Linotype"/>
          <w:i/>
        </w:rPr>
      </w:pPr>
      <w:r w:rsidRPr="00157A35">
        <w:rPr>
          <w:rFonts w:ascii="Palatino Linotype" w:eastAsia="Palatino Linotype" w:hAnsi="Palatino Linotype" w:cs="Palatino Linotype"/>
          <w:i/>
        </w:rPr>
        <w:t>(…)</w:t>
      </w:r>
    </w:p>
    <w:p w:rsidR="00083BB7" w:rsidRPr="00157A35" w:rsidRDefault="00083BB7" w:rsidP="009D2474">
      <w:pPr>
        <w:tabs>
          <w:tab w:val="left" w:pos="142"/>
          <w:tab w:val="left" w:pos="284"/>
          <w:tab w:val="left" w:pos="426"/>
          <w:tab w:val="left" w:pos="993"/>
        </w:tabs>
        <w:spacing w:line="360" w:lineRule="auto"/>
        <w:ind w:left="567" w:right="255"/>
        <w:jc w:val="both"/>
        <w:rPr>
          <w:rFonts w:ascii="Palatino Linotype" w:eastAsia="Palatino Linotype" w:hAnsi="Palatino Linotype" w:cs="Palatino Linotype"/>
          <w:i/>
        </w:rPr>
      </w:pPr>
      <w:r w:rsidRPr="00157A35">
        <w:rPr>
          <w:rFonts w:ascii="Palatino Linotype" w:eastAsia="Palatino Linotype" w:hAnsi="Palatino Linotype" w:cs="Palatino Linotype"/>
          <w:b/>
          <w:i/>
        </w:rPr>
        <w:t>XXII.</w:t>
      </w:r>
      <w:r w:rsidRPr="00157A35">
        <w:rPr>
          <w:rFonts w:ascii="Palatino Linotype" w:eastAsia="Palatino Linotype" w:hAnsi="Palatino Linotype" w:cs="Palatino Linotype"/>
          <w:i/>
        </w:rPr>
        <w:t xml:space="preserve"> </w:t>
      </w:r>
      <w:r w:rsidRPr="00157A35">
        <w:rPr>
          <w:rFonts w:ascii="Palatino Linotype" w:eastAsia="Palatino Linotype" w:hAnsi="Palatino Linotype" w:cs="Palatino Linotype"/>
          <w:b/>
          <w:i/>
        </w:rPr>
        <w:t>Verificar el cumplimiento</w:t>
      </w:r>
      <w:r w:rsidRPr="00157A35">
        <w:rPr>
          <w:rFonts w:ascii="Palatino Linotype" w:eastAsia="Palatino Linotype" w:hAnsi="Palatino Linotype" w:cs="Palatino Linotype"/>
          <w:i/>
        </w:rPr>
        <w:t xml:space="preserve"> de las disposiciones previstas en esta Ley a través de los procedimientos de revisión que resulten compatibles con las disposiciones de esta Ley.</w:t>
      </w:r>
    </w:p>
    <w:p w:rsidR="00083BB7" w:rsidRPr="00157A35" w:rsidRDefault="00083BB7" w:rsidP="009D2474">
      <w:pPr>
        <w:tabs>
          <w:tab w:val="left" w:pos="142"/>
          <w:tab w:val="left" w:pos="284"/>
          <w:tab w:val="left" w:pos="426"/>
          <w:tab w:val="left" w:pos="993"/>
        </w:tabs>
        <w:spacing w:line="360" w:lineRule="auto"/>
        <w:ind w:left="567" w:right="255"/>
        <w:jc w:val="both"/>
        <w:rPr>
          <w:rFonts w:ascii="Palatino Linotype" w:eastAsia="Palatino Linotype" w:hAnsi="Palatino Linotype" w:cs="Palatino Linotype"/>
          <w:i/>
        </w:rPr>
      </w:pPr>
      <w:r w:rsidRPr="00157A35">
        <w:rPr>
          <w:rFonts w:ascii="Palatino Linotype" w:eastAsia="Palatino Linotype" w:hAnsi="Palatino Linotype" w:cs="Palatino Linotype"/>
          <w:b/>
          <w:i/>
        </w:rPr>
        <w:t>XXIII.</w:t>
      </w:r>
      <w:r w:rsidRPr="00157A35">
        <w:rPr>
          <w:rFonts w:ascii="Palatino Linotype" w:eastAsia="Palatino Linotype" w:hAnsi="Palatino Linotype" w:cs="Palatino Linotype"/>
          <w:i/>
        </w:rPr>
        <w:t xml:space="preserve"> </w:t>
      </w:r>
      <w:r w:rsidRPr="00157A35">
        <w:rPr>
          <w:rFonts w:ascii="Palatino Linotype" w:eastAsia="Palatino Linotype" w:hAnsi="Palatino Linotype" w:cs="Palatino Linotype"/>
          <w:b/>
          <w:i/>
        </w:rPr>
        <w:t>Implementar</w:t>
      </w:r>
      <w:r w:rsidRPr="00157A35">
        <w:rPr>
          <w:rFonts w:ascii="Palatino Linotype" w:eastAsia="Palatino Linotype" w:hAnsi="Palatino Linotype" w:cs="Palatino Linotype"/>
          <w:i/>
        </w:rPr>
        <w:t xml:space="preserve"> los </w:t>
      </w:r>
      <w:r w:rsidRPr="00157A35">
        <w:rPr>
          <w:rFonts w:ascii="Palatino Linotype" w:eastAsia="Palatino Linotype" w:hAnsi="Palatino Linotype" w:cs="Palatino Linotype"/>
          <w:b/>
          <w:i/>
        </w:rPr>
        <w:t>procedimientos</w:t>
      </w:r>
      <w:r w:rsidRPr="00157A35">
        <w:rPr>
          <w:rFonts w:ascii="Palatino Linotype" w:eastAsia="Palatino Linotype" w:hAnsi="Palatino Linotype" w:cs="Palatino Linotype"/>
          <w:i/>
        </w:rPr>
        <w:t xml:space="preserve"> que resulten necesarios </w:t>
      </w:r>
      <w:r w:rsidRPr="00157A35">
        <w:rPr>
          <w:rFonts w:ascii="Palatino Linotype" w:eastAsia="Palatino Linotype" w:hAnsi="Palatino Linotype" w:cs="Palatino Linotype"/>
          <w:b/>
          <w:i/>
        </w:rPr>
        <w:t xml:space="preserve">para el cumplimiento </w:t>
      </w:r>
      <w:r w:rsidRPr="00157A35">
        <w:rPr>
          <w:rFonts w:ascii="Palatino Linotype" w:eastAsia="Palatino Linotype" w:hAnsi="Palatino Linotype" w:cs="Palatino Linotype"/>
          <w:i/>
        </w:rPr>
        <w:t>de las disposiciones de esta Ley y para asegurar la protección de datos personales de los titulares. (…)</w:t>
      </w:r>
    </w:p>
    <w:p w:rsidR="00083BB7" w:rsidRPr="00157A35" w:rsidRDefault="00083BB7" w:rsidP="009D2474">
      <w:pPr>
        <w:tabs>
          <w:tab w:val="left" w:pos="142"/>
          <w:tab w:val="left" w:pos="284"/>
          <w:tab w:val="left" w:pos="426"/>
          <w:tab w:val="left" w:pos="993"/>
        </w:tabs>
        <w:spacing w:line="360" w:lineRule="auto"/>
        <w:ind w:left="567" w:right="255"/>
        <w:jc w:val="both"/>
        <w:rPr>
          <w:rFonts w:ascii="Palatino Linotype" w:eastAsia="Palatino Linotype" w:hAnsi="Palatino Linotype" w:cs="Palatino Linotype"/>
          <w:i/>
        </w:rPr>
      </w:pPr>
      <w:r w:rsidRPr="00157A35">
        <w:rPr>
          <w:rFonts w:ascii="Palatino Linotype" w:eastAsia="Palatino Linotype" w:hAnsi="Palatino Linotype" w:cs="Palatino Linotype"/>
          <w:b/>
          <w:i/>
        </w:rPr>
        <w:t>XXV.</w:t>
      </w:r>
      <w:r w:rsidRPr="00157A35">
        <w:rPr>
          <w:rFonts w:ascii="Palatino Linotype" w:eastAsia="Palatino Linotype" w:hAnsi="Palatino Linotype" w:cs="Palatino Linotype"/>
          <w:i/>
        </w:rPr>
        <w:t xml:space="preserve"> </w:t>
      </w:r>
      <w:r w:rsidRPr="00157A35">
        <w:rPr>
          <w:rFonts w:ascii="Palatino Linotype" w:eastAsia="Palatino Linotype" w:hAnsi="Palatino Linotype" w:cs="Palatino Linotype"/>
          <w:b/>
          <w:i/>
        </w:rPr>
        <w:t>Investigar</w:t>
      </w:r>
      <w:r w:rsidRPr="00157A35">
        <w:rPr>
          <w:rFonts w:ascii="Palatino Linotype" w:eastAsia="Palatino Linotype" w:hAnsi="Palatino Linotype" w:cs="Palatino Linotype"/>
          <w:i/>
        </w:rPr>
        <w:t xml:space="preserve"> las </w:t>
      </w:r>
      <w:r w:rsidRPr="00157A35">
        <w:rPr>
          <w:rFonts w:ascii="Palatino Linotype" w:eastAsia="Palatino Linotype" w:hAnsi="Palatino Linotype" w:cs="Palatino Linotype"/>
          <w:b/>
          <w:i/>
        </w:rPr>
        <w:t>posibles violaciones</w:t>
      </w:r>
      <w:r w:rsidRPr="00157A35">
        <w:rPr>
          <w:rFonts w:ascii="Palatino Linotype" w:eastAsia="Palatino Linotype" w:hAnsi="Palatino Linotype" w:cs="Palatino Linotype"/>
          <w:i/>
        </w:rPr>
        <w:t xml:space="preserve"> a la seguridad de los datos personales a fin de determinar la práctica de verificaciones.</w:t>
      </w:r>
    </w:p>
    <w:p w:rsidR="00083BB7" w:rsidRPr="00157A35" w:rsidRDefault="00083BB7" w:rsidP="009D2474">
      <w:pPr>
        <w:tabs>
          <w:tab w:val="left" w:pos="142"/>
          <w:tab w:val="left" w:pos="284"/>
          <w:tab w:val="left" w:pos="426"/>
          <w:tab w:val="left" w:pos="993"/>
        </w:tabs>
        <w:spacing w:line="360" w:lineRule="auto"/>
        <w:ind w:left="567" w:right="255"/>
        <w:jc w:val="both"/>
        <w:rPr>
          <w:rFonts w:ascii="Palatino Linotype" w:eastAsia="Palatino Linotype" w:hAnsi="Palatino Linotype" w:cs="Palatino Linotype"/>
          <w:i/>
        </w:rPr>
      </w:pPr>
      <w:r w:rsidRPr="00157A35">
        <w:rPr>
          <w:rFonts w:ascii="Palatino Linotype" w:eastAsia="Palatino Linotype" w:hAnsi="Palatino Linotype" w:cs="Palatino Linotype"/>
          <w:i/>
        </w:rPr>
        <w:t>(…)”</w:t>
      </w:r>
    </w:p>
    <w:p w:rsidR="00083BB7" w:rsidRPr="00157A35" w:rsidRDefault="00083BB7" w:rsidP="009D2474">
      <w:pPr>
        <w:tabs>
          <w:tab w:val="left" w:pos="142"/>
          <w:tab w:val="left" w:pos="284"/>
          <w:tab w:val="left" w:pos="426"/>
          <w:tab w:val="left" w:pos="993"/>
        </w:tabs>
        <w:spacing w:line="360" w:lineRule="auto"/>
        <w:ind w:left="567" w:right="255"/>
        <w:jc w:val="both"/>
        <w:rPr>
          <w:rFonts w:ascii="Palatino Linotype" w:eastAsia="Palatino Linotype" w:hAnsi="Palatino Linotype" w:cs="Palatino Linotype"/>
        </w:rPr>
      </w:pPr>
      <w:r w:rsidRPr="00157A35">
        <w:rPr>
          <w:rFonts w:ascii="Palatino Linotype" w:eastAsia="Palatino Linotype" w:hAnsi="Palatino Linotype" w:cs="Palatino Linotype"/>
        </w:rPr>
        <w:t>(Énfasis añadido)</w:t>
      </w:r>
    </w:p>
    <w:p w:rsidR="00083BB7" w:rsidRPr="00157A35" w:rsidRDefault="00083BB7" w:rsidP="009D2474">
      <w:pPr>
        <w:tabs>
          <w:tab w:val="left" w:pos="426"/>
        </w:tabs>
        <w:spacing w:line="360" w:lineRule="auto"/>
        <w:ind w:right="-307"/>
        <w:jc w:val="both"/>
        <w:rPr>
          <w:rFonts w:ascii="Palatino Linotype" w:eastAsia="Palatino Linotype" w:hAnsi="Palatino Linotype" w:cs="Palatino Linotype"/>
          <w:color w:val="000000"/>
        </w:rPr>
      </w:pPr>
    </w:p>
    <w:p w:rsidR="00083BB7" w:rsidRPr="00157A35" w:rsidRDefault="00083BB7" w:rsidP="00157A35">
      <w:pPr>
        <w:pStyle w:val="Prrafodelista"/>
        <w:numPr>
          <w:ilvl w:val="0"/>
          <w:numId w:val="1"/>
        </w:numPr>
        <w:spacing w:line="360" w:lineRule="auto"/>
        <w:ind w:left="0" w:right="-307" w:firstLine="0"/>
        <w:jc w:val="both"/>
        <w:rPr>
          <w:rFonts w:ascii="Palatino Linotype" w:eastAsia="Palatino Linotype" w:hAnsi="Palatino Linotype" w:cs="Palatino Linotype"/>
        </w:rPr>
      </w:pPr>
      <w:r w:rsidRPr="00157A35">
        <w:rPr>
          <w:rFonts w:ascii="Palatino Linotype" w:eastAsia="Palatino Linotype" w:hAnsi="Palatino Linotype" w:cs="Palatino Linotype"/>
        </w:rPr>
        <w:t xml:space="preserve">Por </w:t>
      </w:r>
      <w:r w:rsidRPr="00157A35">
        <w:rPr>
          <w:rFonts w:ascii="Palatino Linotype" w:eastAsia="Palatino Linotype" w:hAnsi="Palatino Linotype" w:cs="Palatino Linotype"/>
          <w:color w:val="000000"/>
        </w:rPr>
        <w:t xml:space="preserve">lo tanto, es menester dar vista a la Dirección General de Protección de Datos Personales de este Instituto para que en ejercicio de sus atribuciones </w:t>
      </w:r>
      <w:r w:rsidRPr="00157A35">
        <w:rPr>
          <w:rFonts w:ascii="Palatino Linotype" w:eastAsia="Palatino Linotype" w:hAnsi="Palatino Linotype" w:cs="Palatino Linotype"/>
        </w:rPr>
        <w:t>atiendan</w:t>
      </w:r>
      <w:r w:rsidRPr="00157A35">
        <w:rPr>
          <w:rFonts w:ascii="Palatino Linotype" w:eastAsia="Palatino Linotype" w:hAnsi="Palatino Linotype" w:cs="Palatino Linotype"/>
          <w:color w:val="000000"/>
        </w:rPr>
        <w:t xml:space="preserve"> las directivas marcadas en la propia Ley de la materia, con fundamento en el artículo 82 de la Ley de la materia, el cual señala la atribución de este Órgano Garante para </w:t>
      </w:r>
      <w:r w:rsidRPr="00157A35">
        <w:rPr>
          <w:rFonts w:ascii="Palatino Linotype" w:eastAsia="Palatino Linotype" w:hAnsi="Palatino Linotype" w:cs="Palatino Linotype"/>
        </w:rPr>
        <w:t>Investigar las posibles violaciones a la seguridad de los datos personales a fin de determinar la práctica de verificaciones.</w:t>
      </w:r>
    </w:p>
    <w:p w:rsidR="00083BB7" w:rsidRPr="00157A35" w:rsidRDefault="00083BB7" w:rsidP="009D2474">
      <w:pPr>
        <w:spacing w:line="360" w:lineRule="auto"/>
        <w:ind w:right="-307"/>
        <w:jc w:val="both"/>
        <w:rPr>
          <w:rFonts w:ascii="Palatino Linotype" w:eastAsia="Palatino Linotype" w:hAnsi="Palatino Linotype" w:cs="Palatino Linotype"/>
        </w:rPr>
      </w:pPr>
    </w:p>
    <w:p w:rsidR="00083BB7" w:rsidRPr="00157A35" w:rsidRDefault="00083BB7" w:rsidP="00157A35">
      <w:pPr>
        <w:pStyle w:val="Prrafodelista"/>
        <w:numPr>
          <w:ilvl w:val="0"/>
          <w:numId w:val="1"/>
        </w:numPr>
        <w:spacing w:line="360" w:lineRule="auto"/>
        <w:ind w:left="0" w:right="-307" w:firstLine="0"/>
        <w:jc w:val="both"/>
        <w:rPr>
          <w:rFonts w:ascii="Palatino Linotype" w:eastAsia="Palatino Linotype" w:hAnsi="Palatino Linotype" w:cs="Palatino Linotype"/>
        </w:rPr>
      </w:pPr>
      <w:r w:rsidRPr="00157A35">
        <w:rPr>
          <w:rFonts w:ascii="Palatino Linotype" w:eastAsia="Palatino Linotype" w:hAnsi="Palatino Linotype" w:cs="Palatino Linotype"/>
        </w:rPr>
        <w:lastRenderedPageBreak/>
        <w:t xml:space="preserve">Por último y no menos importante, se debe enfatizar que tal y como se mencionó en este considerando, el Sujeto Obligado proporcionó información que debió ser clasificada como confidencial, es decir, dejó a la vista datos personales concernientes a la vida privada de los servidores públicos. Por dicha información es menester hacer del conocimiento de la persona que solicitó la información, que ahora se encuentra sujeto a la </w:t>
      </w:r>
      <w:r w:rsidRPr="00157A35">
        <w:rPr>
          <w:rFonts w:ascii="Palatino Linotype" w:eastAsia="Palatino Linotype" w:hAnsi="Palatino Linotype" w:cs="Palatino Linotype"/>
          <w:b/>
        </w:rPr>
        <w:t>LEY FEDERAL DE PROTECCIÓN DE DATOS PERSONALES EN POSESIÓN DE LOS PARTICULARES</w:t>
      </w:r>
      <w:r w:rsidRPr="00157A35">
        <w:rPr>
          <w:rFonts w:ascii="Palatino Linotype" w:eastAsia="Palatino Linotype" w:hAnsi="Palatino Linotype" w:cs="Palatino Linotype"/>
        </w:rPr>
        <w:t xml:space="preserve"> que señala puntualmente en su artículo 1 lo siguiente:</w:t>
      </w:r>
    </w:p>
    <w:p w:rsidR="00083BB7" w:rsidRPr="00157A35" w:rsidRDefault="00083BB7" w:rsidP="009D2474">
      <w:pPr>
        <w:spacing w:line="360" w:lineRule="auto"/>
        <w:ind w:left="567" w:right="396"/>
        <w:jc w:val="both"/>
        <w:rPr>
          <w:rFonts w:ascii="Palatino Linotype" w:eastAsia="Palatino Linotype" w:hAnsi="Palatino Linotype" w:cs="Palatino Linotype"/>
          <w:i/>
        </w:rPr>
      </w:pPr>
      <w:r w:rsidRPr="00157A35">
        <w:rPr>
          <w:rFonts w:ascii="Palatino Linotype" w:eastAsia="Palatino Linotype" w:hAnsi="Palatino Linotype" w:cs="Palatino Linotype"/>
          <w:i/>
        </w:rPr>
        <w:t xml:space="preserve">Artículo 1.- La presente Ley es de orden público y de observancia general en toda la República y </w:t>
      </w:r>
      <w:r w:rsidRPr="00157A35">
        <w:rPr>
          <w:rFonts w:ascii="Palatino Linotype" w:eastAsia="Palatino Linotype" w:hAnsi="Palatino Linotype" w:cs="Palatino Linotype"/>
          <w:b/>
          <w:i/>
        </w:rPr>
        <w:t>tiene por objeto la protección de los datos personales en posesión de los particulares</w:t>
      </w:r>
      <w:r w:rsidRPr="00157A35">
        <w:rPr>
          <w:rFonts w:ascii="Palatino Linotype" w:eastAsia="Palatino Linotype" w:hAnsi="Palatino Linotype" w:cs="Palatino Linotype"/>
          <w:i/>
        </w:rPr>
        <w:t>, con la finalidad de regular su tratamiento legítimo, controlado e informado, a efecto de garantizar la privacidad y el derecho a la autodeterminación informativa de las personas.</w:t>
      </w:r>
    </w:p>
    <w:p w:rsidR="00083BB7" w:rsidRPr="00157A35" w:rsidRDefault="00083BB7" w:rsidP="009D2474">
      <w:pPr>
        <w:spacing w:line="360" w:lineRule="auto"/>
        <w:ind w:left="708" w:right="-307" w:hanging="708"/>
        <w:jc w:val="both"/>
        <w:rPr>
          <w:rFonts w:ascii="Palatino Linotype" w:eastAsia="Palatino Linotype" w:hAnsi="Palatino Linotype" w:cs="Palatino Linotype"/>
          <w:b/>
        </w:rPr>
      </w:pPr>
    </w:p>
    <w:p w:rsidR="00083BB7" w:rsidRPr="00157A35" w:rsidRDefault="00083BB7" w:rsidP="00157A35">
      <w:pPr>
        <w:pStyle w:val="Prrafodelista"/>
        <w:numPr>
          <w:ilvl w:val="0"/>
          <w:numId w:val="1"/>
        </w:numPr>
        <w:spacing w:line="360" w:lineRule="auto"/>
        <w:ind w:left="0" w:right="-307" w:firstLine="0"/>
        <w:jc w:val="both"/>
        <w:rPr>
          <w:rFonts w:ascii="Palatino Linotype" w:eastAsia="Palatino Linotype" w:hAnsi="Palatino Linotype" w:cs="Palatino Linotype"/>
        </w:rPr>
      </w:pPr>
      <w:r w:rsidRPr="00157A35">
        <w:rPr>
          <w:rFonts w:ascii="Palatino Linotype" w:eastAsia="Palatino Linotype" w:hAnsi="Palatino Linotype" w:cs="Palatino Linotype"/>
        </w:rPr>
        <w:t>En ese escenario, el particular deberá de ser responsable en el buen uso de la información proporcionada, pues se trata de datos personales que le fueron proporcionados por haber incurrido en una probable violación a la privacidad de las personas.</w:t>
      </w:r>
    </w:p>
    <w:p w:rsidR="00083BB7" w:rsidRPr="00157A35" w:rsidRDefault="00083BB7" w:rsidP="009D2474">
      <w:pPr>
        <w:pStyle w:val="Prrafodelista"/>
        <w:spacing w:line="360" w:lineRule="auto"/>
        <w:rPr>
          <w:rFonts w:ascii="Palatino Linotype" w:eastAsia="Palatino Linotype" w:hAnsi="Palatino Linotype" w:cs="Palatino Linotype"/>
        </w:rPr>
      </w:pPr>
    </w:p>
    <w:p w:rsidR="0044042A" w:rsidRPr="00157A35" w:rsidRDefault="0044042A" w:rsidP="009D2474">
      <w:pPr>
        <w:numPr>
          <w:ilvl w:val="0"/>
          <w:numId w:val="1"/>
        </w:numPr>
        <w:pBdr>
          <w:top w:val="nil"/>
          <w:left w:val="nil"/>
          <w:bottom w:val="nil"/>
          <w:right w:val="nil"/>
          <w:between w:val="nil"/>
        </w:pBdr>
        <w:spacing w:line="360" w:lineRule="auto"/>
        <w:ind w:left="0" w:right="49" w:firstLine="0"/>
        <w:jc w:val="both"/>
        <w:rPr>
          <w:rFonts w:ascii="Palatino Linotype" w:hAnsi="Palatino Linotype" w:cs="Arial"/>
          <w:color w:val="000000" w:themeColor="text1"/>
        </w:rPr>
      </w:pPr>
      <w:r w:rsidRPr="00157A35">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r w:rsidRPr="00157A35">
        <w:rPr>
          <w:rFonts w:ascii="Palatino Linotype" w:eastAsia="Palatino Linotype" w:hAnsi="Palatino Linotype" w:cs="Palatino Linotype"/>
          <w:color w:val="000000"/>
        </w:rPr>
        <w:t xml:space="preserve"> emite los siguientes:</w:t>
      </w:r>
      <w:r w:rsidR="00157A35">
        <w:rPr>
          <w:rFonts w:ascii="Palatino Linotype" w:eastAsia="Palatino Linotype" w:hAnsi="Palatino Linotype" w:cs="Palatino Linotype"/>
          <w:color w:val="000000"/>
        </w:rPr>
        <w:t xml:space="preserve"> --------------------------------------------------------------------------------------</w:t>
      </w:r>
    </w:p>
    <w:p w:rsidR="00157A35" w:rsidRDefault="00157A35" w:rsidP="00157A35">
      <w:pPr>
        <w:pStyle w:val="Prrafodelista"/>
        <w:rPr>
          <w:rFonts w:ascii="Palatino Linotype" w:hAnsi="Palatino Linotype" w:cs="Arial"/>
          <w:color w:val="000000" w:themeColor="text1"/>
        </w:rPr>
      </w:pPr>
    </w:p>
    <w:p w:rsidR="00157A35" w:rsidRDefault="00157A35" w:rsidP="00157A35">
      <w:pPr>
        <w:pBdr>
          <w:top w:val="nil"/>
          <w:left w:val="nil"/>
          <w:bottom w:val="nil"/>
          <w:right w:val="nil"/>
          <w:between w:val="nil"/>
        </w:pBdr>
        <w:spacing w:line="360" w:lineRule="auto"/>
        <w:ind w:right="49"/>
        <w:jc w:val="both"/>
        <w:rPr>
          <w:rFonts w:ascii="Palatino Linotype" w:hAnsi="Palatino Linotype" w:cs="Arial"/>
          <w:color w:val="000000" w:themeColor="text1"/>
        </w:rPr>
      </w:pPr>
    </w:p>
    <w:p w:rsidR="0044042A" w:rsidRPr="00157A35" w:rsidRDefault="0044042A" w:rsidP="009D2474">
      <w:pPr>
        <w:pBdr>
          <w:top w:val="nil"/>
          <w:left w:val="nil"/>
          <w:bottom w:val="nil"/>
          <w:right w:val="nil"/>
          <w:between w:val="nil"/>
        </w:pBdr>
        <w:spacing w:line="360" w:lineRule="auto"/>
        <w:jc w:val="center"/>
        <w:rPr>
          <w:rFonts w:ascii="Palatino Linotype" w:eastAsia="Palatino Linotype" w:hAnsi="Palatino Linotype" w:cs="Palatino Linotype"/>
          <w:b/>
        </w:rPr>
      </w:pPr>
      <w:r w:rsidRPr="00157A35">
        <w:rPr>
          <w:rFonts w:ascii="Palatino Linotype" w:eastAsia="Palatino Linotype" w:hAnsi="Palatino Linotype" w:cs="Palatino Linotype"/>
          <w:b/>
        </w:rPr>
        <w:lastRenderedPageBreak/>
        <w:t>R E S O L U T I V O S</w:t>
      </w:r>
    </w:p>
    <w:p w:rsidR="0044042A" w:rsidRPr="00157A35" w:rsidRDefault="0044042A" w:rsidP="00CD36ED">
      <w:pPr>
        <w:pBdr>
          <w:top w:val="nil"/>
          <w:left w:val="nil"/>
          <w:bottom w:val="nil"/>
          <w:right w:val="nil"/>
          <w:between w:val="nil"/>
        </w:pBdr>
        <w:spacing w:line="360" w:lineRule="auto"/>
        <w:jc w:val="center"/>
        <w:rPr>
          <w:rFonts w:ascii="Palatino Linotype" w:eastAsia="Palatino Linotype" w:hAnsi="Palatino Linotype" w:cs="Palatino Linotype"/>
          <w:b/>
        </w:rPr>
      </w:pPr>
    </w:p>
    <w:p w:rsidR="0044042A" w:rsidRPr="00157A35" w:rsidRDefault="0044042A" w:rsidP="009D2474">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157A35">
        <w:rPr>
          <w:rFonts w:ascii="Palatino Linotype" w:eastAsia="Palatino Linotype" w:hAnsi="Palatino Linotype" w:cs="Palatino Linotype"/>
          <w:b/>
          <w:color w:val="000000"/>
        </w:rPr>
        <w:t xml:space="preserve">PRIMERO. </w:t>
      </w:r>
      <w:r w:rsidRPr="00157A35">
        <w:rPr>
          <w:rFonts w:ascii="Palatino Linotype" w:eastAsia="Palatino Linotype" w:hAnsi="Palatino Linotype" w:cs="Palatino Linotype"/>
          <w:color w:val="000000"/>
        </w:rPr>
        <w:t xml:space="preserve">Se </w:t>
      </w:r>
      <w:r w:rsidRPr="00157A35">
        <w:rPr>
          <w:rFonts w:ascii="Palatino Linotype" w:eastAsia="Palatino Linotype" w:hAnsi="Palatino Linotype" w:cs="Palatino Linotype"/>
          <w:b/>
          <w:color w:val="000000"/>
        </w:rPr>
        <w:t>SOBRESEE</w:t>
      </w:r>
      <w:r w:rsidRPr="00157A35">
        <w:rPr>
          <w:rFonts w:ascii="Palatino Linotype" w:eastAsia="Palatino Linotype" w:hAnsi="Palatino Linotype" w:cs="Palatino Linotype"/>
          <w:color w:val="000000"/>
        </w:rPr>
        <w:t xml:space="preserve"> el Recurso de Revisión número </w:t>
      </w:r>
      <w:r w:rsidRPr="00157A35">
        <w:rPr>
          <w:rFonts w:ascii="Palatino Linotype" w:eastAsia="Palatino Linotype" w:hAnsi="Palatino Linotype" w:cs="Palatino Linotype"/>
          <w:b/>
          <w:color w:val="000000"/>
        </w:rPr>
        <w:t>06753/INFOEM/IP/RR/2025</w:t>
      </w:r>
      <w:r w:rsidRPr="00157A35">
        <w:rPr>
          <w:rFonts w:ascii="Palatino Linotype" w:eastAsia="Palatino Linotype" w:hAnsi="Palatino Linotype" w:cs="Palatino Linotype"/>
          <w:color w:val="000000"/>
        </w:rPr>
        <w:t>, conforme al artículo 192</w:t>
      </w:r>
      <w:r w:rsidR="004B7149" w:rsidRPr="00157A35">
        <w:rPr>
          <w:rFonts w:ascii="Palatino Linotype" w:eastAsia="Palatino Linotype" w:hAnsi="Palatino Linotype" w:cs="Palatino Linotype"/>
          <w:color w:val="000000"/>
        </w:rPr>
        <w:t>,</w:t>
      </w:r>
      <w:r w:rsidRPr="00157A35">
        <w:rPr>
          <w:rFonts w:ascii="Palatino Linotype" w:eastAsia="Palatino Linotype" w:hAnsi="Palatino Linotype" w:cs="Palatino Linotype"/>
          <w:color w:val="000000"/>
        </w:rPr>
        <w:t xml:space="preserve"> fracción III</w:t>
      </w:r>
      <w:r w:rsidR="004B7149" w:rsidRPr="00157A35">
        <w:rPr>
          <w:rFonts w:ascii="Palatino Linotype" w:eastAsia="Palatino Linotype" w:hAnsi="Palatino Linotype" w:cs="Palatino Linotype"/>
          <w:color w:val="000000"/>
        </w:rPr>
        <w:t>,</w:t>
      </w:r>
      <w:r w:rsidRPr="00157A35">
        <w:rPr>
          <w:rFonts w:ascii="Palatino Linotype" w:eastAsia="Palatino Linotype" w:hAnsi="Palatino Linotype" w:cs="Palatino Linotype"/>
        </w:rPr>
        <w:t xml:space="preserve"> de la Ley de Transparencia y Acceso a la Información Pública del Estado de México y Municipios</w:t>
      </w:r>
      <w:r w:rsidRPr="00157A35">
        <w:rPr>
          <w:rFonts w:ascii="Palatino Linotype" w:eastAsia="Palatino Linotype" w:hAnsi="Palatino Linotype" w:cs="Palatino Linotype"/>
          <w:color w:val="000000"/>
        </w:rPr>
        <w:t xml:space="preserve">, porque al modificar su respuesta el </w:t>
      </w:r>
      <w:r w:rsidRPr="00157A35">
        <w:rPr>
          <w:rFonts w:ascii="Palatino Linotype" w:eastAsia="Palatino Linotype" w:hAnsi="Palatino Linotype" w:cs="Palatino Linotype"/>
          <w:b/>
          <w:color w:val="000000"/>
        </w:rPr>
        <w:t>SUJETO OBLIGADO</w:t>
      </w:r>
      <w:r w:rsidRPr="00157A35">
        <w:rPr>
          <w:rFonts w:ascii="Palatino Linotype" w:eastAsia="Palatino Linotype" w:hAnsi="Palatino Linotype" w:cs="Palatino Linotype"/>
          <w:color w:val="000000"/>
        </w:rPr>
        <w:t xml:space="preserve">; el Recurso de Revisión quedó sin materia en términos del  Considerando </w:t>
      </w:r>
      <w:r w:rsidRPr="00157A35">
        <w:rPr>
          <w:rFonts w:ascii="Palatino Linotype" w:eastAsia="Palatino Linotype" w:hAnsi="Palatino Linotype" w:cs="Palatino Linotype"/>
          <w:b/>
          <w:color w:val="000000"/>
        </w:rPr>
        <w:t>TERCERO</w:t>
      </w:r>
      <w:r w:rsidRPr="00157A35">
        <w:rPr>
          <w:rFonts w:ascii="Palatino Linotype" w:eastAsia="Palatino Linotype" w:hAnsi="Palatino Linotype" w:cs="Palatino Linotype"/>
          <w:color w:val="000000"/>
        </w:rPr>
        <w:t xml:space="preserve"> de la presente Resolución.</w:t>
      </w:r>
    </w:p>
    <w:p w:rsidR="0044042A" w:rsidRPr="00157A35" w:rsidRDefault="0044042A" w:rsidP="009D2474">
      <w:pPr>
        <w:spacing w:line="360" w:lineRule="auto"/>
        <w:ind w:right="49"/>
        <w:jc w:val="both"/>
        <w:rPr>
          <w:rFonts w:ascii="Palatino Linotype" w:eastAsia="Palatino Linotype" w:hAnsi="Palatino Linotype" w:cs="Palatino Linotype"/>
          <w:b/>
        </w:rPr>
      </w:pPr>
    </w:p>
    <w:p w:rsidR="0044042A" w:rsidRPr="009D2474" w:rsidRDefault="0044042A" w:rsidP="009D2474">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bookmarkStart w:id="32" w:name="_heading=h.35nkun2" w:colFirst="0" w:colLast="0"/>
      <w:bookmarkEnd w:id="32"/>
      <w:r w:rsidRPr="00157A35">
        <w:rPr>
          <w:rFonts w:ascii="Palatino Linotype" w:eastAsia="Palatino Linotype" w:hAnsi="Palatino Linotype" w:cs="Palatino Linotype"/>
          <w:b/>
          <w:color w:val="000000"/>
        </w:rPr>
        <w:t xml:space="preserve">SEGUNDO. Notifíquese </w:t>
      </w:r>
      <w:r w:rsidRPr="00157A35">
        <w:rPr>
          <w:rFonts w:ascii="Palatino Linotype" w:eastAsia="Palatino Linotype" w:hAnsi="Palatino Linotype" w:cs="Palatino Linotype"/>
          <w:color w:val="000000"/>
        </w:rPr>
        <w:t>a través del Sistema de Acceso a la Información</w:t>
      </w:r>
      <w:r w:rsidRPr="009D2474">
        <w:rPr>
          <w:rFonts w:ascii="Palatino Linotype" w:eastAsia="Palatino Linotype" w:hAnsi="Palatino Linotype" w:cs="Palatino Linotype"/>
          <w:color w:val="000000"/>
        </w:rPr>
        <w:t xml:space="preserve"> Mexiquense </w:t>
      </w:r>
      <w:r w:rsidRPr="009D2474">
        <w:rPr>
          <w:rFonts w:ascii="Palatino Linotype" w:eastAsia="Palatino Linotype" w:hAnsi="Palatino Linotype" w:cs="Palatino Linotype"/>
          <w:b/>
          <w:color w:val="000000"/>
        </w:rPr>
        <w:t xml:space="preserve">(SAIMEX) </w:t>
      </w:r>
      <w:r w:rsidRPr="009D2474">
        <w:rPr>
          <w:rFonts w:ascii="Palatino Linotype" w:eastAsia="Palatino Linotype" w:hAnsi="Palatino Linotype" w:cs="Palatino Linotype"/>
          <w:color w:val="000000"/>
        </w:rPr>
        <w:t>la presente Resolución al Titular de la Unidad de Transparencia del</w:t>
      </w:r>
      <w:r w:rsidRPr="009D2474">
        <w:rPr>
          <w:rFonts w:ascii="Palatino Linotype" w:eastAsia="Palatino Linotype" w:hAnsi="Palatino Linotype" w:cs="Palatino Linotype"/>
          <w:b/>
          <w:color w:val="000000"/>
        </w:rPr>
        <w:t xml:space="preserve"> SUJETO OBLIGADO</w:t>
      </w:r>
      <w:r w:rsidRPr="009D2474">
        <w:rPr>
          <w:rFonts w:ascii="Palatino Linotype" w:eastAsia="Palatino Linotype" w:hAnsi="Palatino Linotype" w:cs="Palatino Linotype"/>
          <w:color w:val="000000"/>
        </w:rPr>
        <w:t>, para su conocimiento.</w:t>
      </w:r>
      <w:r w:rsidRPr="009D2474">
        <w:rPr>
          <w:rFonts w:ascii="Palatino Linotype" w:eastAsia="Palatino Linotype" w:hAnsi="Palatino Linotype" w:cs="Palatino Linotype"/>
          <w:b/>
          <w:color w:val="000000"/>
        </w:rPr>
        <w:t xml:space="preserve"> </w:t>
      </w:r>
    </w:p>
    <w:p w:rsidR="0044042A" w:rsidRPr="009D2474" w:rsidRDefault="0044042A" w:rsidP="009D2474">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p>
    <w:p w:rsidR="0044042A" w:rsidRDefault="0044042A" w:rsidP="009D2474">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r w:rsidRPr="009D2474">
        <w:rPr>
          <w:rFonts w:ascii="Palatino Linotype" w:eastAsia="Palatino Linotype" w:hAnsi="Palatino Linotype" w:cs="Palatino Linotype"/>
          <w:b/>
          <w:color w:val="000000"/>
        </w:rPr>
        <w:t xml:space="preserve">TERCERO. Notifíquese </w:t>
      </w:r>
      <w:r w:rsidRPr="009D2474">
        <w:rPr>
          <w:rFonts w:ascii="Palatino Linotype" w:eastAsia="Palatino Linotype" w:hAnsi="Palatino Linotype" w:cs="Palatino Linotype"/>
          <w:color w:val="000000"/>
        </w:rPr>
        <w:t xml:space="preserve">a </w:t>
      </w:r>
      <w:r w:rsidRPr="009D2474">
        <w:rPr>
          <w:rFonts w:ascii="Palatino Linotype" w:eastAsia="Palatino Linotype" w:hAnsi="Palatino Linotype" w:cs="Palatino Linotype"/>
          <w:b/>
          <w:color w:val="000000"/>
        </w:rPr>
        <w:t xml:space="preserve">EL RECURRENTE </w:t>
      </w:r>
      <w:r w:rsidRPr="009D2474">
        <w:rPr>
          <w:rFonts w:ascii="Palatino Linotype" w:eastAsia="Palatino Linotype" w:hAnsi="Palatino Linotype" w:cs="Palatino Linotype"/>
          <w:color w:val="000000"/>
        </w:rPr>
        <w:t xml:space="preserve">la presente Resolución, vía </w:t>
      </w:r>
      <w:r w:rsidRPr="009D2474">
        <w:rPr>
          <w:rFonts w:ascii="Palatino Linotype" w:eastAsia="Palatino Linotype" w:hAnsi="Palatino Linotype" w:cs="Palatino Linotype"/>
          <w:b/>
          <w:color w:val="000000"/>
        </w:rPr>
        <w:t>SAIMEX.</w:t>
      </w:r>
    </w:p>
    <w:p w:rsidR="00CD36ED" w:rsidRPr="009D2474" w:rsidRDefault="00CD36ED" w:rsidP="009D2474">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44042A" w:rsidRPr="009D2474" w:rsidRDefault="0044042A" w:rsidP="009D2474">
      <w:pPr>
        <w:shd w:val="clear" w:color="auto" w:fill="FFFFFF"/>
        <w:spacing w:line="360" w:lineRule="auto"/>
        <w:ind w:right="49"/>
        <w:jc w:val="both"/>
        <w:rPr>
          <w:rFonts w:ascii="Palatino Linotype" w:eastAsia="Palatino Linotype" w:hAnsi="Palatino Linotype" w:cs="Palatino Linotype"/>
        </w:rPr>
      </w:pPr>
      <w:r w:rsidRPr="009D2474">
        <w:rPr>
          <w:rFonts w:ascii="Palatino Linotype" w:eastAsia="Palatino Linotype" w:hAnsi="Palatino Linotype" w:cs="Palatino Linotype"/>
          <w:b/>
        </w:rPr>
        <w:t>CUARTO.</w:t>
      </w:r>
      <w:r w:rsidRPr="009D2474">
        <w:rPr>
          <w:rFonts w:ascii="Palatino Linotype" w:eastAsia="Palatino Linotype" w:hAnsi="Palatino Linotype" w:cs="Palatino Linotype"/>
        </w:rPr>
        <w:t xml:space="preserve"> Se hace del conocimiento de </w:t>
      </w:r>
      <w:r w:rsidRPr="009D2474">
        <w:rPr>
          <w:rFonts w:ascii="Palatino Linotype" w:eastAsia="Palatino Linotype" w:hAnsi="Palatino Linotype" w:cs="Palatino Linotype"/>
          <w:b/>
        </w:rPr>
        <w:t xml:space="preserve">EL RECURRENTE </w:t>
      </w:r>
      <w:r w:rsidRPr="009D2474">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083BB7" w:rsidRPr="009D2474" w:rsidRDefault="00083BB7" w:rsidP="009D2474">
      <w:pPr>
        <w:shd w:val="clear" w:color="auto" w:fill="FFFFFF"/>
        <w:spacing w:line="360" w:lineRule="auto"/>
        <w:ind w:right="49"/>
        <w:jc w:val="both"/>
        <w:rPr>
          <w:rFonts w:ascii="Palatino Linotype" w:eastAsia="Palatino Linotype" w:hAnsi="Palatino Linotype" w:cs="Palatino Linotype"/>
        </w:rPr>
      </w:pPr>
    </w:p>
    <w:p w:rsidR="00083BB7" w:rsidRPr="009D2474" w:rsidRDefault="00083BB7" w:rsidP="009D2474">
      <w:pPr>
        <w:shd w:val="clear" w:color="auto" w:fill="FFFFFF"/>
        <w:spacing w:line="360" w:lineRule="auto"/>
        <w:ind w:right="-307"/>
        <w:jc w:val="both"/>
        <w:rPr>
          <w:rFonts w:ascii="Palatino Linotype" w:eastAsia="Palatino Linotype" w:hAnsi="Palatino Linotype" w:cs="Palatino Linotype"/>
        </w:rPr>
      </w:pPr>
      <w:r w:rsidRPr="00157A35">
        <w:rPr>
          <w:rFonts w:ascii="Palatino Linotype" w:eastAsia="Palatino Linotype" w:hAnsi="Palatino Linotype" w:cs="Palatino Linotype"/>
          <w:b/>
        </w:rPr>
        <w:t>QUINTO</w:t>
      </w:r>
      <w:r w:rsidRPr="00157A35">
        <w:rPr>
          <w:rFonts w:ascii="Palatino Linotype" w:eastAsia="Palatino Linotype" w:hAnsi="Palatino Linotype" w:cs="Palatino Linotype"/>
        </w:rPr>
        <w:t xml:space="preserve">. Con fundamento en lo dispuesto en los artículos 14, fracción XXVI y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w:t>
      </w:r>
      <w:r w:rsidRPr="00157A35">
        <w:rPr>
          <w:rFonts w:ascii="Palatino Linotype" w:eastAsia="Palatino Linotype" w:hAnsi="Palatino Linotype" w:cs="Palatino Linotype"/>
          <w:b/>
        </w:rPr>
        <w:t>TERCERO</w:t>
      </w:r>
      <w:r w:rsidRPr="00157A35">
        <w:rPr>
          <w:rFonts w:ascii="Palatino Linotype" w:eastAsia="Palatino Linotype" w:hAnsi="Palatino Linotype" w:cs="Palatino Linotype"/>
        </w:rPr>
        <w:t xml:space="preserve"> de la presente Resolución.</w:t>
      </w:r>
    </w:p>
    <w:p w:rsidR="00E76FEF" w:rsidRDefault="00E76FEF" w:rsidP="00E76FEF">
      <w:pPr>
        <w:spacing w:before="240" w:after="240" w:line="360" w:lineRule="auto"/>
        <w:ind w:firstLine="1"/>
        <w:jc w:val="both"/>
        <w:rPr>
          <w:rFonts w:ascii="Palatino Linotype" w:hAnsi="Palatino Linotype"/>
        </w:rPr>
      </w:pPr>
      <w:bookmarkStart w:id="33" w:name="_Hlk99014733"/>
      <w:r>
        <w:rPr>
          <w:rFonts w:ascii="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VEINTIUNO (21) DE ENERO DE DOS MIL VEINTISÉIS, ANTE EL SECRETARIO TÉCNICO DEL PLENO </w:t>
      </w:r>
      <w:r w:rsidRPr="008304B6">
        <w:rPr>
          <w:rFonts w:ascii="Palatino Linotype" w:hAnsi="Palatino Linotype" w:cs="Palatino Linotype"/>
          <w:color w:val="000000" w:themeColor="text1"/>
        </w:rPr>
        <w:t>ALEXIS TAPIA RAMÍREZ.</w:t>
      </w:r>
    </w:p>
    <w:bookmarkEnd w:id="33"/>
    <w:p w:rsidR="00B84DF1" w:rsidRPr="009D2474" w:rsidRDefault="00B84DF1" w:rsidP="009D2474">
      <w:pPr>
        <w:spacing w:line="360" w:lineRule="auto"/>
        <w:ind w:right="49"/>
        <w:jc w:val="both"/>
        <w:rPr>
          <w:rFonts w:ascii="Palatino Linotype" w:eastAsia="Palatino Linotype" w:hAnsi="Palatino Linotype" w:cs="Palatino Linotype"/>
        </w:rPr>
      </w:pPr>
    </w:p>
    <w:p w:rsidR="00B84DF1" w:rsidRPr="009D2474" w:rsidRDefault="00B84DF1" w:rsidP="009D2474">
      <w:pPr>
        <w:spacing w:line="360" w:lineRule="auto"/>
        <w:ind w:right="49"/>
        <w:jc w:val="both"/>
        <w:rPr>
          <w:rFonts w:ascii="Palatino Linotype" w:eastAsia="Palatino Linotype" w:hAnsi="Palatino Linotype" w:cs="Palatino Linotype"/>
        </w:rPr>
      </w:pPr>
    </w:p>
    <w:p w:rsidR="00B84DF1" w:rsidRPr="009D2474" w:rsidRDefault="00B84DF1" w:rsidP="009D2474">
      <w:pPr>
        <w:spacing w:line="360" w:lineRule="auto"/>
        <w:ind w:right="49"/>
        <w:jc w:val="both"/>
        <w:rPr>
          <w:rFonts w:ascii="Palatino Linotype" w:eastAsia="Palatino Linotype" w:hAnsi="Palatino Linotype" w:cs="Palatino Linotype"/>
        </w:rPr>
      </w:pPr>
    </w:p>
    <w:p w:rsidR="00B84DF1" w:rsidRPr="009D2474" w:rsidRDefault="00B84DF1" w:rsidP="009D2474">
      <w:pPr>
        <w:spacing w:line="360" w:lineRule="auto"/>
        <w:ind w:right="49"/>
        <w:jc w:val="both"/>
        <w:rPr>
          <w:rFonts w:ascii="Palatino Linotype" w:eastAsia="Palatino Linotype" w:hAnsi="Palatino Linotype" w:cs="Palatino Linotype"/>
        </w:rPr>
      </w:pPr>
    </w:p>
    <w:p w:rsidR="00B84DF1" w:rsidRPr="009D2474" w:rsidRDefault="00B84DF1" w:rsidP="009D2474">
      <w:pPr>
        <w:spacing w:line="360" w:lineRule="auto"/>
        <w:ind w:right="49"/>
        <w:rPr>
          <w:rFonts w:ascii="Palatino Linotype" w:eastAsia="Palatino Linotype" w:hAnsi="Palatino Linotype" w:cs="Palatino Linotype"/>
        </w:rPr>
      </w:pPr>
    </w:p>
    <w:p w:rsidR="00B84DF1" w:rsidRPr="009D2474" w:rsidRDefault="00B84DF1" w:rsidP="009D2474">
      <w:pPr>
        <w:spacing w:line="360" w:lineRule="auto"/>
        <w:ind w:right="49"/>
        <w:rPr>
          <w:rFonts w:ascii="Palatino Linotype" w:eastAsia="Palatino Linotype" w:hAnsi="Palatino Linotype" w:cs="Palatino Linotype"/>
        </w:rPr>
      </w:pPr>
    </w:p>
    <w:p w:rsidR="00B84DF1" w:rsidRPr="009D2474" w:rsidRDefault="00B84DF1" w:rsidP="009D2474">
      <w:pPr>
        <w:spacing w:line="360" w:lineRule="auto"/>
        <w:ind w:right="49"/>
        <w:rPr>
          <w:rFonts w:ascii="Palatino Linotype" w:eastAsia="Palatino Linotype" w:hAnsi="Palatino Linotype" w:cs="Palatino Linotype"/>
        </w:rPr>
      </w:pPr>
    </w:p>
    <w:p w:rsidR="00B84DF1" w:rsidRPr="009D2474" w:rsidRDefault="00B84DF1" w:rsidP="009D2474">
      <w:pPr>
        <w:spacing w:line="360" w:lineRule="auto"/>
        <w:ind w:right="49"/>
        <w:rPr>
          <w:rFonts w:ascii="Palatino Linotype" w:eastAsia="Palatino Linotype" w:hAnsi="Palatino Linotype" w:cs="Palatino Linotype"/>
        </w:rPr>
      </w:pPr>
    </w:p>
    <w:p w:rsidR="00B84DF1" w:rsidRPr="009D2474" w:rsidRDefault="00B84DF1" w:rsidP="009D2474">
      <w:pPr>
        <w:spacing w:line="360" w:lineRule="auto"/>
        <w:ind w:right="49"/>
        <w:rPr>
          <w:rFonts w:ascii="Palatino Linotype" w:eastAsia="Palatino Linotype" w:hAnsi="Palatino Linotype" w:cs="Palatino Linotype"/>
        </w:rPr>
      </w:pPr>
    </w:p>
    <w:p w:rsidR="00B84DF1" w:rsidRPr="009D2474" w:rsidRDefault="00B84DF1" w:rsidP="009D2474">
      <w:pPr>
        <w:spacing w:line="360" w:lineRule="auto"/>
        <w:ind w:right="49"/>
        <w:rPr>
          <w:rFonts w:ascii="Palatino Linotype" w:eastAsia="Palatino Linotype" w:hAnsi="Palatino Linotype" w:cs="Palatino Linotype"/>
        </w:rPr>
      </w:pPr>
    </w:p>
    <w:p w:rsidR="00B84DF1" w:rsidRPr="009D2474" w:rsidRDefault="00B84DF1" w:rsidP="009D2474">
      <w:pPr>
        <w:spacing w:line="360" w:lineRule="auto"/>
        <w:ind w:right="49"/>
        <w:rPr>
          <w:rFonts w:ascii="Palatino Linotype" w:eastAsia="Palatino Linotype" w:hAnsi="Palatino Linotype" w:cs="Palatino Linotype"/>
        </w:rPr>
      </w:pPr>
    </w:p>
    <w:p w:rsidR="00B84DF1" w:rsidRPr="009D2474" w:rsidRDefault="009D3673" w:rsidP="009D2474">
      <w:pPr>
        <w:tabs>
          <w:tab w:val="left" w:pos="3374"/>
        </w:tabs>
        <w:spacing w:line="360" w:lineRule="auto"/>
        <w:ind w:right="49"/>
        <w:rPr>
          <w:rFonts w:ascii="Palatino Linotype" w:eastAsia="Palatino Linotype" w:hAnsi="Palatino Linotype" w:cs="Palatino Linotype"/>
        </w:rPr>
      </w:pPr>
      <w:r w:rsidRPr="009D2474">
        <w:rPr>
          <w:rFonts w:ascii="Palatino Linotype" w:eastAsia="Palatino Linotype" w:hAnsi="Palatino Linotype" w:cs="Palatino Linotype"/>
        </w:rPr>
        <w:tab/>
      </w:r>
    </w:p>
    <w:p w:rsidR="00B84DF1" w:rsidRPr="009D2474" w:rsidRDefault="00B84DF1" w:rsidP="009D2474">
      <w:pPr>
        <w:tabs>
          <w:tab w:val="left" w:pos="3374"/>
        </w:tabs>
        <w:spacing w:line="360" w:lineRule="auto"/>
        <w:ind w:right="49"/>
        <w:rPr>
          <w:rFonts w:ascii="Palatino Linotype" w:eastAsia="Palatino Linotype" w:hAnsi="Palatino Linotype" w:cs="Palatino Linotype"/>
        </w:rPr>
      </w:pPr>
    </w:p>
    <w:p w:rsidR="00B84DF1" w:rsidRPr="009D2474" w:rsidRDefault="00B84DF1" w:rsidP="009D2474">
      <w:pPr>
        <w:tabs>
          <w:tab w:val="left" w:pos="3374"/>
        </w:tabs>
        <w:spacing w:line="360" w:lineRule="auto"/>
        <w:ind w:right="49"/>
        <w:rPr>
          <w:rFonts w:ascii="Palatino Linotype" w:eastAsia="Palatino Linotype" w:hAnsi="Palatino Linotype" w:cs="Palatino Linotype"/>
        </w:rPr>
      </w:pPr>
    </w:p>
    <w:p w:rsidR="00B84DF1" w:rsidRPr="009D2474" w:rsidRDefault="00B84DF1" w:rsidP="009D2474">
      <w:pPr>
        <w:tabs>
          <w:tab w:val="left" w:pos="3374"/>
        </w:tabs>
        <w:spacing w:line="360" w:lineRule="auto"/>
        <w:ind w:right="49"/>
        <w:rPr>
          <w:rFonts w:ascii="Palatino Linotype" w:eastAsia="Palatino Linotype" w:hAnsi="Palatino Linotype" w:cs="Palatino Linotype"/>
        </w:rPr>
      </w:pPr>
    </w:p>
    <w:p w:rsidR="00B84DF1" w:rsidRPr="009D2474" w:rsidRDefault="00B84DF1" w:rsidP="009D2474">
      <w:pPr>
        <w:tabs>
          <w:tab w:val="left" w:pos="3374"/>
        </w:tabs>
        <w:spacing w:line="360" w:lineRule="auto"/>
        <w:ind w:right="49"/>
        <w:rPr>
          <w:rFonts w:ascii="Palatino Linotype" w:eastAsia="Palatino Linotype" w:hAnsi="Palatino Linotype" w:cs="Palatino Linotype"/>
        </w:rPr>
      </w:pPr>
    </w:p>
    <w:p w:rsidR="00B84DF1" w:rsidRPr="009D2474" w:rsidRDefault="00B84DF1" w:rsidP="009D2474">
      <w:pPr>
        <w:tabs>
          <w:tab w:val="left" w:pos="3374"/>
        </w:tabs>
        <w:spacing w:line="360" w:lineRule="auto"/>
        <w:ind w:right="49"/>
        <w:rPr>
          <w:rFonts w:ascii="Palatino Linotype" w:eastAsia="Palatino Linotype" w:hAnsi="Palatino Linotype" w:cs="Palatino Linotype"/>
        </w:rPr>
      </w:pPr>
    </w:p>
    <w:p w:rsidR="00B84DF1" w:rsidRPr="009D2474" w:rsidRDefault="00B84DF1" w:rsidP="009D2474">
      <w:pPr>
        <w:tabs>
          <w:tab w:val="left" w:pos="3374"/>
        </w:tabs>
        <w:spacing w:line="360" w:lineRule="auto"/>
        <w:ind w:right="49"/>
        <w:rPr>
          <w:rFonts w:ascii="Palatino Linotype" w:eastAsia="Palatino Linotype" w:hAnsi="Palatino Linotype" w:cs="Palatino Linotype"/>
        </w:rPr>
      </w:pPr>
    </w:p>
    <w:p w:rsidR="00B84DF1" w:rsidRPr="009D2474" w:rsidRDefault="00B84DF1" w:rsidP="009D2474">
      <w:pPr>
        <w:tabs>
          <w:tab w:val="left" w:pos="3374"/>
        </w:tabs>
        <w:spacing w:line="360" w:lineRule="auto"/>
        <w:ind w:right="49"/>
        <w:rPr>
          <w:rFonts w:ascii="Palatino Linotype" w:eastAsia="Palatino Linotype" w:hAnsi="Palatino Linotype" w:cs="Palatino Linotype"/>
        </w:rPr>
      </w:pPr>
    </w:p>
    <w:p w:rsidR="00B84DF1" w:rsidRPr="009D2474" w:rsidRDefault="00B84DF1" w:rsidP="009D2474">
      <w:pPr>
        <w:tabs>
          <w:tab w:val="left" w:pos="3374"/>
        </w:tabs>
        <w:spacing w:line="360" w:lineRule="auto"/>
        <w:ind w:right="49"/>
        <w:rPr>
          <w:rFonts w:ascii="Palatino Linotype" w:eastAsia="Palatino Linotype" w:hAnsi="Palatino Linotype" w:cs="Palatino Linotype"/>
        </w:rPr>
      </w:pPr>
    </w:p>
    <w:p w:rsidR="00B84DF1" w:rsidRPr="009D2474" w:rsidRDefault="00B84DF1" w:rsidP="009D2474">
      <w:pPr>
        <w:spacing w:line="360" w:lineRule="auto"/>
        <w:ind w:right="49"/>
        <w:rPr>
          <w:rFonts w:ascii="Palatino Linotype" w:eastAsia="Palatino Linotype" w:hAnsi="Palatino Linotype" w:cs="Palatino Linotype"/>
        </w:rPr>
      </w:pPr>
    </w:p>
    <w:sectPr w:rsidR="00B84DF1" w:rsidRPr="009D2474" w:rsidSect="00157A35">
      <w:headerReference w:type="even" r:id="rId10"/>
      <w:headerReference w:type="default" r:id="rId11"/>
      <w:footerReference w:type="default" r:id="rId12"/>
      <w:headerReference w:type="first" r:id="rId13"/>
      <w:footerReference w:type="first" r:id="rId14"/>
      <w:pgSz w:w="12240" w:h="15840"/>
      <w:pgMar w:top="2268" w:right="758"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4AF" w:rsidRDefault="00C674AF">
      <w:r>
        <w:separator/>
      </w:r>
    </w:p>
  </w:endnote>
  <w:endnote w:type="continuationSeparator" w:id="0">
    <w:p w:rsidR="00C674AF" w:rsidRDefault="00C67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42A" w:rsidRPr="00157A35" w:rsidRDefault="0044042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157A35">
      <w:rPr>
        <w:rFonts w:ascii="Palatino Linotype" w:eastAsia="Palatino Linotype" w:hAnsi="Palatino Linotype" w:cs="Palatino Linotype"/>
        <w:color w:val="000000"/>
        <w:sz w:val="22"/>
        <w:szCs w:val="20"/>
      </w:rPr>
      <w:t xml:space="preserve">Página </w:t>
    </w:r>
    <w:r w:rsidRPr="00157A35">
      <w:rPr>
        <w:rFonts w:ascii="Palatino Linotype" w:eastAsia="Palatino Linotype" w:hAnsi="Palatino Linotype" w:cs="Palatino Linotype"/>
        <w:color w:val="000000"/>
        <w:sz w:val="22"/>
        <w:szCs w:val="20"/>
      </w:rPr>
      <w:fldChar w:fldCharType="begin"/>
    </w:r>
    <w:r w:rsidRPr="00157A35">
      <w:rPr>
        <w:rFonts w:ascii="Palatino Linotype" w:eastAsia="Palatino Linotype" w:hAnsi="Palatino Linotype" w:cs="Palatino Linotype"/>
        <w:color w:val="000000"/>
        <w:sz w:val="22"/>
        <w:szCs w:val="20"/>
      </w:rPr>
      <w:instrText>PAGE</w:instrText>
    </w:r>
    <w:r w:rsidRPr="00157A35">
      <w:rPr>
        <w:rFonts w:ascii="Palatino Linotype" w:eastAsia="Palatino Linotype" w:hAnsi="Palatino Linotype" w:cs="Palatino Linotype"/>
        <w:color w:val="000000"/>
        <w:sz w:val="22"/>
        <w:szCs w:val="20"/>
      </w:rPr>
      <w:fldChar w:fldCharType="separate"/>
    </w:r>
    <w:r w:rsidR="00361255">
      <w:rPr>
        <w:rFonts w:ascii="Palatino Linotype" w:eastAsia="Palatino Linotype" w:hAnsi="Palatino Linotype" w:cs="Palatino Linotype"/>
        <w:noProof/>
        <w:color w:val="000000"/>
        <w:sz w:val="22"/>
        <w:szCs w:val="20"/>
      </w:rPr>
      <w:t>20</w:t>
    </w:r>
    <w:r w:rsidRPr="00157A35">
      <w:rPr>
        <w:rFonts w:ascii="Palatino Linotype" w:eastAsia="Palatino Linotype" w:hAnsi="Palatino Linotype" w:cs="Palatino Linotype"/>
        <w:color w:val="000000"/>
        <w:sz w:val="22"/>
        <w:szCs w:val="20"/>
      </w:rPr>
      <w:fldChar w:fldCharType="end"/>
    </w:r>
    <w:r w:rsidRPr="00157A35">
      <w:rPr>
        <w:rFonts w:ascii="Palatino Linotype" w:eastAsia="Palatino Linotype" w:hAnsi="Palatino Linotype" w:cs="Palatino Linotype"/>
        <w:color w:val="000000"/>
        <w:sz w:val="22"/>
        <w:szCs w:val="20"/>
      </w:rPr>
      <w:t xml:space="preserve"> de </w:t>
    </w:r>
    <w:r w:rsidRPr="00157A35">
      <w:rPr>
        <w:rFonts w:ascii="Palatino Linotype" w:eastAsia="Palatino Linotype" w:hAnsi="Palatino Linotype" w:cs="Palatino Linotype"/>
        <w:color w:val="000000"/>
        <w:sz w:val="22"/>
        <w:szCs w:val="20"/>
      </w:rPr>
      <w:fldChar w:fldCharType="begin"/>
    </w:r>
    <w:r w:rsidRPr="00157A35">
      <w:rPr>
        <w:rFonts w:ascii="Palatino Linotype" w:eastAsia="Palatino Linotype" w:hAnsi="Palatino Linotype" w:cs="Palatino Linotype"/>
        <w:color w:val="000000"/>
        <w:sz w:val="22"/>
        <w:szCs w:val="20"/>
      </w:rPr>
      <w:instrText>NUMPAGES</w:instrText>
    </w:r>
    <w:r w:rsidRPr="00157A35">
      <w:rPr>
        <w:rFonts w:ascii="Palatino Linotype" w:eastAsia="Palatino Linotype" w:hAnsi="Palatino Linotype" w:cs="Palatino Linotype"/>
        <w:color w:val="000000"/>
        <w:sz w:val="22"/>
        <w:szCs w:val="20"/>
      </w:rPr>
      <w:fldChar w:fldCharType="separate"/>
    </w:r>
    <w:r w:rsidR="00361255">
      <w:rPr>
        <w:rFonts w:ascii="Palatino Linotype" w:eastAsia="Palatino Linotype" w:hAnsi="Palatino Linotype" w:cs="Palatino Linotype"/>
        <w:noProof/>
        <w:color w:val="000000"/>
        <w:sz w:val="22"/>
        <w:szCs w:val="20"/>
      </w:rPr>
      <w:t>20</w:t>
    </w:r>
    <w:r w:rsidRPr="00157A35">
      <w:rPr>
        <w:rFonts w:ascii="Palatino Linotype" w:eastAsia="Palatino Linotype" w:hAnsi="Palatino Linotype" w:cs="Palatino Linotype"/>
        <w:color w:val="000000"/>
        <w:sz w:val="22"/>
        <w:szCs w:val="20"/>
      </w:rPr>
      <w:fldChar w:fldCharType="end"/>
    </w:r>
  </w:p>
  <w:p w:rsidR="0044042A" w:rsidRDefault="0044042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42A" w:rsidRPr="00157A35" w:rsidRDefault="0044042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157A35">
      <w:rPr>
        <w:rFonts w:ascii="Palatino Linotype" w:eastAsia="Palatino Linotype" w:hAnsi="Palatino Linotype" w:cs="Palatino Linotype"/>
        <w:color w:val="000000"/>
        <w:sz w:val="22"/>
        <w:szCs w:val="20"/>
      </w:rPr>
      <w:t xml:space="preserve">Página </w:t>
    </w:r>
    <w:r w:rsidRPr="00157A35">
      <w:rPr>
        <w:rFonts w:ascii="Palatino Linotype" w:eastAsia="Palatino Linotype" w:hAnsi="Palatino Linotype" w:cs="Palatino Linotype"/>
        <w:color w:val="000000"/>
        <w:sz w:val="22"/>
        <w:szCs w:val="20"/>
      </w:rPr>
      <w:fldChar w:fldCharType="begin"/>
    </w:r>
    <w:r w:rsidRPr="00157A35">
      <w:rPr>
        <w:rFonts w:ascii="Palatino Linotype" w:eastAsia="Palatino Linotype" w:hAnsi="Palatino Linotype" w:cs="Palatino Linotype"/>
        <w:color w:val="000000"/>
        <w:sz w:val="22"/>
        <w:szCs w:val="20"/>
      </w:rPr>
      <w:instrText>PAGE</w:instrText>
    </w:r>
    <w:r w:rsidRPr="00157A35">
      <w:rPr>
        <w:rFonts w:ascii="Palatino Linotype" w:eastAsia="Palatino Linotype" w:hAnsi="Palatino Linotype" w:cs="Palatino Linotype"/>
        <w:color w:val="000000"/>
        <w:sz w:val="22"/>
        <w:szCs w:val="20"/>
      </w:rPr>
      <w:fldChar w:fldCharType="separate"/>
    </w:r>
    <w:r w:rsidR="00361255">
      <w:rPr>
        <w:rFonts w:ascii="Palatino Linotype" w:eastAsia="Palatino Linotype" w:hAnsi="Palatino Linotype" w:cs="Palatino Linotype"/>
        <w:noProof/>
        <w:color w:val="000000"/>
        <w:sz w:val="22"/>
        <w:szCs w:val="20"/>
      </w:rPr>
      <w:t>1</w:t>
    </w:r>
    <w:r w:rsidRPr="00157A35">
      <w:rPr>
        <w:rFonts w:ascii="Palatino Linotype" w:eastAsia="Palatino Linotype" w:hAnsi="Palatino Linotype" w:cs="Palatino Linotype"/>
        <w:color w:val="000000"/>
        <w:sz w:val="22"/>
        <w:szCs w:val="20"/>
      </w:rPr>
      <w:fldChar w:fldCharType="end"/>
    </w:r>
    <w:r w:rsidRPr="00157A35">
      <w:rPr>
        <w:rFonts w:ascii="Palatino Linotype" w:eastAsia="Palatino Linotype" w:hAnsi="Palatino Linotype" w:cs="Palatino Linotype"/>
        <w:color w:val="000000"/>
        <w:sz w:val="22"/>
        <w:szCs w:val="20"/>
      </w:rPr>
      <w:t xml:space="preserve"> de </w:t>
    </w:r>
    <w:r w:rsidRPr="00157A35">
      <w:rPr>
        <w:rFonts w:ascii="Palatino Linotype" w:eastAsia="Palatino Linotype" w:hAnsi="Palatino Linotype" w:cs="Palatino Linotype"/>
        <w:color w:val="000000"/>
        <w:sz w:val="22"/>
        <w:szCs w:val="20"/>
      </w:rPr>
      <w:fldChar w:fldCharType="begin"/>
    </w:r>
    <w:r w:rsidRPr="00157A35">
      <w:rPr>
        <w:rFonts w:ascii="Palatino Linotype" w:eastAsia="Palatino Linotype" w:hAnsi="Palatino Linotype" w:cs="Palatino Linotype"/>
        <w:color w:val="000000"/>
        <w:sz w:val="22"/>
        <w:szCs w:val="20"/>
      </w:rPr>
      <w:instrText>NUMPAGES</w:instrText>
    </w:r>
    <w:r w:rsidRPr="00157A35">
      <w:rPr>
        <w:rFonts w:ascii="Palatino Linotype" w:eastAsia="Palatino Linotype" w:hAnsi="Palatino Linotype" w:cs="Palatino Linotype"/>
        <w:color w:val="000000"/>
        <w:sz w:val="22"/>
        <w:szCs w:val="20"/>
      </w:rPr>
      <w:fldChar w:fldCharType="separate"/>
    </w:r>
    <w:r w:rsidR="00361255">
      <w:rPr>
        <w:rFonts w:ascii="Palatino Linotype" w:eastAsia="Palatino Linotype" w:hAnsi="Palatino Linotype" w:cs="Palatino Linotype"/>
        <w:noProof/>
        <w:color w:val="000000"/>
        <w:sz w:val="22"/>
        <w:szCs w:val="20"/>
      </w:rPr>
      <w:t>20</w:t>
    </w:r>
    <w:r w:rsidRPr="00157A35">
      <w:rPr>
        <w:rFonts w:ascii="Palatino Linotype" w:eastAsia="Palatino Linotype" w:hAnsi="Palatino Linotype" w:cs="Palatino Linotype"/>
        <w:color w:val="000000"/>
        <w:sz w:val="22"/>
        <w:szCs w:val="20"/>
      </w:rPr>
      <w:fldChar w:fldCharType="end"/>
    </w:r>
  </w:p>
  <w:p w:rsidR="0044042A" w:rsidRDefault="0044042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4AF" w:rsidRDefault="00C674AF">
      <w:r>
        <w:separator/>
      </w:r>
    </w:p>
  </w:footnote>
  <w:footnote w:type="continuationSeparator" w:id="0">
    <w:p w:rsidR="00C674AF" w:rsidRDefault="00C674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42A" w:rsidRDefault="00C674AF">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7512" w:type="dxa"/>
      <w:tblInd w:w="2410" w:type="dxa"/>
      <w:tblLayout w:type="fixed"/>
      <w:tblLook w:val="0400" w:firstRow="0" w:lastRow="0" w:firstColumn="0" w:lastColumn="0" w:noHBand="0" w:noVBand="1"/>
    </w:tblPr>
    <w:tblGrid>
      <w:gridCol w:w="2976"/>
      <w:gridCol w:w="4536"/>
    </w:tblGrid>
    <w:tr w:rsidR="0044042A" w:rsidTr="00157A35">
      <w:trPr>
        <w:trHeight w:val="227"/>
      </w:trPr>
      <w:tc>
        <w:tcPr>
          <w:tcW w:w="2976" w:type="dxa"/>
          <w:vAlign w:val="center"/>
        </w:tcPr>
        <w:p w:rsidR="0044042A" w:rsidRPr="00157A35" w:rsidRDefault="0044042A">
          <w:pPr>
            <w:ind w:right="34"/>
            <w:jc w:val="right"/>
            <w:rPr>
              <w:rFonts w:ascii="Palatino Linotype" w:eastAsia="Palatino Linotype" w:hAnsi="Palatino Linotype" w:cs="Palatino Linotype"/>
              <w:b/>
              <w:szCs w:val="22"/>
            </w:rPr>
          </w:pPr>
          <w:r w:rsidRPr="00157A35">
            <w:rPr>
              <w:rFonts w:ascii="Palatino Linotype" w:eastAsia="Palatino Linotype" w:hAnsi="Palatino Linotype" w:cs="Palatino Linotype"/>
              <w:b/>
              <w:szCs w:val="22"/>
            </w:rPr>
            <w:t>Recurso de Revisión:</w:t>
          </w:r>
        </w:p>
      </w:tc>
      <w:tc>
        <w:tcPr>
          <w:tcW w:w="4536" w:type="dxa"/>
          <w:vAlign w:val="center"/>
        </w:tcPr>
        <w:p w:rsidR="0044042A" w:rsidRPr="00157A35" w:rsidRDefault="0044042A" w:rsidP="00157A35">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highlight w:val="green"/>
            </w:rPr>
          </w:pPr>
          <w:r w:rsidRPr="00157A35">
            <w:rPr>
              <w:rFonts w:ascii="Palatino Linotype" w:eastAsia="Palatino Linotype" w:hAnsi="Palatino Linotype" w:cs="Palatino Linotype"/>
              <w:color w:val="000000"/>
              <w:szCs w:val="22"/>
            </w:rPr>
            <w:t>06753/INFOEM/IP/RR/2025</w:t>
          </w:r>
        </w:p>
      </w:tc>
    </w:tr>
    <w:tr w:rsidR="0044042A" w:rsidTr="00157A35">
      <w:trPr>
        <w:trHeight w:val="242"/>
      </w:trPr>
      <w:tc>
        <w:tcPr>
          <w:tcW w:w="2976" w:type="dxa"/>
          <w:vAlign w:val="center"/>
        </w:tcPr>
        <w:p w:rsidR="0044042A" w:rsidRPr="00157A35" w:rsidRDefault="0044042A">
          <w:pPr>
            <w:ind w:right="34"/>
            <w:jc w:val="right"/>
            <w:rPr>
              <w:rFonts w:ascii="Palatino Linotype" w:eastAsia="Palatino Linotype" w:hAnsi="Palatino Linotype" w:cs="Palatino Linotype"/>
              <w:b/>
              <w:szCs w:val="22"/>
            </w:rPr>
          </w:pPr>
          <w:r w:rsidRPr="00157A35">
            <w:rPr>
              <w:rFonts w:ascii="Palatino Linotype" w:eastAsia="Palatino Linotype" w:hAnsi="Palatino Linotype" w:cs="Palatino Linotype"/>
              <w:b/>
              <w:szCs w:val="22"/>
            </w:rPr>
            <w:t>Sujeto Obligado:</w:t>
          </w:r>
        </w:p>
      </w:tc>
      <w:tc>
        <w:tcPr>
          <w:tcW w:w="4536" w:type="dxa"/>
          <w:vAlign w:val="center"/>
        </w:tcPr>
        <w:p w:rsidR="0044042A" w:rsidRPr="00157A35" w:rsidRDefault="0044042A" w:rsidP="00157A35">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highlight w:val="green"/>
            </w:rPr>
          </w:pPr>
          <w:r w:rsidRPr="00157A35">
            <w:rPr>
              <w:rFonts w:ascii="Palatino Linotype" w:eastAsia="Palatino Linotype" w:hAnsi="Palatino Linotype" w:cs="Palatino Linotype"/>
              <w:color w:val="000000"/>
              <w:szCs w:val="22"/>
            </w:rPr>
            <w:t>Ayuntamiento de Atizapán de Zaragoza</w:t>
          </w:r>
        </w:p>
      </w:tc>
    </w:tr>
    <w:tr w:rsidR="0044042A" w:rsidTr="00157A35">
      <w:trPr>
        <w:trHeight w:val="342"/>
      </w:trPr>
      <w:tc>
        <w:tcPr>
          <w:tcW w:w="2976" w:type="dxa"/>
          <w:vAlign w:val="center"/>
        </w:tcPr>
        <w:p w:rsidR="0044042A" w:rsidRPr="00157A35" w:rsidRDefault="0044042A">
          <w:pPr>
            <w:ind w:right="34"/>
            <w:jc w:val="right"/>
            <w:rPr>
              <w:rFonts w:ascii="Palatino Linotype" w:eastAsia="Palatino Linotype" w:hAnsi="Palatino Linotype" w:cs="Palatino Linotype"/>
              <w:b/>
              <w:szCs w:val="22"/>
            </w:rPr>
          </w:pPr>
          <w:r w:rsidRPr="00157A35">
            <w:rPr>
              <w:rFonts w:ascii="Palatino Linotype" w:eastAsia="Palatino Linotype" w:hAnsi="Palatino Linotype" w:cs="Palatino Linotype"/>
              <w:b/>
              <w:szCs w:val="22"/>
            </w:rPr>
            <w:t>Comisionada Ponente:</w:t>
          </w:r>
        </w:p>
      </w:tc>
      <w:tc>
        <w:tcPr>
          <w:tcW w:w="4536" w:type="dxa"/>
          <w:vAlign w:val="center"/>
        </w:tcPr>
        <w:p w:rsidR="0044042A" w:rsidRPr="00157A35" w:rsidRDefault="0044042A" w:rsidP="00157A35">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rPr>
          </w:pPr>
          <w:r w:rsidRPr="00157A35">
            <w:rPr>
              <w:rFonts w:ascii="Palatino Linotype" w:eastAsia="Palatino Linotype" w:hAnsi="Palatino Linotype" w:cs="Palatino Linotype"/>
              <w:color w:val="000000"/>
              <w:szCs w:val="22"/>
            </w:rPr>
            <w:t>María del Rosario Mejía Ayala</w:t>
          </w:r>
        </w:p>
      </w:tc>
    </w:tr>
  </w:tbl>
  <w:p w:rsidR="0044042A" w:rsidRDefault="00C674AF">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7513" w:type="dxa"/>
      <w:tblInd w:w="2552" w:type="dxa"/>
      <w:tblLayout w:type="fixed"/>
      <w:tblLook w:val="0400" w:firstRow="0" w:lastRow="0" w:firstColumn="0" w:lastColumn="0" w:noHBand="0" w:noVBand="1"/>
    </w:tblPr>
    <w:tblGrid>
      <w:gridCol w:w="2977"/>
      <w:gridCol w:w="4536"/>
    </w:tblGrid>
    <w:tr w:rsidR="0044042A" w:rsidTr="00157A35">
      <w:trPr>
        <w:trHeight w:val="227"/>
      </w:trPr>
      <w:tc>
        <w:tcPr>
          <w:tcW w:w="2977" w:type="dxa"/>
          <w:vAlign w:val="center"/>
        </w:tcPr>
        <w:p w:rsidR="0044042A" w:rsidRPr="00157A35" w:rsidRDefault="0044042A">
          <w:pPr>
            <w:jc w:val="right"/>
            <w:rPr>
              <w:rFonts w:ascii="Palatino Linotype" w:eastAsia="Palatino Linotype" w:hAnsi="Palatino Linotype" w:cs="Palatino Linotype"/>
              <w:b/>
              <w:szCs w:val="22"/>
            </w:rPr>
          </w:pPr>
          <w:r w:rsidRPr="00157A35">
            <w:rPr>
              <w:rFonts w:ascii="Palatino Linotype" w:eastAsia="Palatino Linotype" w:hAnsi="Palatino Linotype" w:cs="Palatino Linotype"/>
              <w:b/>
              <w:szCs w:val="22"/>
            </w:rPr>
            <w:t>Recurso de Revisión:</w:t>
          </w:r>
        </w:p>
      </w:tc>
      <w:tc>
        <w:tcPr>
          <w:tcW w:w="4536" w:type="dxa"/>
          <w:vAlign w:val="center"/>
        </w:tcPr>
        <w:p w:rsidR="0044042A" w:rsidRPr="00157A35" w:rsidRDefault="0044042A" w:rsidP="00CB1566">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highlight w:val="green"/>
            </w:rPr>
          </w:pPr>
          <w:r w:rsidRPr="00157A35">
            <w:rPr>
              <w:rFonts w:ascii="Palatino Linotype" w:eastAsia="Palatino Linotype" w:hAnsi="Palatino Linotype" w:cs="Palatino Linotype"/>
              <w:color w:val="000000"/>
              <w:szCs w:val="22"/>
            </w:rPr>
            <w:t>06753/INFOEM/IP/RR/2025</w:t>
          </w:r>
        </w:p>
      </w:tc>
    </w:tr>
    <w:tr w:rsidR="0044042A" w:rsidTr="00157A35">
      <w:trPr>
        <w:trHeight w:val="242"/>
      </w:trPr>
      <w:tc>
        <w:tcPr>
          <w:tcW w:w="2977" w:type="dxa"/>
          <w:vAlign w:val="center"/>
        </w:tcPr>
        <w:p w:rsidR="0044042A" w:rsidRPr="00157A35" w:rsidRDefault="0044042A">
          <w:pPr>
            <w:jc w:val="right"/>
            <w:rPr>
              <w:rFonts w:ascii="Palatino Linotype" w:eastAsia="Palatino Linotype" w:hAnsi="Palatino Linotype" w:cs="Palatino Linotype"/>
              <w:b/>
              <w:szCs w:val="22"/>
            </w:rPr>
          </w:pPr>
          <w:r w:rsidRPr="00157A35">
            <w:rPr>
              <w:rFonts w:ascii="Palatino Linotype" w:eastAsia="Palatino Linotype" w:hAnsi="Palatino Linotype" w:cs="Palatino Linotype"/>
              <w:b/>
              <w:szCs w:val="22"/>
            </w:rPr>
            <w:t>Recurrente:</w:t>
          </w:r>
        </w:p>
      </w:tc>
      <w:tc>
        <w:tcPr>
          <w:tcW w:w="4536" w:type="dxa"/>
        </w:tcPr>
        <w:p w:rsidR="0044042A" w:rsidRPr="00157A35" w:rsidRDefault="00361255">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szCs w:val="22"/>
              <w:highlight w:val="green"/>
            </w:rPr>
          </w:pPr>
          <w:r>
            <w:rPr>
              <w:rFonts w:ascii="Palatino Linotype" w:eastAsia="Palatino Linotype" w:hAnsi="Palatino Linotype" w:cs="Palatino Linotype"/>
              <w:color w:val="000000"/>
              <w:szCs w:val="22"/>
            </w:rPr>
            <w:t>XXXX</w:t>
          </w:r>
        </w:p>
      </w:tc>
    </w:tr>
    <w:tr w:rsidR="0044042A" w:rsidTr="00157A35">
      <w:trPr>
        <w:trHeight w:val="342"/>
      </w:trPr>
      <w:tc>
        <w:tcPr>
          <w:tcW w:w="2977" w:type="dxa"/>
          <w:vAlign w:val="center"/>
        </w:tcPr>
        <w:p w:rsidR="0044042A" w:rsidRPr="00157A35" w:rsidRDefault="0044042A">
          <w:pPr>
            <w:jc w:val="right"/>
            <w:rPr>
              <w:rFonts w:ascii="Palatino Linotype" w:eastAsia="Palatino Linotype" w:hAnsi="Palatino Linotype" w:cs="Palatino Linotype"/>
              <w:b/>
              <w:szCs w:val="22"/>
            </w:rPr>
          </w:pPr>
          <w:r w:rsidRPr="00157A35">
            <w:rPr>
              <w:rFonts w:ascii="Palatino Linotype" w:eastAsia="Palatino Linotype" w:hAnsi="Palatino Linotype" w:cs="Palatino Linotype"/>
              <w:b/>
              <w:szCs w:val="22"/>
            </w:rPr>
            <w:t>Sujeto Obligado:</w:t>
          </w:r>
        </w:p>
      </w:tc>
      <w:tc>
        <w:tcPr>
          <w:tcW w:w="4536" w:type="dxa"/>
          <w:vAlign w:val="center"/>
        </w:tcPr>
        <w:p w:rsidR="0044042A" w:rsidRPr="00157A35" w:rsidRDefault="0044042A" w:rsidP="00E17E99">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highlight w:val="green"/>
            </w:rPr>
          </w:pPr>
          <w:r w:rsidRPr="00157A35">
            <w:rPr>
              <w:rFonts w:ascii="Palatino Linotype" w:eastAsia="Palatino Linotype" w:hAnsi="Palatino Linotype" w:cs="Palatino Linotype"/>
              <w:color w:val="000000"/>
              <w:szCs w:val="22"/>
            </w:rPr>
            <w:t>Ayuntamiento de Atizapán de Zaragoza</w:t>
          </w:r>
        </w:p>
      </w:tc>
    </w:tr>
    <w:tr w:rsidR="0044042A" w:rsidTr="00157A35">
      <w:trPr>
        <w:trHeight w:val="342"/>
      </w:trPr>
      <w:tc>
        <w:tcPr>
          <w:tcW w:w="2977" w:type="dxa"/>
          <w:vAlign w:val="center"/>
        </w:tcPr>
        <w:p w:rsidR="0044042A" w:rsidRPr="00157A35" w:rsidRDefault="0044042A">
          <w:pPr>
            <w:jc w:val="right"/>
            <w:rPr>
              <w:rFonts w:ascii="Palatino Linotype" w:eastAsia="Palatino Linotype" w:hAnsi="Palatino Linotype" w:cs="Palatino Linotype"/>
              <w:b/>
              <w:szCs w:val="22"/>
            </w:rPr>
          </w:pPr>
          <w:r w:rsidRPr="00157A35">
            <w:rPr>
              <w:rFonts w:ascii="Palatino Linotype" w:eastAsia="Palatino Linotype" w:hAnsi="Palatino Linotype" w:cs="Palatino Linotype"/>
              <w:b/>
              <w:szCs w:val="22"/>
            </w:rPr>
            <w:t>Comisionada Ponente:</w:t>
          </w:r>
        </w:p>
      </w:tc>
      <w:tc>
        <w:tcPr>
          <w:tcW w:w="4536" w:type="dxa"/>
          <w:vAlign w:val="center"/>
        </w:tcPr>
        <w:p w:rsidR="0044042A" w:rsidRPr="00157A35" w:rsidRDefault="0044042A">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rPr>
          </w:pPr>
          <w:r w:rsidRPr="00157A35">
            <w:rPr>
              <w:rFonts w:ascii="Palatino Linotype" w:eastAsia="Palatino Linotype" w:hAnsi="Palatino Linotype" w:cs="Palatino Linotype"/>
              <w:color w:val="000000"/>
              <w:szCs w:val="22"/>
            </w:rPr>
            <w:t>María del Rosario Mejía Ayala</w:t>
          </w:r>
        </w:p>
      </w:tc>
    </w:tr>
  </w:tbl>
  <w:p w:rsidR="0044042A" w:rsidRDefault="00C674AF">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20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EB365A"/>
    <w:multiLevelType w:val="hybridMultilevel"/>
    <w:tmpl w:val="F0BE28A8"/>
    <w:lvl w:ilvl="0" w:tplc="11266696">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0A10F9"/>
    <w:multiLevelType w:val="hybridMultilevel"/>
    <w:tmpl w:val="A4E20040"/>
    <w:lvl w:ilvl="0" w:tplc="8DA468A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F9189B"/>
    <w:multiLevelType w:val="hybridMultilevel"/>
    <w:tmpl w:val="3EACB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C4464B"/>
    <w:multiLevelType w:val="multilevel"/>
    <w:tmpl w:val="FDD45C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6E3E65"/>
    <w:multiLevelType w:val="hybridMultilevel"/>
    <w:tmpl w:val="AA82C2A8"/>
    <w:lvl w:ilvl="0" w:tplc="2DC417EC">
      <w:start w:val="1"/>
      <w:numFmt w:val="decimal"/>
      <w:lvlText w:val="%1."/>
      <w:lvlJc w:val="left"/>
      <w:pPr>
        <w:ind w:left="720" w:hanging="360"/>
      </w:pPr>
      <w:rPr>
        <w:b/>
        <w:i w:val="0"/>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670094"/>
    <w:multiLevelType w:val="multilevel"/>
    <w:tmpl w:val="9932B572"/>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F07688"/>
    <w:multiLevelType w:val="hybridMultilevel"/>
    <w:tmpl w:val="659A62FA"/>
    <w:lvl w:ilvl="0" w:tplc="87020152">
      <w:start w:val="1"/>
      <w:numFmt w:val="decimal"/>
      <w:lvlText w:val="%1."/>
      <w:lvlJc w:val="left"/>
      <w:pPr>
        <w:ind w:left="644"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737F47"/>
    <w:multiLevelType w:val="multilevel"/>
    <w:tmpl w:val="3710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962B1F"/>
    <w:multiLevelType w:val="hybridMultilevel"/>
    <w:tmpl w:val="6540B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0C5B26"/>
    <w:multiLevelType w:val="hybridMultilevel"/>
    <w:tmpl w:val="860CF22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2BFA4E07"/>
    <w:multiLevelType w:val="multilevel"/>
    <w:tmpl w:val="3DF6786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3" w15:restartNumberingAfterBreak="0">
    <w:nsid w:val="2D3F114F"/>
    <w:multiLevelType w:val="hybridMultilevel"/>
    <w:tmpl w:val="FFAE7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E82D25"/>
    <w:multiLevelType w:val="multilevel"/>
    <w:tmpl w:val="1C6CA70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5" w15:restartNumberingAfterBreak="0">
    <w:nsid w:val="331E40FB"/>
    <w:multiLevelType w:val="hybridMultilevel"/>
    <w:tmpl w:val="48287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EF44905"/>
    <w:multiLevelType w:val="multilevel"/>
    <w:tmpl w:val="221A92C6"/>
    <w:lvl w:ilvl="0">
      <w:start w:val="1"/>
      <w:numFmt w:val="decimal"/>
      <w:lvlText w:val="%1."/>
      <w:lvlJc w:val="left"/>
      <w:pPr>
        <w:ind w:left="784" w:hanging="357"/>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2310F98"/>
    <w:multiLevelType w:val="hybridMultilevel"/>
    <w:tmpl w:val="4198C234"/>
    <w:lvl w:ilvl="0" w:tplc="A2DC400A">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44EF4BDC"/>
    <w:multiLevelType w:val="hybridMultilevel"/>
    <w:tmpl w:val="E53CC98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4EA67C1A"/>
    <w:multiLevelType w:val="multilevel"/>
    <w:tmpl w:val="7360ADAC"/>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F734587"/>
    <w:multiLevelType w:val="multilevel"/>
    <w:tmpl w:val="366630E2"/>
    <w:lvl w:ilvl="0">
      <w:start w:val="1"/>
      <w:numFmt w:val="decimal"/>
      <w:lvlText w:val="%1."/>
      <w:lvlJc w:val="left"/>
      <w:pPr>
        <w:ind w:left="502"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57291810"/>
    <w:multiLevelType w:val="multilevel"/>
    <w:tmpl w:val="C186AC70"/>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5"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ABD4987"/>
    <w:multiLevelType w:val="hybridMultilevel"/>
    <w:tmpl w:val="0B565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9" w15:restartNumberingAfterBreak="0">
    <w:nsid w:val="63AA2F76"/>
    <w:multiLevelType w:val="hybridMultilevel"/>
    <w:tmpl w:val="1E5AE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65A5835"/>
    <w:multiLevelType w:val="multilevel"/>
    <w:tmpl w:val="BAD63276"/>
    <w:lvl w:ilvl="0">
      <w:start w:val="24"/>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B3F306F"/>
    <w:multiLevelType w:val="hybridMultilevel"/>
    <w:tmpl w:val="792039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B4E5D21"/>
    <w:multiLevelType w:val="multilevel"/>
    <w:tmpl w:val="F08A9B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FCF1743"/>
    <w:multiLevelType w:val="multilevel"/>
    <w:tmpl w:val="2938D5EC"/>
    <w:lvl w:ilvl="0">
      <w:start w:val="1"/>
      <w:numFmt w:val="bullet"/>
      <w:lvlText w:val="●"/>
      <w:lvlJc w:val="left"/>
      <w:pPr>
        <w:ind w:left="709" w:hanging="358"/>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36" w15:restartNumberingAfterBreak="0">
    <w:nsid w:val="718B2BC2"/>
    <w:multiLevelType w:val="hybridMultilevel"/>
    <w:tmpl w:val="E15404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2380D6D"/>
    <w:multiLevelType w:val="multilevel"/>
    <w:tmpl w:val="8B74789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8" w15:restartNumberingAfterBreak="0">
    <w:nsid w:val="73A8548D"/>
    <w:multiLevelType w:val="multilevel"/>
    <w:tmpl w:val="D1F2CB3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9" w15:restartNumberingAfterBreak="0">
    <w:nsid w:val="7A914D4F"/>
    <w:multiLevelType w:val="hybridMultilevel"/>
    <w:tmpl w:val="7072356C"/>
    <w:lvl w:ilvl="0" w:tplc="D53629EC">
      <w:start w:val="1"/>
      <w:numFmt w:val="lowerLetter"/>
      <w:lvlText w:val="%1)"/>
      <w:lvlJc w:val="left"/>
      <w:pPr>
        <w:ind w:left="1713" w:hanging="360"/>
      </w:pPr>
      <w:rPr>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4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1"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D5D25CD"/>
    <w:multiLevelType w:val="multilevel"/>
    <w:tmpl w:val="4EA0A93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456C33"/>
    <w:multiLevelType w:val="hybridMultilevel"/>
    <w:tmpl w:val="579C61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12"/>
  </w:num>
  <w:num w:numId="3">
    <w:abstractNumId w:val="24"/>
  </w:num>
  <w:num w:numId="4">
    <w:abstractNumId w:val="37"/>
  </w:num>
  <w:num w:numId="5">
    <w:abstractNumId w:val="35"/>
  </w:num>
  <w:num w:numId="6">
    <w:abstractNumId w:val="3"/>
  </w:num>
  <w:num w:numId="7">
    <w:abstractNumId w:val="10"/>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2"/>
    <w:lvlOverride w:ilvl="0">
      <w:lvl w:ilvl="0">
        <w:numFmt w:val="decimal"/>
        <w:lvlText w:val="%1."/>
        <w:lvlJc w:val="left"/>
        <w:rPr>
          <w:b/>
        </w:rPr>
      </w:lvl>
    </w:lvlOverride>
  </w:num>
  <w:num w:numId="11">
    <w:abstractNumId w:val="15"/>
  </w:num>
  <w:num w:numId="12">
    <w:abstractNumId w:val="18"/>
  </w:num>
  <w:num w:numId="13">
    <w:abstractNumId w:val="6"/>
  </w:num>
  <w:num w:numId="14">
    <w:abstractNumId w:val="39"/>
  </w:num>
  <w:num w:numId="15">
    <w:abstractNumId w:val="22"/>
  </w:num>
  <w:num w:numId="16">
    <w:abstractNumId w:val="14"/>
  </w:num>
  <w:num w:numId="17">
    <w:abstractNumId w:val="0"/>
  </w:num>
  <w:num w:numId="18">
    <w:abstractNumId w:val="5"/>
  </w:num>
  <w:num w:numId="19">
    <w:abstractNumId w:val="28"/>
  </w:num>
  <w:num w:numId="20">
    <w:abstractNumId w:val="38"/>
  </w:num>
  <w:num w:numId="21">
    <w:abstractNumId w:val="2"/>
  </w:num>
  <w:num w:numId="22">
    <w:abstractNumId w:val="25"/>
  </w:num>
  <w:num w:numId="23">
    <w:abstractNumId w:val="33"/>
  </w:num>
  <w:num w:numId="24">
    <w:abstractNumId w:val="43"/>
  </w:num>
  <w:num w:numId="25">
    <w:abstractNumId w:val="4"/>
  </w:num>
  <w:num w:numId="26">
    <w:abstractNumId w:val="19"/>
  </w:num>
  <w:num w:numId="27">
    <w:abstractNumId w:val="20"/>
  </w:num>
  <w:num w:numId="28">
    <w:abstractNumId w:val="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8"/>
  </w:num>
  <w:num w:numId="33">
    <w:abstractNumId w:val="21"/>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31"/>
  </w:num>
  <w:num w:numId="37">
    <w:abstractNumId w:val="40"/>
  </w:num>
  <w:num w:numId="38">
    <w:abstractNumId w:val="7"/>
  </w:num>
  <w:num w:numId="39">
    <w:abstractNumId w:val="34"/>
  </w:num>
  <w:num w:numId="40">
    <w:abstractNumId w:val="9"/>
  </w:num>
  <w:num w:numId="41">
    <w:abstractNumId w:val="41"/>
  </w:num>
  <w:num w:numId="42">
    <w:abstractNumId w:val="27"/>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DF1"/>
    <w:rsid w:val="0000677B"/>
    <w:rsid w:val="00015CA6"/>
    <w:rsid w:val="00025289"/>
    <w:rsid w:val="00031DF2"/>
    <w:rsid w:val="00034F10"/>
    <w:rsid w:val="000378F8"/>
    <w:rsid w:val="00041443"/>
    <w:rsid w:val="000444BD"/>
    <w:rsid w:val="00053809"/>
    <w:rsid w:val="00071823"/>
    <w:rsid w:val="00083BB7"/>
    <w:rsid w:val="000877E9"/>
    <w:rsid w:val="000A6691"/>
    <w:rsid w:val="000A6833"/>
    <w:rsid w:val="000B137A"/>
    <w:rsid w:val="000B554D"/>
    <w:rsid w:val="000C7A68"/>
    <w:rsid w:val="000E5750"/>
    <w:rsid w:val="000E7F59"/>
    <w:rsid w:val="000F0720"/>
    <w:rsid w:val="000F1E77"/>
    <w:rsid w:val="00120600"/>
    <w:rsid w:val="001268E9"/>
    <w:rsid w:val="00134848"/>
    <w:rsid w:val="001360AA"/>
    <w:rsid w:val="00137E3A"/>
    <w:rsid w:val="00157A35"/>
    <w:rsid w:val="001737E1"/>
    <w:rsid w:val="001857C9"/>
    <w:rsid w:val="00194544"/>
    <w:rsid w:val="001964B7"/>
    <w:rsid w:val="001C3453"/>
    <w:rsid w:val="001D7945"/>
    <w:rsid w:val="001E06BF"/>
    <w:rsid w:val="001E3052"/>
    <w:rsid w:val="0021003A"/>
    <w:rsid w:val="00212FD8"/>
    <w:rsid w:val="0023609E"/>
    <w:rsid w:val="00246311"/>
    <w:rsid w:val="00256C47"/>
    <w:rsid w:val="00260274"/>
    <w:rsid w:val="00261EEB"/>
    <w:rsid w:val="0026445F"/>
    <w:rsid w:val="0026452F"/>
    <w:rsid w:val="00267DE2"/>
    <w:rsid w:val="00271109"/>
    <w:rsid w:val="00275205"/>
    <w:rsid w:val="0029404D"/>
    <w:rsid w:val="002A5587"/>
    <w:rsid w:val="002B1760"/>
    <w:rsid w:val="002B6B27"/>
    <w:rsid w:val="002C2106"/>
    <w:rsid w:val="002D3FE5"/>
    <w:rsid w:val="002D50F0"/>
    <w:rsid w:val="002E0DF4"/>
    <w:rsid w:val="002E5220"/>
    <w:rsid w:val="002F7D36"/>
    <w:rsid w:val="003063EE"/>
    <w:rsid w:val="00313EA6"/>
    <w:rsid w:val="00320F2D"/>
    <w:rsid w:val="00320FD6"/>
    <w:rsid w:val="0032619C"/>
    <w:rsid w:val="0034676E"/>
    <w:rsid w:val="00352795"/>
    <w:rsid w:val="00361255"/>
    <w:rsid w:val="00380BD1"/>
    <w:rsid w:val="003960D8"/>
    <w:rsid w:val="003A10C2"/>
    <w:rsid w:val="003B54B3"/>
    <w:rsid w:val="003B59FA"/>
    <w:rsid w:val="003B6629"/>
    <w:rsid w:val="003D2130"/>
    <w:rsid w:val="003D408C"/>
    <w:rsid w:val="003D7E7B"/>
    <w:rsid w:val="003E15C4"/>
    <w:rsid w:val="003E42B6"/>
    <w:rsid w:val="004204F5"/>
    <w:rsid w:val="00425628"/>
    <w:rsid w:val="00425B7C"/>
    <w:rsid w:val="00427B63"/>
    <w:rsid w:val="00430300"/>
    <w:rsid w:val="00435EA5"/>
    <w:rsid w:val="0044042A"/>
    <w:rsid w:val="00447084"/>
    <w:rsid w:val="00454DEC"/>
    <w:rsid w:val="00456AC6"/>
    <w:rsid w:val="004656BC"/>
    <w:rsid w:val="004725EB"/>
    <w:rsid w:val="00472A9C"/>
    <w:rsid w:val="00481DE3"/>
    <w:rsid w:val="004A0C6B"/>
    <w:rsid w:val="004A2ACD"/>
    <w:rsid w:val="004B459A"/>
    <w:rsid w:val="004B5F96"/>
    <w:rsid w:val="004B7149"/>
    <w:rsid w:val="004D4188"/>
    <w:rsid w:val="004D47CA"/>
    <w:rsid w:val="004E489A"/>
    <w:rsid w:val="004E4B9F"/>
    <w:rsid w:val="00514236"/>
    <w:rsid w:val="005311B9"/>
    <w:rsid w:val="005432FF"/>
    <w:rsid w:val="005531B6"/>
    <w:rsid w:val="00555782"/>
    <w:rsid w:val="00561B00"/>
    <w:rsid w:val="00564C26"/>
    <w:rsid w:val="005705FE"/>
    <w:rsid w:val="0057241F"/>
    <w:rsid w:val="00582B7B"/>
    <w:rsid w:val="005A0D41"/>
    <w:rsid w:val="005B2DCD"/>
    <w:rsid w:val="005C66F7"/>
    <w:rsid w:val="005D442D"/>
    <w:rsid w:val="006027C3"/>
    <w:rsid w:val="00606C9D"/>
    <w:rsid w:val="006077D4"/>
    <w:rsid w:val="006261B6"/>
    <w:rsid w:val="00642D5E"/>
    <w:rsid w:val="00644E0D"/>
    <w:rsid w:val="0064652D"/>
    <w:rsid w:val="00651421"/>
    <w:rsid w:val="006535A3"/>
    <w:rsid w:val="00654047"/>
    <w:rsid w:val="00655B77"/>
    <w:rsid w:val="0066627C"/>
    <w:rsid w:val="00671E11"/>
    <w:rsid w:val="00681C04"/>
    <w:rsid w:val="006B7977"/>
    <w:rsid w:val="006C4668"/>
    <w:rsid w:val="006C4EFA"/>
    <w:rsid w:val="006E36A4"/>
    <w:rsid w:val="006E7948"/>
    <w:rsid w:val="006E79B6"/>
    <w:rsid w:val="00704604"/>
    <w:rsid w:val="007137AB"/>
    <w:rsid w:val="007147C0"/>
    <w:rsid w:val="00714C89"/>
    <w:rsid w:val="00725BBA"/>
    <w:rsid w:val="0073213D"/>
    <w:rsid w:val="00760330"/>
    <w:rsid w:val="00773A26"/>
    <w:rsid w:val="00780B76"/>
    <w:rsid w:val="00792763"/>
    <w:rsid w:val="007939B9"/>
    <w:rsid w:val="007A402E"/>
    <w:rsid w:val="007D013F"/>
    <w:rsid w:val="007D1050"/>
    <w:rsid w:val="007D4A48"/>
    <w:rsid w:val="007E1DBF"/>
    <w:rsid w:val="007E6134"/>
    <w:rsid w:val="007F745B"/>
    <w:rsid w:val="007F7F26"/>
    <w:rsid w:val="00805083"/>
    <w:rsid w:val="00805D93"/>
    <w:rsid w:val="0081462E"/>
    <w:rsid w:val="00825F36"/>
    <w:rsid w:val="00826A75"/>
    <w:rsid w:val="008311D3"/>
    <w:rsid w:val="0083179B"/>
    <w:rsid w:val="00831F7B"/>
    <w:rsid w:val="008330D2"/>
    <w:rsid w:val="00834AB8"/>
    <w:rsid w:val="00850FB6"/>
    <w:rsid w:val="00854B9E"/>
    <w:rsid w:val="0086180F"/>
    <w:rsid w:val="008704F4"/>
    <w:rsid w:val="00874872"/>
    <w:rsid w:val="00874B71"/>
    <w:rsid w:val="00885F80"/>
    <w:rsid w:val="00886BE8"/>
    <w:rsid w:val="008940A5"/>
    <w:rsid w:val="008D2D54"/>
    <w:rsid w:val="008F56FA"/>
    <w:rsid w:val="00900624"/>
    <w:rsid w:val="0090156E"/>
    <w:rsid w:val="00924256"/>
    <w:rsid w:val="00945C3B"/>
    <w:rsid w:val="00961CA6"/>
    <w:rsid w:val="00972164"/>
    <w:rsid w:val="009A0E35"/>
    <w:rsid w:val="009C08D3"/>
    <w:rsid w:val="009D0F55"/>
    <w:rsid w:val="009D2474"/>
    <w:rsid w:val="009D3673"/>
    <w:rsid w:val="009F12B3"/>
    <w:rsid w:val="009F6E27"/>
    <w:rsid w:val="009F74E7"/>
    <w:rsid w:val="009F7C6A"/>
    <w:rsid w:val="00A07D00"/>
    <w:rsid w:val="00A1164D"/>
    <w:rsid w:val="00A227E2"/>
    <w:rsid w:val="00A31ACC"/>
    <w:rsid w:val="00A34C8C"/>
    <w:rsid w:val="00A36A65"/>
    <w:rsid w:val="00A43841"/>
    <w:rsid w:val="00A502B5"/>
    <w:rsid w:val="00A634F0"/>
    <w:rsid w:val="00A73911"/>
    <w:rsid w:val="00A77DDE"/>
    <w:rsid w:val="00AA53A0"/>
    <w:rsid w:val="00AC01CA"/>
    <w:rsid w:val="00AD2D90"/>
    <w:rsid w:val="00AD30C0"/>
    <w:rsid w:val="00AD753F"/>
    <w:rsid w:val="00AE3D3C"/>
    <w:rsid w:val="00AF048E"/>
    <w:rsid w:val="00AF6023"/>
    <w:rsid w:val="00B01467"/>
    <w:rsid w:val="00B01E96"/>
    <w:rsid w:val="00B02063"/>
    <w:rsid w:val="00B040C3"/>
    <w:rsid w:val="00B05FE8"/>
    <w:rsid w:val="00B11C54"/>
    <w:rsid w:val="00B21ADF"/>
    <w:rsid w:val="00B33052"/>
    <w:rsid w:val="00B3387E"/>
    <w:rsid w:val="00B36DB4"/>
    <w:rsid w:val="00B41162"/>
    <w:rsid w:val="00B44995"/>
    <w:rsid w:val="00B5309F"/>
    <w:rsid w:val="00B60BC1"/>
    <w:rsid w:val="00B62425"/>
    <w:rsid w:val="00B64111"/>
    <w:rsid w:val="00B65101"/>
    <w:rsid w:val="00B77AB7"/>
    <w:rsid w:val="00B84DF1"/>
    <w:rsid w:val="00B908BD"/>
    <w:rsid w:val="00B91685"/>
    <w:rsid w:val="00BA3D27"/>
    <w:rsid w:val="00BB4401"/>
    <w:rsid w:val="00BD5B3D"/>
    <w:rsid w:val="00BD7237"/>
    <w:rsid w:val="00BE415E"/>
    <w:rsid w:val="00BE5C3A"/>
    <w:rsid w:val="00C1203A"/>
    <w:rsid w:val="00C132F6"/>
    <w:rsid w:val="00C273BD"/>
    <w:rsid w:val="00C33B64"/>
    <w:rsid w:val="00C33FDB"/>
    <w:rsid w:val="00C449F2"/>
    <w:rsid w:val="00C45F15"/>
    <w:rsid w:val="00C674AF"/>
    <w:rsid w:val="00C73A98"/>
    <w:rsid w:val="00C82EDE"/>
    <w:rsid w:val="00CA0332"/>
    <w:rsid w:val="00CA7D5D"/>
    <w:rsid w:val="00CB0A99"/>
    <w:rsid w:val="00CB1255"/>
    <w:rsid w:val="00CB1566"/>
    <w:rsid w:val="00CB4A28"/>
    <w:rsid w:val="00CC616B"/>
    <w:rsid w:val="00CC78CD"/>
    <w:rsid w:val="00CD27D3"/>
    <w:rsid w:val="00CD2FD3"/>
    <w:rsid w:val="00CD36ED"/>
    <w:rsid w:val="00CE34F2"/>
    <w:rsid w:val="00CE38F5"/>
    <w:rsid w:val="00CF5DF5"/>
    <w:rsid w:val="00CF698F"/>
    <w:rsid w:val="00CF798E"/>
    <w:rsid w:val="00D01E27"/>
    <w:rsid w:val="00D03874"/>
    <w:rsid w:val="00D03A0D"/>
    <w:rsid w:val="00D11877"/>
    <w:rsid w:val="00D22942"/>
    <w:rsid w:val="00D36388"/>
    <w:rsid w:val="00D41150"/>
    <w:rsid w:val="00D52722"/>
    <w:rsid w:val="00D77568"/>
    <w:rsid w:val="00D82D8C"/>
    <w:rsid w:val="00DB20B2"/>
    <w:rsid w:val="00DC2BB2"/>
    <w:rsid w:val="00DC7C5B"/>
    <w:rsid w:val="00DD370B"/>
    <w:rsid w:val="00DD52D1"/>
    <w:rsid w:val="00DF2FE0"/>
    <w:rsid w:val="00DF36EF"/>
    <w:rsid w:val="00DF4EBD"/>
    <w:rsid w:val="00E17E99"/>
    <w:rsid w:val="00E30F92"/>
    <w:rsid w:val="00E46D33"/>
    <w:rsid w:val="00E76B90"/>
    <w:rsid w:val="00E76FEF"/>
    <w:rsid w:val="00E81E4D"/>
    <w:rsid w:val="00E845E2"/>
    <w:rsid w:val="00E8516D"/>
    <w:rsid w:val="00E87A76"/>
    <w:rsid w:val="00E87C17"/>
    <w:rsid w:val="00E96581"/>
    <w:rsid w:val="00EC2856"/>
    <w:rsid w:val="00ED0A54"/>
    <w:rsid w:val="00ED457F"/>
    <w:rsid w:val="00EE43F4"/>
    <w:rsid w:val="00EE5A08"/>
    <w:rsid w:val="00EF7EF9"/>
    <w:rsid w:val="00F0736F"/>
    <w:rsid w:val="00F11260"/>
    <w:rsid w:val="00F15452"/>
    <w:rsid w:val="00F167E6"/>
    <w:rsid w:val="00F22E98"/>
    <w:rsid w:val="00F321D3"/>
    <w:rsid w:val="00F33652"/>
    <w:rsid w:val="00F413BE"/>
    <w:rsid w:val="00F427A0"/>
    <w:rsid w:val="00F6082D"/>
    <w:rsid w:val="00F62D4D"/>
    <w:rsid w:val="00F816BF"/>
    <w:rsid w:val="00F85D77"/>
    <w:rsid w:val="00F8679D"/>
    <w:rsid w:val="00F867E2"/>
    <w:rsid w:val="00F916D5"/>
    <w:rsid w:val="00F97F2C"/>
    <w:rsid w:val="00FA156C"/>
    <w:rsid w:val="00FA1827"/>
    <w:rsid w:val="00FC4FFC"/>
    <w:rsid w:val="00FD54ED"/>
    <w:rsid w:val="00FD719C"/>
    <w:rsid w:val="00FF18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883B1D0-BBD8-44E9-8C8E-DA36B95F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D70F20"/>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eastAsia="es-MX"/>
    </w:rPr>
  </w:style>
  <w:style w:type="paragraph" w:styleId="Sinespaciado">
    <w:name w:val="No Spacing"/>
    <w:aliases w:val="Francesa,INAI"/>
    <w:link w:val="SinespaciadoCar"/>
    <w:uiPriority w:val="1"/>
    <w:qFormat/>
    <w:rsid w:val="00071265"/>
  </w:style>
  <w:style w:type="character" w:customStyle="1" w:styleId="SinespaciadoCar">
    <w:name w:val="Sin espaciado Car"/>
    <w:aliases w:val="Francesa Car,INAI Car"/>
    <w:link w:val="Sinespaciado"/>
    <w:uiPriority w:val="1"/>
    <w:qFormat/>
    <w:locked/>
    <w:rsid w:val="00071265"/>
  </w:style>
  <w:style w:type="paragraph" w:customStyle="1" w:styleId="Default">
    <w:name w:val="Default"/>
    <w:qFormat/>
    <w:rsid w:val="001C69FE"/>
    <w:pPr>
      <w:autoSpaceDE w:val="0"/>
      <w:autoSpaceDN w:val="0"/>
      <w:adjustRightInd w:val="0"/>
    </w:pPr>
    <w:rPr>
      <w:rFonts w:ascii="Arial" w:hAnsi="Arial" w:cs="Arial"/>
      <w:color w:val="000000"/>
    </w:rPr>
  </w:style>
  <w:style w:type="table" w:customStyle="1" w:styleId="Tablanormal12">
    <w:name w:val="Tabla normal 12"/>
    <w:basedOn w:val="Tablanormal"/>
    <w:next w:val="Tablanormal1"/>
    <w:uiPriority w:val="41"/>
    <w:rsid w:val="00C368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ennegrita">
    <w:name w:val="Strong"/>
    <w:uiPriority w:val="22"/>
    <w:qFormat/>
    <w:rsid w:val="003F5071"/>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paragraph" w:customStyle="1" w:styleId="Citas">
    <w:name w:val="Citas"/>
    <w:basedOn w:val="Normal"/>
    <w:qFormat/>
    <w:rsid w:val="00E803AA"/>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CitasINFOEM">
    <w:name w:val="Citas INFOEM"/>
    <w:basedOn w:val="Normal"/>
    <w:qFormat/>
    <w:rsid w:val="00F37A04"/>
    <w:pPr>
      <w:spacing w:before="240" w:after="160" w:line="360" w:lineRule="auto"/>
      <w:ind w:left="851" w:right="851"/>
      <w:jc w:val="both"/>
    </w:pPr>
    <w:rPr>
      <w:rFonts w:ascii="Palatino Linotype" w:eastAsia="Times New Roman" w:hAnsi="Palatino Linotype" w:cs="Times New Roman"/>
      <w:i/>
      <w:sz w:val="22"/>
      <w:lang w:val="es-MX" w:eastAsia="en-US"/>
    </w:rPr>
  </w:style>
  <w:style w:type="paragraph" w:styleId="NormalWeb">
    <w:name w:val="Normal (Web)"/>
    <w:basedOn w:val="Normal"/>
    <w:uiPriority w:val="99"/>
    <w:rsid w:val="00151F2D"/>
    <w:pPr>
      <w:spacing w:before="100" w:beforeAutospacing="1" w:after="100" w:afterAutospacing="1"/>
    </w:pPr>
    <w:rPr>
      <w:rFonts w:ascii="Times New Roman" w:eastAsia="Times New Roman" w:hAnsi="Times New Roman" w:cs="Times New Roman"/>
      <w:lang w:val="es-MX" w:eastAsia="es-MX"/>
    </w:r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7137AB"/>
    <w:pPr>
      <w:numPr>
        <w:numId w:val="17"/>
      </w:numPr>
      <w:contextualSpacing/>
    </w:pPr>
    <w:rPr>
      <w:rFonts w:ascii="Times New Roman" w:eastAsia="Times New Roman" w:hAnsi="Times New Roman" w:cs="Times New Roman"/>
      <w:sz w:val="20"/>
      <w:szCs w:val="20"/>
      <w:lang w:val="es-MX"/>
    </w:rPr>
  </w:style>
  <w:style w:type="paragraph" w:customStyle="1" w:styleId="paragraph">
    <w:name w:val="paragraph"/>
    <w:basedOn w:val="Normal"/>
    <w:rsid w:val="008330D2"/>
    <w:pPr>
      <w:spacing w:before="100" w:beforeAutospacing="1" w:after="100" w:afterAutospacing="1"/>
    </w:pPr>
    <w:rPr>
      <w:rFonts w:ascii="Times New Roman" w:eastAsia="Times New Roman" w:hAnsi="Times New Roman" w:cs="Times New Roman"/>
      <w:lang w:val="es-MX" w:eastAsia="es-MX"/>
    </w:rPr>
  </w:style>
  <w:style w:type="paragraph" w:customStyle="1" w:styleId="rtejustify">
    <w:name w:val="rtejustify"/>
    <w:basedOn w:val="Normal"/>
    <w:rsid w:val="00924256"/>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372056">
      <w:bodyDiv w:val="1"/>
      <w:marLeft w:val="0"/>
      <w:marRight w:val="0"/>
      <w:marTop w:val="0"/>
      <w:marBottom w:val="0"/>
      <w:divBdr>
        <w:top w:val="none" w:sz="0" w:space="0" w:color="auto"/>
        <w:left w:val="none" w:sz="0" w:space="0" w:color="auto"/>
        <w:bottom w:val="none" w:sz="0" w:space="0" w:color="auto"/>
        <w:right w:val="none" w:sz="0" w:space="0" w:color="auto"/>
      </w:divBdr>
    </w:div>
    <w:div w:id="1916620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K8DCR661JXnLG5bgLMe5znzAKQ==">CgMxLjAyCGguZ2pkZ3hzMgloLjMwajB6bGwyCWguMWZvYjl0ZTIOaC5jNGEwNjRzOHA3czkyCWguM3pueXNoNzIJaC4yZXQ5MnAwMghoLnR5amN3dDIJaC4zZHk2dmttMgloLjRkMzRvZzgyCWguMXQzaDVzZjIJaC4zNW5rdW4yOAByITF5b2VuQ3NQcW1KQ1RmVTY4UFVNaFA3b2lsOTZDWlk4bQ==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79A1EA4-A021-4EDC-A6EB-AB5433EF8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4061</Words>
  <Characters>22340</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14</cp:revision>
  <dcterms:created xsi:type="dcterms:W3CDTF">2026-01-19T20:39:00Z</dcterms:created>
  <dcterms:modified xsi:type="dcterms:W3CDTF">2026-02-05T23:18:00Z</dcterms:modified>
</cp:coreProperties>
</file>