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4C5" w:rsidRPr="007C0622" w:rsidRDefault="009C44C5" w:rsidP="009C44C5">
      <w:pPr>
        <w:tabs>
          <w:tab w:val="left" w:pos="3465"/>
        </w:tabs>
        <w:spacing w:line="360" w:lineRule="auto"/>
        <w:jc w:val="both"/>
        <w:rPr>
          <w:rFonts w:ascii="Palatino Linotype" w:eastAsia="Palatino Linotype" w:hAnsi="Palatino Linotype" w:cs="Palatino Linotype"/>
          <w:b/>
          <w:color w:val="000000"/>
        </w:rPr>
      </w:pPr>
      <w:r w:rsidRPr="007C0622">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sidRPr="007C0622">
        <w:rPr>
          <w:rFonts w:ascii="Palatino Linotype" w:eastAsia="Palatino Linotype" w:hAnsi="Palatino Linotype" w:cs="Palatino Linotype"/>
          <w:b/>
          <w:color w:val="000000"/>
        </w:rPr>
        <w:t>fecha diecisiete</w:t>
      </w:r>
      <w:r w:rsidR="007C0622" w:rsidRPr="007C0622">
        <w:rPr>
          <w:rFonts w:ascii="Palatino Linotype" w:eastAsia="Palatino Linotype" w:hAnsi="Palatino Linotype" w:cs="Palatino Linotype"/>
          <w:b/>
          <w:color w:val="000000"/>
        </w:rPr>
        <w:t xml:space="preserve"> (17)</w:t>
      </w:r>
      <w:r w:rsidRPr="007C0622">
        <w:rPr>
          <w:rFonts w:ascii="Palatino Linotype" w:eastAsia="Palatino Linotype" w:hAnsi="Palatino Linotype" w:cs="Palatino Linotype"/>
          <w:b/>
          <w:color w:val="000000"/>
        </w:rPr>
        <w:t xml:space="preserve"> de junio de dos mil veintiséis.</w:t>
      </w:r>
    </w:p>
    <w:p w:rsidR="009C44C5" w:rsidRPr="007C0622" w:rsidRDefault="009C44C5" w:rsidP="009C44C5">
      <w:pPr>
        <w:tabs>
          <w:tab w:val="left" w:pos="3465"/>
        </w:tabs>
        <w:spacing w:line="360" w:lineRule="auto"/>
        <w:jc w:val="both"/>
        <w:rPr>
          <w:rFonts w:ascii="Palatino Linotype" w:eastAsia="Palatino Linotype" w:hAnsi="Palatino Linotype" w:cs="Palatino Linotype"/>
          <w:color w:val="000000"/>
        </w:rPr>
      </w:pPr>
    </w:p>
    <w:p w:rsidR="009C44C5" w:rsidRPr="007C0622" w:rsidRDefault="009C44C5" w:rsidP="009C44C5">
      <w:pPr>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b/>
          <w:color w:val="000000"/>
        </w:rPr>
        <w:t>VISTO</w:t>
      </w:r>
      <w:r w:rsidRPr="007C0622">
        <w:rPr>
          <w:rFonts w:ascii="Palatino Linotype" w:eastAsia="Palatino Linotype" w:hAnsi="Palatino Linotype" w:cs="Palatino Linotype"/>
          <w:color w:val="000000"/>
        </w:rPr>
        <w:t xml:space="preserve"> el expediente electrónico formado con motivo del recurso de revisión</w:t>
      </w:r>
      <w:r w:rsidR="00EE48C3" w:rsidRPr="007C0622">
        <w:rPr>
          <w:rFonts w:ascii="Palatino Linotype" w:eastAsia="Palatino Linotype" w:hAnsi="Palatino Linotype" w:cs="Palatino Linotype"/>
          <w:b/>
          <w:color w:val="000000"/>
        </w:rPr>
        <w:t xml:space="preserve"> 01108</w:t>
      </w:r>
      <w:r w:rsidR="000C5D1C" w:rsidRPr="007C0622">
        <w:rPr>
          <w:rFonts w:ascii="Palatino Linotype" w:eastAsia="Palatino Linotype" w:hAnsi="Palatino Linotype" w:cs="Palatino Linotype"/>
          <w:b/>
          <w:color w:val="000000"/>
        </w:rPr>
        <w:t>/INFOEM/IP/RR/2026</w:t>
      </w:r>
      <w:r w:rsidRPr="007C0622">
        <w:rPr>
          <w:rFonts w:ascii="Palatino Linotype" w:eastAsia="Palatino Linotype" w:hAnsi="Palatino Linotype" w:cs="Palatino Linotype"/>
          <w:color w:val="000000"/>
        </w:rPr>
        <w:t xml:space="preserve">, interpuesto por </w:t>
      </w:r>
      <w:r w:rsidRPr="007C0622">
        <w:rPr>
          <w:rFonts w:ascii="Palatino Linotype" w:eastAsia="Palatino Linotype" w:hAnsi="Palatino Linotype" w:cs="Palatino Linotype"/>
          <w:b/>
          <w:color w:val="000000"/>
        </w:rPr>
        <w:t>un us</w:t>
      </w:r>
      <w:r w:rsidR="0005400C" w:rsidRPr="007C0622">
        <w:rPr>
          <w:rFonts w:ascii="Palatino Linotype" w:eastAsia="Palatino Linotype" w:hAnsi="Palatino Linotype" w:cs="Palatino Linotype"/>
          <w:b/>
          <w:color w:val="000000"/>
        </w:rPr>
        <w:t>uario que no proporcionó nombre,</w:t>
      </w:r>
      <w:r w:rsidRPr="007C0622">
        <w:rPr>
          <w:rFonts w:ascii="Palatino Linotype" w:eastAsia="Palatino Linotype" w:hAnsi="Palatino Linotype" w:cs="Palatino Linotype"/>
        </w:rPr>
        <w:t xml:space="preserve"> </w:t>
      </w:r>
      <w:r w:rsidRPr="007C0622">
        <w:rPr>
          <w:rFonts w:ascii="Palatino Linotype" w:eastAsia="Palatino Linotype" w:hAnsi="Palatino Linotype" w:cs="Palatino Linotype"/>
          <w:color w:val="000000"/>
        </w:rPr>
        <w:t>en lo sucesivo</w:t>
      </w:r>
      <w:r w:rsidRPr="007C0622">
        <w:rPr>
          <w:rFonts w:ascii="Palatino Linotype" w:eastAsia="Palatino Linotype" w:hAnsi="Palatino Linotype" w:cs="Palatino Linotype"/>
        </w:rPr>
        <w:t xml:space="preserve"> </w:t>
      </w:r>
      <w:r w:rsidRPr="007C0622">
        <w:rPr>
          <w:rFonts w:ascii="Palatino Linotype" w:eastAsia="Palatino Linotype" w:hAnsi="Palatino Linotype" w:cs="Palatino Linotype"/>
          <w:color w:val="000000"/>
        </w:rPr>
        <w:t xml:space="preserve">el </w:t>
      </w:r>
      <w:r w:rsidRPr="007C0622">
        <w:rPr>
          <w:rFonts w:ascii="Palatino Linotype" w:eastAsia="Palatino Linotype" w:hAnsi="Palatino Linotype" w:cs="Palatino Linotype"/>
          <w:b/>
          <w:color w:val="000000"/>
        </w:rPr>
        <w:t>RECURRENTE</w:t>
      </w:r>
      <w:r w:rsidRPr="007C0622">
        <w:rPr>
          <w:rFonts w:ascii="Palatino Linotype" w:eastAsia="Palatino Linotype" w:hAnsi="Palatino Linotype" w:cs="Palatino Linotype"/>
        </w:rPr>
        <w:t>,</w:t>
      </w:r>
      <w:r w:rsidRPr="007C0622">
        <w:rPr>
          <w:rFonts w:ascii="Palatino Linotype" w:eastAsia="Palatino Linotype" w:hAnsi="Palatino Linotype" w:cs="Palatino Linotype"/>
          <w:color w:val="000000"/>
        </w:rPr>
        <w:t xml:space="preserve"> en contra de la respuesta del </w:t>
      </w:r>
      <w:r w:rsidR="00EE48C3" w:rsidRPr="007C0622">
        <w:rPr>
          <w:rFonts w:ascii="Palatino Linotype" w:eastAsia="Palatino Linotype" w:hAnsi="Palatino Linotype" w:cs="Palatino Linotype"/>
          <w:b/>
          <w:bCs/>
          <w:color w:val="000000"/>
        </w:rPr>
        <w:t>Ayuntamiento de Acambay de Ruíz Castañeda</w:t>
      </w:r>
      <w:r w:rsidRPr="007C0622">
        <w:rPr>
          <w:rFonts w:ascii="Palatino Linotype" w:eastAsia="Palatino Linotype" w:hAnsi="Palatino Linotype" w:cs="Palatino Linotype"/>
          <w:color w:val="000000"/>
        </w:rPr>
        <w:t>, en adelante el</w:t>
      </w:r>
      <w:r w:rsidRPr="007C0622">
        <w:rPr>
          <w:rFonts w:ascii="Palatino Linotype" w:eastAsia="Palatino Linotype" w:hAnsi="Palatino Linotype" w:cs="Palatino Linotype"/>
          <w:b/>
          <w:color w:val="000000"/>
        </w:rPr>
        <w:t xml:space="preserve"> SUJETO OBLIGADO</w:t>
      </w:r>
      <w:r w:rsidRPr="007C0622">
        <w:rPr>
          <w:rFonts w:ascii="Palatino Linotype" w:eastAsia="Palatino Linotype" w:hAnsi="Palatino Linotype" w:cs="Palatino Linotype"/>
          <w:color w:val="000000"/>
        </w:rPr>
        <w:t>,</w:t>
      </w:r>
      <w:r w:rsidRPr="007C0622">
        <w:rPr>
          <w:rFonts w:ascii="Palatino Linotype" w:eastAsia="Palatino Linotype" w:hAnsi="Palatino Linotype" w:cs="Palatino Linotype"/>
          <w:b/>
          <w:color w:val="000000"/>
        </w:rPr>
        <w:t xml:space="preserve"> </w:t>
      </w:r>
      <w:r w:rsidRPr="007C0622">
        <w:rPr>
          <w:rFonts w:ascii="Palatino Linotype" w:eastAsia="Palatino Linotype" w:hAnsi="Palatino Linotype" w:cs="Palatino Linotype"/>
          <w:color w:val="000000"/>
        </w:rPr>
        <w:t>se procede a dictar la presente resolución, con base en los siguientes:</w:t>
      </w:r>
    </w:p>
    <w:p w:rsidR="009C44C5" w:rsidRPr="007C0622" w:rsidRDefault="009C44C5" w:rsidP="009C44C5">
      <w:pPr>
        <w:spacing w:line="360" w:lineRule="auto"/>
        <w:jc w:val="both"/>
        <w:rPr>
          <w:rFonts w:ascii="Palatino Linotype" w:eastAsia="Palatino Linotype" w:hAnsi="Palatino Linotype" w:cs="Palatino Linotype"/>
          <w:b/>
          <w:color w:val="000000"/>
        </w:rPr>
      </w:pPr>
    </w:p>
    <w:p w:rsidR="009C44C5" w:rsidRPr="007C0622" w:rsidRDefault="009C44C5" w:rsidP="009C44C5">
      <w:pPr>
        <w:pStyle w:val="Ttulo1"/>
        <w:spacing w:before="0" w:line="360" w:lineRule="auto"/>
        <w:jc w:val="center"/>
        <w:rPr>
          <w:b/>
          <w:color w:val="000000"/>
          <w:szCs w:val="24"/>
        </w:rPr>
      </w:pPr>
      <w:bookmarkStart w:id="0" w:name="_heading=h.gjdgxs" w:colFirst="0" w:colLast="0"/>
      <w:bookmarkEnd w:id="0"/>
      <w:r w:rsidRPr="007C0622">
        <w:rPr>
          <w:b/>
          <w:color w:val="000000"/>
          <w:szCs w:val="24"/>
        </w:rPr>
        <w:t>A N T E C E D E N T E S</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El </w:t>
      </w:r>
      <w:r w:rsidR="00EE48C3" w:rsidRPr="007C0622">
        <w:rPr>
          <w:rFonts w:ascii="Palatino Linotype" w:eastAsia="Palatino Linotype" w:hAnsi="Palatino Linotype" w:cs="Palatino Linotype"/>
          <w:b/>
          <w:color w:val="000000"/>
        </w:rPr>
        <w:t>veinticinco de noviembre</w:t>
      </w:r>
      <w:r w:rsidRPr="007C0622">
        <w:rPr>
          <w:rFonts w:ascii="Palatino Linotype" w:eastAsia="Palatino Linotype" w:hAnsi="Palatino Linotype" w:cs="Palatino Linotype"/>
          <w:b/>
          <w:color w:val="000000"/>
        </w:rPr>
        <w:t xml:space="preserve"> de dos mil veinticinco</w:t>
      </w:r>
      <w:r w:rsidRPr="007C0622">
        <w:rPr>
          <w:rFonts w:ascii="Palatino Linotype" w:eastAsia="Palatino Linotype" w:hAnsi="Palatino Linotype" w:cs="Palatino Linotype"/>
          <w:color w:val="000000"/>
        </w:rPr>
        <w:t>, el particular presentó</w:t>
      </w:r>
      <w:r w:rsidRPr="007C0622">
        <w:rPr>
          <w:rFonts w:ascii="Palatino Linotype" w:eastAsia="Palatino Linotype" w:hAnsi="Palatino Linotype" w:cs="Palatino Linotype"/>
          <w:b/>
          <w:color w:val="000000"/>
        </w:rPr>
        <w:t xml:space="preserve"> </w:t>
      </w:r>
      <w:r w:rsidRPr="007C0622">
        <w:rPr>
          <w:rFonts w:ascii="Palatino Linotype" w:eastAsia="Palatino Linotype" w:hAnsi="Palatino Linotype" w:cs="Palatino Linotype"/>
          <w:color w:val="000000"/>
        </w:rPr>
        <w:t xml:space="preserve">a través del Sistema de Acceso a la Información Mexiquense (SAIMEX), la solicitud de información pública registrada con el número </w:t>
      </w:r>
      <w:r w:rsidR="00EE48C3" w:rsidRPr="007C0622">
        <w:rPr>
          <w:rFonts w:ascii="Palatino Linotype" w:eastAsia="Palatino Linotype" w:hAnsi="Palatino Linotype" w:cs="Palatino Linotype"/>
          <w:b/>
          <w:bCs/>
          <w:color w:val="000000"/>
        </w:rPr>
        <w:t>00340/ACAMBAY/IP/2025</w:t>
      </w:r>
      <w:r w:rsidRPr="007C0622">
        <w:rPr>
          <w:rFonts w:ascii="Palatino Linotype" w:eastAsia="Palatino Linotype" w:hAnsi="Palatino Linotype" w:cs="Palatino Linotype"/>
          <w:b/>
          <w:color w:val="000000"/>
        </w:rPr>
        <w:t>,</w:t>
      </w:r>
      <w:r w:rsidRPr="007C0622">
        <w:rPr>
          <w:rFonts w:ascii="Palatino Linotype" w:eastAsia="Palatino Linotype" w:hAnsi="Palatino Linotype" w:cs="Palatino Linotype"/>
          <w:color w:val="000000"/>
        </w:rPr>
        <w:t xml:space="preserve"> </w:t>
      </w:r>
      <w:r w:rsidRPr="007C0622">
        <w:rPr>
          <w:rFonts w:ascii="Palatino Linotype" w:eastAsia="Palatino Linotype" w:hAnsi="Palatino Linotype" w:cs="Palatino Linotype"/>
        </w:rPr>
        <w:t xml:space="preserve">en la </w:t>
      </w:r>
      <w:r w:rsidRPr="007C0622">
        <w:rPr>
          <w:rFonts w:ascii="Palatino Linotype" w:eastAsia="Palatino Linotype" w:hAnsi="Palatino Linotype" w:cs="Palatino Linotype"/>
          <w:color w:val="000000"/>
        </w:rPr>
        <w:t xml:space="preserve"> que requirió lo siguiente:</w:t>
      </w:r>
    </w:p>
    <w:p w:rsidR="009C44C5" w:rsidRPr="007C0622" w:rsidRDefault="009C44C5" w:rsidP="009C44C5">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p>
    <w:p w:rsidR="009C44C5" w:rsidRPr="007C0622" w:rsidRDefault="009C44C5" w:rsidP="009C44C5">
      <w:pPr>
        <w:pBdr>
          <w:top w:val="nil"/>
          <w:left w:val="nil"/>
          <w:bottom w:val="nil"/>
          <w:right w:val="nil"/>
          <w:between w:val="nil"/>
        </w:pBdr>
        <w:spacing w:line="276" w:lineRule="auto"/>
        <w:ind w:left="567" w:right="567"/>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i/>
          <w:color w:val="000000"/>
        </w:rPr>
        <w:t xml:space="preserve"> “</w:t>
      </w:r>
      <w:r w:rsidR="00EE48C3" w:rsidRPr="007C0622">
        <w:rPr>
          <w:rFonts w:ascii="Palatino Linotype" w:eastAsia="Palatino Linotype" w:hAnsi="Palatino Linotype" w:cs="Palatino Linotype"/>
          <w:i/>
          <w:color w:val="000000"/>
        </w:rPr>
        <w:t>SOLCITO SABER CUAL FUE LA CAUSA O QUE PROCEDIEMINTO SE DARA A LA SITUACION QUE PASO EN LA AMDRUGADA DEL DOMINGO CON LOS POLICIAS MUNICIPALES YA QUE MI CASA FUE AFECTADA CON IMPACTOS DE BALAS</w:t>
      </w:r>
      <w:r w:rsidRPr="007C0622">
        <w:rPr>
          <w:rFonts w:ascii="Palatino Linotype" w:eastAsia="Palatino Linotype" w:hAnsi="Palatino Linotype" w:cs="Palatino Linotype"/>
          <w:i/>
          <w:color w:val="000000"/>
        </w:rPr>
        <w:t xml:space="preserve">” </w:t>
      </w:r>
      <w:r w:rsidRPr="007C0622">
        <w:rPr>
          <w:rFonts w:ascii="Palatino Linotype" w:eastAsia="Palatino Linotype" w:hAnsi="Palatino Linotype" w:cs="Palatino Linotype"/>
          <w:color w:val="000000"/>
        </w:rPr>
        <w:t>(Sic).</w:t>
      </w:r>
    </w:p>
    <w:p w:rsidR="009C44C5" w:rsidRDefault="009C44C5" w:rsidP="009C44C5">
      <w:pPr>
        <w:spacing w:line="360" w:lineRule="auto"/>
        <w:ind w:right="333"/>
        <w:jc w:val="both"/>
        <w:rPr>
          <w:rFonts w:ascii="Palatino Linotype" w:eastAsia="Palatino Linotype" w:hAnsi="Palatino Linotype" w:cs="Palatino Linotype"/>
          <w:color w:val="000000"/>
        </w:rPr>
      </w:pPr>
    </w:p>
    <w:p w:rsidR="007C0622" w:rsidRPr="007C0622" w:rsidRDefault="007C0622" w:rsidP="009C44C5">
      <w:pPr>
        <w:spacing w:line="360" w:lineRule="auto"/>
        <w:ind w:right="333"/>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Se hace constar que el particular señaló como modalidad de entrega de la información:</w:t>
      </w:r>
      <w:r w:rsidRPr="007C0622">
        <w:rPr>
          <w:rFonts w:ascii="Palatino Linotype" w:eastAsia="Palatino Linotype" w:hAnsi="Palatino Linotype" w:cs="Palatino Linotype"/>
          <w:b/>
          <w:color w:val="000000"/>
        </w:rPr>
        <w:t xml:space="preserve"> A través del SAIMEX</w:t>
      </w:r>
      <w:r w:rsidRPr="007C0622">
        <w:rPr>
          <w:rFonts w:ascii="Palatino Linotype" w:eastAsia="Palatino Linotype" w:hAnsi="Palatino Linotype" w:cs="Palatino Linotype"/>
          <w:color w:val="000000"/>
        </w:rPr>
        <w:t>.</w:t>
      </w:r>
    </w:p>
    <w:p w:rsidR="009C44C5" w:rsidRPr="007C0622" w:rsidRDefault="009C44C5" w:rsidP="00EE48C3">
      <w:pPr>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lastRenderedPageBreak/>
        <w:t>El</w:t>
      </w:r>
      <w:r w:rsidRPr="007C0622">
        <w:rPr>
          <w:rFonts w:ascii="Palatino Linotype" w:eastAsia="Palatino Linotype" w:hAnsi="Palatino Linotype" w:cs="Palatino Linotype"/>
          <w:b/>
          <w:color w:val="000000"/>
        </w:rPr>
        <w:t xml:space="preserve"> </w:t>
      </w:r>
      <w:r w:rsidR="00EE48C3" w:rsidRPr="007C0622">
        <w:rPr>
          <w:rFonts w:ascii="Palatino Linotype" w:eastAsia="Palatino Linotype" w:hAnsi="Palatino Linotype" w:cs="Palatino Linotype"/>
          <w:b/>
          <w:color w:val="000000"/>
        </w:rPr>
        <w:t>dieciséis de diciembre de dos mil veinticinco</w:t>
      </w:r>
      <w:r w:rsidR="00EE48C3" w:rsidRPr="007C0622">
        <w:rPr>
          <w:rFonts w:ascii="Palatino Linotype" w:eastAsia="Palatino Linotype" w:hAnsi="Palatino Linotype" w:cs="Palatino Linotype"/>
          <w:color w:val="000000"/>
        </w:rPr>
        <w:t>,</w:t>
      </w:r>
      <w:r w:rsidRPr="007C0622">
        <w:rPr>
          <w:rFonts w:ascii="Palatino Linotype" w:eastAsia="Palatino Linotype" w:hAnsi="Palatino Linotype" w:cs="Palatino Linotype"/>
          <w:color w:val="000000"/>
        </w:rPr>
        <w:t xml:space="preserve"> el Sujeto Obligado entregó respuesta en el siguiente sentido:</w:t>
      </w:r>
    </w:p>
    <w:p w:rsidR="009C44C5" w:rsidRPr="007C0622" w:rsidRDefault="009C44C5" w:rsidP="009C44C5">
      <w:pPr>
        <w:pStyle w:val="Prrafodelista"/>
        <w:rPr>
          <w:rFonts w:ascii="Palatino Linotype" w:eastAsia="Palatino Linotype" w:hAnsi="Palatino Linotype" w:cs="Palatino Linotype"/>
          <w:color w:val="000000"/>
        </w:rPr>
      </w:pPr>
    </w:p>
    <w:tbl>
      <w:tblPr>
        <w:tblW w:w="7465" w:type="dxa"/>
        <w:jc w:val="center"/>
        <w:tblCellSpacing w:w="0" w:type="dxa"/>
        <w:tblCellMar>
          <w:left w:w="0" w:type="dxa"/>
          <w:right w:w="0" w:type="dxa"/>
        </w:tblCellMar>
        <w:tblLook w:val="04A0" w:firstRow="1" w:lastRow="0" w:firstColumn="1" w:lastColumn="0" w:noHBand="0" w:noVBand="1"/>
      </w:tblPr>
      <w:tblGrid>
        <w:gridCol w:w="7465"/>
      </w:tblGrid>
      <w:tr w:rsidR="00EE48C3" w:rsidRPr="007C0622" w:rsidTr="00EE48C3">
        <w:trPr>
          <w:trHeight w:val="300"/>
          <w:tblCellSpacing w:w="0" w:type="dxa"/>
          <w:jc w:val="center"/>
        </w:trPr>
        <w:tc>
          <w:tcPr>
            <w:tcW w:w="0" w:type="auto"/>
            <w:vAlign w:val="center"/>
            <w:hideMark/>
          </w:tcPr>
          <w:p w:rsidR="00EE48C3" w:rsidRPr="007C0622" w:rsidRDefault="00EE48C3" w:rsidP="00EE48C3">
            <w:pPr>
              <w:jc w:val="right"/>
              <w:rPr>
                <w:rFonts w:ascii="Palatino Linotype" w:eastAsia="Times New Roman" w:hAnsi="Palatino Linotype" w:cs="Times New Roman"/>
                <w:i/>
              </w:rPr>
            </w:pPr>
            <w:r w:rsidRPr="007C0622">
              <w:rPr>
                <w:rFonts w:ascii="Palatino Linotype" w:eastAsia="Times New Roman" w:hAnsi="Palatino Linotype" w:cs="Times New Roman"/>
                <w:i/>
              </w:rPr>
              <w:t>“Acambay de Ruíz Castañeda, México a 16 de Diciembre de 2025</w:t>
            </w:r>
          </w:p>
        </w:tc>
      </w:tr>
      <w:tr w:rsidR="00EE48C3" w:rsidRPr="007C0622" w:rsidTr="00EE48C3">
        <w:trPr>
          <w:trHeight w:val="300"/>
          <w:tblCellSpacing w:w="0" w:type="dxa"/>
          <w:jc w:val="center"/>
        </w:trPr>
        <w:tc>
          <w:tcPr>
            <w:tcW w:w="0" w:type="auto"/>
            <w:vAlign w:val="center"/>
            <w:hideMark/>
          </w:tcPr>
          <w:p w:rsidR="00EE48C3" w:rsidRPr="007C0622" w:rsidRDefault="00EE48C3" w:rsidP="00EE48C3">
            <w:pPr>
              <w:jc w:val="right"/>
              <w:rPr>
                <w:rFonts w:ascii="Palatino Linotype" w:eastAsia="Times New Roman" w:hAnsi="Palatino Linotype" w:cs="Times New Roman"/>
                <w:i/>
              </w:rPr>
            </w:pPr>
            <w:r w:rsidRPr="007C0622">
              <w:rPr>
                <w:rFonts w:ascii="Palatino Linotype" w:eastAsia="Times New Roman" w:hAnsi="Palatino Linotype" w:cs="Times New Roman"/>
                <w:i/>
              </w:rPr>
              <w:t>Nombre del solicitante: C. Solicitante</w:t>
            </w:r>
          </w:p>
        </w:tc>
      </w:tr>
      <w:tr w:rsidR="00EE48C3" w:rsidRPr="007C0622" w:rsidTr="00EE48C3">
        <w:trPr>
          <w:trHeight w:val="300"/>
          <w:tblCellSpacing w:w="0" w:type="dxa"/>
          <w:jc w:val="center"/>
        </w:trPr>
        <w:tc>
          <w:tcPr>
            <w:tcW w:w="0" w:type="auto"/>
            <w:vAlign w:val="center"/>
            <w:hideMark/>
          </w:tcPr>
          <w:p w:rsidR="00EE48C3" w:rsidRPr="007C0622" w:rsidRDefault="00EE48C3" w:rsidP="00EE48C3">
            <w:pPr>
              <w:jc w:val="right"/>
              <w:rPr>
                <w:rFonts w:ascii="Palatino Linotype" w:eastAsia="Times New Roman" w:hAnsi="Palatino Linotype" w:cs="Times New Roman"/>
                <w:i/>
              </w:rPr>
            </w:pPr>
            <w:r w:rsidRPr="007C0622">
              <w:rPr>
                <w:rFonts w:ascii="Palatino Linotype" w:eastAsia="Times New Roman" w:hAnsi="Palatino Linotype" w:cs="Times New Roman"/>
                <w:i/>
              </w:rPr>
              <w:t>Folio de la solicitud: 00340/ACAMBAY/IP/2025</w:t>
            </w:r>
          </w:p>
        </w:tc>
      </w:tr>
      <w:tr w:rsidR="00EE48C3" w:rsidRPr="007C0622" w:rsidTr="00EE48C3">
        <w:trPr>
          <w:trHeight w:val="451"/>
          <w:tblCellSpacing w:w="0" w:type="dxa"/>
          <w:jc w:val="center"/>
        </w:trPr>
        <w:tc>
          <w:tcPr>
            <w:tcW w:w="0" w:type="auto"/>
            <w:vAlign w:val="center"/>
            <w:hideMark/>
          </w:tcPr>
          <w:p w:rsidR="00EE48C3" w:rsidRPr="007C0622" w:rsidRDefault="00EE48C3" w:rsidP="00EE48C3">
            <w:pPr>
              <w:jc w:val="right"/>
              <w:rPr>
                <w:rFonts w:ascii="Palatino Linotype" w:eastAsia="Times New Roman" w:hAnsi="Palatino Linotype" w:cs="Times New Roman"/>
                <w:i/>
              </w:rPr>
            </w:pPr>
          </w:p>
        </w:tc>
      </w:tr>
      <w:tr w:rsidR="00EE48C3" w:rsidRPr="007C0622" w:rsidTr="00EE48C3">
        <w:trPr>
          <w:trHeight w:val="376"/>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p>
        </w:tc>
      </w:tr>
      <w:tr w:rsidR="00EE48C3" w:rsidRPr="007C0622" w:rsidTr="00EE48C3">
        <w:trPr>
          <w:trHeight w:val="150"/>
          <w:tblCellSpacing w:w="0" w:type="dxa"/>
          <w:jc w:val="center"/>
        </w:trPr>
        <w:tc>
          <w:tcPr>
            <w:tcW w:w="0" w:type="auto"/>
            <w:vAlign w:val="center"/>
            <w:hideMark/>
          </w:tcPr>
          <w:p w:rsidR="00EE48C3" w:rsidRPr="007C0622" w:rsidRDefault="00EE48C3" w:rsidP="00EE48C3">
            <w:pPr>
              <w:jc w:val="both"/>
              <w:rPr>
                <w:rFonts w:ascii="Palatino Linotype" w:eastAsia="Times New Roman" w:hAnsi="Palatino Linotype" w:cs="Times New Roman"/>
                <w:i/>
              </w:rPr>
            </w:pPr>
            <w:r w:rsidRPr="007C0622">
              <w:rPr>
                <w:rFonts w:ascii="Palatino Linotype" w:eastAsia="Times New Roman" w:hAnsi="Palatino Linotype" w:cs="Times New Roman"/>
                <w:i/>
              </w:rPr>
              <w:t>En atención a su solicitud de información 00340/ACAMBAY/IP/2025 recibida por esta dependencia vía Sistema Electrónico Denominado Sistema de Acceso a la Información Mexiquense (SAIMEX), dirigida al Ayuntamiento Constitucional de Acambay de Ruiz Castañeda, Estado de México, como sujeto Obligado de la Ley de Transparencia y Acceso a la Información Pública del Estado de México y Municipios. Se entrega la siguiente documental que da contestación a su petición, manifestando que la información proporcionada es la única que obra en los archivos municipales, de conformidad con lo que establece el párrafo segundo del artículo 12 de la Ley de Transparencia y Acceso a la Información Pública del Estado de México y Municipios.</w:t>
            </w:r>
          </w:p>
        </w:tc>
      </w:tr>
      <w:tr w:rsidR="00EE48C3" w:rsidRPr="007C0622" w:rsidTr="00EE48C3">
        <w:trPr>
          <w:trHeight w:val="376"/>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p>
        </w:tc>
      </w:tr>
      <w:tr w:rsidR="00EE48C3" w:rsidRPr="007C0622" w:rsidTr="00EE48C3">
        <w:trPr>
          <w:trHeight w:val="150"/>
          <w:tblCellSpacing w:w="0" w:type="dxa"/>
          <w:jc w:val="center"/>
        </w:trPr>
        <w:tc>
          <w:tcPr>
            <w:tcW w:w="0" w:type="auto"/>
            <w:vAlign w:val="center"/>
            <w:hideMark/>
          </w:tcPr>
          <w:p w:rsidR="00EE48C3" w:rsidRPr="007C0622" w:rsidRDefault="00EE48C3" w:rsidP="00EE48C3">
            <w:pPr>
              <w:jc w:val="center"/>
              <w:rPr>
                <w:rFonts w:ascii="Palatino Linotype" w:eastAsia="Times New Roman" w:hAnsi="Palatino Linotype" w:cs="Times New Roman"/>
                <w:i/>
              </w:rPr>
            </w:pPr>
          </w:p>
        </w:tc>
      </w:tr>
      <w:tr w:rsidR="00EE48C3" w:rsidRPr="007C0622" w:rsidTr="00EE48C3">
        <w:trPr>
          <w:trHeight w:val="150"/>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p>
        </w:tc>
      </w:tr>
      <w:tr w:rsidR="00EE48C3" w:rsidRPr="007C0622" w:rsidTr="00EE48C3">
        <w:trPr>
          <w:trHeight w:val="150"/>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r w:rsidRPr="007C0622">
              <w:rPr>
                <w:rFonts w:ascii="Palatino Linotype" w:eastAsia="Times New Roman" w:hAnsi="Palatino Linotype" w:cs="Times New Roman"/>
                <w:i/>
              </w:rPr>
              <w:t>ATENTAMENTE</w:t>
            </w:r>
          </w:p>
        </w:tc>
      </w:tr>
      <w:tr w:rsidR="00EE48C3" w:rsidRPr="007C0622" w:rsidTr="00EE48C3">
        <w:trPr>
          <w:trHeight w:val="225"/>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p>
        </w:tc>
      </w:tr>
      <w:tr w:rsidR="00EE48C3" w:rsidRPr="007C0622" w:rsidTr="00EE48C3">
        <w:trPr>
          <w:trHeight w:val="150"/>
          <w:tblCellSpacing w:w="0" w:type="dxa"/>
          <w:jc w:val="center"/>
        </w:trPr>
        <w:tc>
          <w:tcPr>
            <w:tcW w:w="0" w:type="auto"/>
            <w:vAlign w:val="center"/>
            <w:hideMark/>
          </w:tcPr>
          <w:p w:rsidR="00EE48C3" w:rsidRPr="007C0622" w:rsidRDefault="00EE48C3" w:rsidP="00EE48C3">
            <w:pPr>
              <w:rPr>
                <w:rFonts w:ascii="Palatino Linotype" w:eastAsia="Times New Roman" w:hAnsi="Palatino Linotype" w:cs="Times New Roman"/>
                <w:i/>
              </w:rPr>
            </w:pPr>
            <w:r w:rsidRPr="007C0622">
              <w:rPr>
                <w:rFonts w:ascii="Palatino Linotype" w:eastAsia="Times New Roman" w:hAnsi="Palatino Linotype" w:cs="Times New Roman"/>
                <w:i/>
              </w:rPr>
              <w:t>LIC. BERENICE CISNEROS RUIZ”</w:t>
            </w:r>
          </w:p>
        </w:tc>
      </w:tr>
    </w:tbl>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pBdr>
          <w:top w:val="nil"/>
          <w:left w:val="nil"/>
          <w:bottom w:val="nil"/>
          <w:right w:val="nil"/>
          <w:between w:val="nil"/>
        </w:pBdr>
        <w:tabs>
          <w:tab w:val="left" w:pos="284"/>
          <w:tab w:val="left" w:pos="426"/>
        </w:tabs>
        <w:spacing w:line="360" w:lineRule="auto"/>
        <w:jc w:val="both"/>
        <w:rPr>
          <w:rFonts w:ascii="Palatino Linotype" w:eastAsia="Palatino Linotype" w:hAnsi="Palatino Linotype" w:cs="Palatino Linotype"/>
          <w:color w:val="000000"/>
        </w:rPr>
      </w:pPr>
    </w:p>
    <w:p w:rsidR="009C44C5" w:rsidRPr="007C0622" w:rsidRDefault="00EE48C3" w:rsidP="00EE48C3">
      <w:pPr>
        <w:pStyle w:val="Prrafodelista"/>
        <w:numPr>
          <w:ilvl w:val="0"/>
          <w:numId w:val="3"/>
        </w:numPr>
        <w:pBdr>
          <w:top w:val="nil"/>
          <w:left w:val="nil"/>
          <w:bottom w:val="nil"/>
          <w:right w:val="nil"/>
          <w:between w:val="nil"/>
        </w:pBdr>
        <w:tabs>
          <w:tab w:val="left" w:pos="284"/>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A la respuesta se adjuntó el archivo denominado </w:t>
      </w:r>
      <w:hyperlink r:id="rId7" w:tgtFrame="_blank" w:history="1">
        <w:r w:rsidRPr="007C0622">
          <w:rPr>
            <w:rStyle w:val="Hipervnculo"/>
            <w:rFonts w:ascii="Palatino Linotype" w:eastAsia="Palatino Linotype" w:hAnsi="Palatino Linotype" w:cs="Palatino Linotype"/>
            <w:b/>
            <w:bCs/>
          </w:rPr>
          <w:t>Resp. Sol. 340.pdf</w:t>
        </w:r>
      </w:hyperlink>
      <w:r w:rsidRPr="007C0622">
        <w:rPr>
          <w:rFonts w:ascii="Palatino Linotype" w:eastAsia="Palatino Linotype" w:hAnsi="Palatino Linotype" w:cs="Palatino Linotype"/>
          <w:color w:val="000000"/>
        </w:rPr>
        <w:t>, en el que se advierten los oficios UTAIPEM/720/2025 de fecha veintiséis de noviembre de dos mil veinticinco, suscrito por el Titular de la Unidad de Transparencia</w:t>
      </w:r>
      <w:r w:rsidR="00900553" w:rsidRPr="007C0622">
        <w:rPr>
          <w:rFonts w:ascii="Palatino Linotype" w:eastAsia="Palatino Linotype" w:hAnsi="Palatino Linotype" w:cs="Palatino Linotype"/>
          <w:color w:val="000000"/>
        </w:rPr>
        <w:t xml:space="preserve"> y remitido a la Consejería Jurídica en requerimiento de respuesta a la solicitud de información; oficio número CJ/450/2025 de fecha dos de diciembre de dos mil veinticinco, suscrito por el </w:t>
      </w:r>
      <w:r w:rsidR="00900553" w:rsidRPr="007C0622">
        <w:rPr>
          <w:rFonts w:ascii="Palatino Linotype" w:eastAsia="Palatino Linotype" w:hAnsi="Palatino Linotype" w:cs="Palatino Linotype"/>
          <w:color w:val="000000"/>
        </w:rPr>
        <w:lastRenderedPageBreak/>
        <w:t xml:space="preserve">Titular de la Consejería Jurídica, quien señaló que no obra archivo relacionado con los hechos que se refieren. </w:t>
      </w:r>
    </w:p>
    <w:p w:rsidR="00EE48C3" w:rsidRPr="007C0622" w:rsidRDefault="00EE48C3" w:rsidP="00EE48C3">
      <w:pPr>
        <w:pStyle w:val="Prrafodelista"/>
        <w:pBdr>
          <w:top w:val="nil"/>
          <w:left w:val="nil"/>
          <w:bottom w:val="nil"/>
          <w:right w:val="nil"/>
          <w:between w:val="nil"/>
        </w:pBdr>
        <w:tabs>
          <w:tab w:val="left" w:pos="284"/>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284"/>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El </w:t>
      </w:r>
      <w:r w:rsidR="008221A2" w:rsidRPr="007C0622">
        <w:rPr>
          <w:rFonts w:ascii="Palatino Linotype" w:eastAsia="Palatino Linotype" w:hAnsi="Palatino Linotype" w:cs="Palatino Linotype"/>
          <w:b/>
          <w:color w:val="000000"/>
        </w:rPr>
        <w:t>veintiséis de enero de dos mil veintiséis,</w:t>
      </w:r>
      <w:r w:rsidRPr="007C0622">
        <w:rPr>
          <w:rFonts w:ascii="Palatino Linotype" w:eastAsia="Palatino Linotype" w:hAnsi="Palatino Linotype" w:cs="Palatino Linotype"/>
          <w:color w:val="000000"/>
        </w:rPr>
        <w:t xml:space="preserve"> el particular interpuso el recurso de revisión; impugnación en la que refirió lo siguiente:</w:t>
      </w:r>
    </w:p>
    <w:p w:rsidR="009C44C5" w:rsidRPr="007C0622" w:rsidRDefault="009C44C5" w:rsidP="009C44C5">
      <w:pPr>
        <w:pBdr>
          <w:top w:val="nil"/>
          <w:left w:val="nil"/>
          <w:bottom w:val="nil"/>
          <w:right w:val="nil"/>
          <w:between w:val="nil"/>
        </w:pBdr>
        <w:tabs>
          <w:tab w:val="left" w:pos="284"/>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numPr>
          <w:ilvl w:val="0"/>
          <w:numId w:val="2"/>
        </w:numPr>
        <w:pBdr>
          <w:top w:val="nil"/>
          <w:left w:val="nil"/>
          <w:bottom w:val="nil"/>
          <w:right w:val="nil"/>
          <w:between w:val="nil"/>
        </w:pBdr>
        <w:tabs>
          <w:tab w:val="left" w:pos="1134"/>
          <w:tab w:val="left" w:pos="8222"/>
        </w:tabs>
        <w:spacing w:line="276" w:lineRule="auto"/>
        <w:ind w:right="567"/>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b/>
          <w:color w:val="000000"/>
        </w:rPr>
        <w:t>Acto impugnado:</w:t>
      </w:r>
      <w:r w:rsidRPr="007C0622">
        <w:rPr>
          <w:rFonts w:ascii="Palatino Linotype" w:eastAsia="Palatino Linotype" w:hAnsi="Palatino Linotype" w:cs="Palatino Linotype"/>
          <w:color w:val="000000"/>
        </w:rPr>
        <w:t xml:space="preserve"> “</w:t>
      </w:r>
      <w:r w:rsidR="008221A2" w:rsidRPr="007C0622">
        <w:rPr>
          <w:rFonts w:ascii="Palatino Linotype" w:eastAsia="Palatino Linotype" w:hAnsi="Palatino Linotype" w:cs="Palatino Linotype"/>
          <w:i/>
          <w:color w:val="000000"/>
        </w:rPr>
        <w:t>NO ME ENVIARON LO QUE SOLICITE</w:t>
      </w:r>
      <w:r w:rsidRPr="007C0622">
        <w:rPr>
          <w:rFonts w:ascii="Palatino Linotype" w:eastAsia="Palatino Linotype" w:hAnsi="Palatino Linotype" w:cs="Palatino Linotype"/>
          <w:i/>
          <w:color w:val="000000"/>
        </w:rPr>
        <w:t>”</w:t>
      </w:r>
      <w:r w:rsidRPr="007C0622">
        <w:rPr>
          <w:rFonts w:ascii="Palatino Linotype" w:eastAsia="Palatino Linotype" w:hAnsi="Palatino Linotype" w:cs="Palatino Linotype"/>
          <w:color w:val="000000"/>
        </w:rPr>
        <w:t xml:space="preserve"> (Sic).</w:t>
      </w:r>
    </w:p>
    <w:p w:rsidR="009C44C5" w:rsidRPr="007C0622" w:rsidRDefault="009C44C5" w:rsidP="009C44C5">
      <w:pPr>
        <w:pBdr>
          <w:top w:val="nil"/>
          <w:left w:val="nil"/>
          <w:bottom w:val="nil"/>
          <w:right w:val="nil"/>
          <w:between w:val="nil"/>
        </w:pBdr>
        <w:tabs>
          <w:tab w:val="left" w:pos="1134"/>
          <w:tab w:val="left" w:pos="8222"/>
        </w:tabs>
        <w:spacing w:line="276" w:lineRule="auto"/>
        <w:ind w:left="720" w:right="567"/>
        <w:jc w:val="both"/>
        <w:rPr>
          <w:rFonts w:ascii="Palatino Linotype" w:eastAsia="Palatino Linotype" w:hAnsi="Palatino Linotype" w:cs="Palatino Linotype"/>
          <w:color w:val="000000"/>
        </w:rPr>
      </w:pPr>
    </w:p>
    <w:p w:rsidR="009C44C5" w:rsidRPr="007C0622" w:rsidRDefault="009C44C5" w:rsidP="009C44C5">
      <w:pPr>
        <w:numPr>
          <w:ilvl w:val="0"/>
          <w:numId w:val="2"/>
        </w:numPr>
        <w:pBdr>
          <w:top w:val="nil"/>
          <w:left w:val="nil"/>
          <w:bottom w:val="nil"/>
          <w:right w:val="nil"/>
          <w:between w:val="nil"/>
        </w:pBdr>
        <w:tabs>
          <w:tab w:val="left" w:pos="1134"/>
          <w:tab w:val="left" w:pos="8222"/>
        </w:tabs>
        <w:spacing w:line="276" w:lineRule="auto"/>
        <w:ind w:right="49"/>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b/>
          <w:color w:val="000000"/>
        </w:rPr>
        <w:t>Razones o motivos de inconformidad:</w:t>
      </w:r>
      <w:r w:rsidRPr="007C0622">
        <w:rPr>
          <w:rFonts w:ascii="Palatino Linotype" w:eastAsia="Palatino Linotype" w:hAnsi="Palatino Linotype" w:cs="Palatino Linotype"/>
          <w:color w:val="000000"/>
        </w:rPr>
        <w:t xml:space="preserve"> “</w:t>
      </w:r>
      <w:r w:rsidR="008221A2" w:rsidRPr="007C0622">
        <w:rPr>
          <w:rFonts w:ascii="Palatino Linotype" w:eastAsia="Palatino Linotype" w:hAnsi="Palatino Linotype" w:cs="Palatino Linotype"/>
          <w:i/>
          <w:color w:val="000000"/>
        </w:rPr>
        <w:t>NO ME ENVIARON LO QUE SOLICITE</w:t>
      </w:r>
      <w:r w:rsidRPr="007C0622">
        <w:rPr>
          <w:rFonts w:ascii="Palatino Linotype" w:eastAsia="Palatino Linotype" w:hAnsi="Palatino Linotype" w:cs="Palatino Linotype"/>
          <w:i/>
          <w:color w:val="000000"/>
        </w:rPr>
        <w:t>”</w:t>
      </w:r>
      <w:r w:rsidRPr="007C0622">
        <w:rPr>
          <w:rFonts w:ascii="Palatino Linotype" w:eastAsia="Palatino Linotype" w:hAnsi="Palatino Linotype" w:cs="Palatino Linotype"/>
          <w:color w:val="000000"/>
        </w:rPr>
        <w:t xml:space="preserve"> (Sic).</w:t>
      </w:r>
    </w:p>
    <w:p w:rsidR="009C44C5" w:rsidRPr="007C0622" w:rsidRDefault="009C44C5" w:rsidP="009C44C5">
      <w:pPr>
        <w:tabs>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Se registró el recurso de revisión bajo el número de expediente </w:t>
      </w:r>
      <w:r w:rsidR="008221A2" w:rsidRPr="007C0622">
        <w:rPr>
          <w:rFonts w:ascii="Palatino Linotype" w:eastAsia="Palatino Linotype" w:hAnsi="Palatino Linotype" w:cs="Palatino Linotype"/>
          <w:b/>
          <w:color w:val="000000"/>
        </w:rPr>
        <w:t>01108/INFOEM/IP/RR/2026</w:t>
      </w:r>
      <w:r w:rsidRPr="007C0622">
        <w:rPr>
          <w:rFonts w:ascii="Palatino Linotype" w:eastAsia="Palatino Linotype" w:hAnsi="Palatino Linotype" w:cs="Palatino Linotype"/>
          <w:color w:val="000000"/>
        </w:rPr>
        <w:t xml:space="preserve">; asimismo, con fundamento en lo dispuesto por el artículo 185, fracción I, de la Ley de Transparencia y Acceso a la Información Pública del Estado de México y Municipios se </w:t>
      </w:r>
      <w:r w:rsidRPr="007C0622">
        <w:rPr>
          <w:rFonts w:ascii="Palatino Linotype" w:eastAsia="Palatino Linotype" w:hAnsi="Palatino Linotype" w:cs="Palatino Linotype"/>
        </w:rPr>
        <w:t>turna</w:t>
      </w:r>
      <w:r w:rsidRPr="007C0622">
        <w:rPr>
          <w:rFonts w:ascii="Palatino Linotype" w:eastAsia="Palatino Linotype" w:hAnsi="Palatino Linotype" w:cs="Palatino Linotype"/>
          <w:color w:val="000000"/>
        </w:rPr>
        <w:t xml:space="preserve"> a la </w:t>
      </w:r>
      <w:r w:rsidRPr="007C0622">
        <w:rPr>
          <w:rFonts w:ascii="Palatino Linotype" w:eastAsia="Palatino Linotype" w:hAnsi="Palatino Linotype" w:cs="Palatino Linotype"/>
          <w:b/>
          <w:color w:val="000000"/>
        </w:rPr>
        <w:t>Comisionada María del Rosario Mejía Ayala</w:t>
      </w:r>
      <w:r w:rsidRPr="007C0622">
        <w:rPr>
          <w:rFonts w:ascii="Palatino Linotype" w:eastAsia="Palatino Linotype" w:hAnsi="Palatino Linotype" w:cs="Palatino Linotype"/>
          <w:color w:val="000000"/>
        </w:rPr>
        <w:t xml:space="preserve">, </w:t>
      </w:r>
      <w:r w:rsidRPr="007C0622">
        <w:rPr>
          <w:rFonts w:ascii="Palatino Linotype" w:eastAsia="Palatino Linotype" w:hAnsi="Palatino Linotype" w:cs="Palatino Linotype"/>
        </w:rPr>
        <w:t>para</w:t>
      </w:r>
      <w:r w:rsidRPr="007C0622">
        <w:rPr>
          <w:rFonts w:ascii="Palatino Linotype" w:eastAsia="Palatino Linotype" w:hAnsi="Palatino Linotype" w:cs="Palatino Linotype"/>
          <w:color w:val="000000"/>
        </w:rPr>
        <w:t xml:space="preserve"> su análisis.</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bookmarkStart w:id="1" w:name="_heading=h.30j0zll" w:colFirst="0" w:colLast="0"/>
      <w:bookmarkEnd w:id="1"/>
      <w:r w:rsidRPr="007C0622">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del </w:t>
      </w:r>
      <w:r w:rsidR="008221A2" w:rsidRPr="007C0622">
        <w:rPr>
          <w:rFonts w:ascii="Palatino Linotype" w:eastAsia="Palatino Linotype" w:hAnsi="Palatino Linotype" w:cs="Palatino Linotype"/>
          <w:b/>
          <w:color w:val="000000"/>
        </w:rPr>
        <w:t>treinta de enero de dos mil veintiséis</w:t>
      </w:r>
      <w:r w:rsidRPr="007C0622">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sidRPr="007C0622">
        <w:rPr>
          <w:rFonts w:ascii="Palatino Linotype" w:eastAsia="Palatino Linotype" w:hAnsi="Palatino Linotype" w:cs="Palatino Linotype"/>
        </w:rPr>
        <w:t>manifestara</w:t>
      </w:r>
      <w:r w:rsidRPr="007C0622">
        <w:rPr>
          <w:rFonts w:ascii="Palatino Linotype" w:eastAsia="Palatino Linotype" w:hAnsi="Palatino Linotype" w:cs="Palatino Linotype"/>
          <w:color w:val="000000"/>
        </w:rPr>
        <w:t xml:space="preserve"> lo que a derecho </w:t>
      </w:r>
      <w:r w:rsidRPr="007C0622">
        <w:rPr>
          <w:rFonts w:ascii="Palatino Linotype" w:eastAsia="Palatino Linotype" w:hAnsi="Palatino Linotype" w:cs="Palatino Linotype"/>
        </w:rPr>
        <w:t>conviniera</w:t>
      </w:r>
      <w:r w:rsidRPr="007C0622">
        <w:rPr>
          <w:rFonts w:ascii="Palatino Linotype" w:eastAsia="Palatino Linotype" w:hAnsi="Palatino Linotype" w:cs="Palatino Linotype"/>
          <w:color w:val="000000"/>
        </w:rPr>
        <w:t xml:space="preserve">, </w:t>
      </w:r>
      <w:r w:rsidRPr="007C0622">
        <w:rPr>
          <w:rFonts w:ascii="Palatino Linotype" w:eastAsia="Palatino Linotype" w:hAnsi="Palatino Linotype" w:cs="Palatino Linotype"/>
        </w:rPr>
        <w:t>ofreciera</w:t>
      </w:r>
      <w:r w:rsidRPr="007C0622">
        <w:rPr>
          <w:rFonts w:ascii="Palatino Linotype" w:eastAsia="Palatino Linotype" w:hAnsi="Palatino Linotype" w:cs="Palatino Linotype"/>
          <w:color w:val="000000"/>
        </w:rPr>
        <w:t xml:space="preserve"> pruebas y alegatos según corresponda a los casos concretos, de esta forma para que el </w:t>
      </w:r>
      <w:r w:rsidRPr="007C0622">
        <w:rPr>
          <w:rFonts w:ascii="Palatino Linotype" w:eastAsia="Palatino Linotype" w:hAnsi="Palatino Linotype" w:cs="Palatino Linotype"/>
          <w:b/>
          <w:color w:val="000000"/>
        </w:rPr>
        <w:t>SUJETO OBLIGADO</w:t>
      </w:r>
      <w:r w:rsidRPr="007C0622">
        <w:rPr>
          <w:rFonts w:ascii="Palatino Linotype" w:eastAsia="Palatino Linotype" w:hAnsi="Palatino Linotype" w:cs="Palatino Linotype"/>
          <w:color w:val="000000"/>
        </w:rPr>
        <w:t xml:space="preserve"> </w:t>
      </w:r>
      <w:r w:rsidRPr="007C0622">
        <w:rPr>
          <w:rFonts w:ascii="Palatino Linotype" w:eastAsia="Palatino Linotype" w:hAnsi="Palatino Linotype" w:cs="Palatino Linotype"/>
        </w:rPr>
        <w:t>presentará</w:t>
      </w:r>
      <w:r w:rsidRPr="007C0622">
        <w:rPr>
          <w:rFonts w:ascii="Palatino Linotype" w:eastAsia="Palatino Linotype" w:hAnsi="Palatino Linotype" w:cs="Palatino Linotype"/>
          <w:color w:val="000000"/>
        </w:rPr>
        <w:t xml:space="preserve"> su Informe Justificado respectivo.</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8221A2" w:rsidRPr="007C0622" w:rsidRDefault="009C44C5" w:rsidP="007C0622">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r w:rsidRPr="007C0622">
        <w:rPr>
          <w:rFonts w:ascii="Palatino Linotype" w:eastAsia="Palatino Linotype" w:hAnsi="Palatino Linotype" w:cs="Palatino Linotype"/>
          <w:color w:val="000000"/>
        </w:rPr>
        <w:t>De las constancias del expediente SAIMEX, se advierte que el Recurrente no realizó manifestaciones</w:t>
      </w:r>
      <w:r w:rsidR="008221A2" w:rsidRPr="007C0622">
        <w:rPr>
          <w:rFonts w:ascii="Palatino Linotype" w:eastAsia="Palatino Linotype" w:hAnsi="Palatino Linotype" w:cs="Palatino Linotype"/>
          <w:color w:val="000000"/>
        </w:rPr>
        <w:t xml:space="preserve"> que a su derecho convinieran</w:t>
      </w:r>
      <w:r w:rsidRPr="007C0622">
        <w:rPr>
          <w:rFonts w:ascii="Palatino Linotype" w:eastAsia="Palatino Linotype" w:hAnsi="Palatino Linotype" w:cs="Palatino Linotype"/>
          <w:color w:val="000000"/>
        </w:rPr>
        <w:t xml:space="preserve">; por su parte, el Sujeto Obligado </w:t>
      </w:r>
      <w:r w:rsidR="008221A2" w:rsidRPr="007C0622">
        <w:rPr>
          <w:rFonts w:ascii="Palatino Linotype" w:eastAsia="Palatino Linotype" w:hAnsi="Palatino Linotype" w:cs="Palatino Linotype"/>
          <w:color w:val="000000"/>
        </w:rPr>
        <w:t>no entregó informe justificado.</w:t>
      </w:r>
    </w:p>
    <w:p w:rsidR="009C44C5" w:rsidRPr="007C0622" w:rsidRDefault="008221A2" w:rsidP="008221A2">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lastRenderedPageBreak/>
        <w:t xml:space="preserve">El </w:t>
      </w:r>
      <w:r w:rsidRPr="007C0622">
        <w:rPr>
          <w:rFonts w:ascii="Palatino Linotype" w:eastAsia="Palatino Linotype" w:hAnsi="Palatino Linotype" w:cs="Palatino Linotype"/>
          <w:b/>
          <w:color w:val="000000"/>
        </w:rPr>
        <w:t>veintinueve de mayo de dos mil veintiséis</w:t>
      </w:r>
      <w:r w:rsidRPr="007C0622">
        <w:rPr>
          <w:rFonts w:ascii="Palatino Linotype" w:eastAsia="Palatino Linotype" w:hAnsi="Palatino Linotype" w:cs="Palatino Linotype"/>
          <w:color w:val="000000"/>
        </w:rPr>
        <w:t xml:space="preserve">, se notificó el acuerdo mediante el cual se aprobó la ampliación de plazo para emitir resolución y el acuerdo de cierre de instrucción por el que se </w:t>
      </w:r>
      <w:r w:rsidR="009C44C5" w:rsidRPr="007C0622">
        <w:rPr>
          <w:rFonts w:ascii="Palatino Linotype" w:eastAsia="Palatino Linotype" w:hAnsi="Palatino Linotype" w:cs="Palatino Linotype"/>
          <w:color w:val="000000"/>
        </w:rPr>
        <w:t>decretó el cie</w:t>
      </w:r>
      <w:r w:rsidRPr="007C0622">
        <w:rPr>
          <w:rFonts w:ascii="Palatino Linotype" w:eastAsia="Palatino Linotype" w:hAnsi="Palatino Linotype" w:cs="Palatino Linotype"/>
          <w:color w:val="000000"/>
        </w:rPr>
        <w:t xml:space="preserve">rre del periodo de instrucción. </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bookmarkStart w:id="2" w:name="_heading=h.1fob9te" w:colFirst="0" w:colLast="0"/>
      <w:bookmarkEnd w:id="2"/>
    </w:p>
    <w:p w:rsidR="009C44C5" w:rsidRPr="007C0622" w:rsidRDefault="009C44C5" w:rsidP="009C44C5">
      <w:pPr>
        <w:pStyle w:val="Ttulo1"/>
        <w:spacing w:before="0" w:line="360" w:lineRule="auto"/>
        <w:jc w:val="center"/>
        <w:rPr>
          <w:b/>
          <w:color w:val="000000"/>
          <w:szCs w:val="24"/>
        </w:rPr>
      </w:pPr>
      <w:bookmarkStart w:id="3" w:name="_heading=h.3znysh7" w:colFirst="0" w:colLast="0"/>
      <w:bookmarkEnd w:id="3"/>
      <w:r w:rsidRPr="007C0622">
        <w:rPr>
          <w:b/>
          <w:color w:val="000000"/>
          <w:szCs w:val="24"/>
        </w:rPr>
        <w:t>C O N S I D E R A N D O</w:t>
      </w:r>
    </w:p>
    <w:p w:rsidR="009C44C5" w:rsidRPr="007C0622" w:rsidRDefault="009C44C5" w:rsidP="009C44C5">
      <w:pPr>
        <w:spacing w:line="360" w:lineRule="auto"/>
        <w:rPr>
          <w:color w:val="000000"/>
        </w:rPr>
      </w:pPr>
    </w:p>
    <w:p w:rsidR="009C44C5" w:rsidRPr="007C0622" w:rsidRDefault="009C44C5" w:rsidP="009C44C5">
      <w:pPr>
        <w:pStyle w:val="Ttulo2"/>
        <w:spacing w:before="0" w:line="360" w:lineRule="auto"/>
        <w:rPr>
          <w:rFonts w:ascii="Palatino Linotype" w:eastAsia="Palatino Linotype" w:hAnsi="Palatino Linotype" w:cs="Palatino Linotype"/>
          <w:b/>
          <w:color w:val="000000"/>
          <w:sz w:val="24"/>
          <w:szCs w:val="24"/>
        </w:rPr>
      </w:pPr>
      <w:bookmarkStart w:id="4" w:name="_heading=h.2et92p0" w:colFirst="0" w:colLast="0"/>
      <w:bookmarkEnd w:id="4"/>
      <w:r w:rsidRPr="007C0622">
        <w:rPr>
          <w:rFonts w:ascii="Palatino Linotype" w:eastAsia="Palatino Linotype" w:hAnsi="Palatino Linotype" w:cs="Palatino Linotype"/>
          <w:b/>
          <w:color w:val="000000"/>
          <w:sz w:val="24"/>
          <w:szCs w:val="24"/>
        </w:rPr>
        <w:t>PRIMERO. De la competencia</w:t>
      </w: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r w:rsidRPr="007C0622">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séptimo, trigésimo octavo y trigésimo noveno,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r w:rsidRPr="007C0622">
        <w:rPr>
          <w:rFonts w:ascii="Palatino Linotype" w:eastAsia="Palatino Linotype" w:hAnsi="Palatino Linotype" w:cs="Palatino Linotype"/>
          <w:b/>
          <w:color w:val="000000"/>
        </w:rPr>
        <w:t>.</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rsidR="009C44C5" w:rsidRPr="007C0622" w:rsidRDefault="009C44C5" w:rsidP="009C44C5">
      <w:pPr>
        <w:pStyle w:val="Ttulo2"/>
        <w:tabs>
          <w:tab w:val="left" w:pos="426"/>
        </w:tabs>
        <w:spacing w:before="0" w:line="360" w:lineRule="auto"/>
        <w:rPr>
          <w:rFonts w:ascii="Palatino Linotype" w:eastAsia="Palatino Linotype" w:hAnsi="Palatino Linotype" w:cs="Palatino Linotype"/>
          <w:b/>
          <w:color w:val="000000"/>
          <w:sz w:val="24"/>
          <w:szCs w:val="24"/>
        </w:rPr>
      </w:pPr>
      <w:bookmarkStart w:id="5" w:name="_heading=h.tyjcwt" w:colFirst="0" w:colLast="0"/>
      <w:bookmarkEnd w:id="5"/>
      <w:r w:rsidRPr="007C0622">
        <w:rPr>
          <w:rFonts w:ascii="Palatino Linotype" w:eastAsia="Palatino Linotype" w:hAnsi="Palatino Linotype" w:cs="Palatino Linotype"/>
          <w:b/>
          <w:color w:val="000000"/>
          <w:sz w:val="24"/>
          <w:szCs w:val="24"/>
        </w:rPr>
        <w:t>SEGUNDO. De la oportunidad y procedencia.</w:t>
      </w:r>
    </w:p>
    <w:p w:rsidR="008221A2" w:rsidRPr="007C0622" w:rsidRDefault="009C44C5"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sz w:val="24"/>
          <w:szCs w:val="24"/>
          <w:lang w:val="es-ES_tradnl" w:eastAsia="es-ES"/>
        </w:rPr>
        <w:t xml:space="preserve">El medio de impugnación fue presentado a través del </w:t>
      </w:r>
      <w:r w:rsidRPr="007C0622">
        <w:rPr>
          <w:rFonts w:ascii="Palatino Linotype" w:eastAsia="Calibri" w:hAnsi="Palatino Linotype"/>
          <w:b/>
          <w:sz w:val="24"/>
          <w:szCs w:val="24"/>
          <w:lang w:val="es-ES_tradnl" w:eastAsia="es-ES"/>
        </w:rPr>
        <w:t>SAIMEX,</w:t>
      </w:r>
      <w:r w:rsidRPr="007C0622">
        <w:rPr>
          <w:rFonts w:ascii="Palatino Linotype" w:eastAsia="Calibri" w:hAnsi="Palatino Linotype"/>
          <w:sz w:val="24"/>
          <w:szCs w:val="24"/>
          <w:lang w:val="es-ES_tradnl" w:eastAsia="es-ES"/>
        </w:rPr>
        <w:t xml:space="preserve"> en el formato previamente aprobado para tal efecto y dentro del plazo legal de quince días hábiles otorgados; siendo así que el </w:t>
      </w:r>
      <w:r w:rsidRPr="007C0622">
        <w:rPr>
          <w:rFonts w:ascii="Palatino Linotype" w:eastAsia="Calibri" w:hAnsi="Palatino Linotype"/>
          <w:b/>
          <w:sz w:val="24"/>
          <w:szCs w:val="24"/>
          <w:lang w:val="es-ES_tradnl" w:eastAsia="es-ES"/>
        </w:rPr>
        <w:t>SUJETO OBLIGADO</w:t>
      </w:r>
      <w:r w:rsidRPr="007C0622">
        <w:rPr>
          <w:rFonts w:ascii="Palatino Linotype" w:eastAsia="Calibri" w:hAnsi="Palatino Linotype"/>
          <w:sz w:val="24"/>
          <w:szCs w:val="24"/>
          <w:lang w:val="es-ES_tradnl" w:eastAsia="es-ES"/>
        </w:rPr>
        <w:t xml:space="preserve"> entregó respuesta a la solicitud el día </w:t>
      </w:r>
      <w:r w:rsidR="008221A2" w:rsidRPr="007C0622">
        <w:rPr>
          <w:rFonts w:ascii="Palatino Linotype" w:eastAsia="Calibri" w:hAnsi="Palatino Linotype"/>
          <w:b/>
          <w:sz w:val="24"/>
          <w:szCs w:val="24"/>
          <w:lang w:val="es-ES_tradnl" w:eastAsia="es-ES"/>
        </w:rPr>
        <w:t xml:space="preserve">dieciséis de diciembre </w:t>
      </w:r>
      <w:r w:rsidRPr="007C0622">
        <w:rPr>
          <w:rFonts w:ascii="Palatino Linotype" w:eastAsia="Calibri" w:hAnsi="Palatino Linotype"/>
          <w:b/>
          <w:sz w:val="24"/>
          <w:szCs w:val="24"/>
          <w:lang w:val="es-ES_tradnl" w:eastAsia="es-ES"/>
        </w:rPr>
        <w:t>de dos mil veinticinco</w:t>
      </w:r>
      <w:r w:rsidRPr="007C0622">
        <w:rPr>
          <w:rFonts w:ascii="Palatino Linotype" w:eastAsia="Calibri" w:hAnsi="Palatino Linotype"/>
          <w:sz w:val="24"/>
          <w:szCs w:val="24"/>
          <w:lang w:val="es-ES_tradnl" w:eastAsia="es-ES"/>
        </w:rPr>
        <w:t xml:space="preserve">, </w:t>
      </w:r>
      <w:r w:rsidRPr="007C0622">
        <w:rPr>
          <w:rFonts w:ascii="Palatino Linotype" w:eastAsiaTheme="minorEastAsia" w:hAnsi="Palatino Linotype"/>
          <w:sz w:val="24"/>
          <w:szCs w:val="24"/>
          <w:lang w:val="es-ES_tradnl" w:eastAsia="es-ES"/>
        </w:rPr>
        <w:t xml:space="preserve">de tal forma que el plazo para interponer el recurso de revisión transcurrió del </w:t>
      </w:r>
      <w:r w:rsidR="008221A2" w:rsidRPr="007C0622">
        <w:rPr>
          <w:rFonts w:ascii="Palatino Linotype" w:eastAsiaTheme="minorEastAsia" w:hAnsi="Palatino Linotype"/>
          <w:b/>
          <w:sz w:val="24"/>
          <w:szCs w:val="24"/>
          <w:lang w:val="es-ES_tradnl" w:eastAsia="es-ES"/>
        </w:rPr>
        <w:t xml:space="preserve">diecisiete de diciembre de dos mil veinticinco al veintisiete de enero </w:t>
      </w:r>
      <w:r w:rsidR="008221A2" w:rsidRPr="007C0622">
        <w:rPr>
          <w:rFonts w:ascii="Palatino Linotype" w:eastAsiaTheme="minorEastAsia" w:hAnsi="Palatino Linotype"/>
          <w:b/>
          <w:sz w:val="24"/>
          <w:szCs w:val="24"/>
          <w:lang w:val="es-ES_tradnl" w:eastAsia="es-ES"/>
        </w:rPr>
        <w:lastRenderedPageBreak/>
        <w:t>de dos mil veintiséis</w:t>
      </w:r>
      <w:r w:rsidRPr="007C0622">
        <w:rPr>
          <w:rFonts w:ascii="Palatino Linotype" w:eastAsiaTheme="minorEastAsia" w:hAnsi="Palatino Linotype"/>
          <w:sz w:val="24"/>
          <w:szCs w:val="24"/>
          <w:lang w:val="es-ES_tradnl" w:eastAsia="es-ES"/>
        </w:rPr>
        <w:t xml:space="preserve">; en consecuencia, presentó su inconformidad el día </w:t>
      </w:r>
      <w:r w:rsidR="008221A2" w:rsidRPr="007C0622">
        <w:rPr>
          <w:rFonts w:ascii="Palatino Linotype" w:eastAsiaTheme="minorEastAsia" w:hAnsi="Palatino Linotype"/>
          <w:b/>
          <w:sz w:val="24"/>
          <w:szCs w:val="24"/>
          <w:lang w:val="es-ES_tradnl" w:eastAsia="es-ES"/>
        </w:rPr>
        <w:t>veintiséis de enero de dos mil veintiséis</w:t>
      </w:r>
      <w:r w:rsidRPr="007C0622">
        <w:rPr>
          <w:rFonts w:ascii="Palatino Linotype" w:eastAsiaTheme="minorEastAsia" w:hAnsi="Palatino Linotype"/>
          <w:sz w:val="24"/>
          <w:szCs w:val="24"/>
          <w:lang w:val="es-ES_tradnl" w:eastAsia="es-ES"/>
        </w:rPr>
        <w:t xml:space="preserve">, por lo que se encuentra dentro de los márgenes temporales previstos en el artículo 178 de la </w:t>
      </w:r>
      <w:r w:rsidRPr="007C0622">
        <w:rPr>
          <w:rFonts w:ascii="Palatino Linotype" w:eastAsiaTheme="minorEastAsia" w:hAnsi="Palatino Linotype"/>
          <w:b/>
          <w:sz w:val="24"/>
          <w:szCs w:val="24"/>
          <w:lang w:val="es-ES_tradnl" w:eastAsia="es-ES"/>
        </w:rPr>
        <w:t xml:space="preserve">Ley de Transparencia y Acceso a la Información Pública del Estado de México y Municipios </w:t>
      </w:r>
      <w:r w:rsidRPr="007C0622">
        <w:rPr>
          <w:rFonts w:ascii="Palatino Linotype" w:eastAsiaTheme="minorEastAsia" w:hAnsi="Palatino Linotype"/>
          <w:sz w:val="24"/>
          <w:szCs w:val="24"/>
          <w:lang w:val="es-ES_tradnl" w:eastAsia="es-ES"/>
        </w:rPr>
        <w:t>vigente.</w:t>
      </w:r>
    </w:p>
    <w:p w:rsidR="008221A2" w:rsidRPr="007C0622" w:rsidRDefault="008221A2" w:rsidP="008221A2">
      <w:pPr>
        <w:pStyle w:val="Listaconvietas2"/>
        <w:numPr>
          <w:ilvl w:val="0"/>
          <w:numId w:val="0"/>
        </w:numPr>
        <w:spacing w:line="360" w:lineRule="auto"/>
        <w:jc w:val="both"/>
        <w:rPr>
          <w:rFonts w:ascii="Palatino Linotype" w:hAnsi="Palatino Linotype"/>
          <w:sz w:val="24"/>
          <w:szCs w:val="24"/>
          <w:lang w:val="es-ES" w:eastAsia="es-ES"/>
        </w:rPr>
      </w:pPr>
    </w:p>
    <w:p w:rsidR="008221A2" w:rsidRPr="007C0622" w:rsidRDefault="008221A2"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cs="Arial"/>
          <w:sz w:val="24"/>
          <w:szCs w:val="24"/>
          <w:lang w:val="es-ES_tradnl" w:eastAsia="es-ES"/>
        </w:rPr>
        <w:t xml:space="preserve">Por otra parte, de la revisión al expediente electrónico del </w:t>
      </w:r>
      <w:r w:rsidRPr="007C0622">
        <w:rPr>
          <w:rFonts w:ascii="Palatino Linotype" w:eastAsia="Calibri" w:hAnsi="Palatino Linotype" w:cs="Arial"/>
          <w:b/>
          <w:sz w:val="24"/>
          <w:szCs w:val="24"/>
          <w:lang w:val="es-ES_tradnl" w:eastAsia="es-ES"/>
        </w:rPr>
        <w:t>SAIMEX</w:t>
      </w:r>
      <w:r w:rsidRPr="007C0622">
        <w:rPr>
          <w:rFonts w:ascii="Palatino Linotype" w:eastAsia="Calibri" w:hAnsi="Palatino Linotype" w:cs="Arial"/>
          <w:sz w:val="24"/>
          <w:szCs w:val="24"/>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8221A2" w:rsidRPr="007C0622" w:rsidRDefault="008221A2" w:rsidP="008221A2">
      <w:pPr>
        <w:pStyle w:val="Prrafodelista"/>
        <w:rPr>
          <w:rFonts w:ascii="Palatino Linotype" w:eastAsia="Calibri" w:hAnsi="Palatino Linotype" w:cs="Arial"/>
          <w:lang w:val="es-ES_tradnl" w:eastAsia="es-ES"/>
        </w:rPr>
      </w:pPr>
    </w:p>
    <w:p w:rsidR="008221A2" w:rsidRPr="007C0622" w:rsidRDefault="008221A2"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cs="Arial"/>
          <w:sz w:val="24"/>
          <w:szCs w:val="24"/>
          <w:lang w:val="es-ES_tradnl" w:eastAsia="es-ES"/>
        </w:rPr>
        <w:t xml:space="preserve">Esto es así, ya que de conformidad con los artículos 6, Apartado A, fracciones III y IV de la Constitución Política de los Estados Unidos Mexicanos y </w:t>
      </w:r>
      <w:r w:rsidRPr="007C0622">
        <w:rPr>
          <w:rFonts w:ascii="Palatino Linotype" w:eastAsia="Calibri" w:hAnsi="Palatino Linotype" w:cs="Arial"/>
          <w:bCs/>
          <w:sz w:val="24"/>
          <w:szCs w:val="24"/>
          <w:lang w:val="es-ES" w:eastAsia="es-ES"/>
        </w:rPr>
        <w:t xml:space="preserve">5, párrafos vigésimo, vigésimo primero y vigésimo </w:t>
      </w:r>
      <w:r w:rsidR="0005400C" w:rsidRPr="007C0622">
        <w:rPr>
          <w:rFonts w:ascii="Palatino Linotype" w:eastAsia="Calibri" w:hAnsi="Palatino Linotype" w:cs="Arial"/>
          <w:bCs/>
          <w:sz w:val="24"/>
          <w:szCs w:val="24"/>
          <w:lang w:val="es-ES" w:eastAsia="es-ES"/>
        </w:rPr>
        <w:t>segundo</w:t>
      </w:r>
      <w:r w:rsidRPr="007C0622">
        <w:rPr>
          <w:rFonts w:ascii="Palatino Linotype" w:eastAsia="Calibri" w:hAnsi="Palatino Linotype" w:cs="Arial"/>
          <w:bCs/>
          <w:sz w:val="24"/>
          <w:szCs w:val="24"/>
          <w:lang w:val="es-ES" w:eastAsia="es-ES"/>
        </w:rPr>
        <w:t> fracciones IV y V </w:t>
      </w:r>
      <w:r w:rsidRPr="007C0622">
        <w:rPr>
          <w:rFonts w:ascii="Palatino Linotype" w:eastAsia="Calibri" w:hAnsi="Palatino Linotype" w:cs="Arial"/>
          <w:sz w:val="24"/>
          <w:szCs w:val="24"/>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8221A2" w:rsidRPr="007C0622" w:rsidRDefault="008221A2" w:rsidP="008221A2">
      <w:pPr>
        <w:pStyle w:val="Prrafodelista"/>
        <w:rPr>
          <w:rFonts w:ascii="Palatino Linotype" w:eastAsia="Calibri" w:hAnsi="Palatino Linotype" w:cs="Arial"/>
          <w:lang w:val="es-ES_tradnl" w:eastAsia="es-ES"/>
        </w:rPr>
      </w:pPr>
    </w:p>
    <w:p w:rsidR="008221A2" w:rsidRPr="007C0622" w:rsidRDefault="008221A2"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cs="Arial"/>
          <w:sz w:val="24"/>
          <w:szCs w:val="24"/>
          <w:lang w:val="es-ES_tradnl" w:eastAsia="es-ES"/>
        </w:rPr>
        <w:t xml:space="preserve">Por lo cual, de una interpretación sistemática, armónica y progresiva del derecho humano de acceso a la información pública se aprecia que toda persona, sin necesidad de </w:t>
      </w:r>
      <w:r w:rsidRPr="007C0622">
        <w:rPr>
          <w:rFonts w:ascii="Palatino Linotype" w:eastAsia="Calibri" w:hAnsi="Palatino Linotype" w:cs="Arial"/>
          <w:sz w:val="24"/>
          <w:szCs w:val="24"/>
          <w:lang w:val="es-ES_tradnl" w:eastAsia="es-ES"/>
        </w:rPr>
        <w:lastRenderedPageBreak/>
        <w:t>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8221A2" w:rsidRPr="007C0622" w:rsidRDefault="008221A2" w:rsidP="008221A2">
      <w:pPr>
        <w:pStyle w:val="Prrafodelista"/>
        <w:rPr>
          <w:rFonts w:ascii="Palatino Linotype" w:eastAsia="Calibri" w:hAnsi="Palatino Linotype" w:cs="Arial"/>
          <w:lang w:val="es-ES_tradnl" w:eastAsia="es-ES"/>
        </w:rPr>
      </w:pPr>
    </w:p>
    <w:p w:rsidR="008221A2" w:rsidRPr="007C0622" w:rsidRDefault="008221A2"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cs="Arial"/>
          <w:sz w:val="24"/>
          <w:szCs w:val="24"/>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8221A2" w:rsidRPr="007C0622" w:rsidRDefault="008221A2" w:rsidP="008221A2">
      <w:pPr>
        <w:pStyle w:val="Prrafodelista"/>
        <w:rPr>
          <w:rFonts w:ascii="Palatino Linotype" w:eastAsia="Calibri" w:hAnsi="Palatino Linotype" w:cs="Arial"/>
          <w:lang w:val="es-ES_tradnl" w:eastAsia="es-ES"/>
        </w:rPr>
      </w:pPr>
    </w:p>
    <w:p w:rsidR="008221A2" w:rsidRPr="007C0622" w:rsidRDefault="008221A2" w:rsidP="008221A2">
      <w:pPr>
        <w:pStyle w:val="Listaconvietas2"/>
        <w:spacing w:line="360" w:lineRule="auto"/>
        <w:jc w:val="both"/>
        <w:rPr>
          <w:rFonts w:ascii="Palatino Linotype" w:hAnsi="Palatino Linotype"/>
          <w:sz w:val="24"/>
          <w:szCs w:val="24"/>
          <w:lang w:val="es-ES" w:eastAsia="es-ES"/>
        </w:rPr>
      </w:pPr>
      <w:r w:rsidRPr="007C0622">
        <w:rPr>
          <w:rFonts w:ascii="Palatino Linotype" w:eastAsia="Calibri" w:hAnsi="Palatino Linotype" w:cs="Arial"/>
          <w:sz w:val="24"/>
          <w:szCs w:val="24"/>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8221A2" w:rsidRPr="007C0622" w:rsidRDefault="008221A2" w:rsidP="008221A2">
      <w:pPr>
        <w:pStyle w:val="Listaconvietas2"/>
        <w:numPr>
          <w:ilvl w:val="0"/>
          <w:numId w:val="0"/>
        </w:numPr>
        <w:spacing w:line="360" w:lineRule="auto"/>
        <w:jc w:val="both"/>
        <w:rPr>
          <w:rFonts w:ascii="Palatino Linotype" w:hAnsi="Palatino Linotype"/>
          <w:sz w:val="24"/>
          <w:szCs w:val="24"/>
          <w:lang w:val="es-ES" w:eastAsia="es-ES"/>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9C44C5" w:rsidRPr="007C0622" w:rsidRDefault="009C44C5" w:rsidP="009C4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9C44C5" w:rsidRPr="007C0622" w:rsidRDefault="009C44C5" w:rsidP="009C44C5">
      <w:pPr>
        <w:pStyle w:val="Ttulo2"/>
        <w:tabs>
          <w:tab w:val="left" w:pos="426"/>
        </w:tabs>
        <w:spacing w:before="0" w:line="360" w:lineRule="auto"/>
        <w:rPr>
          <w:rFonts w:ascii="Palatino Linotype" w:eastAsia="Palatino Linotype" w:hAnsi="Palatino Linotype" w:cs="Palatino Linotype"/>
          <w:b/>
          <w:color w:val="000000"/>
          <w:sz w:val="24"/>
          <w:szCs w:val="24"/>
        </w:rPr>
      </w:pPr>
      <w:bookmarkStart w:id="6" w:name="_heading=h.1t3h5sf" w:colFirst="0" w:colLast="0"/>
      <w:bookmarkEnd w:id="6"/>
      <w:r w:rsidRPr="007C0622">
        <w:rPr>
          <w:rFonts w:ascii="Palatino Linotype" w:eastAsia="Palatino Linotype" w:hAnsi="Palatino Linotype" w:cs="Palatino Linotype"/>
          <w:b/>
          <w:color w:val="000000"/>
          <w:sz w:val="24"/>
          <w:szCs w:val="24"/>
        </w:rPr>
        <w:t>TERCERO. De las causales de sobreseimiento.</w:t>
      </w:r>
    </w:p>
    <w:p w:rsidR="009C44C5" w:rsidRPr="007C0622" w:rsidRDefault="009C44C5" w:rsidP="009C44C5">
      <w:pPr>
        <w:rPr>
          <w:lang w:eastAsia="en-US"/>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La Ley de Transparencia y Acceso a la Información Pública del Estado de México y Municipios, en su artículo 150, establece que el procedimiento de acceso a la información es la </w:t>
      </w:r>
      <w:r w:rsidRPr="007C0622">
        <w:rPr>
          <w:rFonts w:ascii="Palatino Linotype" w:eastAsia="Palatino Linotype" w:hAnsi="Palatino Linotype" w:cs="Palatino Linotype"/>
          <w:color w:val="000000"/>
        </w:rPr>
        <w:lastRenderedPageBreak/>
        <w:t>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pStyle w:val="Listaconvietas2"/>
        <w:spacing w:line="360" w:lineRule="auto"/>
        <w:jc w:val="both"/>
        <w:rPr>
          <w:rFonts w:ascii="Palatino Linotype" w:hAnsi="Palatino Linotype"/>
          <w:sz w:val="24"/>
          <w:szCs w:val="24"/>
        </w:rPr>
      </w:pPr>
      <w:r w:rsidRPr="007C0622">
        <w:rPr>
          <w:rFonts w:ascii="Palatino Linotype" w:hAnsi="Palatino Linotype"/>
          <w:sz w:val="24"/>
          <w:szCs w:val="24"/>
        </w:rPr>
        <w:t xml:space="preserve">El recurso revisión tiene como finalidad reparar cualquier posible afectación al Derecho de Acceso a la Información Pública en términos del Título Octavo de la Ley de </w:t>
      </w:r>
      <w:r w:rsidRPr="007C0622">
        <w:rPr>
          <w:rFonts w:ascii="Palatino Linotype" w:eastAsia="Calibri" w:hAnsi="Palatino Linotype"/>
          <w:sz w:val="24"/>
          <w:szCs w:val="24"/>
        </w:rPr>
        <w:t>Transparencia, Acceso a la Información Pública del Estado de México y Municipios</w:t>
      </w:r>
      <w:r w:rsidRPr="007C0622">
        <w:rPr>
          <w:rFonts w:ascii="Palatino Linotype" w:hAnsi="Palatino Linotype"/>
          <w:sz w:val="24"/>
          <w:szCs w:val="24"/>
        </w:rPr>
        <w:t xml:space="preserve">, y determinar la confirmación; revocación o modificación; desechamiento o </w:t>
      </w:r>
      <w:r w:rsidRPr="007C0622">
        <w:rPr>
          <w:rFonts w:ascii="Palatino Linotype" w:hAnsi="Palatino Linotype"/>
          <w:b/>
          <w:sz w:val="24"/>
          <w:szCs w:val="24"/>
          <w:u w:val="single"/>
        </w:rPr>
        <w:t>sobreseimiento</w:t>
      </w:r>
      <w:r w:rsidRPr="007C0622">
        <w:rPr>
          <w:rFonts w:ascii="Palatino Linotype" w:hAnsi="Palatino Linotype"/>
          <w:sz w:val="24"/>
          <w:szCs w:val="24"/>
        </w:rPr>
        <w:t xml:space="preserve">; y, en su caso, ordenar la entrega de la información respecto a la falta de respuesta por parte del </w:t>
      </w:r>
      <w:r w:rsidRPr="007C0622">
        <w:rPr>
          <w:rFonts w:ascii="Palatino Linotype" w:hAnsi="Palatino Linotype"/>
          <w:b/>
          <w:sz w:val="24"/>
          <w:szCs w:val="24"/>
        </w:rPr>
        <w:t>SUJETO</w:t>
      </w:r>
      <w:r w:rsidRPr="007C0622">
        <w:rPr>
          <w:rFonts w:ascii="Palatino Linotype" w:hAnsi="Palatino Linotype"/>
          <w:sz w:val="24"/>
          <w:szCs w:val="24"/>
        </w:rPr>
        <w:t xml:space="preserve"> </w:t>
      </w:r>
      <w:r w:rsidRPr="007C0622">
        <w:rPr>
          <w:rFonts w:ascii="Palatino Linotype" w:hAnsi="Palatino Linotype"/>
          <w:b/>
          <w:sz w:val="24"/>
          <w:szCs w:val="24"/>
        </w:rPr>
        <w:t>OBLIGADO</w:t>
      </w:r>
      <w:r w:rsidRPr="007C0622">
        <w:rPr>
          <w:rFonts w:ascii="Palatino Linotype" w:hAnsi="Palatino Linotype"/>
          <w:sz w:val="24"/>
          <w:szCs w:val="24"/>
        </w:rPr>
        <w:t>.</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Establecido lo anterior, de la lectura a la solicitud de información, se advierte que el entonces </w:t>
      </w:r>
      <w:r w:rsidRPr="007C0622">
        <w:rPr>
          <w:rFonts w:ascii="Palatino Linotype" w:eastAsia="Palatino Linotype" w:hAnsi="Palatino Linotype" w:cs="Palatino Linotype"/>
          <w:b/>
          <w:color w:val="000000"/>
        </w:rPr>
        <w:t>SOLICITANTE</w:t>
      </w:r>
      <w:r w:rsidRPr="007C0622">
        <w:rPr>
          <w:rFonts w:ascii="Palatino Linotype" w:eastAsia="Palatino Linotype" w:hAnsi="Palatino Linotype" w:cs="Palatino Linotype"/>
          <w:color w:val="000000"/>
        </w:rPr>
        <w:t xml:space="preserve"> requirió </w:t>
      </w:r>
      <w:r w:rsidR="00A56763" w:rsidRPr="007C0622">
        <w:rPr>
          <w:rFonts w:ascii="Palatino Linotype" w:eastAsia="Palatino Linotype" w:hAnsi="Palatino Linotype" w:cs="Palatino Linotype"/>
          <w:color w:val="000000"/>
        </w:rPr>
        <w:t>lo siguiente</w:t>
      </w:r>
      <w:r w:rsidRPr="007C0622">
        <w:rPr>
          <w:rFonts w:ascii="Palatino Linotype" w:eastAsia="Palatino Linotype" w:hAnsi="Palatino Linotype" w:cs="Palatino Linotype"/>
          <w:color w:val="000000"/>
        </w:rPr>
        <w:t>:</w:t>
      </w:r>
    </w:p>
    <w:p w:rsidR="009C44C5" w:rsidRPr="007C0622" w:rsidRDefault="009C44C5" w:rsidP="009C44C5">
      <w:pPr>
        <w:pBdr>
          <w:top w:val="nil"/>
          <w:left w:val="nil"/>
          <w:bottom w:val="nil"/>
          <w:right w:val="nil"/>
          <w:between w:val="nil"/>
        </w:pBdr>
        <w:tabs>
          <w:tab w:val="left" w:pos="426"/>
        </w:tabs>
        <w:spacing w:line="360" w:lineRule="auto"/>
        <w:ind w:left="851" w:right="616"/>
        <w:jc w:val="both"/>
        <w:rPr>
          <w:rFonts w:ascii="Palatino Linotype" w:eastAsia="Palatino Linotype" w:hAnsi="Palatino Linotype" w:cs="Palatino Linotype"/>
          <w:i/>
          <w:color w:val="000000"/>
        </w:rPr>
      </w:pPr>
      <w:r w:rsidRPr="007C0622">
        <w:rPr>
          <w:rFonts w:ascii="Palatino Linotype" w:eastAsia="Palatino Linotype" w:hAnsi="Palatino Linotype" w:cs="Palatino Linotype"/>
          <w:i/>
          <w:color w:val="000000"/>
        </w:rPr>
        <w:t>“</w:t>
      </w:r>
      <w:r w:rsidR="00A56763" w:rsidRPr="007C0622">
        <w:rPr>
          <w:rFonts w:ascii="Palatino Linotype" w:eastAsia="Palatino Linotype" w:hAnsi="Palatino Linotype" w:cs="Palatino Linotype"/>
          <w:i/>
          <w:color w:val="000000"/>
        </w:rPr>
        <w:t>SOLCITO SABER CUAL FUE LA CAUSA O QUE PROCEDIEMINTO SE DARA A LA SITUACION QUE PASO EN LA AMDRUGADA DEL DOMINGO CON LOS POLICIAS MUNICIPALES YA QUE MI CASA FUE AFECTADA CON IMPACTOS DE BALAS</w:t>
      </w:r>
      <w:r w:rsidRPr="007C0622">
        <w:rPr>
          <w:rFonts w:ascii="Palatino Linotype" w:eastAsia="Palatino Linotype" w:hAnsi="Palatino Linotype" w:cs="Palatino Linotype"/>
          <w:i/>
          <w:color w:val="000000"/>
        </w:rPr>
        <w:t>”</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Establecido lo anterior, de la lectura al contenido de la solicitud de información, se advierte que el entonces </w:t>
      </w:r>
      <w:r w:rsidRPr="007C0622">
        <w:rPr>
          <w:rFonts w:ascii="Palatino Linotype" w:eastAsia="Palatino Linotype" w:hAnsi="Palatino Linotype" w:cs="Palatino Linotype"/>
          <w:b/>
          <w:color w:val="000000"/>
        </w:rPr>
        <w:t>SOLICITANTE</w:t>
      </w:r>
      <w:r w:rsidRPr="007C0622">
        <w:rPr>
          <w:rFonts w:ascii="Palatino Linotype" w:eastAsia="Palatino Linotype" w:hAnsi="Palatino Linotype" w:cs="Palatino Linotype"/>
          <w:color w:val="000000"/>
        </w:rPr>
        <w:t xml:space="preserve"> requirió al Ayuntamiento de </w:t>
      </w:r>
      <w:r w:rsidR="00A56763" w:rsidRPr="007C0622">
        <w:rPr>
          <w:rFonts w:ascii="Palatino Linotype" w:eastAsia="Palatino Linotype" w:hAnsi="Palatino Linotype" w:cs="Palatino Linotype"/>
          <w:color w:val="000000"/>
        </w:rPr>
        <w:t>Acambay de Ruiz de Castañeda,</w:t>
      </w:r>
      <w:r w:rsidRPr="007C0622">
        <w:rPr>
          <w:rFonts w:ascii="Palatino Linotype" w:eastAsia="Palatino Linotype" w:hAnsi="Palatino Linotype" w:cs="Palatino Linotype"/>
          <w:color w:val="000000"/>
        </w:rPr>
        <w:t xml:space="preserve"> información que no se atiende a través del derecho de acceso a la información, es decir, le requiere información en base a manifestaciones subjetivas e interrogantes. Así las cosas, la pretensión del particular se traduce en el ejercicio de un </w:t>
      </w:r>
      <w:r w:rsidRPr="007C0622">
        <w:rPr>
          <w:rFonts w:ascii="Palatino Linotype" w:eastAsia="Palatino Linotype" w:hAnsi="Palatino Linotype" w:cs="Palatino Linotype"/>
          <w:b/>
          <w:color w:val="000000"/>
        </w:rPr>
        <w:t>derecho de petición</w:t>
      </w:r>
      <w:r w:rsidRPr="007C0622">
        <w:rPr>
          <w:rFonts w:ascii="Palatino Linotype" w:eastAsia="Palatino Linotype" w:hAnsi="Palatino Linotype" w:cs="Palatino Linotype"/>
          <w:color w:val="000000"/>
        </w:rPr>
        <w:t xml:space="preserve">, al </w:t>
      </w:r>
      <w:r w:rsidRPr="007C0622">
        <w:rPr>
          <w:rFonts w:ascii="Palatino Linotype" w:eastAsia="Palatino Linotype" w:hAnsi="Palatino Linotype" w:cs="Palatino Linotype"/>
          <w:color w:val="000000"/>
        </w:rPr>
        <w:lastRenderedPageBreak/>
        <w:t>consistir en manifestaciones subjetivas unilaterales imposibles de ser atendidas vía ejercicio del derecho de acceso a la información.</w:t>
      </w:r>
    </w:p>
    <w:p w:rsidR="004E0A15" w:rsidRPr="007C0622" w:rsidRDefault="004E0A15" w:rsidP="004E0A1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Bajo ese contexto, es importante dejar en claro lo que debe entenderse por derecho de petición; al respecto, el Maestro Ignacio Burgoa Orihuela refiere lo define de la siguiente manera:</w:t>
      </w:r>
    </w:p>
    <w:p w:rsidR="009C44C5" w:rsidRPr="007C0622" w:rsidRDefault="009C44C5" w:rsidP="009C44C5">
      <w:pPr>
        <w:spacing w:line="276" w:lineRule="auto"/>
        <w:ind w:left="851" w:right="901"/>
        <w:jc w:val="both"/>
        <w:rPr>
          <w:rFonts w:ascii="Palatino Linotype" w:eastAsia="Palatino Linotype" w:hAnsi="Palatino Linotype" w:cs="Palatino Linotype"/>
          <w:i/>
        </w:rPr>
      </w:pPr>
      <w:r w:rsidRPr="007C0622">
        <w:rPr>
          <w:rFonts w:ascii="Palatino Linotype" w:eastAsia="Palatino Linotype" w:hAnsi="Palatino Linotype" w:cs="Palatino Linotype"/>
          <w:b/>
        </w:rPr>
        <w:t>“</w:t>
      </w:r>
      <w:r w:rsidRPr="007C0622">
        <w:rPr>
          <w:rFonts w:ascii="Palatino Linotype" w:eastAsia="Palatino Linotype" w:hAnsi="Palatino Linotype" w:cs="Palatino Linotype"/>
        </w:rPr>
        <w:t>…</w:t>
      </w:r>
      <w:r w:rsidRPr="007C0622">
        <w:rPr>
          <w:rFonts w:ascii="Palatino Linotype" w:eastAsia="Palatino Linotype" w:hAnsi="Palatino Linotype" w:cs="Palatino Linotype"/>
          <w:i/>
        </w:rPr>
        <w:t xml:space="preserve">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r w:rsidRPr="007C0622">
        <w:rPr>
          <w:rFonts w:ascii="Palatino Linotype" w:eastAsia="Palatino Linotype" w:hAnsi="Palatino Linotype" w:cs="Palatino Linotype"/>
        </w:rPr>
        <w:t>(Sic)</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Por su parte, David Cienfuegos Salgado, concibe al derecho de petición como </w:t>
      </w:r>
      <w:r w:rsidRPr="007C0622">
        <w:rPr>
          <w:rFonts w:ascii="Palatino Linotype" w:eastAsia="Palatino Linotype" w:hAnsi="Palatino Linotype" w:cs="Palatino Linotype"/>
          <w:i/>
          <w:color w:val="000000"/>
        </w:rPr>
        <w:t>“(…) el derecho de toda persona a ser escuchado por quienes ejercen el poder público.”</w:t>
      </w:r>
    </w:p>
    <w:p w:rsidR="009C44C5" w:rsidRPr="007C0622" w:rsidRDefault="009C44C5" w:rsidP="009C44C5">
      <w:pPr>
        <w:autoSpaceDE w:val="0"/>
        <w:autoSpaceDN w:val="0"/>
        <w:adjustRightInd w:val="0"/>
        <w:spacing w:line="360" w:lineRule="auto"/>
        <w:ind w:left="720" w:right="901"/>
        <w:contextualSpacing/>
        <w:jc w:val="both"/>
        <w:rPr>
          <w:rFonts w:ascii="Palatino Linotype" w:eastAsia="MS Mincho" w:hAnsi="Palatino Linotype" w:cs="Arial"/>
          <w:i/>
          <w:lang w:val="es-ES_tradnl" w:eastAsia="es-ES"/>
        </w:rPr>
      </w:pPr>
      <w:bookmarkStart w:id="7" w:name="_heading=h.2s8eyo1" w:colFirst="0" w:colLast="0"/>
      <w:bookmarkEnd w:id="7"/>
      <w:r w:rsidRPr="007C0622">
        <w:rPr>
          <w:rFonts w:ascii="Palatino Linotype" w:eastAsia="MS Mincho" w:hAnsi="Palatino Linotype" w:cs="Arial"/>
          <w:b/>
          <w:i/>
          <w:lang w:val="es-ES_tradnl" w:eastAsia="es-ES"/>
        </w:rPr>
        <w:t>“</w:t>
      </w:r>
      <w:r w:rsidRPr="007C0622">
        <w:rPr>
          <w:rFonts w:ascii="Palatino Linotype" w:eastAsia="MS Mincho" w:hAnsi="Palatino Linotype" w:cs="Arial"/>
          <w:i/>
          <w:lang w:val="es-ES_tradnl" w:eastAsia="es-ES"/>
        </w:rPr>
        <w:t>el derecho de toda persona a ser escuchado por quienes ejercen el poder público.</w:t>
      </w:r>
      <w:r w:rsidRPr="007C0622">
        <w:rPr>
          <w:rFonts w:ascii="Palatino Linotype" w:eastAsia="MS Mincho" w:hAnsi="Palatino Linotype" w:cs="Arial"/>
          <w:b/>
          <w:i/>
          <w:lang w:val="es-ES_tradnl" w:eastAsia="es-ES"/>
        </w:rPr>
        <w:t>”</w:t>
      </w:r>
      <w:r w:rsidRPr="007C0622">
        <w:rPr>
          <w:rFonts w:ascii="Palatino Linotype" w:eastAsia="MS Mincho" w:hAnsi="Palatino Linotype" w:cs="Arial"/>
          <w:i/>
          <w:lang w:val="es-ES_tradnl" w:eastAsia="es-ES"/>
        </w:rPr>
        <w:t xml:space="preserve"> (sic) </w:t>
      </w:r>
    </w:p>
    <w:p w:rsidR="009C44C5" w:rsidRPr="007C0622" w:rsidRDefault="009C44C5" w:rsidP="009C44C5">
      <w:pPr>
        <w:autoSpaceDE w:val="0"/>
        <w:autoSpaceDN w:val="0"/>
        <w:adjustRightInd w:val="0"/>
        <w:spacing w:line="360" w:lineRule="auto"/>
        <w:ind w:left="720" w:right="901"/>
        <w:contextualSpacing/>
        <w:jc w:val="both"/>
        <w:rPr>
          <w:rFonts w:ascii="Palatino Linotype" w:eastAsia="MS Mincho" w:hAnsi="Palatino Linotype" w:cs="Arial"/>
          <w:i/>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 xml:space="preserve"> A este respecto, para diferenciar el derecho de petición al derecho de acceso a la información, resulta conducente señalar que José Guadalupe Robles, conceptualiza el derecho a la información como: </w:t>
      </w:r>
    </w:p>
    <w:p w:rsidR="009C44C5" w:rsidRPr="007C0622" w:rsidRDefault="009C44C5" w:rsidP="009C44C5">
      <w:pPr>
        <w:autoSpaceDE w:val="0"/>
        <w:autoSpaceDN w:val="0"/>
        <w:adjustRightInd w:val="0"/>
        <w:spacing w:before="240" w:after="240" w:line="360" w:lineRule="auto"/>
        <w:ind w:left="851" w:right="616"/>
        <w:contextualSpacing/>
        <w:jc w:val="both"/>
        <w:rPr>
          <w:rFonts w:ascii="Palatino Linotype" w:eastAsia="MS Mincho" w:hAnsi="Palatino Linotype" w:cs="Arial"/>
          <w:i/>
          <w:lang w:val="es-ES_tradnl" w:eastAsia="es-ES"/>
        </w:rPr>
      </w:pPr>
      <w:r w:rsidRPr="007C0622">
        <w:rPr>
          <w:rFonts w:ascii="Palatino Linotype" w:eastAsia="MS Mincho" w:hAnsi="Palatino Linotype" w:cs="Arial"/>
          <w:b/>
          <w:i/>
          <w:lang w:val="es-ES_tradnl" w:eastAsia="es-ES"/>
        </w:rPr>
        <w:t>“</w:t>
      </w:r>
      <w:r w:rsidRPr="007C0622">
        <w:rPr>
          <w:rFonts w:ascii="Palatino Linotype" w:eastAsia="MS Mincho" w:hAnsi="Palatino Linotype" w:cs="Arial"/>
          <w:i/>
          <w:lang w:val="es-ES_tradnl" w:eastAsia="es-ES"/>
        </w:rPr>
        <w:t>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7C0622">
        <w:rPr>
          <w:rFonts w:ascii="Palatino Linotype" w:eastAsia="MS Mincho" w:hAnsi="Palatino Linotype" w:cs="Arial"/>
          <w:b/>
          <w:i/>
          <w:lang w:val="es-ES_tradnl" w:eastAsia="es-ES"/>
        </w:rPr>
        <w:t>”</w:t>
      </w:r>
      <w:r w:rsidRPr="007C0622">
        <w:rPr>
          <w:rFonts w:ascii="Palatino Linotype" w:eastAsia="MS Mincho" w:hAnsi="Palatino Linotype" w:cs="Arial"/>
          <w:i/>
          <w:lang w:val="es-ES_tradnl" w:eastAsia="es-ES"/>
        </w:rPr>
        <w:t xml:space="preserve"> (sic) </w:t>
      </w:r>
    </w:p>
    <w:p w:rsidR="009C44C5" w:rsidRPr="007C0622" w:rsidRDefault="009C44C5" w:rsidP="009C44C5">
      <w:pPr>
        <w:spacing w:line="360" w:lineRule="auto"/>
        <w:ind w:left="720" w:right="901"/>
        <w:contextualSpacing/>
        <w:jc w:val="both"/>
        <w:rPr>
          <w:rFonts w:ascii="Palatino Linotype" w:eastAsia="MS Mincho" w:hAnsi="Palatino Linotype" w:cs="Arial"/>
          <w:i/>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cs="Arial"/>
          <w:sz w:val="24"/>
          <w:szCs w:val="24"/>
          <w:lang w:val="es-ES_tradnl" w:eastAsia="es-ES"/>
        </w:rPr>
        <w:lastRenderedPageBreak/>
        <w:t xml:space="preserve">Ahora bien, el derecho </w:t>
      </w:r>
      <w:r w:rsidRPr="007C0622">
        <w:rPr>
          <w:rFonts w:ascii="Palatino Linotype" w:eastAsia="MS Mincho" w:hAnsi="Palatino Linotype"/>
          <w:sz w:val="24"/>
          <w:szCs w:val="24"/>
          <w:lang w:val="es-ES_tradnl" w:eastAsia="es-ES"/>
        </w:rPr>
        <w:t xml:space="preserve">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  </w:t>
      </w:r>
    </w:p>
    <w:p w:rsidR="009C44C5" w:rsidRPr="007C0622" w:rsidRDefault="009C44C5" w:rsidP="009C44C5">
      <w:pPr>
        <w:spacing w:line="360" w:lineRule="auto"/>
        <w:contextualSpacing/>
        <w:jc w:val="both"/>
        <w:rPr>
          <w:rFonts w:ascii="Palatino Linotype" w:eastAsia="MS Mincho" w:hAnsi="Palatino Linotype"/>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9C44C5" w:rsidRPr="007C0622" w:rsidRDefault="009C44C5" w:rsidP="009C44C5">
      <w:pPr>
        <w:pStyle w:val="Listaconvietas2"/>
        <w:numPr>
          <w:ilvl w:val="0"/>
          <w:numId w:val="0"/>
        </w:numPr>
        <w:spacing w:line="360" w:lineRule="auto"/>
        <w:jc w:val="both"/>
        <w:rPr>
          <w:rFonts w:ascii="Palatino Linotype" w:eastAsia="MS Mincho" w:hAnsi="Palatino Linotype"/>
          <w:sz w:val="24"/>
          <w:szCs w:val="24"/>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9C44C5" w:rsidRPr="007C0622" w:rsidRDefault="009C44C5" w:rsidP="009C44C5">
      <w:pPr>
        <w:spacing w:line="360" w:lineRule="auto"/>
        <w:contextualSpacing/>
        <w:jc w:val="both"/>
        <w:rPr>
          <w:rFonts w:ascii="Palatino Linotype" w:eastAsia="MS Mincho" w:hAnsi="Palatino Linotype" w:cs="Arial"/>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 xml:space="preserve">En esa tesitura, los Sujetos Obligados deberán poner en práctica, políticas y programas de acceso a la información que se apeguen a criterios de publicidad, veracidad, oportunidad, precisión y suficiencia en beneficio de los solicitantes, conforme a los artículos 3 fracciones XI y XXII; 4; 11 y 41 de la Ley de Transparencia y Acceso a la Información Pública del Estado de </w:t>
      </w:r>
      <w:r w:rsidRPr="007C0622">
        <w:rPr>
          <w:rFonts w:ascii="Palatino Linotype" w:eastAsia="MS Mincho" w:hAnsi="Palatino Linotype"/>
          <w:sz w:val="24"/>
          <w:szCs w:val="24"/>
          <w:lang w:val="es-ES_tradnl" w:eastAsia="es-ES"/>
        </w:rPr>
        <w:lastRenderedPageBreak/>
        <w:t>México y Municipios; de los cuales se deduce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rsidR="009C44C5" w:rsidRPr="007C0622" w:rsidRDefault="009C44C5" w:rsidP="009C44C5">
      <w:pPr>
        <w:spacing w:line="360" w:lineRule="auto"/>
        <w:contextualSpacing/>
        <w:jc w:val="both"/>
        <w:rPr>
          <w:rFonts w:ascii="Palatino Linotype" w:eastAsia="MS Mincho" w:hAnsi="Palatino Linotype" w:cs="Arial"/>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C44C5" w:rsidRPr="007C0622" w:rsidRDefault="009C44C5" w:rsidP="009C44C5">
      <w:pPr>
        <w:spacing w:line="360" w:lineRule="auto"/>
        <w:contextualSpacing/>
        <w:jc w:val="both"/>
        <w:rPr>
          <w:rFonts w:ascii="Palatino Linotype" w:eastAsia="MS Mincho" w:hAnsi="Palatino Linotype" w:cs="Arial"/>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eastAsia="es-ES"/>
        </w:rPr>
      </w:pPr>
      <w:r w:rsidRPr="007C0622">
        <w:rPr>
          <w:rFonts w:ascii="Palatino Linotype" w:eastAsia="MS Mincho" w:hAnsi="Palatino Linotype"/>
          <w:sz w:val="24"/>
          <w:szCs w:val="24"/>
          <w:lang w:val="es-ES_tradnl" w:eastAsia="es-ES"/>
        </w:rPr>
        <w:t>Por otro lado, así como la Constitución y la Ley de la materia otorgan a los particulares el derecho de acceder a los documentos generados o en posesión de las autoridades; también lo es que la obligación de proporcionar información no comprende el procesamiento de la misma, ni el presentarla conforme al interés del solicitante ya que no estarán constreñidos a generarla, resumirla, efectuar cálculos o practicar investigaciones.</w:t>
      </w:r>
    </w:p>
    <w:p w:rsidR="009C44C5" w:rsidRPr="007C0622" w:rsidRDefault="009C44C5" w:rsidP="009C44C5">
      <w:pPr>
        <w:spacing w:line="360" w:lineRule="auto"/>
        <w:contextualSpacing/>
        <w:jc w:val="both"/>
        <w:rPr>
          <w:rFonts w:ascii="Palatino Linotype" w:eastAsia="MS Mincho" w:hAnsi="Palatino Linotype" w:cs="Arial"/>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sz w:val="24"/>
          <w:szCs w:val="24"/>
          <w:lang w:val="es-ES_tradnl"/>
        </w:rPr>
      </w:pPr>
      <w:r w:rsidRPr="007C0622">
        <w:rPr>
          <w:rFonts w:ascii="Palatino Linotype" w:eastAsia="MS Mincho" w:hAnsi="Palatino Linotype"/>
          <w:sz w:val="24"/>
          <w:szCs w:val="24"/>
          <w:lang w:val="es-ES_tradnl"/>
        </w:rPr>
        <w:t xml:space="preserve">Corolario a lo anterior, el doctrinario Ernesto Villanueva Villanueva define al derecho de acceso a la información como: </w:t>
      </w:r>
    </w:p>
    <w:p w:rsidR="009C44C5" w:rsidRPr="007C0622" w:rsidRDefault="009C44C5" w:rsidP="009C44C5">
      <w:pPr>
        <w:spacing w:line="360" w:lineRule="auto"/>
        <w:ind w:left="851" w:right="822"/>
        <w:contextualSpacing/>
        <w:jc w:val="both"/>
        <w:rPr>
          <w:rFonts w:ascii="Palatino Linotype" w:eastAsia="MS Mincho" w:hAnsi="Palatino Linotype" w:cs="Arial"/>
          <w:i/>
          <w:lang w:val="es-ES_tradnl"/>
        </w:rPr>
      </w:pPr>
      <w:r w:rsidRPr="007C0622">
        <w:rPr>
          <w:rFonts w:ascii="Palatino Linotype" w:eastAsia="MS Mincho" w:hAnsi="Palatino Linotype" w:cs="Arial"/>
          <w:b/>
          <w:i/>
          <w:lang w:val="es-ES_tradnl"/>
        </w:rPr>
        <w:t>“</w:t>
      </w:r>
      <w:r w:rsidRPr="007C0622">
        <w:rPr>
          <w:rFonts w:ascii="Palatino Linotype" w:eastAsia="MS Mincho" w:hAnsi="Palatino Linotype" w:cs="Arial"/>
          <w:i/>
          <w:lang w:val="es-ES_tradnl"/>
        </w:rPr>
        <w:t xml:space="preserve">la prerrogativa de la persona para acceder a datos, registros y todo tipo de informaciones en poder de entidades públicas y empresas privadas que ejercen gasto </w:t>
      </w:r>
      <w:r w:rsidRPr="007C0622">
        <w:rPr>
          <w:rFonts w:ascii="Palatino Linotype" w:eastAsia="MS Mincho" w:hAnsi="Palatino Linotype" w:cs="Arial"/>
          <w:i/>
          <w:lang w:val="es-ES_tradnl"/>
        </w:rPr>
        <w:lastRenderedPageBreak/>
        <w:t>público o cumplen funciones de autoridad, con las excepciones taxativas que establezca la ley en una sociedad democrática.</w:t>
      </w:r>
      <w:r w:rsidRPr="007C0622">
        <w:rPr>
          <w:rFonts w:ascii="Palatino Linotype" w:eastAsia="MS Mincho" w:hAnsi="Palatino Linotype" w:cs="Arial"/>
          <w:b/>
          <w:i/>
          <w:lang w:val="es-ES_tradnl"/>
        </w:rPr>
        <w:t>”</w:t>
      </w:r>
      <w:r w:rsidRPr="007C0622">
        <w:rPr>
          <w:rFonts w:ascii="Palatino Linotype" w:eastAsia="MS Mincho" w:hAnsi="Palatino Linotype" w:cs="Arial"/>
          <w:i/>
          <w:vertAlign w:val="superscript"/>
          <w:lang w:val="es-ES_tradnl"/>
        </w:rPr>
        <w:t xml:space="preserve"> </w:t>
      </w:r>
      <w:r w:rsidRPr="007C0622">
        <w:rPr>
          <w:rFonts w:ascii="Palatino Linotype" w:eastAsia="MS Mincho" w:hAnsi="Palatino Linotype" w:cs="Arial"/>
          <w:i/>
          <w:lang w:val="es-ES_tradnl"/>
        </w:rPr>
        <w:t xml:space="preserve">(sic) </w:t>
      </w:r>
    </w:p>
    <w:p w:rsidR="009C44C5" w:rsidRPr="007C0622" w:rsidRDefault="009C44C5" w:rsidP="009C44C5">
      <w:pPr>
        <w:spacing w:line="360" w:lineRule="auto"/>
        <w:ind w:right="902"/>
        <w:contextualSpacing/>
        <w:jc w:val="both"/>
        <w:rPr>
          <w:rFonts w:ascii="Palatino Linotype" w:eastAsia="MS Mincho" w:hAnsi="Palatino Linotype" w:cs="Arial"/>
          <w:i/>
          <w:lang w:val="es-ES_tradnl" w:eastAsia="es-ES"/>
        </w:rPr>
      </w:pPr>
    </w:p>
    <w:p w:rsidR="009C44C5" w:rsidRPr="007C0622" w:rsidRDefault="009C44C5" w:rsidP="009C44C5">
      <w:pPr>
        <w:pStyle w:val="Listaconvietas2"/>
        <w:spacing w:line="360" w:lineRule="auto"/>
        <w:jc w:val="both"/>
        <w:rPr>
          <w:rFonts w:ascii="Palatino Linotype" w:eastAsia="MS Mincho" w:hAnsi="Palatino Linotype"/>
          <w:b/>
          <w:sz w:val="24"/>
          <w:szCs w:val="24"/>
          <w:u w:val="single"/>
          <w:lang w:val="es-ES_tradnl" w:eastAsia="es-ES"/>
        </w:rPr>
      </w:pPr>
      <w:r w:rsidRPr="007C0622">
        <w:rPr>
          <w:rFonts w:ascii="Palatino Linotype" w:eastAsia="MS Mincho" w:hAnsi="Palatino Linotype"/>
          <w:sz w:val="24"/>
          <w:szCs w:val="24"/>
          <w:lang w:val="es-ES_tradnl" w:eastAsia="es-ES"/>
        </w:rPr>
        <w:t xml:space="preserve">De lo anterior, se puede concluir que la distinción entre el derecho de petición y el derecho de acceso a la información estriba principalmente en que en el primero de ellos, </w:t>
      </w:r>
      <w:r w:rsidRPr="007C0622">
        <w:rPr>
          <w:rFonts w:ascii="Palatino Linotype" w:eastAsia="MS Mincho" w:hAnsi="Palatino Linotype"/>
          <w:color w:val="000000"/>
          <w:sz w:val="24"/>
          <w:szCs w:val="24"/>
          <w:lang w:val="es-ES_tradnl"/>
        </w:rPr>
        <w:t xml:space="preserve">la pretensión del peticionario consiste generalmente en obligar a la autoridad responsable a que actúe en el sentido de contestar lo solicitado, mientras que en el </w:t>
      </w:r>
      <w:r w:rsidRPr="007C0622">
        <w:rPr>
          <w:rFonts w:ascii="Palatino Linotype" w:eastAsia="MS Mincho" w:hAnsi="Palatino Linotype"/>
          <w:bCs/>
          <w:sz w:val="24"/>
          <w:szCs w:val="24"/>
          <w:lang w:val="es-ES_tradnl" w:eastAsia="es-CO"/>
        </w:rPr>
        <w:t xml:space="preserve">segundo supuesto </w:t>
      </w:r>
      <w:r w:rsidRPr="007C0622">
        <w:rPr>
          <w:rFonts w:ascii="Palatino Linotype" w:eastAsia="MS Mincho" w:hAnsi="Palatino Linotype"/>
          <w:b/>
          <w:bCs/>
          <w:sz w:val="24"/>
          <w:szCs w:val="24"/>
          <w:lang w:val="es-ES_tradnl" w:eastAsia="es-CO"/>
        </w:rPr>
        <w:t>la solicitud de acceso a la información pública se encamina primordialmente a</w:t>
      </w:r>
      <w:r w:rsidRPr="007C0622">
        <w:rPr>
          <w:rFonts w:ascii="Palatino Linotype" w:eastAsia="MS Mincho" w:hAnsi="Palatino Linotype"/>
          <w:b/>
          <w:sz w:val="24"/>
          <w:szCs w:val="24"/>
          <w:lang w:val="es-ES_tradnl" w:eastAsia="es-ES"/>
        </w:rPr>
        <w:t xml:space="preserve"> permitir el </w:t>
      </w:r>
      <w:r w:rsidRPr="007C0622">
        <w:rPr>
          <w:rFonts w:ascii="Palatino Linotype" w:eastAsia="MS Mincho" w:hAnsi="Palatino Linotype"/>
          <w:b/>
          <w:sz w:val="24"/>
          <w:szCs w:val="24"/>
          <w:lang w:val="es-ES_tradnl" w:eastAsia="es-CO"/>
        </w:rPr>
        <w:t xml:space="preserve">acceso a datos, registros y todo tipo de información pública que conste en documentos, sea generada o se encuentre en posesión de </w:t>
      </w:r>
      <w:r w:rsidRPr="007C0622">
        <w:rPr>
          <w:rFonts w:ascii="Palatino Linotype" w:eastAsia="MS Mincho" w:hAnsi="Palatino Linotype"/>
          <w:b/>
          <w:sz w:val="24"/>
          <w:szCs w:val="24"/>
          <w:lang w:val="es-ES_tradnl" w:eastAsia="es-ES"/>
        </w:rPr>
        <w:t xml:space="preserve">la autoridad. </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Finalmente, es preciso señalar que la Ley de Transparencia y Acceso a la Información Pública del Estado de México y Municipios, en sus artículos 191, fracción VI y, 192, fracción IV, establece lo siguiente:</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r w:rsidRPr="007C0622">
        <w:rPr>
          <w:rFonts w:ascii="Palatino Linotype" w:eastAsia="Palatino Linotype" w:hAnsi="Palatino Linotype" w:cs="Palatino Linotype"/>
          <w:b/>
          <w:i/>
        </w:rPr>
        <w:t>Artículo 191.</w:t>
      </w:r>
      <w:r w:rsidRPr="007C0622">
        <w:rPr>
          <w:rFonts w:ascii="Palatino Linotype" w:eastAsia="Palatino Linotype" w:hAnsi="Palatino Linotype" w:cs="Palatino Linotype"/>
          <w:i/>
        </w:rPr>
        <w:t xml:space="preserve"> El recurso será desechado por improcedente cuando:</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b/>
          <w:i/>
        </w:rPr>
        <w:t>VI.</w:t>
      </w:r>
      <w:r w:rsidRPr="007C0622">
        <w:rPr>
          <w:rFonts w:ascii="Palatino Linotype" w:eastAsia="Palatino Linotype" w:hAnsi="Palatino Linotype" w:cs="Palatino Linotype"/>
          <w:i/>
        </w:rPr>
        <w:t xml:space="preserve"> Se trate de una consulta, o trámite en específico; y</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r w:rsidRPr="007C0622">
        <w:rPr>
          <w:rFonts w:ascii="Palatino Linotype" w:eastAsia="Palatino Linotype" w:hAnsi="Palatino Linotype" w:cs="Palatino Linotype"/>
          <w:b/>
          <w:i/>
        </w:rPr>
        <w:t>Artículo 192.</w:t>
      </w:r>
      <w:r w:rsidRPr="007C0622">
        <w:rPr>
          <w:rFonts w:ascii="Palatino Linotype" w:eastAsia="Palatino Linotype" w:hAnsi="Palatino Linotype" w:cs="Palatino Linotype"/>
          <w:i/>
        </w:rPr>
        <w:t xml:space="preserve"> El recurso será sobreseído, en todo o en parte, cuando una vez admitido, se actualicen alguno de los siguientes supuestos:</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b/>
          <w:i/>
        </w:rPr>
        <w:t>IV.</w:t>
      </w:r>
      <w:r w:rsidRPr="007C0622">
        <w:rPr>
          <w:rFonts w:ascii="Palatino Linotype" w:eastAsia="Palatino Linotype" w:hAnsi="Palatino Linotype" w:cs="Palatino Linotype"/>
          <w:i/>
        </w:rPr>
        <w:t xml:space="preserve"> Admitido el recurso de revisión, aparezca alguna causal de improcedencia en los términos de la presente Ley; y</w:t>
      </w:r>
    </w:p>
    <w:p w:rsidR="009C44C5" w:rsidRPr="007C0622" w:rsidRDefault="009C44C5" w:rsidP="009C44C5">
      <w:pPr>
        <w:tabs>
          <w:tab w:val="left" w:pos="426"/>
        </w:tabs>
        <w:spacing w:line="276" w:lineRule="auto"/>
        <w:ind w:left="567" w:right="567"/>
        <w:jc w:val="both"/>
        <w:rPr>
          <w:rFonts w:ascii="Palatino Linotype" w:eastAsia="Palatino Linotype" w:hAnsi="Palatino Linotype" w:cs="Palatino Linotype"/>
          <w:i/>
        </w:rPr>
      </w:pPr>
      <w:r w:rsidRPr="007C0622">
        <w:rPr>
          <w:rFonts w:ascii="Palatino Linotype" w:eastAsia="Palatino Linotype" w:hAnsi="Palatino Linotype" w:cs="Palatino Linotype"/>
          <w:i/>
        </w:rPr>
        <w:t>(…)”</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lastRenderedPageBreak/>
        <w:t xml:space="preserve">Así las cosas, la Ley de la materia contempla que el recurso de revisión será desechado por improcedente cuando la solicitud de información primigenia se trate de una </w:t>
      </w:r>
      <w:r w:rsidRPr="007C0622">
        <w:rPr>
          <w:rFonts w:ascii="Palatino Linotype" w:eastAsia="Palatino Linotype" w:hAnsi="Palatino Linotype" w:cs="Palatino Linotype"/>
          <w:b/>
          <w:color w:val="000000"/>
        </w:rPr>
        <w:t>consulta</w:t>
      </w:r>
      <w:r w:rsidRPr="007C0622">
        <w:rPr>
          <w:rFonts w:ascii="Palatino Linotype" w:eastAsia="Palatino Linotype" w:hAnsi="Palatino Linotype" w:cs="Palatino Linotype"/>
          <w:color w:val="000000"/>
        </w:rPr>
        <w:t xml:space="preserve"> o, lo que es lo mismo, el ejercicio de un </w:t>
      </w:r>
      <w:r w:rsidRPr="007C0622">
        <w:rPr>
          <w:rFonts w:ascii="Palatino Linotype" w:eastAsia="Palatino Linotype" w:hAnsi="Palatino Linotype" w:cs="Palatino Linotype"/>
          <w:b/>
          <w:color w:val="000000"/>
        </w:rPr>
        <w:t>derecho de petición</w:t>
      </w:r>
      <w:r w:rsidRPr="007C0622">
        <w:rPr>
          <w:rFonts w:ascii="Palatino Linotype" w:eastAsia="Palatino Linotype" w:hAnsi="Palatino Linotype" w:cs="Palatino Linotype"/>
          <w:color w:val="000000"/>
        </w:rPr>
        <w:t xml:space="preserve">. Tal como ocurre en el presente asunto al identificarse que el </w:t>
      </w:r>
      <w:r w:rsidRPr="007C0622">
        <w:rPr>
          <w:rFonts w:ascii="Palatino Linotype" w:eastAsia="Palatino Linotype" w:hAnsi="Palatino Linotype" w:cs="Palatino Linotype"/>
          <w:b/>
          <w:color w:val="000000"/>
        </w:rPr>
        <w:t>RECURRENTE</w:t>
      </w:r>
      <w:r w:rsidRPr="007C0622">
        <w:rPr>
          <w:rFonts w:ascii="Palatino Linotype" w:eastAsia="Palatino Linotype" w:hAnsi="Palatino Linotype" w:cs="Palatino Linotype"/>
          <w:color w:val="000000"/>
        </w:rPr>
        <w:t xml:space="preserve"> no ejerció su derecho de acceso a la información, sino de petición.</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Al respecto, la doctrina establece que </w:t>
      </w:r>
      <w:r w:rsidRPr="007C0622">
        <w:rPr>
          <w:rFonts w:ascii="Palatino Linotype" w:eastAsia="Palatino Linotype" w:hAnsi="Palatino Linotype" w:cs="Palatino Linotype"/>
          <w:b/>
          <w:color w:val="000000"/>
        </w:rPr>
        <w:t>el sobreseimiento provoca que un procedimiento se suspenda o se resuelva en definitiva sin que se entre al estudio de los agravios o motivos de inconformidad</w:t>
      </w:r>
      <w:r w:rsidRPr="007C0622">
        <w:rPr>
          <w:rFonts w:ascii="Palatino Linotype" w:eastAsia="Palatino Linotype" w:hAnsi="Palatino Linotype" w:cs="Palatino Linotype"/>
          <w:color w:val="000000"/>
        </w:rPr>
        <w:t>. Este mismo criterio es compartido por el más alto tribunal del país en múltiples jurisprudencias, por lo que a continuación se agrega una de ellas que sirve como orientador en esta resolución:</w:t>
      </w:r>
      <w:bookmarkStart w:id="8" w:name="_GoBack"/>
      <w:bookmarkEnd w:id="8"/>
    </w:p>
    <w:p w:rsidR="009C44C5" w:rsidRPr="007C0622" w:rsidRDefault="009C44C5" w:rsidP="009C44C5">
      <w:pPr>
        <w:spacing w:line="276" w:lineRule="auto"/>
        <w:ind w:left="567" w:right="567"/>
        <w:jc w:val="both"/>
        <w:rPr>
          <w:rFonts w:ascii="Palatino Linotype" w:eastAsia="Palatino Linotype" w:hAnsi="Palatino Linotype" w:cs="Palatino Linotype"/>
        </w:rPr>
      </w:pPr>
      <w:r w:rsidRPr="007C0622">
        <w:rPr>
          <w:rFonts w:ascii="Palatino Linotype" w:eastAsia="Palatino Linotype" w:hAnsi="Palatino Linotype" w:cs="Palatino Linotype"/>
          <w:b/>
          <w:i/>
        </w:rPr>
        <w:t>SOBRESEIMIENTO EN EL JUICIO DE AMPARO DIRECTO. IMPIDE EL ESTUDIO DE LAS VIOLACIONES PROCESALES PLANTEADAS EN LOS CONCEPTOS DE VIOLACIÓN. “El sobreseimiento</w:t>
      </w:r>
      <w:r w:rsidRPr="007C0622">
        <w:rPr>
          <w:rFonts w:ascii="Palatino Linotype" w:eastAsia="Palatino Linotype" w:hAnsi="Palatino Linotype" w:cs="Palatino Linotype"/>
          <w:i/>
        </w:rPr>
        <w:t xml:space="preserve"> en el juicio de amparo directo </w:t>
      </w:r>
      <w:r w:rsidRPr="007C0622">
        <w:rPr>
          <w:rFonts w:ascii="Palatino Linotype" w:eastAsia="Palatino Linotype" w:hAnsi="Palatino Linotype" w:cs="Palatino Linotype"/>
          <w:b/>
          <w:i/>
        </w:rPr>
        <w:t>provoca la terminación de la controversia planteada</w:t>
      </w:r>
      <w:r w:rsidRPr="007C0622">
        <w:rPr>
          <w:rFonts w:ascii="Palatino Linotype" w:eastAsia="Palatino Linotype" w:hAnsi="Palatino Linotype" w:cs="Palatino Linotype"/>
          <w:i/>
        </w:rPr>
        <w:t xml:space="preserve"> por el quejoso en la demanda de amparo</w:t>
      </w:r>
      <w:r w:rsidRPr="007C0622">
        <w:rPr>
          <w:rFonts w:ascii="Palatino Linotype" w:eastAsia="Palatino Linotype" w:hAnsi="Palatino Linotype" w:cs="Palatino Linotype"/>
          <w:b/>
          <w:i/>
        </w:rPr>
        <w:t>, sin hacer un pronunciamiento de fondo sobre la legalidad o ilegalidad de la sentencia reclamada</w:t>
      </w:r>
      <w:r w:rsidRPr="007C0622">
        <w:rPr>
          <w:rFonts w:ascii="Palatino Linotype" w:eastAsia="Palatino Linotype" w:hAnsi="Palatino Linotype" w:cs="Palatino Linotype"/>
          <w:i/>
        </w:rPr>
        <w:t xml:space="preserve">. </w:t>
      </w:r>
      <w:r w:rsidRPr="007C0622">
        <w:rPr>
          <w:rFonts w:ascii="Palatino Linotype" w:eastAsia="Palatino Linotype" w:hAnsi="Palatino Linotype" w:cs="Palatino Linotype"/>
          <w:b/>
          <w:i/>
        </w:rPr>
        <w:t xml:space="preserve">Por consiguiente, si al sobreseerse en el juicio de amparo </w:t>
      </w:r>
      <w:r w:rsidRPr="007C0622">
        <w:rPr>
          <w:rFonts w:ascii="Palatino Linotype" w:eastAsia="Palatino Linotype" w:hAnsi="Palatino Linotype" w:cs="Palatino Linotype"/>
          <w:b/>
          <w:i/>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7C0622">
        <w:rPr>
          <w:rFonts w:ascii="Palatino Linotype" w:eastAsia="Palatino Linotype" w:hAnsi="Palatino Linotype" w:cs="Palatino Linotype"/>
          <w:i/>
        </w:rPr>
        <w:t>.”</w:t>
      </w:r>
    </w:p>
    <w:p w:rsidR="009C44C5" w:rsidRPr="007C0622" w:rsidRDefault="009C44C5" w:rsidP="009C44C5">
      <w:pPr>
        <w:spacing w:line="276" w:lineRule="auto"/>
        <w:ind w:left="567" w:right="567"/>
        <w:jc w:val="both"/>
        <w:rPr>
          <w:rFonts w:ascii="Palatino Linotype" w:eastAsia="Palatino Linotype" w:hAnsi="Palatino Linotype" w:cs="Palatino Linotype"/>
        </w:rPr>
      </w:pPr>
      <w:r w:rsidRPr="007C0622">
        <w:rPr>
          <w:rFonts w:ascii="Palatino Linotype" w:eastAsia="Palatino Linotype" w:hAnsi="Palatino Linotype" w:cs="Palatino Linotype"/>
        </w:rPr>
        <w:t>(Énfasis añadido)</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De este modo, se puede deducir que en las resoluciones dictadas por el Pleno de este Instituto, en las que se decreta el sobreseimiento de un recurso de revisión por la actualización de alguno de los supuestos jurídicos contemplados en el artículo 192 de la Ley de Transparencia y Acceso a la Información Pública del Estado de México y Municipios, nos </w:t>
      </w:r>
      <w:r w:rsidRPr="007C0622">
        <w:rPr>
          <w:rFonts w:ascii="Palatino Linotype" w:eastAsia="Palatino Linotype" w:hAnsi="Palatino Linotype" w:cs="Palatino Linotype"/>
          <w:color w:val="000000"/>
        </w:rPr>
        <w:lastRenderedPageBreak/>
        <w:t>encontramos ante un sobreseimiento definitivo toda vez que pone fin al procedimiento sin entrar al estudio de fondo de éste.</w:t>
      </w:r>
    </w:p>
    <w:p w:rsidR="00A56763" w:rsidRPr="007C0622" w:rsidRDefault="00A56763" w:rsidP="00A56763">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Luego entonces, en términos del artículo 186, fracción I, de la Ley de Transparencia y Acceso a la Información Pública del Estado de México y Municipios, este Pleno determina el </w:t>
      </w:r>
      <w:r w:rsidRPr="007C0622">
        <w:rPr>
          <w:rFonts w:ascii="Palatino Linotype" w:eastAsia="Palatino Linotype" w:hAnsi="Palatino Linotype" w:cs="Palatino Linotype"/>
          <w:b/>
          <w:color w:val="000000"/>
        </w:rPr>
        <w:t xml:space="preserve">SOBRESEIMIENTO </w:t>
      </w:r>
      <w:r w:rsidRPr="007C0622">
        <w:rPr>
          <w:rFonts w:ascii="Palatino Linotype" w:eastAsia="Palatino Linotype" w:hAnsi="Palatino Linotype" w:cs="Palatino Linotype"/>
          <w:color w:val="000000"/>
        </w:rPr>
        <w:t>del presente recurso de revisión, toda vez que durante la sustanciación del asunto, se quedó sin materia.</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Por lo tanto, en consecuencia y en mérito de lo expuesto en líneas anteriores, con fundamento en el artículo 192, fracción V, de la Ley de Transparencia y Acceso a la Información Pública del Estado de México y Municipios, se </w:t>
      </w:r>
      <w:r w:rsidRPr="007C0622">
        <w:rPr>
          <w:rFonts w:ascii="Palatino Linotype" w:eastAsia="Palatino Linotype" w:hAnsi="Palatino Linotype" w:cs="Palatino Linotype"/>
          <w:b/>
          <w:color w:val="000000"/>
        </w:rPr>
        <w:t xml:space="preserve">SOBRESEE </w:t>
      </w:r>
      <w:r w:rsidRPr="007C0622">
        <w:rPr>
          <w:rFonts w:ascii="Palatino Linotype" w:eastAsia="Palatino Linotype" w:hAnsi="Palatino Linotype" w:cs="Palatino Linotype"/>
          <w:color w:val="000000"/>
        </w:rPr>
        <w:t xml:space="preserve">el recurso de revisión </w:t>
      </w:r>
      <w:r w:rsidR="00A56763" w:rsidRPr="007C0622">
        <w:rPr>
          <w:rFonts w:ascii="Palatino Linotype" w:eastAsia="Palatino Linotype" w:hAnsi="Palatino Linotype" w:cs="Palatino Linotype"/>
          <w:b/>
          <w:color w:val="000000"/>
        </w:rPr>
        <w:t>01108/INFOEM/IP/RR/2026</w:t>
      </w:r>
      <w:r w:rsidRPr="007C0622">
        <w:rPr>
          <w:rFonts w:ascii="Palatino Linotype" w:eastAsia="Palatino Linotype" w:hAnsi="Palatino Linotype" w:cs="Palatino Linotype"/>
          <w:color w:val="000000"/>
        </w:rPr>
        <w:t>, que ha sido materia del presente fallo.</w:t>
      </w:r>
    </w:p>
    <w:p w:rsidR="009C44C5" w:rsidRPr="007C0622" w:rsidRDefault="009C44C5" w:rsidP="009C44C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9C44C5" w:rsidRPr="007C0622" w:rsidRDefault="009C44C5" w:rsidP="009C44C5">
      <w:pPr>
        <w:numPr>
          <w:ilvl w:val="0"/>
          <w:numId w:val="1"/>
        </w:num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color w:val="000000"/>
        </w:rPr>
        <w:t xml:space="preserve">Por lo anteriormente expuesto y fundado, este </w:t>
      </w:r>
      <w:r w:rsidRPr="007C0622">
        <w:rPr>
          <w:rFonts w:ascii="Palatino Linotype" w:eastAsia="Palatino Linotype" w:hAnsi="Palatino Linotype" w:cs="Palatino Linotype"/>
          <w:b/>
          <w:color w:val="000000"/>
        </w:rPr>
        <w:t>ÓRGANO GARANTE</w:t>
      </w:r>
      <w:r w:rsidRPr="007C0622">
        <w:rPr>
          <w:rFonts w:ascii="Palatino Linotype" w:eastAsia="Palatino Linotype" w:hAnsi="Palatino Linotype" w:cs="Palatino Linotype"/>
          <w:color w:val="000000"/>
        </w:rPr>
        <w:t xml:space="preserve"> emite los siguientes: </w:t>
      </w:r>
    </w:p>
    <w:p w:rsidR="009C44C5" w:rsidRPr="007C0622" w:rsidRDefault="009C44C5" w:rsidP="009C44C5">
      <w:pPr>
        <w:spacing w:line="360" w:lineRule="auto"/>
        <w:rPr>
          <w:rFonts w:ascii="Palatino Linotype" w:eastAsia="Palatino Linotype" w:hAnsi="Palatino Linotype" w:cs="Palatino Linotype"/>
          <w:color w:val="000000"/>
        </w:rPr>
      </w:pPr>
    </w:p>
    <w:p w:rsidR="009C44C5" w:rsidRPr="007C0622" w:rsidRDefault="009C44C5" w:rsidP="009C44C5">
      <w:pPr>
        <w:pStyle w:val="Ttulo1"/>
        <w:spacing w:before="0" w:line="360" w:lineRule="auto"/>
        <w:jc w:val="center"/>
        <w:rPr>
          <w:b/>
          <w:color w:val="000000"/>
          <w:szCs w:val="24"/>
        </w:rPr>
      </w:pPr>
      <w:bookmarkStart w:id="9" w:name="_heading=h.17dp8vu" w:colFirst="0" w:colLast="0"/>
      <w:bookmarkEnd w:id="9"/>
      <w:r w:rsidRPr="007C0622">
        <w:rPr>
          <w:b/>
          <w:color w:val="000000"/>
          <w:szCs w:val="24"/>
        </w:rPr>
        <w:t>R E S O L U T I V O S</w:t>
      </w:r>
    </w:p>
    <w:p w:rsidR="009C44C5" w:rsidRPr="007C0622" w:rsidRDefault="009C44C5" w:rsidP="009C44C5">
      <w:pPr>
        <w:spacing w:line="360" w:lineRule="auto"/>
        <w:jc w:val="both"/>
        <w:rPr>
          <w:rFonts w:ascii="Palatino Linotype" w:eastAsia="Palatino Linotype" w:hAnsi="Palatino Linotype" w:cs="Palatino Linotype"/>
          <w:b/>
        </w:rPr>
      </w:pPr>
    </w:p>
    <w:p w:rsidR="009C44C5" w:rsidRPr="007C0622" w:rsidRDefault="009C44C5" w:rsidP="009C44C5">
      <w:pPr>
        <w:spacing w:line="360" w:lineRule="auto"/>
        <w:jc w:val="both"/>
        <w:rPr>
          <w:rFonts w:ascii="Palatino Linotype" w:eastAsia="Palatino Linotype" w:hAnsi="Palatino Linotype" w:cs="Palatino Linotype"/>
        </w:rPr>
      </w:pPr>
      <w:r w:rsidRPr="007C0622">
        <w:rPr>
          <w:rFonts w:ascii="Palatino Linotype" w:eastAsia="Palatino Linotype" w:hAnsi="Palatino Linotype" w:cs="Palatino Linotype"/>
          <w:b/>
        </w:rPr>
        <w:t xml:space="preserve">PRIMERO. Se SOBRESEE </w:t>
      </w:r>
      <w:r w:rsidRPr="007C0622">
        <w:rPr>
          <w:rFonts w:ascii="Palatino Linotype" w:eastAsia="Palatino Linotype" w:hAnsi="Palatino Linotype" w:cs="Palatino Linotype"/>
        </w:rPr>
        <w:t>el recurso de revisión número</w:t>
      </w:r>
      <w:r w:rsidR="00A56763" w:rsidRPr="007C0622">
        <w:rPr>
          <w:rFonts w:ascii="Palatino Linotype" w:eastAsia="Palatino Linotype" w:hAnsi="Palatino Linotype" w:cs="Palatino Linotype"/>
          <w:b/>
        </w:rPr>
        <w:t xml:space="preserve"> 01108</w:t>
      </w:r>
      <w:r w:rsidRPr="007C0622">
        <w:rPr>
          <w:rFonts w:ascii="Palatino Linotype" w:eastAsia="Palatino Linotype" w:hAnsi="Palatino Linotype" w:cs="Palatino Linotype"/>
          <w:b/>
        </w:rPr>
        <w:t>/INFOEM/IP/RR/202</w:t>
      </w:r>
      <w:r w:rsidR="000C5D1C" w:rsidRPr="007C0622">
        <w:rPr>
          <w:rFonts w:ascii="Palatino Linotype" w:eastAsia="Palatino Linotype" w:hAnsi="Palatino Linotype" w:cs="Palatino Linotype"/>
          <w:b/>
        </w:rPr>
        <w:t>6</w:t>
      </w:r>
      <w:r w:rsidRPr="007C0622">
        <w:rPr>
          <w:rFonts w:ascii="Palatino Linotype" w:eastAsia="Palatino Linotype" w:hAnsi="Palatino Linotype" w:cs="Palatino Linotype"/>
          <w:b/>
        </w:rPr>
        <w:t xml:space="preserve">, </w:t>
      </w:r>
      <w:r w:rsidRPr="007C0622">
        <w:rPr>
          <w:rFonts w:ascii="Palatino Linotype" w:eastAsia="Palatino Linotype" w:hAnsi="Palatino Linotype" w:cs="Palatino Linotype"/>
        </w:rPr>
        <w:t xml:space="preserve">con fundamento en los artículos 191, fracción VI y, 192, fracción IV, de la Ley de Transparencia y Acceso a la Información Pública del Estado de México y Municipios, al tratarse de una consulta, en términos del </w:t>
      </w:r>
      <w:r w:rsidRPr="007C0622">
        <w:rPr>
          <w:rFonts w:ascii="Palatino Linotype" w:eastAsia="Palatino Linotype" w:hAnsi="Palatino Linotype" w:cs="Palatino Linotype"/>
          <w:b/>
        </w:rPr>
        <w:t>Considerando TERCERO</w:t>
      </w:r>
      <w:r w:rsidRPr="007C0622">
        <w:rPr>
          <w:rFonts w:ascii="Palatino Linotype" w:eastAsia="Palatino Linotype" w:hAnsi="Palatino Linotype" w:cs="Palatino Linotype"/>
        </w:rPr>
        <w:t xml:space="preserve"> de la presente resolución.</w:t>
      </w:r>
    </w:p>
    <w:p w:rsidR="009C44C5" w:rsidRPr="007C0622" w:rsidRDefault="009C44C5" w:rsidP="009C44C5">
      <w:pPr>
        <w:spacing w:line="360" w:lineRule="auto"/>
        <w:jc w:val="both"/>
        <w:rPr>
          <w:rFonts w:ascii="Palatino Linotype" w:eastAsia="Palatino Linotype" w:hAnsi="Palatino Linotype" w:cs="Palatino Linotype"/>
        </w:rPr>
      </w:pPr>
    </w:p>
    <w:p w:rsidR="009C44C5" w:rsidRPr="007C0622" w:rsidRDefault="009C44C5" w:rsidP="009C44C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7C0622">
        <w:rPr>
          <w:rFonts w:ascii="Palatino Linotype" w:eastAsia="Palatino Linotype" w:hAnsi="Palatino Linotype" w:cs="Palatino Linotype"/>
          <w:b/>
          <w:color w:val="000000"/>
        </w:rPr>
        <w:lastRenderedPageBreak/>
        <w:t xml:space="preserve">SEGUNDO. Notifíquese </w:t>
      </w:r>
      <w:r w:rsidRPr="007C0622">
        <w:rPr>
          <w:rFonts w:ascii="Palatino Linotype" w:eastAsia="Palatino Linotype" w:hAnsi="Palatino Linotype" w:cs="Palatino Linotype"/>
          <w:color w:val="000000"/>
        </w:rPr>
        <w:t>a través del Sistema de Acceso a la Información Mexiquense (SAIMEX) la presente resolución a la Titular de la Unidad de Transparencia del</w:t>
      </w:r>
      <w:r w:rsidRPr="007C0622">
        <w:rPr>
          <w:rFonts w:ascii="Palatino Linotype" w:eastAsia="Palatino Linotype" w:hAnsi="Palatino Linotype" w:cs="Palatino Linotype"/>
          <w:b/>
          <w:color w:val="000000"/>
        </w:rPr>
        <w:t xml:space="preserve"> SUJETO OBLIGADO. </w:t>
      </w:r>
    </w:p>
    <w:p w:rsidR="009C44C5" w:rsidRPr="007C0622" w:rsidRDefault="009C44C5" w:rsidP="009C44C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9C44C5" w:rsidRPr="007C0622" w:rsidRDefault="009C44C5" w:rsidP="009C44C5">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7C0622">
        <w:rPr>
          <w:rFonts w:ascii="Palatino Linotype" w:eastAsia="Palatino Linotype" w:hAnsi="Palatino Linotype" w:cs="Palatino Linotype"/>
          <w:b/>
          <w:color w:val="000000"/>
        </w:rPr>
        <w:t xml:space="preserve">TERCERO. </w:t>
      </w:r>
      <w:r w:rsidRPr="007C0622">
        <w:rPr>
          <w:rFonts w:ascii="Palatino Linotype" w:eastAsia="Palatino Linotype" w:hAnsi="Palatino Linotype" w:cs="Palatino Linotype"/>
          <w:b/>
          <w:color w:val="222222"/>
        </w:rPr>
        <w:t xml:space="preserve">Notifíquese </w:t>
      </w:r>
      <w:r w:rsidRPr="007C0622">
        <w:rPr>
          <w:rFonts w:ascii="Palatino Linotype" w:eastAsia="Palatino Linotype" w:hAnsi="Palatino Linotype" w:cs="Palatino Linotype"/>
          <w:color w:val="222222"/>
        </w:rPr>
        <w:t xml:space="preserve">al </w:t>
      </w:r>
      <w:r w:rsidRPr="007C0622">
        <w:rPr>
          <w:rFonts w:ascii="Palatino Linotype" w:eastAsia="Palatino Linotype" w:hAnsi="Palatino Linotype" w:cs="Palatino Linotype"/>
          <w:b/>
          <w:color w:val="000000"/>
        </w:rPr>
        <w:t xml:space="preserve">RECURRENTE </w:t>
      </w:r>
      <w:r w:rsidRPr="007C0622">
        <w:rPr>
          <w:rFonts w:ascii="Palatino Linotype" w:eastAsia="Palatino Linotype" w:hAnsi="Palatino Linotype" w:cs="Palatino Linotype"/>
          <w:color w:val="222222"/>
        </w:rPr>
        <w:t>la presente resolución vía Sistema de Acceso a la Información Mexiquense (SAIMEX).</w:t>
      </w:r>
    </w:p>
    <w:p w:rsidR="009C44C5" w:rsidRPr="007C0622" w:rsidRDefault="009C44C5" w:rsidP="009C44C5">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9C44C5" w:rsidRPr="007C0622" w:rsidRDefault="009C44C5" w:rsidP="009C44C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C0622">
        <w:rPr>
          <w:rFonts w:ascii="Palatino Linotype" w:eastAsia="Palatino Linotype" w:hAnsi="Palatino Linotype" w:cs="Palatino Linotype"/>
          <w:b/>
          <w:color w:val="000000"/>
        </w:rPr>
        <w:t>CUARTO.</w:t>
      </w:r>
      <w:r w:rsidRPr="007C0622">
        <w:rPr>
          <w:rFonts w:ascii="Palatino Linotype" w:eastAsia="Palatino Linotype" w:hAnsi="Palatino Linotype" w:cs="Palatino Linotype"/>
          <w:color w:val="000000"/>
        </w:rPr>
        <w:t xml:space="preserve"> Se hace del conocimiento del </w:t>
      </w:r>
      <w:r w:rsidRPr="007C0622">
        <w:rPr>
          <w:rFonts w:ascii="Palatino Linotype" w:eastAsia="Palatino Linotype" w:hAnsi="Palatino Linotype" w:cs="Palatino Linotype"/>
          <w:b/>
          <w:color w:val="000000"/>
        </w:rPr>
        <w:t xml:space="preserve">RECURRENTE </w:t>
      </w:r>
      <w:r w:rsidRPr="007C0622">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sidRPr="007C0622">
        <w:rPr>
          <w:rFonts w:ascii="Palatino Linotype" w:eastAsia="Palatino Linotype" w:hAnsi="Palatino Linotype" w:cs="Palatino Linotype"/>
        </w:rPr>
        <w:t>impugnar vía</w:t>
      </w:r>
      <w:r w:rsidRPr="007C0622">
        <w:rPr>
          <w:rFonts w:ascii="Palatino Linotype" w:eastAsia="Palatino Linotype" w:hAnsi="Palatino Linotype" w:cs="Palatino Linotype"/>
          <w:color w:val="000000"/>
        </w:rPr>
        <w:t xml:space="preserve"> juicio de amparo en los términos de las leyes aplicables.</w:t>
      </w:r>
    </w:p>
    <w:p w:rsidR="009C44C5" w:rsidRPr="007C0622" w:rsidRDefault="009C44C5" w:rsidP="009C44C5">
      <w:pPr>
        <w:spacing w:line="360" w:lineRule="auto"/>
        <w:jc w:val="both"/>
        <w:rPr>
          <w:rFonts w:ascii="Palatino Linotype" w:eastAsia="Palatino Linotype" w:hAnsi="Palatino Linotype" w:cs="Palatino Linotype"/>
          <w:color w:val="000000"/>
        </w:rPr>
      </w:pPr>
    </w:p>
    <w:p w:rsidR="0005400C" w:rsidRPr="007C0622" w:rsidRDefault="0005400C" w:rsidP="0005400C">
      <w:pPr>
        <w:spacing w:before="240" w:after="240" w:line="360" w:lineRule="auto"/>
        <w:ind w:firstLine="1"/>
        <w:jc w:val="both"/>
        <w:rPr>
          <w:rFonts w:ascii="Palatino Linotype" w:hAnsi="Palatino Linotype"/>
        </w:rPr>
      </w:pPr>
      <w:bookmarkStart w:id="10" w:name="_Hlk99014733"/>
      <w:r w:rsidRPr="007C062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7C0622">
        <w:rPr>
          <w:rFonts w:ascii="Palatino Linotype" w:hAnsi="Palatino Linotype" w:cs="Palatino Linotype"/>
          <w:color w:val="000000" w:themeColor="text1"/>
        </w:rPr>
        <w:t>ALEXIS TAPIA RAMÍREZ.</w:t>
      </w:r>
    </w:p>
    <w:bookmarkEnd w:id="10"/>
    <w:p w:rsidR="009C44C5" w:rsidRPr="007C0622" w:rsidRDefault="009C44C5" w:rsidP="009C44C5"/>
    <w:p w:rsidR="009C44C5" w:rsidRPr="007C0622" w:rsidRDefault="009C44C5" w:rsidP="009C44C5"/>
    <w:p w:rsidR="00E46007" w:rsidRPr="007C0622" w:rsidRDefault="009C44C5">
      <w:r w:rsidRPr="007C0622">
        <w:t xml:space="preserve"> </w:t>
      </w:r>
    </w:p>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p w:rsidR="00935447" w:rsidRPr="007C0622" w:rsidRDefault="00935447"/>
    <w:sectPr w:rsidR="00935447" w:rsidRPr="007C0622" w:rsidSect="007C0622">
      <w:headerReference w:type="default" r:id="rId8"/>
      <w:footerReference w:type="default" r:id="rId9"/>
      <w:headerReference w:type="first" r:id="rId10"/>
      <w:footerReference w:type="first" r:id="rId11"/>
      <w:pgSz w:w="12240" w:h="15840"/>
      <w:pgMar w:top="2021"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212" w:rsidRDefault="00844212" w:rsidP="009C44C5">
      <w:r>
        <w:separator/>
      </w:r>
    </w:p>
  </w:endnote>
  <w:endnote w:type="continuationSeparator" w:id="0">
    <w:p w:rsidR="00844212" w:rsidRDefault="00844212" w:rsidP="009C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1A2" w:rsidRDefault="008221A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8"/>
        <w:szCs w:val="28"/>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7C0622">
      <w:rPr>
        <w:rFonts w:ascii="Palatino Linotype" w:eastAsia="Palatino Linotype" w:hAnsi="Palatino Linotype" w:cs="Palatino Linotype"/>
        <w:b/>
        <w:noProof/>
        <w:color w:val="000000"/>
        <w:sz w:val="22"/>
        <w:szCs w:val="22"/>
      </w:rPr>
      <w:t>15</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7C0622">
      <w:rPr>
        <w:rFonts w:ascii="Palatino Linotype" w:eastAsia="Palatino Linotype" w:hAnsi="Palatino Linotype" w:cs="Palatino Linotype"/>
        <w:b/>
        <w:noProof/>
        <w:color w:val="000000"/>
        <w:sz w:val="22"/>
        <w:szCs w:val="22"/>
      </w:rPr>
      <w:t>15</w:t>
    </w:r>
    <w:r>
      <w:rPr>
        <w:rFonts w:ascii="Palatino Linotype" w:eastAsia="Palatino Linotype" w:hAnsi="Palatino Linotype" w:cs="Palatino Linotype"/>
        <w:b/>
        <w:color w:val="000000"/>
        <w:sz w:val="22"/>
        <w:szCs w:val="22"/>
      </w:rPr>
      <w:fldChar w:fldCharType="end"/>
    </w:r>
  </w:p>
  <w:p w:rsidR="008221A2" w:rsidRDefault="008221A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1A2" w:rsidRDefault="008221A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7C062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7C0622">
      <w:rPr>
        <w:rFonts w:ascii="Palatino Linotype" w:eastAsia="Palatino Linotype" w:hAnsi="Palatino Linotype" w:cs="Palatino Linotype"/>
        <w:noProof/>
        <w:color w:val="000000"/>
        <w:sz w:val="22"/>
        <w:szCs w:val="22"/>
      </w:rPr>
      <w:t>15</w:t>
    </w:r>
    <w:r>
      <w:rPr>
        <w:rFonts w:ascii="Palatino Linotype" w:eastAsia="Palatino Linotype" w:hAnsi="Palatino Linotype" w:cs="Palatino Linotype"/>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212" w:rsidRDefault="00844212" w:rsidP="009C44C5">
      <w:r>
        <w:separator/>
      </w:r>
    </w:p>
  </w:footnote>
  <w:footnote w:type="continuationSeparator" w:id="0">
    <w:p w:rsidR="00844212" w:rsidRDefault="00844212" w:rsidP="009C4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80" w:type="dxa"/>
      <w:tblInd w:w="2184" w:type="dxa"/>
      <w:tblBorders>
        <w:top w:val="nil"/>
        <w:left w:val="nil"/>
        <w:bottom w:val="nil"/>
        <w:right w:val="nil"/>
        <w:insideH w:val="nil"/>
        <w:insideV w:val="nil"/>
      </w:tblBorders>
      <w:tblLayout w:type="fixed"/>
      <w:tblLook w:val="0400" w:firstRow="0" w:lastRow="0" w:firstColumn="0" w:lastColumn="0" w:noHBand="0" w:noVBand="1"/>
    </w:tblPr>
    <w:tblGrid>
      <w:gridCol w:w="567"/>
      <w:gridCol w:w="3261"/>
      <w:gridCol w:w="567"/>
      <w:gridCol w:w="2844"/>
      <w:gridCol w:w="841"/>
    </w:tblGrid>
    <w:tr w:rsidR="008221A2" w:rsidTr="007C0622">
      <w:trPr>
        <w:gridAfter w:val="1"/>
        <w:wAfter w:w="841" w:type="dxa"/>
        <w:trHeight w:val="138"/>
      </w:trPr>
      <w:tc>
        <w:tcPr>
          <w:tcW w:w="3828" w:type="dxa"/>
          <w:gridSpan w:val="2"/>
          <w:vAlign w:val="center"/>
        </w:tcPr>
        <w:p w:rsidR="008221A2" w:rsidRDefault="008221A2" w:rsidP="007C0622">
          <w:pPr>
            <w:ind w:right="34"/>
            <w:rPr>
              <w:rFonts w:ascii="Palatino Linotype" w:eastAsia="Palatino Linotype" w:hAnsi="Palatino Linotype" w:cs="Palatino Linotype"/>
              <w:b/>
            </w:rPr>
          </w:pPr>
        </w:p>
      </w:tc>
      <w:tc>
        <w:tcPr>
          <w:tcW w:w="3411" w:type="dxa"/>
          <w:gridSpan w:val="2"/>
          <w:vAlign w:val="center"/>
        </w:tcPr>
        <w:p w:rsidR="008221A2" w:rsidRDefault="008221A2">
          <w:pPr>
            <w:pBdr>
              <w:top w:val="nil"/>
              <w:left w:val="nil"/>
              <w:bottom w:val="nil"/>
              <w:right w:val="nil"/>
              <w:between w:val="nil"/>
            </w:pBdr>
            <w:tabs>
              <w:tab w:val="center" w:pos="4252"/>
              <w:tab w:val="right" w:pos="8504"/>
            </w:tabs>
            <w:jc w:val="both"/>
            <w:rPr>
              <w:rFonts w:ascii="Palatino Linotype" w:eastAsia="Palatino Linotype" w:hAnsi="Palatino Linotype" w:cs="Palatino Linotype"/>
              <w:b/>
            </w:rPr>
          </w:pPr>
        </w:p>
      </w:tc>
    </w:tr>
    <w:tr w:rsidR="008221A2" w:rsidTr="007C0622">
      <w:trPr>
        <w:gridBefore w:val="1"/>
        <w:wBefore w:w="567" w:type="dxa"/>
        <w:trHeight w:val="138"/>
      </w:trPr>
      <w:tc>
        <w:tcPr>
          <w:tcW w:w="3828" w:type="dxa"/>
          <w:gridSpan w:val="2"/>
          <w:vAlign w:val="center"/>
        </w:tcPr>
        <w:p w:rsidR="008221A2" w:rsidRPr="007C0622" w:rsidRDefault="008221A2" w:rsidP="0005400C">
          <w:pPr>
            <w:ind w:right="34"/>
            <w:jc w:val="right"/>
            <w:rPr>
              <w:rFonts w:ascii="Palatino Linotype" w:eastAsia="Palatino Linotype" w:hAnsi="Palatino Linotype" w:cs="Palatino Linotype"/>
              <w:b/>
            </w:rPr>
          </w:pPr>
          <w:r w:rsidRPr="007C0622">
            <w:rPr>
              <w:rFonts w:ascii="Palatino Linotype" w:eastAsia="Palatino Linotype" w:hAnsi="Palatino Linotype" w:cs="Palatino Linotype"/>
              <w:b/>
            </w:rPr>
            <w:t>RECURSO DE REVISIÓN:</w:t>
          </w:r>
        </w:p>
      </w:tc>
      <w:tc>
        <w:tcPr>
          <w:tcW w:w="3685" w:type="dxa"/>
          <w:gridSpan w:val="2"/>
          <w:vAlign w:val="center"/>
        </w:tcPr>
        <w:p w:rsidR="008221A2" w:rsidRPr="007C0622" w:rsidRDefault="008221A2" w:rsidP="0005400C">
          <w:pPr>
            <w:pBdr>
              <w:top w:val="nil"/>
              <w:left w:val="nil"/>
              <w:bottom w:val="nil"/>
              <w:right w:val="nil"/>
              <w:between w:val="nil"/>
            </w:pBdr>
            <w:tabs>
              <w:tab w:val="center" w:pos="4252"/>
              <w:tab w:val="right" w:pos="8504"/>
            </w:tabs>
            <w:jc w:val="both"/>
            <w:rPr>
              <w:rFonts w:ascii="Palatino Linotype" w:eastAsia="Palatino Linotype" w:hAnsi="Palatino Linotype" w:cs="Palatino Linotype"/>
            </w:rPr>
          </w:pPr>
          <w:r w:rsidRPr="007C0622">
            <w:rPr>
              <w:rFonts w:ascii="Palatino Linotype" w:eastAsia="Palatino Linotype" w:hAnsi="Palatino Linotype" w:cs="Palatino Linotype"/>
            </w:rPr>
            <w:t>01108/INFOEM/IP/RR/2026</w:t>
          </w:r>
        </w:p>
      </w:tc>
    </w:tr>
    <w:tr w:rsidR="008221A2" w:rsidTr="007C0622">
      <w:trPr>
        <w:gridBefore w:val="1"/>
        <w:wBefore w:w="567" w:type="dxa"/>
        <w:trHeight w:val="233"/>
      </w:trPr>
      <w:tc>
        <w:tcPr>
          <w:tcW w:w="3828" w:type="dxa"/>
          <w:gridSpan w:val="2"/>
          <w:vAlign w:val="center"/>
        </w:tcPr>
        <w:p w:rsidR="008221A2" w:rsidRPr="007C0622" w:rsidRDefault="008221A2" w:rsidP="0005400C">
          <w:pPr>
            <w:ind w:right="34"/>
            <w:jc w:val="right"/>
            <w:rPr>
              <w:rFonts w:ascii="Palatino Linotype" w:eastAsia="Palatino Linotype" w:hAnsi="Palatino Linotype" w:cs="Palatino Linotype"/>
              <w:b/>
            </w:rPr>
          </w:pPr>
          <w:r w:rsidRPr="007C0622">
            <w:rPr>
              <w:rFonts w:ascii="Palatino Linotype" w:eastAsia="Palatino Linotype" w:hAnsi="Palatino Linotype" w:cs="Palatino Linotype"/>
              <w:b/>
            </w:rPr>
            <w:t>SUJETO OBLIGADO:</w:t>
          </w:r>
        </w:p>
      </w:tc>
      <w:tc>
        <w:tcPr>
          <w:tcW w:w="3685" w:type="dxa"/>
          <w:gridSpan w:val="2"/>
          <w:vAlign w:val="center"/>
        </w:tcPr>
        <w:p w:rsidR="008221A2" w:rsidRPr="007C0622" w:rsidRDefault="008221A2" w:rsidP="0005400C">
          <w:pPr>
            <w:pBdr>
              <w:top w:val="nil"/>
              <w:left w:val="nil"/>
              <w:bottom w:val="nil"/>
              <w:right w:val="nil"/>
              <w:between w:val="nil"/>
            </w:pBdr>
            <w:tabs>
              <w:tab w:val="center" w:pos="4252"/>
              <w:tab w:val="right" w:pos="8504"/>
            </w:tabs>
            <w:rPr>
              <w:rFonts w:ascii="Palatino Linotype" w:eastAsia="Palatino Linotype" w:hAnsi="Palatino Linotype" w:cs="Palatino Linotype"/>
              <w:szCs w:val="21"/>
            </w:rPr>
          </w:pPr>
          <w:r w:rsidRPr="007C0622">
            <w:rPr>
              <w:rFonts w:ascii="Palatino Linotype" w:eastAsia="Palatino Linotype" w:hAnsi="Palatino Linotype" w:cs="Palatino Linotype"/>
              <w:bCs/>
            </w:rPr>
            <w:t>Ayuntamiento de Acambay de Ruíz Castañeda</w:t>
          </w:r>
        </w:p>
      </w:tc>
    </w:tr>
    <w:tr w:rsidR="008221A2" w:rsidTr="007C0622">
      <w:trPr>
        <w:gridBefore w:val="1"/>
        <w:wBefore w:w="567" w:type="dxa"/>
        <w:trHeight w:val="321"/>
      </w:trPr>
      <w:tc>
        <w:tcPr>
          <w:tcW w:w="3828" w:type="dxa"/>
          <w:gridSpan w:val="2"/>
          <w:vAlign w:val="center"/>
        </w:tcPr>
        <w:p w:rsidR="008221A2" w:rsidRPr="007C0622" w:rsidRDefault="008221A2" w:rsidP="0005400C">
          <w:pPr>
            <w:ind w:right="34"/>
            <w:jc w:val="right"/>
            <w:rPr>
              <w:rFonts w:ascii="Palatino Linotype" w:eastAsia="Palatino Linotype" w:hAnsi="Palatino Linotype" w:cs="Palatino Linotype"/>
              <w:b/>
            </w:rPr>
          </w:pPr>
          <w:r w:rsidRPr="007C0622">
            <w:rPr>
              <w:rFonts w:ascii="Palatino Linotype" w:eastAsia="Palatino Linotype" w:hAnsi="Palatino Linotype" w:cs="Palatino Linotype"/>
              <w:b/>
            </w:rPr>
            <w:t>COMISIONADA PONENTE:</w:t>
          </w:r>
        </w:p>
      </w:tc>
      <w:tc>
        <w:tcPr>
          <w:tcW w:w="3685" w:type="dxa"/>
          <w:gridSpan w:val="2"/>
          <w:vAlign w:val="center"/>
        </w:tcPr>
        <w:p w:rsidR="008221A2" w:rsidRPr="007C0622" w:rsidRDefault="008221A2" w:rsidP="0005400C">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7C0622">
            <w:rPr>
              <w:rFonts w:ascii="Palatino Linotype" w:eastAsia="Palatino Linotype" w:hAnsi="Palatino Linotype" w:cs="Palatino Linotype"/>
            </w:rPr>
            <w:t>María del Rosario Mejía Ayala</w:t>
          </w:r>
        </w:p>
      </w:tc>
    </w:tr>
  </w:tbl>
  <w:p w:rsidR="008221A2" w:rsidRDefault="008221A2">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14:anchorId="5FFB60EE" wp14:editId="49C278AE">
          <wp:simplePos x="0" y="0"/>
          <wp:positionH relativeFrom="page">
            <wp:posOffset>34285</wp:posOffset>
          </wp:positionH>
          <wp:positionV relativeFrom="page">
            <wp:posOffset>13335</wp:posOffset>
          </wp:positionV>
          <wp:extent cx="7694930" cy="1002030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4930" cy="100203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2226" w:type="dxa"/>
      <w:tblBorders>
        <w:top w:val="nil"/>
        <w:left w:val="nil"/>
        <w:bottom w:val="nil"/>
        <w:right w:val="nil"/>
        <w:insideH w:val="nil"/>
        <w:insideV w:val="nil"/>
      </w:tblBorders>
      <w:tblLayout w:type="fixed"/>
      <w:tblLook w:val="0400" w:firstRow="0" w:lastRow="0" w:firstColumn="0" w:lastColumn="0" w:noHBand="0" w:noVBand="1"/>
    </w:tblPr>
    <w:tblGrid>
      <w:gridCol w:w="4111"/>
      <w:gridCol w:w="3827"/>
    </w:tblGrid>
    <w:tr w:rsidR="008221A2" w:rsidTr="007C0622">
      <w:trPr>
        <w:trHeight w:val="138"/>
      </w:trPr>
      <w:tc>
        <w:tcPr>
          <w:tcW w:w="4111" w:type="dxa"/>
          <w:vAlign w:val="center"/>
        </w:tcPr>
        <w:p w:rsidR="008221A2" w:rsidRPr="007C0622" w:rsidRDefault="008221A2" w:rsidP="007C0622">
          <w:pPr>
            <w:jc w:val="right"/>
            <w:rPr>
              <w:rFonts w:ascii="Palatino Linotype" w:eastAsia="Palatino Linotype" w:hAnsi="Palatino Linotype" w:cs="Palatino Linotype"/>
              <w:b/>
            </w:rPr>
          </w:pPr>
          <w:r w:rsidRPr="007C0622">
            <w:tab/>
          </w:r>
          <w:r w:rsidRPr="007C0622">
            <w:rPr>
              <w:rFonts w:ascii="Palatino Linotype" w:eastAsia="Palatino Linotype" w:hAnsi="Palatino Linotype" w:cs="Palatino Linotype"/>
              <w:b/>
            </w:rPr>
            <w:t>RECURSO DE REVISIÓN:</w:t>
          </w:r>
        </w:p>
      </w:tc>
      <w:tc>
        <w:tcPr>
          <w:tcW w:w="3827" w:type="dxa"/>
          <w:vAlign w:val="center"/>
        </w:tcPr>
        <w:p w:rsidR="008221A2" w:rsidRPr="007C0622" w:rsidRDefault="008221A2" w:rsidP="007C0622">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7C0622">
            <w:rPr>
              <w:rFonts w:ascii="Palatino Linotype" w:eastAsia="Palatino Linotype" w:hAnsi="Palatino Linotype" w:cs="Palatino Linotype"/>
            </w:rPr>
            <w:t>01108/INFOEM/IP/RR/2026</w:t>
          </w:r>
        </w:p>
      </w:tc>
    </w:tr>
    <w:tr w:rsidR="008221A2" w:rsidTr="007C0622">
      <w:trPr>
        <w:trHeight w:val="233"/>
      </w:trPr>
      <w:tc>
        <w:tcPr>
          <w:tcW w:w="4111" w:type="dxa"/>
          <w:vAlign w:val="center"/>
        </w:tcPr>
        <w:p w:rsidR="008221A2" w:rsidRPr="007C0622" w:rsidRDefault="008221A2" w:rsidP="007C0622">
          <w:pPr>
            <w:jc w:val="right"/>
            <w:rPr>
              <w:rFonts w:ascii="Palatino Linotype" w:eastAsia="Palatino Linotype" w:hAnsi="Palatino Linotype" w:cs="Palatino Linotype"/>
              <w:b/>
            </w:rPr>
          </w:pPr>
          <w:r w:rsidRPr="007C0622">
            <w:rPr>
              <w:rFonts w:ascii="Palatino Linotype" w:eastAsia="Palatino Linotype" w:hAnsi="Palatino Linotype" w:cs="Palatino Linotype"/>
              <w:b/>
            </w:rPr>
            <w:t>RECURRENTE:</w:t>
          </w:r>
        </w:p>
      </w:tc>
      <w:tc>
        <w:tcPr>
          <w:tcW w:w="3827" w:type="dxa"/>
        </w:tcPr>
        <w:p w:rsidR="008221A2" w:rsidRPr="007C0622" w:rsidRDefault="008221A2" w:rsidP="007C0622">
          <w:pPr>
            <w:pBdr>
              <w:top w:val="nil"/>
              <w:left w:val="nil"/>
              <w:bottom w:val="nil"/>
              <w:right w:val="nil"/>
              <w:between w:val="nil"/>
            </w:pBdr>
            <w:tabs>
              <w:tab w:val="center" w:pos="4252"/>
              <w:tab w:val="right" w:pos="8504"/>
            </w:tabs>
            <w:rPr>
              <w:rFonts w:ascii="Palatino Linotype" w:eastAsia="Palatino Linotype" w:hAnsi="Palatino Linotype" w:cs="Palatino Linotype"/>
            </w:rPr>
          </w:pPr>
        </w:p>
      </w:tc>
    </w:tr>
    <w:tr w:rsidR="008221A2" w:rsidTr="007C0622">
      <w:trPr>
        <w:trHeight w:val="321"/>
      </w:trPr>
      <w:tc>
        <w:tcPr>
          <w:tcW w:w="4111" w:type="dxa"/>
          <w:vAlign w:val="center"/>
        </w:tcPr>
        <w:p w:rsidR="008221A2" w:rsidRPr="007C0622" w:rsidRDefault="008221A2" w:rsidP="007C0622">
          <w:pPr>
            <w:jc w:val="right"/>
            <w:rPr>
              <w:rFonts w:ascii="Palatino Linotype" w:eastAsia="Palatino Linotype" w:hAnsi="Palatino Linotype" w:cs="Palatino Linotype"/>
              <w:b/>
            </w:rPr>
          </w:pPr>
          <w:r w:rsidRPr="007C0622">
            <w:rPr>
              <w:rFonts w:ascii="Palatino Linotype" w:eastAsia="Palatino Linotype" w:hAnsi="Palatino Linotype" w:cs="Palatino Linotype"/>
              <w:b/>
            </w:rPr>
            <w:t>SUJETO OBLIGADO:</w:t>
          </w:r>
        </w:p>
      </w:tc>
      <w:tc>
        <w:tcPr>
          <w:tcW w:w="3827" w:type="dxa"/>
          <w:vAlign w:val="center"/>
        </w:tcPr>
        <w:p w:rsidR="008221A2" w:rsidRPr="007C0622" w:rsidRDefault="008221A2" w:rsidP="007C0622">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7C0622">
            <w:rPr>
              <w:rFonts w:ascii="Palatino Linotype" w:eastAsia="Palatino Linotype" w:hAnsi="Palatino Linotype" w:cs="Palatino Linotype"/>
              <w:bCs/>
            </w:rPr>
            <w:t>Ayuntamiento de Acambay de Ruíz Castañeda</w:t>
          </w:r>
        </w:p>
      </w:tc>
    </w:tr>
    <w:tr w:rsidR="008221A2" w:rsidTr="007C0622">
      <w:trPr>
        <w:trHeight w:val="321"/>
      </w:trPr>
      <w:tc>
        <w:tcPr>
          <w:tcW w:w="4111" w:type="dxa"/>
          <w:vAlign w:val="center"/>
        </w:tcPr>
        <w:p w:rsidR="008221A2" w:rsidRPr="007C0622" w:rsidRDefault="008221A2" w:rsidP="007C0622">
          <w:pPr>
            <w:jc w:val="right"/>
            <w:rPr>
              <w:rFonts w:ascii="Palatino Linotype" w:eastAsia="Palatino Linotype" w:hAnsi="Palatino Linotype" w:cs="Palatino Linotype"/>
              <w:b/>
            </w:rPr>
          </w:pPr>
          <w:r w:rsidRPr="007C0622">
            <w:rPr>
              <w:rFonts w:ascii="Palatino Linotype" w:eastAsia="Palatino Linotype" w:hAnsi="Palatino Linotype" w:cs="Palatino Linotype"/>
              <w:b/>
            </w:rPr>
            <w:t>COMISIONADA PONENTE:</w:t>
          </w:r>
        </w:p>
      </w:tc>
      <w:tc>
        <w:tcPr>
          <w:tcW w:w="3827" w:type="dxa"/>
          <w:vAlign w:val="center"/>
        </w:tcPr>
        <w:p w:rsidR="008221A2" w:rsidRPr="007C0622" w:rsidRDefault="008221A2" w:rsidP="007C0622">
          <w:pPr>
            <w:pBdr>
              <w:top w:val="nil"/>
              <w:left w:val="nil"/>
              <w:bottom w:val="nil"/>
              <w:right w:val="nil"/>
              <w:between w:val="nil"/>
            </w:pBdr>
            <w:tabs>
              <w:tab w:val="center" w:pos="4252"/>
              <w:tab w:val="right" w:pos="8504"/>
            </w:tabs>
            <w:ind w:left="33"/>
            <w:rPr>
              <w:rFonts w:ascii="Palatino Linotype" w:eastAsia="Palatino Linotype" w:hAnsi="Palatino Linotype" w:cs="Palatino Linotype"/>
            </w:rPr>
          </w:pPr>
          <w:r w:rsidRPr="007C0622">
            <w:rPr>
              <w:rFonts w:ascii="Palatino Linotype" w:eastAsia="Palatino Linotype" w:hAnsi="Palatino Linotype" w:cs="Palatino Linotype"/>
            </w:rPr>
            <w:t>María del Rosario Mejía Ayala</w:t>
          </w:r>
        </w:p>
      </w:tc>
    </w:tr>
  </w:tbl>
  <w:p w:rsidR="008221A2" w:rsidRDefault="00844212">
    <w:pPr>
      <w:pBdr>
        <w:top w:val="nil"/>
        <w:left w:val="nil"/>
        <w:bottom w:val="nil"/>
        <w:right w:val="nil"/>
        <w:between w:val="nil"/>
      </w:pBdr>
      <w:tabs>
        <w:tab w:val="center" w:pos="4252"/>
        <w:tab w:val="right" w:pos="8504"/>
        <w:tab w:val="left" w:pos="3103"/>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8.55pt;margin-top:-111.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06E28"/>
    <w:multiLevelType w:val="hybridMultilevel"/>
    <w:tmpl w:val="C368F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3A3297"/>
    <w:multiLevelType w:val="multilevel"/>
    <w:tmpl w:val="2A22BC40"/>
    <w:lvl w:ilvl="0">
      <w:start w:val="1"/>
      <w:numFmt w:val="decimal"/>
      <w:pStyle w:val="Listaconvietas2"/>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1525CA"/>
    <w:multiLevelType w:val="hybridMultilevel"/>
    <w:tmpl w:val="A8A65450"/>
    <w:lvl w:ilvl="0" w:tplc="6F267B38">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1E6038"/>
    <w:multiLevelType w:val="multilevel"/>
    <w:tmpl w:val="33A23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4C5"/>
    <w:rsid w:val="0005400C"/>
    <w:rsid w:val="000C5D1C"/>
    <w:rsid w:val="004E0A15"/>
    <w:rsid w:val="004F2264"/>
    <w:rsid w:val="006922FE"/>
    <w:rsid w:val="006E436C"/>
    <w:rsid w:val="007C0622"/>
    <w:rsid w:val="008221A2"/>
    <w:rsid w:val="00831EC1"/>
    <w:rsid w:val="00844212"/>
    <w:rsid w:val="008A1E10"/>
    <w:rsid w:val="00900553"/>
    <w:rsid w:val="009131C5"/>
    <w:rsid w:val="00935447"/>
    <w:rsid w:val="00935A66"/>
    <w:rsid w:val="009C44C5"/>
    <w:rsid w:val="00A56763"/>
    <w:rsid w:val="00D52A6C"/>
    <w:rsid w:val="00E25509"/>
    <w:rsid w:val="00E46007"/>
    <w:rsid w:val="00EE48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90CA2DF-EDFE-4918-B266-FF6ACFA9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4C5"/>
    <w:pPr>
      <w:spacing w:after="0" w:line="240" w:lineRule="auto"/>
    </w:pPr>
    <w:rPr>
      <w:rFonts w:ascii="Cambria" w:eastAsia="Cambria" w:hAnsi="Cambria" w:cs="Cambria"/>
      <w:sz w:val="24"/>
      <w:szCs w:val="24"/>
      <w:lang w:eastAsia="es-MX"/>
    </w:rPr>
  </w:style>
  <w:style w:type="paragraph" w:styleId="Ttulo1">
    <w:name w:val="heading 1"/>
    <w:basedOn w:val="Normal"/>
    <w:next w:val="Normal"/>
    <w:link w:val="Ttulo1Car"/>
    <w:uiPriority w:val="9"/>
    <w:qFormat/>
    <w:rsid w:val="009C44C5"/>
    <w:pPr>
      <w:keepNext/>
      <w:keepLines/>
      <w:spacing w:before="240" w:line="259" w:lineRule="auto"/>
      <w:outlineLvl w:val="0"/>
    </w:pPr>
    <w:rPr>
      <w:rFonts w:ascii="Palatino Linotype" w:eastAsiaTheme="majorEastAsia" w:hAnsi="Palatino Linotype" w:cstheme="majorBidi"/>
      <w:szCs w:val="32"/>
      <w:lang w:eastAsia="en-US"/>
    </w:rPr>
  </w:style>
  <w:style w:type="paragraph" w:styleId="Ttulo2">
    <w:name w:val="heading 2"/>
    <w:basedOn w:val="Normal"/>
    <w:next w:val="Normal"/>
    <w:link w:val="Ttulo2Car"/>
    <w:uiPriority w:val="9"/>
    <w:unhideWhenUsed/>
    <w:qFormat/>
    <w:rsid w:val="009C44C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44C5"/>
    <w:rPr>
      <w:rFonts w:ascii="Palatino Linotype" w:eastAsiaTheme="majorEastAsia" w:hAnsi="Palatino Linotype" w:cstheme="majorBidi"/>
      <w:sz w:val="24"/>
      <w:szCs w:val="32"/>
    </w:rPr>
  </w:style>
  <w:style w:type="character" w:customStyle="1" w:styleId="Ttulo2Car">
    <w:name w:val="Título 2 Car"/>
    <w:basedOn w:val="Fuentedeprrafopredeter"/>
    <w:link w:val="Ttulo2"/>
    <w:uiPriority w:val="9"/>
    <w:rsid w:val="009C44C5"/>
    <w:rPr>
      <w:rFonts w:asciiTheme="majorHAnsi" w:eastAsiaTheme="majorEastAsia" w:hAnsiTheme="majorHAnsi" w:cstheme="majorBidi"/>
      <w:color w:val="2E74B5" w:themeColor="accent1" w:themeShade="BF"/>
      <w:sz w:val="26"/>
      <w:szCs w:val="26"/>
    </w:rPr>
  </w:style>
  <w:style w:type="paragraph" w:styleId="Listaconvietas2">
    <w:name w:val="List Bullet 2"/>
    <w:basedOn w:val="Normal"/>
    <w:uiPriority w:val="99"/>
    <w:unhideWhenUsed/>
    <w:rsid w:val="009C44C5"/>
    <w:pPr>
      <w:numPr>
        <w:numId w:val="1"/>
      </w:numPr>
      <w:contextualSpacing/>
    </w:pPr>
    <w:rPr>
      <w:rFonts w:ascii="Times New Roman" w:eastAsia="Times New Roman" w:hAnsi="Times New Roman" w:cs="Times New Roman"/>
      <w:sz w:val="20"/>
      <w:szCs w:val="20"/>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C44C5"/>
    <w:pPr>
      <w:ind w:left="720"/>
      <w:contextualSpacing/>
    </w:pPr>
  </w:style>
  <w:style w:type="character" w:styleId="Hipervnculo">
    <w:name w:val="Hyperlink"/>
    <w:basedOn w:val="Fuentedeprrafopredeter"/>
    <w:uiPriority w:val="99"/>
    <w:unhideWhenUsed/>
    <w:rsid w:val="009C44C5"/>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9C44C5"/>
    <w:rPr>
      <w:rFonts w:ascii="Cambria" w:eastAsia="Cambria" w:hAnsi="Cambria" w:cs="Cambria"/>
      <w:sz w:val="24"/>
      <w:szCs w:val="24"/>
      <w:lang w:eastAsia="es-MX"/>
    </w:rPr>
  </w:style>
  <w:style w:type="paragraph" w:styleId="Encabezado">
    <w:name w:val="header"/>
    <w:basedOn w:val="Normal"/>
    <w:link w:val="EncabezadoCar"/>
    <w:uiPriority w:val="99"/>
    <w:unhideWhenUsed/>
    <w:rsid w:val="009C44C5"/>
    <w:pPr>
      <w:tabs>
        <w:tab w:val="center" w:pos="4419"/>
        <w:tab w:val="right" w:pos="8838"/>
      </w:tabs>
    </w:pPr>
  </w:style>
  <w:style w:type="character" w:customStyle="1" w:styleId="EncabezadoCar">
    <w:name w:val="Encabezado Car"/>
    <w:basedOn w:val="Fuentedeprrafopredeter"/>
    <w:link w:val="Encabezado"/>
    <w:uiPriority w:val="99"/>
    <w:rsid w:val="009C44C5"/>
    <w:rPr>
      <w:rFonts w:ascii="Cambria" w:eastAsia="Cambria" w:hAnsi="Cambria" w:cs="Cambria"/>
      <w:sz w:val="24"/>
      <w:szCs w:val="24"/>
      <w:lang w:eastAsia="es-MX"/>
    </w:rPr>
  </w:style>
  <w:style w:type="paragraph" w:styleId="Piedepgina">
    <w:name w:val="footer"/>
    <w:basedOn w:val="Normal"/>
    <w:link w:val="PiedepginaCar"/>
    <w:uiPriority w:val="99"/>
    <w:unhideWhenUsed/>
    <w:rsid w:val="009C44C5"/>
    <w:pPr>
      <w:tabs>
        <w:tab w:val="center" w:pos="4419"/>
        <w:tab w:val="right" w:pos="8838"/>
      </w:tabs>
    </w:pPr>
  </w:style>
  <w:style w:type="character" w:customStyle="1" w:styleId="PiedepginaCar">
    <w:name w:val="Pie de página Car"/>
    <w:basedOn w:val="Fuentedeprrafopredeter"/>
    <w:link w:val="Piedepgina"/>
    <w:uiPriority w:val="99"/>
    <w:rsid w:val="009C44C5"/>
    <w:rPr>
      <w:rFonts w:ascii="Cambria" w:eastAsia="Cambria" w:hAnsi="Cambria" w:cs="Cambria"/>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2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imex.org.mx/saimex/solicitud/downloadAttach/2647656.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3325</Words>
  <Characters>18288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2026-06-18T18:40:00Z</cp:lastPrinted>
  <dcterms:created xsi:type="dcterms:W3CDTF">2026-06-15T17:47:00Z</dcterms:created>
  <dcterms:modified xsi:type="dcterms:W3CDTF">2026-06-19T19:07:00Z</dcterms:modified>
</cp:coreProperties>
</file>