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D9B7A4" w14:textId="77777777" w:rsidR="00C9648B" w:rsidRPr="00C94789" w:rsidRDefault="0060528D">
      <w:pPr>
        <w:spacing w:before="240" w:after="240" w:line="360" w:lineRule="auto"/>
        <w:jc w:val="both"/>
        <w:rPr>
          <w:rFonts w:ascii="Palatino Linotype" w:eastAsia="Palatino Linotype" w:hAnsi="Palatino Linotype" w:cs="Palatino Linotype"/>
          <w:b/>
          <w:bCs/>
          <w:sz w:val="22"/>
          <w:szCs w:val="22"/>
        </w:rPr>
      </w:pPr>
      <w:bookmarkStart w:id="0" w:name="_heading=h.1fob9te" w:colFirst="0" w:colLast="0"/>
      <w:bookmarkEnd w:id="0"/>
      <w:r w:rsidRPr="00C94789">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C94789">
        <w:rPr>
          <w:rFonts w:ascii="Palatino Linotype" w:eastAsia="Palatino Linotype" w:hAnsi="Palatino Linotype" w:cs="Palatino Linotype"/>
          <w:b/>
          <w:bCs/>
          <w:sz w:val="22"/>
          <w:szCs w:val="22"/>
        </w:rPr>
        <w:t>a diecinueve de marzo de dos mil veintiséis</w:t>
      </w:r>
      <w:r w:rsidRPr="00C94789">
        <w:rPr>
          <w:rFonts w:ascii="Palatino Linotype" w:eastAsia="Palatino Linotype" w:hAnsi="Palatino Linotype" w:cs="Palatino Linotype"/>
          <w:sz w:val="22"/>
          <w:szCs w:val="22"/>
        </w:rPr>
        <w:t xml:space="preserve">. </w:t>
      </w:r>
    </w:p>
    <w:p w14:paraId="2866DFBA" w14:textId="33CF21D4" w:rsidR="00C9648B" w:rsidRPr="00C94789" w:rsidRDefault="0060528D">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C94789">
        <w:rPr>
          <w:rFonts w:ascii="Palatino Linotype" w:eastAsia="Palatino Linotype" w:hAnsi="Palatino Linotype" w:cs="Palatino Linotype"/>
          <w:b/>
          <w:bCs/>
          <w:sz w:val="22"/>
          <w:szCs w:val="22"/>
        </w:rPr>
        <w:t>Visto</w:t>
      </w:r>
      <w:r w:rsidRPr="00C94789">
        <w:rPr>
          <w:rFonts w:ascii="Palatino Linotype" w:eastAsia="Palatino Linotype" w:hAnsi="Palatino Linotype" w:cs="Palatino Linotype"/>
          <w:sz w:val="22"/>
          <w:szCs w:val="22"/>
        </w:rPr>
        <w:t xml:space="preserve"> el expediente formado con motivo del recurso de revisión </w:t>
      </w:r>
      <w:r w:rsidRPr="00C94789">
        <w:rPr>
          <w:rFonts w:ascii="Palatino Linotype" w:eastAsia="Palatino Linotype" w:hAnsi="Palatino Linotype" w:cs="Palatino Linotype"/>
          <w:b/>
          <w:bCs/>
          <w:sz w:val="22"/>
          <w:szCs w:val="22"/>
        </w:rPr>
        <w:t>02614/INFOEM/IP/RR/2025</w:t>
      </w:r>
      <w:r w:rsidRPr="00C94789">
        <w:rPr>
          <w:rFonts w:ascii="Palatino Linotype" w:eastAsia="Palatino Linotype" w:hAnsi="Palatino Linotype" w:cs="Palatino Linotype"/>
          <w:sz w:val="22"/>
          <w:szCs w:val="22"/>
        </w:rPr>
        <w:t>, interpuesto por</w:t>
      </w:r>
      <w:r w:rsidRPr="00C94789">
        <w:rPr>
          <w:rFonts w:ascii="Arial" w:eastAsia="Arial" w:hAnsi="Arial" w:cs="Arial"/>
          <w:b/>
          <w:bCs/>
          <w:sz w:val="15"/>
          <w:szCs w:val="15"/>
          <w:shd w:val="clear" w:color="auto" w:fill="F7F7F8"/>
        </w:rPr>
        <w:t xml:space="preserve"> </w:t>
      </w:r>
      <w:r w:rsidRPr="00C94789">
        <w:rPr>
          <w:rFonts w:ascii="Quintessential" w:eastAsia="Quintessential" w:hAnsi="Quintessential" w:cs="Quintessential"/>
          <w:b/>
          <w:bCs/>
          <w:i/>
          <w:iCs/>
          <w:sz w:val="22"/>
          <w:szCs w:val="22"/>
          <w:shd w:val="clear" w:color="auto" w:fill="F7F7F8"/>
        </w:rPr>
        <w:t>“</w:t>
      </w:r>
      <w:r w:rsidR="00702C99">
        <w:rPr>
          <w:rFonts w:ascii="Quintessential" w:eastAsia="Quintessential" w:hAnsi="Quintessential" w:cs="Quintessential"/>
          <w:b/>
          <w:bCs/>
          <w:i/>
          <w:iCs/>
          <w:sz w:val="22"/>
          <w:szCs w:val="22"/>
          <w:shd w:val="clear" w:color="auto" w:fill="F7F7F8"/>
        </w:rPr>
        <w:t>XXX</w:t>
      </w:r>
      <w:r w:rsidRPr="00C94789">
        <w:rPr>
          <w:rFonts w:ascii="Quintessential" w:eastAsia="Quintessential" w:hAnsi="Quintessential" w:cs="Quintessential"/>
          <w:b/>
          <w:bCs/>
          <w:i/>
          <w:iCs/>
          <w:sz w:val="22"/>
          <w:szCs w:val="22"/>
        </w:rPr>
        <w:t>”</w:t>
      </w:r>
      <w:r w:rsidRPr="00C94789">
        <w:rPr>
          <w:rFonts w:ascii="Palatino Linotype" w:eastAsia="Palatino Linotype" w:hAnsi="Palatino Linotype" w:cs="Palatino Linotype"/>
          <w:b/>
          <w:bCs/>
          <w:i/>
          <w:iCs/>
          <w:sz w:val="22"/>
          <w:szCs w:val="22"/>
        </w:rPr>
        <w:t>,</w:t>
      </w:r>
      <w:r w:rsidRPr="00C94789">
        <w:rPr>
          <w:rFonts w:ascii="Palatino Linotype" w:eastAsia="Palatino Linotype" w:hAnsi="Palatino Linotype" w:cs="Palatino Linotype"/>
          <w:sz w:val="22"/>
          <w:szCs w:val="22"/>
        </w:rPr>
        <w:t xml:space="preserve"> en lo sucesivo</w:t>
      </w:r>
      <w:r w:rsidRPr="00C94789">
        <w:rPr>
          <w:rFonts w:ascii="Palatino Linotype" w:eastAsia="Palatino Linotype" w:hAnsi="Palatino Linotype" w:cs="Palatino Linotype"/>
          <w:b/>
          <w:bCs/>
          <w:sz w:val="22"/>
          <w:szCs w:val="22"/>
        </w:rPr>
        <w:t xml:space="preserve"> la parte</w:t>
      </w:r>
      <w:r w:rsidRPr="00C94789">
        <w:rPr>
          <w:rFonts w:ascii="Palatino Linotype" w:eastAsia="Palatino Linotype" w:hAnsi="Palatino Linotype" w:cs="Palatino Linotype"/>
          <w:sz w:val="22"/>
          <w:szCs w:val="22"/>
        </w:rPr>
        <w:t xml:space="preserve"> </w:t>
      </w:r>
      <w:r w:rsidRPr="00C94789">
        <w:rPr>
          <w:rFonts w:ascii="Palatino Linotype" w:eastAsia="Palatino Linotype" w:hAnsi="Palatino Linotype" w:cs="Palatino Linotype"/>
          <w:b/>
          <w:bCs/>
          <w:sz w:val="22"/>
          <w:szCs w:val="22"/>
        </w:rPr>
        <w:t>Recurrente,</w:t>
      </w:r>
      <w:r w:rsidRPr="00C94789">
        <w:rPr>
          <w:rFonts w:ascii="Palatino Linotype" w:eastAsia="Palatino Linotype" w:hAnsi="Palatino Linotype" w:cs="Palatino Linotype"/>
          <w:sz w:val="22"/>
          <w:szCs w:val="22"/>
        </w:rPr>
        <w:t xml:space="preserve"> en contra de la respuesta a su solicitud de información con número de folio</w:t>
      </w:r>
      <w:r w:rsidRPr="00C94789">
        <w:t xml:space="preserve"> </w:t>
      </w:r>
      <w:r w:rsidRPr="00C94789">
        <w:rPr>
          <w:rFonts w:ascii="Palatino Linotype" w:eastAsia="Palatino Linotype" w:hAnsi="Palatino Linotype" w:cs="Palatino Linotype"/>
          <w:b/>
          <w:bCs/>
          <w:sz w:val="22"/>
          <w:szCs w:val="22"/>
        </w:rPr>
        <w:t xml:space="preserve">00010/CHICOLOA/IP/2026, </w:t>
      </w:r>
      <w:r w:rsidRPr="00C94789">
        <w:rPr>
          <w:rFonts w:ascii="Palatino Linotype" w:eastAsia="Palatino Linotype" w:hAnsi="Palatino Linotype" w:cs="Palatino Linotype"/>
          <w:sz w:val="22"/>
          <w:szCs w:val="22"/>
        </w:rPr>
        <w:t>por parte del</w:t>
      </w:r>
      <w:r w:rsidRPr="00C94789">
        <w:t xml:space="preserve"> </w:t>
      </w:r>
      <w:r w:rsidRPr="00C94789">
        <w:rPr>
          <w:rFonts w:ascii="Palatino Linotype" w:eastAsia="Palatino Linotype" w:hAnsi="Palatino Linotype" w:cs="Palatino Linotype"/>
          <w:b/>
          <w:bCs/>
          <w:sz w:val="22"/>
          <w:szCs w:val="22"/>
        </w:rPr>
        <w:t>Ayuntamiento de Chicoloapan</w:t>
      </w:r>
      <w:r w:rsidRPr="00C94789">
        <w:rPr>
          <w:rFonts w:ascii="Palatino Linotype" w:eastAsia="Palatino Linotype" w:hAnsi="Palatino Linotype" w:cs="Palatino Linotype"/>
          <w:sz w:val="22"/>
          <w:szCs w:val="22"/>
        </w:rPr>
        <w:t>,</w:t>
      </w:r>
      <w:r w:rsidRPr="00C94789">
        <w:rPr>
          <w:rFonts w:ascii="Palatino Linotype" w:eastAsia="Palatino Linotype" w:hAnsi="Palatino Linotype" w:cs="Palatino Linotype"/>
          <w:b/>
          <w:bCs/>
          <w:sz w:val="22"/>
          <w:szCs w:val="22"/>
        </w:rPr>
        <w:t xml:space="preserve"> </w:t>
      </w:r>
      <w:r w:rsidRPr="00C94789">
        <w:rPr>
          <w:rFonts w:ascii="Palatino Linotype" w:eastAsia="Palatino Linotype" w:hAnsi="Palatino Linotype" w:cs="Palatino Linotype"/>
          <w:sz w:val="22"/>
          <w:szCs w:val="22"/>
        </w:rPr>
        <w:t xml:space="preserve">en lo sucesivo el </w:t>
      </w:r>
      <w:r w:rsidRPr="00C94789">
        <w:rPr>
          <w:rFonts w:ascii="Palatino Linotype" w:eastAsia="Palatino Linotype" w:hAnsi="Palatino Linotype" w:cs="Palatino Linotype"/>
          <w:b/>
          <w:bCs/>
          <w:sz w:val="22"/>
          <w:szCs w:val="22"/>
        </w:rPr>
        <w:t xml:space="preserve">Sujeto Obligado, </w:t>
      </w:r>
      <w:r w:rsidRPr="00C94789">
        <w:rPr>
          <w:rFonts w:ascii="Palatino Linotype" w:eastAsia="Palatino Linotype" w:hAnsi="Palatino Linotype" w:cs="Palatino Linotype"/>
          <w:sz w:val="22"/>
          <w:szCs w:val="22"/>
        </w:rPr>
        <w:t xml:space="preserve">se procede a dictar la presente resolución con base en los siguientes: </w:t>
      </w:r>
    </w:p>
    <w:p w14:paraId="0DA1B18C" w14:textId="77777777" w:rsidR="00C9648B" w:rsidRPr="00C94789" w:rsidRDefault="0060528D">
      <w:pPr>
        <w:spacing w:before="240" w:after="240" w:line="360" w:lineRule="auto"/>
        <w:jc w:val="center"/>
        <w:rPr>
          <w:rFonts w:ascii="Palatino Linotype" w:eastAsia="Palatino Linotype" w:hAnsi="Palatino Linotype" w:cs="Palatino Linotype"/>
          <w:b/>
          <w:bCs/>
          <w:sz w:val="22"/>
          <w:szCs w:val="22"/>
        </w:rPr>
      </w:pPr>
      <w:r w:rsidRPr="00C94789">
        <w:rPr>
          <w:rFonts w:ascii="Palatino Linotype" w:eastAsia="Palatino Linotype" w:hAnsi="Palatino Linotype" w:cs="Palatino Linotype"/>
          <w:b/>
          <w:bCs/>
          <w:sz w:val="22"/>
          <w:szCs w:val="22"/>
        </w:rPr>
        <w:t>I. A N T E C E D E N T E S</w:t>
      </w:r>
    </w:p>
    <w:p w14:paraId="0F250C92" w14:textId="77777777" w:rsidR="00C9648B" w:rsidRPr="00C94789" w:rsidRDefault="0060528D">
      <w:pPr>
        <w:spacing w:before="240" w:after="240"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b/>
          <w:bCs/>
          <w:sz w:val="22"/>
          <w:szCs w:val="22"/>
        </w:rPr>
        <w:t>1. Solicitud de acceso a la información.</w:t>
      </w:r>
      <w:r w:rsidRPr="00C94789">
        <w:rPr>
          <w:rFonts w:ascii="Palatino Linotype" w:eastAsia="Palatino Linotype" w:hAnsi="Palatino Linotype" w:cs="Palatino Linotype"/>
          <w:sz w:val="22"/>
          <w:szCs w:val="22"/>
        </w:rPr>
        <w:t xml:space="preserve"> El </w:t>
      </w:r>
      <w:r w:rsidRPr="00C94789">
        <w:rPr>
          <w:rFonts w:ascii="Palatino Linotype" w:eastAsia="Palatino Linotype" w:hAnsi="Palatino Linotype" w:cs="Palatino Linotype"/>
          <w:b/>
          <w:bCs/>
          <w:sz w:val="22"/>
          <w:szCs w:val="22"/>
        </w:rPr>
        <w:t>veintiocho de enero de dos mil veintiséis,</w:t>
      </w:r>
      <w:r w:rsidRPr="00C94789">
        <w:rPr>
          <w:rFonts w:ascii="Palatino Linotype" w:eastAsia="Palatino Linotype" w:hAnsi="Palatino Linotype" w:cs="Palatino Linotype"/>
          <w:sz w:val="22"/>
          <w:szCs w:val="22"/>
        </w:rPr>
        <w:t xml:space="preserve"> </w:t>
      </w:r>
      <w:r w:rsidRPr="00C94789">
        <w:rPr>
          <w:rFonts w:ascii="Palatino Linotype" w:eastAsia="Palatino Linotype" w:hAnsi="Palatino Linotype" w:cs="Palatino Linotype"/>
          <w:b/>
          <w:bCs/>
          <w:sz w:val="22"/>
          <w:szCs w:val="22"/>
        </w:rPr>
        <w:t>la parte</w:t>
      </w:r>
      <w:r w:rsidRPr="00C94789">
        <w:rPr>
          <w:rFonts w:ascii="Palatino Linotype" w:eastAsia="Palatino Linotype" w:hAnsi="Palatino Linotype" w:cs="Palatino Linotype"/>
          <w:sz w:val="22"/>
          <w:szCs w:val="22"/>
        </w:rPr>
        <w:t xml:space="preserve"> </w:t>
      </w:r>
      <w:r w:rsidRPr="00C94789">
        <w:rPr>
          <w:rFonts w:ascii="Palatino Linotype" w:eastAsia="Palatino Linotype" w:hAnsi="Palatino Linotype" w:cs="Palatino Linotype"/>
          <w:b/>
          <w:bCs/>
          <w:sz w:val="22"/>
          <w:szCs w:val="22"/>
        </w:rPr>
        <w:t xml:space="preserve">Recurrente </w:t>
      </w:r>
      <w:r w:rsidRPr="00C94789">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C94789">
        <w:rPr>
          <w:rFonts w:ascii="Palatino Linotype" w:eastAsia="Palatino Linotype" w:hAnsi="Palatino Linotype" w:cs="Palatino Linotype"/>
          <w:b/>
          <w:bCs/>
          <w:sz w:val="22"/>
          <w:szCs w:val="22"/>
        </w:rPr>
        <w:t>Sujeto Obligado</w:t>
      </w:r>
      <w:r w:rsidRPr="00C94789">
        <w:rPr>
          <w:rFonts w:ascii="Palatino Linotype" w:eastAsia="Palatino Linotype" w:hAnsi="Palatino Linotype" w:cs="Palatino Linotype"/>
          <w:sz w:val="22"/>
          <w:szCs w:val="22"/>
        </w:rPr>
        <w:t>, la solicitud de acceso a la información pública a la que se le asignó el número</w:t>
      </w:r>
      <w:r w:rsidRPr="00C94789">
        <w:t xml:space="preserve"> </w:t>
      </w:r>
      <w:r w:rsidRPr="00C94789">
        <w:rPr>
          <w:rFonts w:ascii="Palatino Linotype" w:eastAsia="Palatino Linotype" w:hAnsi="Palatino Linotype" w:cs="Palatino Linotype"/>
          <w:b/>
          <w:bCs/>
          <w:sz w:val="22"/>
          <w:szCs w:val="22"/>
        </w:rPr>
        <w:t xml:space="preserve">00010/CHICOLOA/IP/2026; </w:t>
      </w:r>
      <w:r w:rsidRPr="00C94789">
        <w:rPr>
          <w:rFonts w:ascii="Palatino Linotype" w:eastAsia="Palatino Linotype" w:hAnsi="Palatino Linotype" w:cs="Palatino Linotype"/>
          <w:sz w:val="22"/>
          <w:szCs w:val="22"/>
        </w:rPr>
        <w:t xml:space="preserve">mediante la cual se requirió la información siguiente: </w:t>
      </w:r>
    </w:p>
    <w:p w14:paraId="1B60062C" w14:textId="77777777" w:rsidR="00C9648B" w:rsidRPr="00C94789" w:rsidRDefault="0060528D">
      <w:pPr>
        <w:spacing w:before="240" w:after="240"/>
        <w:ind w:left="567" w:right="902"/>
        <w:jc w:val="both"/>
        <w:rPr>
          <w:rFonts w:ascii="Palatino Linotype" w:eastAsia="Palatino Linotype" w:hAnsi="Palatino Linotype" w:cs="Palatino Linotype"/>
          <w:i/>
          <w:iCs/>
          <w:sz w:val="22"/>
          <w:szCs w:val="22"/>
        </w:rPr>
      </w:pPr>
      <w:bookmarkStart w:id="2" w:name="_heading=h.gjdgxs" w:colFirst="0" w:colLast="0"/>
      <w:bookmarkEnd w:id="2"/>
      <w:r w:rsidRPr="00C94789">
        <w:rPr>
          <w:rFonts w:ascii="Palatino Linotype" w:eastAsia="Palatino Linotype" w:hAnsi="Palatino Linotype" w:cs="Palatino Linotype"/>
          <w:i/>
          <w:iCs/>
          <w:sz w:val="22"/>
          <w:szCs w:val="22"/>
        </w:rPr>
        <w:t xml:space="preserve">“SOLICITO UNA RELACIÓN EN EXCEL DEL REGISTRO DE CHECADOR ENTRADA Y SALIDA DEL SIGUIENTE PERSONAL (CORRESPONDIENTE A LA PRIMERA QUINCENA DE ENERO 2026) Directora de Administración Directora de Obras Públicas Titular del área equivalente a recursos humanos o desarrollo del personal Tesorera Municipal Director de Desarrollo Económico Titular de la oficialia del Registro Civil No.1 Titular de Comunicación Social Titular de Adquisiciones Titular de Panteones Titular del departamento de egresos Titular del Departamento de Ingresos Y Coordinador de Desarrollo Agropecuario" (Sic) </w:t>
      </w:r>
    </w:p>
    <w:p w14:paraId="4DD98440" w14:textId="77777777" w:rsidR="00C9648B" w:rsidRPr="00C94789" w:rsidRDefault="0060528D">
      <w:pPr>
        <w:spacing w:before="240" w:after="240" w:line="360" w:lineRule="auto"/>
        <w:ind w:right="49"/>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b/>
          <w:bCs/>
          <w:sz w:val="22"/>
          <w:szCs w:val="22"/>
        </w:rPr>
        <w:lastRenderedPageBreak/>
        <w:t>Modalidad de Entrega:</w:t>
      </w:r>
      <w:r w:rsidRPr="00C94789">
        <w:rPr>
          <w:rFonts w:ascii="Palatino Linotype" w:eastAsia="Palatino Linotype" w:hAnsi="Palatino Linotype" w:cs="Palatino Linotype"/>
          <w:sz w:val="22"/>
          <w:szCs w:val="22"/>
        </w:rPr>
        <w:t xml:space="preserve"> a través del Sistema de Acceso a la Información Mexiquense (SAIMEX).</w:t>
      </w:r>
    </w:p>
    <w:p w14:paraId="2CB362EB" w14:textId="77777777" w:rsidR="00C9648B" w:rsidRPr="00C94789" w:rsidRDefault="0060528D">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bCs/>
          <w:sz w:val="22"/>
          <w:szCs w:val="22"/>
        </w:rPr>
      </w:pPr>
      <w:r w:rsidRPr="00C94789">
        <w:rPr>
          <w:rFonts w:ascii="Palatino Linotype" w:eastAsia="Palatino Linotype" w:hAnsi="Palatino Linotype" w:cs="Palatino Linotype"/>
          <w:b/>
          <w:bCs/>
          <w:sz w:val="22"/>
          <w:szCs w:val="22"/>
        </w:rPr>
        <w:t xml:space="preserve">2. Respuesta. </w:t>
      </w:r>
      <w:r w:rsidRPr="00C94789">
        <w:rPr>
          <w:rFonts w:ascii="Palatino Linotype" w:eastAsia="Palatino Linotype" w:hAnsi="Palatino Linotype" w:cs="Palatino Linotype"/>
          <w:sz w:val="22"/>
          <w:szCs w:val="22"/>
        </w:rPr>
        <w:t xml:space="preserve">El </w:t>
      </w:r>
      <w:r w:rsidRPr="00C94789">
        <w:rPr>
          <w:rFonts w:ascii="Palatino Linotype" w:eastAsia="Palatino Linotype" w:hAnsi="Palatino Linotype" w:cs="Palatino Linotype"/>
          <w:b/>
          <w:bCs/>
          <w:sz w:val="22"/>
          <w:szCs w:val="22"/>
        </w:rPr>
        <w:t>diecisiete de febrero de dos mil veintiséis</w:t>
      </w:r>
      <w:r w:rsidRPr="00C94789">
        <w:rPr>
          <w:rFonts w:ascii="Palatino Linotype" w:eastAsia="Palatino Linotype" w:hAnsi="Palatino Linotype" w:cs="Palatino Linotype"/>
          <w:sz w:val="22"/>
          <w:szCs w:val="22"/>
        </w:rPr>
        <w:t xml:space="preserve">, el </w:t>
      </w:r>
      <w:r w:rsidRPr="00C94789">
        <w:rPr>
          <w:rFonts w:ascii="Palatino Linotype" w:eastAsia="Palatino Linotype" w:hAnsi="Palatino Linotype" w:cs="Palatino Linotype"/>
          <w:b/>
          <w:bCs/>
          <w:sz w:val="22"/>
          <w:szCs w:val="22"/>
        </w:rPr>
        <w:t xml:space="preserve">Sujeto Obligado </w:t>
      </w:r>
      <w:r w:rsidRPr="00C94789">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78E698C6" w14:textId="239BA547" w:rsidR="00C9648B" w:rsidRPr="00C94789" w:rsidRDefault="0060528D">
      <w:pPr>
        <w:spacing w:before="240" w:after="240"/>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“Estimado </w:t>
      </w:r>
      <w:r w:rsidR="00702C99">
        <w:rPr>
          <w:rFonts w:ascii="Palatino Linotype" w:eastAsia="Palatino Linotype" w:hAnsi="Palatino Linotype" w:cs="Palatino Linotype"/>
          <w:i/>
          <w:iCs/>
          <w:sz w:val="22"/>
          <w:szCs w:val="22"/>
        </w:rPr>
        <w:t>XXXXXXXXXX</w:t>
      </w:r>
      <w:bookmarkStart w:id="3" w:name="_GoBack"/>
      <w:bookmarkEnd w:id="3"/>
      <w:r w:rsidRPr="00C94789">
        <w:rPr>
          <w:rFonts w:ascii="Palatino Linotype" w:eastAsia="Palatino Linotype" w:hAnsi="Palatino Linotype" w:cs="Palatino Linotype"/>
          <w:i/>
          <w:iCs/>
          <w:sz w:val="22"/>
          <w:szCs w:val="22"/>
        </w:rPr>
        <w:t>, sea este medio para enviar un afectuoso saludo mismo que aprovecho para enviar la información solicitada. Quedo a la orden para cualquier duda o aclaración.” (Sic)</w:t>
      </w:r>
    </w:p>
    <w:p w14:paraId="417FE81A" w14:textId="77777777" w:rsidR="00C9648B" w:rsidRPr="00C94789" w:rsidRDefault="0060528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Adjunto a la respuesta, el </w:t>
      </w:r>
      <w:r w:rsidRPr="00C94789">
        <w:rPr>
          <w:rFonts w:ascii="Palatino Linotype" w:eastAsia="Palatino Linotype" w:hAnsi="Palatino Linotype" w:cs="Palatino Linotype"/>
          <w:b/>
          <w:bCs/>
          <w:sz w:val="22"/>
          <w:szCs w:val="22"/>
        </w:rPr>
        <w:t xml:space="preserve">Sujeto Obligado </w:t>
      </w:r>
      <w:r w:rsidRPr="00C94789">
        <w:rPr>
          <w:rFonts w:ascii="Palatino Linotype" w:eastAsia="Palatino Linotype" w:hAnsi="Palatino Linotype" w:cs="Palatino Linotype"/>
          <w:sz w:val="22"/>
          <w:szCs w:val="22"/>
        </w:rPr>
        <w:t>hizo entrega de la siguiente información:</w:t>
      </w:r>
    </w:p>
    <w:p w14:paraId="62F8172B" w14:textId="77777777" w:rsidR="00C9648B" w:rsidRPr="00C94789" w:rsidRDefault="00C9648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29DB1C6" w14:textId="77777777" w:rsidR="00C9648B" w:rsidRPr="00C94789" w:rsidRDefault="0060528D">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Oficio del 12 de febrero del 2025, a través del cual el Coordinador de Desarrollo de Personal del Ayuntamiento de Chicoloapan, remite informe de registros del checador de entrada y salida correspondiente a la primer quincena de Enero de 2026; en la cual refiere que se incluye al siguiente personal: Directora de Administración, Directora de Obras Públicas, Coordinador de Desarrollo de Personal, Tesorera Municipal, Director de Desarrollo Económico, Oficial del Registro Civil No.1, Titular de Comunicación Social, Titular de Adquisiciones, Coordinador de Panteones, Titular del departamento de Egresos, Titular del Departamento de Ingresos y Coordinador de Desarrollo Agropecuario.</w:t>
      </w:r>
    </w:p>
    <w:p w14:paraId="56B9DB02" w14:textId="77777777" w:rsidR="00C9648B" w:rsidRPr="00C94789" w:rsidRDefault="0060528D">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bCs/>
          <w:sz w:val="22"/>
          <w:szCs w:val="22"/>
        </w:rPr>
      </w:pPr>
      <w:bookmarkStart w:id="4" w:name="_heading=h.3dy6vkm" w:colFirst="0" w:colLast="0"/>
      <w:bookmarkEnd w:id="4"/>
      <w:r w:rsidRPr="00C94789">
        <w:rPr>
          <w:rFonts w:ascii="Palatino Linotype" w:eastAsia="Palatino Linotype" w:hAnsi="Palatino Linotype" w:cs="Palatino Linotype"/>
          <w:b/>
          <w:bCs/>
          <w:sz w:val="22"/>
          <w:szCs w:val="22"/>
        </w:rPr>
        <w:t xml:space="preserve">3. Interposición del recurso de revisión. </w:t>
      </w:r>
      <w:r w:rsidRPr="00C94789">
        <w:rPr>
          <w:rFonts w:ascii="Palatino Linotype" w:eastAsia="Palatino Linotype" w:hAnsi="Palatino Linotype" w:cs="Palatino Linotype"/>
          <w:sz w:val="22"/>
          <w:szCs w:val="22"/>
        </w:rPr>
        <w:t xml:space="preserve">Inconforme la persona solicitante con la respuesta a su solicitud de información por parte del </w:t>
      </w:r>
      <w:r w:rsidRPr="00C94789">
        <w:rPr>
          <w:rFonts w:ascii="Palatino Linotype" w:eastAsia="Palatino Linotype" w:hAnsi="Palatino Linotype" w:cs="Palatino Linotype"/>
          <w:b/>
          <w:bCs/>
          <w:sz w:val="22"/>
          <w:szCs w:val="22"/>
        </w:rPr>
        <w:t>Sujeto Obligado</w:t>
      </w:r>
      <w:r w:rsidRPr="00C94789">
        <w:rPr>
          <w:rFonts w:ascii="Palatino Linotype" w:eastAsia="Palatino Linotype" w:hAnsi="Palatino Linotype" w:cs="Palatino Linotype"/>
          <w:sz w:val="22"/>
          <w:szCs w:val="22"/>
        </w:rPr>
        <w:t>, el</w:t>
      </w:r>
      <w:r w:rsidRPr="00C94789">
        <w:rPr>
          <w:rFonts w:ascii="Palatino Linotype" w:eastAsia="Palatino Linotype" w:hAnsi="Palatino Linotype" w:cs="Palatino Linotype"/>
          <w:b/>
          <w:bCs/>
          <w:sz w:val="22"/>
          <w:szCs w:val="22"/>
        </w:rPr>
        <w:t xml:space="preserve"> veinticuatro de febrero de dos mil veintiséis,</w:t>
      </w:r>
      <w:r w:rsidRPr="00C94789">
        <w:rPr>
          <w:rFonts w:ascii="Palatino Linotype" w:eastAsia="Palatino Linotype" w:hAnsi="Palatino Linotype" w:cs="Palatino Linotype"/>
          <w:sz w:val="22"/>
          <w:szCs w:val="22"/>
        </w:rPr>
        <w:t xml:space="preserve"> </w:t>
      </w:r>
      <w:r w:rsidRPr="00C94789">
        <w:rPr>
          <w:rFonts w:ascii="Palatino Linotype" w:eastAsia="Palatino Linotype" w:hAnsi="Palatino Linotype" w:cs="Palatino Linotype"/>
          <w:b/>
          <w:bCs/>
          <w:sz w:val="22"/>
          <w:szCs w:val="22"/>
        </w:rPr>
        <w:t>la parte</w:t>
      </w:r>
      <w:r w:rsidRPr="00C94789">
        <w:rPr>
          <w:rFonts w:ascii="Palatino Linotype" w:eastAsia="Palatino Linotype" w:hAnsi="Palatino Linotype" w:cs="Palatino Linotype"/>
          <w:sz w:val="22"/>
          <w:szCs w:val="22"/>
        </w:rPr>
        <w:t xml:space="preserve"> </w:t>
      </w:r>
      <w:r w:rsidRPr="00C94789">
        <w:rPr>
          <w:rFonts w:ascii="Palatino Linotype" w:eastAsia="Palatino Linotype" w:hAnsi="Palatino Linotype" w:cs="Palatino Linotype"/>
          <w:b/>
          <w:bCs/>
          <w:sz w:val="22"/>
          <w:szCs w:val="22"/>
        </w:rPr>
        <w:t>Recurrente</w:t>
      </w:r>
      <w:r w:rsidRPr="00C94789">
        <w:rPr>
          <w:rFonts w:ascii="Palatino Linotype" w:eastAsia="Palatino Linotype" w:hAnsi="Palatino Linotype" w:cs="Palatino Linotype"/>
          <w:sz w:val="22"/>
          <w:szCs w:val="22"/>
        </w:rPr>
        <w:t xml:space="preserve"> interpuso el recurso de revisión a través de </w:t>
      </w:r>
      <w:r w:rsidRPr="00C94789">
        <w:rPr>
          <w:rFonts w:ascii="Palatino Linotype" w:eastAsia="Palatino Linotype" w:hAnsi="Palatino Linotype" w:cs="Palatino Linotype"/>
          <w:b/>
          <w:bCs/>
          <w:sz w:val="22"/>
          <w:szCs w:val="22"/>
        </w:rPr>
        <w:t xml:space="preserve">SAIMEX; </w:t>
      </w:r>
      <w:r w:rsidRPr="00C94789">
        <w:rPr>
          <w:rFonts w:ascii="Palatino Linotype" w:eastAsia="Palatino Linotype" w:hAnsi="Palatino Linotype" w:cs="Palatino Linotype"/>
          <w:sz w:val="22"/>
          <w:szCs w:val="22"/>
        </w:rPr>
        <w:t>en donde se señaló lo siguiente:</w:t>
      </w:r>
    </w:p>
    <w:p w14:paraId="3313D303" w14:textId="77777777" w:rsidR="00C9648B" w:rsidRPr="00C94789" w:rsidRDefault="0060528D">
      <w:pPr>
        <w:tabs>
          <w:tab w:val="left" w:pos="2745"/>
        </w:tabs>
        <w:spacing w:before="240" w:after="240" w:line="276" w:lineRule="auto"/>
        <w:ind w:left="567" w:right="900"/>
        <w:jc w:val="both"/>
        <w:rPr>
          <w:rFonts w:ascii="Palatino Linotype" w:eastAsia="Palatino Linotype" w:hAnsi="Palatino Linotype" w:cs="Palatino Linotype"/>
          <w:b/>
          <w:bCs/>
          <w:sz w:val="22"/>
          <w:szCs w:val="22"/>
        </w:rPr>
      </w:pPr>
      <w:r w:rsidRPr="00C94789">
        <w:rPr>
          <w:rFonts w:ascii="Palatino Linotype" w:eastAsia="Palatino Linotype" w:hAnsi="Palatino Linotype" w:cs="Palatino Linotype"/>
          <w:b/>
          <w:bCs/>
          <w:sz w:val="22"/>
          <w:szCs w:val="22"/>
        </w:rPr>
        <w:lastRenderedPageBreak/>
        <w:t xml:space="preserve">a) Acto impugnado: </w:t>
      </w:r>
      <w:r w:rsidRPr="00C94789">
        <w:rPr>
          <w:rFonts w:ascii="Palatino Linotype" w:eastAsia="Palatino Linotype" w:hAnsi="Palatino Linotype" w:cs="Palatino Linotype"/>
          <w:i/>
          <w:iCs/>
          <w:sz w:val="22"/>
          <w:szCs w:val="22"/>
        </w:rPr>
        <w:t>“NO CUENTAN CON LOS HORARIOS REALES Y LA SOLICITUD FUE EN EXCEL NO EN OFICIO” (Sic)</w:t>
      </w:r>
    </w:p>
    <w:p w14:paraId="1A92FA86" w14:textId="77777777" w:rsidR="00C9648B" w:rsidRPr="00C94789" w:rsidRDefault="0060528D">
      <w:pPr>
        <w:spacing w:line="276" w:lineRule="auto"/>
        <w:ind w:left="567" w:right="900"/>
        <w:jc w:val="both"/>
        <w:rPr>
          <w:rFonts w:ascii="Palatino Linotype" w:eastAsia="Palatino Linotype" w:hAnsi="Palatino Linotype" w:cs="Palatino Linotype"/>
          <w:i/>
          <w:iCs/>
          <w:sz w:val="22"/>
          <w:szCs w:val="22"/>
        </w:rPr>
      </w:pPr>
      <w:bookmarkStart w:id="5" w:name="_heading=h.30j0zll" w:colFirst="0" w:colLast="0"/>
      <w:bookmarkEnd w:id="5"/>
      <w:r w:rsidRPr="00C94789">
        <w:rPr>
          <w:rFonts w:ascii="Palatino Linotype" w:eastAsia="Palatino Linotype" w:hAnsi="Palatino Linotype" w:cs="Palatino Linotype"/>
          <w:b/>
          <w:bCs/>
          <w:sz w:val="22"/>
          <w:szCs w:val="22"/>
        </w:rPr>
        <w:t>b) Razones o motivos de inconformidad</w:t>
      </w:r>
      <w:r w:rsidRPr="00C94789">
        <w:rPr>
          <w:rFonts w:ascii="Palatino Linotype" w:eastAsia="Palatino Linotype" w:hAnsi="Palatino Linotype" w:cs="Palatino Linotype"/>
          <w:sz w:val="22"/>
          <w:szCs w:val="22"/>
        </w:rPr>
        <w:t xml:space="preserve">: </w:t>
      </w:r>
      <w:r w:rsidRPr="00C94789">
        <w:rPr>
          <w:rFonts w:ascii="Palatino Linotype" w:eastAsia="Palatino Linotype" w:hAnsi="Palatino Linotype" w:cs="Palatino Linotype"/>
          <w:i/>
          <w:iCs/>
          <w:sz w:val="22"/>
          <w:szCs w:val="22"/>
        </w:rPr>
        <w:t>“NO CUENTAN CON LOS HORARIOS REALES Y LA SOLICITUD FUE EN EXCEL NO EN OFICIO” (Sic)</w:t>
      </w:r>
    </w:p>
    <w:p w14:paraId="13A1B7C1" w14:textId="77777777" w:rsidR="00C9648B" w:rsidRPr="00C94789" w:rsidRDefault="00C9648B">
      <w:pPr>
        <w:spacing w:line="276" w:lineRule="auto"/>
        <w:ind w:left="567" w:right="900"/>
        <w:jc w:val="both"/>
        <w:rPr>
          <w:rFonts w:ascii="Palatino Linotype" w:eastAsia="Palatino Linotype" w:hAnsi="Palatino Linotype" w:cs="Palatino Linotype"/>
          <w:i/>
          <w:iCs/>
          <w:sz w:val="22"/>
          <w:szCs w:val="22"/>
        </w:rPr>
      </w:pPr>
    </w:p>
    <w:p w14:paraId="3E132F1F" w14:textId="77777777" w:rsidR="00C9648B" w:rsidRPr="00C94789" w:rsidRDefault="0060528D">
      <w:pPr>
        <w:spacing w:line="360" w:lineRule="auto"/>
        <w:ind w:right="51"/>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b/>
          <w:bCs/>
          <w:sz w:val="22"/>
          <w:szCs w:val="22"/>
        </w:rPr>
        <w:t xml:space="preserve">5. Turno. </w:t>
      </w:r>
      <w:r w:rsidRPr="00C94789">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C94789">
        <w:rPr>
          <w:rFonts w:ascii="Palatino Linotype" w:eastAsia="Palatino Linotype" w:hAnsi="Palatino Linotype" w:cs="Palatino Linotype"/>
          <w:b/>
          <w:bCs/>
          <w:sz w:val="22"/>
          <w:szCs w:val="22"/>
        </w:rPr>
        <w:t xml:space="preserve">Guadalupe Ramírez Peña, </w:t>
      </w:r>
      <w:r w:rsidRPr="00C94789">
        <w:rPr>
          <w:rFonts w:ascii="Palatino Linotype" w:eastAsia="Palatino Linotype" w:hAnsi="Palatino Linotype" w:cs="Palatino Linotype"/>
          <w:sz w:val="22"/>
          <w:szCs w:val="22"/>
        </w:rPr>
        <w:t>a efecto de que analizara sobre su admisión o su desechamiento.</w:t>
      </w:r>
    </w:p>
    <w:p w14:paraId="01038119" w14:textId="77777777" w:rsidR="00C9648B" w:rsidRPr="00C94789" w:rsidRDefault="00C9648B">
      <w:pPr>
        <w:spacing w:line="360" w:lineRule="auto"/>
        <w:ind w:right="51"/>
        <w:jc w:val="both"/>
        <w:rPr>
          <w:rFonts w:ascii="Palatino Linotype" w:eastAsia="Palatino Linotype" w:hAnsi="Palatino Linotype" w:cs="Palatino Linotype"/>
          <w:sz w:val="22"/>
          <w:szCs w:val="22"/>
        </w:rPr>
      </w:pPr>
    </w:p>
    <w:p w14:paraId="7E7C3E78"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b/>
          <w:bCs/>
          <w:sz w:val="22"/>
          <w:szCs w:val="22"/>
        </w:rPr>
        <w:t>6. Admisión del Recurso de revisión.</w:t>
      </w:r>
      <w:r w:rsidRPr="00C94789">
        <w:rPr>
          <w:rFonts w:ascii="Palatino Linotype" w:eastAsia="Palatino Linotype" w:hAnsi="Palatino Linotype" w:cs="Palatino Linotype"/>
          <w:sz w:val="22"/>
          <w:szCs w:val="22"/>
        </w:rPr>
        <w:t xml:space="preserve"> El </w:t>
      </w:r>
      <w:r w:rsidRPr="00C94789">
        <w:rPr>
          <w:rFonts w:ascii="Palatino Linotype" w:eastAsia="Palatino Linotype" w:hAnsi="Palatino Linotype" w:cs="Palatino Linotype"/>
          <w:b/>
          <w:bCs/>
          <w:sz w:val="22"/>
          <w:szCs w:val="22"/>
        </w:rPr>
        <w:t xml:space="preserve">veintiséis de febrero de dos mil veintiséis, </w:t>
      </w:r>
      <w:r w:rsidRPr="00C94789">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94789">
        <w:rPr>
          <w:rFonts w:ascii="Palatino Linotype" w:eastAsia="Palatino Linotype" w:hAnsi="Palatino Linotype" w:cs="Palatino Linotype"/>
          <w:b/>
          <w:bCs/>
          <w:sz w:val="22"/>
          <w:szCs w:val="22"/>
        </w:rPr>
        <w:t xml:space="preserve">Sujeto Obligado </w:t>
      </w:r>
      <w:r w:rsidRPr="00C94789">
        <w:rPr>
          <w:rFonts w:ascii="Palatino Linotype" w:eastAsia="Palatino Linotype" w:hAnsi="Palatino Linotype" w:cs="Palatino Linotype"/>
          <w:sz w:val="22"/>
          <w:szCs w:val="22"/>
        </w:rPr>
        <w:t>presentara su informe justificado.</w:t>
      </w:r>
    </w:p>
    <w:p w14:paraId="7F75901B"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5C26539E" w14:textId="77777777" w:rsidR="00C9648B" w:rsidRPr="00C94789" w:rsidRDefault="0060528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C94789">
        <w:rPr>
          <w:rFonts w:ascii="Palatino Linotype" w:eastAsia="Palatino Linotype" w:hAnsi="Palatino Linotype" w:cs="Palatino Linotype"/>
          <w:b/>
          <w:bCs/>
          <w:sz w:val="22"/>
          <w:szCs w:val="22"/>
        </w:rPr>
        <w:t>7. Manifestaciones</w:t>
      </w:r>
      <w:r w:rsidRPr="00C94789">
        <w:rPr>
          <w:rFonts w:ascii="Palatino Linotype" w:eastAsia="Palatino Linotype" w:hAnsi="Palatino Linotype" w:cs="Palatino Linotype"/>
          <w:sz w:val="22"/>
          <w:szCs w:val="22"/>
        </w:rPr>
        <w:t>. De las constancias que integran el expediente en que se actúa, se advierte que las partes fueron omisas en rendir manifestaciones, como se advierte de la siguiente digitalización:</w:t>
      </w:r>
    </w:p>
    <w:p w14:paraId="4562BF52" w14:textId="77777777" w:rsidR="00C9648B" w:rsidRPr="00C94789" w:rsidRDefault="00C9648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8528E58" w14:textId="77777777" w:rsidR="00C9648B" w:rsidRPr="00C94789" w:rsidRDefault="0060528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noProof/>
          <w:sz w:val="22"/>
          <w:szCs w:val="22"/>
        </w:rPr>
        <w:drawing>
          <wp:inline distT="0" distB="0" distL="0" distR="0" wp14:anchorId="44E7A4ED" wp14:editId="05AEF982">
            <wp:extent cx="5612130" cy="1226185"/>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1226185"/>
                    </a:xfrm>
                    <a:prstGeom prst="rect">
                      <a:avLst/>
                    </a:prstGeom>
                    <a:ln/>
                  </pic:spPr>
                </pic:pic>
              </a:graphicData>
            </a:graphic>
          </wp:inline>
        </w:drawing>
      </w:r>
    </w:p>
    <w:p w14:paraId="122BB2D8" w14:textId="77777777" w:rsidR="00C9648B" w:rsidRPr="00C94789" w:rsidRDefault="00C9648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178B919" w14:textId="77777777" w:rsidR="00C9648B" w:rsidRPr="00C94789" w:rsidRDefault="0060528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b/>
          <w:bCs/>
          <w:sz w:val="22"/>
          <w:szCs w:val="22"/>
        </w:rPr>
        <w:t xml:space="preserve">8. Cierre de instrucción. </w:t>
      </w:r>
      <w:r w:rsidRPr="00C94789">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C94789">
        <w:rPr>
          <w:rFonts w:ascii="Palatino Linotype" w:eastAsia="Palatino Linotype" w:hAnsi="Palatino Linotype" w:cs="Palatino Linotype"/>
          <w:b/>
          <w:bCs/>
          <w:sz w:val="22"/>
          <w:szCs w:val="22"/>
        </w:rPr>
        <w:t>doce de marzo de dos mil veintiséis,</w:t>
      </w:r>
      <w:r w:rsidRPr="00C94789">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7F61C97F" w14:textId="77777777" w:rsidR="00C9648B" w:rsidRPr="00C94789" w:rsidRDefault="00C9648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657C1009" w14:textId="77777777" w:rsidR="00C9648B" w:rsidRPr="00C94789" w:rsidRDefault="0060528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63800FB2" w14:textId="77777777" w:rsidR="00C9648B" w:rsidRPr="00C94789" w:rsidRDefault="0060528D">
      <w:pPr>
        <w:widowControl w:val="0"/>
        <w:spacing w:before="240" w:after="240" w:line="360" w:lineRule="auto"/>
        <w:jc w:val="center"/>
        <w:rPr>
          <w:rFonts w:ascii="Palatino Linotype" w:eastAsia="Palatino Linotype" w:hAnsi="Palatino Linotype" w:cs="Palatino Linotype"/>
          <w:b/>
          <w:bCs/>
          <w:sz w:val="22"/>
          <w:szCs w:val="22"/>
        </w:rPr>
      </w:pPr>
      <w:r w:rsidRPr="00C94789">
        <w:rPr>
          <w:rFonts w:ascii="Palatino Linotype" w:eastAsia="Palatino Linotype" w:hAnsi="Palatino Linotype" w:cs="Palatino Linotype"/>
          <w:b/>
          <w:bCs/>
          <w:sz w:val="22"/>
          <w:szCs w:val="22"/>
        </w:rPr>
        <w:t>II. C O N S I D E R A N D O S</w:t>
      </w:r>
    </w:p>
    <w:p w14:paraId="42E7051E"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b/>
          <w:bCs/>
          <w:sz w:val="22"/>
          <w:szCs w:val="22"/>
        </w:rPr>
        <w:t>Primero. Competencia.</w:t>
      </w:r>
      <w:r w:rsidRPr="00C94789">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3BC277E"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5443CD36" w14:textId="77777777" w:rsidR="00C9648B" w:rsidRPr="00C94789" w:rsidRDefault="0060528D">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C94789">
        <w:rPr>
          <w:rFonts w:ascii="Palatino Linotype" w:eastAsia="Palatino Linotype" w:hAnsi="Palatino Linotype" w:cs="Palatino Linotype"/>
          <w:b/>
          <w:bCs/>
          <w:sz w:val="22"/>
          <w:szCs w:val="22"/>
        </w:rPr>
        <w:t>Segundo. Oportunidad y Procedibilidad del Recurso de Revisión</w:t>
      </w:r>
      <w:r w:rsidRPr="00C94789">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824728C"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394B4E36"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C94789">
        <w:rPr>
          <w:rFonts w:ascii="Palatino Linotype" w:eastAsia="Palatino Linotype" w:hAnsi="Palatino Linotype" w:cs="Palatino Linotype"/>
          <w:b/>
          <w:bCs/>
          <w:sz w:val="22"/>
          <w:szCs w:val="22"/>
        </w:rPr>
        <w:t xml:space="preserve">Sujeto Obligado </w:t>
      </w:r>
      <w:r w:rsidRPr="00C94789">
        <w:rPr>
          <w:rFonts w:ascii="Palatino Linotype" w:eastAsia="Palatino Linotype" w:hAnsi="Palatino Linotype" w:cs="Palatino Linotype"/>
          <w:sz w:val="22"/>
          <w:szCs w:val="22"/>
        </w:rPr>
        <w:t>remitió la respuesta a la solicitud de información el</w:t>
      </w:r>
      <w:r w:rsidRPr="00C94789">
        <w:t xml:space="preserve"> </w:t>
      </w:r>
      <w:r w:rsidRPr="00C94789">
        <w:rPr>
          <w:rFonts w:ascii="Palatino Linotype" w:eastAsia="Palatino Linotype" w:hAnsi="Palatino Linotype" w:cs="Palatino Linotype"/>
          <w:b/>
          <w:bCs/>
          <w:sz w:val="22"/>
          <w:szCs w:val="22"/>
        </w:rPr>
        <w:t xml:space="preserve">diecisiete de febrero de dos mil veintiséis, </w:t>
      </w:r>
      <w:r w:rsidRPr="00C94789">
        <w:rPr>
          <w:rFonts w:ascii="Palatino Linotype" w:eastAsia="Palatino Linotype" w:hAnsi="Palatino Linotype" w:cs="Palatino Linotype"/>
          <w:sz w:val="22"/>
          <w:szCs w:val="22"/>
        </w:rPr>
        <w:t xml:space="preserve">mientras que el recurso de revisión interpuesto por </w:t>
      </w:r>
      <w:r w:rsidRPr="00C94789">
        <w:rPr>
          <w:rFonts w:ascii="Palatino Linotype" w:eastAsia="Palatino Linotype" w:hAnsi="Palatino Linotype" w:cs="Palatino Linotype"/>
          <w:b/>
          <w:bCs/>
          <w:sz w:val="22"/>
          <w:szCs w:val="22"/>
        </w:rPr>
        <w:t>la parte</w:t>
      </w:r>
      <w:r w:rsidRPr="00C94789">
        <w:rPr>
          <w:rFonts w:ascii="Palatino Linotype" w:eastAsia="Palatino Linotype" w:hAnsi="Palatino Linotype" w:cs="Palatino Linotype"/>
          <w:sz w:val="22"/>
          <w:szCs w:val="22"/>
        </w:rPr>
        <w:t xml:space="preserve"> </w:t>
      </w:r>
      <w:r w:rsidRPr="00C94789">
        <w:rPr>
          <w:rFonts w:ascii="Palatino Linotype" w:eastAsia="Palatino Linotype" w:hAnsi="Palatino Linotype" w:cs="Palatino Linotype"/>
          <w:b/>
          <w:bCs/>
          <w:sz w:val="22"/>
          <w:szCs w:val="22"/>
        </w:rPr>
        <w:t>Recurrente</w:t>
      </w:r>
      <w:r w:rsidRPr="00C94789">
        <w:rPr>
          <w:rFonts w:ascii="Palatino Linotype" w:eastAsia="Palatino Linotype" w:hAnsi="Palatino Linotype" w:cs="Palatino Linotype"/>
          <w:sz w:val="22"/>
          <w:szCs w:val="22"/>
        </w:rPr>
        <w:t xml:space="preserve">, se tuvo por presentado el </w:t>
      </w:r>
      <w:r w:rsidRPr="00C94789">
        <w:rPr>
          <w:rFonts w:ascii="Palatino Linotype" w:eastAsia="Palatino Linotype" w:hAnsi="Palatino Linotype" w:cs="Palatino Linotype"/>
          <w:b/>
          <w:bCs/>
          <w:sz w:val="22"/>
          <w:szCs w:val="22"/>
        </w:rPr>
        <w:t>veinticuatro de febrero de dos mil veintiséis</w:t>
      </w:r>
      <w:r w:rsidRPr="00C94789">
        <w:rPr>
          <w:rFonts w:ascii="Palatino Linotype" w:eastAsia="Palatino Linotype" w:hAnsi="Palatino Linotype" w:cs="Palatino Linotype"/>
          <w:sz w:val="22"/>
          <w:szCs w:val="22"/>
        </w:rPr>
        <w:t xml:space="preserve"> esto es, el </w:t>
      </w:r>
      <w:r w:rsidRPr="00C94789">
        <w:rPr>
          <w:rFonts w:ascii="Palatino Linotype" w:eastAsia="Palatino Linotype" w:hAnsi="Palatino Linotype" w:cs="Palatino Linotype"/>
          <w:b/>
          <w:bCs/>
          <w:sz w:val="22"/>
          <w:szCs w:val="22"/>
          <w:u w:val="single"/>
        </w:rPr>
        <w:t>quinto</w:t>
      </w:r>
      <w:r w:rsidRPr="00C94789">
        <w:rPr>
          <w:rFonts w:ascii="Palatino Linotype" w:eastAsia="Palatino Linotype" w:hAnsi="Palatino Linotype" w:cs="Palatino Linotype"/>
          <w:sz w:val="22"/>
          <w:szCs w:val="22"/>
        </w:rPr>
        <w:t xml:space="preserve"> día hábil siguiente a aquel </w:t>
      </w:r>
      <w:r w:rsidRPr="00C94789">
        <w:rPr>
          <w:rFonts w:ascii="Palatino Linotype" w:eastAsia="Palatino Linotype" w:hAnsi="Palatino Linotype" w:cs="Palatino Linotype"/>
          <w:b/>
          <w:bCs/>
          <w:sz w:val="22"/>
          <w:szCs w:val="22"/>
        </w:rPr>
        <w:t>en que se tuvo conocimiento de la respuesta impugnada</w:t>
      </w:r>
      <w:r w:rsidRPr="00C94789">
        <w:rPr>
          <w:rFonts w:ascii="Palatino Linotype" w:eastAsia="Palatino Linotype" w:hAnsi="Palatino Linotype" w:cs="Palatino Linotype"/>
          <w:sz w:val="22"/>
          <w:szCs w:val="22"/>
        </w:rPr>
        <w:t xml:space="preserve">. </w:t>
      </w:r>
    </w:p>
    <w:p w14:paraId="19042FEE"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50AF8DC9"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79DF2711"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00EAA939"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Por otro lado, es de suma importancia mencionar que, si bien la parte</w:t>
      </w:r>
      <w:r w:rsidRPr="00C94789">
        <w:rPr>
          <w:rFonts w:ascii="Palatino Linotype" w:eastAsia="Palatino Linotype" w:hAnsi="Palatino Linotype" w:cs="Palatino Linotype"/>
          <w:b/>
          <w:bCs/>
          <w:sz w:val="22"/>
          <w:szCs w:val="22"/>
        </w:rPr>
        <w:t xml:space="preserve"> Recurrente</w:t>
      </w:r>
      <w:r w:rsidRPr="00C94789">
        <w:rPr>
          <w:rFonts w:ascii="Palatino Linotype" w:eastAsia="Palatino Linotype" w:hAnsi="Palatino Linotype" w:cs="Palatino Linotype"/>
          <w:sz w:val="22"/>
          <w:szCs w:val="22"/>
        </w:rPr>
        <w:t xml:space="preserve"> </w:t>
      </w:r>
      <w:r w:rsidRPr="00C94789">
        <w:rPr>
          <w:rFonts w:ascii="Palatino Linotype" w:eastAsia="Palatino Linotype" w:hAnsi="Palatino Linotype" w:cs="Palatino Linotype"/>
          <w:b/>
          <w:bCs/>
          <w:sz w:val="22"/>
          <w:szCs w:val="22"/>
        </w:rPr>
        <w:t>no</w:t>
      </w:r>
      <w:r w:rsidRPr="00C94789">
        <w:rPr>
          <w:rFonts w:ascii="Palatino Linotype" w:eastAsia="Palatino Linotype" w:hAnsi="Palatino Linotype" w:cs="Palatino Linotype"/>
          <w:sz w:val="22"/>
          <w:szCs w:val="22"/>
        </w:rPr>
        <w:t xml:space="preserve"> </w:t>
      </w:r>
      <w:r w:rsidRPr="00C94789">
        <w:rPr>
          <w:rFonts w:ascii="Palatino Linotype" w:eastAsia="Palatino Linotype" w:hAnsi="Palatino Linotype" w:cs="Palatino Linotype"/>
          <w:b/>
          <w:bCs/>
          <w:sz w:val="22"/>
          <w:szCs w:val="22"/>
        </w:rPr>
        <w:t>proporcionó nombre,</w:t>
      </w:r>
      <w:r w:rsidRPr="00C94789">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56A8E81"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23E9B771" w14:textId="77777777" w:rsidR="00C9648B" w:rsidRPr="00C94789" w:rsidRDefault="0060528D">
      <w:pPr>
        <w:spacing w:line="276" w:lineRule="auto"/>
        <w:ind w:left="851" w:right="902"/>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i/>
          <w:iCs/>
          <w:sz w:val="22"/>
          <w:szCs w:val="22"/>
        </w:rPr>
        <w:t>"</w:t>
      </w:r>
      <w:r w:rsidRPr="00C94789">
        <w:rPr>
          <w:rFonts w:ascii="Palatino Linotype" w:eastAsia="Palatino Linotype" w:hAnsi="Palatino Linotype" w:cs="Palatino Linotype"/>
          <w:b/>
          <w:bCs/>
          <w:i/>
          <w:iCs/>
          <w:sz w:val="22"/>
          <w:szCs w:val="22"/>
        </w:rPr>
        <w:t>Las solicitudes anónimas,</w:t>
      </w:r>
      <w:r w:rsidRPr="00C94789">
        <w:rPr>
          <w:rFonts w:ascii="Palatino Linotype" w:eastAsia="Palatino Linotype" w:hAnsi="Palatino Linotype" w:cs="Palatino Linotype"/>
          <w:i/>
          <w:iCs/>
          <w:sz w:val="22"/>
          <w:szCs w:val="22"/>
        </w:rPr>
        <w:t xml:space="preserve"> con nombre incompleto o seudónimo</w:t>
      </w:r>
      <w:r w:rsidRPr="00C94789">
        <w:rPr>
          <w:rFonts w:ascii="Palatino Linotype" w:eastAsia="Palatino Linotype" w:hAnsi="Palatino Linotype" w:cs="Palatino Linotype"/>
          <w:b/>
          <w:bCs/>
          <w:i/>
          <w:iCs/>
          <w:sz w:val="22"/>
          <w:szCs w:val="22"/>
        </w:rPr>
        <w:t> serán procedentes para su trámite por parte del sujeto obligado ante quien se presente</w:t>
      </w:r>
      <w:r w:rsidRPr="00C94789">
        <w:rPr>
          <w:rFonts w:ascii="Palatino Linotype" w:eastAsia="Palatino Linotype" w:hAnsi="Palatino Linotype" w:cs="Palatino Linotype"/>
          <w:i/>
          <w:iCs/>
          <w:sz w:val="22"/>
          <w:szCs w:val="22"/>
        </w:rPr>
        <w:t>. No podrá requerirse información adicional con motivo del nombre proporcionado por el solicitante."</w:t>
      </w:r>
    </w:p>
    <w:p w14:paraId="582F416B"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27ED77C5"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5C18887F" w14:textId="77777777" w:rsidR="00C9648B" w:rsidRPr="00C94789" w:rsidRDefault="0060528D">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C94789">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439585D" w14:textId="77777777" w:rsidR="00C9648B" w:rsidRPr="00C94789" w:rsidRDefault="00C9648B">
      <w:pPr>
        <w:tabs>
          <w:tab w:val="left" w:pos="7938"/>
        </w:tabs>
        <w:spacing w:line="360" w:lineRule="auto"/>
        <w:jc w:val="both"/>
        <w:rPr>
          <w:rFonts w:ascii="Palatino Linotype" w:eastAsia="Palatino Linotype" w:hAnsi="Palatino Linotype" w:cs="Palatino Linotype"/>
          <w:sz w:val="22"/>
          <w:szCs w:val="22"/>
        </w:rPr>
      </w:pPr>
    </w:p>
    <w:p w14:paraId="16FFB4AA"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Finalmente, se advierte que resulta procedente la interposición del recurso, según lo manifestado por </w:t>
      </w:r>
      <w:r w:rsidRPr="00C94789">
        <w:rPr>
          <w:rFonts w:ascii="Palatino Linotype" w:eastAsia="Palatino Linotype" w:hAnsi="Palatino Linotype" w:cs="Palatino Linotype"/>
          <w:b/>
          <w:bCs/>
          <w:sz w:val="22"/>
          <w:szCs w:val="22"/>
        </w:rPr>
        <w:t>la parte</w:t>
      </w:r>
      <w:r w:rsidRPr="00C94789">
        <w:rPr>
          <w:rFonts w:ascii="Palatino Linotype" w:eastAsia="Palatino Linotype" w:hAnsi="Palatino Linotype" w:cs="Palatino Linotype"/>
          <w:sz w:val="22"/>
          <w:szCs w:val="22"/>
        </w:rPr>
        <w:t xml:space="preserve"> </w:t>
      </w:r>
      <w:r w:rsidRPr="00C94789">
        <w:rPr>
          <w:rFonts w:ascii="Palatino Linotype" w:eastAsia="Palatino Linotype" w:hAnsi="Palatino Linotype" w:cs="Palatino Linotype"/>
          <w:b/>
          <w:bCs/>
          <w:sz w:val="22"/>
          <w:szCs w:val="22"/>
        </w:rPr>
        <w:t>Recurrente</w:t>
      </w:r>
      <w:r w:rsidRPr="00C94789">
        <w:rPr>
          <w:rFonts w:ascii="Palatino Linotype" w:eastAsia="Palatino Linotype" w:hAnsi="Palatino Linotype" w:cs="Palatino Linotype"/>
          <w:sz w:val="22"/>
          <w:szCs w:val="22"/>
        </w:rPr>
        <w:t xml:space="preserve"> en sus motivos de inconformidad, de acuerdo al artículo 179, fracciones V y VIII del ordenamiento legal citado, que a la letra dice: </w:t>
      </w:r>
    </w:p>
    <w:p w14:paraId="6AC29F2B"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4761246A" w14:textId="77777777" w:rsidR="00C9648B" w:rsidRPr="00C94789" w:rsidRDefault="0060528D">
      <w:pPr>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w:t>
      </w:r>
      <w:r w:rsidRPr="00C94789">
        <w:rPr>
          <w:rFonts w:ascii="Palatino Linotype" w:eastAsia="Palatino Linotype" w:hAnsi="Palatino Linotype" w:cs="Palatino Linotype"/>
          <w:b/>
          <w:bCs/>
          <w:i/>
          <w:iCs/>
          <w:sz w:val="22"/>
          <w:szCs w:val="22"/>
        </w:rPr>
        <w:t>Artículo 179.</w:t>
      </w:r>
      <w:r w:rsidRPr="00C94789">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74BED0A5" w14:textId="77777777" w:rsidR="00C9648B" w:rsidRPr="00C94789" w:rsidRDefault="0060528D">
      <w:pPr>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w:t>
      </w:r>
    </w:p>
    <w:p w14:paraId="5757377C" w14:textId="77777777" w:rsidR="00C9648B" w:rsidRPr="00C94789" w:rsidRDefault="0060528D">
      <w:pPr>
        <w:ind w:left="567" w:right="902"/>
        <w:jc w:val="both"/>
        <w:rPr>
          <w:rFonts w:ascii="Palatino Linotype" w:eastAsia="Palatino Linotype" w:hAnsi="Palatino Linotype" w:cs="Palatino Linotype"/>
          <w:b/>
          <w:bCs/>
          <w:i/>
          <w:iCs/>
          <w:sz w:val="22"/>
          <w:szCs w:val="22"/>
        </w:rPr>
      </w:pPr>
      <w:r w:rsidRPr="00C94789">
        <w:rPr>
          <w:rFonts w:ascii="Palatino Linotype" w:eastAsia="Palatino Linotype" w:hAnsi="Palatino Linotype" w:cs="Palatino Linotype"/>
          <w:b/>
          <w:bCs/>
          <w:i/>
          <w:iCs/>
          <w:sz w:val="22"/>
          <w:szCs w:val="22"/>
        </w:rPr>
        <w:t>V. La entrega de información incompleta;</w:t>
      </w:r>
    </w:p>
    <w:p w14:paraId="47F87F77" w14:textId="77777777" w:rsidR="00C9648B" w:rsidRPr="00C94789" w:rsidRDefault="0060528D">
      <w:pPr>
        <w:ind w:left="567" w:right="902"/>
        <w:jc w:val="both"/>
        <w:rPr>
          <w:rFonts w:ascii="Palatino Linotype" w:eastAsia="Palatino Linotype" w:hAnsi="Palatino Linotype" w:cs="Palatino Linotype"/>
          <w:b/>
          <w:bCs/>
          <w:i/>
          <w:iCs/>
          <w:sz w:val="22"/>
          <w:szCs w:val="22"/>
        </w:rPr>
      </w:pPr>
      <w:r w:rsidRPr="00C94789">
        <w:rPr>
          <w:rFonts w:ascii="Palatino Linotype" w:eastAsia="Palatino Linotype" w:hAnsi="Palatino Linotype" w:cs="Palatino Linotype"/>
          <w:b/>
          <w:bCs/>
          <w:i/>
          <w:iCs/>
          <w:sz w:val="22"/>
          <w:szCs w:val="22"/>
        </w:rPr>
        <w:t>[…]</w:t>
      </w:r>
    </w:p>
    <w:p w14:paraId="233ED5E5" w14:textId="77777777" w:rsidR="00C9648B" w:rsidRPr="00C94789" w:rsidRDefault="0060528D">
      <w:pPr>
        <w:ind w:left="567" w:right="902"/>
        <w:jc w:val="both"/>
        <w:rPr>
          <w:rFonts w:ascii="Palatino Linotype" w:eastAsia="Palatino Linotype" w:hAnsi="Palatino Linotype" w:cs="Palatino Linotype"/>
          <w:b/>
          <w:bCs/>
          <w:i/>
          <w:iCs/>
          <w:sz w:val="22"/>
          <w:szCs w:val="22"/>
        </w:rPr>
      </w:pPr>
      <w:r w:rsidRPr="00C94789">
        <w:rPr>
          <w:rFonts w:ascii="Palatino Linotype" w:eastAsia="Palatino Linotype" w:hAnsi="Palatino Linotype" w:cs="Palatino Linotype"/>
          <w:b/>
          <w:bCs/>
          <w:i/>
          <w:iCs/>
          <w:sz w:val="22"/>
          <w:szCs w:val="22"/>
        </w:rPr>
        <w:t>VIII. La notificación, entrega o puesta a disposición de información en una modalidad o formato distinto al solicitado;</w:t>
      </w:r>
    </w:p>
    <w:p w14:paraId="3CA0679E" w14:textId="77777777" w:rsidR="00C9648B" w:rsidRPr="00C94789" w:rsidRDefault="0060528D">
      <w:pPr>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w:t>
      </w:r>
    </w:p>
    <w:p w14:paraId="70B3DF6E" w14:textId="77777777" w:rsidR="00C9648B" w:rsidRPr="00C94789" w:rsidRDefault="00C9648B">
      <w:pPr>
        <w:ind w:left="567"/>
        <w:rPr>
          <w:rFonts w:ascii="Palatino Linotype" w:eastAsia="Palatino Linotype" w:hAnsi="Palatino Linotype" w:cs="Palatino Linotype"/>
          <w:b/>
          <w:bCs/>
          <w:i/>
          <w:iCs/>
          <w:sz w:val="22"/>
          <w:szCs w:val="22"/>
        </w:rPr>
      </w:pPr>
    </w:p>
    <w:p w14:paraId="3F8F604B" w14:textId="77777777" w:rsidR="00C9648B" w:rsidRPr="00C94789" w:rsidRDefault="0060528D">
      <w:pPr>
        <w:ind w:left="567" w:right="900"/>
        <w:jc w:val="right"/>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 xml:space="preserve"> </w:t>
      </w:r>
      <w:r w:rsidRPr="00C94789">
        <w:rPr>
          <w:rFonts w:ascii="Palatino Linotype" w:eastAsia="Palatino Linotype" w:hAnsi="Palatino Linotype" w:cs="Palatino Linotype"/>
          <w:i/>
          <w:iCs/>
          <w:sz w:val="22"/>
          <w:szCs w:val="22"/>
        </w:rPr>
        <w:t>(Énfasis añadido)</w:t>
      </w:r>
    </w:p>
    <w:p w14:paraId="7A6DF549" w14:textId="77777777" w:rsidR="00C9648B" w:rsidRPr="00C94789" w:rsidRDefault="00C9648B">
      <w:pPr>
        <w:ind w:left="567" w:right="900"/>
        <w:jc w:val="right"/>
        <w:rPr>
          <w:rFonts w:ascii="Palatino Linotype" w:eastAsia="Palatino Linotype" w:hAnsi="Palatino Linotype" w:cs="Palatino Linotype"/>
          <w:b/>
          <w:bCs/>
          <w:i/>
          <w:iCs/>
          <w:sz w:val="22"/>
          <w:szCs w:val="22"/>
        </w:rPr>
      </w:pPr>
    </w:p>
    <w:p w14:paraId="6767DBC4" w14:textId="77777777" w:rsidR="00C9648B" w:rsidRPr="00C94789" w:rsidRDefault="0060528D">
      <w:pPr>
        <w:spacing w:line="360" w:lineRule="auto"/>
        <w:jc w:val="both"/>
        <w:rPr>
          <w:rFonts w:ascii="Palatino Linotype" w:eastAsia="Palatino Linotype" w:hAnsi="Palatino Linotype" w:cs="Palatino Linotype"/>
          <w:b/>
          <w:bCs/>
          <w:sz w:val="22"/>
          <w:szCs w:val="22"/>
        </w:rPr>
      </w:pPr>
      <w:r w:rsidRPr="00C94789">
        <w:rPr>
          <w:rFonts w:ascii="Palatino Linotype" w:eastAsia="Palatino Linotype" w:hAnsi="Palatino Linotype" w:cs="Palatino Linotype"/>
          <w:b/>
          <w:bCs/>
          <w:sz w:val="22"/>
          <w:szCs w:val="22"/>
        </w:rPr>
        <w:t xml:space="preserve">Tercero. Materia de la revisión. </w:t>
      </w:r>
      <w:r w:rsidRPr="00C94789">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C94789">
        <w:rPr>
          <w:rFonts w:ascii="Palatino Linotype" w:eastAsia="Palatino Linotype" w:hAnsi="Palatino Linotype" w:cs="Palatino Linotype"/>
          <w:b/>
          <w:bCs/>
          <w:sz w:val="22"/>
          <w:szCs w:val="22"/>
        </w:rPr>
        <w:t>verificar si la información otorgada por el Sujeto Obligado es adecuada y suficiente para satisfacer el derecho de acceso a la información pública de la parte Recurrente,</w:t>
      </w:r>
      <w:r w:rsidRPr="00C94789">
        <w:rPr>
          <w:rFonts w:ascii="Palatino Linotype" w:eastAsia="Palatino Linotype" w:hAnsi="Palatino Linotype" w:cs="Palatino Linotype"/>
          <w:sz w:val="22"/>
          <w:szCs w:val="22"/>
        </w:rPr>
        <w:t xml:space="preserve"> o en su defecto, en caso de ser procedente, ordenar la entrega de la información oportuna.</w:t>
      </w:r>
    </w:p>
    <w:p w14:paraId="1666DDED"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035C79E9"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b/>
          <w:bCs/>
          <w:sz w:val="22"/>
          <w:szCs w:val="22"/>
        </w:rPr>
        <w:t xml:space="preserve">Cuarto. Estudio del asunto. </w:t>
      </w:r>
      <w:r w:rsidRPr="00C94789">
        <w:rPr>
          <w:rFonts w:ascii="Palatino Linotype" w:eastAsia="Palatino Linotype" w:hAnsi="Palatino Linotype" w:cs="Palatino Linotype"/>
          <w:sz w:val="22"/>
          <w:szCs w:val="22"/>
        </w:rPr>
        <w:t xml:space="preserve">Antes de entrar al análisis de los pronunciamientos del </w:t>
      </w:r>
      <w:r w:rsidRPr="00C94789">
        <w:rPr>
          <w:rFonts w:ascii="Palatino Linotype" w:eastAsia="Palatino Linotype" w:hAnsi="Palatino Linotype" w:cs="Palatino Linotype"/>
          <w:b/>
          <w:bCs/>
          <w:sz w:val="22"/>
          <w:szCs w:val="22"/>
        </w:rPr>
        <w:t>Sujeto Obligado</w:t>
      </w:r>
      <w:r w:rsidRPr="00C94789">
        <w:rPr>
          <w:rFonts w:ascii="Palatino Linotype" w:eastAsia="Palatino Linotype" w:hAnsi="Palatino Linotype" w:cs="Palatino Linotype"/>
          <w:sz w:val="22"/>
          <w:szCs w:val="22"/>
        </w:rPr>
        <w:t xml:space="preserve"> en la respuesta proporcionada, es necesario mencionar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DBD8496"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3A943706" w14:textId="77777777" w:rsidR="00C9648B" w:rsidRPr="00C94789" w:rsidRDefault="0060528D">
      <w:pPr>
        <w:spacing w:line="276" w:lineRule="auto"/>
        <w:ind w:left="567" w:right="616"/>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w:t>
      </w:r>
      <w:r w:rsidRPr="00C94789">
        <w:rPr>
          <w:rFonts w:ascii="Palatino Linotype" w:eastAsia="Palatino Linotype" w:hAnsi="Palatino Linotype" w:cs="Palatino Linotype"/>
          <w:b/>
          <w:bCs/>
          <w:i/>
          <w:iCs/>
          <w:sz w:val="22"/>
          <w:szCs w:val="22"/>
        </w:rPr>
        <w:t>Artículo 4</w:t>
      </w:r>
      <w:r w:rsidRPr="00C94789">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30FB46C" w14:textId="77777777" w:rsidR="00C9648B" w:rsidRPr="00C94789" w:rsidRDefault="00C9648B">
      <w:pPr>
        <w:spacing w:line="276" w:lineRule="auto"/>
        <w:ind w:left="567" w:right="616"/>
        <w:jc w:val="both"/>
        <w:rPr>
          <w:rFonts w:ascii="Palatino Linotype" w:eastAsia="Palatino Linotype" w:hAnsi="Palatino Linotype" w:cs="Palatino Linotype"/>
          <w:i/>
          <w:iCs/>
          <w:sz w:val="22"/>
          <w:szCs w:val="22"/>
        </w:rPr>
      </w:pPr>
    </w:p>
    <w:p w14:paraId="6C898BDE" w14:textId="77777777" w:rsidR="00C9648B" w:rsidRPr="00C94789" w:rsidRDefault="0060528D">
      <w:pPr>
        <w:spacing w:line="276" w:lineRule="auto"/>
        <w:ind w:left="567" w:right="616"/>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C94789">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3C7AE6B" w14:textId="77777777" w:rsidR="00C9648B" w:rsidRPr="00C94789" w:rsidRDefault="00C9648B">
      <w:pPr>
        <w:spacing w:line="276" w:lineRule="auto"/>
        <w:ind w:left="567" w:right="616"/>
        <w:jc w:val="both"/>
        <w:rPr>
          <w:rFonts w:ascii="Palatino Linotype" w:eastAsia="Palatino Linotype" w:hAnsi="Palatino Linotype" w:cs="Palatino Linotype"/>
          <w:i/>
          <w:iCs/>
          <w:sz w:val="22"/>
          <w:szCs w:val="22"/>
        </w:rPr>
      </w:pPr>
    </w:p>
    <w:p w14:paraId="4E7B38EE" w14:textId="77777777" w:rsidR="00C9648B" w:rsidRPr="00C94789" w:rsidRDefault="0060528D">
      <w:pPr>
        <w:spacing w:line="276" w:lineRule="auto"/>
        <w:ind w:left="567" w:right="616"/>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C94789">
        <w:rPr>
          <w:rFonts w:ascii="Palatino Linotype" w:eastAsia="Palatino Linotype" w:hAnsi="Palatino Linotype" w:cs="Palatino Linotype"/>
          <w:i/>
          <w:iCs/>
          <w:sz w:val="22"/>
          <w:szCs w:val="22"/>
        </w:rPr>
        <w:t>.”</w:t>
      </w:r>
    </w:p>
    <w:p w14:paraId="6843D840"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0DCC0EA2"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85A083C"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60FAC627" w14:textId="77777777" w:rsidR="00C9648B" w:rsidRPr="00C94789" w:rsidRDefault="0060528D">
      <w:pPr>
        <w:spacing w:line="276" w:lineRule="auto"/>
        <w:ind w:left="567" w:right="616"/>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“Artículo 12.-</w:t>
      </w:r>
      <w:r w:rsidRPr="00C94789">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0F90B6A3" w14:textId="77777777" w:rsidR="00C9648B" w:rsidRPr="00C94789" w:rsidRDefault="00C9648B">
      <w:pPr>
        <w:spacing w:line="276" w:lineRule="auto"/>
        <w:ind w:left="567" w:right="616"/>
        <w:jc w:val="both"/>
        <w:rPr>
          <w:rFonts w:ascii="Palatino Linotype" w:eastAsia="Palatino Linotype" w:hAnsi="Palatino Linotype" w:cs="Palatino Linotype"/>
          <w:i/>
          <w:iCs/>
          <w:sz w:val="22"/>
          <w:szCs w:val="22"/>
        </w:rPr>
      </w:pPr>
    </w:p>
    <w:p w14:paraId="3DBB5758" w14:textId="77777777" w:rsidR="00C9648B" w:rsidRPr="00C94789" w:rsidRDefault="0060528D">
      <w:pPr>
        <w:spacing w:line="276" w:lineRule="auto"/>
        <w:ind w:left="567" w:right="616"/>
        <w:jc w:val="both"/>
        <w:rPr>
          <w:rFonts w:ascii="Palatino Linotype" w:eastAsia="Palatino Linotype" w:hAnsi="Palatino Linotype" w:cs="Palatino Linotype"/>
          <w:b/>
          <w:bCs/>
          <w:i/>
          <w:iCs/>
          <w:sz w:val="22"/>
          <w:szCs w:val="22"/>
        </w:rPr>
      </w:pPr>
      <w:r w:rsidRPr="00C94789">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C94789">
        <w:rPr>
          <w:rFonts w:ascii="Palatino Linotype" w:eastAsia="Palatino Linotype" w:hAnsi="Palatino Linotype" w:cs="Palatino Linotype"/>
          <w:i/>
          <w:iCs/>
          <w:sz w:val="22"/>
          <w:szCs w:val="22"/>
        </w:rPr>
        <w:t xml:space="preserve">. </w:t>
      </w:r>
      <w:r w:rsidRPr="00C94789">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712936C" w14:textId="77777777" w:rsidR="00C9648B" w:rsidRPr="00C94789" w:rsidRDefault="00C9648B">
      <w:pPr>
        <w:spacing w:line="360" w:lineRule="auto"/>
        <w:ind w:left="567" w:right="616"/>
        <w:jc w:val="both"/>
        <w:rPr>
          <w:rFonts w:ascii="Palatino Linotype" w:eastAsia="Palatino Linotype" w:hAnsi="Palatino Linotype" w:cs="Palatino Linotype"/>
          <w:i/>
          <w:iCs/>
          <w:sz w:val="22"/>
          <w:szCs w:val="22"/>
        </w:rPr>
      </w:pPr>
    </w:p>
    <w:p w14:paraId="7EAE88DF" w14:textId="77777777" w:rsidR="00C9648B" w:rsidRPr="00C94789" w:rsidRDefault="0060528D">
      <w:pPr>
        <w:spacing w:line="360" w:lineRule="auto"/>
        <w:ind w:right="-93"/>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08C5CFC5" w14:textId="77777777" w:rsidR="00C9648B" w:rsidRPr="00C94789" w:rsidRDefault="00C9648B">
      <w:pPr>
        <w:spacing w:line="360" w:lineRule="auto"/>
        <w:ind w:right="-93"/>
        <w:jc w:val="both"/>
        <w:rPr>
          <w:rFonts w:ascii="Palatino Linotype" w:eastAsia="Palatino Linotype" w:hAnsi="Palatino Linotype" w:cs="Palatino Linotype"/>
          <w:sz w:val="22"/>
          <w:szCs w:val="22"/>
        </w:rPr>
      </w:pPr>
    </w:p>
    <w:p w14:paraId="27C07CAE" w14:textId="77777777" w:rsidR="00C9648B" w:rsidRPr="00C94789" w:rsidRDefault="0060528D">
      <w:pPr>
        <w:spacing w:line="360" w:lineRule="auto"/>
        <w:jc w:val="both"/>
        <w:rPr>
          <w:rFonts w:ascii="Palatino Linotype" w:eastAsia="Palatino Linotype" w:hAnsi="Palatino Linotype" w:cs="Palatino Linotype"/>
          <w:b/>
          <w:bCs/>
          <w:sz w:val="22"/>
          <w:szCs w:val="22"/>
        </w:rPr>
      </w:pPr>
      <w:r w:rsidRPr="00C94789">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C94789">
        <w:rPr>
          <w:rFonts w:ascii="Palatino Linotype" w:eastAsia="Palatino Linotype" w:hAnsi="Palatino Linotype" w:cs="Palatino Linotype"/>
          <w:b/>
          <w:bCs/>
          <w:sz w:val="22"/>
          <w:szCs w:val="22"/>
        </w:rPr>
        <w:t xml:space="preserve"> </w:t>
      </w:r>
    </w:p>
    <w:p w14:paraId="1E7BD6F6" w14:textId="77777777" w:rsidR="00C9648B" w:rsidRPr="00C94789" w:rsidRDefault="0060528D">
      <w:pPr>
        <w:spacing w:line="276" w:lineRule="auto"/>
        <w:ind w:left="567" w:right="616"/>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w:t>
      </w:r>
      <w:r w:rsidRPr="00C94789">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C94789">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FF2543E" w14:textId="77777777" w:rsidR="00C9648B" w:rsidRPr="00C94789" w:rsidRDefault="00C9648B">
      <w:pPr>
        <w:spacing w:line="360" w:lineRule="auto"/>
        <w:ind w:right="-93"/>
        <w:jc w:val="both"/>
        <w:rPr>
          <w:rFonts w:ascii="Palatino Linotype" w:eastAsia="Palatino Linotype" w:hAnsi="Palatino Linotype" w:cs="Palatino Linotype"/>
          <w:sz w:val="22"/>
          <w:szCs w:val="22"/>
        </w:rPr>
      </w:pPr>
    </w:p>
    <w:p w14:paraId="5E967CD4"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E3FB498"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7D00146A" w14:textId="77777777" w:rsidR="00C9648B" w:rsidRPr="00C94789" w:rsidRDefault="0060528D">
      <w:pPr>
        <w:spacing w:line="360" w:lineRule="auto"/>
        <w:ind w:right="49"/>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71C279D" w14:textId="77777777" w:rsidR="00C9648B" w:rsidRPr="00C94789" w:rsidRDefault="00C9648B">
      <w:pPr>
        <w:spacing w:line="360" w:lineRule="auto"/>
        <w:ind w:right="49"/>
        <w:jc w:val="both"/>
        <w:rPr>
          <w:rFonts w:ascii="Palatino Linotype" w:eastAsia="Palatino Linotype" w:hAnsi="Palatino Linotype" w:cs="Palatino Linotype"/>
          <w:sz w:val="22"/>
          <w:szCs w:val="22"/>
        </w:rPr>
      </w:pPr>
    </w:p>
    <w:p w14:paraId="5E28644F"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E9D2655" w14:textId="77777777" w:rsidR="00C9648B" w:rsidRPr="00C94789" w:rsidRDefault="00C9648B">
      <w:pPr>
        <w:spacing w:line="360" w:lineRule="auto"/>
        <w:ind w:left="851" w:right="899"/>
        <w:jc w:val="both"/>
        <w:rPr>
          <w:rFonts w:ascii="Palatino Linotype" w:eastAsia="Palatino Linotype" w:hAnsi="Palatino Linotype" w:cs="Palatino Linotype"/>
          <w:i/>
          <w:iCs/>
          <w:sz w:val="22"/>
          <w:szCs w:val="22"/>
        </w:rPr>
      </w:pPr>
    </w:p>
    <w:p w14:paraId="7DD4597A" w14:textId="77777777" w:rsidR="00C9648B" w:rsidRPr="00C94789" w:rsidRDefault="0060528D">
      <w:pPr>
        <w:spacing w:line="276" w:lineRule="auto"/>
        <w:ind w:left="567" w:right="616"/>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w:t>
      </w:r>
      <w:r w:rsidRPr="00C94789">
        <w:rPr>
          <w:rFonts w:ascii="Palatino Linotype" w:eastAsia="Palatino Linotype" w:hAnsi="Palatino Linotype" w:cs="Palatino Linotype"/>
          <w:b/>
          <w:bCs/>
          <w:i/>
          <w:iCs/>
          <w:sz w:val="22"/>
          <w:szCs w:val="22"/>
        </w:rPr>
        <w:t xml:space="preserve">Artículo 3. </w:t>
      </w:r>
      <w:r w:rsidRPr="00C94789">
        <w:rPr>
          <w:rFonts w:ascii="Palatino Linotype" w:eastAsia="Palatino Linotype" w:hAnsi="Palatino Linotype" w:cs="Palatino Linotype"/>
          <w:i/>
          <w:iCs/>
          <w:sz w:val="22"/>
          <w:szCs w:val="22"/>
        </w:rPr>
        <w:t>Para los efectos de la presente Ley se entenderá por:</w:t>
      </w:r>
    </w:p>
    <w:p w14:paraId="56798BEA" w14:textId="77777777" w:rsidR="00C9648B" w:rsidRPr="00C94789" w:rsidRDefault="0060528D">
      <w:pPr>
        <w:spacing w:line="276" w:lineRule="auto"/>
        <w:ind w:left="567" w:right="616"/>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w:t>
      </w:r>
    </w:p>
    <w:p w14:paraId="0FF96DBF" w14:textId="77777777" w:rsidR="00C9648B" w:rsidRPr="00C94789" w:rsidRDefault="0060528D">
      <w:pPr>
        <w:spacing w:line="276" w:lineRule="auto"/>
        <w:ind w:left="567" w:right="616"/>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XI. Documento:</w:t>
      </w:r>
      <w:r w:rsidRPr="00C94789">
        <w:rPr>
          <w:rFonts w:ascii="Palatino Linotype" w:eastAsia="Palatino Linotype" w:hAnsi="Palatino Linotype" w:cs="Palatino Linotype"/>
          <w:i/>
          <w:iCs/>
          <w:sz w:val="22"/>
          <w:szCs w:val="22"/>
        </w:rPr>
        <w:t xml:space="preserve"> Los expedientes, reportes, estudios, actas</w:t>
      </w:r>
      <w:r w:rsidRPr="00C94789">
        <w:rPr>
          <w:rFonts w:ascii="Palatino Linotype" w:eastAsia="Palatino Linotype" w:hAnsi="Palatino Linotype" w:cs="Palatino Linotype"/>
          <w:b/>
          <w:bCs/>
          <w:i/>
          <w:iCs/>
          <w:sz w:val="22"/>
          <w:szCs w:val="22"/>
        </w:rPr>
        <w:t>,</w:t>
      </w:r>
      <w:r w:rsidRPr="00C94789">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EF3F4C7" w14:textId="77777777" w:rsidR="00C9648B" w:rsidRPr="00C94789" w:rsidRDefault="00C9648B">
      <w:pPr>
        <w:spacing w:line="360" w:lineRule="auto"/>
        <w:ind w:left="851" w:right="899"/>
        <w:jc w:val="both"/>
        <w:rPr>
          <w:rFonts w:ascii="Palatino Linotype" w:eastAsia="Palatino Linotype" w:hAnsi="Palatino Linotype" w:cs="Palatino Linotype"/>
          <w:sz w:val="22"/>
          <w:szCs w:val="22"/>
        </w:rPr>
      </w:pPr>
    </w:p>
    <w:p w14:paraId="20025F92"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6191F76"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5CD8A6EA" w14:textId="77777777" w:rsidR="00C9648B" w:rsidRPr="00C94789" w:rsidRDefault="0060528D">
      <w:pPr>
        <w:spacing w:line="276" w:lineRule="auto"/>
        <w:ind w:left="567" w:right="616"/>
        <w:jc w:val="both"/>
        <w:rPr>
          <w:rFonts w:ascii="Palatino Linotype" w:eastAsia="Palatino Linotype" w:hAnsi="Palatino Linotype" w:cs="Palatino Linotype"/>
          <w:b/>
          <w:bCs/>
          <w:i/>
          <w:iCs/>
          <w:sz w:val="22"/>
          <w:szCs w:val="22"/>
        </w:rPr>
      </w:pPr>
      <w:r w:rsidRPr="00C94789">
        <w:rPr>
          <w:rFonts w:ascii="Palatino Linotype" w:eastAsia="Palatino Linotype" w:hAnsi="Palatino Linotype" w:cs="Palatino Linotype"/>
          <w:b/>
          <w:bCs/>
          <w:sz w:val="22"/>
          <w:szCs w:val="22"/>
        </w:rPr>
        <w:t>“</w:t>
      </w:r>
      <w:r w:rsidRPr="00C94789">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C94789">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E884FEC" w14:textId="77777777" w:rsidR="00C9648B" w:rsidRPr="00C94789" w:rsidRDefault="0060528D">
      <w:pPr>
        <w:spacing w:line="276" w:lineRule="auto"/>
        <w:ind w:left="567" w:right="616"/>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4E6F06AC" w14:textId="77777777" w:rsidR="00C9648B" w:rsidRPr="00C94789" w:rsidRDefault="0060528D">
      <w:pPr>
        <w:spacing w:line="276" w:lineRule="auto"/>
        <w:ind w:left="567" w:right="616"/>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145FCABB" w14:textId="77777777" w:rsidR="00C9648B" w:rsidRPr="00C94789" w:rsidRDefault="0060528D">
      <w:pPr>
        <w:spacing w:line="276" w:lineRule="auto"/>
        <w:ind w:left="567" w:right="616"/>
        <w:jc w:val="both"/>
        <w:rPr>
          <w:rFonts w:ascii="Palatino Linotype" w:eastAsia="Palatino Linotype" w:hAnsi="Palatino Linotype" w:cs="Palatino Linotype"/>
          <w:b/>
          <w:bCs/>
          <w:i/>
          <w:iCs/>
          <w:sz w:val="22"/>
          <w:szCs w:val="22"/>
        </w:rPr>
      </w:pPr>
      <w:r w:rsidRPr="00C94789">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39F11E08" w14:textId="77777777" w:rsidR="00C9648B" w:rsidRPr="00C94789" w:rsidRDefault="0060528D">
      <w:pPr>
        <w:spacing w:line="276" w:lineRule="auto"/>
        <w:ind w:left="567" w:right="616"/>
        <w:jc w:val="both"/>
        <w:rPr>
          <w:rFonts w:ascii="Palatino Linotype" w:eastAsia="Palatino Linotype" w:hAnsi="Palatino Linotype" w:cs="Palatino Linotype"/>
          <w:b/>
          <w:bCs/>
          <w:i/>
          <w:iCs/>
          <w:sz w:val="22"/>
          <w:szCs w:val="22"/>
        </w:rPr>
      </w:pPr>
      <w:r w:rsidRPr="00C94789">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7219F84A" w14:textId="77777777" w:rsidR="00C9648B" w:rsidRPr="00C94789" w:rsidRDefault="00C9648B">
      <w:pPr>
        <w:spacing w:line="276" w:lineRule="auto"/>
        <w:ind w:left="567" w:right="616"/>
        <w:jc w:val="both"/>
        <w:rPr>
          <w:rFonts w:ascii="Palatino Linotype" w:eastAsia="Palatino Linotype" w:hAnsi="Palatino Linotype" w:cs="Palatino Linotype"/>
          <w:b/>
          <w:bCs/>
          <w:i/>
          <w:iCs/>
          <w:sz w:val="22"/>
          <w:szCs w:val="22"/>
        </w:rPr>
      </w:pPr>
    </w:p>
    <w:p w14:paraId="6957117C"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De ahí que el </w:t>
      </w:r>
      <w:r w:rsidRPr="00C94789">
        <w:rPr>
          <w:rFonts w:ascii="Palatino Linotype" w:eastAsia="Palatino Linotype" w:hAnsi="Palatino Linotype" w:cs="Palatino Linotype"/>
          <w:b/>
          <w:bCs/>
          <w:sz w:val="22"/>
          <w:szCs w:val="22"/>
        </w:rPr>
        <w:t>Sujeto Obligado</w:t>
      </w:r>
      <w:r w:rsidRPr="00C94789">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C94789">
        <w:rPr>
          <w:rFonts w:ascii="Palatino Linotype" w:eastAsia="Palatino Linotype" w:hAnsi="Palatino Linotype" w:cs="Palatino Linotype"/>
          <w:sz w:val="22"/>
          <w:szCs w:val="22"/>
          <w:vertAlign w:val="superscript"/>
        </w:rPr>
        <w:footnoteReference w:id="1"/>
      </w:r>
      <w:r w:rsidRPr="00C94789">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C94789">
        <w:rPr>
          <w:rFonts w:ascii="Palatino Linotype" w:eastAsia="Palatino Linotype" w:hAnsi="Palatino Linotype" w:cs="Palatino Linotype"/>
          <w:sz w:val="22"/>
          <w:szCs w:val="22"/>
          <w:vertAlign w:val="superscript"/>
        </w:rPr>
        <w:footnoteReference w:id="2"/>
      </w:r>
      <w:r w:rsidRPr="00C94789">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4C46C3BF" w14:textId="77777777" w:rsidR="00C9648B" w:rsidRPr="00C94789" w:rsidRDefault="00C9648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1D06056" w14:textId="77777777" w:rsidR="00C9648B" w:rsidRPr="00C94789" w:rsidRDefault="0060528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9" w:name="_heading=h.1y810tw" w:colFirst="0" w:colLast="0"/>
      <w:bookmarkEnd w:id="9"/>
      <w:r w:rsidRPr="00C94789">
        <w:rPr>
          <w:rFonts w:ascii="Palatino Linotype" w:eastAsia="Palatino Linotype" w:hAnsi="Palatino Linotype" w:cs="Palatino Linotype"/>
          <w:sz w:val="22"/>
          <w:szCs w:val="22"/>
        </w:rPr>
        <w:t xml:space="preserve">Para ello, conviene iniciar el presente estudio señalando que la persona solicitante requirió del </w:t>
      </w:r>
      <w:r w:rsidRPr="00C94789">
        <w:rPr>
          <w:rFonts w:ascii="Palatino Linotype" w:eastAsia="Palatino Linotype" w:hAnsi="Palatino Linotype" w:cs="Palatino Linotype"/>
          <w:b/>
          <w:bCs/>
          <w:sz w:val="22"/>
          <w:szCs w:val="22"/>
        </w:rPr>
        <w:t xml:space="preserve">Sujeto Obligado, </w:t>
      </w:r>
      <w:r w:rsidRPr="00C94789">
        <w:rPr>
          <w:rFonts w:ascii="Palatino Linotype" w:eastAsia="Palatino Linotype" w:hAnsi="Palatino Linotype" w:cs="Palatino Linotype"/>
          <w:sz w:val="22"/>
          <w:szCs w:val="22"/>
        </w:rPr>
        <w:t>respecto de los siguientes servidores públicos: Directora de Administración, Directora de Obras Públicas, Titular del área equivalente a recursos humanos o desarrollo del personal, Tesorera Municipal, Director de Desarrollo Económico Titular de la oficialía del Registro Civil No.1, Titular de Comunicación Social, Titular de Adquisiciones, Titular de Panteones Titular del Departamento de Egresos, Titular del Departamento de Ingresos y Coordinador de Desarrollo Agropecuario, la información que se precisa:</w:t>
      </w:r>
    </w:p>
    <w:p w14:paraId="420C96F0" w14:textId="77777777" w:rsidR="00C9648B" w:rsidRPr="00C94789" w:rsidRDefault="00C9648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8074AE7" w14:textId="77777777" w:rsidR="00C9648B" w:rsidRPr="00C94789" w:rsidRDefault="0060528D">
      <w:pPr>
        <w:numPr>
          <w:ilvl w:val="0"/>
          <w:numId w:val="1"/>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En formato excel, la relación del registro de checador entrada y salida correspondiente a la primera quincena del mes de enero de dos mil veintiséis.</w:t>
      </w:r>
    </w:p>
    <w:p w14:paraId="4AD17854" w14:textId="77777777" w:rsidR="00C9648B" w:rsidRPr="00C94789" w:rsidRDefault="00C9648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1020475" w14:textId="77777777" w:rsidR="00C9648B" w:rsidRPr="00C94789" w:rsidRDefault="0060528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En respuesta, el </w:t>
      </w:r>
      <w:r w:rsidRPr="00C94789">
        <w:rPr>
          <w:rFonts w:ascii="Palatino Linotype" w:eastAsia="Palatino Linotype" w:hAnsi="Palatino Linotype" w:cs="Palatino Linotype"/>
          <w:b/>
          <w:bCs/>
          <w:sz w:val="22"/>
          <w:szCs w:val="22"/>
        </w:rPr>
        <w:t xml:space="preserve">Sujeto Obligado </w:t>
      </w:r>
      <w:r w:rsidRPr="00C94789">
        <w:rPr>
          <w:rFonts w:ascii="Palatino Linotype" w:eastAsia="Palatino Linotype" w:hAnsi="Palatino Linotype" w:cs="Palatino Linotype"/>
          <w:sz w:val="22"/>
          <w:szCs w:val="22"/>
        </w:rPr>
        <w:t xml:space="preserve">por conducto del </w:t>
      </w:r>
      <w:r w:rsidRPr="00C94789">
        <w:rPr>
          <w:rFonts w:ascii="Palatino Linotype" w:eastAsia="Palatino Linotype" w:hAnsi="Palatino Linotype" w:cs="Palatino Linotype"/>
          <w:b/>
          <w:bCs/>
          <w:sz w:val="22"/>
          <w:szCs w:val="22"/>
        </w:rPr>
        <w:t>Coordinador de Desarrollo de Personal del Ayuntamiento de Chicoloapan</w:t>
      </w:r>
      <w:r w:rsidRPr="00C94789">
        <w:rPr>
          <w:rFonts w:ascii="Palatino Linotype" w:eastAsia="Palatino Linotype" w:hAnsi="Palatino Linotype" w:cs="Palatino Linotype"/>
          <w:sz w:val="22"/>
          <w:szCs w:val="22"/>
        </w:rPr>
        <w:t xml:space="preserve">, </w:t>
      </w:r>
      <w:r w:rsidRPr="00C94789">
        <w:rPr>
          <w:rFonts w:ascii="Palatino Linotype" w:eastAsia="Palatino Linotype" w:hAnsi="Palatino Linotype" w:cs="Palatino Linotype"/>
          <w:b/>
          <w:bCs/>
          <w:sz w:val="22"/>
          <w:szCs w:val="22"/>
        </w:rPr>
        <w:t>remitió informe de registros del checador de entrada y salida correspondiente a la primer quincena de Enero de 2026</w:t>
      </w:r>
      <w:r w:rsidRPr="00C94789">
        <w:rPr>
          <w:rFonts w:ascii="Palatino Linotype" w:eastAsia="Palatino Linotype" w:hAnsi="Palatino Linotype" w:cs="Palatino Linotype"/>
          <w:sz w:val="22"/>
          <w:szCs w:val="22"/>
        </w:rPr>
        <w:t xml:space="preserve">; en la cual refiere que se incluye al siguiente personal: Directora de Administración, Directora de Obras Públicas, Coordinador de Desarrollo de Personal, Tesorera Municipal, Director de Desarrollo Económico, Oficial del Registro Civil No.1, Titular de Comunicación Social, Titular de Adquisiciones, Coordinador de Panteones, Titular del departamento de Egresos, Titular del Departamento de Ingresos y Coordinador de Desarrollo Agropecuario. </w:t>
      </w:r>
    </w:p>
    <w:p w14:paraId="2571E375" w14:textId="77777777" w:rsidR="00C9648B" w:rsidRPr="00C94789" w:rsidRDefault="00C9648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D2FC903" w14:textId="77777777" w:rsidR="00C9648B" w:rsidRPr="00C94789" w:rsidRDefault="0060528D">
      <w:pPr>
        <w:pBdr>
          <w:top w:val="nil"/>
          <w:left w:val="nil"/>
          <w:bottom w:val="nil"/>
          <w:right w:val="nil"/>
          <w:between w:val="nil"/>
        </w:pBdr>
        <w:tabs>
          <w:tab w:val="left" w:pos="142"/>
          <w:tab w:val="left" w:pos="284"/>
        </w:tabs>
        <w:spacing w:line="360" w:lineRule="auto"/>
        <w:jc w:val="both"/>
        <w:rPr>
          <w:rFonts w:ascii="Palatino Linotype" w:eastAsia="Palatino Linotype" w:hAnsi="Palatino Linotype" w:cs="Palatino Linotype"/>
          <w:b/>
          <w:bCs/>
          <w:sz w:val="22"/>
          <w:szCs w:val="22"/>
        </w:rPr>
      </w:pPr>
      <w:r w:rsidRPr="00C94789">
        <w:rPr>
          <w:rFonts w:ascii="Palatino Linotype" w:eastAsia="Palatino Linotype" w:hAnsi="Palatino Linotype" w:cs="Palatino Linotype"/>
          <w:sz w:val="22"/>
          <w:szCs w:val="22"/>
        </w:rPr>
        <w:t xml:space="preserve">Inconforme con la respuesta, la parte </w:t>
      </w:r>
      <w:r w:rsidRPr="00C94789">
        <w:rPr>
          <w:rFonts w:ascii="Palatino Linotype" w:eastAsia="Palatino Linotype" w:hAnsi="Palatino Linotype" w:cs="Palatino Linotype"/>
          <w:b/>
          <w:bCs/>
          <w:sz w:val="22"/>
          <w:szCs w:val="22"/>
        </w:rPr>
        <w:t xml:space="preserve">Recurrente </w:t>
      </w:r>
      <w:r w:rsidRPr="00C94789">
        <w:rPr>
          <w:rFonts w:ascii="Palatino Linotype" w:eastAsia="Palatino Linotype" w:hAnsi="Palatino Linotype" w:cs="Palatino Linotype"/>
          <w:sz w:val="22"/>
          <w:szCs w:val="22"/>
        </w:rPr>
        <w:t xml:space="preserve">promovió el presente recurso de revisión en el que a manera de motivos de inconformidad </w:t>
      </w:r>
      <w:r w:rsidRPr="00C94789">
        <w:rPr>
          <w:rFonts w:ascii="Palatino Linotype" w:eastAsia="Palatino Linotype" w:hAnsi="Palatino Linotype" w:cs="Palatino Linotype"/>
          <w:b/>
          <w:bCs/>
          <w:sz w:val="22"/>
          <w:szCs w:val="22"/>
        </w:rPr>
        <w:t>se adolece medularmente de la entrega de información incompleta y de la entrega de la información en un formato distinto al solicitado, ya que indica que no se proporcionaron los horarios de los servidores públicos, aunado a que la información se solicitó en formato excel no en oficio.</w:t>
      </w:r>
    </w:p>
    <w:p w14:paraId="4D3F32D5" w14:textId="77777777" w:rsidR="00C9648B" w:rsidRPr="00C94789" w:rsidRDefault="00C9648B">
      <w:pPr>
        <w:spacing w:line="360" w:lineRule="auto"/>
        <w:ind w:right="49"/>
        <w:jc w:val="both"/>
        <w:rPr>
          <w:rFonts w:ascii="Palatino Linotype" w:eastAsia="Palatino Linotype" w:hAnsi="Palatino Linotype" w:cs="Palatino Linotype"/>
          <w:sz w:val="22"/>
          <w:szCs w:val="22"/>
        </w:rPr>
      </w:pPr>
    </w:p>
    <w:p w14:paraId="0C8DFECE"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Admitido el presente recurso de revisión, en términos del artículo 185 fracción II</w:t>
      </w:r>
      <w:r w:rsidRPr="00C94789">
        <w:rPr>
          <w:rFonts w:ascii="Palatino Linotype" w:eastAsia="Palatino Linotype" w:hAnsi="Palatino Linotype" w:cs="Palatino Linotype"/>
          <w:sz w:val="22"/>
          <w:szCs w:val="22"/>
          <w:vertAlign w:val="superscript"/>
        </w:rPr>
        <w:footnoteReference w:id="3"/>
      </w:r>
      <w:r w:rsidRPr="00C94789">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3E74EE1E"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26DFC11A"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Cabe resaltar que, de las constancias que obran en el expediente electrónico en que se actúa, se advierte que las partes fueron omisas en hacer valer manifestaciones.</w:t>
      </w:r>
    </w:p>
    <w:p w14:paraId="70FFD1DE"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2123202B" w14:textId="77777777" w:rsidR="00C9648B" w:rsidRPr="00C94789" w:rsidRDefault="0060528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Acotado lo anterior, en el caso no pasa por desapercibido que </w:t>
      </w:r>
      <w:r w:rsidRPr="00C94789">
        <w:rPr>
          <w:rFonts w:ascii="Palatino Linotype" w:eastAsia="Palatino Linotype" w:hAnsi="Palatino Linotype" w:cs="Palatino Linotype"/>
          <w:b/>
          <w:bCs/>
          <w:sz w:val="22"/>
          <w:szCs w:val="22"/>
        </w:rPr>
        <w:t>los motivos de inconformidad del particular no versan sobre los servidores públicos respecto de los cuales se proporcionó la información</w:t>
      </w:r>
      <w:r w:rsidRPr="00C94789">
        <w:rPr>
          <w:rFonts w:ascii="Palatino Linotype" w:eastAsia="Palatino Linotype" w:hAnsi="Palatino Linotype" w:cs="Palatino Linotype"/>
          <w:sz w:val="22"/>
          <w:szCs w:val="22"/>
        </w:rPr>
        <w:t>, sino de que en la información remitida en respuesta no se proporcionaron los horarios de los servidores públicos, ni fue proporcionada dicha información en el formato excel requerido.</w:t>
      </w:r>
    </w:p>
    <w:p w14:paraId="5B95E876" w14:textId="77777777" w:rsidR="00C9648B" w:rsidRPr="00C94789" w:rsidRDefault="00C9648B">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p>
    <w:p w14:paraId="2103E4B7" w14:textId="77777777" w:rsidR="00C9648B" w:rsidRPr="00C94789" w:rsidRDefault="0060528D">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C94789">
        <w:rPr>
          <w:rFonts w:ascii="Palatino Linotype" w:eastAsia="Palatino Linotype" w:hAnsi="Palatino Linotype" w:cs="Palatino Linotype"/>
          <w:sz w:val="22"/>
          <w:szCs w:val="22"/>
        </w:rPr>
        <w:t>En consecuencia, se considera que el particular no impugna los servidores públicos respecto de los cuales se proporcionó la información.</w:t>
      </w:r>
    </w:p>
    <w:p w14:paraId="2D69FEE6" w14:textId="77777777" w:rsidR="00C9648B" w:rsidRPr="00C94789" w:rsidRDefault="00C9648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6647CCB"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Lo anterior es así, debido a que cuando la parte </w:t>
      </w:r>
      <w:r w:rsidRPr="00C94789">
        <w:rPr>
          <w:rFonts w:ascii="Palatino Linotype" w:eastAsia="Palatino Linotype" w:hAnsi="Palatino Linotype" w:cs="Palatino Linotype"/>
          <w:b/>
          <w:bCs/>
          <w:sz w:val="22"/>
          <w:szCs w:val="22"/>
        </w:rPr>
        <w:t xml:space="preserve">Recurrente </w:t>
      </w:r>
      <w:r w:rsidRPr="00C94789">
        <w:rPr>
          <w:rFonts w:ascii="Palatino Linotype" w:eastAsia="Palatino Linotype" w:hAnsi="Palatino Linotype" w:cs="Palatino Linotype"/>
          <w:sz w:val="22"/>
          <w:szCs w:val="22"/>
        </w:rPr>
        <w:t xml:space="preserve">impugna la respuesta del </w:t>
      </w:r>
      <w:r w:rsidRPr="00C94789">
        <w:rPr>
          <w:rFonts w:ascii="Palatino Linotype" w:eastAsia="Palatino Linotype" w:hAnsi="Palatino Linotype" w:cs="Palatino Linotype"/>
          <w:b/>
          <w:bCs/>
          <w:sz w:val="22"/>
          <w:szCs w:val="22"/>
        </w:rPr>
        <w:t>Sujeto Obligado</w:t>
      </w:r>
      <w:r w:rsidRPr="00C94789">
        <w:rPr>
          <w:rFonts w:ascii="Palatino Linotype" w:eastAsia="Palatino Linotype" w:hAnsi="Palatino Linotype" w:cs="Palatino Linotype"/>
          <w:sz w:val="22"/>
          <w:szCs w:val="22"/>
        </w:rPr>
        <w:t xml:space="preserve">, y este no expresa Razón o Motivo de Inconformidad en contra de todos los rubros solicitados, los rubros no impugnados deben declararse atendidos, pues se entiende que la parte </w:t>
      </w:r>
      <w:r w:rsidRPr="00C94789">
        <w:rPr>
          <w:rFonts w:ascii="Palatino Linotype" w:eastAsia="Palatino Linotype" w:hAnsi="Palatino Linotype" w:cs="Palatino Linotype"/>
          <w:b/>
          <w:bCs/>
          <w:sz w:val="22"/>
          <w:szCs w:val="22"/>
        </w:rPr>
        <w:t>Recurrente</w:t>
      </w:r>
      <w:r w:rsidRPr="00C94789">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8145D46"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704B24FD" w14:textId="77777777" w:rsidR="00C9648B" w:rsidRPr="00C94789" w:rsidRDefault="0060528D">
      <w:pPr>
        <w:spacing w:line="276" w:lineRule="auto"/>
        <w:ind w:left="567" w:right="616"/>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 xml:space="preserve">“REVISIÓN EN AMPARO. LOS RESOLUTIVOS NO COMBATIDOS DEBEN DECLARARSE FIRMES. </w:t>
      </w:r>
      <w:r w:rsidRPr="00C94789">
        <w:rPr>
          <w:rFonts w:ascii="Palatino Linotype" w:eastAsia="Palatino Linotype" w:hAnsi="Palatino Linotype" w:cs="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DD6E098" w14:textId="77777777" w:rsidR="00C9648B" w:rsidRPr="00C94789" w:rsidRDefault="00C9648B">
      <w:pPr>
        <w:spacing w:line="276" w:lineRule="auto"/>
        <w:ind w:left="567" w:right="616"/>
        <w:jc w:val="both"/>
        <w:rPr>
          <w:rFonts w:ascii="Palatino Linotype" w:eastAsia="Palatino Linotype" w:hAnsi="Palatino Linotype" w:cs="Palatino Linotype"/>
          <w:i/>
          <w:iCs/>
          <w:sz w:val="22"/>
          <w:szCs w:val="22"/>
        </w:rPr>
      </w:pPr>
    </w:p>
    <w:p w14:paraId="0772E33D"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Consecuentemente, se insiste, ante la falta de impugnación de los servidores públicos respecto de los cuales se proporcionó la información, esta parte de la solicitud queda consentida.</w:t>
      </w:r>
    </w:p>
    <w:p w14:paraId="5D846197"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3AA0D42B"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Lo anterior se sustenta con lo plasmado en el criterio orientador 01/20 emitido por el entonces Instituto Nacional de Transparencia, Acceso a la Información, y Protección de Datos Personales, INAI, que lleva por rubro y texto los siguientes: </w:t>
      </w:r>
    </w:p>
    <w:p w14:paraId="46F84831"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3DF66016" w14:textId="77777777" w:rsidR="00C9648B" w:rsidRPr="00C94789" w:rsidRDefault="0060528D">
      <w:pPr>
        <w:pBdr>
          <w:top w:val="nil"/>
          <w:left w:val="nil"/>
          <w:bottom w:val="nil"/>
          <w:right w:val="nil"/>
          <w:between w:val="nil"/>
        </w:pBdr>
        <w:spacing w:line="276" w:lineRule="auto"/>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w:t>
      </w:r>
      <w:r w:rsidRPr="00C94789">
        <w:rPr>
          <w:rFonts w:ascii="Palatino Linotype" w:eastAsia="Palatino Linotype" w:hAnsi="Palatino Linotype" w:cs="Palatino Linotype"/>
          <w:b/>
          <w:bCs/>
          <w:i/>
          <w:iCs/>
          <w:sz w:val="22"/>
          <w:szCs w:val="22"/>
        </w:rPr>
        <w:t xml:space="preserve">Actos consentidos tácitamente. Improcedencia de su análisis. </w:t>
      </w:r>
      <w:r w:rsidRPr="00C94789">
        <w:rPr>
          <w:rFonts w:ascii="Palatino Linotype" w:eastAsia="Palatino Linotype" w:hAnsi="Palatino Linotype" w:cs="Palatino Linotype"/>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2FD0EF21" w14:textId="77777777" w:rsidR="00C9648B" w:rsidRPr="00C94789" w:rsidRDefault="00C9648B">
      <w:pPr>
        <w:pBdr>
          <w:top w:val="nil"/>
          <w:left w:val="nil"/>
          <w:bottom w:val="nil"/>
          <w:right w:val="nil"/>
          <w:between w:val="nil"/>
        </w:pBdr>
        <w:spacing w:line="360" w:lineRule="auto"/>
        <w:ind w:left="567" w:right="902"/>
        <w:jc w:val="both"/>
        <w:rPr>
          <w:rFonts w:ascii="Palatino Linotype" w:eastAsia="Palatino Linotype" w:hAnsi="Palatino Linotype" w:cs="Palatino Linotype"/>
          <w:i/>
          <w:iCs/>
          <w:sz w:val="22"/>
          <w:szCs w:val="22"/>
        </w:rPr>
      </w:pPr>
    </w:p>
    <w:p w14:paraId="7D72953C"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2FD40D3E" w14:textId="77777777" w:rsidR="00C9648B" w:rsidRPr="00C94789" w:rsidRDefault="00C9648B">
      <w:pPr>
        <w:spacing w:line="360" w:lineRule="auto"/>
        <w:ind w:left="851" w:right="900"/>
        <w:jc w:val="both"/>
        <w:rPr>
          <w:rFonts w:ascii="Palatino Linotype" w:eastAsia="Palatino Linotype" w:hAnsi="Palatino Linotype" w:cs="Palatino Linotype"/>
          <w:b/>
          <w:bCs/>
          <w:i/>
          <w:iCs/>
          <w:smallCaps/>
          <w:sz w:val="22"/>
          <w:szCs w:val="22"/>
        </w:rPr>
      </w:pPr>
    </w:p>
    <w:p w14:paraId="750CD378" w14:textId="77777777" w:rsidR="00C9648B" w:rsidRPr="00C94789" w:rsidRDefault="0060528D">
      <w:pPr>
        <w:tabs>
          <w:tab w:val="left" w:pos="851"/>
          <w:tab w:val="left" w:pos="1276"/>
        </w:tabs>
        <w:spacing w:line="276" w:lineRule="auto"/>
        <w:ind w:left="567" w:right="709"/>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b/>
          <w:bCs/>
          <w:i/>
          <w:iCs/>
          <w:smallCaps/>
          <w:sz w:val="22"/>
          <w:szCs w:val="22"/>
        </w:rPr>
        <w:t xml:space="preserve">“ACTOS CONSENTIDOS. SON LOS QUE NO SE IMPUGNAN MEDIANTE EL RECURSO IDÓNEO. </w:t>
      </w:r>
      <w:r w:rsidRPr="00C94789">
        <w:rPr>
          <w:rFonts w:ascii="Palatino Linotype" w:eastAsia="Palatino Linotype" w:hAnsi="Palatino Linotype" w:cs="Palatino Linotype"/>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8199B88" w14:textId="77777777" w:rsidR="00C9648B" w:rsidRPr="00C94789" w:rsidRDefault="00C9648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9706A79"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Por tanto, el presente estudio versara únicamente respecto a </w:t>
      </w:r>
      <w:r w:rsidRPr="00C94789">
        <w:rPr>
          <w:rFonts w:ascii="Palatino Linotype" w:eastAsia="Palatino Linotype" w:hAnsi="Palatino Linotype" w:cs="Palatino Linotype"/>
          <w:b/>
          <w:bCs/>
          <w:sz w:val="22"/>
          <w:szCs w:val="22"/>
        </w:rPr>
        <w:t>la falta de entrega de los horarios de los servidores públicos respecto de los cuales se pronunció el ente obligado en respuesta, así como el formato en que fue entregada la información, ya que se requirió en formato excel y no mediante oficio como lo señala el particular.</w:t>
      </w:r>
    </w:p>
    <w:p w14:paraId="48B19B64"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60A339B2"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Precisado lo anterior, en el caso es de recordar que quien se pronunció sobre lo requerido fue el </w:t>
      </w:r>
      <w:r w:rsidRPr="00C94789">
        <w:rPr>
          <w:rFonts w:ascii="Palatino Linotype" w:eastAsia="Palatino Linotype" w:hAnsi="Palatino Linotype" w:cs="Palatino Linotype"/>
          <w:b/>
          <w:bCs/>
          <w:sz w:val="22"/>
          <w:szCs w:val="22"/>
        </w:rPr>
        <w:t>Coordinador de Desarrollo de Personal</w:t>
      </w:r>
      <w:r w:rsidRPr="00C94789">
        <w:rPr>
          <w:rFonts w:ascii="Palatino Linotype" w:eastAsia="Palatino Linotype" w:hAnsi="Palatino Linotype" w:cs="Palatino Linotype"/>
          <w:sz w:val="22"/>
          <w:szCs w:val="22"/>
        </w:rPr>
        <w:t>, área responsable de integrar y resguardar los expedientes de personal de los servidores públicos, máxime que en el caso se aprecia que asumió la existencia de la información peticionada, tan es así que en respuesta proporcionó un informe del checador de entrada y salida correspondiente a la primer quincena de enero de 2026, con información de los servidores públicos requeridos.</w:t>
      </w:r>
    </w:p>
    <w:p w14:paraId="70E950DB"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41CFD0AD"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De ahí que, en el caso </w:t>
      </w:r>
      <w:r w:rsidRPr="00C94789">
        <w:rPr>
          <w:rFonts w:ascii="Palatino Linotype" w:eastAsia="Palatino Linotype" w:hAnsi="Palatino Linotype" w:cs="Palatino Linotype"/>
          <w:b/>
          <w:bCs/>
          <w:sz w:val="22"/>
          <w:szCs w:val="22"/>
        </w:rPr>
        <w:t xml:space="preserve">SI </w:t>
      </w:r>
      <w:r w:rsidRPr="00C94789">
        <w:rPr>
          <w:rFonts w:ascii="Palatino Linotype" w:eastAsia="Palatino Linotype" w:hAnsi="Palatino Linotype" w:cs="Palatino Linotype"/>
          <w:sz w:val="22"/>
          <w:szCs w:val="22"/>
        </w:rPr>
        <w:t>se cumplió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5C856512" w14:textId="77777777" w:rsidR="00C9648B" w:rsidRPr="00C94789" w:rsidRDefault="00C9648B">
      <w:pPr>
        <w:rPr>
          <w:sz w:val="22"/>
          <w:szCs w:val="22"/>
        </w:rPr>
      </w:pPr>
    </w:p>
    <w:p w14:paraId="048356C8" w14:textId="77777777" w:rsidR="00C9648B" w:rsidRPr="00C94789" w:rsidRDefault="0060528D">
      <w:pPr>
        <w:pBdr>
          <w:top w:val="nil"/>
          <w:left w:val="nil"/>
          <w:bottom w:val="nil"/>
          <w:right w:val="nil"/>
          <w:between w:val="nil"/>
        </w:pBdr>
        <w:ind w:left="864" w:right="864"/>
        <w:jc w:val="both"/>
        <w:rPr>
          <w:sz w:val="22"/>
          <w:szCs w:val="22"/>
        </w:rPr>
      </w:pPr>
      <w:r w:rsidRPr="00C94789">
        <w:rPr>
          <w:rFonts w:ascii="Palatino Linotype" w:eastAsia="Palatino Linotype" w:hAnsi="Palatino Linotype" w:cs="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3DA4F812" w14:textId="77777777" w:rsidR="00C9648B" w:rsidRPr="00C94789" w:rsidRDefault="00C9648B">
      <w:pPr>
        <w:rPr>
          <w:sz w:val="22"/>
          <w:szCs w:val="22"/>
        </w:rPr>
      </w:pPr>
    </w:p>
    <w:p w14:paraId="7CCD93F7" w14:textId="77777777" w:rsidR="00C9648B" w:rsidRPr="00C94789" w:rsidRDefault="0060528D">
      <w:pPr>
        <w:pBdr>
          <w:top w:val="nil"/>
          <w:left w:val="nil"/>
          <w:bottom w:val="nil"/>
          <w:right w:val="nil"/>
          <w:between w:val="nil"/>
        </w:pBdr>
        <w:shd w:val="clear" w:color="auto" w:fill="FFFFFF"/>
        <w:spacing w:line="360" w:lineRule="auto"/>
        <w:jc w:val="both"/>
        <w:rPr>
          <w:sz w:val="22"/>
          <w:szCs w:val="22"/>
        </w:rPr>
      </w:pPr>
      <w:r w:rsidRPr="00C94789">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75B26B3B" w14:textId="77777777" w:rsidR="00C9648B" w:rsidRPr="00C94789" w:rsidRDefault="00C9648B">
      <w:pPr>
        <w:rPr>
          <w:sz w:val="22"/>
          <w:szCs w:val="22"/>
        </w:rPr>
      </w:pPr>
    </w:p>
    <w:p w14:paraId="58C8A40D" w14:textId="77777777" w:rsidR="00C9648B" w:rsidRPr="00C94789" w:rsidRDefault="0060528D">
      <w:pPr>
        <w:pBdr>
          <w:top w:val="nil"/>
          <w:left w:val="nil"/>
          <w:bottom w:val="nil"/>
          <w:right w:val="nil"/>
          <w:between w:val="nil"/>
        </w:pBdr>
        <w:ind w:left="864" w:right="864"/>
        <w:jc w:val="both"/>
        <w:rPr>
          <w:sz w:val="22"/>
          <w:szCs w:val="22"/>
        </w:rPr>
      </w:pPr>
      <w:r w:rsidRPr="00C94789">
        <w:rPr>
          <w:rFonts w:ascii="Palatino Linotype" w:eastAsia="Palatino Linotype" w:hAnsi="Palatino Linotype" w:cs="Palatino Linotype"/>
          <w:i/>
          <w:iCs/>
          <w:sz w:val="22"/>
          <w:szCs w:val="22"/>
        </w:rPr>
        <w:t xml:space="preserve">“Artículo 162. Las unidades de transparencia deberán garantizar que las solicitudes </w:t>
      </w:r>
      <w:r w:rsidRPr="00C94789">
        <w:rPr>
          <w:rFonts w:ascii="Palatino Linotype" w:eastAsia="Palatino Linotype" w:hAnsi="Palatino Linotype" w:cs="Palatino Linotype"/>
          <w:b/>
          <w:bCs/>
          <w:i/>
          <w:iCs/>
          <w:sz w:val="22"/>
          <w:szCs w:val="22"/>
        </w:rPr>
        <w:t xml:space="preserve">se turnen a todas las Áreas competentes </w:t>
      </w:r>
      <w:r w:rsidRPr="00C94789">
        <w:rPr>
          <w:rFonts w:ascii="Palatino Linotype" w:eastAsia="Palatino Linotype" w:hAnsi="Palatino Linotype" w:cs="Palatino Linotype"/>
          <w:i/>
          <w:iCs/>
          <w:sz w:val="22"/>
          <w:szCs w:val="22"/>
        </w:rPr>
        <w:t>que cuenten con la información o deban tenerla de acuerdo a sus facultades, competencias y funciones, con el objeto de que realicen una búsqueda exhaustiva y razonable de la información solicitada.”</w:t>
      </w:r>
    </w:p>
    <w:p w14:paraId="244A7D09"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58AB94D7" w14:textId="77777777" w:rsidR="00C9648B" w:rsidRPr="00C94789" w:rsidRDefault="0060528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No obstante, si bien en el caso se pronunció la unidad administrativa competente; de las constancias que obran en el expediente en que se actúa, se colige que no fue garantizado en su totalidad el derecho de acceso a la información del particular, como se abordará más adelante.</w:t>
      </w:r>
    </w:p>
    <w:p w14:paraId="4979DC63" w14:textId="77777777" w:rsidR="00C9648B" w:rsidRPr="00C94789" w:rsidRDefault="00C9648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308AB76" w14:textId="77777777" w:rsidR="00C9648B" w:rsidRPr="00C94789" w:rsidRDefault="0060528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Por tanto, a efecto de sustentar lo anterior, se procede al análisis de la naturaleza de la información requerida.</w:t>
      </w:r>
    </w:p>
    <w:p w14:paraId="5EA6C47A" w14:textId="77777777" w:rsidR="00C9648B" w:rsidRPr="00C94789" w:rsidRDefault="00C9648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ECC6AC4"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Así, de conformidad con el artículo 49 de la Ley del Trabajo de los Servidores Públicos del Estado de México y Municipios se determinan los requisitos para tener por formalizada una relación de trabajo entre el servidor y las entidades públicas, los cuales se enlistan a continuación: </w:t>
      </w:r>
    </w:p>
    <w:p w14:paraId="4328B100" w14:textId="77777777" w:rsidR="00C9648B" w:rsidRPr="00C94789" w:rsidRDefault="00C9648B">
      <w:pPr>
        <w:spacing w:line="276" w:lineRule="auto"/>
        <w:ind w:left="567" w:right="567"/>
        <w:jc w:val="both"/>
        <w:rPr>
          <w:rFonts w:ascii="Palatino Linotype" w:eastAsia="Palatino Linotype" w:hAnsi="Palatino Linotype" w:cs="Palatino Linotype"/>
          <w:i/>
          <w:iCs/>
          <w:sz w:val="22"/>
          <w:szCs w:val="22"/>
        </w:rPr>
      </w:pPr>
    </w:p>
    <w:p w14:paraId="0B1B3800" w14:textId="77777777" w:rsidR="00C9648B" w:rsidRPr="00C94789" w:rsidRDefault="0060528D">
      <w:pPr>
        <w:spacing w:line="276" w:lineRule="auto"/>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“ARTÍCULO 49.-</w:t>
      </w:r>
      <w:r w:rsidRPr="00C94789">
        <w:rPr>
          <w:rFonts w:ascii="Palatino Linotype" w:eastAsia="Palatino Linotype" w:hAnsi="Palatino Linotype" w:cs="Palatino Linotype"/>
          <w:i/>
          <w:iCs/>
          <w:sz w:val="22"/>
          <w:szCs w:val="22"/>
        </w:rPr>
        <w:t xml:space="preserve"> Los nombramientos, contratos o formato único de Movimientos de Personal de los servidores públicos deberán contener:</w:t>
      </w:r>
    </w:p>
    <w:p w14:paraId="2E401A2A" w14:textId="77777777" w:rsidR="00C9648B" w:rsidRPr="00C94789" w:rsidRDefault="00C9648B">
      <w:pPr>
        <w:spacing w:line="276" w:lineRule="auto"/>
        <w:ind w:left="567" w:right="567"/>
        <w:jc w:val="both"/>
        <w:rPr>
          <w:rFonts w:ascii="Palatino Linotype" w:eastAsia="Palatino Linotype" w:hAnsi="Palatino Linotype" w:cs="Palatino Linotype"/>
          <w:i/>
          <w:iCs/>
          <w:sz w:val="22"/>
          <w:szCs w:val="22"/>
        </w:rPr>
      </w:pPr>
    </w:p>
    <w:p w14:paraId="6C387FA4" w14:textId="77777777" w:rsidR="00C9648B" w:rsidRPr="00C94789" w:rsidRDefault="0060528D">
      <w:pPr>
        <w:spacing w:line="276" w:lineRule="auto"/>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I. Nombre completo del servidor público; </w:t>
      </w:r>
    </w:p>
    <w:p w14:paraId="4E85B43B" w14:textId="77777777" w:rsidR="00C9648B" w:rsidRPr="00C94789" w:rsidRDefault="0060528D">
      <w:pPr>
        <w:spacing w:line="276" w:lineRule="auto"/>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II. Cargo para el que es designado, fecha de inicio de sus servicios y lugar de adscripción; </w:t>
      </w:r>
    </w:p>
    <w:p w14:paraId="7A602CCC" w14:textId="77777777" w:rsidR="00C9648B" w:rsidRPr="00C94789" w:rsidRDefault="0060528D">
      <w:pPr>
        <w:spacing w:line="276" w:lineRule="auto"/>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III. Carácter del nombramiento, ya sea de servidores públicos generales o de confianza, así como la temporalidad del mismo; </w:t>
      </w:r>
    </w:p>
    <w:p w14:paraId="56A3877E" w14:textId="77777777" w:rsidR="00C9648B" w:rsidRPr="00C94789" w:rsidRDefault="0060528D">
      <w:pPr>
        <w:spacing w:line="276" w:lineRule="auto"/>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IV. Remuneración correspondiente al puesto; </w:t>
      </w:r>
    </w:p>
    <w:p w14:paraId="5A91D080" w14:textId="77777777" w:rsidR="00C9648B" w:rsidRPr="00C94789" w:rsidRDefault="0060528D">
      <w:pPr>
        <w:spacing w:line="276" w:lineRule="auto"/>
        <w:ind w:left="567" w:right="567"/>
        <w:jc w:val="both"/>
        <w:rPr>
          <w:rFonts w:ascii="Palatino Linotype" w:eastAsia="Palatino Linotype" w:hAnsi="Palatino Linotype" w:cs="Palatino Linotype"/>
          <w:b/>
          <w:bCs/>
          <w:i/>
          <w:iCs/>
          <w:sz w:val="22"/>
          <w:szCs w:val="22"/>
        </w:rPr>
      </w:pPr>
      <w:r w:rsidRPr="00C94789">
        <w:rPr>
          <w:rFonts w:ascii="Palatino Linotype" w:eastAsia="Palatino Linotype" w:hAnsi="Palatino Linotype" w:cs="Palatino Linotype"/>
          <w:b/>
          <w:bCs/>
          <w:i/>
          <w:iCs/>
          <w:sz w:val="22"/>
          <w:szCs w:val="22"/>
        </w:rPr>
        <w:t xml:space="preserve">V. Jornada de trabajo; </w:t>
      </w:r>
    </w:p>
    <w:p w14:paraId="26F8B5A3" w14:textId="77777777" w:rsidR="00C9648B" w:rsidRPr="00C94789" w:rsidRDefault="0060528D">
      <w:pPr>
        <w:spacing w:line="276" w:lineRule="auto"/>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VI. Derogada; </w:t>
      </w:r>
    </w:p>
    <w:p w14:paraId="2E5D00B6" w14:textId="77777777" w:rsidR="00C9648B" w:rsidRPr="00C94789" w:rsidRDefault="0060528D">
      <w:pPr>
        <w:spacing w:line="276" w:lineRule="auto"/>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VII. Firma del servidor público autorizado para emitir el nombramiento, contrato o formato único de Movimientos de Personal, así como el fundamento legal de esa atribución.</w:t>
      </w:r>
    </w:p>
    <w:p w14:paraId="40F11F6F" w14:textId="77777777" w:rsidR="00C9648B" w:rsidRPr="00C94789" w:rsidRDefault="00C9648B">
      <w:pPr>
        <w:spacing w:line="360" w:lineRule="auto"/>
        <w:ind w:left="567" w:right="567"/>
        <w:jc w:val="both"/>
        <w:rPr>
          <w:rFonts w:ascii="Palatino Linotype" w:eastAsia="Palatino Linotype" w:hAnsi="Palatino Linotype" w:cs="Palatino Linotype"/>
          <w:i/>
          <w:iCs/>
          <w:sz w:val="22"/>
          <w:szCs w:val="22"/>
        </w:rPr>
      </w:pPr>
    </w:p>
    <w:p w14:paraId="7D4FAC94"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Del citado ordenamiento legal, se advierte que, en los nombramientos, contratos o formatos únicos de movimientos de personal, deben contener, entre otros requisitos, la jornada de trabajo; </w:t>
      </w:r>
      <w:r w:rsidRPr="00C94789">
        <w:rPr>
          <w:rFonts w:ascii="Palatino Linotype" w:eastAsia="Palatino Linotype" w:hAnsi="Palatino Linotype" w:cs="Palatino Linotype"/>
          <w:b/>
          <w:bCs/>
          <w:sz w:val="22"/>
          <w:szCs w:val="22"/>
        </w:rPr>
        <w:t>es decir el periodo o espacio de tiempo por el cual el servidor público prestará su servicio al ente público del que se trate</w:t>
      </w:r>
      <w:r w:rsidRPr="00C94789">
        <w:rPr>
          <w:rFonts w:ascii="Palatino Linotype" w:eastAsia="Palatino Linotype" w:hAnsi="Palatino Linotype" w:cs="Palatino Linotype"/>
          <w:sz w:val="22"/>
          <w:szCs w:val="22"/>
        </w:rPr>
        <w:t xml:space="preserve">, lo que se robustece con lo establecido en los artículos 56 y 59 del mismo ordenamiento legal, que dispone lo siguiente: </w:t>
      </w:r>
    </w:p>
    <w:p w14:paraId="749CA000"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37B3121E" w14:textId="77777777" w:rsidR="00C9648B" w:rsidRPr="00C94789" w:rsidRDefault="0060528D">
      <w:pPr>
        <w:spacing w:line="276" w:lineRule="auto"/>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w:t>
      </w:r>
      <w:r w:rsidRPr="00C94789">
        <w:rPr>
          <w:rFonts w:ascii="Palatino Linotype" w:eastAsia="Palatino Linotype" w:hAnsi="Palatino Linotype" w:cs="Palatino Linotype"/>
          <w:b/>
          <w:bCs/>
          <w:i/>
          <w:iCs/>
          <w:sz w:val="22"/>
          <w:szCs w:val="22"/>
        </w:rPr>
        <w:t>ARTÍCULO 56</w:t>
      </w:r>
      <w:r w:rsidRPr="00C94789">
        <w:rPr>
          <w:rFonts w:ascii="Palatino Linotype" w:eastAsia="Palatino Linotype" w:hAnsi="Palatino Linotype" w:cs="Palatino Linotype"/>
          <w:i/>
          <w:iCs/>
          <w:sz w:val="22"/>
          <w:szCs w:val="22"/>
        </w:rPr>
        <w:t>. Las condiciones generales de trabajo, establecerán como mínimo:</w:t>
      </w:r>
    </w:p>
    <w:p w14:paraId="6BCAD4F3" w14:textId="77777777" w:rsidR="00C9648B" w:rsidRPr="00C94789" w:rsidRDefault="0060528D">
      <w:pPr>
        <w:spacing w:line="276" w:lineRule="auto"/>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I. Duración de la jornada de trabajo;</w:t>
      </w:r>
    </w:p>
    <w:p w14:paraId="5F585620" w14:textId="77777777" w:rsidR="00C9648B" w:rsidRPr="00C94789" w:rsidRDefault="0060528D">
      <w:pPr>
        <w:spacing w:line="276" w:lineRule="auto"/>
        <w:ind w:lef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 </w:t>
      </w:r>
    </w:p>
    <w:p w14:paraId="5AED0089" w14:textId="77777777" w:rsidR="00C9648B" w:rsidRPr="00C94789" w:rsidRDefault="0060528D">
      <w:pPr>
        <w:spacing w:line="276" w:lineRule="auto"/>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ARTÍCULO 59.</w:t>
      </w:r>
      <w:r w:rsidRPr="00C94789">
        <w:rPr>
          <w:rFonts w:ascii="Palatino Linotype" w:eastAsia="Palatino Linotype" w:hAnsi="Palatino Linotype" w:cs="Palatino Linotype"/>
          <w:i/>
          <w:iCs/>
          <w:sz w:val="22"/>
          <w:szCs w:val="22"/>
        </w:rPr>
        <w:t xml:space="preserve">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p>
    <w:p w14:paraId="513A6BB9" w14:textId="77777777" w:rsidR="00C9648B" w:rsidRPr="00C94789" w:rsidRDefault="0060528D">
      <w:pPr>
        <w:spacing w:line="360" w:lineRule="auto"/>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 </w:t>
      </w:r>
    </w:p>
    <w:p w14:paraId="49437DE2"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En ese contexto, la duración de la jornada de trabajo puede ser de varias maneras, las cuales se encuentran establecidas en el artículo 60, 61, 62 y 63 de la mencionada Ley de Trabajo que literalmente señalan lo siguiente: </w:t>
      </w:r>
    </w:p>
    <w:p w14:paraId="3D413399"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09654F06" w14:textId="77777777" w:rsidR="00C9648B" w:rsidRPr="00C94789" w:rsidRDefault="0060528D">
      <w:pPr>
        <w:spacing w:line="276" w:lineRule="auto"/>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ARTÍCULO 60</w:t>
      </w:r>
      <w:r w:rsidRPr="00C94789">
        <w:rPr>
          <w:rFonts w:ascii="Palatino Linotype" w:eastAsia="Palatino Linotype" w:hAnsi="Palatino Linotype" w:cs="Palatino Linotype"/>
          <w:i/>
          <w:iCs/>
          <w:sz w:val="22"/>
          <w:szCs w:val="22"/>
        </w:rPr>
        <w:t xml:space="preserve">. La jornada de trabajo puede ser diurna, nocturna o mixta, conforme a lo siguiente: </w:t>
      </w:r>
    </w:p>
    <w:p w14:paraId="0E9555E0" w14:textId="77777777" w:rsidR="00C9648B" w:rsidRPr="00C94789" w:rsidRDefault="0060528D">
      <w:pPr>
        <w:spacing w:line="276" w:lineRule="auto"/>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I. Diurna, la comprendida entre las seis y las veinte horas; </w:t>
      </w:r>
    </w:p>
    <w:p w14:paraId="120C2ACD" w14:textId="77777777" w:rsidR="00C9648B" w:rsidRPr="00C94789" w:rsidRDefault="0060528D">
      <w:pPr>
        <w:spacing w:line="276" w:lineRule="auto"/>
        <w:ind w:left="567"/>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II. Nocturna, la comprendida entre las veinte y las seis horas; y </w:t>
      </w:r>
    </w:p>
    <w:p w14:paraId="77D2A554" w14:textId="77777777" w:rsidR="00C9648B" w:rsidRPr="00C94789" w:rsidRDefault="0060528D">
      <w:pPr>
        <w:spacing w:line="276" w:lineRule="auto"/>
        <w:ind w:left="567"/>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III. Mixta, la que comprenda períodos de tiempo de las jornadas diurna y nocturna, siempre que el período nocturno sea menor de tres horas y media, pues en caso contrario, se considerará como jornada nocturna. </w:t>
      </w:r>
    </w:p>
    <w:p w14:paraId="671D83D2" w14:textId="77777777" w:rsidR="00C9648B" w:rsidRPr="00C94789" w:rsidRDefault="00C9648B">
      <w:pPr>
        <w:spacing w:line="276" w:lineRule="auto"/>
        <w:ind w:left="567" w:right="567"/>
        <w:jc w:val="both"/>
        <w:rPr>
          <w:rFonts w:ascii="Palatino Linotype" w:eastAsia="Palatino Linotype" w:hAnsi="Palatino Linotype" w:cs="Palatino Linotype"/>
          <w:i/>
          <w:iCs/>
          <w:sz w:val="22"/>
          <w:szCs w:val="22"/>
        </w:rPr>
      </w:pPr>
    </w:p>
    <w:p w14:paraId="7256F650" w14:textId="77777777" w:rsidR="00C9648B" w:rsidRPr="00C94789" w:rsidRDefault="0060528D">
      <w:pPr>
        <w:spacing w:line="276" w:lineRule="auto"/>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ARTÍCULO 61.</w:t>
      </w:r>
      <w:r w:rsidRPr="00C94789">
        <w:rPr>
          <w:rFonts w:ascii="Palatino Linotype" w:eastAsia="Palatino Linotype" w:hAnsi="Palatino Linotype" w:cs="Palatino Linotype"/>
          <w:i/>
          <w:iCs/>
          <w:sz w:val="22"/>
          <w:szCs w:val="22"/>
        </w:rPr>
        <w:t xml:space="preserve"> Cuando la naturaleza del trabajo así lo exija, la jornada se reducirá teniendo en cuenta el número de horas que pueda trabajar un individuo normal sin sufrir quebranto en su salud. </w:t>
      </w:r>
    </w:p>
    <w:p w14:paraId="0D3451E7" w14:textId="77777777" w:rsidR="00C9648B" w:rsidRPr="00C94789" w:rsidRDefault="00C9648B">
      <w:pPr>
        <w:spacing w:line="276" w:lineRule="auto"/>
        <w:ind w:left="567" w:right="567"/>
        <w:jc w:val="both"/>
        <w:rPr>
          <w:rFonts w:ascii="Palatino Linotype" w:eastAsia="Palatino Linotype" w:hAnsi="Palatino Linotype" w:cs="Palatino Linotype"/>
          <w:i/>
          <w:iCs/>
          <w:sz w:val="22"/>
          <w:szCs w:val="22"/>
        </w:rPr>
      </w:pPr>
    </w:p>
    <w:p w14:paraId="2B36C1B1" w14:textId="77777777" w:rsidR="00C9648B" w:rsidRPr="00C94789" w:rsidRDefault="0060528D">
      <w:pPr>
        <w:spacing w:line="276" w:lineRule="auto"/>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ARTÍCULO 62.</w:t>
      </w:r>
      <w:r w:rsidRPr="00C94789">
        <w:rPr>
          <w:rFonts w:ascii="Palatino Linotype" w:eastAsia="Palatino Linotype" w:hAnsi="Palatino Linotype" w:cs="Palatino Linotype"/>
          <w:i/>
          <w:iCs/>
          <w:sz w:val="22"/>
          <w:szCs w:val="22"/>
        </w:rPr>
        <w:t xml:space="preserve"> Por cada seis días de trabajo el servidor público disfrutará de uno de descanso con goce de sueldo íntegro. Cuando proceda, se podrán distribuir las horas de trabajo, a fin de permitir a los servidores públicos el descanso del sábado o cualquier modalidad equivalente. </w:t>
      </w:r>
    </w:p>
    <w:p w14:paraId="6EB174AC" w14:textId="77777777" w:rsidR="00C9648B" w:rsidRPr="00C94789" w:rsidRDefault="00C9648B">
      <w:pPr>
        <w:spacing w:line="276" w:lineRule="auto"/>
        <w:ind w:left="567" w:right="567"/>
        <w:jc w:val="both"/>
        <w:rPr>
          <w:rFonts w:ascii="Palatino Linotype" w:eastAsia="Palatino Linotype" w:hAnsi="Palatino Linotype" w:cs="Palatino Linotype"/>
          <w:i/>
          <w:iCs/>
          <w:sz w:val="22"/>
          <w:szCs w:val="22"/>
        </w:rPr>
      </w:pPr>
    </w:p>
    <w:p w14:paraId="28D5CE5E" w14:textId="77777777" w:rsidR="00C9648B" w:rsidRPr="00C94789" w:rsidRDefault="0060528D">
      <w:pPr>
        <w:spacing w:line="276" w:lineRule="auto"/>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ARTÍCULO 63.</w:t>
      </w:r>
      <w:r w:rsidRPr="00C94789">
        <w:rPr>
          <w:rFonts w:ascii="Palatino Linotype" w:eastAsia="Palatino Linotype" w:hAnsi="Palatino Linotype" w:cs="Palatino Linotype"/>
          <w:i/>
          <w:iCs/>
          <w:sz w:val="22"/>
          <w:szCs w:val="22"/>
        </w:rPr>
        <w:t xml:space="preserve"> El servidor público tendrá derecho a un descanso de media hora cuando trabaje horario continuo de más de siete horas y cuando menos de una hora, en horario discontinuo. Cuando el servidor público no pueda salir del lugar donde presta sus servicios durante la hora de descanso o de comidas, el tiempo correspondiente le será considerado como tiempo efectivo de trabajo.</w:t>
      </w:r>
    </w:p>
    <w:p w14:paraId="2D5AA492"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09684644"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De lo anterior, se concluye que se establecen algunos supuestos para la duración de la jornada de trabajo, la cual deberá cumplir cabalmente el servidor público ya que se constituye como una obligación en la Ley de Trabajo de los Servidores Públicos del Estado de México y Municipios, en su artículo 88 fracción III y VI que literalmente indica: </w:t>
      </w:r>
    </w:p>
    <w:p w14:paraId="005C4E49"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7034071B" w14:textId="77777777" w:rsidR="00C9648B" w:rsidRPr="00C94789" w:rsidRDefault="0060528D">
      <w:pPr>
        <w:spacing w:line="276" w:lineRule="auto"/>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ARTÍCULO 88.</w:t>
      </w:r>
      <w:r w:rsidRPr="00C94789">
        <w:rPr>
          <w:rFonts w:ascii="Palatino Linotype" w:eastAsia="Palatino Linotype" w:hAnsi="Palatino Linotype" w:cs="Palatino Linotype"/>
          <w:i/>
          <w:iCs/>
          <w:sz w:val="22"/>
          <w:szCs w:val="22"/>
        </w:rPr>
        <w:t xml:space="preserve"> Son obligaciones de los servidores públicos: </w:t>
      </w:r>
    </w:p>
    <w:p w14:paraId="170186AE" w14:textId="77777777" w:rsidR="00C9648B" w:rsidRPr="00C94789" w:rsidRDefault="0060528D">
      <w:pPr>
        <w:spacing w:line="276" w:lineRule="auto"/>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w:t>
      </w:r>
    </w:p>
    <w:p w14:paraId="30988A6B" w14:textId="77777777" w:rsidR="00C9648B" w:rsidRPr="00C94789" w:rsidRDefault="0060528D">
      <w:pPr>
        <w:spacing w:line="276" w:lineRule="auto"/>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III.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 </w:t>
      </w:r>
    </w:p>
    <w:p w14:paraId="6702F01A" w14:textId="77777777" w:rsidR="00C9648B" w:rsidRPr="00C94789" w:rsidRDefault="0060528D">
      <w:pPr>
        <w:spacing w:line="276" w:lineRule="auto"/>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w:t>
      </w:r>
    </w:p>
    <w:p w14:paraId="76C20F5A" w14:textId="77777777" w:rsidR="00C9648B" w:rsidRPr="00C94789" w:rsidRDefault="0060528D">
      <w:pPr>
        <w:spacing w:line="276" w:lineRule="auto"/>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VI. Cumplir con las obligaciones que señalan las condiciones generales de trabajo; </w:t>
      </w:r>
    </w:p>
    <w:p w14:paraId="0DD3DDD8" w14:textId="77777777" w:rsidR="00C9648B" w:rsidRPr="00C94789" w:rsidRDefault="00C9648B">
      <w:pPr>
        <w:spacing w:line="360" w:lineRule="auto"/>
        <w:jc w:val="both"/>
        <w:rPr>
          <w:sz w:val="22"/>
          <w:szCs w:val="22"/>
        </w:rPr>
      </w:pPr>
    </w:p>
    <w:p w14:paraId="13F25B8C"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Es decir que los servidores públicos tienen la obligación de cumplir con la jornada de trabajo estipulada en su nombramiento, contrato o formato único de movimiento de personal; en caso contrario, será motivo de rescisión de la relación laboral aquellas que establecen el artículo 93 de la Ley de Trabajo de los Servidores Públicos del Estado de México y Municipios:</w:t>
      </w:r>
    </w:p>
    <w:p w14:paraId="53AEC68D"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7303EE01" w14:textId="77777777" w:rsidR="00C9648B" w:rsidRPr="00C94789" w:rsidRDefault="0060528D">
      <w:pPr>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ARTÍCULO 93.</w:t>
      </w:r>
      <w:r w:rsidRPr="00C94789">
        <w:rPr>
          <w:rFonts w:ascii="Palatino Linotype" w:eastAsia="Palatino Linotype" w:hAnsi="Palatino Linotype" w:cs="Palatino Linotype"/>
          <w:i/>
          <w:iCs/>
          <w:sz w:val="22"/>
          <w:szCs w:val="22"/>
        </w:rPr>
        <w:t xml:space="preserve"> Son causas de rescisión de la relación laboral, sin responsabilidad para las instituciones públicas:</w:t>
      </w:r>
    </w:p>
    <w:p w14:paraId="78CE93F2" w14:textId="77777777" w:rsidR="00C9648B" w:rsidRPr="00C94789" w:rsidRDefault="0060528D">
      <w:pPr>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w:t>
      </w:r>
    </w:p>
    <w:p w14:paraId="280EA739" w14:textId="77777777" w:rsidR="00C9648B" w:rsidRPr="00C94789" w:rsidRDefault="0060528D">
      <w:pPr>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IV. Incurrir en cuatro o más faltas de asistencia a sus labores sin causa justificada, dentro de un lapso de treinta días;</w:t>
      </w:r>
    </w:p>
    <w:p w14:paraId="5531F65F" w14:textId="77777777" w:rsidR="00C9648B" w:rsidRPr="00C94789" w:rsidRDefault="0060528D">
      <w:pPr>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V. Abandonar las labores sin autorización previa o razón plenamente justificada, en contravención a lo establecido en las condiciones generales de trabajo;</w:t>
      </w:r>
    </w:p>
    <w:p w14:paraId="78C56AFB" w14:textId="77777777" w:rsidR="00C9648B" w:rsidRPr="00C94789" w:rsidRDefault="0060528D">
      <w:pPr>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w:t>
      </w:r>
    </w:p>
    <w:p w14:paraId="48A62288" w14:textId="77777777" w:rsidR="00C9648B" w:rsidRPr="00C94789" w:rsidRDefault="0060528D">
      <w:pPr>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XVII. Sustraer tarjetas o listas de puntualidad y asistencia del lugar destinado para ello, ya sea la del propio servidor público o la de otro, utilizar o registrar asistencia con gafete-credencial o tarjeta distinto al suyo o alterar en cualquier forma los registros de control de puntualidad y asistencia; siempre y cuando no sea resultado de un error involuntario;</w:t>
      </w:r>
    </w:p>
    <w:p w14:paraId="2887A548"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76DC87E1"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Ahora bien, para comprobar el cumplimiento de la jornada de trabajo del Servidor Público, de conformidad con lo que establecen la fracción III y el penúltimo párrafo del artículo 220-K de la Ley en cita, precisa que: </w:t>
      </w:r>
    </w:p>
    <w:p w14:paraId="0555C2F2"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4624694C" w14:textId="77777777" w:rsidR="00C9648B" w:rsidRPr="00C94789" w:rsidRDefault="0060528D">
      <w:pPr>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ARTÍCULO 220 K.-</w:t>
      </w:r>
      <w:r w:rsidRPr="00C94789">
        <w:rPr>
          <w:rFonts w:ascii="Palatino Linotype" w:eastAsia="Palatino Linotype" w:hAnsi="Palatino Linotype" w:cs="Palatino Linotype"/>
          <w:i/>
          <w:iCs/>
          <w:sz w:val="22"/>
          <w:szCs w:val="22"/>
        </w:rPr>
        <w:t xml:space="preserve"> La institución o dependencia pública tiene la obligación de conservar y exhibir en el proceso los documentos que a continuación se precisan: </w:t>
      </w:r>
    </w:p>
    <w:p w14:paraId="7DE868F7" w14:textId="77777777" w:rsidR="00C9648B" w:rsidRPr="00C94789" w:rsidRDefault="0060528D">
      <w:pPr>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w:t>
      </w:r>
    </w:p>
    <w:p w14:paraId="580FBC32" w14:textId="77777777" w:rsidR="00C9648B" w:rsidRPr="00C94789" w:rsidRDefault="0060528D">
      <w:pPr>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III. Controles de asistencia o la información magnética o electrónica de asistencia de los servidores públicos</w:t>
      </w:r>
      <w:r w:rsidRPr="00C94789">
        <w:rPr>
          <w:rFonts w:ascii="Palatino Linotype" w:eastAsia="Palatino Linotype" w:hAnsi="Palatino Linotype" w:cs="Palatino Linotype"/>
          <w:i/>
          <w:iCs/>
          <w:sz w:val="22"/>
          <w:szCs w:val="22"/>
        </w:rPr>
        <w:t xml:space="preserve">; </w:t>
      </w:r>
    </w:p>
    <w:p w14:paraId="6EB3BCBA" w14:textId="77777777" w:rsidR="00C9648B" w:rsidRPr="00C94789" w:rsidRDefault="0060528D">
      <w:pPr>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w:t>
      </w:r>
    </w:p>
    <w:p w14:paraId="005C215D" w14:textId="77777777" w:rsidR="00C9648B" w:rsidRPr="00C94789" w:rsidRDefault="0060528D">
      <w:pPr>
        <w:ind w:left="567" w:righ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Los documentos señalados en la fracción I de este artículo, deberán conservarse mientras dure la relación laboral y hasta un año después; </w:t>
      </w:r>
      <w:r w:rsidRPr="00C94789">
        <w:rPr>
          <w:rFonts w:ascii="Palatino Linotype" w:eastAsia="Palatino Linotype" w:hAnsi="Palatino Linotype" w:cs="Palatino Linotype"/>
          <w:b/>
          <w:bCs/>
          <w:i/>
          <w:iCs/>
          <w:sz w:val="22"/>
          <w:szCs w:val="22"/>
        </w:rPr>
        <w:t>los señalados por las fracciones</w:t>
      </w:r>
      <w:r w:rsidRPr="00C94789">
        <w:rPr>
          <w:rFonts w:ascii="Palatino Linotype" w:eastAsia="Palatino Linotype" w:hAnsi="Palatino Linotype" w:cs="Palatino Linotype"/>
          <w:i/>
          <w:iCs/>
          <w:sz w:val="22"/>
          <w:szCs w:val="22"/>
        </w:rPr>
        <w:t xml:space="preserve"> II, </w:t>
      </w:r>
      <w:r w:rsidRPr="00C94789">
        <w:rPr>
          <w:rFonts w:ascii="Palatino Linotype" w:eastAsia="Palatino Linotype" w:hAnsi="Palatino Linotype" w:cs="Palatino Linotype"/>
          <w:b/>
          <w:bCs/>
          <w:i/>
          <w:iCs/>
          <w:sz w:val="22"/>
          <w:szCs w:val="22"/>
        </w:rPr>
        <w:t>III,</w:t>
      </w:r>
      <w:r w:rsidRPr="00C94789">
        <w:rPr>
          <w:rFonts w:ascii="Palatino Linotype" w:eastAsia="Palatino Linotype" w:hAnsi="Palatino Linotype" w:cs="Palatino Linotype"/>
          <w:i/>
          <w:iCs/>
          <w:sz w:val="22"/>
          <w:szCs w:val="22"/>
        </w:rPr>
        <w:t xml:space="preserve"> IV </w:t>
      </w:r>
      <w:r w:rsidRPr="00C94789">
        <w:rPr>
          <w:rFonts w:ascii="Palatino Linotype" w:eastAsia="Palatino Linotype" w:hAnsi="Palatino Linotype" w:cs="Palatino Linotype"/>
          <w:b/>
          <w:bCs/>
          <w:i/>
          <w:iCs/>
          <w:sz w:val="22"/>
          <w:szCs w:val="22"/>
        </w:rPr>
        <w:t>durante el último año y un año después de que se extinga la relación laboral</w:t>
      </w:r>
      <w:r w:rsidRPr="00C94789">
        <w:rPr>
          <w:rFonts w:ascii="Palatino Linotype" w:eastAsia="Palatino Linotype" w:hAnsi="Palatino Linotype" w:cs="Palatino Linotype"/>
          <w:i/>
          <w:iCs/>
          <w:sz w:val="22"/>
          <w:szCs w:val="22"/>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9788E93"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51029A89"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Lo anterior, aplicado al caso que nos ocupa, se advierte que el Organismo tiene la obligación de conservar los controles de asistencia o la información magnética o electrónica de asistencia de los servidores públicos y consérvalos durante el último año y un año después de que se extinga la relación laboral.</w:t>
      </w:r>
    </w:p>
    <w:p w14:paraId="6BEF48AB" w14:textId="77777777" w:rsidR="00C9648B" w:rsidRPr="00C94789" w:rsidRDefault="00C9648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5C3AC39" w14:textId="77777777" w:rsidR="00C9648B" w:rsidRPr="00C94789" w:rsidRDefault="0060528D">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u w:val="single"/>
        </w:rPr>
      </w:pPr>
      <w:r w:rsidRPr="00C94789">
        <w:rPr>
          <w:rFonts w:ascii="Palatino Linotype" w:eastAsia="Palatino Linotype" w:hAnsi="Palatino Linotype" w:cs="Palatino Linotype"/>
          <w:sz w:val="22"/>
          <w:szCs w:val="22"/>
        </w:rPr>
        <w:t>Sin embargo, es de destacar que la obligación de conservar y exhibir los controles de asistencia está sujeta a dos cuestiones; la primera, que el empleador o institución pública cuente con controles de asistencia en el centro de trabajo; y, la segunda, q</w:t>
      </w:r>
      <w:r w:rsidRPr="00C94789">
        <w:rPr>
          <w:rFonts w:ascii="Palatino Linotype" w:eastAsia="Palatino Linotype" w:hAnsi="Palatino Linotype" w:cs="Palatino Linotype"/>
          <w:b/>
          <w:bCs/>
          <w:sz w:val="22"/>
          <w:szCs w:val="22"/>
          <w:u w:val="single"/>
        </w:rPr>
        <w:t>ue dichos controles de asistencia apliquen a todos los servidores públicos.</w:t>
      </w:r>
    </w:p>
    <w:p w14:paraId="4EB2FA52" w14:textId="77777777" w:rsidR="00C9648B" w:rsidRPr="00C94789" w:rsidRDefault="00C9648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33A000B" w14:textId="77777777" w:rsidR="00C9648B" w:rsidRPr="00C94789" w:rsidRDefault="0060528D">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u w:val="single"/>
        </w:rPr>
      </w:pPr>
      <w:r w:rsidRPr="00C94789">
        <w:rPr>
          <w:rFonts w:ascii="Palatino Linotype" w:eastAsia="Palatino Linotype" w:hAnsi="Palatino Linotype" w:cs="Palatino Linotype"/>
          <w:sz w:val="22"/>
          <w:szCs w:val="22"/>
        </w:rPr>
        <w:t xml:space="preserve">Lo anterior, nos lleva a la conclusión de que la normatividad que rige las relaciones de trabajo, en tema de controles de asistencia, </w:t>
      </w:r>
      <w:r w:rsidRPr="00C94789">
        <w:rPr>
          <w:rFonts w:ascii="Palatino Linotype" w:eastAsia="Palatino Linotype" w:hAnsi="Palatino Linotype" w:cs="Palatino Linotype"/>
          <w:b/>
          <w:bCs/>
          <w:sz w:val="22"/>
          <w:szCs w:val="22"/>
          <w:u w:val="single"/>
        </w:rPr>
        <w:t>el centro de trabajo es quien define la aplicabilidad del mismo a los servidores públicos.</w:t>
      </w:r>
    </w:p>
    <w:p w14:paraId="23208130" w14:textId="77777777" w:rsidR="00C9648B" w:rsidRPr="00C94789" w:rsidRDefault="00C9648B">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14:paraId="3108C416"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Es de agregar que, respecto del registro de asistencia de servidores públicos que por las funciones que realizan se encuentran exceptuados de llevar control de asistencia, no basta con indicar que los mismos están exceptuados de llevar dicho control; sino que, para ello resulta necesario contar con el documento donde conste la autorización emitida por autoridad competente para omitir la elaboración de dichos controles o para exceptuar el registro de asistencia.</w:t>
      </w:r>
    </w:p>
    <w:p w14:paraId="38575BEE"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0A6E8E6F"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De esta manera, cuando no se cuente con listas o controles de asistencia se debe proporcionar el documento o la expresión documental que establezca la excepción de elaborar dichas listas o controles de asistencia, en la temporalidad requerida; ello, con el fin de acreditar que existe una autorización expresa y dar cumplimiento a las disposiciones de la Ley de Trabajo de los Servidores Públicos del Estado de México y Municipios citadas previamente.</w:t>
      </w:r>
    </w:p>
    <w:p w14:paraId="4E5AEB0D" w14:textId="77777777" w:rsidR="00C9648B" w:rsidRPr="00C94789" w:rsidRDefault="00C9648B">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14:paraId="10F82A71" w14:textId="77777777" w:rsidR="00C9648B" w:rsidRPr="00C94789" w:rsidRDefault="0060528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Ahora, es de recordar que el Coordinador de Desarrollo de Personal del Ayuntamiento de Chicoloapan, en respuesta remitió un informe de registros del checador de entrada y salida correspondiente a la primer quincena de enero de 2026; en la cual refiere que se incluye al siguiente personal: Directora de Administración, Directora de Obras Públicas, Coordinador de Desarrollo de Personal, Tesorera Municipal, Director de Desarrollo Económico, Oficial del Registro Civil No.1, Titular de Comunicación Social, Titular de Adquisiciones, Coordinador de Panteones, Titular del departamento de Egresos, Titular del Departamento de Ingresos y Coordinador de Desarrollo Agropecuario.</w:t>
      </w:r>
    </w:p>
    <w:p w14:paraId="1B80E6ED" w14:textId="77777777" w:rsidR="00C9648B" w:rsidRPr="00C94789" w:rsidRDefault="00C9648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B27DC94" w14:textId="77777777" w:rsidR="00C9648B" w:rsidRPr="00C94789" w:rsidRDefault="0060528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Como referencia de lo anterior, se inserta parte del informe del checador de entrada y salida correspondiente a la primera quincena de enero de 2026 entregado en respuesta:</w:t>
      </w:r>
    </w:p>
    <w:p w14:paraId="0345E260" w14:textId="77777777" w:rsidR="00C9648B" w:rsidRPr="00C94789" w:rsidRDefault="00C9648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B0A30BA" w14:textId="77777777" w:rsidR="00C9648B" w:rsidRPr="00C94789" w:rsidRDefault="0060528D">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C94789">
        <w:rPr>
          <w:rFonts w:ascii="Palatino Linotype" w:eastAsia="Palatino Linotype" w:hAnsi="Palatino Linotype" w:cs="Palatino Linotype"/>
          <w:noProof/>
          <w:sz w:val="22"/>
          <w:szCs w:val="22"/>
        </w:rPr>
        <w:drawing>
          <wp:inline distT="0" distB="0" distL="0" distR="0" wp14:anchorId="24A6A8CD" wp14:editId="28A67945">
            <wp:extent cx="4962602" cy="3511995"/>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962602" cy="3511995"/>
                    </a:xfrm>
                    <a:prstGeom prst="rect">
                      <a:avLst/>
                    </a:prstGeom>
                    <a:ln/>
                  </pic:spPr>
                </pic:pic>
              </a:graphicData>
            </a:graphic>
          </wp:inline>
        </w:drawing>
      </w:r>
    </w:p>
    <w:p w14:paraId="40FC1DB9" w14:textId="77777777" w:rsidR="00C9648B" w:rsidRPr="00C94789" w:rsidRDefault="0060528D">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w:t>
      </w:r>
    </w:p>
    <w:p w14:paraId="230D1DFF" w14:textId="77777777" w:rsidR="00C9648B" w:rsidRPr="00C94789" w:rsidRDefault="0060528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Como se advierte de lo anterior, en efecto se remitió el registro del checador de entrada y salida correspondiente a la primera quincena de enero de 2026 de los servidores públicos antes precisados, sin embargo, de dicho informe se advierte que faltan los horarios de entrada y salida, de ahí que se estime que dicho registro se entregó de manera incompleta al faltar uno de los elementos como lo es la hora en la que ingreso y finalizó su jornada laboral cada uno de los servidores públicos en cuestión; por lo que, resulta procedente ordenar que en cumplimiento a la presente se entregue dicho registro de manera completa.</w:t>
      </w:r>
    </w:p>
    <w:p w14:paraId="494486AB" w14:textId="77777777" w:rsidR="00C9648B" w:rsidRPr="00C94789" w:rsidRDefault="00C9648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4EF2F73" w14:textId="77777777" w:rsidR="00C9648B" w:rsidRPr="00C94789" w:rsidRDefault="0060528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Ahora, en lo que respecta al formato requerido respecto de dicho registro, si bien en la solicitud el particular precisó que requería la información en formato excel, del análisis realizado a la normatividad que rige al ente público que nos ocupa, no se desprende que se encuentre constreñido a generar la información en determinado formato.</w:t>
      </w:r>
    </w:p>
    <w:p w14:paraId="46FC4D1B" w14:textId="77777777" w:rsidR="00C9648B" w:rsidRPr="00C94789" w:rsidRDefault="00C9648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826E816" w14:textId="77777777" w:rsidR="00C9648B" w:rsidRPr="00C94789" w:rsidRDefault="0060528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10" w:name="_heading=h.x956r0a366nh" w:colFirst="0" w:colLast="0"/>
      <w:bookmarkEnd w:id="10"/>
      <w:r w:rsidRPr="00C94789">
        <w:rPr>
          <w:rFonts w:ascii="Palatino Linotype" w:eastAsia="Palatino Linotype" w:hAnsi="Palatino Linotype" w:cs="Palatino Linotype"/>
          <w:sz w:val="22"/>
          <w:szCs w:val="22"/>
        </w:rPr>
        <w:t>Sin embargo no se descarta la posibilidad de que lo genere en formato excel, ya que el servidor público habilitado competente no emitió pronunciamiento al respecto, por lo que en cumplimiento a la presente se deberá entregar dicho registro preferentemente en formato excel o en el que lo hubiera generado.</w:t>
      </w:r>
    </w:p>
    <w:p w14:paraId="67A287AE" w14:textId="77777777" w:rsidR="00C9648B" w:rsidRPr="00C94789" w:rsidRDefault="00C9648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13C096E" w14:textId="77777777" w:rsidR="00C9648B" w:rsidRPr="00C94789" w:rsidRDefault="0060528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Bajo las consideraciones expuestas, se advierte que los motivos de inconformidad devienen fundados, siendo procedente </w:t>
      </w:r>
      <w:r w:rsidRPr="00C94789">
        <w:rPr>
          <w:rFonts w:ascii="Palatino Linotype" w:eastAsia="Palatino Linotype" w:hAnsi="Palatino Linotype" w:cs="Palatino Linotype"/>
          <w:b/>
          <w:bCs/>
          <w:sz w:val="22"/>
          <w:szCs w:val="22"/>
        </w:rPr>
        <w:t xml:space="preserve">Modificar </w:t>
      </w:r>
      <w:r w:rsidRPr="00C94789">
        <w:rPr>
          <w:rFonts w:ascii="Palatino Linotype" w:eastAsia="Palatino Linotype" w:hAnsi="Palatino Linotype" w:cs="Palatino Linotype"/>
          <w:sz w:val="22"/>
          <w:szCs w:val="22"/>
        </w:rPr>
        <w:t xml:space="preserve">la respuesta del ente obligado, y ordenar que en cumplimiento a la presente se entregue, de ser procedente en versión pública, </w:t>
      </w:r>
      <w:r w:rsidRPr="00C94789">
        <w:rPr>
          <w:rFonts w:ascii="Palatino Linotype" w:eastAsia="Palatino Linotype" w:hAnsi="Palatino Linotype" w:cs="Palatino Linotype"/>
          <w:b/>
          <w:bCs/>
          <w:sz w:val="22"/>
          <w:szCs w:val="22"/>
        </w:rPr>
        <w:t>preferentemente en formato excel o en el que se haya generado, de manera completa, el informe de registros del checador de entradas y salidas correspondiente a la primera quincena de enero de 2026 remitido en respuesta.</w:t>
      </w:r>
    </w:p>
    <w:p w14:paraId="5742BE64" w14:textId="77777777" w:rsidR="00C9648B" w:rsidRPr="00C94789" w:rsidRDefault="00C9648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68EDEB7" w14:textId="77777777" w:rsidR="00C9648B" w:rsidRPr="00C94789" w:rsidRDefault="0060528D">
      <w:pPr>
        <w:spacing w:line="360" w:lineRule="auto"/>
        <w:ind w:right="49"/>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b/>
          <w:bCs/>
          <w:sz w:val="22"/>
          <w:szCs w:val="22"/>
        </w:rPr>
        <w:t xml:space="preserve">Quinto. Versión Pública. </w:t>
      </w:r>
      <w:r w:rsidRPr="00C94789">
        <w:rPr>
          <w:rFonts w:ascii="Palatino Linotype" w:eastAsia="Palatino Linotype" w:hAnsi="Palatino Linotype" w:cs="Palatino Linotype"/>
          <w:sz w:val="22"/>
          <w:szCs w:val="22"/>
        </w:rPr>
        <w:t xml:space="preserve">Finalmente para la entrega del soporte documental que deberá proporcionar el </w:t>
      </w:r>
      <w:r w:rsidRPr="00C94789">
        <w:rPr>
          <w:rFonts w:ascii="Palatino Linotype" w:eastAsia="Palatino Linotype" w:hAnsi="Palatino Linotype" w:cs="Palatino Linotype"/>
          <w:b/>
          <w:bCs/>
          <w:sz w:val="22"/>
          <w:szCs w:val="22"/>
        </w:rPr>
        <w:t>Sujeto Obligado</w:t>
      </w:r>
      <w:r w:rsidRPr="00C94789">
        <w:rPr>
          <w:rFonts w:ascii="Palatino Linotype" w:eastAsia="Palatino Linotype" w:hAnsi="Palatino Linotype" w:cs="Palatino Linotype"/>
          <w:sz w:val="22"/>
          <w:szCs w:val="22"/>
        </w:rPr>
        <w:t xml:space="preserve"> para dar satisfacción de la derecho humano de acceso a la información de la persona solicitante, deberá considerar que ello no es absoluto, sino que encuentra como excepciones que la información sobre la cual se peticiona el acceso, contenga datos que deban ser clasificados en los términos que la misma Ley de la Materia señala, el </w:t>
      </w:r>
      <w:r w:rsidRPr="00C94789">
        <w:rPr>
          <w:rFonts w:ascii="Palatino Linotype" w:eastAsia="Palatino Linotype" w:hAnsi="Palatino Linotype" w:cs="Palatino Linotype"/>
          <w:b/>
          <w:bCs/>
          <w:sz w:val="22"/>
          <w:szCs w:val="22"/>
        </w:rPr>
        <w:t>Sujeto Obligado</w:t>
      </w:r>
      <w:r w:rsidRPr="00C94789">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2202EAE6" w14:textId="77777777" w:rsidR="00C9648B" w:rsidRPr="00C94789" w:rsidRDefault="00C9648B">
      <w:pPr>
        <w:spacing w:line="360" w:lineRule="auto"/>
        <w:ind w:right="49"/>
        <w:jc w:val="both"/>
        <w:rPr>
          <w:rFonts w:ascii="Palatino Linotype" w:eastAsia="Palatino Linotype" w:hAnsi="Palatino Linotype" w:cs="Palatino Linotype"/>
          <w:sz w:val="22"/>
          <w:szCs w:val="22"/>
        </w:rPr>
      </w:pPr>
    </w:p>
    <w:p w14:paraId="64FA39EB" w14:textId="77777777" w:rsidR="00C9648B" w:rsidRPr="00C94789" w:rsidRDefault="0060528D">
      <w:pPr>
        <w:spacing w:line="360" w:lineRule="auto"/>
        <w:ind w:right="49"/>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Lo anterior, de conformidad a lo que señalan los artículos 3 fracciones IX, XX, XXI y XLV, 91, 132 fracciones II y III, y 143 fracción I de la Ley de Transparencia y Acceso a la Información Pública del Estado de México y Municipios que establecen:</w:t>
      </w:r>
    </w:p>
    <w:p w14:paraId="6E8CC755" w14:textId="77777777" w:rsidR="00C9648B" w:rsidRPr="00C94789" w:rsidRDefault="0060528D">
      <w:pPr>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w:t>
      </w:r>
      <w:r w:rsidRPr="00C94789">
        <w:rPr>
          <w:rFonts w:ascii="Palatino Linotype" w:eastAsia="Palatino Linotype" w:hAnsi="Palatino Linotype" w:cs="Palatino Linotype"/>
          <w:b/>
          <w:bCs/>
          <w:i/>
          <w:iCs/>
          <w:sz w:val="22"/>
          <w:szCs w:val="22"/>
        </w:rPr>
        <w:t>Artículo 3</w:t>
      </w:r>
      <w:r w:rsidRPr="00C94789">
        <w:rPr>
          <w:rFonts w:ascii="Palatino Linotype" w:eastAsia="Palatino Linotype" w:hAnsi="Palatino Linotype" w:cs="Palatino Linotype"/>
          <w:i/>
          <w:iCs/>
          <w:sz w:val="22"/>
          <w:szCs w:val="22"/>
        </w:rPr>
        <w:t>. Para los efectos de la presente Ley se entenderá por:</w:t>
      </w:r>
    </w:p>
    <w:p w14:paraId="29C7F55A" w14:textId="77777777" w:rsidR="00C9648B" w:rsidRPr="00C94789" w:rsidRDefault="0060528D">
      <w:pPr>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w:t>
      </w:r>
    </w:p>
    <w:p w14:paraId="771C3FB4" w14:textId="77777777" w:rsidR="00C9648B" w:rsidRPr="00C94789" w:rsidRDefault="0060528D">
      <w:pPr>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IX. Datos personales:</w:t>
      </w:r>
      <w:r w:rsidRPr="00C94789">
        <w:rPr>
          <w:rFonts w:ascii="Palatino Linotype" w:eastAsia="Palatino Linotype" w:hAnsi="Palatino Linotype" w:cs="Palatino Linotype"/>
          <w:i/>
          <w:iCs/>
          <w:sz w:val="22"/>
          <w:szCs w:val="22"/>
        </w:rPr>
        <w:t xml:space="preserve"> La información concerniente a una persona, identificada o identificable según lo dispuesto por la Ley de Protección de Datos Personales del Estado de México; </w:t>
      </w:r>
    </w:p>
    <w:p w14:paraId="11C4DD92" w14:textId="77777777" w:rsidR="00C9648B" w:rsidRPr="00C94789" w:rsidRDefault="0060528D">
      <w:pPr>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XX. Información clasificada</w:t>
      </w:r>
      <w:r w:rsidRPr="00C94789">
        <w:rPr>
          <w:rFonts w:ascii="Palatino Linotype" w:eastAsia="Palatino Linotype" w:hAnsi="Palatino Linotype" w:cs="Palatino Linotype"/>
          <w:i/>
          <w:iCs/>
          <w:sz w:val="22"/>
          <w:szCs w:val="22"/>
        </w:rPr>
        <w:t>: Aquella considerada por la presente Ley como reservada o confidencial;</w:t>
      </w:r>
    </w:p>
    <w:p w14:paraId="4874E336" w14:textId="77777777" w:rsidR="00C9648B" w:rsidRPr="00C94789" w:rsidRDefault="0060528D">
      <w:pPr>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XXI. Información confidencial:</w:t>
      </w:r>
      <w:r w:rsidRPr="00C94789">
        <w:rPr>
          <w:rFonts w:ascii="Palatino Linotype" w:eastAsia="Palatino Linotype" w:hAnsi="Palatino Linotype" w:cs="Palatino Linotype"/>
          <w:i/>
          <w:iCs/>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73D58CC" w14:textId="77777777" w:rsidR="00C9648B" w:rsidRPr="00C94789" w:rsidRDefault="0060528D">
      <w:pPr>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XLV. Versión pública:</w:t>
      </w:r>
      <w:r w:rsidRPr="00C94789">
        <w:rPr>
          <w:rFonts w:ascii="Palatino Linotype" w:eastAsia="Palatino Linotype" w:hAnsi="Palatino Linotype" w:cs="Palatino Linotype"/>
          <w:i/>
          <w:iCs/>
          <w:sz w:val="22"/>
          <w:szCs w:val="22"/>
        </w:rPr>
        <w:t xml:space="preserve"> Documento en el que se elimine, suprime o borra la información clasificada como reservada o confidencial para permitir su acceso.</w:t>
      </w:r>
    </w:p>
    <w:p w14:paraId="17845D35" w14:textId="77777777" w:rsidR="00C9648B" w:rsidRPr="00C94789" w:rsidRDefault="0060528D">
      <w:pPr>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w:t>
      </w:r>
    </w:p>
    <w:p w14:paraId="4BF87E97" w14:textId="77777777" w:rsidR="00C9648B" w:rsidRPr="00C94789" w:rsidRDefault="0060528D">
      <w:pPr>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 xml:space="preserve">Artículo 91. </w:t>
      </w:r>
      <w:r w:rsidRPr="00C94789">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171D3383" w14:textId="77777777" w:rsidR="00C9648B" w:rsidRPr="00C94789" w:rsidRDefault="0060528D">
      <w:pPr>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 xml:space="preserve">Artículo 132. </w:t>
      </w:r>
      <w:r w:rsidRPr="00C94789">
        <w:rPr>
          <w:rFonts w:ascii="Palatino Linotype" w:eastAsia="Palatino Linotype" w:hAnsi="Palatino Linotype" w:cs="Palatino Linotype"/>
          <w:i/>
          <w:iCs/>
          <w:sz w:val="22"/>
          <w:szCs w:val="22"/>
        </w:rPr>
        <w:t>La clasificación de la información se llevará a cabo en el momento en que:</w:t>
      </w:r>
    </w:p>
    <w:p w14:paraId="564DD519" w14:textId="77777777" w:rsidR="00C9648B" w:rsidRPr="00C94789" w:rsidRDefault="0060528D">
      <w:pPr>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I</w:t>
      </w:r>
      <w:r w:rsidRPr="00C94789">
        <w:rPr>
          <w:rFonts w:ascii="Palatino Linotype" w:eastAsia="Palatino Linotype" w:hAnsi="Palatino Linotype" w:cs="Palatino Linotype"/>
          <w:i/>
          <w:iCs/>
          <w:sz w:val="22"/>
          <w:szCs w:val="22"/>
        </w:rPr>
        <w:t>. Se reciba una solicitud de acceso a la información;</w:t>
      </w:r>
    </w:p>
    <w:p w14:paraId="02F4F5E1" w14:textId="77777777" w:rsidR="00C9648B" w:rsidRPr="00C94789" w:rsidRDefault="0060528D">
      <w:pPr>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II</w:t>
      </w:r>
      <w:r w:rsidRPr="00C94789">
        <w:rPr>
          <w:rFonts w:ascii="Palatino Linotype" w:eastAsia="Palatino Linotype" w:hAnsi="Palatino Linotype" w:cs="Palatino Linotype"/>
          <w:i/>
          <w:iCs/>
          <w:sz w:val="22"/>
          <w:szCs w:val="22"/>
        </w:rPr>
        <w:t>. Se determine mediante resolución de autoridad competente; o</w:t>
      </w:r>
    </w:p>
    <w:p w14:paraId="0A896B65" w14:textId="77777777" w:rsidR="00C9648B" w:rsidRPr="00C94789" w:rsidRDefault="0060528D">
      <w:pPr>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III</w:t>
      </w:r>
      <w:r w:rsidRPr="00C94789">
        <w:rPr>
          <w:rFonts w:ascii="Palatino Linotype" w:eastAsia="Palatino Linotype" w:hAnsi="Palatino Linotype" w:cs="Palatino Linotype"/>
          <w:i/>
          <w:iCs/>
          <w:sz w:val="22"/>
          <w:szCs w:val="22"/>
        </w:rPr>
        <w:t>. Se generen versiones públicas para dar cumplimiento a las obligaciones de transparencia previstas en esta Ley.</w:t>
      </w:r>
    </w:p>
    <w:p w14:paraId="54E9AD14" w14:textId="77777777" w:rsidR="00C9648B" w:rsidRPr="00C94789" w:rsidRDefault="0060528D">
      <w:pPr>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w:t>
      </w:r>
    </w:p>
    <w:p w14:paraId="23A1A941" w14:textId="77777777" w:rsidR="00C9648B" w:rsidRPr="00C94789" w:rsidRDefault="0060528D">
      <w:pPr>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Artículo 143</w:t>
      </w:r>
      <w:r w:rsidRPr="00C94789">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0BE6FABC" w14:textId="77777777" w:rsidR="00C9648B" w:rsidRPr="00C94789" w:rsidRDefault="0060528D">
      <w:pPr>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I.</w:t>
      </w:r>
      <w:r w:rsidRPr="00C94789">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372DA2CA" w14:textId="77777777" w:rsidR="00C9648B" w:rsidRPr="00C94789" w:rsidRDefault="0060528D">
      <w:pPr>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II.</w:t>
      </w:r>
      <w:r w:rsidRPr="00C94789">
        <w:rPr>
          <w:rFonts w:ascii="Palatino Linotype" w:eastAsia="Palatino Linotype" w:hAnsi="Palatino Linotype" w:cs="Palatino Linotype"/>
          <w:i/>
          <w:iCs/>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CCAE477" w14:textId="77777777" w:rsidR="00C9648B" w:rsidRPr="00C94789" w:rsidRDefault="0060528D">
      <w:pPr>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III</w:t>
      </w:r>
      <w:r w:rsidRPr="00C94789">
        <w:rPr>
          <w:rFonts w:ascii="Palatino Linotype" w:eastAsia="Palatino Linotype" w:hAnsi="Palatino Linotype" w:cs="Palatino Linotype"/>
          <w:i/>
          <w:iCs/>
          <w:sz w:val="22"/>
          <w:szCs w:val="22"/>
        </w:rPr>
        <w:t>. La que presenten los particulares a los sujetos obligados, de conformidad con lo dispuesto por las leyes o los tratados internacionales.</w:t>
      </w:r>
    </w:p>
    <w:p w14:paraId="3EAB9534" w14:textId="77777777" w:rsidR="00C9648B" w:rsidRPr="00C94789" w:rsidRDefault="0060528D">
      <w:pPr>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5787BBFD" w14:textId="77777777" w:rsidR="00C9648B" w:rsidRPr="00C94789" w:rsidRDefault="0060528D">
      <w:pPr>
        <w:ind w:left="567"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0D43B96C"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7A2D15E9" w14:textId="77777777" w:rsidR="00C9648B" w:rsidRPr="00C94789" w:rsidRDefault="0060528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No obstante, lo anterior, por el tipo de documentales requeridos por la persona solicitante, por su naturaleza puede contener datos personales de índole confidencial, de manera enunciativa más no limitativa, RFC, CURP y número de empleado, conforme lo siguiente</w:t>
      </w:r>
    </w:p>
    <w:p w14:paraId="2EAE75E5" w14:textId="77777777" w:rsidR="00C9648B" w:rsidRPr="00C94789" w:rsidRDefault="0060528D">
      <w:pPr>
        <w:numPr>
          <w:ilvl w:val="0"/>
          <w:numId w:val="2"/>
        </w:numPr>
        <w:pBdr>
          <w:top w:val="nil"/>
          <w:left w:val="nil"/>
          <w:bottom w:val="nil"/>
          <w:right w:val="nil"/>
          <w:between w:val="nil"/>
        </w:pBdr>
        <w:spacing w:before="240" w:line="360" w:lineRule="auto"/>
        <w:ind w:left="284" w:hanging="284"/>
        <w:jc w:val="both"/>
        <w:rPr>
          <w:rFonts w:ascii="Palatino Linotype" w:eastAsia="Palatino Linotype" w:hAnsi="Palatino Linotype" w:cs="Palatino Linotype"/>
          <w:b/>
          <w:bCs/>
          <w:sz w:val="22"/>
          <w:szCs w:val="22"/>
        </w:rPr>
      </w:pPr>
      <w:r w:rsidRPr="00C94789">
        <w:rPr>
          <w:rFonts w:ascii="Palatino Linotype" w:eastAsia="Palatino Linotype" w:hAnsi="Palatino Linotype" w:cs="Palatino Linotype"/>
          <w:b/>
          <w:bCs/>
          <w:sz w:val="22"/>
          <w:szCs w:val="22"/>
        </w:rPr>
        <w:t>El Registro Federal de Contribuyentes (RFC):</w:t>
      </w:r>
    </w:p>
    <w:p w14:paraId="75ED9B8B" w14:textId="77777777" w:rsidR="00C9648B" w:rsidRPr="00C94789" w:rsidRDefault="00C9648B">
      <w:pPr>
        <w:spacing w:line="360" w:lineRule="auto"/>
        <w:ind w:right="49"/>
        <w:jc w:val="both"/>
        <w:rPr>
          <w:rFonts w:ascii="Palatino Linotype" w:eastAsia="Palatino Linotype" w:hAnsi="Palatino Linotype" w:cs="Palatino Linotype"/>
          <w:sz w:val="22"/>
          <w:szCs w:val="22"/>
        </w:rPr>
      </w:pPr>
    </w:p>
    <w:p w14:paraId="37751D08" w14:textId="77777777" w:rsidR="00C9648B" w:rsidRPr="00C94789" w:rsidRDefault="0060528D">
      <w:pPr>
        <w:spacing w:line="360" w:lineRule="auto"/>
        <w:ind w:right="49"/>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El RFC constituye un dato personal, ya que para su obtención es necesario acreditar ante la autoridad fiscal previamente la identidad de la persona, su fecha de nacimiento, entre otros aspectos.</w:t>
      </w:r>
    </w:p>
    <w:p w14:paraId="22E7875C" w14:textId="77777777" w:rsidR="00C9648B" w:rsidRPr="00C94789" w:rsidRDefault="00C9648B">
      <w:pPr>
        <w:spacing w:line="360" w:lineRule="auto"/>
        <w:ind w:right="49"/>
        <w:jc w:val="both"/>
        <w:rPr>
          <w:rFonts w:ascii="Palatino Linotype" w:eastAsia="Palatino Linotype" w:hAnsi="Palatino Linotype" w:cs="Palatino Linotype"/>
          <w:sz w:val="22"/>
          <w:szCs w:val="22"/>
        </w:rPr>
      </w:pPr>
    </w:p>
    <w:p w14:paraId="2740AAE4"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6E8B7D4"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58E13966"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Lo anterior es compartido por el entonces Instituto Nacional de Transparencia, Acceso a la Información y Protección de Datos (INAI) a través del Criterio orientador 19/17, el cual es del tenor literal siguiente:</w:t>
      </w:r>
    </w:p>
    <w:p w14:paraId="5363E1C9"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39D9ACCB" w14:textId="77777777" w:rsidR="00C9648B" w:rsidRPr="00C94789" w:rsidRDefault="0060528D">
      <w:pPr>
        <w:ind w:left="851"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 xml:space="preserve">“Registro Federal de Contribuyentes (RFC) de personas físicas. </w:t>
      </w:r>
      <w:r w:rsidRPr="00C94789">
        <w:rPr>
          <w:rFonts w:ascii="Palatino Linotype" w:eastAsia="Palatino Linotype" w:hAnsi="Palatino Linotype" w:cs="Palatino Linotype"/>
          <w:i/>
          <w:iCs/>
          <w:sz w:val="22"/>
          <w:szCs w:val="22"/>
        </w:rPr>
        <w:t>El RFC es una clave de carácter fiscal, única e irrepetible, que permite identificar al titular, su edad y fecha de nacimiento, por lo que es un dato personal de carácter confidencial.” (Sic)</w:t>
      </w:r>
    </w:p>
    <w:p w14:paraId="6EC6BA3D" w14:textId="77777777" w:rsidR="00C9648B" w:rsidRPr="00C94789" w:rsidRDefault="00C9648B">
      <w:pPr>
        <w:ind w:left="851" w:right="902"/>
        <w:jc w:val="both"/>
        <w:rPr>
          <w:rFonts w:ascii="Arial" w:eastAsia="Arial" w:hAnsi="Arial" w:cs="Arial"/>
          <w:sz w:val="22"/>
          <w:szCs w:val="22"/>
        </w:rPr>
      </w:pPr>
    </w:p>
    <w:p w14:paraId="58E3B5D6" w14:textId="77777777" w:rsidR="00C9648B" w:rsidRPr="00C94789" w:rsidRDefault="0060528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 por lo que se actualiza la procedencia de la clasificación en términos de los dispuesto por el artículo 143 fracción I de la Ley de la Materia.</w:t>
      </w:r>
    </w:p>
    <w:p w14:paraId="32C3C05D" w14:textId="77777777" w:rsidR="00C9648B" w:rsidRPr="00C94789" w:rsidRDefault="00C9648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AB77FA9" w14:textId="77777777" w:rsidR="00C9648B" w:rsidRPr="00C94789" w:rsidRDefault="0060528D">
      <w:pPr>
        <w:numPr>
          <w:ilvl w:val="0"/>
          <w:numId w:val="2"/>
        </w:numPr>
        <w:pBdr>
          <w:top w:val="nil"/>
          <w:left w:val="nil"/>
          <w:bottom w:val="nil"/>
          <w:right w:val="nil"/>
          <w:between w:val="nil"/>
        </w:pBdr>
        <w:spacing w:line="360" w:lineRule="auto"/>
        <w:ind w:left="426"/>
        <w:jc w:val="both"/>
        <w:rPr>
          <w:rFonts w:ascii="Palatino Linotype" w:eastAsia="Palatino Linotype" w:hAnsi="Palatino Linotype" w:cs="Palatino Linotype"/>
          <w:b/>
          <w:bCs/>
          <w:sz w:val="22"/>
          <w:szCs w:val="22"/>
        </w:rPr>
      </w:pPr>
      <w:r w:rsidRPr="00C94789">
        <w:rPr>
          <w:rFonts w:ascii="Palatino Linotype" w:eastAsia="Palatino Linotype" w:hAnsi="Palatino Linotype" w:cs="Palatino Linotype"/>
          <w:b/>
          <w:bCs/>
          <w:sz w:val="22"/>
          <w:szCs w:val="22"/>
        </w:rPr>
        <w:t>Clave Única del Registro de Población (CURP):</w:t>
      </w:r>
    </w:p>
    <w:p w14:paraId="0CA94200" w14:textId="77777777" w:rsidR="00C9648B" w:rsidRPr="00C94789" w:rsidRDefault="00C9648B">
      <w:pPr>
        <w:pBdr>
          <w:top w:val="nil"/>
          <w:left w:val="nil"/>
          <w:bottom w:val="nil"/>
          <w:right w:val="nil"/>
          <w:between w:val="nil"/>
        </w:pBdr>
        <w:spacing w:line="360" w:lineRule="auto"/>
        <w:ind w:left="426"/>
        <w:jc w:val="both"/>
        <w:rPr>
          <w:rFonts w:ascii="Palatino Linotype" w:eastAsia="Palatino Linotype" w:hAnsi="Palatino Linotype" w:cs="Palatino Linotype"/>
          <w:b/>
          <w:bCs/>
          <w:sz w:val="22"/>
          <w:szCs w:val="22"/>
        </w:rPr>
      </w:pPr>
    </w:p>
    <w:p w14:paraId="5455B80A" w14:textId="77777777" w:rsidR="00C9648B" w:rsidRPr="00C94789" w:rsidRDefault="0060528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  por lo que se actualiza la procedencia de la clasificación en términos de los dispuesto por el artículo 143 fracción I de la Ley de la Materia.</w:t>
      </w:r>
    </w:p>
    <w:p w14:paraId="778240C1"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5AFB263F"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Argumento que es compartido por el entonces Instituto Nacional de Transparencia, Acceso a la Información y Protección de Datos (INAI)</w:t>
      </w:r>
      <w:r w:rsidRPr="00C94789">
        <w:rPr>
          <w:rFonts w:ascii="Palatino Linotype" w:eastAsia="Palatino Linotype" w:hAnsi="Palatino Linotype" w:cs="Palatino Linotype"/>
          <w:b/>
          <w:bCs/>
          <w:sz w:val="22"/>
          <w:szCs w:val="22"/>
        </w:rPr>
        <w:t xml:space="preserve">, conforme al </w:t>
      </w:r>
      <w:r w:rsidRPr="00C94789">
        <w:rPr>
          <w:rFonts w:ascii="Palatino Linotype" w:eastAsia="Palatino Linotype" w:hAnsi="Palatino Linotype" w:cs="Palatino Linotype"/>
          <w:sz w:val="22"/>
          <w:szCs w:val="22"/>
        </w:rPr>
        <w:t xml:space="preserve">criterio orientador número 18/17, el cual refiere: </w:t>
      </w:r>
    </w:p>
    <w:p w14:paraId="6FF71BB8"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75EF6411" w14:textId="77777777" w:rsidR="00C9648B" w:rsidRPr="00C94789" w:rsidRDefault="0060528D">
      <w:pPr>
        <w:pBdr>
          <w:top w:val="nil"/>
          <w:left w:val="nil"/>
          <w:bottom w:val="nil"/>
          <w:right w:val="nil"/>
          <w:between w:val="nil"/>
        </w:pBdr>
        <w:ind w:left="851"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 xml:space="preserve">“Clave Única de Registro de Población (CURP). </w:t>
      </w:r>
      <w:r w:rsidRPr="00C94789">
        <w:rPr>
          <w:rFonts w:ascii="Palatino Linotype" w:eastAsia="Palatino Linotype" w:hAnsi="Palatino Linotype" w:cs="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7BDED4B0"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2E924F29"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Con relación al </w:t>
      </w:r>
      <w:r w:rsidRPr="00C94789">
        <w:rPr>
          <w:rFonts w:ascii="Palatino Linotype" w:eastAsia="Palatino Linotype" w:hAnsi="Palatino Linotype" w:cs="Palatino Linotype"/>
          <w:b/>
          <w:bCs/>
          <w:sz w:val="22"/>
          <w:szCs w:val="22"/>
        </w:rPr>
        <w:t>número de empleado</w:t>
      </w:r>
      <w:r w:rsidRPr="00C94789">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C94789">
        <w:rPr>
          <w:rFonts w:ascii="Palatino Linotype" w:eastAsia="Palatino Linotype" w:hAnsi="Palatino Linotype" w:cs="Palatino Linotype"/>
          <w:sz w:val="22"/>
          <w:szCs w:val="22"/>
          <w:vertAlign w:val="superscript"/>
        </w:rPr>
        <w:footnoteReference w:id="4"/>
      </w:r>
      <w:r w:rsidRPr="00C94789">
        <w:rPr>
          <w:rFonts w:ascii="Palatino Linotype" w:eastAsia="Palatino Linotype" w:hAnsi="Palatino Linotype" w:cs="Palatino Linotype"/>
          <w:sz w:val="22"/>
          <w:szCs w:val="22"/>
        </w:rPr>
        <w:t>.</w:t>
      </w:r>
    </w:p>
    <w:p w14:paraId="3DF3AF09"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488ECFA0"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se ha pronunciado sobre su publicidad, a través del Criterio orientador con Clave de control SO/006/2019, que indica lo siguiente:</w:t>
      </w:r>
    </w:p>
    <w:p w14:paraId="29C0016C"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46034CF9" w14:textId="77777777" w:rsidR="00C9648B" w:rsidRPr="00C94789" w:rsidRDefault="0060528D">
      <w:pPr>
        <w:tabs>
          <w:tab w:val="left" w:pos="7655"/>
        </w:tabs>
        <w:ind w:left="851" w:right="616"/>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w:t>
      </w:r>
      <w:r w:rsidRPr="00C94789">
        <w:rPr>
          <w:rFonts w:ascii="Palatino Linotype" w:eastAsia="Palatino Linotype" w:hAnsi="Palatino Linotype" w:cs="Palatino Linotype"/>
          <w:b/>
          <w:bCs/>
          <w:i/>
          <w:iCs/>
          <w:sz w:val="22"/>
          <w:szCs w:val="22"/>
        </w:rPr>
        <w:t xml:space="preserve">Número de empleado. </w:t>
      </w:r>
      <w:r w:rsidRPr="00C94789">
        <w:rPr>
          <w:rFonts w:ascii="Palatino Linotype" w:eastAsia="Palatino Linotype" w:hAnsi="Palatino Linotype" w:cs="Palatino Linotype"/>
          <w:i/>
          <w:iCs/>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07ACC3E7" w14:textId="77777777" w:rsidR="00C9648B" w:rsidRPr="00C94789" w:rsidRDefault="00C9648B">
      <w:pPr>
        <w:tabs>
          <w:tab w:val="left" w:pos="7655"/>
        </w:tabs>
        <w:ind w:left="851" w:right="616"/>
        <w:jc w:val="both"/>
        <w:rPr>
          <w:rFonts w:ascii="Palatino Linotype" w:eastAsia="Palatino Linotype" w:hAnsi="Palatino Linotype" w:cs="Palatino Linotype"/>
          <w:i/>
          <w:iCs/>
          <w:sz w:val="22"/>
          <w:szCs w:val="22"/>
        </w:rPr>
      </w:pPr>
    </w:p>
    <w:p w14:paraId="09E4276C"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C94789">
        <w:rPr>
          <w:rFonts w:ascii="Palatino Linotype" w:eastAsia="Palatino Linotype" w:hAnsi="Palatino Linotype" w:cs="Palatino Linotype"/>
          <w:b/>
          <w:bCs/>
          <w:sz w:val="22"/>
          <w:szCs w:val="22"/>
        </w:rPr>
        <w:t>Sujeto Obligado</w:t>
      </w:r>
      <w:r w:rsidRPr="00C94789">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10C91E0C"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0E927499"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mismos que se encontraban vigentes a la fecha de la solicitud,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38FDAF0"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60CEFC5B"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cuarto y Quincuagésimo quinto, vigentes a la fecha de la solicitud señalan las formalidades que deberá llevar el acuerdo de clasificación que deberá emitir el </w:t>
      </w:r>
      <w:r w:rsidRPr="00C94789">
        <w:rPr>
          <w:rFonts w:ascii="Palatino Linotype" w:eastAsia="Palatino Linotype" w:hAnsi="Palatino Linotype" w:cs="Palatino Linotype"/>
          <w:b/>
          <w:bCs/>
          <w:sz w:val="22"/>
          <w:szCs w:val="22"/>
        </w:rPr>
        <w:t>Sujeto Obligado</w:t>
      </w:r>
      <w:r w:rsidRPr="00C94789">
        <w:rPr>
          <w:rFonts w:ascii="Palatino Linotype" w:eastAsia="Palatino Linotype" w:hAnsi="Palatino Linotype" w:cs="Palatino Linotype"/>
          <w:sz w:val="22"/>
          <w:szCs w:val="22"/>
        </w:rPr>
        <w:t>, siendo estas las siguientes:</w:t>
      </w:r>
    </w:p>
    <w:p w14:paraId="7FB420B9"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3C58481A" w14:textId="77777777" w:rsidR="00C9648B" w:rsidRPr="00C94789" w:rsidRDefault="0060528D">
      <w:pPr>
        <w:spacing w:line="276" w:lineRule="auto"/>
        <w:ind w:lef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“CAPÍTULO VIII </w:t>
      </w:r>
    </w:p>
    <w:p w14:paraId="21D2E0B1" w14:textId="77777777" w:rsidR="00C9648B" w:rsidRPr="00C94789" w:rsidRDefault="0060528D">
      <w:pPr>
        <w:spacing w:line="276" w:lineRule="auto"/>
        <w:ind w:left="56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DE LOS ELEMENTOS PARA LA CLASIFICACIÓN </w:t>
      </w:r>
    </w:p>
    <w:p w14:paraId="3202B893" w14:textId="77777777" w:rsidR="00C9648B" w:rsidRPr="00C94789" w:rsidRDefault="0060528D">
      <w:pPr>
        <w:spacing w:line="276" w:lineRule="auto"/>
        <w:ind w:left="567" w:right="900"/>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 xml:space="preserve">Quincuagésimo. </w:t>
      </w:r>
      <w:r w:rsidRPr="00C94789">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D6FA3D0" w14:textId="77777777" w:rsidR="00C9648B" w:rsidRPr="00C94789" w:rsidRDefault="0060528D">
      <w:pPr>
        <w:spacing w:line="276" w:lineRule="auto"/>
        <w:ind w:left="567" w:right="900"/>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 xml:space="preserve">Quincuagésimo primero. </w:t>
      </w:r>
      <w:r w:rsidRPr="00C94789">
        <w:rPr>
          <w:rFonts w:ascii="Palatino Linotype" w:eastAsia="Palatino Linotype" w:hAnsi="Palatino Linotype" w:cs="Palatino Linotype"/>
          <w:i/>
          <w:iCs/>
          <w:sz w:val="22"/>
          <w:szCs w:val="22"/>
        </w:rPr>
        <w:t xml:space="preserve">Toda acta del Comité de Transparencia deberá contener: </w:t>
      </w:r>
    </w:p>
    <w:p w14:paraId="2EEC362F" w14:textId="77777777" w:rsidR="00C9648B" w:rsidRPr="00C94789" w:rsidRDefault="0060528D">
      <w:pPr>
        <w:spacing w:line="276" w:lineRule="auto"/>
        <w:ind w:left="567" w:right="900"/>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I. El número de sesión y fecha; </w:t>
      </w:r>
    </w:p>
    <w:p w14:paraId="36E777D3" w14:textId="77777777" w:rsidR="00C9648B" w:rsidRPr="00C94789" w:rsidRDefault="0060528D">
      <w:pPr>
        <w:spacing w:line="276" w:lineRule="auto"/>
        <w:ind w:left="567" w:right="900"/>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II. El nombre del área que solicitó la clasificación de información; </w:t>
      </w:r>
    </w:p>
    <w:p w14:paraId="68ECAFD1" w14:textId="77777777" w:rsidR="00C9648B" w:rsidRPr="00C94789" w:rsidRDefault="0060528D">
      <w:pPr>
        <w:spacing w:line="276" w:lineRule="auto"/>
        <w:ind w:left="567" w:right="900"/>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III. La fundamentación legal y motivación correspondiente; </w:t>
      </w:r>
    </w:p>
    <w:p w14:paraId="5B21E0C8" w14:textId="77777777" w:rsidR="00C9648B" w:rsidRPr="00C94789" w:rsidRDefault="0060528D">
      <w:pPr>
        <w:spacing w:line="276" w:lineRule="auto"/>
        <w:ind w:left="567" w:right="900"/>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IV. La resolución o resoluciones aprobadas; y </w:t>
      </w:r>
    </w:p>
    <w:p w14:paraId="3DB93C29" w14:textId="77777777" w:rsidR="00C9648B" w:rsidRPr="00C94789" w:rsidRDefault="0060528D">
      <w:pPr>
        <w:spacing w:line="276" w:lineRule="auto"/>
        <w:ind w:left="567" w:right="900"/>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V. La rúbrica o firma digital de cada integrante del Comité de Transparencia. </w:t>
      </w:r>
    </w:p>
    <w:p w14:paraId="0645D321" w14:textId="77777777" w:rsidR="00C9648B" w:rsidRPr="00C94789" w:rsidRDefault="0060528D">
      <w:pPr>
        <w:spacing w:line="276" w:lineRule="auto"/>
        <w:ind w:left="567" w:right="900"/>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w:t>
      </w:r>
    </w:p>
    <w:p w14:paraId="3FC1517C" w14:textId="77777777" w:rsidR="00C9648B" w:rsidRPr="00C94789" w:rsidRDefault="0060528D">
      <w:pPr>
        <w:spacing w:line="276" w:lineRule="auto"/>
        <w:ind w:left="567" w:right="900"/>
        <w:jc w:val="both"/>
        <w:rPr>
          <w:rFonts w:ascii="Palatino Linotype" w:eastAsia="Palatino Linotype" w:hAnsi="Palatino Linotype" w:cs="Palatino Linotype"/>
          <w:b/>
          <w:bCs/>
          <w:i/>
          <w:iCs/>
          <w:sz w:val="22"/>
          <w:szCs w:val="22"/>
          <w:u w:val="single"/>
        </w:rPr>
      </w:pPr>
      <w:r w:rsidRPr="00C94789">
        <w:rPr>
          <w:rFonts w:ascii="Palatino Linotype" w:eastAsia="Palatino Linotype" w:hAnsi="Palatino Linotype" w:cs="Palatino Linotype"/>
          <w:i/>
          <w:iCs/>
          <w:sz w:val="22"/>
          <w:szCs w:val="22"/>
        </w:rPr>
        <w:t xml:space="preserve">En los casos de resoluciones del Comité de Transparencia en las que se </w:t>
      </w:r>
      <w:r w:rsidRPr="00C94789">
        <w:rPr>
          <w:rFonts w:ascii="Palatino Linotype" w:eastAsia="Palatino Linotype" w:hAnsi="Palatino Linotype" w:cs="Palatino Linotype"/>
          <w:b/>
          <w:bCs/>
          <w:i/>
          <w:iCs/>
          <w:sz w:val="22"/>
          <w:szCs w:val="22"/>
          <w:u w:val="single"/>
        </w:rPr>
        <w:t>confirme la clasificación de información confidencial solo se deberán de identificar los tipos de datos protegidos, de conformidad con el lineamiento trigésimo octavo.</w:t>
      </w:r>
    </w:p>
    <w:p w14:paraId="765FDA3C" w14:textId="77777777" w:rsidR="00C9648B" w:rsidRPr="00C94789" w:rsidRDefault="0060528D">
      <w:pPr>
        <w:spacing w:line="276" w:lineRule="auto"/>
        <w:ind w:left="567" w:right="900"/>
        <w:jc w:val="both"/>
        <w:rPr>
          <w:rFonts w:ascii="Palatino Linotype" w:eastAsia="Palatino Linotype" w:hAnsi="Palatino Linotype" w:cs="Palatino Linotype"/>
          <w:b/>
          <w:bCs/>
          <w:i/>
          <w:iCs/>
          <w:sz w:val="22"/>
          <w:szCs w:val="22"/>
        </w:rPr>
      </w:pPr>
      <w:r w:rsidRPr="00C94789">
        <w:rPr>
          <w:rFonts w:ascii="Palatino Linotype" w:eastAsia="Palatino Linotype" w:hAnsi="Palatino Linotype" w:cs="Palatino Linotype"/>
          <w:b/>
          <w:bCs/>
          <w:i/>
          <w:iCs/>
          <w:sz w:val="22"/>
          <w:szCs w:val="22"/>
        </w:rPr>
        <w:t xml:space="preserve">Quincuagésimo segundo. </w:t>
      </w:r>
      <w:r w:rsidRPr="00C94789">
        <w:rPr>
          <w:rFonts w:ascii="Palatino Linotype" w:eastAsia="Palatino Linotype" w:hAnsi="Palatino Linotype" w:cs="Palatino Linotype"/>
          <w:i/>
          <w:iCs/>
          <w:sz w:val="22"/>
          <w:szCs w:val="22"/>
        </w:rPr>
        <w:t xml:space="preserve">Para la clasificación y elaboración de versiones públicas de documentos que contengan información clasificada como reservada o </w:t>
      </w:r>
      <w:r w:rsidRPr="00C94789">
        <w:rPr>
          <w:rFonts w:ascii="Palatino Linotype" w:eastAsia="Palatino Linotype" w:hAnsi="Palatino Linotype" w:cs="Palatino Linotype"/>
          <w:b/>
          <w:bCs/>
          <w:i/>
          <w:iCs/>
          <w:sz w:val="22"/>
          <w:szCs w:val="22"/>
        </w:rPr>
        <w:t>confidencial,</w:t>
      </w:r>
      <w:r w:rsidRPr="00C94789">
        <w:rPr>
          <w:rFonts w:ascii="Palatino Linotype" w:eastAsia="Palatino Linotype" w:hAnsi="Palatino Linotype" w:cs="Palatino Linotype"/>
          <w:i/>
          <w:iCs/>
          <w:sz w:val="22"/>
          <w:szCs w:val="22"/>
        </w:rPr>
        <w:t xml:space="preserve"> las áreas de los sujetos obligados deberán tomar las medidas pertinentes tendientes a asegurar que el espacio utilizado para testar la información no podrá ser empleado para la sobreposición de contenido distinto al autorizado por el Comité.</w:t>
      </w:r>
    </w:p>
    <w:p w14:paraId="564427FB" w14:textId="77777777" w:rsidR="00C9648B" w:rsidRPr="00C94789" w:rsidRDefault="0060528D">
      <w:pPr>
        <w:spacing w:line="276" w:lineRule="auto"/>
        <w:ind w:left="567" w:right="900"/>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0FBEAF83" w14:textId="77777777" w:rsidR="00C9648B" w:rsidRPr="00C94789" w:rsidRDefault="0060528D">
      <w:pPr>
        <w:spacing w:line="276" w:lineRule="auto"/>
        <w:ind w:left="567" w:right="900"/>
        <w:jc w:val="both"/>
        <w:rPr>
          <w:rFonts w:ascii="Palatino Linotype" w:eastAsia="Palatino Linotype" w:hAnsi="Palatino Linotype" w:cs="Palatino Linotype"/>
          <w:b/>
          <w:bCs/>
          <w:i/>
          <w:iCs/>
          <w:sz w:val="22"/>
          <w:szCs w:val="22"/>
        </w:rPr>
      </w:pPr>
      <w:r w:rsidRPr="00C94789">
        <w:rPr>
          <w:rFonts w:ascii="Palatino Linotype" w:eastAsia="Palatino Linotype" w:hAnsi="Palatino Linotype" w:cs="Palatino Linotype"/>
          <w:b/>
          <w:bCs/>
          <w:i/>
          <w:iCs/>
          <w:sz w:val="22"/>
          <w:szCs w:val="22"/>
        </w:rPr>
        <w:t xml:space="preserve">I. Fijar la fecha en que se elaboró la versión pública y la fecha en la cual el Comité de Transparencia confirmó dicha versión; </w:t>
      </w:r>
    </w:p>
    <w:p w14:paraId="215FFA93" w14:textId="77777777" w:rsidR="00C9648B" w:rsidRPr="00C94789" w:rsidRDefault="0060528D">
      <w:pPr>
        <w:spacing w:line="276" w:lineRule="auto"/>
        <w:ind w:left="567" w:right="900"/>
        <w:jc w:val="both"/>
        <w:rPr>
          <w:rFonts w:ascii="Palatino Linotype" w:eastAsia="Palatino Linotype" w:hAnsi="Palatino Linotype" w:cs="Palatino Linotype"/>
          <w:b/>
          <w:bCs/>
          <w:i/>
          <w:iCs/>
          <w:sz w:val="22"/>
          <w:szCs w:val="22"/>
        </w:rPr>
      </w:pPr>
      <w:r w:rsidRPr="00C94789">
        <w:rPr>
          <w:rFonts w:ascii="Palatino Linotype" w:eastAsia="Palatino Linotype" w:hAnsi="Palatino Linotype" w:cs="Palatino Linotype"/>
          <w:b/>
          <w:bCs/>
          <w:i/>
          <w:iCs/>
          <w:sz w:val="22"/>
          <w:szCs w:val="22"/>
        </w:rPr>
        <w:t xml:space="preserve">II. Señalar dentro del documento el tipo de información confidencial que fue testada en cada caso específico, de conformidad con el lineamiento trigésimo octavo; y </w:t>
      </w:r>
    </w:p>
    <w:p w14:paraId="7A1CA5E7" w14:textId="77777777" w:rsidR="00C9648B" w:rsidRPr="00C94789" w:rsidRDefault="0060528D">
      <w:pPr>
        <w:spacing w:line="276" w:lineRule="auto"/>
        <w:ind w:left="567" w:right="900"/>
        <w:jc w:val="both"/>
        <w:rPr>
          <w:rFonts w:ascii="Palatino Linotype" w:eastAsia="Palatino Linotype" w:hAnsi="Palatino Linotype" w:cs="Palatino Linotype"/>
          <w:b/>
          <w:bCs/>
          <w:i/>
          <w:iCs/>
          <w:sz w:val="22"/>
          <w:szCs w:val="22"/>
        </w:rPr>
      </w:pPr>
      <w:r w:rsidRPr="00C94789">
        <w:rPr>
          <w:rFonts w:ascii="Palatino Linotype" w:eastAsia="Palatino Linotype" w:hAnsi="Palatino Linotype" w:cs="Palatino Linotype"/>
          <w:b/>
          <w:bCs/>
          <w:i/>
          <w:iCs/>
          <w:sz w:val="22"/>
          <w:szCs w:val="22"/>
        </w:rPr>
        <w:t xml:space="preserve">III. Señalar las personas o instancias autorizadas a acceder a la información clasificada. </w:t>
      </w:r>
    </w:p>
    <w:p w14:paraId="38157A37" w14:textId="77777777" w:rsidR="00C9648B" w:rsidRPr="00C94789" w:rsidRDefault="0060528D">
      <w:pPr>
        <w:spacing w:line="276" w:lineRule="auto"/>
        <w:ind w:left="567" w:right="900"/>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En los documentos de difusión electrónica, señalar en la primera hoja y en el nombre del archivo, que la versión pública corresponde a un documento que contiene </w:t>
      </w:r>
      <w:r w:rsidRPr="00C94789">
        <w:rPr>
          <w:rFonts w:ascii="Palatino Linotype" w:eastAsia="Palatino Linotype" w:hAnsi="Palatino Linotype" w:cs="Palatino Linotype"/>
          <w:b/>
          <w:bCs/>
          <w:i/>
          <w:iCs/>
          <w:sz w:val="22"/>
          <w:szCs w:val="22"/>
          <w:u w:val="single"/>
        </w:rPr>
        <w:t>información confidencial.</w:t>
      </w:r>
      <w:r w:rsidRPr="00C94789">
        <w:rPr>
          <w:rFonts w:ascii="Palatino Linotype" w:eastAsia="Palatino Linotype" w:hAnsi="Palatino Linotype" w:cs="Palatino Linotype"/>
          <w:i/>
          <w:iCs/>
          <w:sz w:val="22"/>
          <w:szCs w:val="22"/>
        </w:rPr>
        <w:t xml:space="preserve"> </w:t>
      </w:r>
    </w:p>
    <w:p w14:paraId="2AFE6E04" w14:textId="77777777" w:rsidR="00C9648B" w:rsidRPr="00C94789" w:rsidRDefault="0060528D">
      <w:pPr>
        <w:spacing w:line="276" w:lineRule="auto"/>
        <w:ind w:left="567" w:right="900"/>
        <w:jc w:val="both"/>
        <w:rPr>
          <w:rFonts w:ascii="Palatino Linotype" w:eastAsia="Palatino Linotype" w:hAnsi="Palatino Linotype" w:cs="Palatino Linotype"/>
          <w:b/>
          <w:bCs/>
          <w:i/>
          <w:iCs/>
          <w:sz w:val="22"/>
          <w:szCs w:val="22"/>
        </w:rPr>
      </w:pPr>
      <w:r w:rsidRPr="00C94789">
        <w:rPr>
          <w:rFonts w:ascii="Palatino Linotype" w:eastAsia="Palatino Linotype" w:hAnsi="Palatino Linotype" w:cs="Palatino Linotype"/>
          <w:b/>
          <w:bCs/>
          <w:i/>
          <w:iCs/>
          <w:sz w:val="22"/>
          <w:szCs w:val="22"/>
        </w:rPr>
        <w:t>[…]</w:t>
      </w:r>
    </w:p>
    <w:p w14:paraId="7DCF67B7" w14:textId="77777777" w:rsidR="00C9648B" w:rsidRPr="00C94789" w:rsidRDefault="0060528D">
      <w:pPr>
        <w:spacing w:line="276" w:lineRule="auto"/>
        <w:ind w:left="567" w:right="900"/>
        <w:jc w:val="both"/>
        <w:rPr>
          <w:rFonts w:ascii="Palatino Linotype" w:eastAsia="Palatino Linotype" w:hAnsi="Palatino Linotype" w:cs="Palatino Linotype"/>
          <w:b/>
          <w:bCs/>
          <w:i/>
          <w:iCs/>
          <w:sz w:val="22"/>
          <w:szCs w:val="22"/>
        </w:rPr>
      </w:pPr>
      <w:r w:rsidRPr="00C94789">
        <w:rPr>
          <w:rFonts w:ascii="Palatino Linotype" w:eastAsia="Palatino Linotype" w:hAnsi="Palatino Linotype" w:cs="Palatino Linotype"/>
          <w:b/>
          <w:bCs/>
          <w:i/>
          <w:iCs/>
          <w:sz w:val="22"/>
          <w:szCs w:val="22"/>
        </w:rPr>
        <w:t xml:space="preserve">Quincuagésimo cuarto. </w:t>
      </w:r>
      <w:r w:rsidRPr="00C94789">
        <w:rPr>
          <w:rFonts w:ascii="Palatino Linotype" w:eastAsia="Palatino Linotype" w:hAnsi="Palatino Linotype" w:cs="Palatino Linotype"/>
          <w:i/>
          <w:iCs/>
          <w:sz w:val="22"/>
          <w:szCs w:val="22"/>
        </w:rPr>
        <w:t xml:space="preserve">Cuando el Comité de Transparencia confirme la clasificación de documentos reservados y/o </w:t>
      </w:r>
      <w:r w:rsidRPr="00C94789">
        <w:rPr>
          <w:rFonts w:ascii="Palatino Linotype" w:eastAsia="Palatino Linotype" w:hAnsi="Palatino Linotype" w:cs="Palatino Linotype"/>
          <w:b/>
          <w:bCs/>
          <w:i/>
          <w:iCs/>
          <w:sz w:val="22"/>
          <w:szCs w:val="22"/>
        </w:rPr>
        <w:t>confidenciales</w:t>
      </w:r>
      <w:r w:rsidRPr="00C94789">
        <w:rPr>
          <w:rFonts w:ascii="Palatino Linotype" w:eastAsia="Palatino Linotype" w:hAnsi="Palatino Linotype" w:cs="Palatino Linotype"/>
          <w:i/>
          <w:iCs/>
          <w:sz w:val="22"/>
          <w:szCs w:val="22"/>
        </w:rPr>
        <w:t>,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C94789">
        <w:rPr>
          <w:rFonts w:ascii="Palatino Linotype" w:eastAsia="Palatino Linotype" w:hAnsi="Palatino Linotype" w:cs="Palatino Linotype"/>
          <w:b/>
          <w:bCs/>
          <w:i/>
          <w:iCs/>
          <w:sz w:val="22"/>
          <w:szCs w:val="22"/>
        </w:rPr>
        <w:t xml:space="preserve"> </w:t>
      </w:r>
    </w:p>
    <w:p w14:paraId="18CAD6A3" w14:textId="77777777" w:rsidR="00C9648B" w:rsidRPr="00C94789" w:rsidRDefault="0060528D">
      <w:pPr>
        <w:spacing w:line="276" w:lineRule="auto"/>
        <w:ind w:left="567" w:right="900"/>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 xml:space="preserve">Quincuagésimo quinto. </w:t>
      </w:r>
      <w:r w:rsidRPr="00C94789">
        <w:rPr>
          <w:rFonts w:ascii="Palatino Linotype" w:eastAsia="Palatino Linotype" w:hAnsi="Palatino Linotype" w:cs="Palatino Linotype"/>
          <w:i/>
          <w:iCs/>
          <w:sz w:val="22"/>
          <w:szCs w:val="22"/>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3898E822"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5D0E2DAD"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Entorno a lo que aquí nos interesa, los Lineamientos Quincuagésimo sexto, Quincuagésimo séptimo y Quincuagésimo octavo, vigentes a la fecha de la solicitud establecen lo siguiente:</w:t>
      </w:r>
    </w:p>
    <w:p w14:paraId="03FB3113"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5696569B" w14:textId="77777777" w:rsidR="00C9648B" w:rsidRPr="00C94789" w:rsidRDefault="0060528D">
      <w:pPr>
        <w:ind w:left="851"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w:t>
      </w:r>
      <w:r w:rsidRPr="00C94789">
        <w:rPr>
          <w:rFonts w:ascii="Palatino Linotype" w:eastAsia="Palatino Linotype" w:hAnsi="Palatino Linotype" w:cs="Palatino Linotype"/>
          <w:b/>
          <w:bCs/>
          <w:i/>
          <w:iCs/>
          <w:sz w:val="22"/>
          <w:szCs w:val="22"/>
        </w:rPr>
        <w:t>Quincuagésimo sexto.</w:t>
      </w:r>
      <w:r w:rsidRPr="00C94789">
        <w:rPr>
          <w:rFonts w:ascii="Palatino Linotype" w:eastAsia="Palatino Linotype" w:hAnsi="Palatino Linotype" w:cs="Palatino Linotype"/>
          <w:i/>
          <w:iCs/>
          <w:sz w:val="22"/>
          <w:szCs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08554B2" w14:textId="77777777" w:rsidR="00C9648B" w:rsidRPr="00C94789" w:rsidRDefault="0060528D">
      <w:pPr>
        <w:ind w:left="851"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Quincuagésimo séptimo.</w:t>
      </w:r>
      <w:r w:rsidRPr="00C94789">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760F0914" w14:textId="77777777" w:rsidR="00C9648B" w:rsidRPr="00C94789" w:rsidRDefault="0060528D">
      <w:pPr>
        <w:ind w:left="851"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I.</w:t>
      </w:r>
      <w:r w:rsidRPr="00C94789">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39DC2AFE" w14:textId="77777777" w:rsidR="00C9648B" w:rsidRPr="00C94789" w:rsidRDefault="0060528D">
      <w:pPr>
        <w:ind w:left="851"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II.</w:t>
      </w:r>
      <w:r w:rsidRPr="00C94789">
        <w:rPr>
          <w:rFonts w:ascii="Palatino Linotype" w:eastAsia="Palatino Linotype" w:hAnsi="Palatino Linotype" w:cs="Palatino Linotype"/>
          <w:i/>
          <w:iCs/>
          <w:sz w:val="22"/>
          <w:szCs w:val="22"/>
        </w:rPr>
        <w:t xml:space="preserve"> El nombre de los servidores públicos en los documentos, y sus firmas autógrafas, cuando sean utilizados en el ejercicio de las facultades conferidas para el desempeño del servicio público, y </w:t>
      </w:r>
    </w:p>
    <w:p w14:paraId="4E6A2D50" w14:textId="77777777" w:rsidR="00C9648B" w:rsidRPr="00C94789" w:rsidRDefault="0060528D">
      <w:pPr>
        <w:ind w:left="851"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III.</w:t>
      </w:r>
      <w:r w:rsidRPr="00C94789">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A592423" w14:textId="77777777" w:rsidR="00C9648B" w:rsidRPr="00C94789" w:rsidRDefault="0060528D">
      <w:pPr>
        <w:spacing w:line="276" w:lineRule="auto"/>
        <w:ind w:left="851"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internaciones suscritos por el Estado mexicano. </w:t>
      </w:r>
    </w:p>
    <w:p w14:paraId="28CC36E5" w14:textId="77777777" w:rsidR="00C9648B" w:rsidRPr="00C94789" w:rsidRDefault="0060528D">
      <w:pPr>
        <w:spacing w:line="276" w:lineRule="auto"/>
        <w:ind w:left="851" w:right="902"/>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b/>
          <w:bCs/>
          <w:i/>
          <w:iCs/>
          <w:sz w:val="22"/>
          <w:szCs w:val="22"/>
        </w:rPr>
        <w:t>Quincuagésimo octavo</w:t>
      </w:r>
      <w:r w:rsidRPr="00C94789">
        <w:rPr>
          <w:rFonts w:ascii="Palatino Linotype" w:eastAsia="Palatino Linotype" w:hAnsi="Palatino Linotype" w:cs="Palatino Linotype"/>
          <w:i/>
          <w:iCs/>
          <w:sz w:val="22"/>
          <w:szCs w:val="22"/>
        </w:rPr>
        <w:t>. Los sujetos obligados garantizarán que los sistemas o medios empleados para eliminar la información en las versiones públicas no permitan la recuperación o visualización de la misma.”</w:t>
      </w:r>
    </w:p>
    <w:p w14:paraId="3D62C369" w14:textId="77777777" w:rsidR="00C9648B" w:rsidRPr="00C94789" w:rsidRDefault="00C9648B">
      <w:pPr>
        <w:spacing w:line="360" w:lineRule="auto"/>
        <w:ind w:left="851" w:right="902"/>
        <w:jc w:val="both"/>
        <w:rPr>
          <w:rFonts w:ascii="Palatino Linotype" w:eastAsia="Palatino Linotype" w:hAnsi="Palatino Linotype" w:cs="Palatino Linotype"/>
          <w:i/>
          <w:iCs/>
          <w:sz w:val="22"/>
          <w:szCs w:val="22"/>
        </w:rPr>
      </w:pPr>
    </w:p>
    <w:p w14:paraId="10EF7348"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w:t>
      </w:r>
    </w:p>
    <w:p w14:paraId="4D26465B"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5065E98C"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94789">
        <w:rPr>
          <w:rFonts w:ascii="Palatino Linotype" w:eastAsia="Palatino Linotype" w:hAnsi="Palatino Linotype" w:cs="Palatino Linotype"/>
          <w:b/>
          <w:bCs/>
          <w:sz w:val="22"/>
          <w:szCs w:val="22"/>
        </w:rPr>
        <w:t>Sujeto Obligado</w:t>
      </w:r>
      <w:r w:rsidRPr="00C94789">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0BD8D8D" w14:textId="77777777" w:rsidR="00C9648B" w:rsidRPr="00C94789" w:rsidRDefault="00C9648B">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14:paraId="32EC576E" w14:textId="77777777" w:rsidR="00C9648B" w:rsidRPr="00C94789" w:rsidRDefault="0060528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Así, con fundamento en lo prescrito en los artículos 5 párrafos trigésimo noveno, cuadragésimo y cuadragésimo primero de la Constitución Política del Estado Libre y Soberano de México; 2, fracción II; 29, 36 fracciones I y II; 176, 178, 181, 185 y 186 fracción III de la Ley de Transparencia y Acceso a la Información Pública del Estado de México y Municipios, este Pleno:</w:t>
      </w:r>
    </w:p>
    <w:p w14:paraId="2FE2DE85" w14:textId="77777777" w:rsidR="00C9648B" w:rsidRPr="00C94789" w:rsidRDefault="0060528D">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11" w:name="_heading=h.ijv98pntcd5s" w:colFirst="0" w:colLast="0"/>
      <w:bookmarkEnd w:id="11"/>
      <w:r w:rsidRPr="00C94789">
        <w:rPr>
          <w:rFonts w:ascii="Palatino Linotype" w:eastAsia="Palatino Linotype" w:hAnsi="Palatino Linotype" w:cs="Palatino Linotype"/>
          <w:b/>
          <w:bCs/>
          <w:sz w:val="22"/>
          <w:szCs w:val="22"/>
        </w:rPr>
        <w:t>III. R E S U E L V E</w:t>
      </w:r>
    </w:p>
    <w:p w14:paraId="2D7F59B4" w14:textId="77777777" w:rsidR="00C9648B" w:rsidRPr="00C94789" w:rsidRDefault="00C9648B">
      <w:pPr>
        <w:spacing w:line="360" w:lineRule="auto"/>
        <w:jc w:val="both"/>
        <w:rPr>
          <w:rFonts w:ascii="Palatino Linotype" w:eastAsia="Palatino Linotype" w:hAnsi="Palatino Linotype" w:cs="Palatino Linotype"/>
          <w:b/>
          <w:bCs/>
          <w:sz w:val="22"/>
          <w:szCs w:val="22"/>
        </w:rPr>
      </w:pPr>
      <w:bookmarkStart w:id="12" w:name="_heading=h.26in1rg" w:colFirst="0" w:colLast="0"/>
      <w:bookmarkEnd w:id="12"/>
    </w:p>
    <w:p w14:paraId="09A10983" w14:textId="77777777" w:rsidR="00C9648B" w:rsidRPr="00C94789" w:rsidRDefault="0060528D">
      <w:pPr>
        <w:spacing w:line="360" w:lineRule="auto"/>
        <w:jc w:val="both"/>
        <w:rPr>
          <w:rFonts w:ascii="Palatino Linotype" w:eastAsia="Palatino Linotype" w:hAnsi="Palatino Linotype" w:cs="Palatino Linotype"/>
          <w:b/>
          <w:bCs/>
          <w:sz w:val="22"/>
          <w:szCs w:val="22"/>
        </w:rPr>
      </w:pPr>
      <w:r w:rsidRPr="00C94789">
        <w:rPr>
          <w:rFonts w:ascii="Palatino Linotype" w:eastAsia="Palatino Linotype" w:hAnsi="Palatino Linotype" w:cs="Palatino Linotype"/>
          <w:b/>
          <w:bCs/>
          <w:sz w:val="22"/>
          <w:szCs w:val="22"/>
        </w:rPr>
        <w:t xml:space="preserve">Primero. </w:t>
      </w:r>
      <w:r w:rsidRPr="00C94789">
        <w:rPr>
          <w:rFonts w:ascii="Palatino Linotype" w:eastAsia="Palatino Linotype" w:hAnsi="Palatino Linotype" w:cs="Palatino Linotype"/>
          <w:sz w:val="22"/>
          <w:szCs w:val="22"/>
        </w:rPr>
        <w:t xml:space="preserve">Resultan </w:t>
      </w:r>
      <w:r w:rsidRPr="00C94789">
        <w:rPr>
          <w:rFonts w:ascii="Palatino Linotype" w:eastAsia="Palatino Linotype" w:hAnsi="Palatino Linotype" w:cs="Palatino Linotype"/>
          <w:b/>
          <w:bCs/>
          <w:sz w:val="22"/>
          <w:szCs w:val="22"/>
        </w:rPr>
        <w:t>fundadas</w:t>
      </w:r>
      <w:r w:rsidRPr="00C94789">
        <w:rPr>
          <w:rFonts w:ascii="Palatino Linotype" w:eastAsia="Palatino Linotype" w:hAnsi="Palatino Linotype" w:cs="Palatino Linotype"/>
          <w:sz w:val="22"/>
          <w:szCs w:val="22"/>
        </w:rPr>
        <w:t xml:space="preserve"> las razones o motivos de inconformidad hechos valer por la parte</w:t>
      </w:r>
      <w:r w:rsidRPr="00C94789">
        <w:rPr>
          <w:rFonts w:ascii="Palatino Linotype" w:eastAsia="Palatino Linotype" w:hAnsi="Palatino Linotype" w:cs="Palatino Linotype"/>
          <w:b/>
          <w:bCs/>
          <w:sz w:val="22"/>
          <w:szCs w:val="22"/>
        </w:rPr>
        <w:t xml:space="preserve"> Recurrente</w:t>
      </w:r>
      <w:r w:rsidRPr="00C94789">
        <w:rPr>
          <w:rFonts w:ascii="Palatino Linotype" w:eastAsia="Palatino Linotype" w:hAnsi="Palatino Linotype" w:cs="Palatino Linotype"/>
          <w:sz w:val="22"/>
          <w:szCs w:val="22"/>
        </w:rPr>
        <w:t xml:space="preserve"> en el recurso de revisión </w:t>
      </w:r>
      <w:r w:rsidRPr="00C94789">
        <w:rPr>
          <w:rFonts w:ascii="Palatino Linotype" w:eastAsia="Palatino Linotype" w:hAnsi="Palatino Linotype" w:cs="Palatino Linotype"/>
          <w:b/>
          <w:bCs/>
          <w:sz w:val="22"/>
          <w:szCs w:val="22"/>
        </w:rPr>
        <w:t>02614/INFOEM/IP/RR/2026</w:t>
      </w:r>
      <w:r w:rsidRPr="00C94789">
        <w:rPr>
          <w:rFonts w:ascii="Palatino Linotype" w:eastAsia="Palatino Linotype" w:hAnsi="Palatino Linotype" w:cs="Palatino Linotype"/>
          <w:sz w:val="22"/>
          <w:szCs w:val="22"/>
        </w:rPr>
        <w:t xml:space="preserve">; por lo que, en términos del </w:t>
      </w:r>
      <w:r w:rsidRPr="00C94789">
        <w:rPr>
          <w:rFonts w:ascii="Palatino Linotype" w:eastAsia="Palatino Linotype" w:hAnsi="Palatino Linotype" w:cs="Palatino Linotype"/>
          <w:b/>
          <w:bCs/>
          <w:sz w:val="22"/>
          <w:szCs w:val="22"/>
        </w:rPr>
        <w:t>Considerando</w:t>
      </w:r>
      <w:r w:rsidRPr="00C94789">
        <w:rPr>
          <w:rFonts w:ascii="Palatino Linotype" w:eastAsia="Palatino Linotype" w:hAnsi="Palatino Linotype" w:cs="Palatino Linotype"/>
          <w:sz w:val="22"/>
          <w:szCs w:val="22"/>
        </w:rPr>
        <w:t xml:space="preserve"> </w:t>
      </w:r>
      <w:r w:rsidRPr="00C94789">
        <w:rPr>
          <w:rFonts w:ascii="Palatino Linotype" w:eastAsia="Palatino Linotype" w:hAnsi="Palatino Linotype" w:cs="Palatino Linotype"/>
          <w:b/>
          <w:bCs/>
          <w:sz w:val="22"/>
          <w:szCs w:val="22"/>
        </w:rPr>
        <w:t xml:space="preserve">Cuarto </w:t>
      </w:r>
      <w:r w:rsidRPr="00C94789">
        <w:rPr>
          <w:rFonts w:ascii="Palatino Linotype" w:eastAsia="Palatino Linotype" w:hAnsi="Palatino Linotype" w:cs="Palatino Linotype"/>
          <w:sz w:val="22"/>
          <w:szCs w:val="22"/>
        </w:rPr>
        <w:t xml:space="preserve">de esta resolución, se </w:t>
      </w:r>
      <w:r w:rsidRPr="00C94789">
        <w:rPr>
          <w:rFonts w:ascii="Palatino Linotype" w:eastAsia="Palatino Linotype" w:hAnsi="Palatino Linotype" w:cs="Palatino Linotype"/>
          <w:b/>
          <w:bCs/>
          <w:sz w:val="22"/>
          <w:szCs w:val="22"/>
        </w:rPr>
        <w:t xml:space="preserve">Modifica </w:t>
      </w:r>
      <w:r w:rsidRPr="00C94789">
        <w:rPr>
          <w:rFonts w:ascii="Palatino Linotype" w:eastAsia="Palatino Linotype" w:hAnsi="Palatino Linotype" w:cs="Palatino Linotype"/>
          <w:sz w:val="22"/>
          <w:szCs w:val="22"/>
        </w:rPr>
        <w:t xml:space="preserve">la respuesta emitida por el </w:t>
      </w:r>
      <w:r w:rsidRPr="00C94789">
        <w:rPr>
          <w:rFonts w:ascii="Palatino Linotype" w:eastAsia="Palatino Linotype" w:hAnsi="Palatino Linotype" w:cs="Palatino Linotype"/>
          <w:b/>
          <w:bCs/>
          <w:sz w:val="22"/>
          <w:szCs w:val="22"/>
        </w:rPr>
        <w:t>Sujeto Obligado.</w:t>
      </w:r>
    </w:p>
    <w:p w14:paraId="01F6A622" w14:textId="77777777" w:rsidR="00C9648B" w:rsidRPr="00C94789" w:rsidRDefault="00C9648B">
      <w:pPr>
        <w:spacing w:line="360" w:lineRule="auto"/>
        <w:jc w:val="both"/>
        <w:rPr>
          <w:rFonts w:ascii="Palatino Linotype" w:eastAsia="Palatino Linotype" w:hAnsi="Palatino Linotype" w:cs="Palatino Linotype"/>
          <w:b/>
          <w:bCs/>
          <w:sz w:val="22"/>
          <w:szCs w:val="22"/>
        </w:rPr>
      </w:pPr>
    </w:p>
    <w:p w14:paraId="6E501B06" w14:textId="77777777" w:rsidR="00C9648B" w:rsidRPr="00C94789"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b/>
          <w:bCs/>
          <w:sz w:val="22"/>
          <w:szCs w:val="22"/>
        </w:rPr>
        <w:t xml:space="preserve">Segundo. </w:t>
      </w:r>
      <w:r w:rsidRPr="00C94789">
        <w:rPr>
          <w:rFonts w:ascii="Palatino Linotype" w:eastAsia="Palatino Linotype" w:hAnsi="Palatino Linotype" w:cs="Palatino Linotype"/>
          <w:sz w:val="22"/>
          <w:szCs w:val="22"/>
        </w:rPr>
        <w:t xml:space="preserve">Se </w:t>
      </w:r>
      <w:r w:rsidRPr="00C94789">
        <w:rPr>
          <w:rFonts w:ascii="Palatino Linotype" w:eastAsia="Palatino Linotype" w:hAnsi="Palatino Linotype" w:cs="Palatino Linotype"/>
          <w:b/>
          <w:bCs/>
          <w:sz w:val="22"/>
          <w:szCs w:val="22"/>
        </w:rPr>
        <w:t>Ordena</w:t>
      </w:r>
      <w:r w:rsidRPr="00C94789">
        <w:rPr>
          <w:rFonts w:ascii="Palatino Linotype" w:eastAsia="Palatino Linotype" w:hAnsi="Palatino Linotype" w:cs="Palatino Linotype"/>
          <w:sz w:val="22"/>
          <w:szCs w:val="22"/>
        </w:rPr>
        <w:t xml:space="preserve"> al </w:t>
      </w:r>
      <w:r w:rsidRPr="00C94789">
        <w:rPr>
          <w:rFonts w:ascii="Palatino Linotype" w:eastAsia="Palatino Linotype" w:hAnsi="Palatino Linotype" w:cs="Palatino Linotype"/>
          <w:b/>
          <w:bCs/>
          <w:sz w:val="22"/>
          <w:szCs w:val="22"/>
        </w:rPr>
        <w:t>Sujeto Obligado</w:t>
      </w:r>
      <w:r w:rsidRPr="00C94789">
        <w:rPr>
          <w:rFonts w:ascii="Palatino Linotype" w:eastAsia="Palatino Linotype" w:hAnsi="Palatino Linotype" w:cs="Palatino Linotype"/>
          <w:sz w:val="22"/>
          <w:szCs w:val="22"/>
        </w:rPr>
        <w:t xml:space="preserve"> que, en términos de los Considerandos </w:t>
      </w:r>
      <w:r w:rsidRPr="00C94789">
        <w:rPr>
          <w:rFonts w:ascii="Palatino Linotype" w:eastAsia="Palatino Linotype" w:hAnsi="Palatino Linotype" w:cs="Palatino Linotype"/>
          <w:b/>
          <w:bCs/>
          <w:sz w:val="22"/>
          <w:szCs w:val="22"/>
        </w:rPr>
        <w:t xml:space="preserve">Cuarto </w:t>
      </w:r>
      <w:r w:rsidRPr="00C94789">
        <w:rPr>
          <w:rFonts w:ascii="Palatino Linotype" w:eastAsia="Palatino Linotype" w:hAnsi="Palatino Linotype" w:cs="Palatino Linotype"/>
          <w:sz w:val="22"/>
          <w:szCs w:val="22"/>
        </w:rPr>
        <w:t xml:space="preserve">y </w:t>
      </w:r>
      <w:r w:rsidRPr="00C94789">
        <w:rPr>
          <w:rFonts w:ascii="Palatino Linotype" w:eastAsia="Palatino Linotype" w:hAnsi="Palatino Linotype" w:cs="Palatino Linotype"/>
          <w:b/>
          <w:bCs/>
          <w:sz w:val="22"/>
          <w:szCs w:val="22"/>
        </w:rPr>
        <w:t>Quinto</w:t>
      </w:r>
      <w:r w:rsidRPr="00C94789">
        <w:rPr>
          <w:rFonts w:ascii="Palatino Linotype" w:eastAsia="Palatino Linotype" w:hAnsi="Palatino Linotype" w:cs="Palatino Linotype"/>
        </w:rPr>
        <w:t xml:space="preserve">, </w:t>
      </w:r>
      <w:r w:rsidRPr="00C94789">
        <w:rPr>
          <w:rFonts w:ascii="Palatino Linotype" w:eastAsia="Palatino Linotype" w:hAnsi="Palatino Linotype" w:cs="Palatino Linotype"/>
          <w:sz w:val="22"/>
          <w:szCs w:val="22"/>
        </w:rPr>
        <w:t xml:space="preserve">haga entrega vía Sistema de Acceso a la Información Mexiquense, de ser procedente en versión pública, </w:t>
      </w:r>
      <w:r w:rsidRPr="00C94789">
        <w:rPr>
          <w:rFonts w:ascii="Palatino Linotype" w:eastAsia="Palatino Linotype" w:hAnsi="Palatino Linotype" w:cs="Palatino Linotype"/>
          <w:b/>
          <w:bCs/>
          <w:sz w:val="22"/>
          <w:szCs w:val="22"/>
        </w:rPr>
        <w:t>preferentemente en formato excel o en el que se haya generado, de manera completa</w:t>
      </w:r>
      <w:r w:rsidRPr="00C94789">
        <w:rPr>
          <w:rFonts w:ascii="Palatino Linotype" w:eastAsia="Palatino Linotype" w:hAnsi="Palatino Linotype" w:cs="Palatino Linotype"/>
          <w:sz w:val="22"/>
          <w:szCs w:val="22"/>
        </w:rPr>
        <w:t>, lo siguiente:</w:t>
      </w:r>
    </w:p>
    <w:p w14:paraId="1229A9A0"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635D0DA7" w14:textId="77777777" w:rsidR="00C9648B" w:rsidRPr="00C94789" w:rsidRDefault="0060528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C94789">
        <w:rPr>
          <w:rFonts w:ascii="Palatino Linotype" w:eastAsia="Palatino Linotype" w:hAnsi="Palatino Linotype" w:cs="Palatino Linotype"/>
          <w:b/>
          <w:bCs/>
          <w:sz w:val="22"/>
          <w:szCs w:val="22"/>
        </w:rPr>
        <w:t>El informe de registros del checador de entradas y salidas, correspondiente a la primera quincena de enero de 2026, remitido en respuesta.</w:t>
      </w:r>
    </w:p>
    <w:p w14:paraId="03E1B828"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05628D02" w14:textId="77777777" w:rsidR="00C9648B" w:rsidRPr="00C94789" w:rsidRDefault="0060528D">
      <w:pPr>
        <w:pBdr>
          <w:top w:val="nil"/>
          <w:left w:val="nil"/>
          <w:bottom w:val="nil"/>
          <w:right w:val="nil"/>
          <w:between w:val="nil"/>
        </w:pBdr>
        <w:spacing w:line="276" w:lineRule="auto"/>
        <w:ind w:left="357"/>
        <w:jc w:val="both"/>
        <w:rPr>
          <w:rFonts w:ascii="Palatino Linotype" w:eastAsia="Palatino Linotype" w:hAnsi="Palatino Linotype" w:cs="Palatino Linotype"/>
          <w:i/>
          <w:iCs/>
          <w:sz w:val="22"/>
          <w:szCs w:val="22"/>
        </w:rPr>
      </w:pPr>
      <w:r w:rsidRPr="00C94789">
        <w:rPr>
          <w:rFonts w:ascii="Palatino Linotype" w:eastAsia="Palatino Linotype" w:hAnsi="Palatino Linotype" w:cs="Palatino Linotype"/>
          <w:i/>
          <w:iCs/>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C94789">
        <w:rPr>
          <w:rFonts w:ascii="Palatino Linotype" w:eastAsia="Palatino Linotype" w:hAnsi="Palatino Linotype" w:cs="Palatino Linotype"/>
          <w:b/>
          <w:bCs/>
          <w:i/>
          <w:iCs/>
          <w:sz w:val="22"/>
          <w:szCs w:val="22"/>
        </w:rPr>
        <w:t>la parte Recurrente</w:t>
      </w:r>
      <w:r w:rsidRPr="00C94789">
        <w:rPr>
          <w:rFonts w:ascii="Palatino Linotype" w:eastAsia="Palatino Linotype" w:hAnsi="Palatino Linotype" w:cs="Palatino Linotype"/>
          <w:i/>
          <w:iCs/>
          <w:sz w:val="22"/>
          <w:szCs w:val="22"/>
        </w:rPr>
        <w:t>.</w:t>
      </w:r>
    </w:p>
    <w:p w14:paraId="30C83B3A" w14:textId="77777777" w:rsidR="00C9648B" w:rsidRPr="00C94789" w:rsidRDefault="00C9648B">
      <w:pPr>
        <w:pBdr>
          <w:top w:val="nil"/>
          <w:left w:val="nil"/>
          <w:bottom w:val="nil"/>
          <w:right w:val="nil"/>
          <w:between w:val="nil"/>
        </w:pBdr>
        <w:spacing w:line="276" w:lineRule="auto"/>
        <w:ind w:left="357"/>
        <w:jc w:val="both"/>
        <w:rPr>
          <w:rFonts w:ascii="Palatino Linotype" w:eastAsia="Palatino Linotype" w:hAnsi="Palatino Linotype" w:cs="Palatino Linotype"/>
          <w:i/>
          <w:iCs/>
          <w:sz w:val="22"/>
          <w:szCs w:val="22"/>
        </w:rPr>
      </w:pPr>
    </w:p>
    <w:p w14:paraId="0C94EE13" w14:textId="77777777" w:rsidR="00C9648B" w:rsidRPr="00C94789" w:rsidRDefault="0060528D">
      <w:pPr>
        <w:spacing w:line="360" w:lineRule="auto"/>
        <w:jc w:val="both"/>
        <w:rPr>
          <w:rFonts w:ascii="Palatino Linotype" w:eastAsia="Palatino Linotype" w:hAnsi="Palatino Linotype" w:cs="Palatino Linotype"/>
          <w:sz w:val="22"/>
          <w:szCs w:val="22"/>
        </w:rPr>
      </w:pPr>
      <w:bookmarkStart w:id="13" w:name="_heading=h.17dp8vu" w:colFirst="0" w:colLast="0"/>
      <w:bookmarkEnd w:id="13"/>
      <w:r w:rsidRPr="00C94789">
        <w:rPr>
          <w:rFonts w:ascii="Palatino Linotype" w:eastAsia="Palatino Linotype" w:hAnsi="Palatino Linotype" w:cs="Palatino Linotype"/>
          <w:b/>
          <w:bCs/>
          <w:sz w:val="22"/>
          <w:szCs w:val="22"/>
        </w:rPr>
        <w:t xml:space="preserve">Tercero. Notifíquese, </w:t>
      </w:r>
      <w:r w:rsidRPr="00C94789">
        <w:rPr>
          <w:rFonts w:ascii="Palatino Linotype" w:eastAsia="Palatino Linotype" w:hAnsi="Palatino Linotype" w:cs="Palatino Linotype"/>
          <w:sz w:val="22"/>
          <w:szCs w:val="22"/>
        </w:rPr>
        <w:t xml:space="preserve">vía </w:t>
      </w:r>
      <w:r w:rsidRPr="00C94789">
        <w:rPr>
          <w:rFonts w:ascii="Palatino Linotype" w:eastAsia="Palatino Linotype" w:hAnsi="Palatino Linotype" w:cs="Palatino Linotype"/>
          <w:b/>
          <w:bCs/>
          <w:sz w:val="22"/>
          <w:szCs w:val="22"/>
        </w:rPr>
        <w:t>SAIMEX</w:t>
      </w:r>
      <w:r w:rsidRPr="00C94789">
        <w:rPr>
          <w:rFonts w:ascii="Palatino Linotype" w:eastAsia="Palatino Linotype" w:hAnsi="Palatino Linotype" w:cs="Palatino Linotype"/>
          <w:sz w:val="22"/>
          <w:szCs w:val="22"/>
        </w:rPr>
        <w:t xml:space="preserve">, al Titular de la Unidad de Transparencia del </w:t>
      </w:r>
      <w:r w:rsidRPr="00C94789">
        <w:rPr>
          <w:rFonts w:ascii="Palatino Linotype" w:eastAsia="Palatino Linotype" w:hAnsi="Palatino Linotype" w:cs="Palatino Linotype"/>
          <w:b/>
          <w:bCs/>
          <w:sz w:val="22"/>
          <w:szCs w:val="22"/>
        </w:rPr>
        <w:t>Sujeto Obligado,</w:t>
      </w:r>
      <w:r w:rsidRPr="00C94789">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87E05C0" w14:textId="77777777" w:rsidR="00C9648B" w:rsidRPr="00C94789" w:rsidRDefault="00C9648B">
      <w:pPr>
        <w:spacing w:line="360" w:lineRule="auto"/>
        <w:jc w:val="both"/>
        <w:rPr>
          <w:rFonts w:ascii="Palatino Linotype" w:eastAsia="Palatino Linotype" w:hAnsi="Palatino Linotype" w:cs="Palatino Linotype"/>
          <w:sz w:val="22"/>
          <w:szCs w:val="22"/>
        </w:rPr>
      </w:pPr>
    </w:p>
    <w:p w14:paraId="25AF6F18" w14:textId="77777777" w:rsidR="00C9648B" w:rsidRPr="00C94789" w:rsidRDefault="0060528D">
      <w:pPr>
        <w:spacing w:line="360" w:lineRule="auto"/>
        <w:ind w:right="49"/>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b/>
          <w:bCs/>
          <w:sz w:val="22"/>
          <w:szCs w:val="22"/>
        </w:rPr>
        <w:t>Cuarto.</w:t>
      </w:r>
      <w:r w:rsidRPr="00C94789">
        <w:rPr>
          <w:rFonts w:ascii="Palatino Linotype" w:eastAsia="Palatino Linotype" w:hAnsi="Palatino Linotype" w:cs="Palatino Linotype"/>
          <w:sz w:val="22"/>
          <w:szCs w:val="22"/>
        </w:rPr>
        <w:t xml:space="preserve"> </w:t>
      </w:r>
      <w:r w:rsidRPr="00C94789">
        <w:rPr>
          <w:rFonts w:ascii="Palatino Linotype" w:eastAsia="Palatino Linotype" w:hAnsi="Palatino Linotype" w:cs="Palatino Linotype"/>
          <w:b/>
          <w:bCs/>
          <w:sz w:val="22"/>
          <w:szCs w:val="22"/>
        </w:rPr>
        <w:t xml:space="preserve">Notifíquese, </w:t>
      </w:r>
      <w:r w:rsidRPr="00C94789">
        <w:rPr>
          <w:rFonts w:ascii="Palatino Linotype" w:eastAsia="Palatino Linotype" w:hAnsi="Palatino Linotype" w:cs="Palatino Linotype"/>
          <w:sz w:val="22"/>
          <w:szCs w:val="22"/>
        </w:rPr>
        <w:t xml:space="preserve">vía </w:t>
      </w:r>
      <w:r w:rsidRPr="00C94789">
        <w:rPr>
          <w:rFonts w:ascii="Palatino Linotype" w:eastAsia="Palatino Linotype" w:hAnsi="Palatino Linotype" w:cs="Palatino Linotype"/>
          <w:b/>
          <w:bCs/>
          <w:sz w:val="22"/>
          <w:szCs w:val="22"/>
        </w:rPr>
        <w:t>SAIMEX</w:t>
      </w:r>
      <w:r w:rsidRPr="00C94789">
        <w:rPr>
          <w:rFonts w:ascii="Palatino Linotype" w:eastAsia="Palatino Linotype" w:hAnsi="Palatino Linotype" w:cs="Palatino Linotype"/>
          <w:sz w:val="22"/>
          <w:szCs w:val="22"/>
        </w:rPr>
        <w:t xml:space="preserve">, al Titular de la Unidad de Transparencia del </w:t>
      </w:r>
      <w:r w:rsidRPr="00C94789">
        <w:rPr>
          <w:rFonts w:ascii="Palatino Linotype" w:eastAsia="Palatino Linotype" w:hAnsi="Palatino Linotype" w:cs="Palatino Linotype"/>
          <w:b/>
          <w:bCs/>
          <w:sz w:val="22"/>
          <w:szCs w:val="22"/>
        </w:rPr>
        <w:t>Sujeto Obligado,</w:t>
      </w:r>
      <w:r w:rsidRPr="00C94789">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5645A51D" w14:textId="77777777" w:rsidR="00C9648B" w:rsidRPr="00C94789" w:rsidRDefault="00C9648B">
      <w:pPr>
        <w:spacing w:line="360" w:lineRule="auto"/>
        <w:ind w:right="49"/>
        <w:jc w:val="both"/>
        <w:rPr>
          <w:rFonts w:ascii="Palatino Linotype" w:eastAsia="Palatino Linotype" w:hAnsi="Palatino Linotype" w:cs="Palatino Linotype"/>
          <w:sz w:val="22"/>
          <w:szCs w:val="22"/>
        </w:rPr>
      </w:pPr>
    </w:p>
    <w:p w14:paraId="48DC289E" w14:textId="77777777" w:rsidR="00C9648B" w:rsidRPr="00C94789" w:rsidRDefault="0060528D">
      <w:pPr>
        <w:spacing w:line="360" w:lineRule="auto"/>
        <w:ind w:right="49"/>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b/>
          <w:bCs/>
          <w:sz w:val="22"/>
          <w:szCs w:val="22"/>
        </w:rPr>
        <w:t xml:space="preserve">Quinto. Notifíquese vía SAIMEX, </w:t>
      </w:r>
      <w:r w:rsidRPr="00C94789">
        <w:rPr>
          <w:rFonts w:ascii="Palatino Linotype" w:eastAsia="Palatino Linotype" w:hAnsi="Palatino Linotype" w:cs="Palatino Linotype"/>
          <w:sz w:val="22"/>
          <w:szCs w:val="22"/>
        </w:rPr>
        <w:t xml:space="preserve">la presente resolución a la parte </w:t>
      </w:r>
      <w:r w:rsidRPr="00C94789">
        <w:rPr>
          <w:rFonts w:ascii="Palatino Linotype" w:eastAsia="Palatino Linotype" w:hAnsi="Palatino Linotype" w:cs="Palatino Linotype"/>
          <w:b/>
          <w:bCs/>
          <w:sz w:val="22"/>
          <w:szCs w:val="22"/>
        </w:rPr>
        <w:t>Recurrente</w:t>
      </w:r>
      <w:r w:rsidRPr="00C94789">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410F227F" w14:textId="77777777" w:rsidR="00C9648B" w:rsidRPr="00C94789" w:rsidRDefault="00C9648B">
      <w:pPr>
        <w:spacing w:line="360" w:lineRule="auto"/>
        <w:ind w:right="49"/>
        <w:jc w:val="both"/>
        <w:rPr>
          <w:rFonts w:ascii="Palatino Linotype" w:eastAsia="Palatino Linotype" w:hAnsi="Palatino Linotype" w:cs="Palatino Linotype"/>
          <w:sz w:val="22"/>
          <w:szCs w:val="22"/>
        </w:rPr>
      </w:pPr>
    </w:p>
    <w:p w14:paraId="7CAB2798" w14:textId="77777777" w:rsidR="00C9648B" w:rsidRPr="005339A1" w:rsidRDefault="0060528D">
      <w:pPr>
        <w:spacing w:line="360" w:lineRule="auto"/>
        <w:jc w:val="both"/>
        <w:rPr>
          <w:rFonts w:ascii="Palatino Linotype" w:eastAsia="Palatino Linotype" w:hAnsi="Palatino Linotype" w:cs="Palatino Linotype"/>
          <w:sz w:val="22"/>
          <w:szCs w:val="22"/>
        </w:rPr>
      </w:pPr>
      <w:r w:rsidRPr="00C94789">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DE MARZO DE DOS MIL VEINTISÉIS, ANTE EL SECRETARIO TÉCNICO DEL PLENO ALEXIS TAPIA RAMÍREZ.</w:t>
      </w:r>
      <w:r w:rsidRPr="005339A1">
        <w:rPr>
          <w:rFonts w:ascii="Palatino Linotype" w:eastAsia="Palatino Linotype" w:hAnsi="Palatino Linotype" w:cs="Palatino Linotype"/>
          <w:sz w:val="22"/>
          <w:szCs w:val="22"/>
        </w:rPr>
        <w:t xml:space="preserve"> </w:t>
      </w:r>
    </w:p>
    <w:p w14:paraId="4D1ADAAB" w14:textId="77777777" w:rsidR="00C9648B" w:rsidRPr="005339A1" w:rsidRDefault="00C9648B">
      <w:pPr>
        <w:rPr>
          <w:rFonts w:ascii="Palatino Linotype" w:eastAsia="Palatino Linotype" w:hAnsi="Palatino Linotype" w:cs="Palatino Linotype"/>
          <w:sz w:val="22"/>
          <w:szCs w:val="22"/>
        </w:rPr>
      </w:pPr>
    </w:p>
    <w:p w14:paraId="1A43B40E" w14:textId="77777777" w:rsidR="00C9648B" w:rsidRPr="005339A1" w:rsidRDefault="00C9648B">
      <w:pPr>
        <w:rPr>
          <w:rFonts w:ascii="Palatino Linotype" w:eastAsia="Palatino Linotype" w:hAnsi="Palatino Linotype" w:cs="Palatino Linotype"/>
          <w:sz w:val="22"/>
          <w:szCs w:val="22"/>
        </w:rPr>
      </w:pPr>
    </w:p>
    <w:p w14:paraId="325F4013" w14:textId="77777777" w:rsidR="00C9648B" w:rsidRPr="005339A1" w:rsidRDefault="00C9648B">
      <w:pPr>
        <w:spacing w:line="360" w:lineRule="auto"/>
        <w:jc w:val="both"/>
        <w:rPr>
          <w:rFonts w:ascii="Palatino Linotype" w:eastAsia="Palatino Linotype" w:hAnsi="Palatino Linotype" w:cs="Palatino Linotype"/>
          <w:sz w:val="22"/>
          <w:szCs w:val="22"/>
        </w:rPr>
      </w:pPr>
      <w:bookmarkStart w:id="14" w:name="_heading=h.3rdcrjn" w:colFirst="0" w:colLast="0"/>
      <w:bookmarkEnd w:id="14"/>
    </w:p>
    <w:p w14:paraId="0B29DB38"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5FCB9D4D"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215E8863" w14:textId="77777777" w:rsidR="00C9648B" w:rsidRPr="005339A1" w:rsidRDefault="00C9648B">
      <w:pPr>
        <w:spacing w:line="360" w:lineRule="auto"/>
        <w:jc w:val="both"/>
        <w:rPr>
          <w:rFonts w:ascii="Palatino Linotype" w:eastAsia="Palatino Linotype" w:hAnsi="Palatino Linotype" w:cs="Palatino Linotype"/>
          <w:sz w:val="22"/>
          <w:szCs w:val="22"/>
        </w:rPr>
      </w:pPr>
      <w:bookmarkStart w:id="15" w:name="_heading=h.1t3h5sf" w:colFirst="0" w:colLast="0"/>
      <w:bookmarkEnd w:id="15"/>
    </w:p>
    <w:p w14:paraId="42A309A5"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03B5C3F4"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6F2B2647"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65686C4C"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720F9F36"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5C5BC144"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47124836"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236918C9"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11E89058"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21F631B9"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7CDE510F"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77D897E5"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4B481850"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27D99319"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60ECFE59"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7EE6751E"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6A280977"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1D0006F4"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2517879F"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12BAB575"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1FD0030D"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0A11D062" w14:textId="77777777" w:rsidR="00C9648B" w:rsidRPr="005339A1" w:rsidRDefault="00C9648B">
      <w:pPr>
        <w:spacing w:line="360" w:lineRule="auto"/>
        <w:jc w:val="both"/>
        <w:rPr>
          <w:rFonts w:ascii="Palatino Linotype" w:eastAsia="Palatino Linotype" w:hAnsi="Palatino Linotype" w:cs="Palatino Linotype"/>
          <w:sz w:val="22"/>
          <w:szCs w:val="22"/>
        </w:rPr>
      </w:pPr>
    </w:p>
    <w:p w14:paraId="6873FE17" w14:textId="77777777" w:rsidR="00C9648B" w:rsidRPr="005339A1" w:rsidRDefault="00C9648B">
      <w:pPr>
        <w:spacing w:line="360" w:lineRule="auto"/>
        <w:jc w:val="both"/>
        <w:rPr>
          <w:rFonts w:ascii="Palatino Linotype" w:eastAsia="Palatino Linotype" w:hAnsi="Palatino Linotype" w:cs="Palatino Linotype"/>
          <w:sz w:val="22"/>
          <w:szCs w:val="22"/>
        </w:rPr>
      </w:pPr>
    </w:p>
    <w:sectPr w:rsidR="00C9648B" w:rsidRPr="005339A1">
      <w:headerReference w:type="default" r:id="rId10"/>
      <w:footerReference w:type="default" r:id="rId11"/>
      <w:headerReference w:type="first" r:id="rId12"/>
      <w:footerReference w:type="first" r:id="rId1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D4767D" w14:textId="77777777" w:rsidR="00DD61E1" w:rsidRDefault="00DD61E1">
      <w:r>
        <w:separator/>
      </w:r>
    </w:p>
  </w:endnote>
  <w:endnote w:type="continuationSeparator" w:id="0">
    <w:p w14:paraId="5D575E89" w14:textId="77777777" w:rsidR="00DD61E1" w:rsidRDefault="00DD6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1BE84AAA-C0AE-4A8A-937F-819DFE8600E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8717A8C-0ABE-4137-BAE1-56878022F711}"/>
    <w:embedBold r:id="rId3" w:fontKey="{F3C6D09B-D11A-418E-8058-D68CFFE589B1}"/>
  </w:font>
  <w:font w:name="Cambria">
    <w:panose1 w:val="02040503050406030204"/>
    <w:charset w:val="00"/>
    <w:family w:val="roman"/>
    <w:pitch w:val="variable"/>
    <w:sig w:usb0="E00006FF" w:usb1="420024FF" w:usb2="02000000" w:usb3="00000000" w:csb0="0000019F" w:csb1="00000000"/>
    <w:embedRegular r:id="rId4" w:fontKey="{C0588F19-051F-4FCB-9314-E89A3146E386}"/>
    <w:embedBold r:id="rId5" w:fontKey="{001529D2-1A8F-4317-A7DE-4DE9517D15C3}"/>
    <w:embedBoldItalic r:id="rId6" w:fontKey="{D085B1A6-CC13-4EDB-A0C2-B37319A4AAB6}"/>
  </w:font>
  <w:font w:name="Segoe UI">
    <w:panose1 w:val="020B0502040204020203"/>
    <w:charset w:val="00"/>
    <w:family w:val="swiss"/>
    <w:pitch w:val="variable"/>
    <w:sig w:usb0="E4002EFF" w:usb1="C000E47F" w:usb2="00000009" w:usb3="00000000" w:csb0="000001FF" w:csb1="00000000"/>
    <w:embedRegular r:id="rId7" w:fontKey="{FB0DE05A-C3B7-4EA0-8564-D58AD2AA68F7}"/>
  </w:font>
  <w:font w:name="Georgia">
    <w:panose1 w:val="02040502050405020303"/>
    <w:charset w:val="00"/>
    <w:family w:val="roman"/>
    <w:pitch w:val="variable"/>
    <w:sig w:usb0="00000287" w:usb1="00000000" w:usb2="00000000" w:usb3="00000000" w:csb0="0000009F" w:csb1="00000000"/>
    <w:embedItalic r:id="rId8" w:fontKey="{50A8A054-367F-4867-84C9-0DBCDAEFC5F4}"/>
  </w:font>
  <w:font w:name="Palatino Linotype">
    <w:panose1 w:val="02040502050505030304"/>
    <w:charset w:val="00"/>
    <w:family w:val="roman"/>
    <w:pitch w:val="variable"/>
    <w:sig w:usb0="E0000287" w:usb1="40000013" w:usb2="00000000" w:usb3="00000000" w:csb0="0000019F" w:csb1="00000000"/>
    <w:embedRegular r:id="rId9" w:fontKey="{3461BFDC-2347-46C7-9293-5B5169594C06}"/>
    <w:embedBold r:id="rId10" w:fontKey="{55355BD0-BB17-4509-A5B7-462FE598B0DF}"/>
    <w:embedItalic r:id="rId11" w:fontKey="{E2C8DE68-06E6-4C2F-9433-0E2C06AFACB0}"/>
    <w:embedBoldItalic r:id="rId12" w:fontKey="{BB63746B-FF18-405E-AA05-DAB08E598C15}"/>
  </w:font>
  <w:font w:name="Arial">
    <w:panose1 w:val="020B0604020202020204"/>
    <w:charset w:val="00"/>
    <w:family w:val="swiss"/>
    <w:pitch w:val="variable"/>
    <w:sig w:usb0="E0002EFF" w:usb1="C000785B" w:usb2="00000009" w:usb3="00000000" w:csb0="000001FF" w:csb1="00000000"/>
  </w:font>
  <w:font w:name="Quintessential">
    <w:altName w:val="Times New Roman"/>
    <w:charset w:val="00"/>
    <w:family w:val="auto"/>
    <w:pitch w:val="default"/>
    <w:embedBoldItalic r:id="rId13" w:fontKey="{1061B414-7CAE-40CC-8624-49AAF850272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89CE8" w14:textId="5AB1694F" w:rsidR="00C9648B" w:rsidRDefault="0060528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702C99">
      <w:rPr>
        <w:rFonts w:ascii="Palatino Linotype" w:eastAsia="Palatino Linotype" w:hAnsi="Palatino Linotype" w:cs="Palatino Linotype"/>
        <w:b/>
        <w:bCs/>
        <w:noProof/>
        <w:color w:val="000000"/>
        <w:sz w:val="20"/>
        <w:szCs w:val="20"/>
      </w:rPr>
      <w:t>33</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702C99">
      <w:rPr>
        <w:rFonts w:ascii="Palatino Linotype" w:eastAsia="Palatino Linotype" w:hAnsi="Palatino Linotype" w:cs="Palatino Linotype"/>
        <w:b/>
        <w:bCs/>
        <w:noProof/>
        <w:color w:val="000000"/>
        <w:sz w:val="20"/>
        <w:szCs w:val="20"/>
      </w:rPr>
      <w:t>35</w:t>
    </w:r>
    <w:r>
      <w:rPr>
        <w:rFonts w:ascii="Palatino Linotype" w:eastAsia="Palatino Linotype" w:hAnsi="Palatino Linotype" w:cs="Palatino Linotype"/>
        <w:b/>
        <w:bCs/>
        <w:color w:val="000000"/>
        <w:sz w:val="20"/>
        <w:szCs w:val="20"/>
      </w:rPr>
      <w:fldChar w:fldCharType="end"/>
    </w:r>
  </w:p>
  <w:p w14:paraId="0AE82FAD" w14:textId="77777777" w:rsidR="00C9648B" w:rsidRDefault="00C9648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96F42" w14:textId="09D0C23C" w:rsidR="00C9648B" w:rsidRDefault="0060528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702C99">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702C99">
      <w:rPr>
        <w:rFonts w:ascii="Palatino Linotype" w:eastAsia="Palatino Linotype" w:hAnsi="Palatino Linotype" w:cs="Palatino Linotype"/>
        <w:b/>
        <w:bCs/>
        <w:noProof/>
        <w:color w:val="000000"/>
        <w:sz w:val="20"/>
        <w:szCs w:val="20"/>
      </w:rPr>
      <w:t>35</w:t>
    </w:r>
    <w:r>
      <w:rPr>
        <w:rFonts w:ascii="Palatino Linotype" w:eastAsia="Palatino Linotype" w:hAnsi="Palatino Linotype" w:cs="Palatino Linotype"/>
        <w:b/>
        <w:bCs/>
        <w:color w:val="000000"/>
        <w:sz w:val="20"/>
        <w:szCs w:val="20"/>
      </w:rPr>
      <w:fldChar w:fldCharType="end"/>
    </w:r>
  </w:p>
  <w:p w14:paraId="041E104C" w14:textId="77777777" w:rsidR="00C9648B" w:rsidRDefault="00C9648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BC346" w14:textId="77777777" w:rsidR="00DD61E1" w:rsidRDefault="00DD61E1">
      <w:r>
        <w:separator/>
      </w:r>
    </w:p>
  </w:footnote>
  <w:footnote w:type="continuationSeparator" w:id="0">
    <w:p w14:paraId="7D6F6BAB" w14:textId="77777777" w:rsidR="00DD61E1" w:rsidRDefault="00DD61E1">
      <w:r>
        <w:continuationSeparator/>
      </w:r>
    </w:p>
  </w:footnote>
  <w:footnote w:id="1">
    <w:p w14:paraId="4BAA6A17" w14:textId="77777777" w:rsidR="00C9648B" w:rsidRDefault="0060528D">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63B4DF93" w14:textId="77777777" w:rsidR="00C9648B" w:rsidRDefault="0060528D">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CF207D5" w14:textId="77777777" w:rsidR="00C9648B" w:rsidRDefault="0060528D">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5C2352C4" w14:textId="77777777" w:rsidR="00C9648B" w:rsidRDefault="0060528D">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522B019E" w14:textId="77777777" w:rsidR="00C9648B" w:rsidRDefault="0060528D">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A32FE" w14:textId="77777777" w:rsidR="00C9648B" w:rsidRDefault="0060528D">
    <w:pPr>
      <w:rPr>
        <w:rFonts w:ascii="Cambria" w:eastAsia="Cambria" w:hAnsi="Cambria" w:cs="Cambria"/>
        <w:color w:val="000000"/>
      </w:rPr>
    </w:pPr>
    <w:r>
      <w:rPr>
        <w:noProof/>
      </w:rPr>
      <w:drawing>
        <wp:anchor distT="0" distB="0" distL="0" distR="0" simplePos="0" relativeHeight="251658240" behindDoc="1" locked="0" layoutInCell="1" hidden="0" allowOverlap="1" wp14:anchorId="7913A642" wp14:editId="01DE3CBF">
          <wp:simplePos x="0" y="0"/>
          <wp:positionH relativeFrom="column">
            <wp:posOffset>-1080104</wp:posOffset>
          </wp:positionH>
          <wp:positionV relativeFrom="paragraph">
            <wp:posOffset>-488279</wp:posOffset>
          </wp:positionV>
          <wp:extent cx="7809865" cy="10165715"/>
          <wp:effectExtent l="0" t="0" r="0" b="0"/>
          <wp:wrapNone/>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7087" w:type="dxa"/>
      <w:tblInd w:w="3261" w:type="dxa"/>
      <w:tblLayout w:type="fixed"/>
      <w:tblLook w:val="0400" w:firstRow="0" w:lastRow="0" w:firstColumn="0" w:lastColumn="0" w:noHBand="0" w:noVBand="1"/>
    </w:tblPr>
    <w:tblGrid>
      <w:gridCol w:w="2489"/>
      <w:gridCol w:w="4598"/>
    </w:tblGrid>
    <w:tr w:rsidR="00C9648B" w14:paraId="2D78CA37" w14:textId="77777777">
      <w:tc>
        <w:tcPr>
          <w:tcW w:w="2489" w:type="dxa"/>
          <w:shd w:val="clear" w:color="auto" w:fill="auto"/>
        </w:tcPr>
        <w:p w14:paraId="7092F23E" w14:textId="77777777" w:rsidR="00C9648B" w:rsidRDefault="0060528D">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598" w:type="dxa"/>
          <w:shd w:val="clear" w:color="auto" w:fill="auto"/>
          <w:vAlign w:val="center"/>
        </w:tcPr>
        <w:p w14:paraId="506428A9" w14:textId="77777777" w:rsidR="00C9648B" w:rsidRDefault="0060528D">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02614/INFOEM/IP/RR/2025</w:t>
          </w:r>
        </w:p>
      </w:tc>
    </w:tr>
    <w:tr w:rsidR="00C9648B" w14:paraId="7636F7FF" w14:textId="77777777">
      <w:trPr>
        <w:trHeight w:val="228"/>
      </w:trPr>
      <w:tc>
        <w:tcPr>
          <w:tcW w:w="2489" w:type="dxa"/>
          <w:shd w:val="clear" w:color="auto" w:fill="auto"/>
          <w:vAlign w:val="center"/>
        </w:tcPr>
        <w:p w14:paraId="0DF26C43" w14:textId="77777777" w:rsidR="00C9648B" w:rsidRDefault="0060528D">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598" w:type="dxa"/>
          <w:shd w:val="clear" w:color="auto" w:fill="auto"/>
          <w:vAlign w:val="center"/>
        </w:tcPr>
        <w:p w14:paraId="282FF65F" w14:textId="77777777" w:rsidR="00C9648B" w:rsidRDefault="00C9648B">
          <w:pPr>
            <w:ind w:left="-45" w:right="1586"/>
            <w:jc w:val="both"/>
            <w:rPr>
              <w:rFonts w:ascii="Palatino Linotype" w:eastAsia="Palatino Linotype" w:hAnsi="Palatino Linotype" w:cs="Palatino Linotype"/>
              <w:b/>
              <w:bCs/>
              <w:sz w:val="22"/>
              <w:szCs w:val="22"/>
            </w:rPr>
          </w:pPr>
        </w:p>
        <w:p w14:paraId="530B5E8C" w14:textId="77777777" w:rsidR="00C9648B" w:rsidRDefault="0060528D">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Chicoloapan</w:t>
          </w:r>
        </w:p>
      </w:tc>
    </w:tr>
    <w:tr w:rsidR="00C9648B" w14:paraId="27EF718A" w14:textId="77777777">
      <w:tc>
        <w:tcPr>
          <w:tcW w:w="2489" w:type="dxa"/>
          <w:shd w:val="clear" w:color="auto" w:fill="auto"/>
          <w:vAlign w:val="center"/>
        </w:tcPr>
        <w:p w14:paraId="35D4FB5B" w14:textId="77777777" w:rsidR="00C9648B" w:rsidRDefault="0060528D">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598" w:type="dxa"/>
          <w:shd w:val="clear" w:color="auto" w:fill="auto"/>
          <w:vAlign w:val="center"/>
        </w:tcPr>
        <w:p w14:paraId="46BBA681" w14:textId="77777777" w:rsidR="00C9648B" w:rsidRDefault="0060528D">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27E38A55" w14:textId="77777777" w:rsidR="00C9648B" w:rsidRDefault="0060528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89ECF" w14:textId="77777777" w:rsidR="00C9648B" w:rsidRDefault="0060528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45CD2E26" wp14:editId="6B703B93">
          <wp:simplePos x="0" y="0"/>
          <wp:positionH relativeFrom="column">
            <wp:posOffset>-1079483</wp:posOffset>
          </wp:positionH>
          <wp:positionV relativeFrom="paragraph">
            <wp:posOffset>-328910</wp:posOffset>
          </wp:positionV>
          <wp:extent cx="7809865" cy="10165715"/>
          <wp:effectExtent l="0" t="0" r="0" b="0"/>
          <wp:wrapNone/>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6945" w:type="dxa"/>
      <w:tblInd w:w="3261" w:type="dxa"/>
      <w:tblLayout w:type="fixed"/>
      <w:tblLook w:val="0400" w:firstRow="0" w:lastRow="0" w:firstColumn="0" w:lastColumn="0" w:noHBand="0" w:noVBand="1"/>
    </w:tblPr>
    <w:tblGrid>
      <w:gridCol w:w="2551"/>
      <w:gridCol w:w="4394"/>
    </w:tblGrid>
    <w:tr w:rsidR="00C9648B" w14:paraId="77E715BA" w14:textId="77777777">
      <w:tc>
        <w:tcPr>
          <w:tcW w:w="2551" w:type="dxa"/>
          <w:shd w:val="clear" w:color="auto" w:fill="auto"/>
          <w:vAlign w:val="center"/>
        </w:tcPr>
        <w:p w14:paraId="05F14EA2" w14:textId="77777777" w:rsidR="00C9648B" w:rsidRDefault="0060528D">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394" w:type="dxa"/>
          <w:shd w:val="clear" w:color="auto" w:fill="auto"/>
          <w:vAlign w:val="center"/>
        </w:tcPr>
        <w:p w14:paraId="156251C1" w14:textId="77777777" w:rsidR="00C9648B" w:rsidRDefault="0060528D">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02614/INFOEM/IP/RR/2026</w:t>
          </w:r>
        </w:p>
      </w:tc>
    </w:tr>
    <w:tr w:rsidR="00C9648B" w14:paraId="3659AB5D" w14:textId="77777777">
      <w:trPr>
        <w:trHeight w:val="130"/>
      </w:trPr>
      <w:tc>
        <w:tcPr>
          <w:tcW w:w="2551" w:type="dxa"/>
          <w:shd w:val="clear" w:color="auto" w:fill="auto"/>
          <w:vAlign w:val="center"/>
        </w:tcPr>
        <w:p w14:paraId="77397EBF" w14:textId="77777777" w:rsidR="00C9648B" w:rsidRDefault="0060528D">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394" w:type="dxa"/>
          <w:shd w:val="clear" w:color="auto" w:fill="auto"/>
          <w:vAlign w:val="center"/>
        </w:tcPr>
        <w:p w14:paraId="73C06117" w14:textId="22619704" w:rsidR="00C9648B" w:rsidRDefault="00702C99" w:rsidP="00702C99">
          <w:pPr>
            <w:ind w:left="-45" w:right="1444"/>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XXX</w:t>
          </w:r>
        </w:p>
      </w:tc>
    </w:tr>
    <w:tr w:rsidR="00C9648B" w14:paraId="46AC5EFC" w14:textId="77777777">
      <w:trPr>
        <w:trHeight w:val="228"/>
      </w:trPr>
      <w:tc>
        <w:tcPr>
          <w:tcW w:w="2551" w:type="dxa"/>
          <w:shd w:val="clear" w:color="auto" w:fill="auto"/>
          <w:vAlign w:val="center"/>
        </w:tcPr>
        <w:p w14:paraId="290FD9F1" w14:textId="77777777" w:rsidR="00C9648B" w:rsidRDefault="0060528D">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394" w:type="dxa"/>
          <w:shd w:val="clear" w:color="auto" w:fill="auto"/>
          <w:vAlign w:val="center"/>
        </w:tcPr>
        <w:p w14:paraId="6028AD25" w14:textId="77777777" w:rsidR="00C9648B" w:rsidRDefault="00C9648B">
          <w:pPr>
            <w:ind w:left="-45" w:right="1586"/>
            <w:jc w:val="both"/>
            <w:rPr>
              <w:rFonts w:ascii="Palatino Linotype" w:eastAsia="Palatino Linotype" w:hAnsi="Palatino Linotype" w:cs="Palatino Linotype"/>
              <w:b/>
              <w:bCs/>
              <w:sz w:val="22"/>
              <w:szCs w:val="22"/>
            </w:rPr>
          </w:pPr>
        </w:p>
        <w:p w14:paraId="13873FEF" w14:textId="77777777" w:rsidR="00C9648B" w:rsidRDefault="0060528D">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Chicoloapan</w:t>
          </w:r>
        </w:p>
      </w:tc>
    </w:tr>
    <w:tr w:rsidR="00C9648B" w14:paraId="3A9FA199" w14:textId="77777777">
      <w:tc>
        <w:tcPr>
          <w:tcW w:w="2551" w:type="dxa"/>
          <w:shd w:val="clear" w:color="auto" w:fill="auto"/>
          <w:vAlign w:val="center"/>
        </w:tcPr>
        <w:p w14:paraId="5DC4B500" w14:textId="77777777" w:rsidR="00C9648B" w:rsidRDefault="0060528D">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394" w:type="dxa"/>
          <w:shd w:val="clear" w:color="auto" w:fill="auto"/>
          <w:vAlign w:val="center"/>
        </w:tcPr>
        <w:p w14:paraId="5E609777" w14:textId="77777777" w:rsidR="00C9648B" w:rsidRDefault="0060528D">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19073D9B" w14:textId="77777777" w:rsidR="00C9648B" w:rsidRDefault="00C9648B">
    <w:pPr>
      <w:pBdr>
        <w:top w:val="nil"/>
        <w:left w:val="nil"/>
        <w:bottom w:val="nil"/>
        <w:right w:val="nil"/>
        <w:between w:val="nil"/>
      </w:pBdr>
      <w:tabs>
        <w:tab w:val="center" w:pos="4252"/>
        <w:tab w:val="right" w:pos="8504"/>
      </w:tabs>
      <w:rPr>
        <w:rFonts w:ascii="Cambria" w:eastAsia="Cambria" w:hAnsi="Cambria" w:cs="Cambria"/>
        <w:color w:val="000000"/>
      </w:rPr>
    </w:pPr>
  </w:p>
  <w:p w14:paraId="45D320AD" w14:textId="77777777" w:rsidR="00C9648B" w:rsidRDefault="00C9648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106BF"/>
    <w:multiLevelType w:val="multilevel"/>
    <w:tmpl w:val="18AA96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B650FC5"/>
    <w:multiLevelType w:val="multilevel"/>
    <w:tmpl w:val="462ED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6C609E"/>
    <w:multiLevelType w:val="multilevel"/>
    <w:tmpl w:val="CBFAEA1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48B"/>
    <w:rsid w:val="005339A1"/>
    <w:rsid w:val="0060528D"/>
    <w:rsid w:val="00702C99"/>
    <w:rsid w:val="00C94789"/>
    <w:rsid w:val="00C9648B"/>
    <w:rsid w:val="00DD61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BEEF6"/>
  <w15:docId w15:val="{AB8C16A3-0E5A-4CE8-A6E0-6C8678D90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0"/>
    <w:tblPr>
      <w:tblStyleRowBandSize w:val="1"/>
      <w:tblStyleColBandSize w:val="1"/>
      <w:tblCellMar>
        <w:left w:w="115" w:type="dxa"/>
        <w:right w:w="115" w:type="dxa"/>
      </w:tblCellMar>
    </w:tblPr>
  </w:style>
  <w:style w:type="table" w:customStyle="1" w:styleId="5">
    <w:name w:val="5"/>
    <w:basedOn w:val="TableNormal5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3"/>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32fxNRF9cgFi90ueAmrHKRYVEg==">CgMxLjAyCWguMWZvYjl0ZTIJaC40ZDM0b2c4MghoLmdqZGd4czIJaC4zZHk2dmttMgloLjMwajB6bGwyCWguMnM4ZXlvMTIIaC50eWpjd3QyCWguM3pueXNoNzIJaC4xeTgxMHR3Mg5oLng5NTZyMGEzNjZuaDIOaC5panY5OHBudGNkNXMyCWguMjZpbjFyZzIJaC4xN2RwOHZ1MgloLjNyZGNyam4yCWguMXQzaDVzZjgAciExSmdZNU44d0pJcDZKTlBKSDNYWjE4ZGlSY29xN1ZvY0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8837</Words>
  <Characters>48607</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2026-03-20T17:28:00Z</cp:lastPrinted>
  <dcterms:created xsi:type="dcterms:W3CDTF">2026-04-08T19:18:00Z</dcterms:created>
  <dcterms:modified xsi:type="dcterms:W3CDTF">2026-04-08T19:18:00Z</dcterms:modified>
</cp:coreProperties>
</file>