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D9F4C" w14:textId="6EE6605B" w:rsidR="00C877F6" w:rsidRPr="00E13479" w:rsidRDefault="00F36565">
      <w:pPr>
        <w:spacing w:line="360" w:lineRule="auto"/>
        <w:ind w:right="49" w:hanging="22"/>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w:t>
      </w:r>
      <w:r w:rsidR="00307FC2" w:rsidRPr="00E13479">
        <w:rPr>
          <w:rFonts w:ascii="Palatino Linotype" w:eastAsia="Palatino Linotype" w:hAnsi="Palatino Linotype" w:cs="Palatino Linotype"/>
          <w:b/>
          <w:sz w:val="22"/>
          <w:szCs w:val="22"/>
        </w:rPr>
        <w:t>dieciocho</w:t>
      </w:r>
      <w:r w:rsidR="00D52078" w:rsidRPr="00E13479">
        <w:rPr>
          <w:rFonts w:ascii="Palatino Linotype" w:eastAsia="Palatino Linotype" w:hAnsi="Palatino Linotype" w:cs="Palatino Linotype"/>
          <w:b/>
          <w:sz w:val="22"/>
          <w:szCs w:val="22"/>
        </w:rPr>
        <w:t xml:space="preserve"> de </w:t>
      </w:r>
      <w:r w:rsidR="00426E89" w:rsidRPr="00E13479">
        <w:rPr>
          <w:rFonts w:ascii="Palatino Linotype" w:eastAsia="Palatino Linotype" w:hAnsi="Palatino Linotype" w:cs="Palatino Linotype"/>
          <w:b/>
          <w:sz w:val="22"/>
          <w:szCs w:val="22"/>
        </w:rPr>
        <w:t>febrero</w:t>
      </w:r>
      <w:r w:rsidRPr="00E13479">
        <w:rPr>
          <w:rFonts w:ascii="Palatino Linotype" w:eastAsia="Palatino Linotype" w:hAnsi="Palatino Linotype" w:cs="Palatino Linotype"/>
          <w:sz w:val="22"/>
          <w:szCs w:val="22"/>
        </w:rPr>
        <w:t xml:space="preserve"> </w:t>
      </w:r>
      <w:r w:rsidR="000C6DFE" w:rsidRPr="00E13479">
        <w:rPr>
          <w:rFonts w:ascii="Palatino Linotype" w:eastAsia="Palatino Linotype" w:hAnsi="Palatino Linotype" w:cs="Palatino Linotype"/>
          <w:b/>
          <w:sz w:val="22"/>
          <w:szCs w:val="22"/>
        </w:rPr>
        <w:t>de dos mil veintiséis.</w:t>
      </w:r>
    </w:p>
    <w:p w14:paraId="7F051BA5" w14:textId="77777777" w:rsidR="00C877F6" w:rsidRPr="00E13479" w:rsidRDefault="00C877F6">
      <w:pPr>
        <w:spacing w:line="360" w:lineRule="auto"/>
        <w:ind w:right="49"/>
        <w:jc w:val="both"/>
        <w:rPr>
          <w:rFonts w:ascii="Palatino Linotype" w:eastAsia="Palatino Linotype" w:hAnsi="Palatino Linotype" w:cs="Palatino Linotype"/>
          <w:sz w:val="22"/>
          <w:szCs w:val="22"/>
        </w:rPr>
      </w:pPr>
    </w:p>
    <w:p w14:paraId="02027E82" w14:textId="66D0117E" w:rsidR="00C877F6" w:rsidRPr="00E13479" w:rsidRDefault="00F36565">
      <w:pPr>
        <w:spacing w:line="360" w:lineRule="auto"/>
        <w:ind w:right="49"/>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 xml:space="preserve">VISTO </w:t>
      </w:r>
      <w:r w:rsidRPr="00E13479">
        <w:rPr>
          <w:rFonts w:ascii="Palatino Linotype" w:eastAsia="Palatino Linotype" w:hAnsi="Palatino Linotype" w:cs="Palatino Linotype"/>
          <w:sz w:val="22"/>
          <w:szCs w:val="22"/>
        </w:rPr>
        <w:t xml:space="preserve">el expediente relativo al recurso de revisión </w:t>
      </w:r>
      <w:r w:rsidR="00307FC2" w:rsidRPr="00E13479">
        <w:rPr>
          <w:rFonts w:ascii="Palatino Linotype" w:eastAsia="Palatino Linotype" w:hAnsi="Palatino Linotype" w:cs="Palatino Linotype"/>
          <w:b/>
          <w:sz w:val="22"/>
          <w:szCs w:val="22"/>
        </w:rPr>
        <w:t>13464/INFOEM/IP/RR/2025</w:t>
      </w:r>
      <w:r w:rsidRPr="00E13479">
        <w:rPr>
          <w:rFonts w:ascii="Palatino Linotype" w:eastAsia="Palatino Linotype" w:hAnsi="Palatino Linotype" w:cs="Palatino Linotype"/>
          <w:b/>
          <w:sz w:val="22"/>
          <w:szCs w:val="22"/>
        </w:rPr>
        <w:t xml:space="preserve">, </w:t>
      </w:r>
      <w:r w:rsidRPr="00E13479">
        <w:rPr>
          <w:rFonts w:ascii="Palatino Linotype" w:eastAsia="Palatino Linotype" w:hAnsi="Palatino Linotype" w:cs="Palatino Linotype"/>
          <w:sz w:val="22"/>
          <w:szCs w:val="22"/>
        </w:rPr>
        <w:t xml:space="preserve">interpuesto por </w:t>
      </w:r>
      <w:r w:rsidR="0066157E" w:rsidRPr="0066157E">
        <w:rPr>
          <w:rFonts w:ascii="Palatino Linotype" w:eastAsia="Palatino Linotype" w:hAnsi="Palatino Linotype" w:cs="Palatino Linotype"/>
          <w:b/>
          <w:sz w:val="22"/>
          <w:szCs w:val="22"/>
        </w:rPr>
        <w:t>XXXXX XXX XXXXXXX XXXXXX XXXXXXX</w:t>
      </w:r>
      <w:r w:rsidR="00DE7292" w:rsidRPr="0066157E">
        <w:rPr>
          <w:rFonts w:ascii="Palatino Linotype" w:eastAsia="Palatino Linotype" w:hAnsi="Palatino Linotype" w:cs="Palatino Linotype"/>
          <w:b/>
          <w:sz w:val="22"/>
          <w:szCs w:val="22"/>
        </w:rPr>
        <w:t>,</w:t>
      </w:r>
      <w:bookmarkStart w:id="0" w:name="_GoBack"/>
      <w:bookmarkEnd w:id="0"/>
      <w:r w:rsidRPr="00E13479">
        <w:rPr>
          <w:rFonts w:ascii="Palatino Linotype" w:eastAsia="Palatino Linotype" w:hAnsi="Palatino Linotype" w:cs="Palatino Linotype"/>
          <w:sz w:val="22"/>
          <w:szCs w:val="22"/>
        </w:rPr>
        <w:t xml:space="preserve"> en lo sucesivo la parte </w:t>
      </w:r>
      <w:r w:rsidRPr="00E13479">
        <w:rPr>
          <w:rFonts w:ascii="Palatino Linotype" w:eastAsia="Palatino Linotype" w:hAnsi="Palatino Linotype" w:cs="Palatino Linotype"/>
          <w:b/>
          <w:sz w:val="22"/>
          <w:szCs w:val="22"/>
        </w:rPr>
        <w:t>Recurrente</w:t>
      </w:r>
      <w:r w:rsidRPr="00E13479">
        <w:rPr>
          <w:rFonts w:ascii="Palatino Linotype" w:eastAsia="Palatino Linotype" w:hAnsi="Palatino Linotype" w:cs="Palatino Linotype"/>
          <w:sz w:val="22"/>
          <w:szCs w:val="22"/>
        </w:rPr>
        <w:t xml:space="preserve">, en contra de la respuesta a la solicitud de información por parte del </w:t>
      </w:r>
      <w:r w:rsidR="00307FC2" w:rsidRPr="00E13479">
        <w:rPr>
          <w:rFonts w:ascii="Palatino Linotype" w:eastAsia="Palatino Linotype" w:hAnsi="Palatino Linotype" w:cs="Palatino Linotype"/>
          <w:b/>
          <w:sz w:val="22"/>
          <w:szCs w:val="22"/>
        </w:rPr>
        <w:t>Ayuntamiento de Ecatepec de Morelos</w:t>
      </w:r>
      <w:r w:rsidRPr="00E13479">
        <w:rPr>
          <w:rFonts w:ascii="Palatino Linotype" w:eastAsia="Palatino Linotype" w:hAnsi="Palatino Linotype" w:cs="Palatino Linotype"/>
          <w:sz w:val="22"/>
          <w:szCs w:val="22"/>
        </w:rPr>
        <w:t xml:space="preserve">, en lo sucesivo el </w:t>
      </w:r>
      <w:r w:rsidRPr="00E13479">
        <w:rPr>
          <w:rFonts w:ascii="Palatino Linotype" w:eastAsia="Palatino Linotype" w:hAnsi="Palatino Linotype" w:cs="Palatino Linotype"/>
          <w:b/>
          <w:sz w:val="22"/>
          <w:szCs w:val="22"/>
        </w:rPr>
        <w:t xml:space="preserve">Sujeto Obligado; </w:t>
      </w:r>
      <w:r w:rsidRPr="00E13479">
        <w:rPr>
          <w:rFonts w:ascii="Palatino Linotype" w:eastAsia="Palatino Linotype" w:hAnsi="Palatino Linotype" w:cs="Palatino Linotype"/>
          <w:sz w:val="22"/>
          <w:szCs w:val="22"/>
        </w:rPr>
        <w:t>se procede a dictar la presente resolución, con base en lo siguiente.</w:t>
      </w:r>
    </w:p>
    <w:p w14:paraId="34BBF48E" w14:textId="77777777" w:rsidR="00C877F6" w:rsidRPr="00E13479" w:rsidRDefault="00C877F6">
      <w:pPr>
        <w:spacing w:line="360" w:lineRule="auto"/>
        <w:ind w:right="49"/>
        <w:jc w:val="both"/>
        <w:rPr>
          <w:rFonts w:ascii="Palatino Linotype" w:eastAsia="Palatino Linotype" w:hAnsi="Palatino Linotype" w:cs="Palatino Linotype"/>
          <w:sz w:val="22"/>
          <w:szCs w:val="22"/>
        </w:rPr>
      </w:pPr>
    </w:p>
    <w:p w14:paraId="29A1AF53" w14:textId="5EB2DA70" w:rsidR="00C877F6" w:rsidRPr="00E13479" w:rsidRDefault="00F36565">
      <w:pPr>
        <w:spacing w:line="360" w:lineRule="auto"/>
        <w:ind w:right="49"/>
        <w:jc w:val="center"/>
        <w:rPr>
          <w:rFonts w:ascii="Palatino Linotype" w:eastAsia="Palatino Linotype" w:hAnsi="Palatino Linotype" w:cs="Palatino Linotype"/>
          <w:b/>
          <w:sz w:val="22"/>
          <w:szCs w:val="22"/>
        </w:rPr>
      </w:pPr>
      <w:r w:rsidRPr="00E13479">
        <w:rPr>
          <w:rFonts w:ascii="Palatino Linotype" w:eastAsia="Palatino Linotype" w:hAnsi="Palatino Linotype" w:cs="Palatino Linotype"/>
          <w:b/>
          <w:sz w:val="22"/>
          <w:szCs w:val="22"/>
        </w:rPr>
        <w:t>I.</w:t>
      </w:r>
      <w:r w:rsidRPr="00E13479">
        <w:rPr>
          <w:rFonts w:ascii="Palatino Linotype" w:eastAsia="Palatino Linotype" w:hAnsi="Palatino Linotype" w:cs="Palatino Linotype"/>
          <w:b/>
          <w:sz w:val="22"/>
          <w:szCs w:val="22"/>
        </w:rPr>
        <w:tab/>
        <w:t>A N T E C E D E N T E S</w:t>
      </w:r>
      <w:r w:rsidR="005C74CB" w:rsidRPr="00E13479">
        <w:rPr>
          <w:rFonts w:ascii="Palatino Linotype" w:eastAsia="Palatino Linotype" w:hAnsi="Palatino Linotype" w:cs="Palatino Linotype"/>
          <w:b/>
          <w:sz w:val="22"/>
          <w:szCs w:val="22"/>
        </w:rPr>
        <w:t xml:space="preserve"> </w:t>
      </w:r>
    </w:p>
    <w:p w14:paraId="3ACFD56D" w14:textId="77777777" w:rsidR="00C877F6" w:rsidRPr="00E13479" w:rsidRDefault="00C877F6">
      <w:pPr>
        <w:spacing w:line="360" w:lineRule="auto"/>
        <w:ind w:right="49"/>
        <w:jc w:val="both"/>
        <w:rPr>
          <w:rFonts w:ascii="Palatino Linotype" w:eastAsia="Palatino Linotype" w:hAnsi="Palatino Linotype" w:cs="Palatino Linotype"/>
          <w:sz w:val="22"/>
          <w:szCs w:val="22"/>
        </w:rPr>
      </w:pPr>
    </w:p>
    <w:p w14:paraId="523B7B02" w14:textId="6D750427" w:rsidR="00C877F6" w:rsidRPr="00E13479" w:rsidRDefault="00F36565">
      <w:pPr>
        <w:spacing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1.</w:t>
      </w:r>
      <w:r w:rsidRPr="00E13479">
        <w:rPr>
          <w:rFonts w:ascii="Palatino Linotype" w:eastAsia="Palatino Linotype" w:hAnsi="Palatino Linotype" w:cs="Palatino Linotype"/>
          <w:sz w:val="22"/>
          <w:szCs w:val="22"/>
        </w:rPr>
        <w:t xml:space="preserve"> </w:t>
      </w:r>
      <w:r w:rsidRPr="00E13479">
        <w:rPr>
          <w:rFonts w:ascii="Palatino Linotype" w:eastAsia="Palatino Linotype" w:hAnsi="Palatino Linotype" w:cs="Palatino Linotype"/>
          <w:b/>
          <w:sz w:val="22"/>
          <w:szCs w:val="22"/>
        </w:rPr>
        <w:t xml:space="preserve">Solicitud </w:t>
      </w:r>
      <w:r w:rsidR="00D3382D" w:rsidRPr="00E13479">
        <w:rPr>
          <w:rFonts w:ascii="Palatino Linotype" w:eastAsia="Palatino Linotype" w:hAnsi="Palatino Linotype" w:cs="Palatino Linotype"/>
          <w:b/>
          <w:sz w:val="22"/>
          <w:szCs w:val="22"/>
        </w:rPr>
        <w:t xml:space="preserve">de </w:t>
      </w:r>
      <w:r w:rsidR="009456FA" w:rsidRPr="00E13479">
        <w:rPr>
          <w:rFonts w:ascii="Palatino Linotype" w:eastAsia="Palatino Linotype" w:hAnsi="Palatino Linotype" w:cs="Palatino Linotype"/>
          <w:b/>
          <w:sz w:val="22"/>
          <w:szCs w:val="22"/>
        </w:rPr>
        <w:t xml:space="preserve">Acceso a la Información. El </w:t>
      </w:r>
      <w:r w:rsidR="003F11D8" w:rsidRPr="00E13479">
        <w:rPr>
          <w:rFonts w:ascii="Palatino Linotype" w:eastAsia="Palatino Linotype" w:hAnsi="Palatino Linotype" w:cs="Palatino Linotype"/>
          <w:b/>
          <w:sz w:val="22"/>
          <w:szCs w:val="22"/>
        </w:rPr>
        <w:t>veinticinco</w:t>
      </w:r>
      <w:r w:rsidR="00426E89" w:rsidRPr="00E13479">
        <w:rPr>
          <w:rFonts w:ascii="Palatino Linotype" w:eastAsia="Palatino Linotype" w:hAnsi="Palatino Linotype" w:cs="Palatino Linotype"/>
          <w:b/>
          <w:sz w:val="22"/>
          <w:szCs w:val="22"/>
        </w:rPr>
        <w:t xml:space="preserve"> </w:t>
      </w:r>
      <w:r w:rsidR="00D3382D" w:rsidRPr="00E13479">
        <w:rPr>
          <w:rFonts w:ascii="Palatino Linotype" w:eastAsia="Palatino Linotype" w:hAnsi="Palatino Linotype" w:cs="Palatino Linotype"/>
          <w:b/>
          <w:sz w:val="22"/>
          <w:szCs w:val="22"/>
        </w:rPr>
        <w:t xml:space="preserve">de </w:t>
      </w:r>
      <w:r w:rsidR="003F11D8" w:rsidRPr="00E13479">
        <w:rPr>
          <w:rFonts w:ascii="Palatino Linotype" w:eastAsia="Palatino Linotype" w:hAnsi="Palatino Linotype" w:cs="Palatino Linotype"/>
          <w:b/>
          <w:sz w:val="22"/>
          <w:szCs w:val="22"/>
        </w:rPr>
        <w:t>noviembre</w:t>
      </w:r>
      <w:r w:rsidRPr="00E13479">
        <w:rPr>
          <w:rFonts w:ascii="Palatino Linotype" w:eastAsia="Palatino Linotype" w:hAnsi="Palatino Linotype" w:cs="Palatino Linotype"/>
          <w:b/>
          <w:sz w:val="22"/>
          <w:szCs w:val="22"/>
        </w:rPr>
        <w:t xml:space="preserve"> de dos mil veinticinco</w:t>
      </w:r>
      <w:r w:rsidRPr="00E13479">
        <w:rPr>
          <w:rFonts w:ascii="Palatino Linotype" w:eastAsia="Palatino Linotype" w:hAnsi="Palatino Linotype" w:cs="Palatino Linotype"/>
          <w:sz w:val="22"/>
          <w:szCs w:val="22"/>
        </w:rPr>
        <w:t xml:space="preserve">, </w:t>
      </w:r>
      <w:r w:rsidRPr="00E13479">
        <w:rPr>
          <w:rFonts w:ascii="Palatino Linotype" w:eastAsia="Palatino Linotype" w:hAnsi="Palatino Linotype" w:cs="Palatino Linotype"/>
          <w:b/>
          <w:sz w:val="22"/>
          <w:szCs w:val="22"/>
        </w:rPr>
        <w:t>LA PARTE</w:t>
      </w:r>
      <w:r w:rsidRPr="00E13479">
        <w:rPr>
          <w:rFonts w:ascii="Palatino Linotype" w:eastAsia="Palatino Linotype" w:hAnsi="Palatino Linotype" w:cs="Palatino Linotype"/>
          <w:sz w:val="22"/>
          <w:szCs w:val="22"/>
        </w:rPr>
        <w:t xml:space="preserve"> </w:t>
      </w:r>
      <w:r w:rsidRPr="00E13479">
        <w:rPr>
          <w:rFonts w:ascii="Palatino Linotype" w:eastAsia="Palatino Linotype" w:hAnsi="Palatino Linotype" w:cs="Palatino Linotype"/>
          <w:b/>
          <w:sz w:val="22"/>
          <w:szCs w:val="22"/>
        </w:rPr>
        <w:t>RECURRENTE</w:t>
      </w:r>
      <w:r w:rsidRPr="00E13479">
        <w:rPr>
          <w:rFonts w:ascii="Palatino Linotype" w:eastAsia="Palatino Linotype" w:hAnsi="Palatino Linotype" w:cs="Palatino Linotype"/>
          <w:sz w:val="22"/>
          <w:szCs w:val="22"/>
        </w:rPr>
        <w:t xml:space="preserve"> formuló solicitud de acceso a información pública a través del </w:t>
      </w:r>
      <w:r w:rsidRPr="00E13479">
        <w:rPr>
          <w:rFonts w:ascii="Palatino Linotype" w:eastAsia="Palatino Linotype" w:hAnsi="Palatino Linotype" w:cs="Palatino Linotype"/>
          <w:b/>
          <w:sz w:val="22"/>
          <w:szCs w:val="22"/>
        </w:rPr>
        <w:t>SAIMEX</w:t>
      </w:r>
      <w:r w:rsidRPr="00E13479">
        <w:rPr>
          <w:rFonts w:ascii="Palatino Linotype" w:eastAsia="Palatino Linotype" w:hAnsi="Palatino Linotype" w:cs="Palatino Linotype"/>
          <w:sz w:val="22"/>
          <w:szCs w:val="22"/>
        </w:rPr>
        <w:t xml:space="preserve">, en la que requirió lo siguiente: </w:t>
      </w:r>
    </w:p>
    <w:p w14:paraId="4EEACF59" w14:textId="77777777" w:rsidR="00C877F6" w:rsidRPr="00E13479" w:rsidRDefault="00C877F6">
      <w:pPr>
        <w:spacing w:line="360" w:lineRule="auto"/>
        <w:jc w:val="both"/>
        <w:rPr>
          <w:rFonts w:ascii="Palatino Linotype" w:eastAsia="Palatino Linotype" w:hAnsi="Palatino Linotype" w:cs="Palatino Linotype"/>
          <w:sz w:val="22"/>
          <w:szCs w:val="22"/>
        </w:rPr>
      </w:pPr>
    </w:p>
    <w:p w14:paraId="21215815" w14:textId="355AE832" w:rsidR="00C877F6" w:rsidRPr="00E13479" w:rsidRDefault="00F36565" w:rsidP="001244B6">
      <w:pPr>
        <w:numPr>
          <w:ilvl w:val="0"/>
          <w:numId w:val="2"/>
        </w:numPr>
        <w:pBdr>
          <w:top w:val="nil"/>
          <w:left w:val="nil"/>
          <w:bottom w:val="nil"/>
          <w:right w:val="nil"/>
          <w:between w:val="nil"/>
        </w:pBdr>
        <w:spacing w:line="360" w:lineRule="auto"/>
        <w:ind w:left="567" w:right="49"/>
        <w:jc w:val="both"/>
        <w:rPr>
          <w:rFonts w:ascii="Palatino Linotype" w:eastAsia="Palatino Linotype" w:hAnsi="Palatino Linotype" w:cs="Palatino Linotype"/>
          <w:b/>
          <w:sz w:val="22"/>
          <w:szCs w:val="22"/>
        </w:rPr>
      </w:pPr>
      <w:bookmarkStart w:id="1" w:name="_heading=h.3znysh7" w:colFirst="0" w:colLast="0"/>
      <w:bookmarkEnd w:id="1"/>
      <w:r w:rsidRPr="00E13479">
        <w:rPr>
          <w:rFonts w:ascii="Palatino Linotype" w:eastAsia="Palatino Linotype" w:hAnsi="Palatino Linotype" w:cs="Palatino Linotype"/>
          <w:b/>
          <w:sz w:val="22"/>
          <w:szCs w:val="22"/>
        </w:rPr>
        <w:t>0</w:t>
      </w:r>
      <w:r w:rsidR="00DE7292" w:rsidRPr="00E13479">
        <w:rPr>
          <w:rFonts w:ascii="Palatino Linotype" w:eastAsia="Palatino Linotype" w:hAnsi="Palatino Linotype" w:cs="Palatino Linotype"/>
          <w:b/>
          <w:sz w:val="22"/>
          <w:szCs w:val="22"/>
        </w:rPr>
        <w:t>0</w:t>
      </w:r>
      <w:r w:rsidR="003F11D8" w:rsidRPr="00E13479">
        <w:rPr>
          <w:rFonts w:ascii="Palatino Linotype" w:eastAsia="Palatino Linotype" w:hAnsi="Palatino Linotype" w:cs="Palatino Linotype"/>
          <w:b/>
          <w:sz w:val="22"/>
          <w:szCs w:val="22"/>
        </w:rPr>
        <w:t>850</w:t>
      </w:r>
      <w:r w:rsidRPr="00E13479">
        <w:rPr>
          <w:rFonts w:ascii="Palatino Linotype" w:eastAsia="Palatino Linotype" w:hAnsi="Palatino Linotype" w:cs="Palatino Linotype"/>
          <w:b/>
          <w:sz w:val="22"/>
          <w:szCs w:val="22"/>
        </w:rPr>
        <w:t>/</w:t>
      </w:r>
      <w:r w:rsidR="003F11D8" w:rsidRPr="00E13479">
        <w:rPr>
          <w:rFonts w:ascii="Palatino Linotype" w:eastAsia="Palatino Linotype" w:hAnsi="Palatino Linotype" w:cs="Palatino Linotype"/>
          <w:b/>
          <w:sz w:val="22"/>
          <w:szCs w:val="22"/>
        </w:rPr>
        <w:t>ECATEPEC</w:t>
      </w:r>
      <w:r w:rsidRPr="00E13479">
        <w:rPr>
          <w:rFonts w:ascii="Palatino Linotype" w:eastAsia="Palatino Linotype" w:hAnsi="Palatino Linotype" w:cs="Palatino Linotype"/>
          <w:b/>
          <w:sz w:val="22"/>
          <w:szCs w:val="22"/>
        </w:rPr>
        <w:t>/IP/2025</w:t>
      </w:r>
    </w:p>
    <w:p w14:paraId="173CF3CD" w14:textId="6054C117" w:rsidR="00C877F6" w:rsidRPr="00E13479" w:rsidRDefault="00F36565">
      <w:pPr>
        <w:spacing w:line="276" w:lineRule="auto"/>
        <w:ind w:left="567" w:right="843"/>
        <w:jc w:val="both"/>
        <w:rPr>
          <w:rFonts w:ascii="Palatino Linotype" w:eastAsia="Palatino Linotype" w:hAnsi="Palatino Linotype" w:cs="Palatino Linotype"/>
          <w:b/>
          <w:i/>
          <w:sz w:val="22"/>
          <w:szCs w:val="22"/>
        </w:rPr>
      </w:pPr>
      <w:r w:rsidRPr="00E13479">
        <w:rPr>
          <w:rFonts w:ascii="Palatino Linotype" w:eastAsia="Palatino Linotype" w:hAnsi="Palatino Linotype" w:cs="Palatino Linotype"/>
          <w:i/>
          <w:sz w:val="22"/>
          <w:szCs w:val="22"/>
        </w:rPr>
        <w:t>"</w:t>
      </w:r>
      <w:r w:rsidR="003F11D8" w:rsidRPr="00E13479">
        <w:rPr>
          <w:rFonts w:ascii="Palatino Linotype" w:hAnsi="Palatino Linotype"/>
          <w:sz w:val="22"/>
          <w:szCs w:val="22"/>
        </w:rPr>
        <w:t xml:space="preserve"> </w:t>
      </w:r>
      <w:r w:rsidR="003F11D8" w:rsidRPr="00E13479">
        <w:rPr>
          <w:rFonts w:ascii="Palatino Linotype" w:eastAsia="Palatino Linotype" w:hAnsi="Palatino Linotype" w:cs="Palatino Linotype"/>
          <w:i/>
          <w:sz w:val="22"/>
          <w:szCs w:val="22"/>
        </w:rPr>
        <w:t>Con el objeto de que se me entregue una respuesta con TRANSPARENCIA, estimare que la respuesta sea suscrita por la H. Presidenta Municipal de Ecatepec de Morelos, con todo respeto agradeceré, se me indique el número de Dictámenes Técnicos y Valoraciones de Riesgo, realizados por la Dirección de Medio Ambiente y Ecología, y la Dirección de Protección Civil y Bomberos, del 01 de enero de 2025 al 27 de octubre de 2025, relacionados con la poda, derribo y/o trasplante de un árbol en banquetas del H. Municipio de Ecatepec de Morelos.</w:t>
      </w:r>
      <w:r w:rsidRPr="00E13479">
        <w:rPr>
          <w:rFonts w:ascii="Palatino Linotype" w:eastAsia="Palatino Linotype" w:hAnsi="Palatino Linotype" w:cs="Palatino Linotype"/>
          <w:b/>
          <w:i/>
          <w:sz w:val="22"/>
          <w:szCs w:val="22"/>
        </w:rPr>
        <w:t>” (Sic.)</w:t>
      </w:r>
    </w:p>
    <w:p w14:paraId="1861AE9B" w14:textId="77777777" w:rsidR="00C877F6" w:rsidRPr="00E13479" w:rsidRDefault="00C877F6">
      <w:pPr>
        <w:spacing w:line="360" w:lineRule="auto"/>
        <w:ind w:left="567" w:right="843"/>
        <w:jc w:val="both"/>
        <w:rPr>
          <w:rFonts w:ascii="Palatino Linotype" w:eastAsia="Palatino Linotype" w:hAnsi="Palatino Linotype" w:cs="Palatino Linotype"/>
          <w:i/>
          <w:sz w:val="22"/>
          <w:szCs w:val="22"/>
        </w:rPr>
      </w:pPr>
    </w:p>
    <w:p w14:paraId="76742D72" w14:textId="75EF5275" w:rsidR="00C877F6" w:rsidRPr="00E13479" w:rsidRDefault="00F36565">
      <w:pPr>
        <w:spacing w:line="360" w:lineRule="auto"/>
        <w:ind w:right="49"/>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Modalidad elegida para la entrega de la información:</w:t>
      </w:r>
      <w:r w:rsidR="00C1728E" w:rsidRPr="00E13479">
        <w:rPr>
          <w:rFonts w:ascii="Palatino Linotype" w:eastAsia="Palatino Linotype" w:hAnsi="Palatino Linotype" w:cs="Palatino Linotype"/>
          <w:sz w:val="22"/>
          <w:szCs w:val="22"/>
        </w:rPr>
        <w:t xml:space="preserve"> Consulta directa sin costo</w:t>
      </w:r>
      <w:r w:rsidRPr="00E13479">
        <w:rPr>
          <w:rFonts w:ascii="Palatino Linotype" w:eastAsia="Palatino Linotype" w:hAnsi="Palatino Linotype" w:cs="Palatino Linotype"/>
          <w:sz w:val="22"/>
          <w:szCs w:val="22"/>
        </w:rPr>
        <w:t>.</w:t>
      </w:r>
    </w:p>
    <w:p w14:paraId="46E266A9" w14:textId="282C4135" w:rsidR="00C877F6" w:rsidRPr="00E13479" w:rsidRDefault="00F36565">
      <w:pPr>
        <w:widowControl w:val="0"/>
        <w:spacing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lastRenderedPageBreak/>
        <w:t>2. Respuesta.</w:t>
      </w:r>
      <w:r w:rsidRPr="00E13479">
        <w:rPr>
          <w:rFonts w:ascii="Palatino Linotype" w:eastAsia="Palatino Linotype" w:hAnsi="Palatino Linotype" w:cs="Palatino Linotype"/>
          <w:sz w:val="22"/>
          <w:szCs w:val="22"/>
        </w:rPr>
        <w:t xml:space="preserve"> El </w:t>
      </w:r>
      <w:r w:rsidR="003F11D8" w:rsidRPr="00E13479">
        <w:rPr>
          <w:rFonts w:ascii="Palatino Linotype" w:eastAsia="Palatino Linotype" w:hAnsi="Palatino Linotype" w:cs="Palatino Linotype"/>
          <w:b/>
          <w:sz w:val="22"/>
          <w:szCs w:val="22"/>
        </w:rPr>
        <w:t>dieciocho</w:t>
      </w:r>
      <w:r w:rsidRPr="00E13479">
        <w:rPr>
          <w:rFonts w:ascii="Palatino Linotype" w:eastAsia="Palatino Linotype" w:hAnsi="Palatino Linotype" w:cs="Palatino Linotype"/>
          <w:sz w:val="22"/>
          <w:szCs w:val="22"/>
        </w:rPr>
        <w:t xml:space="preserve"> </w:t>
      </w:r>
      <w:r w:rsidRPr="00E13479">
        <w:rPr>
          <w:rFonts w:ascii="Palatino Linotype" w:eastAsia="Palatino Linotype" w:hAnsi="Palatino Linotype" w:cs="Palatino Linotype"/>
          <w:b/>
          <w:sz w:val="22"/>
          <w:szCs w:val="22"/>
        </w:rPr>
        <w:t xml:space="preserve">de </w:t>
      </w:r>
      <w:r w:rsidR="00A16203" w:rsidRPr="00E13479">
        <w:rPr>
          <w:rFonts w:ascii="Palatino Linotype" w:eastAsia="Palatino Linotype" w:hAnsi="Palatino Linotype" w:cs="Palatino Linotype"/>
          <w:b/>
          <w:sz w:val="22"/>
          <w:szCs w:val="22"/>
        </w:rPr>
        <w:t>noviembre</w:t>
      </w:r>
      <w:r w:rsidR="009456FA" w:rsidRPr="00E13479">
        <w:rPr>
          <w:rFonts w:ascii="Palatino Linotype" w:eastAsia="Palatino Linotype" w:hAnsi="Palatino Linotype" w:cs="Palatino Linotype"/>
          <w:b/>
          <w:sz w:val="22"/>
          <w:szCs w:val="22"/>
        </w:rPr>
        <w:t xml:space="preserve"> </w:t>
      </w:r>
      <w:r w:rsidRPr="00E13479">
        <w:rPr>
          <w:rFonts w:ascii="Palatino Linotype" w:eastAsia="Palatino Linotype" w:hAnsi="Palatino Linotype" w:cs="Palatino Linotype"/>
          <w:b/>
          <w:sz w:val="22"/>
          <w:szCs w:val="22"/>
        </w:rPr>
        <w:t>de dos mil veinticinco</w:t>
      </w:r>
      <w:r w:rsidRPr="00E13479">
        <w:rPr>
          <w:rFonts w:ascii="Palatino Linotype" w:eastAsia="Palatino Linotype" w:hAnsi="Palatino Linotype" w:cs="Palatino Linotype"/>
          <w:sz w:val="22"/>
          <w:szCs w:val="22"/>
        </w:rPr>
        <w:t>, el Sujeto Obligado dio respuesta a la solicitud en los siguientes términos:</w:t>
      </w:r>
    </w:p>
    <w:p w14:paraId="7689408D" w14:textId="77777777" w:rsidR="00C877F6" w:rsidRPr="00E13479" w:rsidRDefault="00C877F6">
      <w:pPr>
        <w:widowControl w:val="0"/>
        <w:spacing w:line="360" w:lineRule="auto"/>
        <w:jc w:val="both"/>
        <w:rPr>
          <w:rFonts w:ascii="Palatino Linotype" w:eastAsia="Palatino Linotype" w:hAnsi="Palatino Linotype" w:cs="Palatino Linotype"/>
          <w:sz w:val="22"/>
          <w:szCs w:val="22"/>
        </w:rPr>
      </w:pPr>
    </w:p>
    <w:p w14:paraId="74532DD4" w14:textId="77777777" w:rsidR="005667AE" w:rsidRPr="00E13479" w:rsidRDefault="00F36565" w:rsidP="005667AE">
      <w:pPr>
        <w:pBdr>
          <w:top w:val="nil"/>
          <w:left w:val="nil"/>
          <w:bottom w:val="nil"/>
          <w:right w:val="nil"/>
          <w:between w:val="nil"/>
        </w:pBdr>
        <w:spacing w:line="360" w:lineRule="auto"/>
        <w:ind w:left="567" w:right="49"/>
        <w:jc w:val="both"/>
        <w:rPr>
          <w:rFonts w:ascii="Palatino Linotype" w:eastAsia="Palatino Linotype" w:hAnsi="Palatino Linotype" w:cs="Palatino Linotype"/>
          <w:i/>
          <w:sz w:val="22"/>
          <w:szCs w:val="22"/>
        </w:rPr>
      </w:pPr>
      <w:r w:rsidRPr="00E13479">
        <w:rPr>
          <w:rFonts w:ascii="Palatino Linotype" w:eastAsia="Palatino Linotype" w:hAnsi="Palatino Linotype" w:cs="Palatino Linotype"/>
          <w:i/>
          <w:sz w:val="22"/>
          <w:szCs w:val="22"/>
        </w:rPr>
        <w:t>“</w:t>
      </w:r>
      <w:r w:rsidR="005667AE" w:rsidRPr="00E13479">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61224E3" w14:textId="77777777" w:rsidR="005667AE" w:rsidRPr="00E13479" w:rsidRDefault="005667AE" w:rsidP="005667AE">
      <w:pPr>
        <w:pBdr>
          <w:top w:val="nil"/>
          <w:left w:val="nil"/>
          <w:bottom w:val="nil"/>
          <w:right w:val="nil"/>
          <w:between w:val="nil"/>
        </w:pBdr>
        <w:spacing w:line="360" w:lineRule="auto"/>
        <w:ind w:left="567" w:right="49"/>
        <w:jc w:val="both"/>
        <w:rPr>
          <w:rFonts w:ascii="Palatino Linotype" w:eastAsia="Palatino Linotype" w:hAnsi="Palatino Linotype" w:cs="Palatino Linotype"/>
          <w:i/>
          <w:sz w:val="22"/>
          <w:szCs w:val="22"/>
        </w:rPr>
      </w:pPr>
      <w:r w:rsidRPr="00E13479">
        <w:rPr>
          <w:rFonts w:ascii="Palatino Linotype" w:eastAsia="Palatino Linotype" w:hAnsi="Palatino Linotype" w:cs="Palatino Linotype"/>
          <w:i/>
          <w:sz w:val="22"/>
          <w:szCs w:val="22"/>
        </w:rPr>
        <w:t>Se anexa respuesta</w:t>
      </w:r>
    </w:p>
    <w:p w14:paraId="711DF081" w14:textId="77777777" w:rsidR="005667AE" w:rsidRPr="00E13479" w:rsidRDefault="005667AE" w:rsidP="005667AE">
      <w:pPr>
        <w:pBdr>
          <w:top w:val="nil"/>
          <w:left w:val="nil"/>
          <w:bottom w:val="nil"/>
          <w:right w:val="nil"/>
          <w:between w:val="nil"/>
        </w:pBdr>
        <w:spacing w:line="360" w:lineRule="auto"/>
        <w:ind w:left="567" w:right="49"/>
        <w:jc w:val="both"/>
        <w:rPr>
          <w:rFonts w:ascii="Palatino Linotype" w:eastAsia="Palatino Linotype" w:hAnsi="Palatino Linotype" w:cs="Palatino Linotype"/>
          <w:i/>
          <w:sz w:val="22"/>
          <w:szCs w:val="22"/>
        </w:rPr>
      </w:pPr>
      <w:r w:rsidRPr="00E13479">
        <w:rPr>
          <w:rFonts w:ascii="Palatino Linotype" w:eastAsia="Palatino Linotype" w:hAnsi="Palatino Linotype" w:cs="Palatino Linotype"/>
          <w:i/>
          <w:sz w:val="22"/>
          <w:szCs w:val="22"/>
        </w:rPr>
        <w:t>ATENTAMENTE</w:t>
      </w:r>
    </w:p>
    <w:p w14:paraId="7858BA1C" w14:textId="24A06F1D" w:rsidR="00C877F6" w:rsidRPr="00E13479" w:rsidRDefault="005667AE" w:rsidP="005667AE">
      <w:pPr>
        <w:pBdr>
          <w:top w:val="nil"/>
          <w:left w:val="nil"/>
          <w:bottom w:val="nil"/>
          <w:right w:val="nil"/>
          <w:between w:val="nil"/>
        </w:pBdr>
        <w:spacing w:line="360" w:lineRule="auto"/>
        <w:ind w:left="567" w:right="49"/>
        <w:jc w:val="both"/>
        <w:rPr>
          <w:rFonts w:ascii="Palatino Linotype" w:eastAsia="Palatino Linotype" w:hAnsi="Palatino Linotype" w:cs="Palatino Linotype"/>
          <w:i/>
          <w:sz w:val="22"/>
          <w:szCs w:val="22"/>
        </w:rPr>
      </w:pPr>
      <w:r w:rsidRPr="00E13479">
        <w:rPr>
          <w:rFonts w:ascii="Palatino Linotype" w:eastAsia="Palatino Linotype" w:hAnsi="Palatino Linotype" w:cs="Palatino Linotype"/>
          <w:i/>
          <w:sz w:val="22"/>
          <w:szCs w:val="22"/>
        </w:rPr>
        <w:t>Cristina Muñoz Gallardo</w:t>
      </w:r>
      <w:r w:rsidR="00287278" w:rsidRPr="00E13479">
        <w:rPr>
          <w:rFonts w:ascii="Palatino Linotype" w:eastAsia="Palatino Linotype" w:hAnsi="Palatino Linotype" w:cs="Palatino Linotype"/>
          <w:i/>
          <w:sz w:val="22"/>
          <w:szCs w:val="22"/>
        </w:rPr>
        <w:t>”</w:t>
      </w:r>
    </w:p>
    <w:p w14:paraId="7C751FDF" w14:textId="77777777" w:rsidR="009456FA" w:rsidRPr="00E13479" w:rsidRDefault="009456FA" w:rsidP="009456FA">
      <w:pPr>
        <w:widowControl w:val="0"/>
        <w:spacing w:line="360" w:lineRule="auto"/>
        <w:ind w:left="567" w:right="843"/>
        <w:jc w:val="both"/>
        <w:rPr>
          <w:rFonts w:ascii="Palatino Linotype" w:eastAsia="Palatino Linotype" w:hAnsi="Palatino Linotype" w:cs="Palatino Linotype"/>
          <w:i/>
          <w:sz w:val="22"/>
          <w:szCs w:val="22"/>
        </w:rPr>
      </w:pPr>
    </w:p>
    <w:p w14:paraId="4BF20BD5" w14:textId="4FAC2340" w:rsidR="00DE7292" w:rsidRPr="00E13479" w:rsidRDefault="00F36565">
      <w:pPr>
        <w:widowControl w:val="0"/>
        <w:spacing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El Sujeto Obligado adjunt</w:t>
      </w:r>
      <w:r w:rsidR="00DE7292" w:rsidRPr="00E13479">
        <w:rPr>
          <w:rFonts w:ascii="Palatino Linotype" w:eastAsia="Palatino Linotype" w:hAnsi="Palatino Linotype" w:cs="Palatino Linotype"/>
          <w:sz w:val="22"/>
          <w:szCs w:val="22"/>
        </w:rPr>
        <w:t xml:space="preserve">ó </w:t>
      </w:r>
      <w:r w:rsidR="00C1728E" w:rsidRPr="00E13479">
        <w:rPr>
          <w:rFonts w:ascii="Palatino Linotype" w:eastAsia="Palatino Linotype" w:hAnsi="Palatino Linotype" w:cs="Palatino Linotype"/>
          <w:sz w:val="22"/>
          <w:szCs w:val="22"/>
        </w:rPr>
        <w:t>los documentos electrónicos denominados</w:t>
      </w:r>
      <w:r w:rsidR="006E3440" w:rsidRPr="00E13479">
        <w:rPr>
          <w:rFonts w:ascii="Palatino Linotype" w:eastAsia="Palatino Linotype" w:hAnsi="Palatino Linotype" w:cs="Palatino Linotype"/>
          <w:sz w:val="22"/>
          <w:szCs w:val="22"/>
        </w:rPr>
        <w:t>:</w:t>
      </w:r>
    </w:p>
    <w:p w14:paraId="10BDC3CC" w14:textId="77777777" w:rsidR="006E3440" w:rsidRPr="00E13479" w:rsidRDefault="006E3440">
      <w:pPr>
        <w:widowControl w:val="0"/>
        <w:spacing w:line="360" w:lineRule="auto"/>
        <w:jc w:val="both"/>
        <w:rPr>
          <w:rFonts w:ascii="Palatino Linotype" w:eastAsia="Palatino Linotype" w:hAnsi="Palatino Linotype" w:cs="Palatino Linotype"/>
          <w:sz w:val="22"/>
          <w:szCs w:val="22"/>
        </w:rPr>
      </w:pPr>
    </w:p>
    <w:p w14:paraId="70E53D32" w14:textId="65D5B502" w:rsidR="005667AE" w:rsidRPr="00E13479" w:rsidRDefault="005667AE" w:rsidP="005667AE">
      <w:pPr>
        <w:pStyle w:val="Prrafodelista"/>
        <w:widowControl w:val="0"/>
        <w:numPr>
          <w:ilvl w:val="0"/>
          <w:numId w:val="37"/>
        </w:numPr>
        <w:spacing w:line="360" w:lineRule="auto"/>
        <w:ind w:left="426"/>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 xml:space="preserve">850_00421220251105112604.pdf: </w:t>
      </w:r>
      <w:r w:rsidRPr="00E13479">
        <w:rPr>
          <w:rFonts w:ascii="Palatino Linotype" w:eastAsia="Palatino Linotype" w:hAnsi="Palatino Linotype" w:cs="Palatino Linotype"/>
          <w:sz w:val="22"/>
          <w:szCs w:val="22"/>
        </w:rPr>
        <w:t>Documento suscrito por el Director de Medio Ambiente y Ecología mediante el cual refiere que del uno de enero al veintisiete de octubre de dos mil veinticinco:</w:t>
      </w:r>
    </w:p>
    <w:p w14:paraId="528DF0C8" w14:textId="0AD04DC0" w:rsidR="005667AE" w:rsidRPr="00E13479" w:rsidRDefault="005667AE" w:rsidP="005667AE">
      <w:pPr>
        <w:pStyle w:val="Prrafodelista"/>
        <w:widowControl w:val="0"/>
        <w:numPr>
          <w:ilvl w:val="0"/>
          <w:numId w:val="45"/>
        </w:numPr>
        <w:spacing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709 Valoraciones de riesgo;</w:t>
      </w:r>
    </w:p>
    <w:p w14:paraId="74437DD6" w14:textId="09A8CC5E" w:rsidR="005667AE" w:rsidRPr="00E13479" w:rsidRDefault="005667AE" w:rsidP="005667AE">
      <w:pPr>
        <w:pStyle w:val="Prrafodelista"/>
        <w:widowControl w:val="0"/>
        <w:numPr>
          <w:ilvl w:val="0"/>
          <w:numId w:val="45"/>
        </w:numPr>
        <w:spacing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889 Dictámenes Técnicos (Mismos que han sido ejecutados por la Dirección de Protección Civil y Bomberos)</w:t>
      </w:r>
    </w:p>
    <w:p w14:paraId="72CBDC41" w14:textId="40F7B028" w:rsidR="00D73335" w:rsidRPr="00E13479" w:rsidRDefault="005667AE" w:rsidP="00D73335">
      <w:pPr>
        <w:pStyle w:val="Prrafodelista"/>
        <w:numPr>
          <w:ilvl w:val="0"/>
          <w:numId w:val="42"/>
        </w:numPr>
        <w:spacing w:line="360" w:lineRule="auto"/>
        <w:ind w:left="567"/>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00850- 3074.pdf</w:t>
      </w:r>
      <w:r w:rsidR="00D73335" w:rsidRPr="00E13479">
        <w:rPr>
          <w:rFonts w:ascii="Palatino Linotype" w:eastAsia="Palatino Linotype" w:hAnsi="Palatino Linotype" w:cs="Palatino Linotype"/>
          <w:b/>
          <w:sz w:val="22"/>
          <w:szCs w:val="22"/>
        </w:rPr>
        <w:t xml:space="preserve">: </w:t>
      </w:r>
      <w:r w:rsidR="00D73335" w:rsidRPr="00E13479">
        <w:rPr>
          <w:rFonts w:ascii="Palatino Linotype" w:eastAsia="Palatino Linotype" w:hAnsi="Palatino Linotype" w:cs="Palatino Linotype"/>
          <w:sz w:val="22"/>
          <w:szCs w:val="22"/>
        </w:rPr>
        <w:t>Documento que se integra por sesenta y seis páginas que contienen valoraciones de riesgo emitidas por la Dirección de Protección Civil y Bomberos.</w:t>
      </w:r>
    </w:p>
    <w:p w14:paraId="500CE9DE" w14:textId="72C62AA8" w:rsidR="005667AE" w:rsidRPr="00E13479" w:rsidRDefault="005667AE" w:rsidP="005667AE">
      <w:pPr>
        <w:pStyle w:val="Prrafodelista"/>
        <w:widowControl w:val="0"/>
        <w:numPr>
          <w:ilvl w:val="0"/>
          <w:numId w:val="37"/>
        </w:numPr>
        <w:spacing w:line="360" w:lineRule="auto"/>
        <w:ind w:left="426"/>
        <w:jc w:val="both"/>
        <w:rPr>
          <w:rFonts w:ascii="Palatino Linotype" w:eastAsia="Palatino Linotype" w:hAnsi="Palatino Linotype" w:cs="Palatino Linotype"/>
          <w:b/>
          <w:sz w:val="22"/>
          <w:szCs w:val="22"/>
        </w:rPr>
      </w:pPr>
      <w:r w:rsidRPr="00E13479">
        <w:rPr>
          <w:rFonts w:ascii="Palatino Linotype" w:eastAsia="Palatino Linotype" w:hAnsi="Palatino Linotype" w:cs="Palatino Linotype"/>
          <w:b/>
          <w:sz w:val="22"/>
          <w:szCs w:val="22"/>
        </w:rPr>
        <w:t>CT_UT_ECA_1266_2025 contestacion a sol.0850.pdf</w:t>
      </w:r>
      <w:r w:rsidR="00D73335" w:rsidRPr="00E13479">
        <w:rPr>
          <w:rFonts w:ascii="Palatino Linotype" w:eastAsia="Palatino Linotype" w:hAnsi="Palatino Linotype" w:cs="Palatino Linotype"/>
          <w:b/>
          <w:sz w:val="22"/>
          <w:szCs w:val="22"/>
        </w:rPr>
        <w:t xml:space="preserve">: </w:t>
      </w:r>
      <w:r w:rsidR="00D73335" w:rsidRPr="00E13479">
        <w:rPr>
          <w:rFonts w:ascii="Palatino Linotype" w:eastAsia="Palatino Linotype" w:hAnsi="Palatino Linotype" w:cs="Palatino Linotype"/>
          <w:sz w:val="22"/>
          <w:szCs w:val="22"/>
        </w:rPr>
        <w:t xml:space="preserve">Oficio suscrito por el Titular de la Unidad de Transparencia mediante el cual </w:t>
      </w:r>
      <w:r w:rsidR="00E41F94" w:rsidRPr="00E13479">
        <w:rPr>
          <w:rFonts w:ascii="Palatino Linotype" w:eastAsia="Palatino Linotype" w:hAnsi="Palatino Linotype" w:cs="Palatino Linotype"/>
          <w:sz w:val="22"/>
          <w:szCs w:val="22"/>
        </w:rPr>
        <w:t>refiere que se adjunta la respuesta.</w:t>
      </w:r>
      <w:r w:rsidR="00E41F94" w:rsidRPr="00E13479">
        <w:rPr>
          <w:rFonts w:ascii="Palatino Linotype" w:eastAsia="Palatino Linotype" w:hAnsi="Palatino Linotype" w:cs="Palatino Linotype"/>
          <w:b/>
          <w:sz w:val="22"/>
          <w:szCs w:val="22"/>
        </w:rPr>
        <w:t xml:space="preserve"> </w:t>
      </w:r>
    </w:p>
    <w:p w14:paraId="1A74CB45" w14:textId="77777777" w:rsidR="005667AE" w:rsidRPr="00E13479" w:rsidRDefault="005667AE" w:rsidP="005667AE">
      <w:pPr>
        <w:pStyle w:val="Prrafodelista"/>
        <w:widowControl w:val="0"/>
        <w:spacing w:line="360" w:lineRule="auto"/>
        <w:ind w:left="426"/>
        <w:jc w:val="both"/>
        <w:rPr>
          <w:rFonts w:ascii="Palatino Linotype" w:eastAsia="Palatino Linotype" w:hAnsi="Palatino Linotype" w:cs="Palatino Linotype"/>
          <w:b/>
          <w:sz w:val="22"/>
          <w:szCs w:val="22"/>
        </w:rPr>
      </w:pPr>
    </w:p>
    <w:p w14:paraId="4DA0D391" w14:textId="03517D3B" w:rsidR="00C877F6" w:rsidRPr="00E13479" w:rsidRDefault="00F36565">
      <w:pPr>
        <w:spacing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lastRenderedPageBreak/>
        <w:t xml:space="preserve">3. Del Recurso de Revisión. </w:t>
      </w:r>
      <w:r w:rsidRPr="00E13479">
        <w:rPr>
          <w:rFonts w:ascii="Palatino Linotype" w:eastAsia="Palatino Linotype" w:hAnsi="Palatino Linotype" w:cs="Palatino Linotype"/>
          <w:sz w:val="22"/>
          <w:szCs w:val="22"/>
        </w:rPr>
        <w:t>Inconforme con la respuesta del</w:t>
      </w:r>
      <w:r w:rsidRPr="00E13479">
        <w:rPr>
          <w:rFonts w:ascii="Palatino Linotype" w:eastAsia="Palatino Linotype" w:hAnsi="Palatino Linotype" w:cs="Palatino Linotype"/>
          <w:b/>
          <w:sz w:val="22"/>
          <w:szCs w:val="22"/>
        </w:rPr>
        <w:t xml:space="preserve"> SUJETO OBLIGADO, </w:t>
      </w:r>
      <w:r w:rsidRPr="00E13479">
        <w:rPr>
          <w:rFonts w:ascii="Palatino Linotype" w:eastAsia="Palatino Linotype" w:hAnsi="Palatino Linotype" w:cs="Palatino Linotype"/>
          <w:sz w:val="22"/>
          <w:szCs w:val="22"/>
        </w:rPr>
        <w:t xml:space="preserve">el </w:t>
      </w:r>
      <w:r w:rsidR="00D44B6F" w:rsidRPr="00E13479">
        <w:rPr>
          <w:rFonts w:ascii="Palatino Linotype" w:eastAsia="Palatino Linotype" w:hAnsi="Palatino Linotype" w:cs="Palatino Linotype"/>
          <w:b/>
          <w:sz w:val="22"/>
          <w:szCs w:val="22"/>
        </w:rPr>
        <w:t>tres</w:t>
      </w:r>
      <w:r w:rsidR="00507CDE" w:rsidRPr="00E13479">
        <w:rPr>
          <w:rFonts w:ascii="Palatino Linotype" w:eastAsia="Palatino Linotype" w:hAnsi="Palatino Linotype" w:cs="Palatino Linotype"/>
          <w:sz w:val="22"/>
          <w:szCs w:val="22"/>
        </w:rPr>
        <w:t xml:space="preserve"> </w:t>
      </w:r>
      <w:r w:rsidRPr="00E13479">
        <w:rPr>
          <w:rFonts w:ascii="Palatino Linotype" w:eastAsia="Palatino Linotype" w:hAnsi="Palatino Linotype" w:cs="Palatino Linotype"/>
          <w:sz w:val="22"/>
          <w:szCs w:val="22"/>
        </w:rPr>
        <w:t>d</w:t>
      </w:r>
      <w:r w:rsidRPr="00E13479">
        <w:rPr>
          <w:rFonts w:ascii="Palatino Linotype" w:eastAsia="Palatino Linotype" w:hAnsi="Palatino Linotype" w:cs="Palatino Linotype"/>
          <w:b/>
          <w:sz w:val="22"/>
          <w:szCs w:val="22"/>
        </w:rPr>
        <w:t xml:space="preserve">e </w:t>
      </w:r>
      <w:r w:rsidR="00D44B6F" w:rsidRPr="00E13479">
        <w:rPr>
          <w:rFonts w:ascii="Palatino Linotype" w:eastAsia="Palatino Linotype" w:hAnsi="Palatino Linotype" w:cs="Palatino Linotype"/>
          <w:b/>
          <w:sz w:val="22"/>
          <w:szCs w:val="22"/>
        </w:rPr>
        <w:t>diciembre</w:t>
      </w:r>
      <w:r w:rsidRPr="00E13479">
        <w:rPr>
          <w:rFonts w:ascii="Palatino Linotype" w:eastAsia="Palatino Linotype" w:hAnsi="Palatino Linotype" w:cs="Palatino Linotype"/>
          <w:b/>
          <w:sz w:val="22"/>
          <w:szCs w:val="22"/>
        </w:rPr>
        <w:t xml:space="preserve"> de dos mil veinticinco, LA PARTE RECURRENTE </w:t>
      </w:r>
      <w:r w:rsidRPr="00E13479">
        <w:rPr>
          <w:rFonts w:ascii="Palatino Linotype" w:eastAsia="Palatino Linotype" w:hAnsi="Palatino Linotype" w:cs="Palatino Linotype"/>
          <w:sz w:val="22"/>
          <w:szCs w:val="22"/>
        </w:rPr>
        <w:t xml:space="preserve">interpuso el recurso de revisión, mediante el cual y manifestó lo siguiente: </w:t>
      </w:r>
    </w:p>
    <w:p w14:paraId="624E8444" w14:textId="77777777" w:rsidR="006E3440" w:rsidRPr="00E13479" w:rsidRDefault="006E3440">
      <w:pPr>
        <w:spacing w:line="360" w:lineRule="auto"/>
        <w:jc w:val="both"/>
        <w:rPr>
          <w:rFonts w:ascii="Palatino Linotype" w:eastAsia="Palatino Linotype" w:hAnsi="Palatino Linotype" w:cs="Palatino Linotype"/>
          <w:sz w:val="22"/>
          <w:szCs w:val="22"/>
        </w:rPr>
      </w:pPr>
    </w:p>
    <w:p w14:paraId="36671519" w14:textId="5894D274" w:rsidR="00C877F6" w:rsidRPr="00E13479" w:rsidRDefault="00F36565" w:rsidP="00D44B6F">
      <w:pPr>
        <w:numPr>
          <w:ilvl w:val="0"/>
          <w:numId w:val="2"/>
        </w:numPr>
        <w:pBdr>
          <w:top w:val="nil"/>
          <w:left w:val="nil"/>
          <w:bottom w:val="nil"/>
          <w:right w:val="nil"/>
          <w:between w:val="nil"/>
        </w:pBdr>
        <w:spacing w:line="360" w:lineRule="auto"/>
        <w:ind w:right="49"/>
        <w:jc w:val="both"/>
        <w:rPr>
          <w:rFonts w:ascii="Palatino Linotype" w:eastAsia="Palatino Linotype" w:hAnsi="Palatino Linotype" w:cs="Palatino Linotype"/>
          <w:i/>
          <w:sz w:val="22"/>
          <w:szCs w:val="22"/>
        </w:rPr>
      </w:pPr>
      <w:r w:rsidRPr="00E13479">
        <w:rPr>
          <w:rFonts w:ascii="Palatino Linotype" w:eastAsia="Palatino Linotype" w:hAnsi="Palatino Linotype" w:cs="Palatino Linotype"/>
          <w:b/>
          <w:i/>
          <w:sz w:val="22"/>
          <w:szCs w:val="22"/>
        </w:rPr>
        <w:t>Acto Impugnado:</w:t>
      </w:r>
      <w:r w:rsidRPr="00E13479">
        <w:rPr>
          <w:rFonts w:ascii="Palatino Linotype" w:eastAsia="Palatino Linotype" w:hAnsi="Palatino Linotype" w:cs="Palatino Linotype"/>
          <w:i/>
          <w:sz w:val="22"/>
          <w:szCs w:val="22"/>
        </w:rPr>
        <w:t xml:space="preserve"> “</w:t>
      </w:r>
      <w:r w:rsidR="00D44B6F" w:rsidRPr="00E13479">
        <w:rPr>
          <w:rFonts w:ascii="Palatino Linotype" w:eastAsia="Palatino Linotype" w:hAnsi="Palatino Linotype" w:cs="Palatino Linotype"/>
          <w:i/>
          <w:sz w:val="22"/>
          <w:szCs w:val="22"/>
        </w:rPr>
        <w:t>Con el objeto de que se me entregue una respuesta con TRANSPARENCIA, estimare que la respuesta sea suscrita por la H. Presidenta Municipal de Ecatepec de Morelos, con todo respeto agradeceré, se me indique el número de Dictámenes Técnicos y Valoraciones de Riesgo, realizados por la Dirección de Medio Ambiente y Ecología, y la Dirección de Protección Civil y Bomberos, del 01 de enero de 2025 al 27 de octubre de 2025, relacionados con la poda, derribo y/o trasplante de un árbol en banquetas del H. Municipio de Ecatepec de Morelos.</w:t>
      </w:r>
      <w:r w:rsidRPr="00E13479">
        <w:rPr>
          <w:rFonts w:ascii="Palatino Linotype" w:eastAsia="Palatino Linotype" w:hAnsi="Palatino Linotype" w:cs="Palatino Linotype"/>
          <w:i/>
          <w:sz w:val="22"/>
          <w:szCs w:val="22"/>
        </w:rPr>
        <w:t>” (Sic.)</w:t>
      </w:r>
    </w:p>
    <w:p w14:paraId="2BA13102" w14:textId="77777777" w:rsidR="00C877F6" w:rsidRPr="00E13479" w:rsidRDefault="00C877F6" w:rsidP="00D44B6F">
      <w:pPr>
        <w:pBdr>
          <w:top w:val="nil"/>
          <w:left w:val="nil"/>
          <w:bottom w:val="nil"/>
          <w:right w:val="nil"/>
          <w:between w:val="nil"/>
        </w:pBdr>
        <w:spacing w:line="360" w:lineRule="auto"/>
        <w:ind w:left="720" w:right="560"/>
        <w:jc w:val="both"/>
        <w:rPr>
          <w:rFonts w:ascii="Palatino Linotype" w:eastAsia="Palatino Linotype" w:hAnsi="Palatino Linotype" w:cs="Palatino Linotype"/>
          <w:i/>
          <w:sz w:val="22"/>
          <w:szCs w:val="22"/>
        </w:rPr>
      </w:pPr>
    </w:p>
    <w:p w14:paraId="61E1D3CB" w14:textId="58FF58F8" w:rsidR="00C877F6" w:rsidRPr="00E13479" w:rsidRDefault="00F36565" w:rsidP="00D44B6F">
      <w:pPr>
        <w:pStyle w:val="Listaconvietas3"/>
        <w:spacing w:line="360" w:lineRule="auto"/>
        <w:rPr>
          <w:rFonts w:ascii="Palatino Linotype" w:eastAsia="Palatino Linotype" w:hAnsi="Palatino Linotype" w:cs="Palatino Linotype"/>
          <w:i/>
          <w:sz w:val="22"/>
          <w:szCs w:val="22"/>
        </w:rPr>
      </w:pPr>
      <w:r w:rsidRPr="00E13479">
        <w:rPr>
          <w:rFonts w:ascii="Palatino Linotype" w:eastAsia="Palatino Linotype" w:hAnsi="Palatino Linotype" w:cs="Palatino Linotype"/>
          <w:b/>
          <w:i/>
          <w:sz w:val="22"/>
          <w:szCs w:val="22"/>
        </w:rPr>
        <w:t>Motivo de inconformidad:</w:t>
      </w:r>
      <w:r w:rsidRPr="00E13479">
        <w:rPr>
          <w:rFonts w:ascii="Palatino Linotype" w:eastAsia="Palatino Linotype" w:hAnsi="Palatino Linotype" w:cs="Palatino Linotype"/>
          <w:i/>
          <w:sz w:val="22"/>
          <w:szCs w:val="22"/>
        </w:rPr>
        <w:t xml:space="preserve"> “</w:t>
      </w:r>
      <w:r w:rsidR="00D44B6F" w:rsidRPr="00E13479">
        <w:rPr>
          <w:rFonts w:ascii="Palatino Linotype" w:eastAsia="Palatino Linotype" w:hAnsi="Palatino Linotype" w:cs="Palatino Linotype"/>
          <w:i/>
          <w:sz w:val="22"/>
          <w:szCs w:val="22"/>
        </w:rPr>
        <w:t>No tengo la CERTEZA de que la información este completa, ya que, en la respuesta de la Dirección de Protección Civil y Bomberos, en los anexos encontré un Oficio DUPLICADO. Favor de REVISAR SU RESPUESTA, y entregar la CORRECTA.</w:t>
      </w:r>
      <w:r w:rsidRPr="00E13479">
        <w:rPr>
          <w:rFonts w:ascii="Palatino Linotype" w:eastAsia="Palatino Linotype" w:hAnsi="Palatino Linotype" w:cs="Palatino Linotype"/>
          <w:i/>
          <w:sz w:val="22"/>
          <w:szCs w:val="22"/>
        </w:rPr>
        <w:t>” (Sic.)</w:t>
      </w:r>
      <w:r w:rsidR="00171DF7" w:rsidRPr="00E13479">
        <w:rPr>
          <w:rFonts w:ascii="Palatino Linotype" w:eastAsia="Palatino Linotype" w:hAnsi="Palatino Linotype" w:cs="Palatino Linotype"/>
          <w:i/>
          <w:sz w:val="22"/>
          <w:szCs w:val="22"/>
        </w:rPr>
        <w:t xml:space="preserve"> </w:t>
      </w:r>
    </w:p>
    <w:p w14:paraId="5FFC28A4" w14:textId="77777777" w:rsidR="00422637" w:rsidRPr="00E13479" w:rsidRDefault="00422637" w:rsidP="00DC7D82">
      <w:pPr>
        <w:rPr>
          <w:rFonts w:ascii="Palatino Linotype" w:eastAsia="Palatino Linotype" w:hAnsi="Palatino Linotype" w:cs="Palatino Linotype"/>
          <w:i/>
          <w:sz w:val="22"/>
          <w:szCs w:val="22"/>
        </w:rPr>
      </w:pPr>
    </w:p>
    <w:p w14:paraId="6A9E7514" w14:textId="6D18649E" w:rsidR="00C877F6" w:rsidRPr="00E13479" w:rsidRDefault="00F36565">
      <w:pPr>
        <w:spacing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 xml:space="preserve">4. Turno. </w:t>
      </w:r>
      <w:r w:rsidRPr="00E13479">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00307FC2" w:rsidRPr="00E13479">
        <w:rPr>
          <w:rFonts w:ascii="Palatino Linotype" w:eastAsia="Palatino Linotype" w:hAnsi="Palatino Linotype" w:cs="Palatino Linotype"/>
          <w:b/>
          <w:sz w:val="22"/>
          <w:szCs w:val="22"/>
        </w:rPr>
        <w:t>13464/INFOEM/IP/RR/2025</w:t>
      </w:r>
      <w:r w:rsidRPr="00E13479">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Comisionada </w:t>
      </w:r>
      <w:r w:rsidRPr="00E13479">
        <w:rPr>
          <w:rFonts w:ascii="Palatino Linotype" w:eastAsia="Palatino Linotype" w:hAnsi="Palatino Linotype" w:cs="Palatino Linotype"/>
          <w:b/>
          <w:sz w:val="22"/>
          <w:szCs w:val="22"/>
        </w:rPr>
        <w:t>Guadalupe Ramírez Peña</w:t>
      </w:r>
      <w:r w:rsidRPr="00E13479">
        <w:rPr>
          <w:rFonts w:ascii="Palatino Linotype" w:eastAsia="Palatino Linotype" w:hAnsi="Palatino Linotype" w:cs="Palatino Linotype"/>
          <w:sz w:val="22"/>
          <w:szCs w:val="22"/>
        </w:rPr>
        <w:t>, para su análisis, estudio, elaboración del proyecto y presentación ante el Pleno de este Instituto.</w:t>
      </w:r>
    </w:p>
    <w:p w14:paraId="5BFE6F75" w14:textId="77777777" w:rsidR="00C877F6" w:rsidRPr="00E13479" w:rsidRDefault="00C877F6">
      <w:pPr>
        <w:spacing w:line="360" w:lineRule="auto"/>
        <w:jc w:val="both"/>
        <w:rPr>
          <w:rFonts w:ascii="Palatino Linotype" w:eastAsia="Palatino Linotype" w:hAnsi="Palatino Linotype" w:cs="Palatino Linotype"/>
          <w:sz w:val="22"/>
          <w:szCs w:val="22"/>
        </w:rPr>
      </w:pPr>
    </w:p>
    <w:p w14:paraId="4B06CA9F" w14:textId="6E415A95" w:rsidR="00C877F6" w:rsidRPr="00E13479" w:rsidRDefault="00F36565">
      <w:pPr>
        <w:spacing w:line="360" w:lineRule="auto"/>
        <w:jc w:val="both"/>
        <w:rPr>
          <w:rFonts w:ascii="Palatino Linotype" w:eastAsia="Palatino Linotype" w:hAnsi="Palatino Linotype" w:cs="Palatino Linotype"/>
          <w:b/>
          <w:sz w:val="22"/>
          <w:szCs w:val="22"/>
        </w:rPr>
      </w:pPr>
      <w:r w:rsidRPr="00E13479">
        <w:rPr>
          <w:rFonts w:ascii="Palatino Linotype" w:eastAsia="Palatino Linotype" w:hAnsi="Palatino Linotype" w:cs="Palatino Linotype"/>
          <w:b/>
          <w:sz w:val="22"/>
          <w:szCs w:val="22"/>
        </w:rPr>
        <w:t xml:space="preserve">5. Admisión. </w:t>
      </w:r>
      <w:r w:rsidRPr="00E13479">
        <w:rPr>
          <w:rFonts w:ascii="Palatino Linotype" w:eastAsia="Palatino Linotype" w:hAnsi="Palatino Linotype" w:cs="Palatino Linotype"/>
          <w:sz w:val="22"/>
          <w:szCs w:val="22"/>
        </w:rPr>
        <w:t xml:space="preserve">El </w:t>
      </w:r>
      <w:r w:rsidR="00D44B6F" w:rsidRPr="00E13479">
        <w:rPr>
          <w:rFonts w:ascii="Palatino Linotype" w:eastAsia="Palatino Linotype" w:hAnsi="Palatino Linotype" w:cs="Palatino Linotype"/>
          <w:b/>
          <w:sz w:val="22"/>
          <w:szCs w:val="22"/>
        </w:rPr>
        <w:t>cinco</w:t>
      </w:r>
      <w:r w:rsidR="005A4875" w:rsidRPr="00E13479">
        <w:rPr>
          <w:rFonts w:ascii="Palatino Linotype" w:eastAsia="Palatino Linotype" w:hAnsi="Palatino Linotype" w:cs="Palatino Linotype"/>
          <w:b/>
          <w:sz w:val="22"/>
          <w:szCs w:val="22"/>
        </w:rPr>
        <w:t xml:space="preserve"> de </w:t>
      </w:r>
      <w:r w:rsidR="00D44B6F" w:rsidRPr="00E13479">
        <w:rPr>
          <w:rFonts w:ascii="Palatino Linotype" w:eastAsia="Palatino Linotype" w:hAnsi="Palatino Linotype" w:cs="Palatino Linotype"/>
          <w:b/>
          <w:sz w:val="22"/>
          <w:szCs w:val="22"/>
        </w:rPr>
        <w:t>diciembre</w:t>
      </w:r>
      <w:r w:rsidRPr="00E13479">
        <w:rPr>
          <w:rFonts w:ascii="Palatino Linotype" w:eastAsia="Palatino Linotype" w:hAnsi="Palatino Linotype" w:cs="Palatino Linotype"/>
          <w:b/>
          <w:sz w:val="22"/>
          <w:szCs w:val="22"/>
        </w:rPr>
        <w:t xml:space="preserve"> de dos mil veinticinco</w:t>
      </w:r>
      <w:r w:rsidRPr="00E13479">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w:t>
      </w:r>
      <w:r w:rsidRPr="00E13479">
        <w:rPr>
          <w:rFonts w:ascii="Palatino Linotype" w:eastAsia="Palatino Linotype" w:hAnsi="Palatino Linotype" w:cs="Palatino Linotype"/>
          <w:b/>
          <w:sz w:val="22"/>
          <w:szCs w:val="22"/>
        </w:rPr>
        <w:t>.</w:t>
      </w:r>
      <w:r w:rsidR="005A668A" w:rsidRPr="00E13479">
        <w:rPr>
          <w:rFonts w:ascii="Palatino Linotype" w:eastAsia="Palatino Linotype" w:hAnsi="Palatino Linotype" w:cs="Palatino Linotype"/>
          <w:b/>
          <w:sz w:val="22"/>
          <w:szCs w:val="22"/>
        </w:rPr>
        <w:t xml:space="preserve"> </w:t>
      </w:r>
    </w:p>
    <w:p w14:paraId="5E981DE9" w14:textId="77777777" w:rsidR="00C877F6" w:rsidRPr="00E13479" w:rsidRDefault="00C877F6">
      <w:pPr>
        <w:spacing w:line="360" w:lineRule="auto"/>
        <w:jc w:val="both"/>
        <w:rPr>
          <w:rFonts w:ascii="Palatino Linotype" w:eastAsia="Palatino Linotype" w:hAnsi="Palatino Linotype" w:cs="Palatino Linotype"/>
          <w:b/>
          <w:sz w:val="22"/>
          <w:szCs w:val="22"/>
        </w:rPr>
      </w:pPr>
    </w:p>
    <w:p w14:paraId="1B866BAE" w14:textId="0ECFF778" w:rsidR="004958B3" w:rsidRPr="00E13479" w:rsidRDefault="00F36565">
      <w:pPr>
        <w:spacing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6. Manifestaciones.</w:t>
      </w:r>
      <w:r w:rsidRPr="00E13479">
        <w:rPr>
          <w:rFonts w:ascii="Palatino Linotype" w:eastAsia="Palatino Linotype" w:hAnsi="Palatino Linotype" w:cs="Palatino Linotype"/>
          <w:sz w:val="22"/>
          <w:szCs w:val="22"/>
        </w:rPr>
        <w:t xml:space="preserve"> </w:t>
      </w:r>
      <w:r w:rsidR="00D411D4" w:rsidRPr="00E13479">
        <w:rPr>
          <w:rFonts w:ascii="Palatino Linotype" w:eastAsia="Palatino Linotype" w:hAnsi="Palatino Linotype" w:cs="Palatino Linotype"/>
          <w:sz w:val="22"/>
          <w:szCs w:val="22"/>
        </w:rPr>
        <w:t>De las constancias que obran en el expediente electrónico del SAIMEX, se advierte que el Sujeto Obligado rindió su informe justificado, el</w:t>
      </w:r>
      <w:r w:rsidR="00324821" w:rsidRPr="00E13479">
        <w:rPr>
          <w:rFonts w:ascii="Palatino Linotype" w:eastAsia="Palatino Linotype" w:hAnsi="Palatino Linotype" w:cs="Palatino Linotype"/>
          <w:sz w:val="22"/>
          <w:szCs w:val="22"/>
        </w:rPr>
        <w:t xml:space="preserve"> </w:t>
      </w:r>
      <w:r w:rsidR="00D44B6F" w:rsidRPr="00E13479">
        <w:rPr>
          <w:rFonts w:ascii="Palatino Linotype" w:eastAsia="Palatino Linotype" w:hAnsi="Palatino Linotype" w:cs="Palatino Linotype"/>
          <w:b/>
          <w:sz w:val="22"/>
          <w:szCs w:val="22"/>
        </w:rPr>
        <w:t>quince</w:t>
      </w:r>
      <w:r w:rsidR="00D411D4" w:rsidRPr="00E13479">
        <w:rPr>
          <w:rFonts w:ascii="Palatino Linotype" w:eastAsia="Palatino Linotype" w:hAnsi="Palatino Linotype" w:cs="Palatino Linotype"/>
          <w:b/>
          <w:sz w:val="22"/>
          <w:szCs w:val="22"/>
        </w:rPr>
        <w:t xml:space="preserve"> de </w:t>
      </w:r>
      <w:r w:rsidR="00D44B6F" w:rsidRPr="00E13479">
        <w:rPr>
          <w:rFonts w:ascii="Palatino Linotype" w:eastAsia="Palatino Linotype" w:hAnsi="Palatino Linotype" w:cs="Palatino Linotype"/>
          <w:b/>
          <w:sz w:val="22"/>
          <w:szCs w:val="22"/>
        </w:rPr>
        <w:t>diciembre</w:t>
      </w:r>
      <w:r w:rsidR="00D411D4" w:rsidRPr="00E13479">
        <w:rPr>
          <w:rFonts w:ascii="Palatino Linotype" w:eastAsia="Palatino Linotype" w:hAnsi="Palatino Linotype" w:cs="Palatino Linotype"/>
          <w:b/>
          <w:sz w:val="22"/>
          <w:szCs w:val="22"/>
        </w:rPr>
        <w:t xml:space="preserve"> de dos mil veinticinco,</w:t>
      </w:r>
      <w:r w:rsidR="00D411D4" w:rsidRPr="00E13479">
        <w:rPr>
          <w:rFonts w:ascii="Palatino Linotype" w:eastAsia="Palatino Linotype" w:hAnsi="Palatino Linotype" w:cs="Palatino Linotype"/>
          <w:sz w:val="22"/>
          <w:szCs w:val="22"/>
        </w:rPr>
        <w:t xml:space="preserve"> </w:t>
      </w:r>
      <w:r w:rsidR="004958B3" w:rsidRPr="00E13479">
        <w:rPr>
          <w:rFonts w:ascii="Palatino Linotype" w:eastAsia="Palatino Linotype" w:hAnsi="Palatino Linotype" w:cs="Palatino Linotype"/>
          <w:sz w:val="22"/>
          <w:szCs w:val="22"/>
        </w:rPr>
        <w:t xml:space="preserve">el cual se puso a disposición del Recurrente el </w:t>
      </w:r>
      <w:r w:rsidR="00933AF4" w:rsidRPr="00E13479">
        <w:rPr>
          <w:rFonts w:ascii="Palatino Linotype" w:eastAsia="Palatino Linotype" w:hAnsi="Palatino Linotype" w:cs="Palatino Linotype"/>
          <w:b/>
          <w:sz w:val="22"/>
          <w:szCs w:val="22"/>
        </w:rPr>
        <w:t>dieciséis</w:t>
      </w:r>
      <w:r w:rsidR="004958B3" w:rsidRPr="00E13479">
        <w:rPr>
          <w:rFonts w:ascii="Palatino Linotype" w:eastAsia="Palatino Linotype" w:hAnsi="Palatino Linotype" w:cs="Palatino Linotype"/>
          <w:b/>
          <w:sz w:val="22"/>
          <w:szCs w:val="22"/>
        </w:rPr>
        <w:t xml:space="preserve"> de </w:t>
      </w:r>
      <w:r w:rsidR="00D44B6F" w:rsidRPr="00E13479">
        <w:rPr>
          <w:rFonts w:ascii="Palatino Linotype" w:eastAsia="Palatino Linotype" w:hAnsi="Palatino Linotype" w:cs="Palatino Linotype"/>
          <w:b/>
          <w:sz w:val="22"/>
          <w:szCs w:val="22"/>
        </w:rPr>
        <w:t>febrero</w:t>
      </w:r>
      <w:r w:rsidR="004958B3" w:rsidRPr="00E13479">
        <w:rPr>
          <w:rFonts w:ascii="Palatino Linotype" w:eastAsia="Palatino Linotype" w:hAnsi="Palatino Linotype" w:cs="Palatino Linotype"/>
          <w:b/>
          <w:sz w:val="22"/>
          <w:szCs w:val="22"/>
        </w:rPr>
        <w:t xml:space="preserve"> de dos mil veintiséis</w:t>
      </w:r>
      <w:r w:rsidR="004958B3" w:rsidRPr="00E13479">
        <w:rPr>
          <w:rFonts w:ascii="Palatino Linotype" w:eastAsia="Palatino Linotype" w:hAnsi="Palatino Linotype" w:cs="Palatino Linotype"/>
          <w:sz w:val="22"/>
          <w:szCs w:val="22"/>
        </w:rPr>
        <w:t xml:space="preserve">; sin embargo, se describe su contenido medular, siendo el siguiente: </w:t>
      </w:r>
    </w:p>
    <w:p w14:paraId="2DA0E1A3" w14:textId="77777777" w:rsidR="004958B3" w:rsidRPr="00E13479" w:rsidRDefault="004958B3">
      <w:pPr>
        <w:spacing w:line="360" w:lineRule="auto"/>
        <w:jc w:val="both"/>
        <w:rPr>
          <w:rFonts w:ascii="Palatino Linotype" w:eastAsia="Palatino Linotype" w:hAnsi="Palatino Linotype" w:cs="Palatino Linotype"/>
          <w:sz w:val="22"/>
          <w:szCs w:val="22"/>
        </w:rPr>
      </w:pPr>
    </w:p>
    <w:p w14:paraId="43E63C05" w14:textId="4F764277" w:rsidR="00D44B6F" w:rsidRPr="00E13479" w:rsidRDefault="00D44B6F" w:rsidP="00D44B6F">
      <w:pPr>
        <w:pStyle w:val="Prrafodelista"/>
        <w:numPr>
          <w:ilvl w:val="0"/>
          <w:numId w:val="42"/>
        </w:numPr>
        <w:spacing w:line="360" w:lineRule="auto"/>
        <w:ind w:left="567"/>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 xml:space="preserve">respuesta a 1358-1 del informe justificado RR13464.pdf: </w:t>
      </w:r>
      <w:r w:rsidRPr="00E13479">
        <w:rPr>
          <w:rFonts w:ascii="Palatino Linotype" w:eastAsia="Palatino Linotype" w:hAnsi="Palatino Linotype" w:cs="Palatino Linotype"/>
          <w:sz w:val="22"/>
          <w:szCs w:val="22"/>
        </w:rPr>
        <w:t xml:space="preserve">Documento que se integra por sesenta y un páginas </w:t>
      </w:r>
      <w:r w:rsidR="00D51467" w:rsidRPr="00E13479">
        <w:rPr>
          <w:rFonts w:ascii="Palatino Linotype" w:eastAsia="Palatino Linotype" w:hAnsi="Palatino Linotype" w:cs="Palatino Linotype"/>
          <w:sz w:val="22"/>
          <w:szCs w:val="22"/>
        </w:rPr>
        <w:t>que contienen valoraciones de riesgo emitidas por la Dirección de Protección Civil y Bomberos.</w:t>
      </w:r>
      <w:r w:rsidR="00B1096C" w:rsidRPr="00E13479">
        <w:rPr>
          <w:rFonts w:ascii="Palatino Linotype" w:eastAsia="Palatino Linotype" w:hAnsi="Palatino Linotype" w:cs="Palatino Linotype"/>
          <w:sz w:val="22"/>
          <w:szCs w:val="22"/>
        </w:rPr>
        <w:t xml:space="preserve"> No se puso a la vista por contener datos personales.</w:t>
      </w:r>
    </w:p>
    <w:p w14:paraId="3B1BD8A7" w14:textId="3DFD7290" w:rsidR="00D44B6F" w:rsidRPr="00E13479" w:rsidRDefault="00D44B6F" w:rsidP="00D44B6F">
      <w:pPr>
        <w:pStyle w:val="Prrafodelista"/>
        <w:numPr>
          <w:ilvl w:val="0"/>
          <w:numId w:val="42"/>
        </w:numPr>
        <w:spacing w:line="360" w:lineRule="auto"/>
        <w:ind w:left="567"/>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respuesta a 1358 del informe justificado RR13464.pdf</w:t>
      </w:r>
      <w:r w:rsidR="00D73335" w:rsidRPr="00E13479">
        <w:rPr>
          <w:rFonts w:ascii="Palatino Linotype" w:eastAsia="Palatino Linotype" w:hAnsi="Palatino Linotype" w:cs="Palatino Linotype"/>
          <w:b/>
          <w:sz w:val="22"/>
          <w:szCs w:val="22"/>
        </w:rPr>
        <w:t xml:space="preserve">: </w:t>
      </w:r>
      <w:r w:rsidR="00D73335" w:rsidRPr="00E13479">
        <w:rPr>
          <w:rFonts w:ascii="Palatino Linotype" w:eastAsia="Palatino Linotype" w:hAnsi="Palatino Linotype" w:cs="Palatino Linotype"/>
          <w:sz w:val="22"/>
          <w:szCs w:val="22"/>
        </w:rPr>
        <w:t>Documento suscrito por el Directo de Protección Civil y Bomberos mediante el cual refiere lo siguiente:</w:t>
      </w:r>
    </w:p>
    <w:p w14:paraId="3F20E4AA" w14:textId="7090FA04" w:rsidR="00D73335" w:rsidRPr="00E13479" w:rsidRDefault="00D73335" w:rsidP="00D73335">
      <w:pPr>
        <w:pStyle w:val="Prrafodelista"/>
        <w:spacing w:line="360" w:lineRule="auto"/>
        <w:ind w:left="567"/>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Se localizaron veintiún (21) visitas oculares de valoraciones de riesgos de árboles.</w:t>
      </w:r>
      <w:r w:rsidRPr="00E13479">
        <w:rPr>
          <w:rFonts w:ascii="Palatino Linotype" w:eastAsia="Palatino Linotype" w:hAnsi="Palatino Linotype" w:cs="Palatino Linotype"/>
          <w:sz w:val="22"/>
          <w:szCs w:val="22"/>
        </w:rPr>
        <w:t xml:space="preserve"> </w:t>
      </w:r>
    </w:p>
    <w:p w14:paraId="04D45FF8" w14:textId="2DC67F04" w:rsidR="00D73335" w:rsidRPr="00E13479" w:rsidRDefault="00D73335" w:rsidP="00D73335">
      <w:pPr>
        <w:pStyle w:val="Prrafodelista"/>
        <w:spacing w:line="360" w:lineRule="auto"/>
        <w:ind w:left="567"/>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Se localizaron ciento sesenta (160) derribos de árboles.</w:t>
      </w:r>
    </w:p>
    <w:p w14:paraId="049BEF73" w14:textId="29575AFE" w:rsidR="00D44B6F" w:rsidRPr="00E13479" w:rsidRDefault="00D44B6F" w:rsidP="00D44B6F">
      <w:pPr>
        <w:pStyle w:val="Prrafodelista"/>
        <w:numPr>
          <w:ilvl w:val="0"/>
          <w:numId w:val="42"/>
        </w:numPr>
        <w:spacing w:line="360" w:lineRule="auto"/>
        <w:ind w:left="567"/>
        <w:jc w:val="both"/>
        <w:rPr>
          <w:rFonts w:ascii="Palatino Linotype" w:eastAsia="Palatino Linotype" w:hAnsi="Palatino Linotype" w:cs="Palatino Linotype"/>
          <w:b/>
          <w:sz w:val="22"/>
          <w:szCs w:val="22"/>
        </w:rPr>
      </w:pPr>
      <w:r w:rsidRPr="00E13479">
        <w:rPr>
          <w:rFonts w:ascii="Palatino Linotype" w:eastAsia="Palatino Linotype" w:hAnsi="Palatino Linotype" w:cs="Palatino Linotype"/>
          <w:b/>
          <w:sz w:val="22"/>
          <w:szCs w:val="22"/>
        </w:rPr>
        <w:t>CT_UT_ECA_1358_2025 informe justificado RR13464.pdf</w:t>
      </w:r>
      <w:r w:rsidR="00D73335" w:rsidRPr="00E13479">
        <w:rPr>
          <w:rFonts w:ascii="Palatino Linotype" w:eastAsia="Palatino Linotype" w:hAnsi="Palatino Linotype" w:cs="Palatino Linotype"/>
          <w:b/>
          <w:sz w:val="22"/>
          <w:szCs w:val="22"/>
        </w:rPr>
        <w:t xml:space="preserve">: </w:t>
      </w:r>
      <w:r w:rsidR="00D73335" w:rsidRPr="00E13479">
        <w:rPr>
          <w:rFonts w:ascii="Palatino Linotype" w:eastAsia="Palatino Linotype" w:hAnsi="Palatino Linotype" w:cs="Palatino Linotype"/>
          <w:sz w:val="22"/>
          <w:szCs w:val="22"/>
        </w:rPr>
        <w:t>Documento suscrito por la Unidad de Transparencia mediante el cual refiere que se pone a disposición del Particular el contenido del informe justificado.</w:t>
      </w:r>
    </w:p>
    <w:p w14:paraId="174A9AFE" w14:textId="77777777" w:rsidR="00D73335" w:rsidRPr="00E13479" w:rsidRDefault="00D73335" w:rsidP="00837198">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2D1CCC50" w14:textId="3A7B11B9" w:rsidR="00933AF4" w:rsidRPr="00E13479" w:rsidRDefault="00933AF4" w:rsidP="00837198">
      <w:pPr>
        <w:pBdr>
          <w:top w:val="nil"/>
          <w:left w:val="nil"/>
          <w:bottom w:val="nil"/>
          <w:right w:val="nil"/>
          <w:between w:val="nil"/>
        </w:pBdr>
        <w:spacing w:line="360" w:lineRule="auto"/>
        <w:jc w:val="both"/>
        <w:rPr>
          <w:rFonts w:ascii="Palatino Linotype" w:eastAsia="Palatino Linotype" w:hAnsi="Palatino Linotype" w:cs="Palatino Linotype"/>
          <w:i/>
          <w:sz w:val="22"/>
          <w:szCs w:val="22"/>
        </w:rPr>
      </w:pPr>
      <w:r w:rsidRPr="00E13479">
        <w:rPr>
          <w:rFonts w:ascii="Palatino Linotype" w:eastAsia="Palatino Linotype" w:hAnsi="Palatino Linotype" w:cs="Palatino Linotype"/>
          <w:sz w:val="22"/>
          <w:szCs w:val="22"/>
        </w:rPr>
        <w:t xml:space="preserve">Por su parte, el Recurrente, el dieciséis de febrero de dos mil veintiséis, adjuntó el documento electrónico denominado </w:t>
      </w:r>
      <w:r w:rsidRPr="00E13479">
        <w:rPr>
          <w:rFonts w:ascii="Palatino Linotype" w:eastAsia="Palatino Linotype" w:hAnsi="Palatino Linotype" w:cs="Palatino Linotype"/>
          <w:b/>
          <w:i/>
          <w:sz w:val="22"/>
          <w:szCs w:val="22"/>
        </w:rPr>
        <w:t xml:space="preserve">00850- 3074 repetido pag 18 y 33.pdf </w:t>
      </w:r>
      <w:r w:rsidRPr="00E13479">
        <w:rPr>
          <w:rFonts w:ascii="Palatino Linotype" w:eastAsia="Palatino Linotype" w:hAnsi="Palatino Linotype" w:cs="Palatino Linotype"/>
          <w:sz w:val="22"/>
          <w:szCs w:val="22"/>
        </w:rPr>
        <w:t>que contiene la información enviada en respuesta e informe justificado. Además, en el apartado de comentarios establece “</w:t>
      </w:r>
      <w:r w:rsidRPr="00E13479">
        <w:rPr>
          <w:rFonts w:ascii="Palatino Linotype" w:eastAsia="Palatino Linotype" w:hAnsi="Palatino Linotype" w:cs="Palatino Linotype"/>
          <w:i/>
          <w:sz w:val="22"/>
          <w:szCs w:val="22"/>
        </w:rPr>
        <w:t>No tengo la CERTEZA de que la información este completa, ya que, en la respuesta de la Dirección de Protección Civil y Bomberos, en los anexos encontré un Oficio DUPLICADO. Favor de REVISAR SU RESPUESTA, y entregar la CORRECTA. En este Oficio se repite la información en la pagina 18 y 33.”</w:t>
      </w:r>
    </w:p>
    <w:p w14:paraId="78A94C73" w14:textId="77777777" w:rsidR="00933AF4" w:rsidRPr="00E13479" w:rsidRDefault="00933AF4" w:rsidP="00837198">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088E9545" w14:textId="3F198845" w:rsidR="00837198" w:rsidRPr="00E13479" w:rsidRDefault="00837198" w:rsidP="0083719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7. Ampliación de plazo. El</w:t>
      </w:r>
      <w:r w:rsidR="00324821" w:rsidRPr="00E13479">
        <w:rPr>
          <w:rFonts w:ascii="Palatino Linotype" w:eastAsia="Palatino Linotype" w:hAnsi="Palatino Linotype" w:cs="Palatino Linotype"/>
          <w:b/>
          <w:sz w:val="22"/>
          <w:szCs w:val="22"/>
        </w:rPr>
        <w:t xml:space="preserve"> </w:t>
      </w:r>
      <w:r w:rsidR="00C25E9B" w:rsidRPr="00E13479">
        <w:rPr>
          <w:rFonts w:ascii="Palatino Linotype" w:eastAsia="Palatino Linotype" w:hAnsi="Palatino Linotype" w:cs="Palatino Linotype"/>
          <w:b/>
          <w:sz w:val="22"/>
          <w:szCs w:val="22"/>
        </w:rPr>
        <w:t>diez</w:t>
      </w:r>
      <w:r w:rsidR="00324821" w:rsidRPr="00E13479">
        <w:rPr>
          <w:rFonts w:ascii="Palatino Linotype" w:eastAsia="Palatino Linotype" w:hAnsi="Palatino Linotype" w:cs="Palatino Linotype"/>
          <w:b/>
          <w:sz w:val="22"/>
          <w:szCs w:val="22"/>
        </w:rPr>
        <w:t xml:space="preserve"> de </w:t>
      </w:r>
      <w:r w:rsidR="00C25E9B" w:rsidRPr="00E13479">
        <w:rPr>
          <w:rFonts w:ascii="Palatino Linotype" w:eastAsia="Palatino Linotype" w:hAnsi="Palatino Linotype" w:cs="Palatino Linotype"/>
          <w:b/>
          <w:sz w:val="22"/>
          <w:szCs w:val="22"/>
        </w:rPr>
        <w:t>febrero</w:t>
      </w:r>
      <w:r w:rsidR="00635F53" w:rsidRPr="00E13479">
        <w:rPr>
          <w:rFonts w:ascii="Palatino Linotype" w:eastAsia="Palatino Linotype" w:hAnsi="Palatino Linotype" w:cs="Palatino Linotype"/>
          <w:b/>
          <w:sz w:val="22"/>
          <w:szCs w:val="22"/>
        </w:rPr>
        <w:t xml:space="preserve"> de dos mil veintiséis</w:t>
      </w:r>
      <w:r w:rsidRPr="00E13479">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r w:rsidR="004921E1" w:rsidRPr="00E13479">
        <w:rPr>
          <w:rFonts w:ascii="Palatino Linotype" w:eastAsia="Palatino Linotype" w:hAnsi="Palatino Linotype" w:cs="Palatino Linotype"/>
          <w:sz w:val="22"/>
          <w:szCs w:val="22"/>
        </w:rPr>
        <w:t xml:space="preserve"> </w:t>
      </w:r>
    </w:p>
    <w:p w14:paraId="0EC0767F" w14:textId="77777777" w:rsidR="00837198" w:rsidRPr="00E13479" w:rsidRDefault="00837198">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646D2EDF" w14:textId="17A39CF8" w:rsidR="00C877F6" w:rsidRPr="00E13479" w:rsidRDefault="0083719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 xml:space="preserve">8. </w:t>
      </w:r>
      <w:r w:rsidR="00F36565" w:rsidRPr="00E13479">
        <w:rPr>
          <w:rFonts w:ascii="Palatino Linotype" w:eastAsia="Palatino Linotype" w:hAnsi="Palatino Linotype" w:cs="Palatino Linotype"/>
          <w:b/>
          <w:sz w:val="22"/>
          <w:szCs w:val="22"/>
        </w:rPr>
        <w:t>Cierre de instrucción</w:t>
      </w:r>
      <w:r w:rsidR="00F36565" w:rsidRPr="00E13479">
        <w:rPr>
          <w:rFonts w:ascii="Palatino Linotype" w:eastAsia="Palatino Linotype" w:hAnsi="Palatino Linotype" w:cs="Palatino Linotype"/>
          <w:sz w:val="22"/>
          <w:szCs w:val="22"/>
        </w:rPr>
        <w:t>. En fecha</w:t>
      </w:r>
      <w:r w:rsidR="00324821" w:rsidRPr="00E13479">
        <w:rPr>
          <w:rFonts w:ascii="Palatino Linotype" w:eastAsia="Palatino Linotype" w:hAnsi="Palatino Linotype" w:cs="Palatino Linotype"/>
          <w:sz w:val="22"/>
          <w:szCs w:val="22"/>
        </w:rPr>
        <w:t xml:space="preserve"> </w:t>
      </w:r>
      <w:r w:rsidR="00000C03" w:rsidRPr="00E13479">
        <w:rPr>
          <w:rFonts w:ascii="Palatino Linotype" w:eastAsia="Palatino Linotype" w:hAnsi="Palatino Linotype" w:cs="Palatino Linotype"/>
          <w:b/>
          <w:sz w:val="22"/>
          <w:szCs w:val="22"/>
        </w:rPr>
        <w:t>veinticinco</w:t>
      </w:r>
      <w:r w:rsidR="00324821" w:rsidRPr="00E13479">
        <w:rPr>
          <w:rFonts w:ascii="Palatino Linotype" w:eastAsia="Palatino Linotype" w:hAnsi="Palatino Linotype" w:cs="Palatino Linotype"/>
          <w:b/>
          <w:sz w:val="22"/>
          <w:szCs w:val="22"/>
        </w:rPr>
        <w:t xml:space="preserve"> de febrero</w:t>
      </w:r>
      <w:r w:rsidR="00F36565" w:rsidRPr="00E13479">
        <w:rPr>
          <w:rFonts w:ascii="Palatino Linotype" w:eastAsia="Palatino Linotype" w:hAnsi="Palatino Linotype" w:cs="Palatino Linotype"/>
          <w:b/>
          <w:sz w:val="22"/>
          <w:szCs w:val="22"/>
        </w:rPr>
        <w:t xml:space="preserve"> de dos mil veinti</w:t>
      </w:r>
      <w:r w:rsidR="00E111DF" w:rsidRPr="00E13479">
        <w:rPr>
          <w:rFonts w:ascii="Palatino Linotype" w:eastAsia="Palatino Linotype" w:hAnsi="Palatino Linotype" w:cs="Palatino Linotype"/>
          <w:b/>
          <w:sz w:val="22"/>
          <w:szCs w:val="22"/>
        </w:rPr>
        <w:t>séis</w:t>
      </w:r>
      <w:r w:rsidR="00F36565" w:rsidRPr="00E13479">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BAC11C7" w14:textId="77777777" w:rsidR="00C877F6" w:rsidRPr="00E13479" w:rsidRDefault="00C877F6">
      <w:pPr>
        <w:spacing w:line="360" w:lineRule="auto"/>
        <w:ind w:right="49"/>
        <w:jc w:val="both"/>
        <w:rPr>
          <w:rFonts w:ascii="Palatino Linotype" w:eastAsia="Palatino Linotype" w:hAnsi="Palatino Linotype" w:cs="Palatino Linotype"/>
          <w:sz w:val="22"/>
          <w:szCs w:val="22"/>
        </w:rPr>
      </w:pPr>
    </w:p>
    <w:p w14:paraId="2332E74C" w14:textId="1BEBEA7B" w:rsidR="00C877F6" w:rsidRPr="00E13479" w:rsidRDefault="00F36565">
      <w:pPr>
        <w:spacing w:line="360" w:lineRule="auto"/>
        <w:ind w:right="49"/>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Debido a que fue</w:t>
      </w:r>
      <w:r w:rsidR="008D5D61" w:rsidRPr="00E13479">
        <w:rPr>
          <w:rFonts w:ascii="Palatino Linotype" w:eastAsia="Palatino Linotype" w:hAnsi="Palatino Linotype" w:cs="Palatino Linotype"/>
          <w:sz w:val="22"/>
          <w:szCs w:val="22"/>
        </w:rPr>
        <w:t xml:space="preserve"> debidamente sustanciado</w:t>
      </w:r>
      <w:r w:rsidRPr="00E13479">
        <w:rPr>
          <w:rFonts w:ascii="Palatino Linotype" w:eastAsia="Palatino Linotype" w:hAnsi="Palatino Linotype" w:cs="Palatino Linotype"/>
          <w:sz w:val="22"/>
          <w:szCs w:val="22"/>
        </w:rPr>
        <w:t xml:space="preserve"> </w:t>
      </w:r>
      <w:r w:rsidR="008D5D61" w:rsidRPr="00E13479">
        <w:rPr>
          <w:rFonts w:ascii="Palatino Linotype" w:eastAsia="Palatino Linotype" w:hAnsi="Palatino Linotype" w:cs="Palatino Linotype"/>
          <w:sz w:val="22"/>
          <w:szCs w:val="22"/>
        </w:rPr>
        <w:tab/>
        <w:t>el</w:t>
      </w:r>
      <w:r w:rsidRPr="00E13479">
        <w:rPr>
          <w:rFonts w:ascii="Palatino Linotype" w:eastAsia="Palatino Linotype" w:hAnsi="Palatino Linotype" w:cs="Palatino Linotype"/>
          <w:sz w:val="22"/>
          <w:szCs w:val="22"/>
        </w:rPr>
        <w:t xml:space="preserve"> expediente electrónico y no existe diligencia pendiente de desahogo, se emite la Resolución que conforme a Derecho proceda, de acuerdo con los siguientes: </w:t>
      </w:r>
    </w:p>
    <w:p w14:paraId="72E00694" w14:textId="77777777" w:rsidR="00C877F6" w:rsidRPr="00E13479" w:rsidRDefault="00C877F6">
      <w:pPr>
        <w:spacing w:line="360" w:lineRule="auto"/>
        <w:ind w:right="49"/>
        <w:jc w:val="both"/>
        <w:rPr>
          <w:rFonts w:ascii="Palatino Linotype" w:eastAsia="Palatino Linotype" w:hAnsi="Palatino Linotype" w:cs="Palatino Linotype"/>
          <w:sz w:val="22"/>
          <w:szCs w:val="22"/>
        </w:rPr>
      </w:pPr>
    </w:p>
    <w:p w14:paraId="17694FE8" w14:textId="549072A2" w:rsidR="00C877F6" w:rsidRPr="00E13479" w:rsidRDefault="00F36565" w:rsidP="009A113E">
      <w:pPr>
        <w:spacing w:line="360" w:lineRule="auto"/>
        <w:ind w:left="720" w:right="49" w:hanging="720"/>
        <w:jc w:val="center"/>
        <w:rPr>
          <w:rFonts w:ascii="Palatino Linotype" w:eastAsia="Palatino Linotype" w:hAnsi="Palatino Linotype" w:cs="Palatino Linotype"/>
          <w:b/>
          <w:sz w:val="22"/>
          <w:szCs w:val="22"/>
        </w:rPr>
      </w:pPr>
      <w:r w:rsidRPr="00E13479">
        <w:rPr>
          <w:rFonts w:ascii="Palatino Linotype" w:eastAsia="Palatino Linotype" w:hAnsi="Palatino Linotype" w:cs="Palatino Linotype"/>
          <w:b/>
          <w:sz w:val="22"/>
          <w:szCs w:val="22"/>
        </w:rPr>
        <w:t>II.</w:t>
      </w:r>
      <w:r w:rsidRPr="00E13479">
        <w:rPr>
          <w:rFonts w:ascii="Palatino Linotype" w:eastAsia="Palatino Linotype" w:hAnsi="Palatino Linotype" w:cs="Palatino Linotype"/>
          <w:b/>
          <w:sz w:val="22"/>
          <w:szCs w:val="22"/>
        </w:rPr>
        <w:tab/>
        <w:t>C O N S I D E R A N D O:</w:t>
      </w:r>
      <w:r w:rsidR="00351E01" w:rsidRPr="00E13479">
        <w:rPr>
          <w:rFonts w:ascii="Palatino Linotype" w:eastAsia="Palatino Linotype" w:hAnsi="Palatino Linotype" w:cs="Palatino Linotype"/>
          <w:b/>
          <w:sz w:val="22"/>
          <w:szCs w:val="22"/>
        </w:rPr>
        <w:t xml:space="preserve"> </w:t>
      </w:r>
    </w:p>
    <w:p w14:paraId="3E2B3FBD" w14:textId="77777777" w:rsidR="00C877F6" w:rsidRPr="00E13479" w:rsidRDefault="00C877F6">
      <w:pPr>
        <w:spacing w:line="360" w:lineRule="auto"/>
        <w:ind w:right="49"/>
        <w:jc w:val="both"/>
        <w:rPr>
          <w:rFonts w:ascii="Palatino Linotype" w:eastAsia="Palatino Linotype" w:hAnsi="Palatino Linotype" w:cs="Palatino Linotype"/>
          <w:sz w:val="22"/>
          <w:szCs w:val="22"/>
        </w:rPr>
      </w:pPr>
    </w:p>
    <w:p w14:paraId="1C3901F1" w14:textId="77777777" w:rsidR="00C877F6" w:rsidRPr="00E13479" w:rsidRDefault="00F36565">
      <w:pPr>
        <w:spacing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Primero. Competencia.</w:t>
      </w:r>
      <w:r w:rsidRPr="00E13479">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520C2A94" w14:textId="77777777" w:rsidR="00C877F6" w:rsidRPr="00E13479" w:rsidRDefault="00F36565">
      <w:pPr>
        <w:spacing w:before="240" w:after="240"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b/>
          <w:sz w:val="22"/>
          <w:szCs w:val="22"/>
        </w:rPr>
        <w:t xml:space="preserve">Segundo. Oportunidad y Procedibilidad del Recurso de Revisión. </w:t>
      </w:r>
      <w:r w:rsidRPr="00E13479">
        <w:rPr>
          <w:rFonts w:ascii="Palatino Linotype" w:eastAsia="Palatino Linotype" w:hAnsi="Palatino Linotype" w:cs="Palatino Linotype"/>
          <w:sz w:val="22"/>
          <w:szCs w:val="22"/>
        </w:rPr>
        <w:t>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37CA5A2A" w14:textId="77777777" w:rsidR="00C877F6" w:rsidRPr="00E13479" w:rsidRDefault="00F36565">
      <w:pPr>
        <w:spacing w:before="240" w:after="240"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Al respecto la Ley de Transparencia y Acceso a la Información Pública del Estado de México y Municipios, establece lo siguiente:</w:t>
      </w:r>
    </w:p>
    <w:p w14:paraId="68F1D466" w14:textId="77777777" w:rsidR="00C877F6" w:rsidRPr="00E13479" w:rsidRDefault="00F36565">
      <w:pPr>
        <w:spacing w:line="360" w:lineRule="auto"/>
        <w:ind w:left="851" w:right="900"/>
        <w:jc w:val="both"/>
        <w:rPr>
          <w:rFonts w:ascii="Palatino Linotype" w:eastAsia="Palatino Linotype" w:hAnsi="Palatino Linotype" w:cs="Palatino Linotype"/>
          <w:i/>
          <w:sz w:val="22"/>
          <w:szCs w:val="22"/>
        </w:rPr>
      </w:pPr>
      <w:r w:rsidRPr="00E13479">
        <w:rPr>
          <w:rFonts w:ascii="Palatino Linotype" w:eastAsia="Palatino Linotype" w:hAnsi="Palatino Linotype" w:cs="Palatino Linotype"/>
          <w:b/>
          <w:i/>
          <w:sz w:val="22"/>
          <w:szCs w:val="22"/>
        </w:rPr>
        <w:t xml:space="preserve">“Artículo 178. </w:t>
      </w:r>
      <w:r w:rsidRPr="00E13479">
        <w:rPr>
          <w:rFonts w:ascii="Palatino Linotype" w:eastAsia="Palatino Linotype" w:hAnsi="Palatino Linotype" w:cs="Palatino Linotype"/>
          <w:i/>
          <w:sz w:val="22"/>
          <w:szCs w:val="22"/>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206E3069" w14:textId="1A3CA688" w:rsidR="00C877F6" w:rsidRPr="00E13479" w:rsidRDefault="00F36565">
      <w:pPr>
        <w:spacing w:before="240" w:after="240" w:line="360" w:lineRule="auto"/>
        <w:ind w:right="49"/>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Del precepto legal transcrito, se desprende que cuando los solicitantes de información en el ejercicio del derecho de acceso a la información no se encuentren satisfechos con la información entregada por los sujetos obligados, podrán interponer recurso de revisión de manera directa o por medios electrónicos dentro de los quince días hábiles siguientes a la fecha de notificación de la respuesta, y, toda vez que el </w:t>
      </w:r>
      <w:r w:rsidRPr="00E13479">
        <w:rPr>
          <w:rFonts w:ascii="Palatino Linotype" w:eastAsia="Palatino Linotype" w:hAnsi="Palatino Linotype" w:cs="Palatino Linotype"/>
          <w:b/>
          <w:sz w:val="22"/>
          <w:szCs w:val="22"/>
        </w:rPr>
        <w:t>SUJETO OBLIGADO</w:t>
      </w:r>
      <w:r w:rsidRPr="00E13479">
        <w:rPr>
          <w:rFonts w:ascii="Palatino Linotype" w:eastAsia="Palatino Linotype" w:hAnsi="Palatino Linotype" w:cs="Palatino Linotype"/>
          <w:sz w:val="22"/>
          <w:szCs w:val="22"/>
        </w:rPr>
        <w:t xml:space="preserve"> remitió la respuesta a la solicitud de información el día </w:t>
      </w:r>
      <w:r w:rsidR="00E41F94" w:rsidRPr="00E13479">
        <w:rPr>
          <w:rFonts w:ascii="Palatino Linotype" w:eastAsia="Palatino Linotype" w:hAnsi="Palatino Linotype" w:cs="Palatino Linotype"/>
          <w:b/>
          <w:sz w:val="22"/>
          <w:szCs w:val="22"/>
        </w:rPr>
        <w:t>dieciocho</w:t>
      </w:r>
      <w:r w:rsidR="00A16203" w:rsidRPr="00E13479">
        <w:rPr>
          <w:rFonts w:ascii="Palatino Linotype" w:eastAsia="Palatino Linotype" w:hAnsi="Palatino Linotype" w:cs="Palatino Linotype"/>
          <w:sz w:val="22"/>
          <w:szCs w:val="22"/>
        </w:rPr>
        <w:t xml:space="preserve"> </w:t>
      </w:r>
      <w:r w:rsidRPr="00E13479">
        <w:rPr>
          <w:rFonts w:ascii="Palatino Linotype" w:eastAsia="Palatino Linotype" w:hAnsi="Palatino Linotype" w:cs="Palatino Linotype"/>
          <w:b/>
          <w:sz w:val="22"/>
          <w:szCs w:val="22"/>
        </w:rPr>
        <w:t xml:space="preserve">de </w:t>
      </w:r>
      <w:r w:rsidR="00A16203" w:rsidRPr="00E13479">
        <w:rPr>
          <w:rFonts w:ascii="Palatino Linotype" w:eastAsia="Palatino Linotype" w:hAnsi="Palatino Linotype" w:cs="Palatino Linotype"/>
          <w:b/>
          <w:sz w:val="22"/>
          <w:szCs w:val="22"/>
        </w:rPr>
        <w:t>noviembre</w:t>
      </w:r>
      <w:r w:rsidR="008E4A90" w:rsidRPr="00E13479">
        <w:rPr>
          <w:rFonts w:ascii="Palatino Linotype" w:eastAsia="Palatino Linotype" w:hAnsi="Palatino Linotype" w:cs="Palatino Linotype"/>
          <w:b/>
          <w:sz w:val="22"/>
          <w:szCs w:val="22"/>
        </w:rPr>
        <w:t xml:space="preserve"> </w:t>
      </w:r>
      <w:r w:rsidRPr="00E13479">
        <w:rPr>
          <w:rFonts w:ascii="Palatino Linotype" w:eastAsia="Palatino Linotype" w:hAnsi="Palatino Linotype" w:cs="Palatino Linotype"/>
          <w:b/>
          <w:sz w:val="22"/>
          <w:szCs w:val="22"/>
        </w:rPr>
        <w:t xml:space="preserve">de dos mil veinticinco, </w:t>
      </w:r>
      <w:r w:rsidRPr="00E13479">
        <w:rPr>
          <w:rFonts w:ascii="Palatino Linotype" w:eastAsia="Palatino Linotype" w:hAnsi="Palatino Linotype" w:cs="Palatino Linotype"/>
          <w:sz w:val="22"/>
          <w:szCs w:val="22"/>
        </w:rPr>
        <w:t xml:space="preserve">mientras que el recurso de revisión interpuesto por la parte </w:t>
      </w:r>
      <w:r w:rsidRPr="00E13479">
        <w:rPr>
          <w:rFonts w:ascii="Palatino Linotype" w:eastAsia="Palatino Linotype" w:hAnsi="Palatino Linotype" w:cs="Palatino Linotype"/>
          <w:b/>
          <w:sz w:val="22"/>
          <w:szCs w:val="22"/>
        </w:rPr>
        <w:t>RECURRENTE</w:t>
      </w:r>
      <w:r w:rsidRPr="00E13479">
        <w:rPr>
          <w:rFonts w:ascii="Palatino Linotype" w:eastAsia="Palatino Linotype" w:hAnsi="Palatino Linotype" w:cs="Palatino Linotype"/>
          <w:sz w:val="22"/>
          <w:szCs w:val="22"/>
        </w:rPr>
        <w:t xml:space="preserve">, se tuvo por presentado el </w:t>
      </w:r>
      <w:r w:rsidR="00E41F94" w:rsidRPr="00E13479">
        <w:rPr>
          <w:rFonts w:ascii="Palatino Linotype" w:eastAsia="Palatino Linotype" w:hAnsi="Palatino Linotype" w:cs="Palatino Linotype"/>
          <w:b/>
          <w:sz w:val="22"/>
          <w:szCs w:val="22"/>
        </w:rPr>
        <w:t>tres</w:t>
      </w:r>
      <w:r w:rsidRPr="00E13479">
        <w:rPr>
          <w:rFonts w:ascii="Palatino Linotype" w:eastAsia="Palatino Linotype" w:hAnsi="Palatino Linotype" w:cs="Palatino Linotype"/>
          <w:b/>
          <w:sz w:val="22"/>
          <w:szCs w:val="22"/>
        </w:rPr>
        <w:t xml:space="preserve"> de </w:t>
      </w:r>
      <w:r w:rsidR="00E41F94" w:rsidRPr="00E13479">
        <w:rPr>
          <w:rFonts w:ascii="Palatino Linotype" w:eastAsia="Palatino Linotype" w:hAnsi="Palatino Linotype" w:cs="Palatino Linotype"/>
          <w:b/>
          <w:sz w:val="22"/>
          <w:szCs w:val="22"/>
        </w:rPr>
        <w:t>diciembre</w:t>
      </w:r>
      <w:r w:rsidRPr="00E13479">
        <w:rPr>
          <w:rFonts w:ascii="Palatino Linotype" w:eastAsia="Palatino Linotype" w:hAnsi="Palatino Linotype" w:cs="Palatino Linotype"/>
          <w:b/>
          <w:sz w:val="22"/>
          <w:szCs w:val="22"/>
        </w:rPr>
        <w:t xml:space="preserve"> del año dos mil veinticinco</w:t>
      </w:r>
      <w:r w:rsidRPr="00E13479">
        <w:rPr>
          <w:rFonts w:ascii="Palatino Linotype" w:eastAsia="Palatino Linotype" w:hAnsi="Palatino Linotype" w:cs="Palatino Linotype"/>
          <w:sz w:val="22"/>
          <w:szCs w:val="22"/>
        </w:rPr>
        <w:t xml:space="preserve">; esto es, al </w:t>
      </w:r>
      <w:r w:rsidR="00E41F94" w:rsidRPr="00E13479">
        <w:rPr>
          <w:rFonts w:ascii="Palatino Linotype" w:eastAsia="Palatino Linotype" w:hAnsi="Palatino Linotype" w:cs="Palatino Linotype"/>
          <w:b/>
          <w:sz w:val="22"/>
          <w:szCs w:val="22"/>
        </w:rPr>
        <w:t>décimo primer</w:t>
      </w:r>
      <w:r w:rsidR="009D625A" w:rsidRPr="00E13479">
        <w:rPr>
          <w:rFonts w:ascii="Palatino Linotype" w:eastAsia="Palatino Linotype" w:hAnsi="Palatino Linotype" w:cs="Palatino Linotype"/>
          <w:b/>
          <w:sz w:val="22"/>
          <w:szCs w:val="22"/>
        </w:rPr>
        <w:t xml:space="preserve"> </w:t>
      </w:r>
      <w:r w:rsidRPr="00E13479">
        <w:rPr>
          <w:rFonts w:ascii="Palatino Linotype" w:eastAsia="Palatino Linotype" w:hAnsi="Palatino Linotype" w:cs="Palatino Linotype"/>
          <w:b/>
          <w:sz w:val="22"/>
          <w:szCs w:val="22"/>
        </w:rPr>
        <w:t xml:space="preserve">día hábil </w:t>
      </w:r>
      <w:r w:rsidRPr="00E13479">
        <w:rPr>
          <w:rFonts w:ascii="Palatino Linotype" w:eastAsia="Palatino Linotype" w:hAnsi="Palatino Linotype" w:cs="Palatino Linotype"/>
          <w:sz w:val="22"/>
          <w:szCs w:val="22"/>
        </w:rPr>
        <w:t>siguiente al que se tuvo conocimiento de la respuesta respectivamente.</w:t>
      </w:r>
    </w:p>
    <w:p w14:paraId="3E440070" w14:textId="77777777" w:rsidR="00C877F6" w:rsidRPr="00E13479" w:rsidRDefault="00F36565">
      <w:pPr>
        <w:spacing w:before="240" w:after="240" w:line="360" w:lineRule="auto"/>
        <w:ind w:right="49"/>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Así también, por cuanto hace a la procedibilidad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7CD30A84" w14:textId="6F8C7612" w:rsidR="00C877F6" w:rsidRPr="00E13479" w:rsidRDefault="00F36565">
      <w:pPr>
        <w:spacing w:before="240" w:after="240"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Asimismo, resulta procedente la interposición del recurso de revisión al rubro anotado, toda vez que se actualiza las hipótesis prevista</w:t>
      </w:r>
      <w:r w:rsidR="00923A7C" w:rsidRPr="00E13479">
        <w:rPr>
          <w:rFonts w:ascii="Palatino Linotype" w:eastAsia="Palatino Linotype" w:hAnsi="Palatino Linotype" w:cs="Palatino Linotype"/>
          <w:sz w:val="22"/>
          <w:szCs w:val="22"/>
        </w:rPr>
        <w:t xml:space="preserve">s en el artículo 179, fracción </w:t>
      </w:r>
      <w:r w:rsidR="00E41F94" w:rsidRPr="00E13479">
        <w:rPr>
          <w:rFonts w:ascii="Palatino Linotype" w:eastAsia="Palatino Linotype" w:hAnsi="Palatino Linotype" w:cs="Palatino Linotype"/>
          <w:sz w:val="22"/>
          <w:szCs w:val="22"/>
        </w:rPr>
        <w:t>V</w:t>
      </w:r>
      <w:r w:rsidRPr="00E13479">
        <w:rPr>
          <w:rFonts w:ascii="Palatino Linotype" w:eastAsia="Palatino Linotype" w:hAnsi="Palatino Linotype" w:cs="Palatino Linotype"/>
          <w:sz w:val="22"/>
          <w:szCs w:val="22"/>
        </w:rPr>
        <w:t xml:space="preserve"> de la ley de la materia, que a la letra dice:</w:t>
      </w:r>
    </w:p>
    <w:p w14:paraId="47475447" w14:textId="77777777" w:rsidR="00C877F6" w:rsidRPr="00E13479" w:rsidRDefault="00F36565">
      <w:pPr>
        <w:spacing w:line="360" w:lineRule="auto"/>
        <w:ind w:left="851" w:right="1041"/>
        <w:jc w:val="both"/>
        <w:rPr>
          <w:rFonts w:ascii="Palatino Linotype" w:eastAsia="Palatino Linotype" w:hAnsi="Palatino Linotype" w:cs="Palatino Linotype"/>
          <w:i/>
          <w:sz w:val="22"/>
          <w:szCs w:val="22"/>
        </w:rPr>
      </w:pPr>
      <w:r w:rsidRPr="00E13479">
        <w:rPr>
          <w:rFonts w:ascii="Palatino Linotype" w:eastAsia="Palatino Linotype" w:hAnsi="Palatino Linotype" w:cs="Palatino Linotype"/>
          <w:i/>
          <w:sz w:val="22"/>
          <w:szCs w:val="22"/>
        </w:rPr>
        <w:t>“</w:t>
      </w:r>
      <w:r w:rsidRPr="00E13479">
        <w:rPr>
          <w:rFonts w:ascii="Palatino Linotype" w:eastAsia="Palatino Linotype" w:hAnsi="Palatino Linotype" w:cs="Palatino Linotype"/>
          <w:b/>
          <w:i/>
          <w:sz w:val="22"/>
          <w:szCs w:val="22"/>
        </w:rPr>
        <w:t xml:space="preserve">Artículo 179. </w:t>
      </w:r>
      <w:r w:rsidRPr="00E13479">
        <w:rPr>
          <w:rFonts w:ascii="Palatino Linotype" w:eastAsia="Palatino Linotype" w:hAnsi="Palatino Linotype" w:cs="Palatino Linotype"/>
          <w:i/>
          <w:sz w:val="22"/>
          <w:szCs w:val="22"/>
        </w:rPr>
        <w:t>El recurso de revisión es un medio de protección que la Ley otorga a los particulares, para hacer valer su derecho de acceso a la información pública, y procederá en contra de las siguientes causas:</w:t>
      </w:r>
    </w:p>
    <w:p w14:paraId="1678F80B" w14:textId="7CF952C3" w:rsidR="00C877F6" w:rsidRPr="00E13479" w:rsidRDefault="00F36565">
      <w:pPr>
        <w:spacing w:line="360" w:lineRule="auto"/>
        <w:ind w:left="851" w:right="1041"/>
        <w:jc w:val="both"/>
        <w:rPr>
          <w:rFonts w:ascii="Palatino Linotype" w:eastAsia="Palatino Linotype" w:hAnsi="Palatino Linotype" w:cs="Palatino Linotype"/>
          <w:i/>
          <w:sz w:val="22"/>
          <w:szCs w:val="22"/>
        </w:rPr>
      </w:pPr>
      <w:r w:rsidRPr="00E13479">
        <w:rPr>
          <w:rFonts w:ascii="Palatino Linotype" w:eastAsia="Palatino Linotype" w:hAnsi="Palatino Linotype" w:cs="Palatino Linotype"/>
          <w:i/>
          <w:sz w:val="22"/>
          <w:szCs w:val="22"/>
        </w:rPr>
        <w:t>…</w:t>
      </w:r>
    </w:p>
    <w:p w14:paraId="63C76F03" w14:textId="006ED7BA" w:rsidR="00A16203" w:rsidRPr="00E13479" w:rsidRDefault="00E41F94">
      <w:pPr>
        <w:spacing w:line="360" w:lineRule="auto"/>
        <w:ind w:left="851" w:right="1041"/>
        <w:jc w:val="both"/>
        <w:rPr>
          <w:rFonts w:ascii="Palatino Linotype" w:eastAsia="Palatino Linotype" w:hAnsi="Palatino Linotype" w:cs="Palatino Linotype"/>
          <w:i/>
          <w:sz w:val="22"/>
          <w:szCs w:val="22"/>
        </w:rPr>
      </w:pPr>
      <w:r w:rsidRPr="00E13479">
        <w:rPr>
          <w:rFonts w:ascii="Palatino Linotype" w:eastAsia="Palatino Linotype" w:hAnsi="Palatino Linotype" w:cs="Palatino Linotype"/>
          <w:i/>
          <w:sz w:val="22"/>
          <w:szCs w:val="22"/>
        </w:rPr>
        <w:t>V</w:t>
      </w:r>
      <w:r w:rsidR="00A16203" w:rsidRPr="00E13479">
        <w:rPr>
          <w:rFonts w:ascii="Palatino Linotype" w:eastAsia="Palatino Linotype" w:hAnsi="Palatino Linotype" w:cs="Palatino Linotype"/>
          <w:i/>
          <w:sz w:val="22"/>
          <w:szCs w:val="22"/>
        </w:rPr>
        <w:t xml:space="preserve">. La </w:t>
      </w:r>
      <w:r w:rsidRPr="00E13479">
        <w:rPr>
          <w:rFonts w:ascii="Palatino Linotype" w:eastAsia="Palatino Linotype" w:hAnsi="Palatino Linotype" w:cs="Palatino Linotype"/>
          <w:i/>
          <w:sz w:val="22"/>
          <w:szCs w:val="22"/>
        </w:rPr>
        <w:t>entrega de información incompleta</w:t>
      </w:r>
      <w:r w:rsidR="00A16203" w:rsidRPr="00E13479">
        <w:rPr>
          <w:rFonts w:ascii="Palatino Linotype" w:eastAsia="Palatino Linotype" w:hAnsi="Palatino Linotype" w:cs="Palatino Linotype"/>
          <w:i/>
          <w:sz w:val="22"/>
          <w:szCs w:val="22"/>
        </w:rPr>
        <w:t>;</w:t>
      </w:r>
    </w:p>
    <w:p w14:paraId="384EF292" w14:textId="469D8569" w:rsidR="00A16203" w:rsidRPr="00E13479" w:rsidRDefault="00A16203">
      <w:pPr>
        <w:spacing w:line="360" w:lineRule="auto"/>
        <w:ind w:left="851" w:right="1041"/>
        <w:jc w:val="both"/>
        <w:rPr>
          <w:rFonts w:ascii="Palatino Linotype" w:eastAsia="Palatino Linotype" w:hAnsi="Palatino Linotype" w:cs="Palatino Linotype"/>
          <w:i/>
          <w:sz w:val="22"/>
          <w:szCs w:val="22"/>
        </w:rPr>
      </w:pPr>
      <w:r w:rsidRPr="00E13479">
        <w:rPr>
          <w:rFonts w:ascii="Palatino Linotype" w:eastAsia="Palatino Linotype" w:hAnsi="Palatino Linotype" w:cs="Palatino Linotype"/>
          <w:i/>
          <w:sz w:val="22"/>
          <w:szCs w:val="22"/>
        </w:rPr>
        <w:t>…</w:t>
      </w:r>
    </w:p>
    <w:p w14:paraId="481BAAEF" w14:textId="77777777" w:rsidR="001E0DEC" w:rsidRPr="00E13479" w:rsidRDefault="001E0DEC" w:rsidP="001E0DEC">
      <w:pPr>
        <w:spacing w:line="360" w:lineRule="auto"/>
        <w:jc w:val="both"/>
        <w:rPr>
          <w:rFonts w:ascii="Palatino Linotype" w:eastAsia="Palatino Linotype" w:hAnsi="Palatino Linotype" w:cs="Palatino Linotype"/>
        </w:rPr>
      </w:pPr>
      <w:r w:rsidRPr="00E13479">
        <w:rPr>
          <w:rFonts w:ascii="Palatino Linotype" w:eastAsia="Palatino Linotype" w:hAnsi="Palatino Linotype" w:cs="Palatino Linotype"/>
          <w:b/>
        </w:rPr>
        <w:t xml:space="preserve">Tercero. Análisis de las causales de sobreseimiento. </w:t>
      </w:r>
      <w:r w:rsidRPr="00E13479">
        <w:rPr>
          <w:rFonts w:ascii="Palatino Linotype" w:eastAsia="Palatino Linotype" w:hAnsi="Palatino Linotype" w:cs="Palatino Linotype"/>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8797F8B" w14:textId="77777777" w:rsidR="001E0DEC" w:rsidRPr="00E13479" w:rsidRDefault="001E0DEC" w:rsidP="001E0DEC">
      <w:pPr>
        <w:spacing w:line="360" w:lineRule="auto"/>
        <w:jc w:val="both"/>
        <w:rPr>
          <w:rFonts w:ascii="Palatino Linotype" w:eastAsia="Palatino Linotype" w:hAnsi="Palatino Linotype" w:cs="Palatino Linotype"/>
        </w:rPr>
      </w:pPr>
    </w:p>
    <w:p w14:paraId="181EE6D8" w14:textId="77777777" w:rsidR="001E0DEC" w:rsidRPr="00E13479" w:rsidRDefault="001E0DEC" w:rsidP="001E0DEC">
      <w:pPr>
        <w:spacing w:line="360" w:lineRule="auto"/>
        <w:jc w:val="both"/>
        <w:rPr>
          <w:rFonts w:ascii="Palatino Linotype" w:eastAsia="Palatino Linotype" w:hAnsi="Palatino Linotype" w:cs="Palatino Linotype"/>
        </w:rPr>
      </w:pPr>
      <w:r w:rsidRPr="00E13479">
        <w:rPr>
          <w:rFonts w:ascii="Palatino Linotype" w:eastAsia="Palatino Linotype" w:hAnsi="Palatino Linotype" w:cs="Palatino Linotype"/>
        </w:rPr>
        <w:t>Siendo una facultad legal entrar al estudio de las causas de improcedencia que hagan valer las partes o que se adviertan de oficio por este Instituto;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Estudio de causales de improcedencia que no son incompatibles con el derecho de acceso a la justicia, ya que éste no se coarta por regular causas de improcedencia y sobreseimiento con tales fines.</w:t>
      </w:r>
    </w:p>
    <w:p w14:paraId="436FFA4E" w14:textId="77777777" w:rsidR="00C877F6" w:rsidRPr="00E13479" w:rsidRDefault="00C877F6">
      <w:pPr>
        <w:tabs>
          <w:tab w:val="left" w:pos="8647"/>
        </w:tabs>
        <w:spacing w:line="360" w:lineRule="auto"/>
        <w:jc w:val="both"/>
        <w:rPr>
          <w:rFonts w:ascii="Palatino Linotype" w:eastAsia="Palatino Linotype" w:hAnsi="Palatino Linotype" w:cs="Palatino Linotype"/>
          <w:b/>
          <w:sz w:val="22"/>
          <w:szCs w:val="22"/>
        </w:rPr>
      </w:pPr>
    </w:p>
    <w:p w14:paraId="45427B9F" w14:textId="648F5DB9" w:rsidR="00E97AD5" w:rsidRPr="00E13479" w:rsidRDefault="00F36565">
      <w:pPr>
        <w:spacing w:after="240"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Del análisis de la solicitud de información motivo del recurso de revisión que ahora se resuelve, </w:t>
      </w:r>
      <w:r w:rsidR="008E4A90" w:rsidRPr="00E13479">
        <w:rPr>
          <w:rFonts w:ascii="Palatino Linotype" w:eastAsia="Palatino Linotype" w:hAnsi="Palatino Linotype" w:cs="Palatino Linotype"/>
          <w:sz w:val="22"/>
          <w:szCs w:val="22"/>
        </w:rPr>
        <w:t xml:space="preserve">se tiene que el Recurrente solicitó al </w:t>
      </w:r>
      <w:r w:rsidR="00307FC2" w:rsidRPr="00E13479">
        <w:rPr>
          <w:rFonts w:ascii="Palatino Linotype" w:eastAsia="Palatino Linotype" w:hAnsi="Palatino Linotype" w:cs="Palatino Linotype"/>
          <w:b/>
          <w:sz w:val="22"/>
          <w:szCs w:val="22"/>
        </w:rPr>
        <w:t>Ayuntamiento de Ecatepec de Morelos</w:t>
      </w:r>
      <w:r w:rsidR="004B0E0F" w:rsidRPr="00E13479">
        <w:rPr>
          <w:rFonts w:ascii="Palatino Linotype" w:eastAsia="Palatino Linotype" w:hAnsi="Palatino Linotype" w:cs="Palatino Linotype"/>
          <w:sz w:val="22"/>
          <w:szCs w:val="22"/>
        </w:rPr>
        <w:t xml:space="preserve"> la siguiente información</w:t>
      </w:r>
      <w:r w:rsidR="00E97AD5" w:rsidRPr="00E13479">
        <w:rPr>
          <w:rFonts w:ascii="Palatino Linotype" w:eastAsia="Palatino Linotype" w:hAnsi="Palatino Linotype" w:cs="Palatino Linotype"/>
          <w:sz w:val="22"/>
          <w:szCs w:val="22"/>
        </w:rPr>
        <w:t>:</w:t>
      </w:r>
    </w:p>
    <w:p w14:paraId="4E57BF53" w14:textId="2BF59E0A" w:rsidR="00FE2BEA" w:rsidRPr="00E13479" w:rsidRDefault="00EE74AB" w:rsidP="00FE2BEA">
      <w:pPr>
        <w:pStyle w:val="Prrafodelista"/>
        <w:numPr>
          <w:ilvl w:val="0"/>
          <w:numId w:val="24"/>
        </w:numPr>
        <w:spacing w:line="360" w:lineRule="auto"/>
        <w:ind w:left="567"/>
        <w:jc w:val="both"/>
        <w:rPr>
          <w:rFonts w:ascii="Palatino Linotype" w:hAnsi="Palatino Linotype"/>
          <w:b/>
          <w:sz w:val="22"/>
          <w:szCs w:val="22"/>
        </w:rPr>
      </w:pPr>
      <w:r w:rsidRPr="00E13479">
        <w:rPr>
          <w:rFonts w:ascii="Palatino Linotype" w:hAnsi="Palatino Linotype"/>
          <w:b/>
          <w:sz w:val="22"/>
          <w:szCs w:val="22"/>
        </w:rPr>
        <w:t>De la H. Presidenta Mu</w:t>
      </w:r>
      <w:r w:rsidR="00FE2BEA" w:rsidRPr="00E13479">
        <w:rPr>
          <w:rFonts w:ascii="Palatino Linotype" w:hAnsi="Palatino Linotype"/>
          <w:b/>
          <w:sz w:val="22"/>
          <w:szCs w:val="22"/>
        </w:rPr>
        <w:t>nicipal de Ecatepec de Morelos:</w:t>
      </w:r>
    </w:p>
    <w:p w14:paraId="51659FC7" w14:textId="3F7506DE" w:rsidR="00EE74AB" w:rsidRPr="00E13479" w:rsidRDefault="00FE2BEA" w:rsidP="00FE2BEA">
      <w:pPr>
        <w:pStyle w:val="Prrafodelista"/>
        <w:numPr>
          <w:ilvl w:val="0"/>
          <w:numId w:val="46"/>
        </w:numPr>
        <w:spacing w:line="360" w:lineRule="auto"/>
        <w:ind w:left="709"/>
        <w:jc w:val="both"/>
        <w:rPr>
          <w:rFonts w:ascii="Palatino Linotype" w:hAnsi="Palatino Linotype"/>
          <w:b/>
          <w:sz w:val="22"/>
          <w:szCs w:val="22"/>
        </w:rPr>
      </w:pPr>
      <w:r w:rsidRPr="00E13479">
        <w:rPr>
          <w:rFonts w:ascii="Palatino Linotype" w:hAnsi="Palatino Linotype"/>
          <w:b/>
          <w:sz w:val="22"/>
          <w:szCs w:val="22"/>
        </w:rPr>
        <w:t>N</w:t>
      </w:r>
      <w:r w:rsidR="00EE74AB" w:rsidRPr="00E13479">
        <w:rPr>
          <w:rFonts w:ascii="Palatino Linotype" w:hAnsi="Palatino Linotype"/>
          <w:b/>
          <w:sz w:val="22"/>
          <w:szCs w:val="22"/>
        </w:rPr>
        <w:t>úmero de Dictámenes Técnicos y Valoraciones de Riesgo, realizados por la Dirección de Medio Ambiente y Ecología, y la Dirección de Protección Civil y Bomberos, del 01 de enero de 2025 al 27 de octubre de 2025, relacionados con la poda, derribo y/o trasplante de un árbol en banquetas del H. Municipio de Ecatepec de Morelos.</w:t>
      </w:r>
    </w:p>
    <w:p w14:paraId="6014D997" w14:textId="77777777" w:rsidR="00E97AD5" w:rsidRPr="00E13479" w:rsidRDefault="00E97AD5" w:rsidP="00E97AD5">
      <w:pPr>
        <w:jc w:val="both"/>
        <w:rPr>
          <w:rFonts w:ascii="Palatino Linotype" w:hAnsi="Palatino Linotype"/>
          <w:sz w:val="22"/>
          <w:szCs w:val="22"/>
        </w:rPr>
      </w:pPr>
    </w:p>
    <w:p w14:paraId="21B3F843" w14:textId="77777777" w:rsidR="00EE74AB" w:rsidRPr="00E13479" w:rsidRDefault="00EE74AB" w:rsidP="00E97AD5">
      <w:pPr>
        <w:jc w:val="both"/>
        <w:rPr>
          <w:rFonts w:ascii="Palatino Linotype" w:hAnsi="Palatino Linotype"/>
          <w:sz w:val="22"/>
          <w:szCs w:val="22"/>
        </w:rPr>
      </w:pPr>
    </w:p>
    <w:p w14:paraId="61EFCF09" w14:textId="77777777" w:rsidR="007A22E9" w:rsidRPr="00E13479" w:rsidRDefault="007A22E9" w:rsidP="007A22E9">
      <w:pPr>
        <w:spacing w:line="360" w:lineRule="auto"/>
        <w:jc w:val="both"/>
        <w:rPr>
          <w:rFonts w:ascii="Palatino Linotype" w:eastAsia="Palatino Linotype" w:hAnsi="Palatino Linotype" w:cs="Palatino Linotype"/>
          <w:sz w:val="22"/>
          <w:szCs w:val="22"/>
          <w:lang w:val="es-ES_tradnl"/>
        </w:rPr>
      </w:pPr>
      <w:r w:rsidRPr="00E13479">
        <w:rPr>
          <w:rFonts w:ascii="Palatino Linotype" w:eastAsia="Palatino Linotype" w:hAnsi="Palatino Linotype" w:cs="Palatino Linotype"/>
          <w:sz w:val="22"/>
          <w:szCs w:val="22"/>
        </w:rPr>
        <w:t xml:space="preserve">Una vez establecidas las posturas de las partes, se procede al análisis de la información requerida y para ello conviene traer a contexto el contenido de </w:t>
      </w:r>
      <w:r w:rsidRPr="00E13479">
        <w:rPr>
          <w:rFonts w:ascii="Palatino Linotype" w:eastAsia="Palatino Linotype" w:hAnsi="Palatino Linotype" w:cs="Palatino Linotype"/>
          <w:sz w:val="22"/>
          <w:szCs w:val="22"/>
          <w:lang w:val="es-ES_tradnl"/>
        </w:rPr>
        <w:t>los artículos 59 y 60 del Bando Municipal del Sujeto Obligado, a saber:</w:t>
      </w:r>
    </w:p>
    <w:p w14:paraId="47E68970" w14:textId="77777777" w:rsidR="007A22E9" w:rsidRPr="00E13479" w:rsidRDefault="007A22E9" w:rsidP="007A22E9">
      <w:pPr>
        <w:spacing w:line="360" w:lineRule="auto"/>
        <w:jc w:val="both"/>
        <w:rPr>
          <w:rFonts w:ascii="Palatino Linotype" w:eastAsia="Palatino Linotype" w:hAnsi="Palatino Linotype" w:cs="Palatino Linotype"/>
          <w:sz w:val="22"/>
          <w:szCs w:val="22"/>
          <w:lang w:val="es-ES_tradnl"/>
        </w:rPr>
      </w:pPr>
    </w:p>
    <w:p w14:paraId="723364E7" w14:textId="77777777" w:rsidR="007A22E9" w:rsidRPr="00E13479" w:rsidRDefault="007A22E9" w:rsidP="007A22E9">
      <w:pPr>
        <w:spacing w:line="360" w:lineRule="auto"/>
        <w:ind w:left="567" w:right="616"/>
        <w:jc w:val="center"/>
        <w:rPr>
          <w:rFonts w:ascii="Palatino Linotype" w:eastAsia="Palatino Linotype" w:hAnsi="Palatino Linotype" w:cs="Palatino Linotype"/>
          <w:b/>
          <w:i/>
          <w:sz w:val="22"/>
          <w:szCs w:val="22"/>
          <w:lang w:val="es-ES_tradnl"/>
        </w:rPr>
      </w:pPr>
      <w:r w:rsidRPr="00E13479">
        <w:rPr>
          <w:rFonts w:ascii="Palatino Linotype" w:eastAsia="Palatino Linotype" w:hAnsi="Palatino Linotype" w:cs="Palatino Linotype"/>
          <w:b/>
          <w:i/>
          <w:sz w:val="22"/>
          <w:szCs w:val="22"/>
          <w:lang w:val="es-ES_tradnl"/>
        </w:rPr>
        <w:t>De la Dirección de Medio Ambiente y Ecología</w:t>
      </w:r>
    </w:p>
    <w:p w14:paraId="38B2DC3E" w14:textId="77777777" w:rsidR="007A22E9" w:rsidRPr="00E13479" w:rsidRDefault="007A22E9" w:rsidP="007A22E9">
      <w:pPr>
        <w:spacing w:line="360" w:lineRule="auto"/>
        <w:ind w:left="567" w:right="616"/>
        <w:jc w:val="both"/>
        <w:rPr>
          <w:rFonts w:ascii="Palatino Linotype" w:eastAsia="Palatino Linotype" w:hAnsi="Palatino Linotype" w:cs="Palatino Linotype"/>
          <w:i/>
          <w:sz w:val="22"/>
          <w:szCs w:val="22"/>
          <w:lang w:val="es-ES_tradnl"/>
        </w:rPr>
      </w:pPr>
      <w:r w:rsidRPr="00E13479">
        <w:rPr>
          <w:rFonts w:ascii="Palatino Linotype" w:eastAsia="Palatino Linotype" w:hAnsi="Palatino Linotype" w:cs="Palatino Linotype"/>
          <w:b/>
          <w:i/>
          <w:sz w:val="22"/>
          <w:szCs w:val="22"/>
          <w:lang w:val="es-ES_tradnl"/>
        </w:rPr>
        <w:t>Artículo 59.</w:t>
      </w:r>
      <w:r w:rsidRPr="00E13479">
        <w:rPr>
          <w:rFonts w:ascii="Palatino Linotype" w:eastAsia="Palatino Linotype" w:hAnsi="Palatino Linotype" w:cs="Palatino Linotype"/>
          <w:i/>
          <w:sz w:val="22"/>
          <w:szCs w:val="22"/>
          <w:lang w:val="es-ES_tradnl"/>
        </w:rPr>
        <w:t xml:space="preserve"> La Dirección de Medio Ambiente y Ecología fortalecerá las relaciones armónicas de la Zona Metropolitana del Valle de México, de acuerdo con las políticas que acuerden los gobiernos involucrados y vigilará el cumplimiento de las disposiciones cuyo objeto es el registro de personas físicas y/o jurídico colectivas que realicen actividades en relación al medio ambiente; así como la conservación, restauración, protección, preservación y mejoramiento de éste, de conformidad con la legislación aplicable. </w:t>
      </w:r>
    </w:p>
    <w:p w14:paraId="40B806C6" w14:textId="77777777" w:rsidR="007A22E9" w:rsidRPr="00E13479" w:rsidRDefault="007A22E9" w:rsidP="007A22E9">
      <w:pPr>
        <w:spacing w:line="360" w:lineRule="auto"/>
        <w:ind w:left="567" w:right="616"/>
        <w:jc w:val="both"/>
        <w:rPr>
          <w:rFonts w:ascii="Palatino Linotype" w:eastAsia="Palatino Linotype" w:hAnsi="Palatino Linotype" w:cs="Palatino Linotype"/>
          <w:i/>
          <w:sz w:val="22"/>
          <w:szCs w:val="22"/>
          <w:lang w:val="es-ES_tradnl"/>
        </w:rPr>
      </w:pPr>
    </w:p>
    <w:p w14:paraId="6EE8A202" w14:textId="77777777" w:rsidR="007A22E9" w:rsidRPr="00E13479" w:rsidRDefault="007A22E9" w:rsidP="007A22E9">
      <w:pPr>
        <w:spacing w:line="360" w:lineRule="auto"/>
        <w:ind w:left="567" w:right="616"/>
        <w:jc w:val="both"/>
        <w:rPr>
          <w:rFonts w:ascii="Palatino Linotype" w:eastAsia="Palatino Linotype" w:hAnsi="Palatino Linotype" w:cs="Palatino Linotype"/>
          <w:i/>
          <w:sz w:val="22"/>
          <w:szCs w:val="22"/>
          <w:lang w:val="es-ES_tradnl"/>
        </w:rPr>
      </w:pPr>
      <w:r w:rsidRPr="00E13479">
        <w:rPr>
          <w:rFonts w:ascii="Palatino Linotype" w:eastAsia="Palatino Linotype" w:hAnsi="Palatino Linotype" w:cs="Palatino Linotype"/>
          <w:i/>
          <w:sz w:val="22"/>
          <w:szCs w:val="22"/>
          <w:lang w:val="es-ES_tradnl"/>
        </w:rPr>
        <w:t xml:space="preserve">Esta Dirección tendrá a su cargo la formulación, conducción y evaluación de la política ambiental municipal promoviendo estrategias de reforestación y disminución de gases contaminantes a efecto de combatir el cambio climático y deberá coordinarse con la Secretaría del Medio Ambiente del Gobierno del Estado de México, atendiendo a la Ley General del Equilibrio Ecológico y la Protección al Ambiente, así como la Ley de Cambio Climático del Estado de México, Código para la Biodiversidad del Estado de México y demás ordenamientos legales de la materia. </w:t>
      </w:r>
    </w:p>
    <w:p w14:paraId="6D9C1CE3" w14:textId="77777777" w:rsidR="007A22E9" w:rsidRPr="00E13479" w:rsidRDefault="007A22E9" w:rsidP="007A22E9">
      <w:pPr>
        <w:spacing w:line="360" w:lineRule="auto"/>
        <w:ind w:left="567" w:right="616"/>
        <w:jc w:val="both"/>
        <w:rPr>
          <w:rFonts w:ascii="Palatino Linotype" w:eastAsia="Palatino Linotype" w:hAnsi="Palatino Linotype" w:cs="Palatino Linotype"/>
          <w:i/>
          <w:sz w:val="22"/>
          <w:szCs w:val="22"/>
          <w:lang w:val="es-ES_tradnl"/>
        </w:rPr>
      </w:pPr>
    </w:p>
    <w:p w14:paraId="190D1B8A" w14:textId="77777777" w:rsidR="007A22E9" w:rsidRPr="00E13479" w:rsidRDefault="007A22E9" w:rsidP="007A22E9">
      <w:pPr>
        <w:spacing w:line="360" w:lineRule="auto"/>
        <w:ind w:left="567" w:right="616"/>
        <w:jc w:val="both"/>
        <w:rPr>
          <w:rFonts w:ascii="Palatino Linotype" w:eastAsia="Palatino Linotype" w:hAnsi="Palatino Linotype" w:cs="Palatino Linotype"/>
          <w:i/>
          <w:sz w:val="22"/>
          <w:szCs w:val="22"/>
          <w:lang w:val="es-ES_tradnl"/>
        </w:rPr>
      </w:pPr>
      <w:r w:rsidRPr="00E13479">
        <w:rPr>
          <w:rFonts w:ascii="Palatino Linotype" w:eastAsia="Palatino Linotype" w:hAnsi="Palatino Linotype" w:cs="Palatino Linotype"/>
          <w:i/>
          <w:sz w:val="22"/>
          <w:szCs w:val="22"/>
          <w:lang w:val="es-ES_tradnl"/>
        </w:rPr>
        <w:t>…</w:t>
      </w:r>
    </w:p>
    <w:p w14:paraId="26E64657" w14:textId="77777777" w:rsidR="007A22E9" w:rsidRPr="00E13479" w:rsidRDefault="007A22E9" w:rsidP="007A22E9">
      <w:pPr>
        <w:spacing w:line="360" w:lineRule="auto"/>
        <w:ind w:left="567" w:right="616"/>
        <w:jc w:val="both"/>
        <w:rPr>
          <w:rFonts w:ascii="Palatino Linotype" w:eastAsia="Palatino Linotype" w:hAnsi="Palatino Linotype" w:cs="Palatino Linotype"/>
          <w:i/>
          <w:sz w:val="22"/>
          <w:szCs w:val="22"/>
          <w:lang w:val="es-ES_tradnl"/>
        </w:rPr>
      </w:pPr>
      <w:r w:rsidRPr="00E13479">
        <w:rPr>
          <w:rFonts w:ascii="Palatino Linotype" w:eastAsia="Palatino Linotype" w:hAnsi="Palatino Linotype" w:cs="Palatino Linotype"/>
          <w:b/>
          <w:i/>
          <w:sz w:val="22"/>
          <w:szCs w:val="22"/>
          <w:lang w:val="es-ES_tradnl"/>
        </w:rPr>
        <w:t>Artículo 60</w:t>
      </w:r>
      <w:r w:rsidRPr="00E13479">
        <w:rPr>
          <w:rFonts w:ascii="Palatino Linotype" w:eastAsia="Palatino Linotype" w:hAnsi="Palatino Linotype" w:cs="Palatino Linotype"/>
          <w:i/>
          <w:sz w:val="22"/>
          <w:szCs w:val="22"/>
          <w:lang w:val="es-ES_tradnl"/>
        </w:rPr>
        <w:t>. La Dirección de Medio Ambiente y Ecología tendrá las siguientes atribuciones:</w:t>
      </w:r>
    </w:p>
    <w:p w14:paraId="6B253CD6" w14:textId="77777777" w:rsidR="007A22E9" w:rsidRPr="00E13479" w:rsidRDefault="007A22E9" w:rsidP="007A22E9">
      <w:pPr>
        <w:spacing w:line="360" w:lineRule="auto"/>
        <w:ind w:left="567" w:right="616"/>
        <w:jc w:val="both"/>
        <w:rPr>
          <w:rFonts w:ascii="Palatino Linotype" w:eastAsia="Palatino Linotype" w:hAnsi="Palatino Linotype" w:cs="Palatino Linotype"/>
          <w:i/>
          <w:sz w:val="22"/>
          <w:szCs w:val="22"/>
          <w:lang w:val="es-ES_tradnl"/>
        </w:rPr>
      </w:pPr>
      <w:r w:rsidRPr="00E13479">
        <w:rPr>
          <w:rFonts w:ascii="Palatino Linotype" w:eastAsia="Palatino Linotype" w:hAnsi="Palatino Linotype" w:cs="Palatino Linotype"/>
          <w:sz w:val="22"/>
          <w:szCs w:val="22"/>
          <w:lang w:val="es-ES_tradnl"/>
        </w:rPr>
        <w:tab/>
      </w:r>
      <w:r w:rsidRPr="00E13479">
        <w:rPr>
          <w:rFonts w:ascii="Palatino Linotype" w:eastAsia="Palatino Linotype" w:hAnsi="Palatino Linotype" w:cs="Palatino Linotype"/>
          <w:i/>
          <w:sz w:val="22"/>
          <w:szCs w:val="22"/>
          <w:lang w:val="es-ES_tradnl"/>
        </w:rPr>
        <w:t>….</w:t>
      </w:r>
    </w:p>
    <w:p w14:paraId="0E9BD7A7" w14:textId="4C11B105" w:rsidR="007A22E9" w:rsidRPr="00E13479" w:rsidRDefault="007A22E9" w:rsidP="007A22E9">
      <w:pPr>
        <w:spacing w:line="360" w:lineRule="auto"/>
        <w:ind w:left="567" w:right="616"/>
        <w:jc w:val="both"/>
        <w:rPr>
          <w:rFonts w:ascii="Palatino Linotype" w:eastAsia="Palatino Linotype" w:hAnsi="Palatino Linotype" w:cs="Palatino Linotype"/>
          <w:i/>
          <w:sz w:val="22"/>
          <w:szCs w:val="22"/>
          <w:lang w:val="es-ES_tradnl"/>
        </w:rPr>
      </w:pPr>
      <w:r w:rsidRPr="00E13479">
        <w:rPr>
          <w:rFonts w:ascii="Palatino Linotype" w:eastAsia="Palatino Linotype" w:hAnsi="Palatino Linotype" w:cs="Palatino Linotype"/>
          <w:i/>
          <w:sz w:val="22"/>
          <w:szCs w:val="22"/>
          <w:lang w:val="es-ES_tradnl"/>
        </w:rPr>
        <w:t xml:space="preserve">VI. Analizar y justificar técnicamente los dictámenes de riesgo emitidos por la Dirección de Protección Civil y Bomberos </w:t>
      </w:r>
      <w:r w:rsidRPr="00E13479">
        <w:rPr>
          <w:rFonts w:ascii="Palatino Linotype" w:eastAsia="Palatino Linotype" w:hAnsi="Palatino Linotype" w:cs="Palatino Linotype"/>
          <w:i/>
          <w:sz w:val="22"/>
          <w:szCs w:val="22"/>
          <w:u w:val="single"/>
          <w:lang w:val="es-ES_tradnl"/>
        </w:rPr>
        <w:t>para la ejecución de trabajos en árboles</w:t>
      </w:r>
      <w:r w:rsidRPr="00E13479">
        <w:rPr>
          <w:rFonts w:ascii="Palatino Linotype" w:eastAsia="Palatino Linotype" w:hAnsi="Palatino Linotype" w:cs="Palatino Linotype"/>
          <w:i/>
          <w:sz w:val="22"/>
          <w:szCs w:val="22"/>
          <w:lang w:val="es-ES_tradnl"/>
        </w:rPr>
        <w:t xml:space="preserve"> que, por la magnitud del riesgo, se ejecuten sin previa autorización; asimismo, determinará en las autorizaciones que emita si se requiere la intervención de la Dirección de Protección Civil y Bomberos derivado del riesgo;</w:t>
      </w:r>
      <w:r w:rsidR="004D790A" w:rsidRPr="00E13479">
        <w:rPr>
          <w:rFonts w:ascii="Palatino Linotype" w:eastAsia="Palatino Linotype" w:hAnsi="Palatino Linotype" w:cs="Palatino Linotype"/>
          <w:i/>
          <w:sz w:val="22"/>
          <w:szCs w:val="22"/>
          <w:lang w:val="es-ES_tradnl"/>
        </w:rPr>
        <w:t xml:space="preserve"> </w:t>
      </w:r>
    </w:p>
    <w:p w14:paraId="0BACE987" w14:textId="77777777" w:rsidR="007A22E9" w:rsidRPr="00E13479" w:rsidRDefault="007A22E9" w:rsidP="007A22E9">
      <w:pPr>
        <w:spacing w:line="360" w:lineRule="auto"/>
        <w:ind w:left="567" w:right="616"/>
        <w:jc w:val="both"/>
        <w:rPr>
          <w:rFonts w:ascii="Palatino Linotype" w:eastAsia="Palatino Linotype" w:hAnsi="Palatino Linotype" w:cs="Palatino Linotype"/>
          <w:i/>
          <w:sz w:val="22"/>
          <w:szCs w:val="22"/>
          <w:lang w:val="es-ES_tradnl"/>
        </w:rPr>
      </w:pPr>
      <w:r w:rsidRPr="00E13479">
        <w:rPr>
          <w:rFonts w:ascii="Palatino Linotype" w:eastAsia="Palatino Linotype" w:hAnsi="Palatino Linotype" w:cs="Palatino Linotype"/>
          <w:i/>
          <w:sz w:val="22"/>
          <w:szCs w:val="22"/>
          <w:lang w:val="es-ES_tradnl"/>
        </w:rPr>
        <w:t>…</w:t>
      </w:r>
    </w:p>
    <w:p w14:paraId="03879AF1" w14:textId="748A9CCB" w:rsidR="007A22E9" w:rsidRPr="00E13479" w:rsidRDefault="007A22E9" w:rsidP="007A22E9">
      <w:pPr>
        <w:spacing w:line="360" w:lineRule="auto"/>
        <w:ind w:left="567" w:right="616"/>
        <w:jc w:val="both"/>
        <w:rPr>
          <w:rFonts w:ascii="Palatino Linotype" w:eastAsia="Palatino Linotype" w:hAnsi="Palatino Linotype" w:cs="Palatino Linotype"/>
          <w:i/>
          <w:sz w:val="22"/>
          <w:szCs w:val="22"/>
          <w:lang w:val="es-ES_tradnl"/>
        </w:rPr>
      </w:pPr>
      <w:r w:rsidRPr="00E13479">
        <w:rPr>
          <w:rFonts w:ascii="Palatino Linotype" w:eastAsia="Palatino Linotype" w:hAnsi="Palatino Linotype" w:cs="Palatino Linotype"/>
          <w:i/>
          <w:sz w:val="22"/>
          <w:szCs w:val="22"/>
          <w:lang w:val="es-ES_tradnl"/>
        </w:rPr>
        <w:t>VIII. Realizar visitas de inspección con el objeto de constatar el cumplimiento del Código para la Biodiversidad del Estado de México y demás ordenamientos aplicables;</w:t>
      </w:r>
      <w:r w:rsidR="001E0DEC" w:rsidRPr="00E13479">
        <w:rPr>
          <w:rFonts w:ascii="Palatino Linotype" w:eastAsia="Palatino Linotype" w:hAnsi="Palatino Linotype" w:cs="Palatino Linotype"/>
          <w:i/>
          <w:sz w:val="22"/>
          <w:szCs w:val="22"/>
          <w:lang w:val="es-ES_tradnl"/>
        </w:rPr>
        <w:t xml:space="preserve"> </w:t>
      </w:r>
    </w:p>
    <w:p w14:paraId="044FBA30" w14:textId="77777777" w:rsidR="007A22E9" w:rsidRPr="00E13479" w:rsidRDefault="007A22E9" w:rsidP="007A22E9">
      <w:pPr>
        <w:spacing w:line="360" w:lineRule="auto"/>
        <w:jc w:val="both"/>
        <w:rPr>
          <w:rFonts w:ascii="Palatino Linotype" w:eastAsia="Palatino Linotype" w:hAnsi="Palatino Linotype" w:cs="Palatino Linotype"/>
          <w:sz w:val="22"/>
          <w:szCs w:val="22"/>
        </w:rPr>
      </w:pPr>
    </w:p>
    <w:p w14:paraId="01A6847B" w14:textId="77777777" w:rsidR="007A22E9" w:rsidRPr="00E13479" w:rsidRDefault="007A22E9" w:rsidP="007A22E9">
      <w:pPr>
        <w:spacing w:line="360" w:lineRule="auto"/>
        <w:jc w:val="both"/>
        <w:rPr>
          <w:rFonts w:ascii="Palatino Linotype" w:eastAsia="Palatino Linotype" w:hAnsi="Palatino Linotype" w:cs="Palatino Linotype"/>
          <w:sz w:val="22"/>
          <w:szCs w:val="22"/>
          <w:lang w:val="es-ES_tradnl"/>
        </w:rPr>
      </w:pPr>
      <w:r w:rsidRPr="00E13479">
        <w:rPr>
          <w:rFonts w:ascii="Palatino Linotype" w:eastAsia="Palatino Linotype" w:hAnsi="Palatino Linotype" w:cs="Palatino Linotype"/>
          <w:sz w:val="22"/>
          <w:szCs w:val="22"/>
          <w:lang w:val="es-ES_tradnl"/>
        </w:rPr>
        <w:t>De lo anterior se advierte que le corresponde a la Dirección de Medio Ambiente y Ecología la formulación, conducción y evaluación de la política ambiental municipal así como analizar y justificar técnicamente los dictámenes de riesgo emitidos por la Dirección de Protección Civil y Bomberos para la ejecución de trabajos en árboles que, por la magnitud del riesgo, se ejecuten sin previa autorización.</w:t>
      </w:r>
    </w:p>
    <w:p w14:paraId="6C350945" w14:textId="77777777" w:rsidR="007A22E9" w:rsidRPr="00E13479" w:rsidRDefault="007A22E9" w:rsidP="007A22E9">
      <w:pPr>
        <w:spacing w:line="360" w:lineRule="auto"/>
        <w:jc w:val="both"/>
        <w:rPr>
          <w:rFonts w:ascii="Palatino Linotype" w:eastAsia="Palatino Linotype" w:hAnsi="Palatino Linotype" w:cs="Palatino Linotype"/>
          <w:sz w:val="22"/>
          <w:szCs w:val="22"/>
        </w:rPr>
      </w:pPr>
    </w:p>
    <w:p w14:paraId="49B18AD0" w14:textId="77777777" w:rsidR="007A22E9" w:rsidRPr="00E13479" w:rsidRDefault="007A22E9" w:rsidP="007A22E9">
      <w:pPr>
        <w:spacing w:line="360" w:lineRule="auto"/>
        <w:jc w:val="both"/>
        <w:rPr>
          <w:rFonts w:ascii="Palatino Linotype" w:eastAsia="Palatino Linotype" w:hAnsi="Palatino Linotype" w:cs="Palatino Linotype"/>
          <w:sz w:val="22"/>
          <w:szCs w:val="22"/>
          <w:lang w:val="es-ES_tradnl"/>
        </w:rPr>
      </w:pPr>
      <w:r w:rsidRPr="00E13479">
        <w:rPr>
          <w:rFonts w:ascii="Palatino Linotype" w:eastAsia="Palatino Linotype" w:hAnsi="Palatino Linotype" w:cs="Palatino Linotype"/>
          <w:sz w:val="22"/>
          <w:szCs w:val="22"/>
        </w:rPr>
        <w:t xml:space="preserve">Consecuentemente, </w:t>
      </w:r>
      <w:r w:rsidRPr="00E13479">
        <w:rPr>
          <w:rFonts w:ascii="Palatino Linotype" w:eastAsia="Palatino Linotype" w:hAnsi="Palatino Linotype" w:cs="Palatino Linotype"/>
          <w:sz w:val="22"/>
          <w:szCs w:val="22"/>
          <w:lang w:val="es-ES_tradnl"/>
        </w:rPr>
        <w:t xml:space="preserve">se establece que, para el derribo de árboles en áreas públicas, esto se realizara previa evaluación técnica emitida por la Dirección de Medio Ambiente y Ecología; y, cuando sea necesario </w:t>
      </w:r>
      <w:r w:rsidRPr="00E13479">
        <w:rPr>
          <w:rFonts w:ascii="Palatino Linotype" w:eastAsia="Palatino Linotype" w:hAnsi="Palatino Linotype" w:cs="Palatino Linotype"/>
          <w:b/>
          <w:sz w:val="22"/>
          <w:szCs w:val="22"/>
          <w:lang w:val="es-ES_tradnl"/>
        </w:rPr>
        <w:t>el dictamen de riesgo por parte de la Dirección de Protección Civil y Bomberos</w:t>
      </w:r>
      <w:r w:rsidRPr="00E13479">
        <w:rPr>
          <w:rFonts w:ascii="Palatino Linotype" w:eastAsia="Palatino Linotype" w:hAnsi="Palatino Linotype" w:cs="Palatino Linotype"/>
          <w:sz w:val="22"/>
          <w:szCs w:val="22"/>
          <w:lang w:val="es-ES_tradnl"/>
        </w:rPr>
        <w:t>, será también requerida dicha evaluación técnica:</w:t>
      </w:r>
    </w:p>
    <w:p w14:paraId="3B271E69" w14:textId="77777777" w:rsidR="007A22E9" w:rsidRPr="00E13479" w:rsidRDefault="007A22E9" w:rsidP="007A22E9">
      <w:pPr>
        <w:spacing w:line="360" w:lineRule="auto"/>
        <w:jc w:val="both"/>
        <w:rPr>
          <w:rFonts w:ascii="Palatino Linotype" w:eastAsia="Palatino Linotype" w:hAnsi="Palatino Linotype" w:cs="Palatino Linotype"/>
          <w:sz w:val="22"/>
          <w:szCs w:val="22"/>
        </w:rPr>
      </w:pPr>
    </w:p>
    <w:p w14:paraId="66C67B9B" w14:textId="77777777" w:rsidR="007A22E9" w:rsidRPr="00E13479" w:rsidRDefault="007A22E9" w:rsidP="007A22E9">
      <w:pPr>
        <w:spacing w:line="360" w:lineRule="auto"/>
        <w:ind w:left="567" w:right="616"/>
        <w:jc w:val="both"/>
        <w:rPr>
          <w:rFonts w:ascii="Palatino Linotype" w:eastAsia="Palatino Linotype" w:hAnsi="Palatino Linotype" w:cs="Palatino Linotype"/>
          <w:i/>
          <w:sz w:val="22"/>
          <w:szCs w:val="22"/>
          <w:lang w:val="es-ES_tradnl"/>
        </w:rPr>
      </w:pPr>
      <w:r w:rsidRPr="00E13479">
        <w:rPr>
          <w:rFonts w:ascii="Palatino Linotype" w:eastAsia="Palatino Linotype" w:hAnsi="Palatino Linotype" w:cs="Palatino Linotype"/>
          <w:b/>
          <w:i/>
          <w:sz w:val="22"/>
          <w:szCs w:val="22"/>
          <w:lang w:val="es-ES_tradnl"/>
        </w:rPr>
        <w:t>“Artículo 86</w:t>
      </w:r>
      <w:r w:rsidRPr="00E13479">
        <w:rPr>
          <w:rFonts w:ascii="Palatino Linotype" w:eastAsia="Palatino Linotype" w:hAnsi="Palatino Linotype" w:cs="Palatino Linotype"/>
          <w:i/>
          <w:sz w:val="22"/>
          <w:szCs w:val="22"/>
          <w:lang w:val="es-ES_tradnl"/>
        </w:rPr>
        <w:t xml:space="preserve">. El derribo de árboles en áreas públicas como parques, jardines, plazas cívicas, camellones, glorietas, fuentes, monumentos y panteones municipales </w:t>
      </w:r>
      <w:r w:rsidRPr="00E13479">
        <w:rPr>
          <w:rFonts w:ascii="Palatino Linotype" w:eastAsia="Palatino Linotype" w:hAnsi="Palatino Linotype" w:cs="Palatino Linotype"/>
          <w:i/>
          <w:sz w:val="22"/>
          <w:szCs w:val="22"/>
          <w:u w:val="single"/>
          <w:lang w:val="es-ES_tradnl"/>
        </w:rPr>
        <w:t>se realizará previa evaluación técnica de la Dirección de Medio Ambiente y Ecología</w:t>
      </w:r>
      <w:r w:rsidRPr="00E13479">
        <w:rPr>
          <w:rFonts w:ascii="Palatino Linotype" w:eastAsia="Palatino Linotype" w:hAnsi="Palatino Linotype" w:cs="Palatino Linotype"/>
          <w:i/>
          <w:sz w:val="22"/>
          <w:szCs w:val="22"/>
          <w:lang w:val="es-ES_tradnl"/>
        </w:rPr>
        <w:t xml:space="preserve">; asimismo, </w:t>
      </w:r>
      <w:r w:rsidRPr="00E13479">
        <w:rPr>
          <w:rFonts w:ascii="Palatino Linotype" w:eastAsia="Palatino Linotype" w:hAnsi="Palatino Linotype" w:cs="Palatino Linotype"/>
          <w:b/>
          <w:i/>
          <w:sz w:val="22"/>
          <w:szCs w:val="22"/>
          <w:lang w:val="es-ES_tradnl"/>
        </w:rPr>
        <w:t>cuando sea necesario el dictamen de riesgo</w:t>
      </w:r>
      <w:r w:rsidRPr="00E13479">
        <w:rPr>
          <w:rFonts w:ascii="Palatino Linotype" w:eastAsia="Palatino Linotype" w:hAnsi="Palatino Linotype" w:cs="Palatino Linotype"/>
          <w:i/>
          <w:sz w:val="22"/>
          <w:szCs w:val="22"/>
          <w:lang w:val="es-ES_tradnl"/>
        </w:rPr>
        <w:t>, se requerirá evaluación técnica por parte de la Dirección de Protección Civil y Bomberos”</w:t>
      </w:r>
    </w:p>
    <w:p w14:paraId="6780E4DD" w14:textId="77777777" w:rsidR="007A22E9" w:rsidRPr="00E13479" w:rsidRDefault="007A22E9" w:rsidP="007A22E9">
      <w:pPr>
        <w:spacing w:line="360" w:lineRule="auto"/>
        <w:jc w:val="both"/>
        <w:rPr>
          <w:rFonts w:ascii="Palatino Linotype" w:eastAsia="Palatino Linotype" w:hAnsi="Palatino Linotype" w:cs="Palatino Linotype"/>
          <w:sz w:val="22"/>
          <w:szCs w:val="22"/>
        </w:rPr>
      </w:pPr>
    </w:p>
    <w:p w14:paraId="56D8E047" w14:textId="77777777" w:rsidR="007A22E9" w:rsidRPr="00E13479" w:rsidRDefault="007A22E9" w:rsidP="007A22E9">
      <w:pPr>
        <w:spacing w:line="360" w:lineRule="auto"/>
        <w:jc w:val="both"/>
        <w:rPr>
          <w:rFonts w:ascii="Palatino Linotype" w:eastAsia="Palatino Linotype" w:hAnsi="Palatino Linotype" w:cs="Palatino Linotype"/>
          <w:sz w:val="22"/>
          <w:szCs w:val="22"/>
          <w:lang w:val="es-ES"/>
        </w:rPr>
      </w:pPr>
      <w:r w:rsidRPr="00E13479">
        <w:rPr>
          <w:rFonts w:ascii="Palatino Linotype" w:eastAsia="Palatino Linotype" w:hAnsi="Palatino Linotype" w:cs="Palatino Linotype"/>
          <w:sz w:val="22"/>
          <w:szCs w:val="22"/>
        </w:rPr>
        <w:t xml:space="preserve">En ese contexto, se tiene que le corresponde a la Dirección de Protección Civil y Bomberos </w:t>
      </w:r>
      <w:r w:rsidRPr="00E13479">
        <w:rPr>
          <w:rFonts w:ascii="Palatino Linotype" w:eastAsia="Palatino Linotype" w:hAnsi="Palatino Linotype" w:cs="Palatino Linotype"/>
          <w:sz w:val="22"/>
          <w:szCs w:val="22"/>
          <w:lang w:val="es-ES_tradnl"/>
        </w:rPr>
        <w:t>las bases de coordinación entre los distintos órdenes de gobierno en materia de gestión integral de riesgos y protección civil, así como con los sectores privado y social</w:t>
      </w:r>
      <w:r w:rsidRPr="00E13479">
        <w:rPr>
          <w:rFonts w:ascii="Palatino Linotype" w:eastAsia="Palatino Linotype" w:hAnsi="Palatino Linotype" w:cs="Palatino Linotype"/>
          <w:sz w:val="22"/>
          <w:szCs w:val="22"/>
          <w:lang w:val="es-ES"/>
        </w:rPr>
        <w:t xml:space="preserve"> entendiendo como </w:t>
      </w:r>
      <w:r w:rsidRPr="00E13479">
        <w:rPr>
          <w:rFonts w:ascii="Palatino Linotype" w:eastAsia="Palatino Linotype" w:hAnsi="Palatino Linotype" w:cs="Palatino Linotype"/>
          <w:sz w:val="22"/>
          <w:szCs w:val="22"/>
          <w:u w:val="single"/>
          <w:lang w:val="es-ES_tradnl"/>
        </w:rPr>
        <w:t>dictámen de riesgo,</w:t>
      </w:r>
      <w:r w:rsidRPr="00E13479">
        <w:rPr>
          <w:rFonts w:ascii="Palatino Linotype" w:eastAsia="Palatino Linotype" w:hAnsi="Palatino Linotype" w:cs="Palatino Linotype"/>
          <w:sz w:val="22"/>
          <w:szCs w:val="22"/>
          <w:lang w:val="es-ES_tradnl"/>
        </w:rPr>
        <w:t xml:space="preserve"> </w:t>
      </w:r>
      <w:r w:rsidRPr="00E13479">
        <w:rPr>
          <w:rFonts w:ascii="Palatino Linotype" w:eastAsia="Palatino Linotype" w:hAnsi="Palatino Linotype" w:cs="Palatino Linotype"/>
          <w:sz w:val="22"/>
          <w:szCs w:val="22"/>
          <w:u w:val="single"/>
          <w:lang w:val="es-ES_tradnl"/>
        </w:rPr>
        <w:t>al documento que se emite por la Dirección de Protección Civil y Bomberos mediante el cual se identifican los riesgos existentes señalando el grado de estos, las posibles pérdidas, así como las recomendaciones de acciones para la gestión integral de riesgos, a efecto de mitigar o eliminar los efectos.</w:t>
      </w:r>
    </w:p>
    <w:p w14:paraId="609DB696" w14:textId="77777777" w:rsidR="007A22E9" w:rsidRPr="00E13479" w:rsidRDefault="007A22E9" w:rsidP="007A22E9">
      <w:pPr>
        <w:spacing w:line="360" w:lineRule="auto"/>
        <w:jc w:val="both"/>
        <w:rPr>
          <w:rFonts w:ascii="Palatino Linotype" w:eastAsia="Palatino Linotype" w:hAnsi="Palatino Linotype" w:cs="Palatino Linotype"/>
          <w:iCs/>
          <w:sz w:val="22"/>
          <w:szCs w:val="22"/>
        </w:rPr>
      </w:pPr>
    </w:p>
    <w:p w14:paraId="1D727EC6" w14:textId="77777777" w:rsidR="007A22E9" w:rsidRPr="00E13479" w:rsidRDefault="007A22E9" w:rsidP="007A22E9">
      <w:pPr>
        <w:spacing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En consecuencia, para el derribo, poda o trasplante de un árbol, este de debe realizar mediante dos procesos; el primero, mediante la previa evaluación técnica de la </w:t>
      </w:r>
      <w:r w:rsidRPr="00E13479">
        <w:rPr>
          <w:rFonts w:ascii="Palatino Linotype" w:eastAsia="Palatino Linotype" w:hAnsi="Palatino Linotype" w:cs="Palatino Linotype"/>
          <w:sz w:val="22"/>
          <w:szCs w:val="22"/>
          <w:lang w:val="es-ES_tradnl"/>
        </w:rPr>
        <w:t xml:space="preserve">Dirección de Medio Ambiente y Ecología; </w:t>
      </w:r>
      <w:r w:rsidRPr="00E13479">
        <w:rPr>
          <w:rFonts w:ascii="Palatino Linotype" w:eastAsia="Palatino Linotype" w:hAnsi="Palatino Linotype" w:cs="Palatino Linotype"/>
          <w:sz w:val="22"/>
          <w:szCs w:val="22"/>
        </w:rPr>
        <w:t xml:space="preserve">y, el segundo, mediante un dictamen de riesgo realizado por la Dirección de Protección Civil y Bomberos. </w:t>
      </w:r>
    </w:p>
    <w:p w14:paraId="4C762315" w14:textId="77777777" w:rsidR="007A22E9" w:rsidRPr="00E13479" w:rsidRDefault="007A22E9" w:rsidP="007A22E9">
      <w:pPr>
        <w:spacing w:line="360" w:lineRule="auto"/>
        <w:jc w:val="both"/>
        <w:rPr>
          <w:rFonts w:ascii="Palatino Linotype" w:eastAsia="Palatino Linotype" w:hAnsi="Palatino Linotype" w:cs="Palatino Linotype"/>
          <w:sz w:val="22"/>
          <w:szCs w:val="22"/>
        </w:rPr>
      </w:pPr>
    </w:p>
    <w:p w14:paraId="6B2CBC76" w14:textId="4BBCD2A7" w:rsidR="007A22E9" w:rsidRPr="00E13479" w:rsidRDefault="007A22E9" w:rsidP="007A22E9">
      <w:pPr>
        <w:spacing w:line="360" w:lineRule="auto"/>
        <w:jc w:val="both"/>
        <w:rPr>
          <w:rFonts w:ascii="Palatino Linotype" w:eastAsia="Palatino Linotype" w:hAnsi="Palatino Linotype" w:cs="Palatino Linotype"/>
          <w:sz w:val="22"/>
          <w:szCs w:val="22"/>
          <w:lang w:val="es-ES_tradnl"/>
        </w:rPr>
      </w:pPr>
      <w:r w:rsidRPr="00E13479">
        <w:rPr>
          <w:rFonts w:ascii="Palatino Linotype" w:eastAsia="Palatino Linotype" w:hAnsi="Palatino Linotype" w:cs="Palatino Linotype"/>
          <w:sz w:val="22"/>
          <w:szCs w:val="22"/>
        </w:rPr>
        <w:t>De esta manera, se desprende que la valoración de riesgo o dictamen de riesgo para el derribo, poda o trasplante de un árbol, es una documental emitida por la Dirección de Protección Civil y Bomberos</w:t>
      </w:r>
      <w:r w:rsidR="00F86950" w:rsidRPr="00E13479">
        <w:rPr>
          <w:rFonts w:ascii="Palatino Linotype" w:eastAsia="Palatino Linotype" w:hAnsi="Palatino Linotype" w:cs="Palatino Linotype"/>
          <w:sz w:val="22"/>
          <w:szCs w:val="22"/>
        </w:rPr>
        <w:t xml:space="preserve">; mientras que </w:t>
      </w:r>
      <w:r w:rsidRPr="00E13479">
        <w:rPr>
          <w:rFonts w:ascii="Palatino Linotype" w:eastAsia="Palatino Linotype" w:hAnsi="Palatino Linotype" w:cs="Palatino Linotype"/>
          <w:sz w:val="22"/>
          <w:szCs w:val="22"/>
        </w:rPr>
        <w:t xml:space="preserve">la </w:t>
      </w:r>
      <w:r w:rsidRPr="00E13479">
        <w:rPr>
          <w:rFonts w:ascii="Palatino Linotype" w:eastAsia="Palatino Linotype" w:hAnsi="Palatino Linotype" w:cs="Palatino Linotype"/>
          <w:sz w:val="22"/>
          <w:szCs w:val="22"/>
          <w:lang w:val="es-ES_tradnl"/>
        </w:rPr>
        <w:t>Dirección de Medio Ambiente y Ecología</w:t>
      </w:r>
      <w:r w:rsidR="00F86950" w:rsidRPr="00E13479">
        <w:rPr>
          <w:rFonts w:ascii="Palatino Linotype" w:eastAsia="Palatino Linotype" w:hAnsi="Palatino Linotype" w:cs="Palatino Linotype"/>
          <w:sz w:val="22"/>
          <w:szCs w:val="22"/>
          <w:lang w:val="es-ES_tradnl"/>
        </w:rPr>
        <w:t xml:space="preserve"> </w:t>
      </w:r>
      <w:r w:rsidRPr="00E13479">
        <w:rPr>
          <w:rFonts w:ascii="Palatino Linotype" w:eastAsia="Palatino Linotype" w:hAnsi="Palatino Linotype" w:cs="Palatino Linotype"/>
          <w:sz w:val="22"/>
          <w:szCs w:val="22"/>
          <w:lang w:val="es-ES_tradnl"/>
        </w:rPr>
        <w:t>emite una evaluación técnica.</w:t>
      </w:r>
    </w:p>
    <w:p w14:paraId="25EA3E97" w14:textId="77777777" w:rsidR="00F86950" w:rsidRPr="00E13479" w:rsidRDefault="00F86950" w:rsidP="007A22E9">
      <w:pPr>
        <w:spacing w:line="360" w:lineRule="auto"/>
        <w:jc w:val="both"/>
        <w:rPr>
          <w:rFonts w:ascii="Palatino Linotype" w:eastAsia="Palatino Linotype" w:hAnsi="Palatino Linotype" w:cs="Palatino Linotype"/>
          <w:sz w:val="22"/>
          <w:szCs w:val="22"/>
          <w:lang w:val="es-ES_tradnl"/>
        </w:rPr>
      </w:pPr>
    </w:p>
    <w:p w14:paraId="3A51805B" w14:textId="3EC6E185" w:rsidR="004A2D78" w:rsidRPr="00E13479" w:rsidRDefault="00F86950" w:rsidP="004A2D78">
      <w:pPr>
        <w:spacing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lang w:val="es-ES_tradnl"/>
        </w:rPr>
        <w:t>Establecido lo anterior,</w:t>
      </w:r>
      <w:r w:rsidR="004A2D78" w:rsidRPr="00E13479">
        <w:rPr>
          <w:rFonts w:ascii="Palatino Linotype" w:eastAsia="Palatino Linotype" w:hAnsi="Palatino Linotype" w:cs="Palatino Linotype"/>
          <w:sz w:val="22"/>
          <w:szCs w:val="22"/>
          <w:lang w:val="es-ES_tradnl"/>
        </w:rPr>
        <w:t xml:space="preserve"> el Titular de la Unidad de Transparencia turnó la solicitud a</w:t>
      </w:r>
      <w:r w:rsidR="004A2D78" w:rsidRPr="00E13479">
        <w:rPr>
          <w:rFonts w:ascii="Palatino Linotype" w:hAnsi="Palatino Linotype"/>
          <w:sz w:val="22"/>
          <w:szCs w:val="22"/>
        </w:rPr>
        <w:t xml:space="preserve"> la Dirección de Ecología y Medio Ambiente y el Director de Protección Civil y Bomberos. En consecuencia, se tiene que </w:t>
      </w:r>
      <w:r w:rsidR="004A2D78" w:rsidRPr="00E13479">
        <w:rPr>
          <w:rFonts w:ascii="Palatino Linotype" w:eastAsia="Palatino Linotype" w:hAnsi="Palatino Linotype" w:cs="Palatino Linotype"/>
          <w:sz w:val="22"/>
          <w:szCs w:val="22"/>
        </w:rPr>
        <w:t xml:space="preserve">siguió con ello el procedimiento para la atención a las solicitudes de acceso a la información, establecido en los artículos 151, 160, 162, 163, 164, 165 y 166, de la Ley de Transparencia y Acceso a la Información Pública del Estado de México y Municipios: </w:t>
      </w:r>
    </w:p>
    <w:p w14:paraId="63B60058" w14:textId="77777777" w:rsidR="004A2D78" w:rsidRPr="00E13479" w:rsidRDefault="004A2D78" w:rsidP="004A2D78">
      <w:pPr>
        <w:pBdr>
          <w:top w:val="nil"/>
          <w:left w:val="nil"/>
          <w:bottom w:val="nil"/>
          <w:right w:val="nil"/>
          <w:between w:val="nil"/>
        </w:pBdr>
        <w:spacing w:line="360" w:lineRule="auto"/>
        <w:ind w:right="-7"/>
        <w:jc w:val="both"/>
        <w:rPr>
          <w:rFonts w:ascii="Palatino Linotype" w:hAnsi="Palatino Linotype"/>
          <w:sz w:val="22"/>
          <w:szCs w:val="22"/>
        </w:rPr>
      </w:pPr>
    </w:p>
    <w:p w14:paraId="58380F47" w14:textId="77777777" w:rsidR="004A2D78" w:rsidRPr="00E13479" w:rsidRDefault="004A2D78" w:rsidP="004A2D78">
      <w:pPr>
        <w:spacing w:after="240" w:line="360" w:lineRule="auto"/>
        <w:ind w:left="284"/>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 Las Unidades de Transparencia de los sujetos obligados deben garantizar las medidas y condiciones de accesibilidad para que toda persona pueda ejercer el derecho de acceso a la información; por lo que, son las responsables de hacer las notificaciones correspondientes, además de llevar a cabo todas las gestiones necesarias para facilitar el acceso de la información; </w:t>
      </w:r>
    </w:p>
    <w:p w14:paraId="79AEF26D" w14:textId="77777777" w:rsidR="004A2D78" w:rsidRPr="00E13479" w:rsidRDefault="004A2D78" w:rsidP="004A2D78">
      <w:pPr>
        <w:spacing w:after="240" w:line="360" w:lineRule="auto"/>
        <w:ind w:left="284"/>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 La respuesta a los requerimientos informativos, deberá notificarse al interesado en el menor tiempo posible, que no podrá exceder de quince días hábiles, contados a partir del día siguiente a la presentación de esta.  </w:t>
      </w:r>
    </w:p>
    <w:p w14:paraId="4797456B" w14:textId="77777777" w:rsidR="004A2D78" w:rsidRPr="00E13479" w:rsidRDefault="004A2D78" w:rsidP="004A2D78">
      <w:pPr>
        <w:spacing w:after="240" w:line="360" w:lineRule="auto"/>
        <w:ind w:left="284"/>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Excepcionalmente, el plazo referido podrá ampliarse por siete días hábiles más, cuando existan razones fundadas y motivadas, a través del Comité de Transparencia; </w:t>
      </w:r>
    </w:p>
    <w:p w14:paraId="114F0399" w14:textId="77777777" w:rsidR="004A2D78" w:rsidRPr="00E13479" w:rsidRDefault="004A2D78" w:rsidP="004A2D78">
      <w:pPr>
        <w:spacing w:after="240" w:line="360" w:lineRule="auto"/>
        <w:ind w:left="284"/>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 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 </w:t>
      </w:r>
    </w:p>
    <w:p w14:paraId="1F49C360" w14:textId="77777777" w:rsidR="004A2D78" w:rsidRPr="00E13479" w:rsidRDefault="004A2D78" w:rsidP="004A2D78">
      <w:pPr>
        <w:spacing w:after="240" w:line="360" w:lineRule="auto"/>
        <w:ind w:left="284"/>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 El acceso se dará en la modalidad de entrega y en su caso, de envío elegido por la solicitante, cuando no pueda entregarse en dicha modalidad, el Sujeto Obligado deberá ofrecer otras; por lo cual, deberá fundar y motivar la necesidad de modificar el medio de entrega; y </w:t>
      </w:r>
    </w:p>
    <w:p w14:paraId="6BD8F597" w14:textId="77777777" w:rsidR="004A2D78" w:rsidRPr="00E13479" w:rsidRDefault="004A2D78" w:rsidP="004A2D78">
      <w:pPr>
        <w:spacing w:after="240" w:line="360" w:lineRule="auto"/>
        <w:ind w:left="284"/>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 Las Unidades de Transparencia, tendrán disponible la información requerida durante un plazo mínimo de sesenta días hábiles, contados a partir de que la solicitante hubiere realizado, en su caso, el pago respectivo, el cual deberá efectuarse en un plazo no mayor a treinta días hábiles; por lo que, una vez transcurrida dicha temporalidad, los Sujetos Obligados darán por concluida la solicitud y procederán de ser el caso, a la destrucción del material; </w:t>
      </w:r>
    </w:p>
    <w:p w14:paraId="7D529923" w14:textId="77777777" w:rsidR="004A2D78" w:rsidRPr="00E13479" w:rsidRDefault="004A2D78" w:rsidP="004A2D78">
      <w:pPr>
        <w:spacing w:line="360" w:lineRule="auto"/>
        <w:jc w:val="both"/>
        <w:rPr>
          <w:rFonts w:ascii="Palatino Linotype" w:hAnsi="Palatino Linotype"/>
          <w:sz w:val="22"/>
          <w:szCs w:val="22"/>
        </w:rPr>
      </w:pPr>
      <w:r w:rsidRPr="00E13479">
        <w:rPr>
          <w:rFonts w:ascii="Palatino Linotype" w:eastAsia="Palatino Linotype" w:hAnsi="Palatino Linotype" w:cs="Palatino Linotype"/>
          <w:sz w:val="22"/>
          <w:szCs w:val="22"/>
        </w:rPr>
        <w:t xml:space="preserve">En este orden de ideas, se reitera que al turnar la solicitud </w:t>
      </w:r>
      <w:r w:rsidRPr="00E13479">
        <w:rPr>
          <w:rFonts w:ascii="Palatino Linotype" w:hAnsi="Palatino Linotype"/>
          <w:sz w:val="22"/>
          <w:szCs w:val="22"/>
        </w:rPr>
        <w:t>a la Unidad Administrativa referida, se acreditó la correcta búsqueda exhaustiva y razonable de la información.</w:t>
      </w:r>
    </w:p>
    <w:p w14:paraId="6EC68F1E" w14:textId="77777777" w:rsidR="004A2D78" w:rsidRPr="00E13479" w:rsidRDefault="004A2D78" w:rsidP="004A2D78">
      <w:pPr>
        <w:spacing w:line="360" w:lineRule="auto"/>
        <w:jc w:val="both"/>
        <w:rPr>
          <w:rFonts w:ascii="Palatino Linotype" w:hAnsi="Palatino Linotype"/>
          <w:sz w:val="22"/>
          <w:szCs w:val="22"/>
        </w:rPr>
      </w:pPr>
    </w:p>
    <w:p w14:paraId="526D7001" w14:textId="7C75746B" w:rsidR="004A2D78" w:rsidRPr="00E13479" w:rsidRDefault="004A2D78" w:rsidP="004A2D78">
      <w:pPr>
        <w:spacing w:line="360" w:lineRule="auto"/>
        <w:jc w:val="both"/>
        <w:rPr>
          <w:rFonts w:ascii="Palatino Linotype" w:hAnsi="Palatino Linotype"/>
          <w:sz w:val="22"/>
          <w:szCs w:val="22"/>
        </w:rPr>
      </w:pPr>
      <w:r w:rsidRPr="00E13479">
        <w:rPr>
          <w:rFonts w:ascii="Palatino Linotype" w:hAnsi="Palatino Linotype"/>
          <w:sz w:val="22"/>
          <w:szCs w:val="22"/>
        </w:rPr>
        <w:t>Es así que, el Sujeto Obligado a través de su respuesta entregó la siguiente información:</w:t>
      </w:r>
    </w:p>
    <w:p w14:paraId="4100359E" w14:textId="77777777" w:rsidR="004A2D78" w:rsidRPr="00E13479" w:rsidRDefault="004A2D78" w:rsidP="004A2D78">
      <w:pPr>
        <w:spacing w:line="360" w:lineRule="auto"/>
        <w:jc w:val="both"/>
        <w:rPr>
          <w:rFonts w:ascii="Palatino Linotype" w:hAnsi="Palatino Linotype"/>
          <w:sz w:val="22"/>
          <w:szCs w:val="22"/>
        </w:rPr>
      </w:pPr>
    </w:p>
    <w:p w14:paraId="2F5015FB" w14:textId="77777777" w:rsidR="004A2D78" w:rsidRPr="00E13479" w:rsidRDefault="004A2D78" w:rsidP="004A2D78">
      <w:pPr>
        <w:pStyle w:val="Prrafodelista"/>
        <w:widowControl w:val="0"/>
        <w:numPr>
          <w:ilvl w:val="0"/>
          <w:numId w:val="45"/>
        </w:numPr>
        <w:spacing w:line="360" w:lineRule="auto"/>
        <w:ind w:left="709" w:hanging="425"/>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709 Valoraciones de riesgo;</w:t>
      </w:r>
    </w:p>
    <w:p w14:paraId="2E67F87B" w14:textId="77777777" w:rsidR="004A2D78" w:rsidRPr="00E13479" w:rsidRDefault="004A2D78" w:rsidP="004A2D78">
      <w:pPr>
        <w:pStyle w:val="Prrafodelista"/>
        <w:widowControl w:val="0"/>
        <w:numPr>
          <w:ilvl w:val="0"/>
          <w:numId w:val="45"/>
        </w:numPr>
        <w:spacing w:line="360" w:lineRule="auto"/>
        <w:ind w:left="709" w:hanging="425"/>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889 Dictámenes Técnicos (Mismos que han sido ejecutados por la Dirección de Protección Civil y Bomberos)</w:t>
      </w:r>
    </w:p>
    <w:p w14:paraId="2D10A561" w14:textId="77777777" w:rsidR="007A22E9" w:rsidRPr="00E13479" w:rsidRDefault="007A22E9" w:rsidP="00BB7C63">
      <w:pPr>
        <w:tabs>
          <w:tab w:val="left" w:pos="993"/>
        </w:tabs>
        <w:spacing w:line="360" w:lineRule="auto"/>
        <w:ind w:right="-28"/>
        <w:jc w:val="both"/>
        <w:rPr>
          <w:rFonts w:ascii="Palatino Linotype" w:eastAsia="Palatino Linotype" w:hAnsi="Palatino Linotype" w:cs="Palatino Linotype"/>
          <w:sz w:val="22"/>
          <w:szCs w:val="22"/>
        </w:rPr>
      </w:pPr>
    </w:p>
    <w:p w14:paraId="72A5489C" w14:textId="77777777" w:rsidR="007A22E9" w:rsidRPr="00E13479" w:rsidRDefault="007A22E9" w:rsidP="00BB7C63">
      <w:pPr>
        <w:tabs>
          <w:tab w:val="left" w:pos="993"/>
        </w:tabs>
        <w:spacing w:line="360" w:lineRule="auto"/>
        <w:ind w:right="-28"/>
        <w:jc w:val="both"/>
        <w:rPr>
          <w:rFonts w:ascii="Palatino Linotype" w:eastAsia="Palatino Linotype" w:hAnsi="Palatino Linotype" w:cs="Palatino Linotype"/>
          <w:sz w:val="22"/>
          <w:szCs w:val="22"/>
        </w:rPr>
      </w:pPr>
    </w:p>
    <w:p w14:paraId="3A94D0BD" w14:textId="6F797C06" w:rsidR="00662196" w:rsidRPr="00E13479" w:rsidRDefault="00662196" w:rsidP="00F330F8">
      <w:pPr>
        <w:spacing w:line="360" w:lineRule="auto"/>
        <w:ind w:right="49"/>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Entonces, al haber existido un pronunciamiento por parte de la unidad administrativa competente para generar, administrar y poseer la información requerida se tiene que satisface los requerimientos del particular.</w:t>
      </w:r>
    </w:p>
    <w:p w14:paraId="47DC781F" w14:textId="77777777" w:rsidR="00662196" w:rsidRPr="00E13479" w:rsidRDefault="00662196" w:rsidP="00F330F8">
      <w:pPr>
        <w:spacing w:line="360" w:lineRule="auto"/>
        <w:ind w:right="49"/>
        <w:jc w:val="both"/>
        <w:rPr>
          <w:rFonts w:ascii="Palatino Linotype" w:eastAsia="Palatino Linotype" w:hAnsi="Palatino Linotype" w:cs="Palatino Linotype"/>
          <w:sz w:val="22"/>
          <w:szCs w:val="22"/>
        </w:rPr>
      </w:pPr>
    </w:p>
    <w:p w14:paraId="2EDD3CF3" w14:textId="77777777" w:rsidR="00F330F8" w:rsidRPr="00E13479" w:rsidRDefault="00F330F8" w:rsidP="00F330F8">
      <w:pPr>
        <w:spacing w:line="360" w:lineRule="auto"/>
        <w:ind w:right="49"/>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De ello, resulta necesario traer a colación lo que establece el Criterio orientador 31/10 emitido por el entonces  Instituto Nacional de Transparencia, Acceso a la Información y Protección de Datos Personales que señala lo siguiente: </w:t>
      </w:r>
    </w:p>
    <w:p w14:paraId="7877F9DC" w14:textId="77777777" w:rsidR="00F330F8" w:rsidRPr="00E13479" w:rsidRDefault="00F330F8" w:rsidP="00F330F8">
      <w:pPr>
        <w:spacing w:line="360" w:lineRule="auto"/>
        <w:ind w:right="49"/>
        <w:jc w:val="both"/>
        <w:rPr>
          <w:rFonts w:ascii="Palatino Linotype" w:eastAsia="Palatino Linotype" w:hAnsi="Palatino Linotype" w:cs="Palatino Linotype"/>
          <w:sz w:val="22"/>
          <w:szCs w:val="22"/>
        </w:rPr>
      </w:pPr>
    </w:p>
    <w:p w14:paraId="2DB966FB" w14:textId="77777777" w:rsidR="00F330F8" w:rsidRPr="00E13479" w:rsidRDefault="00F330F8" w:rsidP="00F330F8">
      <w:pPr>
        <w:spacing w:line="360" w:lineRule="auto"/>
        <w:ind w:left="851" w:right="843"/>
        <w:jc w:val="both"/>
        <w:rPr>
          <w:rFonts w:ascii="Palatino Linotype" w:hAnsi="Palatino Linotype" w:cs="Arial"/>
          <w:i/>
          <w:sz w:val="22"/>
          <w:szCs w:val="22"/>
        </w:rPr>
      </w:pPr>
      <w:r w:rsidRPr="00E13479">
        <w:rPr>
          <w:rFonts w:ascii="Palatino Linotype" w:hAnsi="Palatino Linotype" w:cs="Arial"/>
          <w:b/>
          <w:i/>
          <w:sz w:val="22"/>
          <w:szCs w:val="22"/>
        </w:rPr>
        <w:t xml:space="preserve">El Instituto Federal de Acceso a la Información y Protección de Datos no cuenta con facultades para pronunciarse respecto de la veracidad de los documentos proporcionados por los sujetos obligados. </w:t>
      </w:r>
      <w:r w:rsidRPr="00E13479">
        <w:rPr>
          <w:rFonts w:ascii="Palatino Linotype" w:hAnsi="Palatino Linotype" w:cs="Arial"/>
          <w:i/>
          <w:sz w:val="22"/>
          <w:szCs w:val="22"/>
        </w:rPr>
        <w:t>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3CB080FA" w14:textId="77777777" w:rsidR="00F330F8" w:rsidRPr="00E13479" w:rsidRDefault="00F330F8" w:rsidP="00F330F8">
      <w:pPr>
        <w:spacing w:line="360" w:lineRule="auto"/>
        <w:ind w:right="49"/>
        <w:jc w:val="both"/>
        <w:rPr>
          <w:rFonts w:ascii="Palatino Linotype" w:eastAsia="Palatino Linotype" w:hAnsi="Palatino Linotype" w:cs="Palatino Linotype"/>
          <w:sz w:val="22"/>
          <w:szCs w:val="22"/>
        </w:rPr>
      </w:pPr>
    </w:p>
    <w:p w14:paraId="5A50CFD5" w14:textId="77777777" w:rsidR="00F330F8" w:rsidRPr="00E13479" w:rsidRDefault="00F330F8" w:rsidP="00F330F8">
      <w:pPr>
        <w:spacing w:line="360" w:lineRule="auto"/>
        <w:ind w:right="49"/>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Es así que, este Organismo Garante no cuenta con facultades para pronunciarse de la veracidad de la información que los sujetos obligados ponen a disposición de los particulares, aunado a ello, de conformidad con el artículo 12 de la Ley de Transparencia y Acceso a la Información Pública del Estado de México y Municipios, los sujetos obligados únicamente proporcionarán la información que se les requiera, tal como obren en sus archivos. </w:t>
      </w:r>
    </w:p>
    <w:p w14:paraId="2297F7B4" w14:textId="77777777" w:rsidR="00662196" w:rsidRPr="00E13479" w:rsidRDefault="00662196" w:rsidP="00F330F8">
      <w:pPr>
        <w:spacing w:line="360" w:lineRule="auto"/>
        <w:ind w:right="49"/>
        <w:jc w:val="both"/>
        <w:rPr>
          <w:rFonts w:ascii="Palatino Linotype" w:eastAsia="Palatino Linotype" w:hAnsi="Palatino Linotype" w:cs="Palatino Linotype"/>
          <w:sz w:val="22"/>
          <w:szCs w:val="22"/>
        </w:rPr>
      </w:pPr>
    </w:p>
    <w:p w14:paraId="3B06823E" w14:textId="327126FF" w:rsidR="00662196" w:rsidRPr="00E13479" w:rsidRDefault="00662196" w:rsidP="00F330F8">
      <w:pPr>
        <w:spacing w:line="360" w:lineRule="auto"/>
        <w:ind w:right="49"/>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Entonces, al haber proporcionado la información estadística requerida, es que se colmaron lo</w:t>
      </w:r>
      <w:r w:rsidR="00FD2A8A" w:rsidRPr="00E13479">
        <w:rPr>
          <w:rFonts w:ascii="Palatino Linotype" w:eastAsia="Palatino Linotype" w:hAnsi="Palatino Linotype" w:cs="Palatino Linotype"/>
          <w:sz w:val="22"/>
          <w:szCs w:val="22"/>
        </w:rPr>
        <w:t xml:space="preserve">s requerimientos del particular. </w:t>
      </w:r>
      <w:r w:rsidR="003725E2" w:rsidRPr="00E13479">
        <w:rPr>
          <w:rFonts w:ascii="Palatino Linotype" w:eastAsia="Palatino Linotype" w:hAnsi="Palatino Linotype" w:cs="Palatino Linotype"/>
          <w:sz w:val="22"/>
          <w:szCs w:val="22"/>
        </w:rPr>
        <w:t>No obstante</w:t>
      </w:r>
      <w:r w:rsidR="00FD2A8A" w:rsidRPr="00E13479">
        <w:rPr>
          <w:rFonts w:ascii="Palatino Linotype" w:eastAsia="Palatino Linotype" w:hAnsi="Palatino Linotype" w:cs="Palatino Linotype"/>
          <w:sz w:val="22"/>
          <w:szCs w:val="22"/>
        </w:rPr>
        <w:t xml:space="preserve">, es de enfatizar que el Recurrente únicamente solicitó el número de </w:t>
      </w:r>
      <w:r w:rsidR="003725E2" w:rsidRPr="00E13479">
        <w:rPr>
          <w:rFonts w:ascii="Palatino Linotype" w:eastAsia="Palatino Linotype" w:hAnsi="Palatino Linotype" w:cs="Palatino Linotype"/>
          <w:sz w:val="22"/>
          <w:szCs w:val="22"/>
        </w:rPr>
        <w:t>dictámenes técnicos y valoraciones</w:t>
      </w:r>
      <w:r w:rsidR="0095650A" w:rsidRPr="00E13479">
        <w:rPr>
          <w:rFonts w:ascii="Palatino Linotype" w:eastAsia="Palatino Linotype" w:hAnsi="Palatino Linotype" w:cs="Palatino Linotype"/>
          <w:sz w:val="22"/>
          <w:szCs w:val="22"/>
        </w:rPr>
        <w:t>, lo cual, como se ha mencionado si fue proporcionado por el Sujeto Obligado</w:t>
      </w:r>
      <w:r w:rsidR="003725E2" w:rsidRPr="00E13479">
        <w:rPr>
          <w:rFonts w:ascii="Palatino Linotype" w:eastAsia="Palatino Linotype" w:hAnsi="Palatino Linotype" w:cs="Palatino Linotype"/>
          <w:sz w:val="22"/>
          <w:szCs w:val="22"/>
        </w:rPr>
        <w:t>; sin embargo, el motivo de inconformidad va encaminado a la entrega de información incompleta, señalando que se encontró un oficio duplicado, solicitando que sea revisada la respuesta</w:t>
      </w:r>
      <w:r w:rsidR="0095650A" w:rsidRPr="00E13479">
        <w:rPr>
          <w:rFonts w:ascii="Palatino Linotype" w:eastAsia="Palatino Linotype" w:hAnsi="Palatino Linotype" w:cs="Palatino Linotype"/>
          <w:sz w:val="22"/>
          <w:szCs w:val="22"/>
        </w:rPr>
        <w:t>. Como se advierte, el Recurrente se inconformó por las valoraciones de riesgo proporcionadas; sin embargo, estas no forman parte del requerimiento inicial.</w:t>
      </w:r>
    </w:p>
    <w:p w14:paraId="46BD409B" w14:textId="0EB7B8F6" w:rsidR="00CD5A95" w:rsidRPr="00E13479" w:rsidRDefault="00B04973" w:rsidP="00B04973">
      <w:pPr>
        <w:spacing w:before="240" w:after="240"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Sin embargo, es de suma importancia mencionar que no es posible confirmar la respuesta proporcionada en virtud de que derivado del análisis efectuado en el soporte documental entregado en respuesta, se advirtió que el Sujeto Obligado no solo emitió información estadística, sino que también proporcionó diversas valoraciones de riesgo, que a pesar de que es información que n</w:t>
      </w:r>
      <w:r w:rsidR="00CD5A95" w:rsidRPr="00E13479">
        <w:rPr>
          <w:rFonts w:ascii="Palatino Linotype" w:eastAsia="Palatino Linotype" w:hAnsi="Palatino Linotype" w:cs="Palatino Linotype"/>
          <w:sz w:val="22"/>
          <w:szCs w:val="22"/>
        </w:rPr>
        <w:t xml:space="preserve">o corresponde con lo solicitado, </w:t>
      </w:r>
      <w:r w:rsidR="0095650A" w:rsidRPr="00E13479">
        <w:rPr>
          <w:rFonts w:ascii="Palatino Linotype" w:eastAsia="Palatino Linotype" w:hAnsi="Palatino Linotype" w:cs="Palatino Linotype"/>
          <w:sz w:val="22"/>
          <w:szCs w:val="22"/>
        </w:rPr>
        <w:t>se dejaron a la vista datos personales.</w:t>
      </w:r>
    </w:p>
    <w:p w14:paraId="4392257B" w14:textId="7C406ED3" w:rsidR="00B04973" w:rsidRPr="00E13479" w:rsidRDefault="00A5306B" w:rsidP="00B04973">
      <w:pPr>
        <w:spacing w:before="240" w:after="240" w:line="360" w:lineRule="auto"/>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Además, a través de los documentos proporcionados se dejaron a la vista datos personales como domicilios y nombres de particulares</w:t>
      </w:r>
      <w:r w:rsidR="00B04973" w:rsidRPr="00E13479">
        <w:rPr>
          <w:rFonts w:ascii="Palatino Linotype" w:eastAsia="Palatino Linotype" w:hAnsi="Palatino Linotype" w:cs="Palatino Linotype"/>
          <w:sz w:val="22"/>
          <w:szCs w:val="22"/>
        </w:rPr>
        <w:t>, por consiguiente dicho</w:t>
      </w:r>
      <w:r w:rsidR="0095650A" w:rsidRPr="00E13479">
        <w:rPr>
          <w:rFonts w:ascii="Palatino Linotype" w:eastAsia="Palatino Linotype" w:hAnsi="Palatino Linotype" w:cs="Palatino Linotype"/>
          <w:sz w:val="22"/>
          <w:szCs w:val="22"/>
        </w:rPr>
        <w:t>s</w:t>
      </w:r>
      <w:r w:rsidR="00B04973" w:rsidRPr="00E13479">
        <w:rPr>
          <w:rFonts w:ascii="Palatino Linotype" w:eastAsia="Palatino Linotype" w:hAnsi="Palatino Linotype" w:cs="Palatino Linotype"/>
          <w:sz w:val="22"/>
          <w:szCs w:val="22"/>
        </w:rPr>
        <w:t xml:space="preserve"> dato</w:t>
      </w:r>
      <w:r w:rsidR="0095650A" w:rsidRPr="00E13479">
        <w:rPr>
          <w:rFonts w:ascii="Palatino Linotype" w:eastAsia="Palatino Linotype" w:hAnsi="Palatino Linotype" w:cs="Palatino Linotype"/>
          <w:sz w:val="22"/>
          <w:szCs w:val="22"/>
        </w:rPr>
        <w:t>s debieron</w:t>
      </w:r>
      <w:r w:rsidR="00B04973" w:rsidRPr="00E13479">
        <w:rPr>
          <w:rFonts w:ascii="Palatino Linotype" w:eastAsia="Palatino Linotype" w:hAnsi="Palatino Linotype" w:cs="Palatino Linotype"/>
          <w:sz w:val="22"/>
          <w:szCs w:val="22"/>
        </w:rPr>
        <w:t xml:space="preserve"> protegerse,  en consecuencia </w:t>
      </w:r>
      <w:r w:rsidR="00B04973" w:rsidRPr="00E13479">
        <w:rPr>
          <w:rFonts w:ascii="Palatino Linotype" w:hAnsi="Palatino Linotype"/>
          <w:sz w:val="22"/>
          <w:szCs w:val="22"/>
        </w:rPr>
        <w:t xml:space="preserve">resulta procedente dar vista al Titular de la Dirección General de Protección de Datos Personales de este Órgano, </w:t>
      </w:r>
      <w:r w:rsidR="00B04973" w:rsidRPr="00E13479">
        <w:rPr>
          <w:rFonts w:ascii="Palatino Linotype" w:eastAsiaTheme="minorHAnsi" w:hAnsi="Palatino Linotype" w:cs="Arial"/>
          <w:sz w:val="22"/>
          <w:szCs w:val="22"/>
          <w:lang w:val="es-ES_tradnl" w:eastAsia="en-US"/>
        </w:rPr>
        <w:t xml:space="preserve">con fundamento en el artículo 82, fracción XXVII de la Ley de Protección de Datos Personales del Estado de México y Municipios, </w:t>
      </w:r>
      <w:r w:rsidR="00B04973" w:rsidRPr="00E13479">
        <w:rPr>
          <w:rFonts w:ascii="Palatino Linotype" w:hAnsi="Palatino Linotype"/>
          <w:sz w:val="22"/>
          <w:szCs w:val="22"/>
        </w:rPr>
        <w:t xml:space="preserve">para que en ejercicio de sus atribuciones contenidas en el numeral 24, fracciones V, XI, XII y XIII del Reglamento Interior del Instituto de Transparencia, Acceso a la Información Pública y Protección de Datos Personales del Estado de México y Municipios, investigue y sanciones las posibles omisiones en las que el </w:t>
      </w:r>
      <w:r w:rsidR="00B04973" w:rsidRPr="00E13479">
        <w:rPr>
          <w:rFonts w:ascii="Palatino Linotype" w:hAnsi="Palatino Linotype"/>
          <w:b/>
          <w:sz w:val="22"/>
          <w:szCs w:val="22"/>
        </w:rPr>
        <w:t>Sujeto Obligado</w:t>
      </w:r>
      <w:r w:rsidR="00B04973" w:rsidRPr="00E13479">
        <w:rPr>
          <w:rFonts w:ascii="Palatino Linotype" w:hAnsi="Palatino Linotype"/>
          <w:sz w:val="22"/>
          <w:szCs w:val="22"/>
        </w:rPr>
        <w:t xml:space="preserve"> pudo haber incurrido por el incumplimiento a las obligaciones previstas en la Ley de Protección de Datos Personales en Posesión de Sujetos Obligados del Estado de México y Municipios y, las demás disposiciones jurídicas aplicables en la materia; en caso de acreditarse las mismas, lo deberá hacer del conocimiento del Órgano de Control Interno del </w:t>
      </w:r>
      <w:r w:rsidR="00B04973" w:rsidRPr="00E13479">
        <w:rPr>
          <w:rFonts w:ascii="Palatino Linotype" w:hAnsi="Palatino Linotype"/>
          <w:b/>
          <w:sz w:val="22"/>
          <w:szCs w:val="22"/>
        </w:rPr>
        <w:t>Sujeto Obligado</w:t>
      </w:r>
      <w:r w:rsidR="00B04973" w:rsidRPr="00E13479">
        <w:rPr>
          <w:rFonts w:ascii="Palatino Linotype" w:hAnsi="Palatino Linotype"/>
          <w:sz w:val="22"/>
          <w:szCs w:val="22"/>
        </w:rPr>
        <w:t xml:space="preserve"> para que este determine lo que conforme derecho corresponda, cuyo resultado deberá ser informado a este Instituto.</w:t>
      </w:r>
    </w:p>
    <w:p w14:paraId="58B4A91D" w14:textId="11AD5B5A" w:rsidR="00B04973" w:rsidRPr="00E13479" w:rsidRDefault="00B04973" w:rsidP="00B04973">
      <w:pPr>
        <w:tabs>
          <w:tab w:val="left" w:pos="3544"/>
        </w:tabs>
        <w:spacing w:before="240" w:after="240" w:line="360" w:lineRule="auto"/>
        <w:ind w:right="49"/>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Bajo esta línea de pensamiento, en el presente asunto se actualiza la causal de sobreseimiento prevista en el artículo 192, fracción V de la Ley de Transparencia y Acceso a la Información Pública del Estado de México y Municipios, misma que establece que el recurso será sobreseído cuando por cualquier causa quede sin materia, ello en atención a que el presente asunto se inició bajo el motivo de inconformidad, que describe que </w:t>
      </w:r>
      <w:r w:rsidR="00A5306B" w:rsidRPr="00E13479">
        <w:rPr>
          <w:rFonts w:ascii="Palatino Linotype" w:eastAsia="Palatino Linotype" w:hAnsi="Palatino Linotype" w:cs="Palatino Linotype"/>
          <w:sz w:val="22"/>
          <w:szCs w:val="22"/>
        </w:rPr>
        <w:t>no se tiene certeza de que la información entregada sea correcta</w:t>
      </w:r>
      <w:r w:rsidRPr="00E13479">
        <w:rPr>
          <w:rFonts w:ascii="Palatino Linotype" w:eastAsia="Palatino Linotype" w:hAnsi="Palatino Linotype" w:cs="Palatino Linotype"/>
          <w:sz w:val="22"/>
          <w:szCs w:val="22"/>
        </w:rPr>
        <w:t xml:space="preserve">, lo cual resulta infundado pues en análisis a la respuesta, la información entregada si coincide con lo solicitado, y la </w:t>
      </w:r>
      <w:r w:rsidR="00A5306B" w:rsidRPr="00E13479">
        <w:rPr>
          <w:rFonts w:ascii="Palatino Linotype" w:eastAsia="Palatino Linotype" w:hAnsi="Palatino Linotype" w:cs="Palatino Linotype"/>
          <w:sz w:val="22"/>
          <w:szCs w:val="22"/>
        </w:rPr>
        <w:t>entrega de información incompleta versa sobre información que no fue requerida</w:t>
      </w:r>
      <w:r w:rsidRPr="00E13479">
        <w:rPr>
          <w:rFonts w:ascii="Palatino Linotype" w:eastAsia="Palatino Linotype" w:hAnsi="Palatino Linotype" w:cs="Palatino Linotype"/>
          <w:sz w:val="22"/>
          <w:szCs w:val="22"/>
        </w:rPr>
        <w:t xml:space="preserve">; por tanto, es pertinente </w:t>
      </w:r>
      <w:r w:rsidRPr="00E13479">
        <w:rPr>
          <w:rFonts w:ascii="Palatino Linotype" w:eastAsia="Palatino Linotype" w:hAnsi="Palatino Linotype" w:cs="Palatino Linotype"/>
          <w:i/>
          <w:sz w:val="22"/>
          <w:szCs w:val="22"/>
        </w:rPr>
        <w:t>Sobreseer</w:t>
      </w:r>
      <w:r w:rsidRPr="00E13479">
        <w:rPr>
          <w:rFonts w:ascii="Palatino Linotype" w:eastAsia="Palatino Linotype" w:hAnsi="Palatino Linotype" w:cs="Palatino Linotype"/>
          <w:b/>
          <w:sz w:val="22"/>
          <w:szCs w:val="22"/>
        </w:rPr>
        <w:t xml:space="preserve"> </w:t>
      </w:r>
      <w:r w:rsidRPr="00E13479">
        <w:rPr>
          <w:rFonts w:ascii="Palatino Linotype" w:eastAsia="Palatino Linotype" w:hAnsi="Palatino Linotype" w:cs="Palatino Linotype"/>
          <w:sz w:val="22"/>
          <w:szCs w:val="22"/>
        </w:rPr>
        <w:t>el presente recurso de revisión, en atención a que el medio de impugnación quedó sin materia, ya que el motivo de inconformidad resultó infundados y desvirtuado.</w:t>
      </w:r>
    </w:p>
    <w:p w14:paraId="5542A214" w14:textId="77777777" w:rsidR="00A5306B" w:rsidRPr="00E13479" w:rsidRDefault="00A5306B" w:rsidP="00A5306B">
      <w:pPr>
        <w:tabs>
          <w:tab w:val="left" w:pos="3544"/>
        </w:tabs>
        <w:spacing w:before="240" w:after="240" w:line="360" w:lineRule="auto"/>
        <w:ind w:right="49"/>
        <w:jc w:val="both"/>
        <w:rPr>
          <w:rFonts w:ascii="Palatino Linotype" w:eastAsia="Palatino Linotype" w:hAnsi="Palatino Linotype" w:cs="Palatino Linotype"/>
        </w:rPr>
      </w:pPr>
      <w:r w:rsidRPr="00E13479">
        <w:rPr>
          <w:rFonts w:ascii="Palatino Linotype" w:eastAsia="Palatino Linotype" w:hAnsi="Palatino Linotype" w:cs="Palatino Linotype"/>
        </w:rPr>
        <w:t xml:space="preserve">Bajo esta línea de pensamiento, en el presente asunto se actualiza la causal de sobreseimiento prevista en el artículo 192, fracción V de la Ley de Transparencia y Acceso a la Información Pública del Estado de México y Municipios, misma que establece que el recurso será sobreseído cuando por cualquier causa quede sin materia, ello en atención a que el presente asunto se inició bajo el motivo de inconformidad, que describe que la información entregada no corresponde con lo solicitado, asimismo que se clasificó información en los documentos entregados,  lo cual resulta infundado pues en análisis a la respuesta, la información entregada si coincide con lo solicitado, y la clasificación parcial se encuentra justificada; por tanto, es pertinente </w:t>
      </w:r>
      <w:r w:rsidRPr="00E13479">
        <w:rPr>
          <w:rFonts w:ascii="Palatino Linotype" w:eastAsia="Palatino Linotype" w:hAnsi="Palatino Linotype" w:cs="Palatino Linotype"/>
          <w:i/>
        </w:rPr>
        <w:t>Sobreseer</w:t>
      </w:r>
      <w:r w:rsidRPr="00E13479">
        <w:rPr>
          <w:rFonts w:ascii="Palatino Linotype" w:eastAsia="Palatino Linotype" w:hAnsi="Palatino Linotype" w:cs="Palatino Linotype"/>
          <w:b/>
        </w:rPr>
        <w:t xml:space="preserve"> </w:t>
      </w:r>
      <w:r w:rsidRPr="00E13479">
        <w:rPr>
          <w:rFonts w:ascii="Palatino Linotype" w:eastAsia="Palatino Linotype" w:hAnsi="Palatino Linotype" w:cs="Palatino Linotype"/>
        </w:rPr>
        <w:t>el presente recurso de revisión, en atención a que el medio de impugnación quedó sin materia, ya que el motivo de inconformidad resultó infundados y desvirtuado.</w:t>
      </w:r>
    </w:p>
    <w:p w14:paraId="76C3BE7C" w14:textId="77777777" w:rsidR="00A901FB" w:rsidRPr="00E13479" w:rsidRDefault="00A901FB" w:rsidP="00A901FB">
      <w:pPr>
        <w:spacing w:line="360" w:lineRule="auto"/>
        <w:jc w:val="both"/>
        <w:rPr>
          <w:rFonts w:ascii="Palatino Linotype" w:hAnsi="Palatino Linotype"/>
          <w:lang w:val="es-ES" w:eastAsia="es-ES_tradnl"/>
        </w:rPr>
      </w:pPr>
      <w:r w:rsidRPr="00E13479">
        <w:rPr>
          <w:rFonts w:ascii="Palatino Linotype" w:hAnsi="Palatino Linotype"/>
          <w:lang w:val="es-ES" w:eastAsia="es-ES_tradnl"/>
        </w:rPr>
        <w:t xml:space="preserve">Siendo el </w:t>
      </w:r>
      <w:r w:rsidRPr="00E13479">
        <w:rPr>
          <w:rFonts w:ascii="Palatino Linotype" w:hAnsi="Palatino Linotype"/>
          <w:b/>
          <w:bCs/>
          <w:i/>
          <w:iCs/>
          <w:lang w:val="es-ES" w:eastAsia="es-ES_tradnl"/>
        </w:rPr>
        <w:t>sobreseimiento</w:t>
      </w:r>
      <w:r w:rsidRPr="00E13479">
        <w:rPr>
          <w:rFonts w:ascii="Palatino Linotype" w:hAnsi="Palatino Linotype"/>
          <w:b/>
          <w:bCs/>
          <w:lang w:val="es-ES" w:eastAsia="es-ES_tradnl"/>
        </w:rPr>
        <w:t xml:space="preserve"> </w:t>
      </w:r>
      <w:r w:rsidRPr="00E13479">
        <w:rPr>
          <w:rFonts w:ascii="Palatino Linotype" w:hAnsi="Palatino Linotype"/>
          <w:lang w:val="es-ES" w:eastAsia="es-ES_tradnl"/>
        </w:rPr>
        <w:t>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14:paraId="4E6F9B8C" w14:textId="77777777" w:rsidR="00A901FB" w:rsidRPr="00E13479" w:rsidRDefault="00A901FB" w:rsidP="00A901FB">
      <w:pPr>
        <w:spacing w:line="360" w:lineRule="auto"/>
        <w:rPr>
          <w:rFonts w:ascii="Palatino Linotype" w:hAnsi="Palatino Linotype"/>
          <w:lang w:val="es-ES" w:eastAsia="es-ES_tradnl"/>
        </w:rPr>
      </w:pPr>
    </w:p>
    <w:p w14:paraId="2AAF377B" w14:textId="77777777" w:rsidR="00A901FB" w:rsidRPr="00E13479" w:rsidRDefault="00A901FB" w:rsidP="00A901FB">
      <w:pPr>
        <w:ind w:left="567" w:right="902"/>
        <w:jc w:val="both"/>
        <w:rPr>
          <w:rFonts w:ascii="Palatino Linotype" w:hAnsi="Palatino Linotype"/>
          <w:lang w:val="es-ES" w:eastAsia="es-ES_tradnl"/>
        </w:rPr>
      </w:pPr>
      <w:r w:rsidRPr="00E13479">
        <w:rPr>
          <w:rFonts w:ascii="Palatino Linotype" w:hAnsi="Palatino Linotype"/>
          <w:i/>
          <w:iCs/>
          <w:lang w:val="es-ES" w:eastAsia="es-ES_tradnl"/>
        </w:rPr>
        <w:t>“</w:t>
      </w:r>
      <w:r w:rsidRPr="00E13479">
        <w:rPr>
          <w:rFonts w:ascii="Palatino Linotype" w:hAnsi="Palatino Linotype"/>
          <w:b/>
          <w:bCs/>
          <w:i/>
          <w:iCs/>
          <w:lang w:val="es-ES" w:eastAsia="es-ES_tradnl"/>
        </w:rPr>
        <w:t xml:space="preserve">SOBRESEIMIENTO, NO PERMITE ENTRAR AL ESTUDIO DE LAS CUESTIONES DE FONDO. </w:t>
      </w:r>
      <w:r w:rsidRPr="00E13479">
        <w:rPr>
          <w:rFonts w:ascii="Palatino Linotype" w:hAnsi="Palatino Linotype"/>
          <w:i/>
          <w:iCs/>
          <w:lang w:val="es-ES" w:eastAsia="es-ES_tradnl"/>
        </w:rPr>
        <w:t>No causa agravio la sentencia que no se ocupa de los razonamientos tendientes a demostrar la inconstitucionalidad de los actos reclamados de las autoridades responsables, que constituyen el problema de fondo, si se decreta el sobreseimiento del juicio.” </w:t>
      </w:r>
    </w:p>
    <w:p w14:paraId="1EF0398F" w14:textId="77777777" w:rsidR="00A901FB" w:rsidRPr="00E13479" w:rsidRDefault="00A901FB" w:rsidP="00A901FB">
      <w:pPr>
        <w:spacing w:line="360" w:lineRule="auto"/>
        <w:rPr>
          <w:rFonts w:ascii="Palatino Linotype" w:hAnsi="Palatino Linotype"/>
          <w:lang w:val="es-ES" w:eastAsia="es-ES_tradnl"/>
        </w:rPr>
      </w:pPr>
    </w:p>
    <w:p w14:paraId="00DCEE8E" w14:textId="77777777" w:rsidR="00A901FB" w:rsidRPr="00E13479" w:rsidRDefault="00A901FB" w:rsidP="00A901FB">
      <w:pPr>
        <w:spacing w:line="360" w:lineRule="auto"/>
        <w:jc w:val="both"/>
        <w:rPr>
          <w:rFonts w:ascii="Palatino Linotype" w:hAnsi="Palatino Linotype"/>
          <w:lang w:val="es-ES" w:eastAsia="es-ES_tradnl"/>
        </w:rPr>
      </w:pPr>
      <w:r w:rsidRPr="00E13479">
        <w:rPr>
          <w:rFonts w:ascii="Palatino Linotype" w:hAnsi="Palatino Linotype"/>
          <w:lang w:val="es-ES" w:eastAsia="es-ES_tradnl"/>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36B87BA1" w14:textId="77777777" w:rsidR="00A901FB" w:rsidRPr="00E13479" w:rsidRDefault="00A901FB" w:rsidP="00A901FB">
      <w:pPr>
        <w:ind w:left="567" w:right="567"/>
        <w:jc w:val="both"/>
        <w:rPr>
          <w:rFonts w:ascii="Palatino Linotype" w:hAnsi="Palatino Linotype"/>
          <w:lang w:val="es-ES" w:eastAsia="es-ES_tradnl"/>
        </w:rPr>
      </w:pPr>
      <w:r w:rsidRPr="00E13479">
        <w:rPr>
          <w:rFonts w:ascii="Palatino Linotype" w:hAnsi="Palatino Linotype"/>
          <w:b/>
          <w:bCs/>
          <w:i/>
          <w:iCs/>
          <w:lang w:val="es-ES" w:eastAsia="es-ES_tradnl"/>
        </w:rPr>
        <w:t xml:space="preserve">“DESECHAMIENTO O SOBRESEIMIENTO EN EL JUICIO DE AMPARO. NO IMPLICA DENEGACIÓN DE JUSTICIA NI GENERA INSEGURIDAD JURÍDICA” </w:t>
      </w:r>
      <w:r w:rsidRPr="00E13479">
        <w:rPr>
          <w:rFonts w:ascii="Palatino Linotype" w:hAnsi="Palatino Linotype"/>
          <w:i/>
          <w:iCs/>
          <w:lang w:val="es-ES" w:eastAsia="es-ES_tradnl"/>
        </w:rPr>
        <w:t>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w:t>
      </w:r>
    </w:p>
    <w:p w14:paraId="5E6B9240" w14:textId="77777777" w:rsidR="00A901FB" w:rsidRPr="00E13479" w:rsidRDefault="00A901FB" w:rsidP="00A901FB">
      <w:pPr>
        <w:spacing w:line="360" w:lineRule="auto"/>
        <w:ind w:right="49"/>
        <w:jc w:val="both"/>
        <w:rPr>
          <w:rFonts w:ascii="Palatino Linotype" w:eastAsia="Palatino Linotype" w:hAnsi="Palatino Linotype" w:cs="Palatino Linotype"/>
        </w:rPr>
      </w:pPr>
    </w:p>
    <w:p w14:paraId="2E4717F7" w14:textId="77777777" w:rsidR="00A901FB" w:rsidRPr="00E13479" w:rsidRDefault="00A901FB" w:rsidP="00A901FB">
      <w:pPr>
        <w:spacing w:line="360" w:lineRule="auto"/>
        <w:ind w:right="49"/>
        <w:jc w:val="both"/>
        <w:rPr>
          <w:rFonts w:ascii="Palatino Linotype" w:eastAsia="Palatino Linotype" w:hAnsi="Palatino Linotype" w:cs="Palatino Linotype"/>
        </w:rPr>
      </w:pPr>
      <w:r w:rsidRPr="00E13479">
        <w:rPr>
          <w:rFonts w:ascii="Palatino Linotype" w:eastAsia="Palatino Linotype" w:hAnsi="Palatino Linotype" w:cs="Palatino Linotype"/>
        </w:rPr>
        <w:t xml:space="preserve">Así, con fundamento en lo prescrito en los artículos </w:t>
      </w:r>
      <w:r w:rsidRPr="00E13479">
        <w:rPr>
          <w:rFonts w:ascii="Palatino Linotype" w:hAnsi="Palatino Linotype"/>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E13479">
        <w:rPr>
          <w:rFonts w:ascii="Palatino Linotype" w:eastAsia="Palatino Linotype" w:hAnsi="Palatino Linotype" w:cs="Palatino Linotype"/>
        </w:rPr>
        <w:t>; 2, fracción II; 29, 36 fracciones I y II; 176, 178, 181, 185, fracción I, 186 y 188 de la Ley de Transparencia y Acceso a la Información Pública del Estado de México y Municipios, este Pleno:</w:t>
      </w:r>
    </w:p>
    <w:p w14:paraId="7781FB38" w14:textId="77777777" w:rsidR="00F330F8" w:rsidRPr="00E13479" w:rsidRDefault="00F330F8" w:rsidP="00F330F8">
      <w:pPr>
        <w:pBdr>
          <w:top w:val="nil"/>
          <w:left w:val="nil"/>
          <w:bottom w:val="nil"/>
          <w:right w:val="nil"/>
          <w:between w:val="nil"/>
        </w:pBdr>
        <w:spacing w:before="240" w:after="240" w:line="360" w:lineRule="auto"/>
        <w:ind w:left="567"/>
        <w:jc w:val="center"/>
        <w:rPr>
          <w:rFonts w:ascii="Palatino Linotype" w:eastAsia="Palatino Linotype" w:hAnsi="Palatino Linotype" w:cs="Palatino Linotype"/>
          <w:b/>
          <w:sz w:val="22"/>
          <w:szCs w:val="22"/>
        </w:rPr>
      </w:pPr>
      <w:r w:rsidRPr="00E13479">
        <w:rPr>
          <w:rFonts w:ascii="Palatino Linotype" w:eastAsia="Palatino Linotype" w:hAnsi="Palatino Linotype" w:cs="Palatino Linotype"/>
          <w:b/>
          <w:sz w:val="22"/>
          <w:szCs w:val="22"/>
        </w:rPr>
        <w:t>R E S U E L V E:</w:t>
      </w:r>
    </w:p>
    <w:p w14:paraId="5B20C40C" w14:textId="70E9DE1E" w:rsidR="00A5306B" w:rsidRPr="00E13479" w:rsidRDefault="00A5306B" w:rsidP="00A5306B">
      <w:pPr>
        <w:spacing w:before="240" w:after="240" w:line="360" w:lineRule="auto"/>
        <w:jc w:val="both"/>
        <w:rPr>
          <w:rFonts w:ascii="Palatino Linotype" w:hAnsi="Palatino Linotype"/>
          <w:lang w:val="es-ES_tradnl"/>
        </w:rPr>
      </w:pPr>
      <w:r w:rsidRPr="00E13479">
        <w:rPr>
          <w:rFonts w:ascii="Palatino Linotype" w:eastAsia="Palatino Linotype" w:hAnsi="Palatino Linotype" w:cs="Palatino Linotype"/>
          <w:b/>
        </w:rPr>
        <w:t xml:space="preserve">Primero. </w:t>
      </w:r>
      <w:r w:rsidRPr="00E13479">
        <w:rPr>
          <w:rFonts w:ascii="Palatino Linotype" w:eastAsia="Palatino Linotype" w:hAnsi="Palatino Linotype" w:cs="Palatino Linotype"/>
        </w:rPr>
        <w:t>Se</w:t>
      </w:r>
      <w:r w:rsidRPr="00E13479">
        <w:rPr>
          <w:rFonts w:ascii="Palatino Linotype" w:eastAsia="Palatino Linotype" w:hAnsi="Palatino Linotype" w:cs="Palatino Linotype"/>
          <w:b/>
        </w:rPr>
        <w:t xml:space="preserve"> Sobresee </w:t>
      </w:r>
      <w:r w:rsidRPr="00E13479">
        <w:rPr>
          <w:rFonts w:ascii="Palatino Linotype" w:eastAsia="Palatino Linotype" w:hAnsi="Palatino Linotype" w:cs="Palatino Linotype"/>
        </w:rPr>
        <w:t>el Recurso de Revisión</w:t>
      </w:r>
      <w:r w:rsidRPr="00E13479">
        <w:rPr>
          <w:rFonts w:ascii="Palatino Linotype" w:eastAsia="Palatino Linotype" w:hAnsi="Palatino Linotype" w:cs="Palatino Linotype"/>
          <w:b/>
        </w:rPr>
        <w:t xml:space="preserve"> 13464/INFOEM/IP/RR/2025, </w:t>
      </w:r>
      <w:r w:rsidRPr="00E13479">
        <w:rPr>
          <w:rFonts w:ascii="Palatino Linotype" w:hAnsi="Palatino Linotype"/>
          <w:lang w:val="es-ES_tradnl"/>
        </w:rPr>
        <w:t xml:space="preserve">en términos del considerando </w:t>
      </w:r>
      <w:r w:rsidRPr="00E13479">
        <w:rPr>
          <w:rFonts w:ascii="Palatino Linotype" w:hAnsi="Palatino Linotype"/>
          <w:b/>
          <w:lang w:val="es-ES_tradnl"/>
        </w:rPr>
        <w:t xml:space="preserve">Tercero </w:t>
      </w:r>
      <w:r w:rsidRPr="00E13479">
        <w:rPr>
          <w:rFonts w:ascii="Palatino Linotype" w:hAnsi="Palatino Linotype"/>
          <w:lang w:val="es-ES_tradnl"/>
        </w:rPr>
        <w:t>de la presente resolución, al quedar sin materia</w:t>
      </w:r>
      <w:r w:rsidRPr="00E13479">
        <w:rPr>
          <w:rFonts w:ascii="Palatino Linotype" w:hAnsi="Palatino Linotype"/>
        </w:rPr>
        <w:t xml:space="preserve"> </w:t>
      </w:r>
      <w:r w:rsidRPr="00E13479">
        <w:rPr>
          <w:rFonts w:ascii="Palatino Linotype" w:hAnsi="Palatino Linotype"/>
          <w:lang w:val="es-ES_tradnl"/>
        </w:rPr>
        <w:t>conforme a lo dispuesto en el artículo 192, fracción V de la Ley de Transparencia y Acceso a la Información Pública del Estado de México y Municipios.</w:t>
      </w:r>
    </w:p>
    <w:p w14:paraId="130DF912" w14:textId="77777777" w:rsidR="00A5306B" w:rsidRPr="00E13479" w:rsidRDefault="00A5306B" w:rsidP="00A5306B">
      <w:pPr>
        <w:spacing w:before="240" w:after="240" w:line="360" w:lineRule="auto"/>
        <w:jc w:val="both"/>
        <w:rPr>
          <w:rFonts w:ascii="Palatino Linotype" w:eastAsia="Palatino Linotype" w:hAnsi="Palatino Linotype" w:cs="Palatino Linotype"/>
        </w:rPr>
      </w:pPr>
      <w:r w:rsidRPr="00E13479">
        <w:rPr>
          <w:rFonts w:ascii="Palatino Linotype" w:eastAsia="Palatino Linotype" w:hAnsi="Palatino Linotype" w:cs="Palatino Linotype"/>
          <w:b/>
        </w:rPr>
        <w:t xml:space="preserve">Segundo. Notifíquese, </w:t>
      </w:r>
      <w:r w:rsidRPr="00E13479">
        <w:rPr>
          <w:rFonts w:ascii="Palatino Linotype" w:eastAsia="Palatino Linotype" w:hAnsi="Palatino Linotype" w:cs="Palatino Linotype"/>
        </w:rPr>
        <w:t xml:space="preserve">vía </w:t>
      </w:r>
      <w:r w:rsidRPr="00E13479">
        <w:rPr>
          <w:rFonts w:ascii="Palatino Linotype" w:eastAsia="Palatino Linotype" w:hAnsi="Palatino Linotype" w:cs="Palatino Linotype"/>
          <w:b/>
        </w:rPr>
        <w:t>SAIMEX</w:t>
      </w:r>
      <w:r w:rsidRPr="00E13479">
        <w:rPr>
          <w:rFonts w:ascii="Palatino Linotype" w:eastAsia="Palatino Linotype" w:hAnsi="Palatino Linotype" w:cs="Palatino Linotype"/>
        </w:rPr>
        <w:t xml:space="preserve">, a la persona Titular de la Unidad de Transparencia del </w:t>
      </w:r>
      <w:r w:rsidRPr="00E13479">
        <w:rPr>
          <w:rFonts w:ascii="Palatino Linotype" w:eastAsia="Palatino Linotype" w:hAnsi="Palatino Linotype" w:cs="Palatino Linotype"/>
          <w:b/>
        </w:rPr>
        <w:t>Sujeto Obligado,</w:t>
      </w:r>
      <w:r w:rsidRPr="00E13479">
        <w:rPr>
          <w:rFonts w:ascii="Palatino Linotype" w:eastAsia="Palatino Linotype" w:hAnsi="Palatino Linotype" w:cs="Palatino Linotype"/>
        </w:rPr>
        <w:t xml:space="preserve"> la presente resolución para su conocimiento.</w:t>
      </w:r>
    </w:p>
    <w:p w14:paraId="1A18F2EB" w14:textId="77777777" w:rsidR="00A5306B" w:rsidRPr="00E13479" w:rsidRDefault="00A5306B" w:rsidP="00A5306B">
      <w:pPr>
        <w:spacing w:before="240" w:after="240" w:line="360" w:lineRule="auto"/>
        <w:jc w:val="both"/>
        <w:rPr>
          <w:rFonts w:ascii="Palatino Linotype" w:eastAsia="Palatino Linotype" w:hAnsi="Palatino Linotype" w:cs="Palatino Linotype"/>
        </w:rPr>
      </w:pPr>
      <w:r w:rsidRPr="00E13479">
        <w:rPr>
          <w:rFonts w:ascii="Palatino Linotype" w:eastAsia="Palatino Linotype" w:hAnsi="Palatino Linotype" w:cs="Palatino Linotype"/>
          <w:b/>
        </w:rPr>
        <w:t xml:space="preserve">Tercero. Notifíquese, </w:t>
      </w:r>
      <w:r w:rsidRPr="00E13479">
        <w:rPr>
          <w:rFonts w:ascii="Palatino Linotype" w:eastAsia="Palatino Linotype" w:hAnsi="Palatino Linotype" w:cs="Palatino Linotype"/>
        </w:rPr>
        <w:t xml:space="preserve">vía </w:t>
      </w:r>
      <w:r w:rsidRPr="00E13479">
        <w:rPr>
          <w:rFonts w:ascii="Palatino Linotype" w:eastAsia="Palatino Linotype" w:hAnsi="Palatino Linotype" w:cs="Palatino Linotype"/>
          <w:b/>
        </w:rPr>
        <w:t>SAIMEX,</w:t>
      </w:r>
      <w:r w:rsidRPr="00E13479">
        <w:rPr>
          <w:rFonts w:ascii="Palatino Linotype" w:eastAsia="Palatino Linotype" w:hAnsi="Palatino Linotype" w:cs="Palatino Linotype"/>
        </w:rPr>
        <w:t xml:space="preserve"> a la parte </w:t>
      </w:r>
      <w:r w:rsidRPr="00E13479">
        <w:rPr>
          <w:rFonts w:ascii="Palatino Linotype" w:eastAsia="Palatino Linotype" w:hAnsi="Palatino Linotype" w:cs="Palatino Linotype"/>
          <w:b/>
        </w:rPr>
        <w:t xml:space="preserve">Recurrente </w:t>
      </w:r>
      <w:r w:rsidRPr="00E13479">
        <w:rPr>
          <w:rFonts w:ascii="Palatino Linotype" w:eastAsia="Palatino Linotype" w:hAnsi="Palatino Linotype" w:cs="Palatino Linotype"/>
        </w:rPr>
        <w:t>la presente resolución, así como, que de conformidad con lo establecido en el artículo 196 de la Ley de Transparencia y Acceso a la Información Pública del Estado de México y Municipios, podrá impugnar vía Juicio de Amparo en los términos de las leyes aplicables.</w:t>
      </w:r>
    </w:p>
    <w:p w14:paraId="4A2BF0DF" w14:textId="5DE416B8" w:rsidR="00A5306B" w:rsidRPr="00E13479" w:rsidRDefault="00A5306B" w:rsidP="00A5306B">
      <w:pPr>
        <w:spacing w:before="240" w:after="240" w:line="360" w:lineRule="auto"/>
        <w:jc w:val="both"/>
        <w:rPr>
          <w:rFonts w:ascii="Palatino Linotype" w:eastAsia="Palatino Linotype" w:hAnsi="Palatino Linotype" w:cs="Palatino Linotype"/>
          <w:b/>
        </w:rPr>
      </w:pPr>
      <w:r w:rsidRPr="00E13479">
        <w:rPr>
          <w:rFonts w:ascii="Palatino Linotype" w:eastAsia="Palatino Linotype" w:hAnsi="Palatino Linotype" w:cs="Palatino Linotype"/>
          <w:b/>
        </w:rPr>
        <w:t xml:space="preserve">Cuarto. </w:t>
      </w:r>
      <w:r w:rsidRPr="00E13479">
        <w:rPr>
          <w:rFonts w:ascii="Palatino Linotype" w:hAnsi="Palatino Linotype"/>
          <w:b/>
          <w:lang w:eastAsia="es-ES_tradnl"/>
        </w:rPr>
        <w:t>Gírese</w:t>
      </w:r>
      <w:r w:rsidRPr="00E13479">
        <w:rPr>
          <w:rFonts w:ascii="Palatino Linotype" w:hAnsi="Palatino Linotype"/>
          <w:lang w:eastAsia="es-ES_tradnl"/>
        </w:rPr>
        <w:t xml:space="preserve"> oficio a la </w:t>
      </w:r>
      <w:r w:rsidRPr="00E13479">
        <w:rPr>
          <w:rFonts w:ascii="Palatino Linotype" w:hAnsi="Palatino Linotype"/>
          <w:b/>
          <w:lang w:eastAsia="es-ES_tradnl"/>
        </w:rPr>
        <w:t>Dirección General de Protección de Datos Personales</w:t>
      </w:r>
      <w:r w:rsidRPr="00E13479">
        <w:rPr>
          <w:rFonts w:ascii="Palatino Linotype" w:hAnsi="Palatino Linotype"/>
          <w:lang w:eastAsia="es-ES_tradnl"/>
        </w:rPr>
        <w:t xml:space="preserve">, en atención al artículo 82, fracción XXVII de la Ley de Protección de Datos Personales en Posesión de Sujetos Obligados del Estado de México y Municipios en términos de lo señalado en el </w:t>
      </w:r>
      <w:r w:rsidRPr="00E13479">
        <w:rPr>
          <w:rFonts w:ascii="Palatino Linotype" w:hAnsi="Palatino Linotype"/>
          <w:b/>
          <w:bCs/>
          <w:lang w:eastAsia="es-ES_tradnl"/>
        </w:rPr>
        <w:t xml:space="preserve">Considerando </w:t>
      </w:r>
      <w:r w:rsidR="00CC02D9" w:rsidRPr="00E13479">
        <w:rPr>
          <w:rFonts w:ascii="Palatino Linotype" w:hAnsi="Palatino Linotype"/>
          <w:b/>
          <w:bCs/>
          <w:lang w:eastAsia="es-ES_tradnl"/>
        </w:rPr>
        <w:t>Tercero</w:t>
      </w:r>
      <w:r w:rsidRPr="00E13479">
        <w:rPr>
          <w:rFonts w:ascii="Palatino Linotype" w:hAnsi="Palatino Linotype"/>
          <w:lang w:eastAsia="es-ES_tradnl"/>
        </w:rPr>
        <w:t xml:space="preserve"> de la presente resolución.</w:t>
      </w:r>
    </w:p>
    <w:p w14:paraId="124DF890" w14:textId="0E34C757" w:rsidR="00C877F6" w:rsidRPr="00680C8C" w:rsidRDefault="00F36565">
      <w:pPr>
        <w:spacing w:line="360" w:lineRule="auto"/>
        <w:ind w:right="-93"/>
        <w:jc w:val="both"/>
        <w:rPr>
          <w:rFonts w:ascii="Palatino Linotype" w:eastAsia="Palatino Linotype" w:hAnsi="Palatino Linotype" w:cs="Palatino Linotype"/>
          <w:sz w:val="22"/>
          <w:szCs w:val="22"/>
        </w:rPr>
      </w:pPr>
      <w:r w:rsidRPr="00E13479">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13479" w:rsidRPr="00E13479">
        <w:rPr>
          <w:rFonts w:ascii="Palatino Linotype" w:eastAsia="Palatino Linotype" w:hAnsi="Palatino Linotype" w:cs="Palatino Linotype"/>
          <w:sz w:val="22"/>
          <w:szCs w:val="22"/>
        </w:rPr>
        <w:t>SÉPTIMA</w:t>
      </w:r>
      <w:r w:rsidRPr="00E13479">
        <w:rPr>
          <w:rFonts w:ascii="Palatino Linotype" w:eastAsia="Palatino Linotype" w:hAnsi="Palatino Linotype" w:cs="Palatino Linotype"/>
          <w:sz w:val="22"/>
          <w:szCs w:val="22"/>
        </w:rPr>
        <w:t xml:space="preserve"> S</w:t>
      </w:r>
      <w:r w:rsidR="001244B6" w:rsidRPr="00E13479">
        <w:rPr>
          <w:rFonts w:ascii="Palatino Linotype" w:eastAsia="Palatino Linotype" w:hAnsi="Palatino Linotype" w:cs="Palatino Linotype"/>
          <w:sz w:val="22"/>
          <w:szCs w:val="22"/>
        </w:rPr>
        <w:t xml:space="preserve">ESIÓN ORDINARIA CELEBRADA EL </w:t>
      </w:r>
      <w:r w:rsidR="00E13479" w:rsidRPr="00E13479">
        <w:rPr>
          <w:rFonts w:ascii="Palatino Linotype" w:eastAsia="Palatino Linotype" w:hAnsi="Palatino Linotype" w:cs="Palatino Linotype"/>
          <w:sz w:val="22"/>
          <w:szCs w:val="22"/>
        </w:rPr>
        <w:t>VEINTICINCO</w:t>
      </w:r>
      <w:r w:rsidRPr="00E13479">
        <w:rPr>
          <w:rFonts w:ascii="Palatino Linotype" w:eastAsia="Palatino Linotype" w:hAnsi="Palatino Linotype" w:cs="Palatino Linotype"/>
          <w:sz w:val="22"/>
          <w:szCs w:val="22"/>
        </w:rPr>
        <w:t xml:space="preserve"> DE </w:t>
      </w:r>
      <w:r w:rsidR="00426E89" w:rsidRPr="00E13479">
        <w:rPr>
          <w:rFonts w:ascii="Palatino Linotype" w:eastAsia="Palatino Linotype" w:hAnsi="Palatino Linotype" w:cs="Palatino Linotype"/>
          <w:sz w:val="22"/>
          <w:szCs w:val="22"/>
        </w:rPr>
        <w:t>FEBRERO</w:t>
      </w:r>
      <w:r w:rsidRPr="00E13479">
        <w:rPr>
          <w:rFonts w:ascii="Palatino Linotype" w:eastAsia="Palatino Linotype" w:hAnsi="Palatino Linotype" w:cs="Palatino Linotype"/>
          <w:sz w:val="22"/>
          <w:szCs w:val="22"/>
        </w:rPr>
        <w:t xml:space="preserve"> DE DOS MIL VEINTI</w:t>
      </w:r>
      <w:r w:rsidR="000C6DFE" w:rsidRPr="00E13479">
        <w:rPr>
          <w:rFonts w:ascii="Palatino Linotype" w:eastAsia="Palatino Linotype" w:hAnsi="Palatino Linotype" w:cs="Palatino Linotype"/>
          <w:sz w:val="22"/>
          <w:szCs w:val="22"/>
        </w:rPr>
        <w:t>SÉIS</w:t>
      </w:r>
      <w:r w:rsidRPr="00E13479">
        <w:rPr>
          <w:rFonts w:ascii="Palatino Linotype" w:eastAsia="Palatino Linotype" w:hAnsi="Palatino Linotype" w:cs="Palatino Linotype"/>
          <w:sz w:val="22"/>
          <w:szCs w:val="22"/>
        </w:rPr>
        <w:t>, ANTE EL SECRETARIO TÉCNICO DEL PLENO ALEXIS TAPIA RAMÍREZ.</w:t>
      </w:r>
    </w:p>
    <w:p w14:paraId="54455659" w14:textId="77777777" w:rsidR="00C877F6" w:rsidRPr="00680C8C" w:rsidRDefault="00C877F6">
      <w:pPr>
        <w:spacing w:line="360" w:lineRule="auto"/>
        <w:ind w:right="-93"/>
        <w:jc w:val="both"/>
        <w:rPr>
          <w:rFonts w:ascii="Palatino Linotype" w:eastAsia="Palatino Linotype" w:hAnsi="Palatino Linotype" w:cs="Palatino Linotype"/>
          <w:sz w:val="22"/>
          <w:szCs w:val="22"/>
        </w:rPr>
      </w:pPr>
    </w:p>
    <w:p w14:paraId="030E6A5B" w14:textId="77777777" w:rsidR="00C877F6" w:rsidRPr="00680C8C" w:rsidRDefault="00C877F6">
      <w:pPr>
        <w:spacing w:line="360" w:lineRule="auto"/>
        <w:ind w:right="-93"/>
        <w:jc w:val="both"/>
        <w:rPr>
          <w:rFonts w:ascii="Palatino Linotype" w:eastAsia="Palatino Linotype" w:hAnsi="Palatino Linotype" w:cs="Palatino Linotype"/>
          <w:sz w:val="22"/>
          <w:szCs w:val="22"/>
        </w:rPr>
      </w:pPr>
    </w:p>
    <w:p w14:paraId="5B12C640" w14:textId="77777777" w:rsidR="00C877F6" w:rsidRPr="00680C8C" w:rsidRDefault="00C877F6">
      <w:pPr>
        <w:spacing w:line="360" w:lineRule="auto"/>
        <w:ind w:right="-93"/>
        <w:jc w:val="both"/>
        <w:rPr>
          <w:rFonts w:ascii="Palatino Linotype" w:eastAsia="Palatino Linotype" w:hAnsi="Palatino Linotype" w:cs="Palatino Linotype"/>
          <w:sz w:val="22"/>
          <w:szCs w:val="22"/>
        </w:rPr>
      </w:pPr>
    </w:p>
    <w:p w14:paraId="7A4C70FF" w14:textId="77777777" w:rsidR="00C877F6" w:rsidRPr="00680C8C" w:rsidRDefault="00C877F6">
      <w:pPr>
        <w:spacing w:line="360" w:lineRule="auto"/>
        <w:ind w:right="-93"/>
        <w:jc w:val="both"/>
        <w:rPr>
          <w:rFonts w:ascii="Palatino Linotype" w:eastAsia="Palatino Linotype" w:hAnsi="Palatino Linotype" w:cs="Palatino Linotype"/>
          <w:sz w:val="22"/>
          <w:szCs w:val="22"/>
        </w:rPr>
      </w:pPr>
    </w:p>
    <w:p w14:paraId="6197DF1F" w14:textId="77777777" w:rsidR="00C877F6" w:rsidRPr="00680C8C" w:rsidRDefault="00C877F6">
      <w:pPr>
        <w:spacing w:line="360" w:lineRule="auto"/>
        <w:ind w:right="-93"/>
        <w:jc w:val="both"/>
        <w:rPr>
          <w:rFonts w:ascii="Palatino Linotype" w:eastAsia="Palatino Linotype" w:hAnsi="Palatino Linotype" w:cs="Palatino Linotype"/>
          <w:sz w:val="22"/>
          <w:szCs w:val="22"/>
        </w:rPr>
      </w:pPr>
    </w:p>
    <w:p w14:paraId="1A57851A" w14:textId="77777777" w:rsidR="00C877F6" w:rsidRPr="00680C8C" w:rsidRDefault="00C877F6">
      <w:pPr>
        <w:spacing w:line="360" w:lineRule="auto"/>
        <w:ind w:right="49"/>
        <w:jc w:val="both"/>
        <w:rPr>
          <w:rFonts w:ascii="Palatino Linotype" w:eastAsia="Palatino Linotype" w:hAnsi="Palatino Linotype" w:cs="Palatino Linotype"/>
          <w:sz w:val="22"/>
          <w:szCs w:val="22"/>
        </w:rPr>
      </w:pPr>
    </w:p>
    <w:p w14:paraId="7E5FE9C9" w14:textId="77777777" w:rsidR="00B04973" w:rsidRDefault="00B04973">
      <w:pPr>
        <w:spacing w:line="360" w:lineRule="auto"/>
        <w:ind w:right="49"/>
        <w:jc w:val="both"/>
        <w:rPr>
          <w:rFonts w:ascii="Palatino Linotype" w:eastAsia="Palatino Linotype" w:hAnsi="Palatino Linotype" w:cs="Palatino Linotype"/>
          <w:sz w:val="22"/>
          <w:szCs w:val="22"/>
        </w:rPr>
      </w:pPr>
    </w:p>
    <w:p w14:paraId="2ED8DFF5" w14:textId="77777777" w:rsidR="00E13479" w:rsidRDefault="00E13479">
      <w:pPr>
        <w:spacing w:line="360" w:lineRule="auto"/>
        <w:ind w:right="49"/>
        <w:jc w:val="both"/>
        <w:rPr>
          <w:rFonts w:ascii="Palatino Linotype" w:eastAsia="Palatino Linotype" w:hAnsi="Palatino Linotype" w:cs="Palatino Linotype"/>
          <w:sz w:val="22"/>
          <w:szCs w:val="22"/>
        </w:rPr>
      </w:pPr>
    </w:p>
    <w:p w14:paraId="51149065" w14:textId="77777777" w:rsidR="00E13479" w:rsidRDefault="00E13479">
      <w:pPr>
        <w:spacing w:line="360" w:lineRule="auto"/>
        <w:ind w:right="49"/>
        <w:jc w:val="both"/>
        <w:rPr>
          <w:rFonts w:ascii="Palatino Linotype" w:eastAsia="Palatino Linotype" w:hAnsi="Palatino Linotype" w:cs="Palatino Linotype"/>
          <w:sz w:val="22"/>
          <w:szCs w:val="22"/>
        </w:rPr>
      </w:pPr>
    </w:p>
    <w:p w14:paraId="1CF45D18" w14:textId="77777777" w:rsidR="00E13479" w:rsidRDefault="00E13479">
      <w:pPr>
        <w:spacing w:line="360" w:lineRule="auto"/>
        <w:ind w:right="49"/>
        <w:jc w:val="both"/>
        <w:rPr>
          <w:rFonts w:ascii="Palatino Linotype" w:eastAsia="Palatino Linotype" w:hAnsi="Palatino Linotype" w:cs="Palatino Linotype"/>
          <w:sz w:val="22"/>
          <w:szCs w:val="22"/>
        </w:rPr>
      </w:pPr>
    </w:p>
    <w:p w14:paraId="65A4127F" w14:textId="77777777" w:rsidR="00E13479" w:rsidRDefault="00E13479">
      <w:pPr>
        <w:spacing w:line="360" w:lineRule="auto"/>
        <w:ind w:right="49"/>
        <w:jc w:val="both"/>
        <w:rPr>
          <w:rFonts w:ascii="Palatino Linotype" w:eastAsia="Palatino Linotype" w:hAnsi="Palatino Linotype" w:cs="Palatino Linotype"/>
          <w:sz w:val="22"/>
          <w:szCs w:val="22"/>
        </w:rPr>
      </w:pPr>
    </w:p>
    <w:p w14:paraId="6266757D" w14:textId="77777777" w:rsidR="00E13479" w:rsidRDefault="00E13479">
      <w:pPr>
        <w:spacing w:line="360" w:lineRule="auto"/>
        <w:ind w:right="49"/>
        <w:jc w:val="both"/>
        <w:rPr>
          <w:rFonts w:ascii="Palatino Linotype" w:eastAsia="Palatino Linotype" w:hAnsi="Palatino Linotype" w:cs="Palatino Linotype"/>
          <w:sz w:val="22"/>
          <w:szCs w:val="22"/>
        </w:rPr>
      </w:pPr>
    </w:p>
    <w:p w14:paraId="0FB63712" w14:textId="77777777" w:rsidR="00E13479" w:rsidRDefault="00E13479">
      <w:pPr>
        <w:spacing w:line="360" w:lineRule="auto"/>
        <w:ind w:right="49"/>
        <w:jc w:val="both"/>
        <w:rPr>
          <w:rFonts w:ascii="Palatino Linotype" w:eastAsia="Palatino Linotype" w:hAnsi="Palatino Linotype" w:cs="Palatino Linotype"/>
          <w:sz w:val="22"/>
          <w:szCs w:val="22"/>
        </w:rPr>
      </w:pPr>
    </w:p>
    <w:p w14:paraId="5C6B6E47" w14:textId="77777777" w:rsidR="00E13479" w:rsidRDefault="00E13479">
      <w:pPr>
        <w:spacing w:line="360" w:lineRule="auto"/>
        <w:ind w:right="49"/>
        <w:jc w:val="both"/>
        <w:rPr>
          <w:rFonts w:ascii="Palatino Linotype" w:eastAsia="Palatino Linotype" w:hAnsi="Palatino Linotype" w:cs="Palatino Linotype"/>
          <w:sz w:val="22"/>
          <w:szCs w:val="22"/>
        </w:rPr>
      </w:pPr>
    </w:p>
    <w:p w14:paraId="2072713D" w14:textId="77777777" w:rsidR="00E13479" w:rsidRDefault="00E13479">
      <w:pPr>
        <w:spacing w:line="360" w:lineRule="auto"/>
        <w:ind w:right="49"/>
        <w:jc w:val="both"/>
        <w:rPr>
          <w:rFonts w:ascii="Palatino Linotype" w:eastAsia="Palatino Linotype" w:hAnsi="Palatino Linotype" w:cs="Palatino Linotype"/>
          <w:sz w:val="22"/>
          <w:szCs w:val="22"/>
        </w:rPr>
      </w:pPr>
    </w:p>
    <w:p w14:paraId="616EE3A9" w14:textId="77777777" w:rsidR="00E13479" w:rsidRDefault="00E13479">
      <w:pPr>
        <w:spacing w:line="360" w:lineRule="auto"/>
        <w:ind w:right="49"/>
        <w:jc w:val="both"/>
        <w:rPr>
          <w:rFonts w:ascii="Palatino Linotype" w:eastAsia="Palatino Linotype" w:hAnsi="Palatino Linotype" w:cs="Palatino Linotype"/>
          <w:sz w:val="22"/>
          <w:szCs w:val="22"/>
        </w:rPr>
      </w:pPr>
    </w:p>
    <w:p w14:paraId="7620B491" w14:textId="77777777" w:rsidR="00E13479" w:rsidRDefault="00E13479">
      <w:pPr>
        <w:spacing w:line="360" w:lineRule="auto"/>
        <w:ind w:right="49"/>
        <w:jc w:val="both"/>
        <w:rPr>
          <w:rFonts w:ascii="Palatino Linotype" w:eastAsia="Palatino Linotype" w:hAnsi="Palatino Linotype" w:cs="Palatino Linotype"/>
          <w:sz w:val="22"/>
          <w:szCs w:val="22"/>
        </w:rPr>
      </w:pPr>
    </w:p>
    <w:p w14:paraId="5FBC0746" w14:textId="77777777" w:rsidR="00E13479" w:rsidRDefault="00E13479">
      <w:pPr>
        <w:spacing w:line="360" w:lineRule="auto"/>
        <w:ind w:right="49"/>
        <w:jc w:val="both"/>
        <w:rPr>
          <w:rFonts w:ascii="Palatino Linotype" w:eastAsia="Palatino Linotype" w:hAnsi="Palatino Linotype" w:cs="Palatino Linotype"/>
          <w:sz w:val="22"/>
          <w:szCs w:val="22"/>
        </w:rPr>
      </w:pPr>
    </w:p>
    <w:p w14:paraId="4B6FF826" w14:textId="77777777" w:rsidR="00E13479" w:rsidRPr="00680C8C" w:rsidRDefault="00E13479">
      <w:pPr>
        <w:spacing w:line="360" w:lineRule="auto"/>
        <w:ind w:right="49"/>
        <w:jc w:val="both"/>
        <w:rPr>
          <w:rFonts w:ascii="Palatino Linotype" w:eastAsia="Palatino Linotype" w:hAnsi="Palatino Linotype" w:cs="Palatino Linotype"/>
          <w:sz w:val="22"/>
          <w:szCs w:val="22"/>
        </w:rPr>
      </w:pPr>
    </w:p>
    <w:sectPr w:rsidR="00E13479" w:rsidRPr="00680C8C">
      <w:headerReference w:type="default" r:id="rId8"/>
      <w:footerReference w:type="default" r:id="rId9"/>
      <w:headerReference w:type="first" r:id="rId10"/>
      <w:footerReference w:type="first" r:id="rId11"/>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65CD6" w14:textId="77777777" w:rsidR="00EA1814" w:rsidRDefault="00EA1814">
      <w:r>
        <w:separator/>
      </w:r>
    </w:p>
  </w:endnote>
  <w:endnote w:type="continuationSeparator" w:id="0">
    <w:p w14:paraId="6152423D" w14:textId="77777777" w:rsidR="00EA1814" w:rsidRDefault="00EA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4508DA0B-D538-41A5-BE7D-E7F97AC6BF05}"/>
    <w:embedBold r:id="rId2" w:fontKey="{71CBB9E1-B402-4F69-8F83-A8CAC8907566}"/>
    <w:embedItalic r:id="rId3" w:fontKey="{41ACD31D-EA7D-4BB9-BF05-2CF2DDE71A04}"/>
    <w:embedBoldItalic r:id="rId4" w:fontKey="{AED6A654-23C7-47A7-9AFD-0AB57AA561A0}"/>
  </w:font>
  <w:font w:name="Noto Sans Symbols">
    <w:altName w:val="Calibri"/>
    <w:charset w:val="00"/>
    <w:family w:val="auto"/>
    <w:pitch w:val="default"/>
    <w:embedRegular r:id="rId5" w:fontKey="{5AAEA405-4717-401F-8C38-916BED056ACA}"/>
  </w:font>
  <w:font w:name="Tahoma">
    <w:panose1 w:val="020B0604030504040204"/>
    <w:charset w:val="00"/>
    <w:family w:val="swiss"/>
    <w:pitch w:val="variable"/>
    <w:sig w:usb0="E1002EFF" w:usb1="C000605B" w:usb2="00000029" w:usb3="00000000" w:csb0="000101FF" w:csb1="00000000"/>
    <w:embedRegular r:id="rId6" w:fontKey="{E2D4EF79-6ECC-49C1-B47C-F40BD985AFC0}"/>
  </w:font>
  <w:font w:name="Calibri">
    <w:panose1 w:val="020F0502020204030204"/>
    <w:charset w:val="00"/>
    <w:family w:val="swiss"/>
    <w:pitch w:val="variable"/>
    <w:sig w:usb0="E4002EFF" w:usb1="C200247B" w:usb2="00000009" w:usb3="00000000" w:csb0="000001FF" w:csb1="00000000"/>
    <w:embedRegular r:id="rId7" w:fontKey="{923217CF-7ACF-47ED-A394-199C40468092}"/>
    <w:embedBold r:id="rId8" w:fontKey="{33B7ACD4-DFF3-4EA9-9C08-4EEB69360C9F}"/>
    <w:embedItalic r:id="rId9" w:fontKey="{1046BA3E-FF08-4EC3-9A15-43179598E80A}"/>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0" w:fontKey="{399BE97A-272A-4D25-982D-4175F4CBC556}"/>
    <w:embedItalic r:id="rId11" w:fontKey="{7FA6E4A5-088D-4B82-9B5A-E5695C9A1F71}"/>
  </w:font>
  <w:font w:name="Calibri Light">
    <w:panose1 w:val="020F0302020204030204"/>
    <w:charset w:val="00"/>
    <w:family w:val="swiss"/>
    <w:pitch w:val="variable"/>
    <w:sig w:usb0="E4002EFF" w:usb1="C200247B" w:usb2="00000009" w:usb3="00000000" w:csb0="000001FF" w:csb1="00000000"/>
    <w:embedRegular r:id="rId12" w:fontKey="{789AD30C-BF19-4289-BB93-F5599379939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27024" w14:textId="48E3A8A0" w:rsidR="00B04973" w:rsidRDefault="00B04973">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66157E">
      <w:rPr>
        <w:b/>
        <w:noProof/>
        <w:color w:val="000000"/>
      </w:rPr>
      <w:t>18</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66157E">
      <w:rPr>
        <w:b/>
        <w:noProof/>
        <w:color w:val="000000"/>
      </w:rPr>
      <w:t>20</w:t>
    </w:r>
    <w:r>
      <w:rPr>
        <w:b/>
        <w:color w:val="000000"/>
      </w:rPr>
      <w:fldChar w:fldCharType="end"/>
    </w:r>
  </w:p>
  <w:p w14:paraId="7AE4EEFD" w14:textId="77777777" w:rsidR="00B04973" w:rsidRDefault="00B0497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1E332" w14:textId="0B076829" w:rsidR="00B04973" w:rsidRDefault="00B04973">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66157E">
      <w:rPr>
        <w:b/>
        <w:noProof/>
        <w:color w:val="000000"/>
      </w:rPr>
      <w:t>1</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66157E">
      <w:rPr>
        <w:b/>
        <w:noProof/>
        <w:color w:val="000000"/>
      </w:rPr>
      <w:t>20</w:t>
    </w:r>
    <w:r>
      <w:rPr>
        <w:b/>
        <w:color w:val="000000"/>
      </w:rPr>
      <w:fldChar w:fldCharType="end"/>
    </w:r>
  </w:p>
  <w:p w14:paraId="6675DA9D" w14:textId="77777777" w:rsidR="00B04973" w:rsidRDefault="00B0497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4334B" w14:textId="77777777" w:rsidR="00EA1814" w:rsidRDefault="00EA1814">
      <w:r>
        <w:separator/>
      </w:r>
    </w:p>
  </w:footnote>
  <w:footnote w:type="continuationSeparator" w:id="0">
    <w:p w14:paraId="307F1E29" w14:textId="77777777" w:rsidR="00EA1814" w:rsidRDefault="00EA18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7457D" w14:textId="77777777" w:rsidR="00B04973" w:rsidRDefault="00B04973">
    <w:pPr>
      <w:widowControl w:val="0"/>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14:anchorId="093A9E0D" wp14:editId="28CE1BC9">
          <wp:simplePos x="0" y="0"/>
          <wp:positionH relativeFrom="column">
            <wp:posOffset>0</wp:posOffset>
          </wp:positionH>
          <wp:positionV relativeFrom="paragraph">
            <wp:posOffset>-401953</wp:posOffset>
          </wp:positionV>
          <wp:extent cx="7809876" cy="10165823"/>
          <wp:effectExtent l="0" t="0" r="0" b="0"/>
          <wp:wrapNone/>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6"/>
      <w:tblW w:w="5603" w:type="dxa"/>
      <w:tblInd w:w="3611" w:type="dxa"/>
      <w:tblLayout w:type="fixed"/>
      <w:tblLook w:val="0400" w:firstRow="0" w:lastRow="0" w:firstColumn="0" w:lastColumn="0" w:noHBand="0" w:noVBand="1"/>
    </w:tblPr>
    <w:tblGrid>
      <w:gridCol w:w="2551"/>
      <w:gridCol w:w="3052"/>
    </w:tblGrid>
    <w:tr w:rsidR="00B04973" w14:paraId="3DE1F927" w14:textId="77777777">
      <w:tc>
        <w:tcPr>
          <w:tcW w:w="2551" w:type="dxa"/>
          <w:vAlign w:val="center"/>
        </w:tcPr>
        <w:p w14:paraId="27218DF9" w14:textId="77777777" w:rsidR="00B04973" w:rsidRDefault="00B04973">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Recurso de Revisión:</w:t>
          </w:r>
        </w:p>
        <w:p w14:paraId="4D5060D3" w14:textId="77777777" w:rsidR="00B04973" w:rsidRDefault="00B04973">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p>
      </w:tc>
      <w:tc>
        <w:tcPr>
          <w:tcW w:w="3052" w:type="dxa"/>
          <w:vAlign w:val="center"/>
        </w:tcPr>
        <w:p w14:paraId="1F9F508D" w14:textId="1396C2AC" w:rsidR="00B04973" w:rsidRDefault="00B04973" w:rsidP="00426E89">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13464/INFOEM/IP/RR/2025</w:t>
          </w:r>
        </w:p>
      </w:tc>
    </w:tr>
    <w:tr w:rsidR="00B04973" w14:paraId="6E2D1273" w14:textId="77777777">
      <w:trPr>
        <w:trHeight w:val="217"/>
      </w:trPr>
      <w:tc>
        <w:tcPr>
          <w:tcW w:w="2551" w:type="dxa"/>
          <w:vAlign w:val="center"/>
        </w:tcPr>
        <w:p w14:paraId="21203565" w14:textId="77777777" w:rsidR="00B04973" w:rsidRDefault="00B04973">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Sujeto obligado:</w:t>
          </w:r>
        </w:p>
      </w:tc>
      <w:tc>
        <w:tcPr>
          <w:tcW w:w="3052" w:type="dxa"/>
          <w:vAlign w:val="center"/>
        </w:tcPr>
        <w:p w14:paraId="6BAD3091" w14:textId="51FB3A39" w:rsidR="00B04973" w:rsidRDefault="00B04973" w:rsidP="00287278">
          <w:pPr>
            <w:pBdr>
              <w:top w:val="nil"/>
              <w:left w:val="nil"/>
              <w:bottom w:val="nil"/>
              <w:right w:val="nil"/>
              <w:between w:val="nil"/>
            </w:pBdr>
            <w:tabs>
              <w:tab w:val="center" w:pos="4419"/>
              <w:tab w:val="right" w:pos="8838"/>
            </w:tabs>
            <w:ind w:right="168"/>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Ayuntamiento de Ecatepec de Morelos</w:t>
          </w:r>
        </w:p>
      </w:tc>
    </w:tr>
    <w:tr w:rsidR="00B04973" w14:paraId="651D01A7" w14:textId="77777777">
      <w:tc>
        <w:tcPr>
          <w:tcW w:w="2551" w:type="dxa"/>
          <w:vAlign w:val="center"/>
        </w:tcPr>
        <w:p w14:paraId="5229B5A5" w14:textId="77777777" w:rsidR="00B04973" w:rsidRDefault="00B04973">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Comisionada ponente:</w:t>
          </w:r>
        </w:p>
      </w:tc>
      <w:tc>
        <w:tcPr>
          <w:tcW w:w="3052" w:type="dxa"/>
          <w:vAlign w:val="center"/>
        </w:tcPr>
        <w:p w14:paraId="252A5C20" w14:textId="77777777" w:rsidR="00B04973" w:rsidRDefault="00B04973">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Guadalupe Ramírez Peña</w:t>
          </w:r>
        </w:p>
      </w:tc>
    </w:tr>
  </w:tbl>
  <w:p w14:paraId="24D54F31" w14:textId="77777777" w:rsidR="00B04973" w:rsidRDefault="00B04973">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30C5A" w14:textId="77777777" w:rsidR="00B04973" w:rsidRDefault="00B04973">
    <w:pPr>
      <w:widowControl w:val="0"/>
      <w:pBdr>
        <w:top w:val="nil"/>
        <w:left w:val="nil"/>
        <w:bottom w:val="nil"/>
        <w:right w:val="nil"/>
        <w:between w:val="nil"/>
      </w:pBdr>
      <w:rPr>
        <w:rFonts w:ascii="Palatino Linotype" w:eastAsia="Palatino Linotype" w:hAnsi="Palatino Linotype" w:cs="Palatino Linotype"/>
        <w:sz w:val="22"/>
        <w:szCs w:val="22"/>
      </w:rPr>
    </w:pPr>
    <w:r>
      <w:rPr>
        <w:noProof/>
      </w:rPr>
      <w:drawing>
        <wp:anchor distT="0" distB="0" distL="0" distR="0" simplePos="0" relativeHeight="251659264" behindDoc="1" locked="0" layoutInCell="1" hidden="0" allowOverlap="1" wp14:anchorId="060CB74E" wp14:editId="30E0D12D">
          <wp:simplePos x="0" y="0"/>
          <wp:positionH relativeFrom="column">
            <wp:posOffset>-929004</wp:posOffset>
          </wp:positionH>
          <wp:positionV relativeFrom="paragraph">
            <wp:posOffset>-644524</wp:posOffset>
          </wp:positionV>
          <wp:extent cx="7809865" cy="10165715"/>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7"/>
      <w:tblW w:w="5461" w:type="dxa"/>
      <w:tblInd w:w="3611" w:type="dxa"/>
      <w:tblLayout w:type="fixed"/>
      <w:tblLook w:val="0400" w:firstRow="0" w:lastRow="0" w:firstColumn="0" w:lastColumn="0" w:noHBand="0" w:noVBand="1"/>
    </w:tblPr>
    <w:tblGrid>
      <w:gridCol w:w="2343"/>
      <w:gridCol w:w="3118"/>
    </w:tblGrid>
    <w:tr w:rsidR="00B04973" w14:paraId="1419E4B9" w14:textId="77777777">
      <w:tc>
        <w:tcPr>
          <w:tcW w:w="2343" w:type="dxa"/>
          <w:vAlign w:val="center"/>
        </w:tcPr>
        <w:p w14:paraId="0A4DAE44" w14:textId="77777777" w:rsidR="00B04973" w:rsidRDefault="00B04973">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Recurso de Revisión:</w:t>
          </w:r>
        </w:p>
        <w:p w14:paraId="61232AD0" w14:textId="77777777" w:rsidR="00B04973" w:rsidRDefault="00B04973">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1D2E4BAD" w14:textId="34972363" w:rsidR="00B04973" w:rsidRDefault="00B04973" w:rsidP="00307FC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2"/>
              <w:szCs w:val="22"/>
            </w:rPr>
            <w:t>13464/INFOEM/IP/RR/2025</w:t>
          </w:r>
        </w:p>
      </w:tc>
    </w:tr>
    <w:tr w:rsidR="00B04973" w14:paraId="5406FED2" w14:textId="77777777">
      <w:tc>
        <w:tcPr>
          <w:tcW w:w="2343" w:type="dxa"/>
          <w:vAlign w:val="center"/>
        </w:tcPr>
        <w:p w14:paraId="40683B83" w14:textId="77777777" w:rsidR="00B04973" w:rsidRDefault="00B04973">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Recurrente:</w:t>
          </w:r>
        </w:p>
      </w:tc>
      <w:tc>
        <w:tcPr>
          <w:tcW w:w="3118" w:type="dxa"/>
          <w:vAlign w:val="center"/>
        </w:tcPr>
        <w:p w14:paraId="79BFF42B" w14:textId="55D24DF1" w:rsidR="00B04973" w:rsidRDefault="0066157E">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sidRPr="0066157E">
            <w:rPr>
              <w:rFonts w:ascii="Palatino Linotype" w:eastAsia="Palatino Linotype" w:hAnsi="Palatino Linotype" w:cs="Palatino Linotype"/>
              <w:b/>
              <w:color w:val="000000"/>
              <w:sz w:val="20"/>
              <w:szCs w:val="20"/>
            </w:rPr>
            <w:t>XXXXX XXX XXXXXXX XXXXXX XXXXXXX</w:t>
          </w:r>
        </w:p>
      </w:tc>
    </w:tr>
    <w:tr w:rsidR="00B04973" w14:paraId="0CE2BEAE" w14:textId="77777777">
      <w:trPr>
        <w:trHeight w:val="152"/>
      </w:trPr>
      <w:tc>
        <w:tcPr>
          <w:tcW w:w="2343" w:type="dxa"/>
          <w:vAlign w:val="center"/>
        </w:tcPr>
        <w:p w14:paraId="2B6A9907" w14:textId="77777777" w:rsidR="00B04973" w:rsidRDefault="00B04973">
          <w:pP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Sujeto obligado:</w:t>
          </w:r>
        </w:p>
        <w:p w14:paraId="337D7A1C" w14:textId="77777777" w:rsidR="00B04973" w:rsidRDefault="00B04973">
          <w:pP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6FC25278" w14:textId="5CADB393" w:rsidR="00B04973" w:rsidRDefault="00B04973" w:rsidP="000C6DFE">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2"/>
              <w:szCs w:val="22"/>
            </w:rPr>
            <w:t>Ayuntamiento de Ecatepec de Morelos</w:t>
          </w:r>
        </w:p>
      </w:tc>
    </w:tr>
    <w:tr w:rsidR="00B04973" w14:paraId="1EF4B579" w14:textId="77777777">
      <w:tc>
        <w:tcPr>
          <w:tcW w:w="2343" w:type="dxa"/>
          <w:vAlign w:val="center"/>
        </w:tcPr>
        <w:p w14:paraId="71B9E111" w14:textId="77777777" w:rsidR="00B04973" w:rsidRDefault="00B04973">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Comisionada ponente:</w:t>
          </w:r>
        </w:p>
      </w:tc>
      <w:tc>
        <w:tcPr>
          <w:tcW w:w="3118" w:type="dxa"/>
          <w:vAlign w:val="center"/>
        </w:tcPr>
        <w:p w14:paraId="02FC2A70" w14:textId="77777777" w:rsidR="00B04973" w:rsidRDefault="00B04973">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Guadalupe Ramírez Peña</w:t>
          </w:r>
        </w:p>
      </w:tc>
    </w:tr>
  </w:tbl>
  <w:p w14:paraId="2CE2B1EF" w14:textId="77777777" w:rsidR="00B04973" w:rsidRDefault="00B04973">
    <w:pPr>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4A65"/>
    <w:multiLevelType w:val="hybridMultilevel"/>
    <w:tmpl w:val="79C4E488"/>
    <w:lvl w:ilvl="0" w:tplc="080A0001">
      <w:start w:val="1"/>
      <w:numFmt w:val="bullet"/>
      <w:lvlText w:val=""/>
      <w:lvlJc w:val="left"/>
      <w:pPr>
        <w:ind w:left="721" w:hanging="360"/>
      </w:pPr>
      <w:rPr>
        <w:rFonts w:ascii="Symbol" w:hAnsi="Symbol" w:hint="default"/>
      </w:rPr>
    </w:lvl>
    <w:lvl w:ilvl="1" w:tplc="080A0003" w:tentative="1">
      <w:start w:val="1"/>
      <w:numFmt w:val="bullet"/>
      <w:lvlText w:val="o"/>
      <w:lvlJc w:val="left"/>
      <w:pPr>
        <w:ind w:left="1441" w:hanging="360"/>
      </w:pPr>
      <w:rPr>
        <w:rFonts w:ascii="Courier New" w:hAnsi="Courier New" w:cs="Courier New" w:hint="default"/>
      </w:rPr>
    </w:lvl>
    <w:lvl w:ilvl="2" w:tplc="080A0005" w:tentative="1">
      <w:start w:val="1"/>
      <w:numFmt w:val="bullet"/>
      <w:lvlText w:val=""/>
      <w:lvlJc w:val="left"/>
      <w:pPr>
        <w:ind w:left="2161" w:hanging="360"/>
      </w:pPr>
      <w:rPr>
        <w:rFonts w:ascii="Wingdings" w:hAnsi="Wingdings" w:hint="default"/>
      </w:rPr>
    </w:lvl>
    <w:lvl w:ilvl="3" w:tplc="080A0001" w:tentative="1">
      <w:start w:val="1"/>
      <w:numFmt w:val="bullet"/>
      <w:lvlText w:val=""/>
      <w:lvlJc w:val="left"/>
      <w:pPr>
        <w:ind w:left="2881" w:hanging="360"/>
      </w:pPr>
      <w:rPr>
        <w:rFonts w:ascii="Symbol" w:hAnsi="Symbol" w:hint="default"/>
      </w:rPr>
    </w:lvl>
    <w:lvl w:ilvl="4" w:tplc="080A0003" w:tentative="1">
      <w:start w:val="1"/>
      <w:numFmt w:val="bullet"/>
      <w:lvlText w:val="o"/>
      <w:lvlJc w:val="left"/>
      <w:pPr>
        <w:ind w:left="3601" w:hanging="360"/>
      </w:pPr>
      <w:rPr>
        <w:rFonts w:ascii="Courier New" w:hAnsi="Courier New" w:cs="Courier New" w:hint="default"/>
      </w:rPr>
    </w:lvl>
    <w:lvl w:ilvl="5" w:tplc="080A0005" w:tentative="1">
      <w:start w:val="1"/>
      <w:numFmt w:val="bullet"/>
      <w:lvlText w:val=""/>
      <w:lvlJc w:val="left"/>
      <w:pPr>
        <w:ind w:left="4321" w:hanging="360"/>
      </w:pPr>
      <w:rPr>
        <w:rFonts w:ascii="Wingdings" w:hAnsi="Wingdings" w:hint="default"/>
      </w:rPr>
    </w:lvl>
    <w:lvl w:ilvl="6" w:tplc="080A0001" w:tentative="1">
      <w:start w:val="1"/>
      <w:numFmt w:val="bullet"/>
      <w:lvlText w:val=""/>
      <w:lvlJc w:val="left"/>
      <w:pPr>
        <w:ind w:left="5041" w:hanging="360"/>
      </w:pPr>
      <w:rPr>
        <w:rFonts w:ascii="Symbol" w:hAnsi="Symbol" w:hint="default"/>
      </w:rPr>
    </w:lvl>
    <w:lvl w:ilvl="7" w:tplc="080A0003" w:tentative="1">
      <w:start w:val="1"/>
      <w:numFmt w:val="bullet"/>
      <w:lvlText w:val="o"/>
      <w:lvlJc w:val="left"/>
      <w:pPr>
        <w:ind w:left="5761" w:hanging="360"/>
      </w:pPr>
      <w:rPr>
        <w:rFonts w:ascii="Courier New" w:hAnsi="Courier New" w:cs="Courier New" w:hint="default"/>
      </w:rPr>
    </w:lvl>
    <w:lvl w:ilvl="8" w:tplc="080A0005" w:tentative="1">
      <w:start w:val="1"/>
      <w:numFmt w:val="bullet"/>
      <w:lvlText w:val=""/>
      <w:lvlJc w:val="left"/>
      <w:pPr>
        <w:ind w:left="6481" w:hanging="360"/>
      </w:pPr>
      <w:rPr>
        <w:rFonts w:ascii="Wingdings" w:hAnsi="Wingdings" w:hint="default"/>
      </w:rPr>
    </w:lvl>
  </w:abstractNum>
  <w:abstractNum w:abstractNumId="1" w15:restartNumberingAfterBreak="0">
    <w:nsid w:val="023556E8"/>
    <w:multiLevelType w:val="hybridMultilevel"/>
    <w:tmpl w:val="77B60772"/>
    <w:lvl w:ilvl="0" w:tplc="CAF81CC8">
      <w:start w:val="5"/>
      <w:numFmt w:val="bullet"/>
      <w:lvlText w:val="-"/>
      <w:lvlJc w:val="left"/>
      <w:pPr>
        <w:ind w:left="1571" w:hanging="360"/>
      </w:pPr>
      <w:rPr>
        <w:rFonts w:ascii="Palatino Linotype" w:eastAsia="Times New Roman" w:hAnsi="Palatino Linotype" w:cs="Times New Roman"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 w15:restartNumberingAfterBreak="0">
    <w:nsid w:val="03E752D9"/>
    <w:multiLevelType w:val="hybridMultilevel"/>
    <w:tmpl w:val="40626B42"/>
    <w:lvl w:ilvl="0" w:tplc="3C3C5B4E">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24464E"/>
    <w:multiLevelType w:val="hybridMultilevel"/>
    <w:tmpl w:val="C74070C2"/>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08B943D9"/>
    <w:multiLevelType w:val="hybridMultilevel"/>
    <w:tmpl w:val="27D0DE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6D1963"/>
    <w:multiLevelType w:val="hybridMultilevel"/>
    <w:tmpl w:val="4CAE2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736AFE"/>
    <w:multiLevelType w:val="multilevel"/>
    <w:tmpl w:val="E3E087FC"/>
    <w:lvl w:ilvl="0">
      <w:start w:val="1"/>
      <w:numFmt w:val="decimal"/>
      <w:lvlText w:val="%1)"/>
      <w:lvlJc w:val="left"/>
      <w:pPr>
        <w:ind w:left="927" w:hanging="360"/>
      </w:p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15:restartNumberingAfterBreak="0">
    <w:nsid w:val="0BD8054D"/>
    <w:multiLevelType w:val="multilevel"/>
    <w:tmpl w:val="F5348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D9D70DC"/>
    <w:multiLevelType w:val="multilevel"/>
    <w:tmpl w:val="113A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A16E8C"/>
    <w:multiLevelType w:val="hybridMultilevel"/>
    <w:tmpl w:val="87DC7374"/>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0" w15:restartNumberingAfterBreak="0">
    <w:nsid w:val="18AB154A"/>
    <w:multiLevelType w:val="hybridMultilevel"/>
    <w:tmpl w:val="20ACA70E"/>
    <w:lvl w:ilvl="0" w:tplc="8C96CC16">
      <w:start w:val="5"/>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066694"/>
    <w:multiLevelType w:val="multilevel"/>
    <w:tmpl w:val="2A2C6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F052BDB"/>
    <w:multiLevelType w:val="hybridMultilevel"/>
    <w:tmpl w:val="648CE1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FBA60E1"/>
    <w:multiLevelType w:val="hybridMultilevel"/>
    <w:tmpl w:val="833C01C6"/>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6EC77F1"/>
    <w:multiLevelType w:val="multilevel"/>
    <w:tmpl w:val="6BB0D1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707C06"/>
    <w:multiLevelType w:val="multilevel"/>
    <w:tmpl w:val="B0CC12D8"/>
    <w:lvl w:ilvl="0">
      <w:start w:val="2"/>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DCF1BB0"/>
    <w:multiLevelType w:val="hybridMultilevel"/>
    <w:tmpl w:val="A8845E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2E23727"/>
    <w:multiLevelType w:val="hybridMultilevel"/>
    <w:tmpl w:val="CA28EB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3130A81"/>
    <w:multiLevelType w:val="multilevel"/>
    <w:tmpl w:val="6D783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4E74C6D"/>
    <w:multiLevelType w:val="multilevel"/>
    <w:tmpl w:val="61E029E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387E6610"/>
    <w:multiLevelType w:val="multilevel"/>
    <w:tmpl w:val="79705B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40B05F98"/>
    <w:multiLevelType w:val="hybridMultilevel"/>
    <w:tmpl w:val="209676F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2D4121B"/>
    <w:multiLevelType w:val="hybridMultilevel"/>
    <w:tmpl w:val="8AF2D9E4"/>
    <w:lvl w:ilvl="0" w:tplc="080A000D">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4" w15:restartNumberingAfterBreak="0">
    <w:nsid w:val="470850CC"/>
    <w:multiLevelType w:val="hybridMultilevel"/>
    <w:tmpl w:val="EB7CAB56"/>
    <w:lvl w:ilvl="0" w:tplc="46966750">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7E14D4F"/>
    <w:multiLevelType w:val="multilevel"/>
    <w:tmpl w:val="20A6CE84"/>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8AE11EE"/>
    <w:multiLevelType w:val="multilevel"/>
    <w:tmpl w:val="1BCCD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C59484C"/>
    <w:multiLevelType w:val="multilevel"/>
    <w:tmpl w:val="ADD0A2AC"/>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4F042564"/>
    <w:multiLevelType w:val="hybridMultilevel"/>
    <w:tmpl w:val="4B4E66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0691881"/>
    <w:multiLevelType w:val="multilevel"/>
    <w:tmpl w:val="9208DD3A"/>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2B53A72"/>
    <w:multiLevelType w:val="hybridMultilevel"/>
    <w:tmpl w:val="B0647A12"/>
    <w:lvl w:ilvl="0" w:tplc="080A0017">
      <w:start w:val="1"/>
      <w:numFmt w:val="lowerLetter"/>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31" w15:restartNumberingAfterBreak="0">
    <w:nsid w:val="56635056"/>
    <w:multiLevelType w:val="multilevel"/>
    <w:tmpl w:val="8C18ED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EFF26A4"/>
    <w:multiLevelType w:val="hybridMultilevel"/>
    <w:tmpl w:val="146A8F7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3" w15:restartNumberingAfterBreak="0">
    <w:nsid w:val="61414336"/>
    <w:multiLevelType w:val="hybridMultilevel"/>
    <w:tmpl w:val="526C8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3046A1F"/>
    <w:multiLevelType w:val="multilevel"/>
    <w:tmpl w:val="F320C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5652EE7"/>
    <w:multiLevelType w:val="multilevel"/>
    <w:tmpl w:val="2F789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7142C49"/>
    <w:multiLevelType w:val="multilevel"/>
    <w:tmpl w:val="30B4AF1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8717A16"/>
    <w:multiLevelType w:val="multilevel"/>
    <w:tmpl w:val="FE0A5F9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6C3508A3"/>
    <w:multiLevelType w:val="multilevel"/>
    <w:tmpl w:val="1134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4715E4"/>
    <w:multiLevelType w:val="hybridMultilevel"/>
    <w:tmpl w:val="BCEC5E1E"/>
    <w:lvl w:ilvl="0" w:tplc="583EAEC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0" w15:restartNumberingAfterBreak="0">
    <w:nsid w:val="717D094A"/>
    <w:multiLevelType w:val="hybridMultilevel"/>
    <w:tmpl w:val="2D64B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66C591C"/>
    <w:multiLevelType w:val="multilevel"/>
    <w:tmpl w:val="BBF4F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9C01BB5"/>
    <w:multiLevelType w:val="multilevel"/>
    <w:tmpl w:val="5D2CB75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7A5A1DCB"/>
    <w:multiLevelType w:val="multilevel"/>
    <w:tmpl w:val="5996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083A9B"/>
    <w:multiLevelType w:val="multilevel"/>
    <w:tmpl w:val="01A0AE9C"/>
    <w:lvl w:ilvl="0">
      <w:start w:val="2"/>
      <w:numFmt w:val="bullet"/>
      <w:pStyle w:val="Listaconvietas"/>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5" w15:restartNumberingAfterBreak="0">
    <w:nsid w:val="7C337F65"/>
    <w:multiLevelType w:val="multilevel"/>
    <w:tmpl w:val="4A4A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7"/>
  </w:num>
  <w:num w:numId="3">
    <w:abstractNumId w:val="27"/>
  </w:num>
  <w:num w:numId="4">
    <w:abstractNumId w:val="44"/>
  </w:num>
  <w:num w:numId="5">
    <w:abstractNumId w:val="14"/>
  </w:num>
  <w:num w:numId="6">
    <w:abstractNumId w:val="35"/>
  </w:num>
  <w:num w:numId="7">
    <w:abstractNumId w:val="45"/>
  </w:num>
  <w:num w:numId="8">
    <w:abstractNumId w:val="8"/>
  </w:num>
  <w:num w:numId="9">
    <w:abstractNumId w:val="1"/>
  </w:num>
  <w:num w:numId="10">
    <w:abstractNumId w:val="6"/>
  </w:num>
  <w:num w:numId="11">
    <w:abstractNumId w:val="32"/>
  </w:num>
  <w:num w:numId="12">
    <w:abstractNumId w:val="22"/>
  </w:num>
  <w:num w:numId="13">
    <w:abstractNumId w:val="31"/>
  </w:num>
  <w:num w:numId="14">
    <w:abstractNumId w:val="30"/>
  </w:num>
  <w:num w:numId="15">
    <w:abstractNumId w:val="20"/>
  </w:num>
  <w:num w:numId="16">
    <w:abstractNumId w:val="18"/>
  </w:num>
  <w:num w:numId="17">
    <w:abstractNumId w:val="42"/>
  </w:num>
  <w:num w:numId="18">
    <w:abstractNumId w:val="37"/>
  </w:num>
  <w:num w:numId="19">
    <w:abstractNumId w:val="19"/>
  </w:num>
  <w:num w:numId="20">
    <w:abstractNumId w:val="36"/>
  </w:num>
  <w:num w:numId="21">
    <w:abstractNumId w:val="2"/>
  </w:num>
  <w:num w:numId="22">
    <w:abstractNumId w:val="13"/>
  </w:num>
  <w:num w:numId="23">
    <w:abstractNumId w:val="16"/>
  </w:num>
  <w:num w:numId="24">
    <w:abstractNumId w:val="3"/>
  </w:num>
  <w:num w:numId="25">
    <w:abstractNumId w:val="11"/>
  </w:num>
  <w:num w:numId="26">
    <w:abstractNumId w:val="24"/>
  </w:num>
  <w:num w:numId="27">
    <w:abstractNumId w:val="10"/>
  </w:num>
  <w:num w:numId="28">
    <w:abstractNumId w:val="43"/>
  </w:num>
  <w:num w:numId="29">
    <w:abstractNumId w:val="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39"/>
  </w:num>
  <w:num w:numId="33">
    <w:abstractNumId w:val="33"/>
  </w:num>
  <w:num w:numId="34">
    <w:abstractNumId w:val="17"/>
  </w:num>
  <w:num w:numId="35">
    <w:abstractNumId w:val="15"/>
  </w:num>
  <w:num w:numId="36">
    <w:abstractNumId w:val="25"/>
  </w:num>
  <w:num w:numId="37">
    <w:abstractNumId w:val="28"/>
  </w:num>
  <w:num w:numId="38">
    <w:abstractNumId w:val="41"/>
  </w:num>
  <w:num w:numId="39">
    <w:abstractNumId w:val="34"/>
  </w:num>
  <w:num w:numId="40">
    <w:abstractNumId w:val="26"/>
  </w:num>
  <w:num w:numId="41">
    <w:abstractNumId w:val="12"/>
  </w:num>
  <w:num w:numId="42">
    <w:abstractNumId w:val="5"/>
  </w:num>
  <w:num w:numId="43">
    <w:abstractNumId w:val="40"/>
  </w:num>
  <w:num w:numId="44">
    <w:abstractNumId w:val="38"/>
  </w:num>
  <w:num w:numId="45">
    <w:abstractNumId w:val="23"/>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F6"/>
    <w:rsid w:val="00000C03"/>
    <w:rsid w:val="000019BA"/>
    <w:rsid w:val="00003CC0"/>
    <w:rsid w:val="00011BB7"/>
    <w:rsid w:val="000140E9"/>
    <w:rsid w:val="00014376"/>
    <w:rsid w:val="00025074"/>
    <w:rsid w:val="000413D1"/>
    <w:rsid w:val="000472DB"/>
    <w:rsid w:val="000505A2"/>
    <w:rsid w:val="000710D6"/>
    <w:rsid w:val="00072502"/>
    <w:rsid w:val="00085E1F"/>
    <w:rsid w:val="000875C9"/>
    <w:rsid w:val="000C2D35"/>
    <w:rsid w:val="000C6DFE"/>
    <w:rsid w:val="000F461B"/>
    <w:rsid w:val="000F5AFD"/>
    <w:rsid w:val="00102B00"/>
    <w:rsid w:val="00106A63"/>
    <w:rsid w:val="0010766B"/>
    <w:rsid w:val="0011572F"/>
    <w:rsid w:val="00115C81"/>
    <w:rsid w:val="0012241A"/>
    <w:rsid w:val="001244B6"/>
    <w:rsid w:val="00125EA1"/>
    <w:rsid w:val="00137C81"/>
    <w:rsid w:val="00167CFB"/>
    <w:rsid w:val="00171044"/>
    <w:rsid w:val="00171DF7"/>
    <w:rsid w:val="00177120"/>
    <w:rsid w:val="00194ED1"/>
    <w:rsid w:val="00195613"/>
    <w:rsid w:val="001A7868"/>
    <w:rsid w:val="001D787B"/>
    <w:rsid w:val="001E0DEC"/>
    <w:rsid w:val="001E174F"/>
    <w:rsid w:val="001E449F"/>
    <w:rsid w:val="001F5076"/>
    <w:rsid w:val="00215433"/>
    <w:rsid w:val="00220962"/>
    <w:rsid w:val="00232050"/>
    <w:rsid w:val="00241C45"/>
    <w:rsid w:val="00251552"/>
    <w:rsid w:val="00261424"/>
    <w:rsid w:val="00271603"/>
    <w:rsid w:val="00282A93"/>
    <w:rsid w:val="00287278"/>
    <w:rsid w:val="00290A1C"/>
    <w:rsid w:val="00294BBE"/>
    <w:rsid w:val="002A38A5"/>
    <w:rsid w:val="002A642E"/>
    <w:rsid w:val="002C4916"/>
    <w:rsid w:val="002C6140"/>
    <w:rsid w:val="002C63CA"/>
    <w:rsid w:val="002E51A0"/>
    <w:rsid w:val="002E705D"/>
    <w:rsid w:val="002F289C"/>
    <w:rsid w:val="00307FC2"/>
    <w:rsid w:val="00324821"/>
    <w:rsid w:val="00334A1C"/>
    <w:rsid w:val="00336C8D"/>
    <w:rsid w:val="003412FF"/>
    <w:rsid w:val="00351E01"/>
    <w:rsid w:val="003535F7"/>
    <w:rsid w:val="00357E62"/>
    <w:rsid w:val="003725E2"/>
    <w:rsid w:val="00374863"/>
    <w:rsid w:val="00381615"/>
    <w:rsid w:val="00382B63"/>
    <w:rsid w:val="00385ACA"/>
    <w:rsid w:val="003B746B"/>
    <w:rsid w:val="003C1D7A"/>
    <w:rsid w:val="003D17CE"/>
    <w:rsid w:val="003E0545"/>
    <w:rsid w:val="003F11D8"/>
    <w:rsid w:val="003F6A2A"/>
    <w:rsid w:val="004066C2"/>
    <w:rsid w:val="00413D80"/>
    <w:rsid w:val="0041583A"/>
    <w:rsid w:val="00421C3A"/>
    <w:rsid w:val="00422637"/>
    <w:rsid w:val="00426E89"/>
    <w:rsid w:val="0045016F"/>
    <w:rsid w:val="00451E0D"/>
    <w:rsid w:val="004652A0"/>
    <w:rsid w:val="00477E95"/>
    <w:rsid w:val="004921E1"/>
    <w:rsid w:val="004958B3"/>
    <w:rsid w:val="004A2D78"/>
    <w:rsid w:val="004A4D59"/>
    <w:rsid w:val="004B0400"/>
    <w:rsid w:val="004B0E0F"/>
    <w:rsid w:val="004B37BF"/>
    <w:rsid w:val="004B699A"/>
    <w:rsid w:val="004C147A"/>
    <w:rsid w:val="004C6A5F"/>
    <w:rsid w:val="004D790A"/>
    <w:rsid w:val="00507CDE"/>
    <w:rsid w:val="005116B7"/>
    <w:rsid w:val="00524582"/>
    <w:rsid w:val="00541989"/>
    <w:rsid w:val="00565104"/>
    <w:rsid w:val="005667AE"/>
    <w:rsid w:val="00571BF7"/>
    <w:rsid w:val="005736AA"/>
    <w:rsid w:val="005764D6"/>
    <w:rsid w:val="0058244A"/>
    <w:rsid w:val="0059705D"/>
    <w:rsid w:val="005A4875"/>
    <w:rsid w:val="005A668A"/>
    <w:rsid w:val="005B15F7"/>
    <w:rsid w:val="005B79A1"/>
    <w:rsid w:val="005C3FA2"/>
    <w:rsid w:val="005C74CB"/>
    <w:rsid w:val="005D28FA"/>
    <w:rsid w:val="005D6395"/>
    <w:rsid w:val="005E009A"/>
    <w:rsid w:val="005F306A"/>
    <w:rsid w:val="005F460A"/>
    <w:rsid w:val="00602DB8"/>
    <w:rsid w:val="0060454F"/>
    <w:rsid w:val="00605693"/>
    <w:rsid w:val="00607DE9"/>
    <w:rsid w:val="00617B63"/>
    <w:rsid w:val="00627BA6"/>
    <w:rsid w:val="0063148C"/>
    <w:rsid w:val="00635F53"/>
    <w:rsid w:val="00646AA6"/>
    <w:rsid w:val="0065542F"/>
    <w:rsid w:val="0066157E"/>
    <w:rsid w:val="00662196"/>
    <w:rsid w:val="006712A5"/>
    <w:rsid w:val="0067251B"/>
    <w:rsid w:val="00680C8C"/>
    <w:rsid w:val="006B413C"/>
    <w:rsid w:val="006C5268"/>
    <w:rsid w:val="006D0447"/>
    <w:rsid w:val="006D2F09"/>
    <w:rsid w:val="006D4A7D"/>
    <w:rsid w:val="006E3440"/>
    <w:rsid w:val="00701829"/>
    <w:rsid w:val="00707E5B"/>
    <w:rsid w:val="00730751"/>
    <w:rsid w:val="007342D3"/>
    <w:rsid w:val="0073595F"/>
    <w:rsid w:val="00740429"/>
    <w:rsid w:val="007425E8"/>
    <w:rsid w:val="007668BD"/>
    <w:rsid w:val="007671AC"/>
    <w:rsid w:val="00776154"/>
    <w:rsid w:val="0079048E"/>
    <w:rsid w:val="007A113B"/>
    <w:rsid w:val="007A22E9"/>
    <w:rsid w:val="007A250C"/>
    <w:rsid w:val="007A6122"/>
    <w:rsid w:val="007B023D"/>
    <w:rsid w:val="007C365E"/>
    <w:rsid w:val="008012C6"/>
    <w:rsid w:val="00816709"/>
    <w:rsid w:val="00822722"/>
    <w:rsid w:val="00822FC6"/>
    <w:rsid w:val="0082404E"/>
    <w:rsid w:val="0083209D"/>
    <w:rsid w:val="00837198"/>
    <w:rsid w:val="00843597"/>
    <w:rsid w:val="00850987"/>
    <w:rsid w:val="0085476E"/>
    <w:rsid w:val="008655BD"/>
    <w:rsid w:val="008749A3"/>
    <w:rsid w:val="00874D15"/>
    <w:rsid w:val="008903B9"/>
    <w:rsid w:val="0089595B"/>
    <w:rsid w:val="008A24A2"/>
    <w:rsid w:val="008A3B54"/>
    <w:rsid w:val="008D5D61"/>
    <w:rsid w:val="008E4A90"/>
    <w:rsid w:val="008E5996"/>
    <w:rsid w:val="008E5C4C"/>
    <w:rsid w:val="009176B4"/>
    <w:rsid w:val="00923A7C"/>
    <w:rsid w:val="00933AF4"/>
    <w:rsid w:val="00941BA0"/>
    <w:rsid w:val="009456FA"/>
    <w:rsid w:val="00951057"/>
    <w:rsid w:val="0095650A"/>
    <w:rsid w:val="009653D4"/>
    <w:rsid w:val="00992177"/>
    <w:rsid w:val="00992C9D"/>
    <w:rsid w:val="009A113E"/>
    <w:rsid w:val="009B7611"/>
    <w:rsid w:val="009C5423"/>
    <w:rsid w:val="009D0B8C"/>
    <w:rsid w:val="009D1375"/>
    <w:rsid w:val="009D625A"/>
    <w:rsid w:val="009D7455"/>
    <w:rsid w:val="009E3BCC"/>
    <w:rsid w:val="00A16203"/>
    <w:rsid w:val="00A342FD"/>
    <w:rsid w:val="00A5306B"/>
    <w:rsid w:val="00A63728"/>
    <w:rsid w:val="00A901FB"/>
    <w:rsid w:val="00A91027"/>
    <w:rsid w:val="00AA08AE"/>
    <w:rsid w:val="00AA5D5B"/>
    <w:rsid w:val="00AB4893"/>
    <w:rsid w:val="00AB6007"/>
    <w:rsid w:val="00AD35BC"/>
    <w:rsid w:val="00AE1500"/>
    <w:rsid w:val="00AE181D"/>
    <w:rsid w:val="00AE34F4"/>
    <w:rsid w:val="00AE4C99"/>
    <w:rsid w:val="00AF516B"/>
    <w:rsid w:val="00AF6459"/>
    <w:rsid w:val="00AF6A93"/>
    <w:rsid w:val="00B01F31"/>
    <w:rsid w:val="00B04973"/>
    <w:rsid w:val="00B0784B"/>
    <w:rsid w:val="00B1096C"/>
    <w:rsid w:val="00B11D16"/>
    <w:rsid w:val="00B21479"/>
    <w:rsid w:val="00B27D30"/>
    <w:rsid w:val="00B4317F"/>
    <w:rsid w:val="00B50137"/>
    <w:rsid w:val="00B5111D"/>
    <w:rsid w:val="00B67739"/>
    <w:rsid w:val="00B67B0F"/>
    <w:rsid w:val="00B705EB"/>
    <w:rsid w:val="00B8230E"/>
    <w:rsid w:val="00B95CC7"/>
    <w:rsid w:val="00BB7C63"/>
    <w:rsid w:val="00BF7077"/>
    <w:rsid w:val="00C1728E"/>
    <w:rsid w:val="00C2497E"/>
    <w:rsid w:val="00C25E9B"/>
    <w:rsid w:val="00C334B6"/>
    <w:rsid w:val="00C64701"/>
    <w:rsid w:val="00C801A6"/>
    <w:rsid w:val="00C877F6"/>
    <w:rsid w:val="00C93CB2"/>
    <w:rsid w:val="00C94A83"/>
    <w:rsid w:val="00C975DF"/>
    <w:rsid w:val="00C9792E"/>
    <w:rsid w:val="00CB4C69"/>
    <w:rsid w:val="00CC02D9"/>
    <w:rsid w:val="00CC63A3"/>
    <w:rsid w:val="00CD4BE9"/>
    <w:rsid w:val="00CD5A95"/>
    <w:rsid w:val="00CE32E2"/>
    <w:rsid w:val="00CF7200"/>
    <w:rsid w:val="00D261B6"/>
    <w:rsid w:val="00D3382D"/>
    <w:rsid w:val="00D35935"/>
    <w:rsid w:val="00D411D4"/>
    <w:rsid w:val="00D44B6F"/>
    <w:rsid w:val="00D47A86"/>
    <w:rsid w:val="00D501D9"/>
    <w:rsid w:val="00D503A7"/>
    <w:rsid w:val="00D5108C"/>
    <w:rsid w:val="00D51467"/>
    <w:rsid w:val="00D52078"/>
    <w:rsid w:val="00D548D9"/>
    <w:rsid w:val="00D561F5"/>
    <w:rsid w:val="00D632AD"/>
    <w:rsid w:val="00D63364"/>
    <w:rsid w:val="00D71419"/>
    <w:rsid w:val="00D73335"/>
    <w:rsid w:val="00D8051A"/>
    <w:rsid w:val="00D85947"/>
    <w:rsid w:val="00D86E05"/>
    <w:rsid w:val="00DA6825"/>
    <w:rsid w:val="00DA69F8"/>
    <w:rsid w:val="00DB20F5"/>
    <w:rsid w:val="00DB2ED8"/>
    <w:rsid w:val="00DB3E69"/>
    <w:rsid w:val="00DC2CE2"/>
    <w:rsid w:val="00DC5898"/>
    <w:rsid w:val="00DC7D82"/>
    <w:rsid w:val="00DE7292"/>
    <w:rsid w:val="00DF2ABD"/>
    <w:rsid w:val="00DF4BF2"/>
    <w:rsid w:val="00E01C63"/>
    <w:rsid w:val="00E111DF"/>
    <w:rsid w:val="00E13479"/>
    <w:rsid w:val="00E21C9B"/>
    <w:rsid w:val="00E26AFB"/>
    <w:rsid w:val="00E33B49"/>
    <w:rsid w:val="00E34123"/>
    <w:rsid w:val="00E34B63"/>
    <w:rsid w:val="00E35B1C"/>
    <w:rsid w:val="00E36FCB"/>
    <w:rsid w:val="00E40539"/>
    <w:rsid w:val="00E41166"/>
    <w:rsid w:val="00E41F94"/>
    <w:rsid w:val="00E542DD"/>
    <w:rsid w:val="00E70C81"/>
    <w:rsid w:val="00E70D5E"/>
    <w:rsid w:val="00E90A7F"/>
    <w:rsid w:val="00E9219F"/>
    <w:rsid w:val="00E97AD5"/>
    <w:rsid w:val="00EA1814"/>
    <w:rsid w:val="00EB342A"/>
    <w:rsid w:val="00EB78E5"/>
    <w:rsid w:val="00ED1F46"/>
    <w:rsid w:val="00EE30D8"/>
    <w:rsid w:val="00EE74AB"/>
    <w:rsid w:val="00F0001E"/>
    <w:rsid w:val="00F0041B"/>
    <w:rsid w:val="00F11903"/>
    <w:rsid w:val="00F32130"/>
    <w:rsid w:val="00F330F8"/>
    <w:rsid w:val="00F36565"/>
    <w:rsid w:val="00F50BF6"/>
    <w:rsid w:val="00F60B31"/>
    <w:rsid w:val="00F63FA8"/>
    <w:rsid w:val="00F6784D"/>
    <w:rsid w:val="00F77DCA"/>
    <w:rsid w:val="00F80CD2"/>
    <w:rsid w:val="00F86950"/>
    <w:rsid w:val="00F90408"/>
    <w:rsid w:val="00FA6C9F"/>
    <w:rsid w:val="00FB389B"/>
    <w:rsid w:val="00FD2A8A"/>
    <w:rsid w:val="00FE2BEA"/>
    <w:rsid w:val="00FF4F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03C616"/>
  <w15:docId w15:val="{9B6F5DC6-6478-4D7C-BEBD-2CE44165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CD74AE"/>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CD74AE"/>
    <w:rPr>
      <w:color w:val="0563C1" w:themeColor="hyperlink"/>
      <w:u w:val="single"/>
    </w:rPr>
  </w:style>
  <w:style w:type="table" w:styleId="Tablaconcuadrcula">
    <w:name w:val="Table Grid"/>
    <w:basedOn w:val="Tablanormal"/>
    <w:uiPriority w:val="39"/>
    <w:rsid w:val="009C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6">
    <w:name w:val="6"/>
    <w:basedOn w:val="TableNormal10"/>
    <w:tblPr>
      <w:tblStyleRowBandSize w:val="1"/>
      <w:tblStyleColBandSize w:val="1"/>
      <w:tblCellMar>
        <w:top w:w="15" w:type="dxa"/>
        <w:left w:w="15" w:type="dxa"/>
        <w:bottom w:w="15" w:type="dxa"/>
        <w:right w:w="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top w:w="15" w:type="dxa"/>
        <w:left w:w="115" w:type="dxa"/>
        <w:bottom w:w="15" w:type="dxa"/>
        <w:right w:w="115" w:type="dxa"/>
      </w:tblCellMar>
    </w:tblPr>
  </w:style>
  <w:style w:type="table" w:customStyle="1" w:styleId="2">
    <w:name w:val="2"/>
    <w:basedOn w:val="TableNormal10"/>
    <w:tblPr>
      <w:tblStyleRowBandSize w:val="1"/>
      <w:tblStyleColBandSize w:val="1"/>
      <w:tblCellMar>
        <w:top w:w="15" w:type="dxa"/>
        <w:left w:w="115" w:type="dxa"/>
        <w:bottom w:w="15" w:type="dxa"/>
        <w:right w:w="115" w:type="dxa"/>
      </w:tblCellMar>
    </w:tblPr>
  </w:style>
  <w:style w:type="table" w:customStyle="1" w:styleId="1">
    <w:name w:val="1"/>
    <w:basedOn w:val="TableNormal10"/>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character" w:customStyle="1" w:styleId="Mencinsinresolver2">
    <w:name w:val="Mención sin resolver2"/>
    <w:basedOn w:val="Fuentedeprrafopredeter"/>
    <w:uiPriority w:val="99"/>
    <w:semiHidden/>
    <w:unhideWhenUsed/>
    <w:rsid w:val="00AC79ED"/>
    <w:rPr>
      <w:color w:val="605E5C"/>
      <w:shd w:val="clear" w:color="auto" w:fill="E1DFDD"/>
    </w:rPr>
  </w:style>
  <w:style w:type="paragraph" w:customStyle="1" w:styleId="Default">
    <w:name w:val="Default"/>
    <w:rsid w:val="00A27592"/>
    <w:pPr>
      <w:autoSpaceDE w:val="0"/>
      <w:autoSpaceDN w:val="0"/>
      <w:adjustRightInd w:val="0"/>
    </w:pPr>
    <w:rPr>
      <w:rFonts w:ascii="Arial" w:hAnsi="Arial" w:cs="Arial"/>
      <w:color w:val="000000"/>
    </w:rPr>
  </w:style>
  <w:style w:type="character" w:customStyle="1" w:styleId="normaltextrun">
    <w:name w:val="normaltextrun"/>
    <w:basedOn w:val="Fuentedeprrafopredeter"/>
    <w:rsid w:val="002F3C2D"/>
  </w:style>
  <w:style w:type="paragraph" w:styleId="Sinespaciado">
    <w:name w:val="No Spacing"/>
    <w:aliases w:val="Francesa,INAI"/>
    <w:link w:val="SinespaciadoCar"/>
    <w:uiPriority w:val="1"/>
    <w:qFormat/>
    <w:rsid w:val="00F01E4E"/>
    <w:rPr>
      <w:lang w:val="es-ES" w:eastAsia="es-ES"/>
    </w:rPr>
  </w:style>
  <w:style w:type="character" w:customStyle="1" w:styleId="SinespaciadoCar">
    <w:name w:val="Sin espaciado Car"/>
    <w:aliases w:val="Francesa Car,INAI Car"/>
    <w:link w:val="Sinespaciado"/>
    <w:uiPriority w:val="1"/>
    <w:locked/>
    <w:rsid w:val="00F01E4E"/>
    <w:rPr>
      <w:rFonts w:ascii="Times New Roman" w:eastAsia="Times New Roman" w:hAnsi="Times New Roman" w:cs="Times New Roman"/>
      <w:sz w:val="24"/>
      <w:szCs w:val="24"/>
      <w:lang w:val="es-ES" w:eastAsia="es-ES"/>
    </w:rPr>
  </w:style>
  <w:style w:type="table" w:customStyle="1" w:styleId="9">
    <w:name w:val="9"/>
    <w:basedOn w:val="TableNormal20"/>
    <w:tblPr>
      <w:tblStyleRowBandSize w:val="1"/>
      <w:tblStyleColBandSize w:val="1"/>
      <w:tblCellMar>
        <w:left w:w="108" w:type="dxa"/>
        <w:right w:w="108" w:type="dxa"/>
      </w:tblCellMar>
    </w:tblPr>
  </w:style>
  <w:style w:type="table" w:customStyle="1" w:styleId="8">
    <w:name w:val="8"/>
    <w:basedOn w:val="TableNormal20"/>
    <w:tblPr>
      <w:tblStyleRowBandSize w:val="1"/>
      <w:tblStyleColBandSize w:val="1"/>
      <w:tblCellMar>
        <w:top w:w="15" w:type="dxa"/>
        <w:left w:w="115" w:type="dxa"/>
        <w:bottom w:w="15" w:type="dxa"/>
        <w:right w:w="115" w:type="dxa"/>
      </w:tblCellMar>
    </w:tblPr>
  </w:style>
  <w:style w:type="table" w:customStyle="1" w:styleId="7">
    <w:name w:val="7"/>
    <w:basedOn w:val="TableNormal20"/>
    <w:tblPr>
      <w:tblStyleRowBandSize w:val="1"/>
      <w:tblStyleColBandSize w:val="1"/>
      <w:tblCellMar>
        <w:top w:w="15" w:type="dxa"/>
        <w:left w:w="115" w:type="dxa"/>
        <w:bottom w:w="15" w:type="dxa"/>
        <w:right w:w="115" w:type="dxa"/>
      </w:tblCellMar>
    </w:tblPr>
  </w:style>
  <w:style w:type="character" w:customStyle="1" w:styleId="Mencinsinresolver3">
    <w:name w:val="Mención sin resolver3"/>
    <w:basedOn w:val="Fuentedeprrafopredeter"/>
    <w:uiPriority w:val="99"/>
    <w:semiHidden/>
    <w:unhideWhenUsed/>
    <w:rsid w:val="00B91EC4"/>
    <w:rPr>
      <w:color w:val="605E5C"/>
      <w:shd w:val="clear" w:color="auto" w:fill="E1DFDD"/>
    </w:rPr>
  </w:style>
  <w:style w:type="character" w:styleId="Refdecomentario">
    <w:name w:val="annotation reference"/>
    <w:basedOn w:val="Fuentedeprrafopredeter"/>
    <w:uiPriority w:val="99"/>
    <w:semiHidden/>
    <w:unhideWhenUsed/>
    <w:rsid w:val="007266CA"/>
    <w:rPr>
      <w:sz w:val="16"/>
      <w:szCs w:val="16"/>
    </w:rPr>
  </w:style>
  <w:style w:type="paragraph" w:styleId="Textocomentario">
    <w:name w:val="annotation text"/>
    <w:basedOn w:val="Normal"/>
    <w:link w:val="TextocomentarioCar"/>
    <w:uiPriority w:val="99"/>
    <w:semiHidden/>
    <w:unhideWhenUsed/>
    <w:rsid w:val="007266CA"/>
    <w:rPr>
      <w:sz w:val="20"/>
      <w:szCs w:val="20"/>
    </w:rPr>
  </w:style>
  <w:style w:type="character" w:customStyle="1" w:styleId="TextocomentarioCar">
    <w:name w:val="Texto comentario Car"/>
    <w:basedOn w:val="Fuentedeprrafopredeter"/>
    <w:link w:val="Textocomentario"/>
    <w:uiPriority w:val="99"/>
    <w:semiHidden/>
    <w:rsid w:val="007266CA"/>
    <w:rPr>
      <w:rFonts w:eastAsia="Times New Roman"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266CA"/>
    <w:rPr>
      <w:b/>
      <w:bCs/>
    </w:rPr>
  </w:style>
  <w:style w:type="character" w:customStyle="1" w:styleId="AsuntodelcomentarioCar">
    <w:name w:val="Asunto del comentario Car"/>
    <w:basedOn w:val="TextocomentarioCar"/>
    <w:link w:val="Asuntodelcomentario"/>
    <w:uiPriority w:val="99"/>
    <w:semiHidden/>
    <w:rsid w:val="007266CA"/>
    <w:rPr>
      <w:rFonts w:eastAsia="Times New Roman" w:cs="Times New Roman"/>
      <w:b/>
      <w:bCs/>
      <w:sz w:val="20"/>
      <w:szCs w:val="20"/>
      <w:lang w:eastAsia="en-US"/>
    </w:rPr>
  </w:style>
  <w:style w:type="character" w:styleId="Textodelmarcadordeposicin">
    <w:name w:val="Placeholder Text"/>
    <w:basedOn w:val="Fuentedeprrafopredeter"/>
    <w:uiPriority w:val="99"/>
    <w:semiHidden/>
    <w:rsid w:val="007266CA"/>
    <w:rPr>
      <w:color w:val="808080"/>
    </w:rPr>
  </w:style>
  <w:style w:type="character" w:styleId="Hipervnculovisitado">
    <w:name w:val="FollowedHyperlink"/>
    <w:basedOn w:val="Fuentedeprrafopredeter"/>
    <w:uiPriority w:val="99"/>
    <w:semiHidden/>
    <w:unhideWhenUsed/>
    <w:rsid w:val="00FC1F2B"/>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C1F2B"/>
    <w:rPr>
      <w:rFonts w:asciiTheme="minorHAnsi" w:eastAsiaTheme="minorHAnsi" w:hAnsiTheme="minorHAnsi" w:cstheme="minorBidi"/>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C1F2B"/>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1F2B"/>
    <w:rPr>
      <w:vertAlign w:val="superscript"/>
    </w:rPr>
  </w:style>
  <w:style w:type="character" w:customStyle="1" w:styleId="PuestoCar">
    <w:name w:val="Puesto Car"/>
    <w:aliases w:val="Cita textual Car"/>
    <w:basedOn w:val="Fuentedeprrafopredeter"/>
    <w:uiPriority w:val="10"/>
    <w:rsid w:val="00EC101D"/>
    <w:rPr>
      <w:rFonts w:eastAsia="Times New Roman" w:cs="Times New Roman"/>
      <w:b/>
      <w:sz w:val="72"/>
      <w:szCs w:val="72"/>
      <w:lang w:eastAsia="en-US"/>
    </w:rPr>
  </w:style>
  <w:style w:type="table" w:customStyle="1" w:styleId="Tablanormal11">
    <w:name w:val="Tabla normal 11"/>
    <w:basedOn w:val="Tablanormal"/>
    <w:uiPriority w:val="41"/>
    <w:rsid w:val="009A0A8D"/>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top w:w="15" w:type="dxa"/>
        <w:left w:w="115" w:type="dxa"/>
        <w:bottom w:w="15" w:type="dxa"/>
        <w:right w:w="115" w:type="dxa"/>
      </w:tblCellMar>
    </w:tblPr>
  </w:style>
  <w:style w:type="table" w:customStyle="1" w:styleId="a4">
    <w:basedOn w:val="TableNormal4"/>
    <w:tblPr>
      <w:tblStyleRowBandSize w:val="1"/>
      <w:tblStyleColBandSize w:val="1"/>
      <w:tblCellMar>
        <w:top w:w="15" w:type="dxa"/>
        <w:left w:w="115" w:type="dxa"/>
        <w:bottom w:w="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top w:w="15" w:type="dxa"/>
        <w:left w:w="115" w:type="dxa"/>
        <w:bottom w:w="15" w:type="dxa"/>
        <w:right w:w="115" w:type="dxa"/>
      </w:tblCellMar>
    </w:tblPr>
  </w:style>
  <w:style w:type="table" w:customStyle="1" w:styleId="aa">
    <w:basedOn w:val="TableNormal3"/>
    <w:tblPr>
      <w:tblStyleRowBandSize w:val="1"/>
      <w:tblStyleColBandSize w:val="1"/>
      <w:tblCellMar>
        <w:top w:w="15" w:type="dxa"/>
        <w:left w:w="115" w:type="dxa"/>
        <w:bottom w:w="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top w:w="15" w:type="dxa"/>
        <w:left w:w="115" w:type="dxa"/>
        <w:bottom w:w="15" w:type="dxa"/>
        <w:right w:w="115" w:type="dxa"/>
      </w:tblCellMar>
    </w:tblPr>
  </w:style>
  <w:style w:type="table" w:customStyle="1" w:styleId="af2">
    <w:basedOn w:val="TableNormal2"/>
    <w:tblPr>
      <w:tblStyleRowBandSize w:val="1"/>
      <w:tblStyleColBandSize w:val="1"/>
      <w:tblCellMar>
        <w:top w:w="15" w:type="dxa"/>
        <w:left w:w="115" w:type="dxa"/>
        <w:bottom w:w="15" w:type="dxa"/>
        <w:right w:w="115" w:type="dxa"/>
      </w:tblCellMar>
    </w:tblPr>
  </w:style>
  <w:style w:type="character" w:styleId="Textoennegrita">
    <w:name w:val="Strong"/>
    <w:basedOn w:val="Fuentedeprrafopredeter"/>
    <w:uiPriority w:val="22"/>
    <w:qFormat/>
    <w:rsid w:val="00AC6527"/>
    <w:rPr>
      <w:b/>
      <w:bCs/>
    </w:rPr>
  </w:style>
  <w:style w:type="character" w:customStyle="1" w:styleId="apple-tab-span">
    <w:name w:val="apple-tab-span"/>
    <w:basedOn w:val="Fuentedeprrafopredeter"/>
    <w:rsid w:val="00EB58F7"/>
  </w:style>
  <w:style w:type="paragraph" w:styleId="Listaconvietas3">
    <w:name w:val="List Bullet 3"/>
    <w:basedOn w:val="Normal"/>
    <w:uiPriority w:val="99"/>
    <w:unhideWhenUsed/>
    <w:rsid w:val="00AF720B"/>
    <w:pPr>
      <w:numPr>
        <w:numId w:val="1"/>
      </w:numPr>
      <w:contextualSpacing/>
    </w:p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top w:w="15" w:type="dxa"/>
        <w:left w:w="115" w:type="dxa"/>
        <w:bottom w:w="15" w:type="dxa"/>
        <w:right w:w="115" w:type="dxa"/>
      </w:tblCellMar>
    </w:tblPr>
  </w:style>
  <w:style w:type="table" w:customStyle="1" w:styleId="af5">
    <w:basedOn w:val="TableNormal1"/>
    <w:tblPr>
      <w:tblStyleRowBandSize w:val="1"/>
      <w:tblStyleColBandSize w:val="1"/>
      <w:tblCellMar>
        <w:top w:w="15" w:type="dxa"/>
        <w:left w:w="115" w:type="dxa"/>
        <w:bottom w:w="15" w:type="dxa"/>
        <w:right w:w="115" w:type="dxa"/>
      </w:tblCellMar>
    </w:tblPr>
  </w:style>
  <w:style w:type="paragraph" w:styleId="Listaconvietas">
    <w:name w:val="List Bullet"/>
    <w:basedOn w:val="Normal"/>
    <w:uiPriority w:val="99"/>
    <w:unhideWhenUsed/>
    <w:rsid w:val="00E97D6F"/>
    <w:pPr>
      <w:numPr>
        <w:numId w:val="4"/>
      </w:numPr>
      <w:contextualSpacing/>
    </w:pPr>
    <w:rPr>
      <w:lang w:val="es-ES"/>
    </w:rPr>
  </w:style>
  <w:style w:type="character" w:customStyle="1" w:styleId="Mencinsinresolver4">
    <w:name w:val="Mención sin resolver4"/>
    <w:basedOn w:val="Fuentedeprrafopredeter"/>
    <w:uiPriority w:val="99"/>
    <w:semiHidden/>
    <w:unhideWhenUsed/>
    <w:rsid w:val="00E8288F"/>
    <w:rPr>
      <w:color w:val="605E5C"/>
      <w:shd w:val="clear" w:color="auto" w:fill="E1DFDD"/>
    </w:rPr>
  </w:style>
  <w:style w:type="paragraph" w:customStyle="1" w:styleId="xgmail-msonormal">
    <w:name w:val="x_gmail-msonormal"/>
    <w:basedOn w:val="Normal"/>
    <w:rsid w:val="009B2050"/>
    <w:pPr>
      <w:spacing w:before="100" w:beforeAutospacing="1" w:after="100" w:afterAutospacing="1"/>
    </w:pPr>
    <w:rPr>
      <w:lang w:val="en-US" w:eastAsia="en-US"/>
    </w:rPr>
  </w:style>
  <w:style w:type="table" w:customStyle="1" w:styleId="11">
    <w:name w:val="11"/>
    <w:basedOn w:val="Tablanormal"/>
    <w:rsid w:val="0087332C"/>
    <w:rPr>
      <w:lang w:val="es-ES"/>
    </w:rPr>
    <w:tblPr>
      <w:tblStyleRowBandSize w:val="1"/>
      <w:tblStyleColBandSize w:val="1"/>
      <w:tblInd w:w="0" w:type="nil"/>
      <w:tblCellMar>
        <w:left w:w="115" w:type="dxa"/>
        <w:right w:w="115" w:type="dxa"/>
      </w:tblCellMar>
    </w:tblPr>
  </w:style>
  <w:style w:type="table" w:customStyle="1" w:styleId="10">
    <w:name w:val="10"/>
    <w:basedOn w:val="Tablanormal"/>
    <w:rsid w:val="0087332C"/>
    <w:rPr>
      <w:lang w:val="es-ES"/>
    </w:rPr>
    <w:tblPr>
      <w:tblStyleRowBandSize w:val="1"/>
      <w:tblStyleColBandSize w:val="1"/>
      <w:tblInd w:w="0" w:type="nil"/>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0"/>
    <w:tblPr>
      <w:tblStyleRowBandSize w:val="1"/>
      <w:tblStyleColBandSize w:val="1"/>
      <w:tblCellMar>
        <w:top w:w="15" w:type="dxa"/>
        <w:left w:w="115" w:type="dxa"/>
        <w:bottom w:w="15" w:type="dxa"/>
        <w:right w:w="115" w:type="dxa"/>
      </w:tblCellMar>
    </w:tblPr>
  </w:style>
  <w:style w:type="table" w:customStyle="1" w:styleId="af7">
    <w:basedOn w:val="TableNormal0"/>
    <w:tblPr>
      <w:tblStyleRowBandSize w:val="1"/>
      <w:tblStyleColBandSize w:val="1"/>
      <w:tblCellMar>
        <w:top w:w="15" w:type="dxa"/>
        <w:left w:w="115" w:type="dxa"/>
        <w:bottom w:w="15" w:type="dxa"/>
        <w:right w:w="115" w:type="dxa"/>
      </w:tblCellMar>
    </w:tblPr>
  </w:style>
  <w:style w:type="paragraph" w:styleId="Textoindependiente">
    <w:name w:val="Body Text"/>
    <w:basedOn w:val="Normal"/>
    <w:link w:val="TextoindependienteCar"/>
    <w:uiPriority w:val="99"/>
    <w:unhideWhenUsed/>
    <w:rsid w:val="00FB389B"/>
    <w:pPr>
      <w:spacing w:after="120"/>
    </w:pPr>
    <w:rPr>
      <w:lang w:val="es-ES" w:eastAsia="es-ES"/>
    </w:rPr>
  </w:style>
  <w:style w:type="character" w:customStyle="1" w:styleId="TextoindependienteCar">
    <w:name w:val="Texto independiente Car"/>
    <w:basedOn w:val="Fuentedeprrafopredeter"/>
    <w:link w:val="Textoindependiente"/>
    <w:uiPriority w:val="99"/>
    <w:rsid w:val="00FB389B"/>
    <w:rPr>
      <w:lang w:val="es-ES" w:eastAsia="es-ES"/>
    </w:rPr>
  </w:style>
  <w:style w:type="paragraph" w:customStyle="1" w:styleId="INFOEM">
    <w:name w:val="INFOEM"/>
    <w:basedOn w:val="Normal"/>
    <w:qFormat/>
    <w:rsid w:val="00D5108C"/>
    <w:pPr>
      <w:spacing w:before="240" w:after="160" w:line="360" w:lineRule="auto"/>
      <w:ind w:left="851" w:right="851"/>
      <w:jc w:val="both"/>
    </w:pPr>
    <w:rPr>
      <w:rFonts w:ascii="Palatino Linotype" w:eastAsiaTheme="minorHAnsi" w:hAnsi="Palatino Linotype" w:cstheme="minorBidi"/>
      <w:i/>
      <w:sz w:val="22"/>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859">
      <w:bodyDiv w:val="1"/>
      <w:marLeft w:val="0"/>
      <w:marRight w:val="0"/>
      <w:marTop w:val="0"/>
      <w:marBottom w:val="0"/>
      <w:divBdr>
        <w:top w:val="none" w:sz="0" w:space="0" w:color="auto"/>
        <w:left w:val="none" w:sz="0" w:space="0" w:color="auto"/>
        <w:bottom w:val="none" w:sz="0" w:space="0" w:color="auto"/>
        <w:right w:val="none" w:sz="0" w:space="0" w:color="auto"/>
      </w:divBdr>
    </w:div>
    <w:div w:id="65151976">
      <w:bodyDiv w:val="1"/>
      <w:marLeft w:val="0"/>
      <w:marRight w:val="0"/>
      <w:marTop w:val="0"/>
      <w:marBottom w:val="0"/>
      <w:divBdr>
        <w:top w:val="none" w:sz="0" w:space="0" w:color="auto"/>
        <w:left w:val="none" w:sz="0" w:space="0" w:color="auto"/>
        <w:bottom w:val="none" w:sz="0" w:space="0" w:color="auto"/>
        <w:right w:val="none" w:sz="0" w:space="0" w:color="auto"/>
      </w:divBdr>
    </w:div>
    <w:div w:id="177890315">
      <w:bodyDiv w:val="1"/>
      <w:marLeft w:val="0"/>
      <w:marRight w:val="0"/>
      <w:marTop w:val="0"/>
      <w:marBottom w:val="0"/>
      <w:divBdr>
        <w:top w:val="none" w:sz="0" w:space="0" w:color="auto"/>
        <w:left w:val="none" w:sz="0" w:space="0" w:color="auto"/>
        <w:bottom w:val="none" w:sz="0" w:space="0" w:color="auto"/>
        <w:right w:val="none" w:sz="0" w:space="0" w:color="auto"/>
      </w:divBdr>
    </w:div>
    <w:div w:id="325672825">
      <w:bodyDiv w:val="1"/>
      <w:marLeft w:val="0"/>
      <w:marRight w:val="0"/>
      <w:marTop w:val="0"/>
      <w:marBottom w:val="0"/>
      <w:divBdr>
        <w:top w:val="none" w:sz="0" w:space="0" w:color="auto"/>
        <w:left w:val="none" w:sz="0" w:space="0" w:color="auto"/>
        <w:bottom w:val="none" w:sz="0" w:space="0" w:color="auto"/>
        <w:right w:val="none" w:sz="0" w:space="0" w:color="auto"/>
      </w:divBdr>
    </w:div>
    <w:div w:id="330833019">
      <w:bodyDiv w:val="1"/>
      <w:marLeft w:val="0"/>
      <w:marRight w:val="0"/>
      <w:marTop w:val="0"/>
      <w:marBottom w:val="0"/>
      <w:divBdr>
        <w:top w:val="none" w:sz="0" w:space="0" w:color="auto"/>
        <w:left w:val="none" w:sz="0" w:space="0" w:color="auto"/>
        <w:bottom w:val="none" w:sz="0" w:space="0" w:color="auto"/>
        <w:right w:val="none" w:sz="0" w:space="0" w:color="auto"/>
      </w:divBdr>
    </w:div>
    <w:div w:id="387192999">
      <w:bodyDiv w:val="1"/>
      <w:marLeft w:val="0"/>
      <w:marRight w:val="0"/>
      <w:marTop w:val="0"/>
      <w:marBottom w:val="0"/>
      <w:divBdr>
        <w:top w:val="none" w:sz="0" w:space="0" w:color="auto"/>
        <w:left w:val="none" w:sz="0" w:space="0" w:color="auto"/>
        <w:bottom w:val="none" w:sz="0" w:space="0" w:color="auto"/>
        <w:right w:val="none" w:sz="0" w:space="0" w:color="auto"/>
      </w:divBdr>
    </w:div>
    <w:div w:id="423452016">
      <w:bodyDiv w:val="1"/>
      <w:marLeft w:val="0"/>
      <w:marRight w:val="0"/>
      <w:marTop w:val="0"/>
      <w:marBottom w:val="0"/>
      <w:divBdr>
        <w:top w:val="none" w:sz="0" w:space="0" w:color="auto"/>
        <w:left w:val="none" w:sz="0" w:space="0" w:color="auto"/>
        <w:bottom w:val="none" w:sz="0" w:space="0" w:color="auto"/>
        <w:right w:val="none" w:sz="0" w:space="0" w:color="auto"/>
      </w:divBdr>
    </w:div>
    <w:div w:id="424571006">
      <w:bodyDiv w:val="1"/>
      <w:marLeft w:val="0"/>
      <w:marRight w:val="0"/>
      <w:marTop w:val="0"/>
      <w:marBottom w:val="0"/>
      <w:divBdr>
        <w:top w:val="none" w:sz="0" w:space="0" w:color="auto"/>
        <w:left w:val="none" w:sz="0" w:space="0" w:color="auto"/>
        <w:bottom w:val="none" w:sz="0" w:space="0" w:color="auto"/>
        <w:right w:val="none" w:sz="0" w:space="0" w:color="auto"/>
      </w:divBdr>
    </w:div>
    <w:div w:id="435564847">
      <w:bodyDiv w:val="1"/>
      <w:marLeft w:val="0"/>
      <w:marRight w:val="0"/>
      <w:marTop w:val="0"/>
      <w:marBottom w:val="0"/>
      <w:divBdr>
        <w:top w:val="none" w:sz="0" w:space="0" w:color="auto"/>
        <w:left w:val="none" w:sz="0" w:space="0" w:color="auto"/>
        <w:bottom w:val="none" w:sz="0" w:space="0" w:color="auto"/>
        <w:right w:val="none" w:sz="0" w:space="0" w:color="auto"/>
      </w:divBdr>
    </w:div>
    <w:div w:id="475949336">
      <w:bodyDiv w:val="1"/>
      <w:marLeft w:val="0"/>
      <w:marRight w:val="0"/>
      <w:marTop w:val="0"/>
      <w:marBottom w:val="0"/>
      <w:divBdr>
        <w:top w:val="none" w:sz="0" w:space="0" w:color="auto"/>
        <w:left w:val="none" w:sz="0" w:space="0" w:color="auto"/>
        <w:bottom w:val="none" w:sz="0" w:space="0" w:color="auto"/>
        <w:right w:val="none" w:sz="0" w:space="0" w:color="auto"/>
      </w:divBdr>
    </w:div>
    <w:div w:id="493766585">
      <w:bodyDiv w:val="1"/>
      <w:marLeft w:val="0"/>
      <w:marRight w:val="0"/>
      <w:marTop w:val="0"/>
      <w:marBottom w:val="0"/>
      <w:divBdr>
        <w:top w:val="none" w:sz="0" w:space="0" w:color="auto"/>
        <w:left w:val="none" w:sz="0" w:space="0" w:color="auto"/>
        <w:bottom w:val="none" w:sz="0" w:space="0" w:color="auto"/>
        <w:right w:val="none" w:sz="0" w:space="0" w:color="auto"/>
      </w:divBdr>
    </w:div>
    <w:div w:id="505479442">
      <w:bodyDiv w:val="1"/>
      <w:marLeft w:val="0"/>
      <w:marRight w:val="0"/>
      <w:marTop w:val="0"/>
      <w:marBottom w:val="0"/>
      <w:divBdr>
        <w:top w:val="none" w:sz="0" w:space="0" w:color="auto"/>
        <w:left w:val="none" w:sz="0" w:space="0" w:color="auto"/>
        <w:bottom w:val="none" w:sz="0" w:space="0" w:color="auto"/>
        <w:right w:val="none" w:sz="0" w:space="0" w:color="auto"/>
      </w:divBdr>
    </w:div>
    <w:div w:id="544413487">
      <w:bodyDiv w:val="1"/>
      <w:marLeft w:val="0"/>
      <w:marRight w:val="0"/>
      <w:marTop w:val="0"/>
      <w:marBottom w:val="0"/>
      <w:divBdr>
        <w:top w:val="none" w:sz="0" w:space="0" w:color="auto"/>
        <w:left w:val="none" w:sz="0" w:space="0" w:color="auto"/>
        <w:bottom w:val="none" w:sz="0" w:space="0" w:color="auto"/>
        <w:right w:val="none" w:sz="0" w:space="0" w:color="auto"/>
      </w:divBdr>
    </w:div>
    <w:div w:id="652173721">
      <w:bodyDiv w:val="1"/>
      <w:marLeft w:val="0"/>
      <w:marRight w:val="0"/>
      <w:marTop w:val="0"/>
      <w:marBottom w:val="0"/>
      <w:divBdr>
        <w:top w:val="none" w:sz="0" w:space="0" w:color="auto"/>
        <w:left w:val="none" w:sz="0" w:space="0" w:color="auto"/>
        <w:bottom w:val="none" w:sz="0" w:space="0" w:color="auto"/>
        <w:right w:val="none" w:sz="0" w:space="0" w:color="auto"/>
      </w:divBdr>
    </w:div>
    <w:div w:id="718289741">
      <w:bodyDiv w:val="1"/>
      <w:marLeft w:val="0"/>
      <w:marRight w:val="0"/>
      <w:marTop w:val="0"/>
      <w:marBottom w:val="0"/>
      <w:divBdr>
        <w:top w:val="none" w:sz="0" w:space="0" w:color="auto"/>
        <w:left w:val="none" w:sz="0" w:space="0" w:color="auto"/>
        <w:bottom w:val="none" w:sz="0" w:space="0" w:color="auto"/>
        <w:right w:val="none" w:sz="0" w:space="0" w:color="auto"/>
      </w:divBdr>
    </w:div>
    <w:div w:id="787360933">
      <w:bodyDiv w:val="1"/>
      <w:marLeft w:val="0"/>
      <w:marRight w:val="0"/>
      <w:marTop w:val="0"/>
      <w:marBottom w:val="0"/>
      <w:divBdr>
        <w:top w:val="none" w:sz="0" w:space="0" w:color="auto"/>
        <w:left w:val="none" w:sz="0" w:space="0" w:color="auto"/>
        <w:bottom w:val="none" w:sz="0" w:space="0" w:color="auto"/>
        <w:right w:val="none" w:sz="0" w:space="0" w:color="auto"/>
      </w:divBdr>
    </w:div>
    <w:div w:id="862203982">
      <w:bodyDiv w:val="1"/>
      <w:marLeft w:val="0"/>
      <w:marRight w:val="0"/>
      <w:marTop w:val="0"/>
      <w:marBottom w:val="0"/>
      <w:divBdr>
        <w:top w:val="none" w:sz="0" w:space="0" w:color="auto"/>
        <w:left w:val="none" w:sz="0" w:space="0" w:color="auto"/>
        <w:bottom w:val="none" w:sz="0" w:space="0" w:color="auto"/>
        <w:right w:val="none" w:sz="0" w:space="0" w:color="auto"/>
      </w:divBdr>
    </w:div>
    <w:div w:id="871069611">
      <w:bodyDiv w:val="1"/>
      <w:marLeft w:val="0"/>
      <w:marRight w:val="0"/>
      <w:marTop w:val="0"/>
      <w:marBottom w:val="0"/>
      <w:divBdr>
        <w:top w:val="none" w:sz="0" w:space="0" w:color="auto"/>
        <w:left w:val="none" w:sz="0" w:space="0" w:color="auto"/>
        <w:bottom w:val="none" w:sz="0" w:space="0" w:color="auto"/>
        <w:right w:val="none" w:sz="0" w:space="0" w:color="auto"/>
      </w:divBdr>
    </w:div>
    <w:div w:id="873923322">
      <w:bodyDiv w:val="1"/>
      <w:marLeft w:val="0"/>
      <w:marRight w:val="0"/>
      <w:marTop w:val="0"/>
      <w:marBottom w:val="0"/>
      <w:divBdr>
        <w:top w:val="none" w:sz="0" w:space="0" w:color="auto"/>
        <w:left w:val="none" w:sz="0" w:space="0" w:color="auto"/>
        <w:bottom w:val="none" w:sz="0" w:space="0" w:color="auto"/>
        <w:right w:val="none" w:sz="0" w:space="0" w:color="auto"/>
      </w:divBdr>
    </w:div>
    <w:div w:id="942223247">
      <w:bodyDiv w:val="1"/>
      <w:marLeft w:val="0"/>
      <w:marRight w:val="0"/>
      <w:marTop w:val="0"/>
      <w:marBottom w:val="0"/>
      <w:divBdr>
        <w:top w:val="none" w:sz="0" w:space="0" w:color="auto"/>
        <w:left w:val="none" w:sz="0" w:space="0" w:color="auto"/>
        <w:bottom w:val="none" w:sz="0" w:space="0" w:color="auto"/>
        <w:right w:val="none" w:sz="0" w:space="0" w:color="auto"/>
      </w:divBdr>
    </w:div>
    <w:div w:id="1025205003">
      <w:bodyDiv w:val="1"/>
      <w:marLeft w:val="0"/>
      <w:marRight w:val="0"/>
      <w:marTop w:val="0"/>
      <w:marBottom w:val="0"/>
      <w:divBdr>
        <w:top w:val="none" w:sz="0" w:space="0" w:color="auto"/>
        <w:left w:val="none" w:sz="0" w:space="0" w:color="auto"/>
        <w:bottom w:val="none" w:sz="0" w:space="0" w:color="auto"/>
        <w:right w:val="none" w:sz="0" w:space="0" w:color="auto"/>
      </w:divBdr>
    </w:div>
    <w:div w:id="1051925407">
      <w:bodyDiv w:val="1"/>
      <w:marLeft w:val="0"/>
      <w:marRight w:val="0"/>
      <w:marTop w:val="0"/>
      <w:marBottom w:val="0"/>
      <w:divBdr>
        <w:top w:val="none" w:sz="0" w:space="0" w:color="auto"/>
        <w:left w:val="none" w:sz="0" w:space="0" w:color="auto"/>
        <w:bottom w:val="none" w:sz="0" w:space="0" w:color="auto"/>
        <w:right w:val="none" w:sz="0" w:space="0" w:color="auto"/>
      </w:divBdr>
    </w:div>
    <w:div w:id="1055548714">
      <w:bodyDiv w:val="1"/>
      <w:marLeft w:val="0"/>
      <w:marRight w:val="0"/>
      <w:marTop w:val="0"/>
      <w:marBottom w:val="0"/>
      <w:divBdr>
        <w:top w:val="none" w:sz="0" w:space="0" w:color="auto"/>
        <w:left w:val="none" w:sz="0" w:space="0" w:color="auto"/>
        <w:bottom w:val="none" w:sz="0" w:space="0" w:color="auto"/>
        <w:right w:val="none" w:sz="0" w:space="0" w:color="auto"/>
      </w:divBdr>
    </w:div>
    <w:div w:id="1073239938">
      <w:bodyDiv w:val="1"/>
      <w:marLeft w:val="0"/>
      <w:marRight w:val="0"/>
      <w:marTop w:val="0"/>
      <w:marBottom w:val="0"/>
      <w:divBdr>
        <w:top w:val="none" w:sz="0" w:space="0" w:color="auto"/>
        <w:left w:val="none" w:sz="0" w:space="0" w:color="auto"/>
        <w:bottom w:val="none" w:sz="0" w:space="0" w:color="auto"/>
        <w:right w:val="none" w:sz="0" w:space="0" w:color="auto"/>
      </w:divBdr>
    </w:div>
    <w:div w:id="1119957017">
      <w:bodyDiv w:val="1"/>
      <w:marLeft w:val="0"/>
      <w:marRight w:val="0"/>
      <w:marTop w:val="0"/>
      <w:marBottom w:val="0"/>
      <w:divBdr>
        <w:top w:val="none" w:sz="0" w:space="0" w:color="auto"/>
        <w:left w:val="none" w:sz="0" w:space="0" w:color="auto"/>
        <w:bottom w:val="none" w:sz="0" w:space="0" w:color="auto"/>
        <w:right w:val="none" w:sz="0" w:space="0" w:color="auto"/>
      </w:divBdr>
    </w:div>
    <w:div w:id="1154302435">
      <w:bodyDiv w:val="1"/>
      <w:marLeft w:val="0"/>
      <w:marRight w:val="0"/>
      <w:marTop w:val="0"/>
      <w:marBottom w:val="0"/>
      <w:divBdr>
        <w:top w:val="none" w:sz="0" w:space="0" w:color="auto"/>
        <w:left w:val="none" w:sz="0" w:space="0" w:color="auto"/>
        <w:bottom w:val="none" w:sz="0" w:space="0" w:color="auto"/>
        <w:right w:val="none" w:sz="0" w:space="0" w:color="auto"/>
      </w:divBdr>
    </w:div>
    <w:div w:id="1159809554">
      <w:bodyDiv w:val="1"/>
      <w:marLeft w:val="0"/>
      <w:marRight w:val="0"/>
      <w:marTop w:val="0"/>
      <w:marBottom w:val="0"/>
      <w:divBdr>
        <w:top w:val="none" w:sz="0" w:space="0" w:color="auto"/>
        <w:left w:val="none" w:sz="0" w:space="0" w:color="auto"/>
        <w:bottom w:val="none" w:sz="0" w:space="0" w:color="auto"/>
        <w:right w:val="none" w:sz="0" w:space="0" w:color="auto"/>
      </w:divBdr>
    </w:div>
    <w:div w:id="1171140936">
      <w:bodyDiv w:val="1"/>
      <w:marLeft w:val="0"/>
      <w:marRight w:val="0"/>
      <w:marTop w:val="0"/>
      <w:marBottom w:val="0"/>
      <w:divBdr>
        <w:top w:val="none" w:sz="0" w:space="0" w:color="auto"/>
        <w:left w:val="none" w:sz="0" w:space="0" w:color="auto"/>
        <w:bottom w:val="none" w:sz="0" w:space="0" w:color="auto"/>
        <w:right w:val="none" w:sz="0" w:space="0" w:color="auto"/>
      </w:divBdr>
    </w:div>
    <w:div w:id="1268462703">
      <w:bodyDiv w:val="1"/>
      <w:marLeft w:val="0"/>
      <w:marRight w:val="0"/>
      <w:marTop w:val="0"/>
      <w:marBottom w:val="0"/>
      <w:divBdr>
        <w:top w:val="none" w:sz="0" w:space="0" w:color="auto"/>
        <w:left w:val="none" w:sz="0" w:space="0" w:color="auto"/>
        <w:bottom w:val="none" w:sz="0" w:space="0" w:color="auto"/>
        <w:right w:val="none" w:sz="0" w:space="0" w:color="auto"/>
      </w:divBdr>
    </w:div>
    <w:div w:id="1280915541">
      <w:bodyDiv w:val="1"/>
      <w:marLeft w:val="0"/>
      <w:marRight w:val="0"/>
      <w:marTop w:val="0"/>
      <w:marBottom w:val="0"/>
      <w:divBdr>
        <w:top w:val="none" w:sz="0" w:space="0" w:color="auto"/>
        <w:left w:val="none" w:sz="0" w:space="0" w:color="auto"/>
        <w:bottom w:val="none" w:sz="0" w:space="0" w:color="auto"/>
        <w:right w:val="none" w:sz="0" w:space="0" w:color="auto"/>
      </w:divBdr>
    </w:div>
    <w:div w:id="1393964826">
      <w:bodyDiv w:val="1"/>
      <w:marLeft w:val="0"/>
      <w:marRight w:val="0"/>
      <w:marTop w:val="0"/>
      <w:marBottom w:val="0"/>
      <w:divBdr>
        <w:top w:val="none" w:sz="0" w:space="0" w:color="auto"/>
        <w:left w:val="none" w:sz="0" w:space="0" w:color="auto"/>
        <w:bottom w:val="none" w:sz="0" w:space="0" w:color="auto"/>
        <w:right w:val="none" w:sz="0" w:space="0" w:color="auto"/>
      </w:divBdr>
    </w:div>
    <w:div w:id="1416324621">
      <w:bodyDiv w:val="1"/>
      <w:marLeft w:val="0"/>
      <w:marRight w:val="0"/>
      <w:marTop w:val="0"/>
      <w:marBottom w:val="0"/>
      <w:divBdr>
        <w:top w:val="none" w:sz="0" w:space="0" w:color="auto"/>
        <w:left w:val="none" w:sz="0" w:space="0" w:color="auto"/>
        <w:bottom w:val="none" w:sz="0" w:space="0" w:color="auto"/>
        <w:right w:val="none" w:sz="0" w:space="0" w:color="auto"/>
      </w:divBdr>
    </w:div>
    <w:div w:id="1461847975">
      <w:bodyDiv w:val="1"/>
      <w:marLeft w:val="0"/>
      <w:marRight w:val="0"/>
      <w:marTop w:val="0"/>
      <w:marBottom w:val="0"/>
      <w:divBdr>
        <w:top w:val="none" w:sz="0" w:space="0" w:color="auto"/>
        <w:left w:val="none" w:sz="0" w:space="0" w:color="auto"/>
        <w:bottom w:val="none" w:sz="0" w:space="0" w:color="auto"/>
        <w:right w:val="none" w:sz="0" w:space="0" w:color="auto"/>
      </w:divBdr>
    </w:div>
    <w:div w:id="1473593885">
      <w:bodyDiv w:val="1"/>
      <w:marLeft w:val="0"/>
      <w:marRight w:val="0"/>
      <w:marTop w:val="0"/>
      <w:marBottom w:val="0"/>
      <w:divBdr>
        <w:top w:val="none" w:sz="0" w:space="0" w:color="auto"/>
        <w:left w:val="none" w:sz="0" w:space="0" w:color="auto"/>
        <w:bottom w:val="none" w:sz="0" w:space="0" w:color="auto"/>
        <w:right w:val="none" w:sz="0" w:space="0" w:color="auto"/>
      </w:divBdr>
    </w:div>
    <w:div w:id="1597059607">
      <w:bodyDiv w:val="1"/>
      <w:marLeft w:val="0"/>
      <w:marRight w:val="0"/>
      <w:marTop w:val="0"/>
      <w:marBottom w:val="0"/>
      <w:divBdr>
        <w:top w:val="none" w:sz="0" w:space="0" w:color="auto"/>
        <w:left w:val="none" w:sz="0" w:space="0" w:color="auto"/>
        <w:bottom w:val="none" w:sz="0" w:space="0" w:color="auto"/>
        <w:right w:val="none" w:sz="0" w:space="0" w:color="auto"/>
      </w:divBdr>
    </w:div>
    <w:div w:id="1600870388">
      <w:bodyDiv w:val="1"/>
      <w:marLeft w:val="0"/>
      <w:marRight w:val="0"/>
      <w:marTop w:val="0"/>
      <w:marBottom w:val="0"/>
      <w:divBdr>
        <w:top w:val="none" w:sz="0" w:space="0" w:color="auto"/>
        <w:left w:val="none" w:sz="0" w:space="0" w:color="auto"/>
        <w:bottom w:val="none" w:sz="0" w:space="0" w:color="auto"/>
        <w:right w:val="none" w:sz="0" w:space="0" w:color="auto"/>
      </w:divBdr>
    </w:div>
    <w:div w:id="1615021105">
      <w:bodyDiv w:val="1"/>
      <w:marLeft w:val="0"/>
      <w:marRight w:val="0"/>
      <w:marTop w:val="0"/>
      <w:marBottom w:val="0"/>
      <w:divBdr>
        <w:top w:val="none" w:sz="0" w:space="0" w:color="auto"/>
        <w:left w:val="none" w:sz="0" w:space="0" w:color="auto"/>
        <w:bottom w:val="none" w:sz="0" w:space="0" w:color="auto"/>
        <w:right w:val="none" w:sz="0" w:space="0" w:color="auto"/>
      </w:divBdr>
    </w:div>
    <w:div w:id="1771508719">
      <w:bodyDiv w:val="1"/>
      <w:marLeft w:val="0"/>
      <w:marRight w:val="0"/>
      <w:marTop w:val="0"/>
      <w:marBottom w:val="0"/>
      <w:divBdr>
        <w:top w:val="none" w:sz="0" w:space="0" w:color="auto"/>
        <w:left w:val="none" w:sz="0" w:space="0" w:color="auto"/>
        <w:bottom w:val="none" w:sz="0" w:space="0" w:color="auto"/>
        <w:right w:val="none" w:sz="0" w:space="0" w:color="auto"/>
      </w:divBdr>
    </w:div>
    <w:div w:id="1783914159">
      <w:bodyDiv w:val="1"/>
      <w:marLeft w:val="0"/>
      <w:marRight w:val="0"/>
      <w:marTop w:val="0"/>
      <w:marBottom w:val="0"/>
      <w:divBdr>
        <w:top w:val="none" w:sz="0" w:space="0" w:color="auto"/>
        <w:left w:val="none" w:sz="0" w:space="0" w:color="auto"/>
        <w:bottom w:val="none" w:sz="0" w:space="0" w:color="auto"/>
        <w:right w:val="none" w:sz="0" w:space="0" w:color="auto"/>
      </w:divBdr>
    </w:div>
    <w:div w:id="1892884422">
      <w:bodyDiv w:val="1"/>
      <w:marLeft w:val="0"/>
      <w:marRight w:val="0"/>
      <w:marTop w:val="0"/>
      <w:marBottom w:val="0"/>
      <w:divBdr>
        <w:top w:val="none" w:sz="0" w:space="0" w:color="auto"/>
        <w:left w:val="none" w:sz="0" w:space="0" w:color="auto"/>
        <w:bottom w:val="none" w:sz="0" w:space="0" w:color="auto"/>
        <w:right w:val="none" w:sz="0" w:space="0" w:color="auto"/>
      </w:divBdr>
    </w:div>
    <w:div w:id="1943561868">
      <w:bodyDiv w:val="1"/>
      <w:marLeft w:val="0"/>
      <w:marRight w:val="0"/>
      <w:marTop w:val="0"/>
      <w:marBottom w:val="0"/>
      <w:divBdr>
        <w:top w:val="none" w:sz="0" w:space="0" w:color="auto"/>
        <w:left w:val="none" w:sz="0" w:space="0" w:color="auto"/>
        <w:bottom w:val="none" w:sz="0" w:space="0" w:color="auto"/>
        <w:right w:val="none" w:sz="0" w:space="0" w:color="auto"/>
      </w:divBdr>
    </w:div>
    <w:div w:id="2029284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HBLDjWTp6p2cViPwAICSzCfqg==">CgMxLjAyCWguM3pueXNoNzIOaC55aGJmdjc1Njc2bXQyDmguajNwcHl4d2xiMXMyMghoLnR5amN3dDINaC5qbDBkbGFzb3Q0ZjgAciExT2VTcXNycWJ5dV9lUFpCNllQZmpuS1pnTFpXX0ZnbnM=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4650</Words>
  <Characters>25580</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Cuenta Microsoft</dc:creator>
  <cp:lastModifiedBy>Maricela Villagómez Martínez</cp:lastModifiedBy>
  <cp:revision>2</cp:revision>
  <cp:lastPrinted>2026-02-27T18:13:00Z</cp:lastPrinted>
  <dcterms:created xsi:type="dcterms:W3CDTF">2026-04-06T22:56:00Z</dcterms:created>
  <dcterms:modified xsi:type="dcterms:W3CDTF">2026-04-06T22:56:00Z</dcterms:modified>
</cp:coreProperties>
</file>