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AC0" w:rsidRPr="006D12D8" w:rsidRDefault="00E96513">
      <w:pPr>
        <w:spacing w:line="360" w:lineRule="auto"/>
        <w:jc w:val="both"/>
        <w:rPr>
          <w:rFonts w:ascii="Palatino Linotype" w:eastAsia="Palatino Linotype" w:hAnsi="Palatino Linotype" w:cs="Palatino Linotype"/>
          <w:b/>
          <w:bCs/>
        </w:rPr>
      </w:pPr>
      <w:bookmarkStart w:id="0" w:name="_GoBack"/>
      <w:bookmarkEnd w:id="0"/>
      <w:r w:rsidRPr="006D12D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6D12D8">
        <w:rPr>
          <w:rFonts w:ascii="Palatino Linotype" w:eastAsia="Palatino Linotype" w:hAnsi="Palatino Linotype" w:cs="Palatino Linotype"/>
          <w:b/>
          <w:bCs/>
        </w:rPr>
        <w:t>once</w:t>
      </w:r>
      <w:r w:rsidR="006D12D8">
        <w:rPr>
          <w:rFonts w:ascii="Palatino Linotype" w:eastAsia="Palatino Linotype" w:hAnsi="Palatino Linotype" w:cs="Palatino Linotype"/>
          <w:b/>
          <w:bCs/>
        </w:rPr>
        <w:t xml:space="preserve"> (11)</w:t>
      </w:r>
      <w:r w:rsidRPr="006D12D8">
        <w:rPr>
          <w:rFonts w:ascii="Palatino Linotype" w:eastAsia="Palatino Linotype" w:hAnsi="Palatino Linotype" w:cs="Palatino Linotype"/>
          <w:b/>
          <w:bCs/>
        </w:rPr>
        <w:t xml:space="preserve"> de marzo de dos mil veintiséis.</w:t>
      </w:r>
    </w:p>
    <w:p w:rsidR="00AE2AC0" w:rsidRPr="006D12D8" w:rsidRDefault="00AE2AC0">
      <w:pPr>
        <w:spacing w:line="360" w:lineRule="auto"/>
        <w:jc w:val="both"/>
        <w:rPr>
          <w:rFonts w:ascii="Palatino Linotype" w:eastAsia="Palatino Linotype" w:hAnsi="Palatino Linotype" w:cs="Palatino Linotype"/>
        </w:rPr>
      </w:pPr>
    </w:p>
    <w:p w:rsidR="00AE2AC0" w:rsidRPr="006D12D8" w:rsidRDefault="00E96513">
      <w:pPr>
        <w:spacing w:line="360" w:lineRule="auto"/>
        <w:jc w:val="both"/>
        <w:rPr>
          <w:rFonts w:ascii="Palatino Linotype" w:eastAsia="Palatino Linotype" w:hAnsi="Palatino Linotype" w:cs="Palatino Linotype"/>
        </w:rPr>
      </w:pPr>
      <w:r w:rsidRPr="006D12D8">
        <w:rPr>
          <w:rFonts w:ascii="Palatino Linotype" w:eastAsia="Palatino Linotype" w:hAnsi="Palatino Linotype" w:cs="Palatino Linotype"/>
          <w:b/>
          <w:bCs/>
        </w:rPr>
        <w:t>VISTO</w:t>
      </w:r>
      <w:r w:rsidRPr="006D12D8">
        <w:rPr>
          <w:rFonts w:ascii="Palatino Linotype" w:eastAsia="Palatino Linotype" w:hAnsi="Palatino Linotype" w:cs="Palatino Linotype"/>
        </w:rPr>
        <w:t xml:space="preserve"> el expediente electrónico formado con motivo del Recurso de Revisión </w:t>
      </w:r>
      <w:r w:rsidRPr="006D12D8">
        <w:rPr>
          <w:rFonts w:ascii="Palatino Linotype" w:eastAsia="Palatino Linotype" w:hAnsi="Palatino Linotype" w:cs="Palatino Linotype"/>
          <w:b/>
          <w:bCs/>
        </w:rPr>
        <w:t xml:space="preserve">08953/INFOEM/IP/RR/2025, </w:t>
      </w:r>
      <w:r w:rsidRPr="006D12D8">
        <w:rPr>
          <w:rFonts w:ascii="Palatino Linotype" w:eastAsia="Palatino Linotype" w:hAnsi="Palatino Linotype" w:cs="Palatino Linotype"/>
        </w:rPr>
        <w:t xml:space="preserve">promovido por </w:t>
      </w:r>
      <w:r w:rsidRPr="006D12D8">
        <w:rPr>
          <w:rFonts w:ascii="Palatino Linotype" w:eastAsia="Palatino Linotype" w:hAnsi="Palatino Linotype" w:cs="Palatino Linotype"/>
          <w:b/>
          <w:bCs/>
        </w:rPr>
        <w:t>una persona que no proporciona datos de identificación</w:t>
      </w:r>
      <w:r w:rsidRPr="006D12D8">
        <w:rPr>
          <w:rFonts w:ascii="Palatino Linotype" w:eastAsia="Palatino Linotype" w:hAnsi="Palatino Linotype" w:cs="Palatino Linotype"/>
        </w:rPr>
        <w:t xml:space="preserve">, en lo sucesivo el </w:t>
      </w:r>
      <w:r w:rsidRPr="006D12D8">
        <w:rPr>
          <w:rFonts w:ascii="Palatino Linotype" w:eastAsia="Palatino Linotype" w:hAnsi="Palatino Linotype" w:cs="Palatino Linotype"/>
          <w:b/>
          <w:bCs/>
        </w:rPr>
        <w:t>RECURRENTE</w:t>
      </w:r>
      <w:r w:rsidRPr="006D12D8">
        <w:rPr>
          <w:rFonts w:ascii="Palatino Linotype" w:eastAsia="Palatino Linotype" w:hAnsi="Palatino Linotype" w:cs="Palatino Linotype"/>
        </w:rPr>
        <w:t xml:space="preserve">, en contra de la respuesta del </w:t>
      </w:r>
      <w:r w:rsidRPr="006D12D8">
        <w:rPr>
          <w:rFonts w:ascii="Palatino Linotype" w:eastAsia="Palatino Linotype" w:hAnsi="Palatino Linotype" w:cs="Palatino Linotype"/>
          <w:b/>
          <w:bCs/>
        </w:rPr>
        <w:t xml:space="preserve">Ayuntamiento de Toluca, </w:t>
      </w:r>
      <w:r w:rsidRPr="006D12D8">
        <w:rPr>
          <w:rFonts w:ascii="Palatino Linotype" w:eastAsia="Palatino Linotype" w:hAnsi="Palatino Linotype" w:cs="Palatino Linotype"/>
        </w:rPr>
        <w:t xml:space="preserve">en </w:t>
      </w:r>
      <w:r w:rsidR="006D12D8">
        <w:rPr>
          <w:rFonts w:ascii="Palatino Linotype" w:eastAsia="Palatino Linotype" w:hAnsi="Palatino Linotype" w:cs="Palatino Linotype"/>
        </w:rPr>
        <w:t>adelante</w:t>
      </w:r>
      <w:r w:rsidRPr="006D12D8">
        <w:rPr>
          <w:rFonts w:ascii="Palatino Linotype" w:eastAsia="Palatino Linotype" w:hAnsi="Palatino Linotype" w:cs="Palatino Linotype"/>
        </w:rPr>
        <w:t xml:space="preserve"> el</w:t>
      </w:r>
      <w:r w:rsidRPr="006D12D8">
        <w:rPr>
          <w:rFonts w:ascii="Palatino Linotype" w:eastAsia="Palatino Linotype" w:hAnsi="Palatino Linotype" w:cs="Palatino Linotype"/>
          <w:b/>
          <w:bCs/>
        </w:rPr>
        <w:t xml:space="preserve"> SUJETO OBLIGADO</w:t>
      </w:r>
      <w:r w:rsidRPr="006D12D8">
        <w:rPr>
          <w:rFonts w:ascii="Palatino Linotype" w:eastAsia="Palatino Linotype" w:hAnsi="Palatino Linotype" w:cs="Palatino Linotype"/>
        </w:rPr>
        <w:t>, por lo que se procede a dictar la presente Resolución, con base en los siguientes:</w:t>
      </w:r>
    </w:p>
    <w:p w:rsidR="00AE2AC0" w:rsidRPr="006D12D8" w:rsidRDefault="00AE2AC0">
      <w:pPr>
        <w:spacing w:line="360" w:lineRule="auto"/>
        <w:jc w:val="both"/>
        <w:rPr>
          <w:rFonts w:ascii="Palatino Linotype" w:eastAsia="Palatino Linotype" w:hAnsi="Palatino Linotype" w:cs="Palatino Linotype"/>
        </w:rPr>
      </w:pPr>
    </w:p>
    <w:p w:rsidR="00AE2AC0" w:rsidRPr="006D12D8" w:rsidRDefault="00E96513">
      <w:pPr>
        <w:keepNext/>
        <w:keepLines/>
        <w:spacing w:line="360" w:lineRule="auto"/>
        <w:jc w:val="center"/>
        <w:rPr>
          <w:rFonts w:ascii="Palatino Linotype" w:eastAsia="Palatino Linotype" w:hAnsi="Palatino Linotype" w:cs="Palatino Linotype"/>
          <w:b/>
          <w:bCs/>
        </w:rPr>
      </w:pPr>
      <w:bookmarkStart w:id="1" w:name="_heading=h.86mi7sha6d8m" w:colFirst="0" w:colLast="0"/>
      <w:bookmarkEnd w:id="1"/>
      <w:r w:rsidRPr="006D12D8">
        <w:rPr>
          <w:rFonts w:ascii="Palatino Linotype" w:eastAsia="Palatino Linotype" w:hAnsi="Palatino Linotype" w:cs="Palatino Linotype"/>
          <w:b/>
          <w:bCs/>
        </w:rPr>
        <w:t>A</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N</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T</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E</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C</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E</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D</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E</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N</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T</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E</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S</w:t>
      </w:r>
    </w:p>
    <w:p w:rsidR="00AE2AC0" w:rsidRPr="006D12D8" w:rsidRDefault="00AE2AC0">
      <w:pPr>
        <w:spacing w:line="360" w:lineRule="auto"/>
        <w:rPr>
          <w:rFonts w:ascii="Palatino Linotype" w:eastAsia="Palatino Linotype" w:hAnsi="Palatino Linotype" w:cs="Palatino Linotype"/>
        </w:rPr>
      </w:pPr>
    </w:p>
    <w:p w:rsidR="00AE2AC0" w:rsidRPr="006D12D8" w:rsidRDefault="00E96513">
      <w:pPr>
        <w:numPr>
          <w:ilvl w:val="0"/>
          <w:numId w:val="1"/>
        </w:numPr>
        <w:spacing w:line="360" w:lineRule="auto"/>
        <w:ind w:left="0"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 xml:space="preserve">El </w:t>
      </w:r>
      <w:r w:rsidRPr="006D12D8">
        <w:rPr>
          <w:rFonts w:ascii="Palatino Linotype" w:eastAsia="Palatino Linotype" w:hAnsi="Palatino Linotype" w:cs="Palatino Linotype"/>
          <w:b/>
          <w:bCs/>
        </w:rPr>
        <w:t>veintiséis de junio de dos mil veinticinco</w:t>
      </w:r>
      <w:r w:rsidRPr="006D12D8">
        <w:rPr>
          <w:rFonts w:ascii="Palatino Linotype" w:eastAsia="Palatino Linotype" w:hAnsi="Palatino Linotype" w:cs="Palatino Linotype"/>
        </w:rPr>
        <w:t xml:space="preserve">, se presentó ante el </w:t>
      </w:r>
      <w:r w:rsidRPr="006D12D8">
        <w:rPr>
          <w:rFonts w:ascii="Palatino Linotype" w:eastAsia="Palatino Linotype" w:hAnsi="Palatino Linotype" w:cs="Palatino Linotype"/>
          <w:b/>
          <w:bCs/>
        </w:rPr>
        <w:t>SUJETO OBLIGADO</w:t>
      </w:r>
      <w:r w:rsidRPr="006D12D8">
        <w:rPr>
          <w:rFonts w:ascii="Palatino Linotype" w:eastAsia="Palatino Linotype" w:hAnsi="Palatino Linotype" w:cs="Palatino Linotype"/>
        </w:rPr>
        <w:t xml:space="preserve"> vía Sistema de Acceso a la Información Mexiquense (</w:t>
      </w:r>
      <w:r w:rsidRPr="006D12D8">
        <w:rPr>
          <w:rFonts w:ascii="Palatino Linotype" w:eastAsia="Palatino Linotype" w:hAnsi="Palatino Linotype" w:cs="Palatino Linotype"/>
          <w:b/>
          <w:bCs/>
        </w:rPr>
        <w:t>SAIMEX)</w:t>
      </w:r>
      <w:r w:rsidRPr="006D12D8">
        <w:rPr>
          <w:rFonts w:ascii="Palatino Linotype" w:eastAsia="Palatino Linotype" w:hAnsi="Palatino Linotype" w:cs="Palatino Linotype"/>
        </w:rPr>
        <w:t xml:space="preserve">, la Solicitud de Información Pública registrada con el número </w:t>
      </w:r>
      <w:r w:rsidRPr="006D12D8">
        <w:rPr>
          <w:rFonts w:ascii="Palatino Linotype" w:eastAsia="Palatino Linotype" w:hAnsi="Palatino Linotype" w:cs="Palatino Linotype"/>
          <w:b/>
          <w:bCs/>
        </w:rPr>
        <w:t xml:space="preserve"> 03706/TOLUCA/IP/2025, </w:t>
      </w:r>
      <w:r w:rsidR="006D12D8">
        <w:rPr>
          <w:rFonts w:ascii="Palatino Linotype" w:eastAsia="Palatino Linotype" w:hAnsi="Palatino Linotype" w:cs="Palatino Linotype"/>
        </w:rPr>
        <w:t>en la que</w:t>
      </w:r>
      <w:r w:rsidRPr="006D12D8">
        <w:rPr>
          <w:rFonts w:ascii="Palatino Linotype" w:eastAsia="Palatino Linotype" w:hAnsi="Palatino Linotype" w:cs="Palatino Linotype"/>
        </w:rPr>
        <w:t xml:space="preserve"> se </w:t>
      </w:r>
      <w:r w:rsidR="00616B29" w:rsidRPr="006D12D8">
        <w:rPr>
          <w:rFonts w:ascii="Palatino Linotype" w:eastAsia="Palatino Linotype" w:hAnsi="Palatino Linotype" w:cs="Palatino Linotype"/>
        </w:rPr>
        <w:t>solicitó</w:t>
      </w:r>
      <w:r w:rsidRPr="006D12D8">
        <w:rPr>
          <w:rFonts w:ascii="Palatino Linotype" w:eastAsia="Palatino Linotype" w:hAnsi="Palatino Linotype" w:cs="Palatino Linotype"/>
        </w:rPr>
        <w:t xml:space="preserve"> lo siguiente: </w:t>
      </w:r>
    </w:p>
    <w:p w:rsidR="00AE2AC0" w:rsidRPr="006D12D8" w:rsidRDefault="00AE2AC0">
      <w:pPr>
        <w:spacing w:line="360" w:lineRule="auto"/>
        <w:ind w:left="567" w:right="539"/>
        <w:jc w:val="both"/>
        <w:rPr>
          <w:rFonts w:ascii="Palatino Linotype" w:eastAsia="Palatino Linotype" w:hAnsi="Palatino Linotype" w:cs="Palatino Linotype"/>
          <w:i/>
          <w:iCs/>
        </w:rPr>
      </w:pPr>
    </w:p>
    <w:p w:rsidR="00AE2AC0" w:rsidRPr="006D12D8" w:rsidRDefault="00E96513">
      <w:pPr>
        <w:spacing w:line="360" w:lineRule="auto"/>
        <w:ind w:left="567" w:right="539"/>
        <w:jc w:val="both"/>
        <w:rPr>
          <w:rFonts w:ascii="Palatino Linotype" w:eastAsia="Palatino Linotype" w:hAnsi="Palatino Linotype" w:cs="Palatino Linotype"/>
          <w:i/>
          <w:iCs/>
        </w:rPr>
      </w:pPr>
      <w:r w:rsidRPr="006D12D8">
        <w:rPr>
          <w:rFonts w:ascii="Palatino Linotype" w:eastAsia="Palatino Linotype" w:hAnsi="Palatino Linotype" w:cs="Palatino Linotype"/>
          <w:i/>
          <w:iCs/>
          <w:color w:val="000000"/>
        </w:rPr>
        <w:t xml:space="preserve">“Solicito todos los consentimientos de los padres de familia de los menores de edad, mujeres, personas de la tercera edad, que aparecen en las fotografías de las redes sociales del Presidente Municipal Ricardo Moreno así como los avisos de privacidad de todas las areas.” </w:t>
      </w:r>
      <w:r w:rsidRPr="006D12D8">
        <w:rPr>
          <w:rFonts w:ascii="Palatino Linotype" w:eastAsia="Palatino Linotype" w:hAnsi="Palatino Linotype" w:cs="Palatino Linotype"/>
          <w:color w:val="000000"/>
        </w:rPr>
        <w:t>(Sic)</w:t>
      </w:r>
    </w:p>
    <w:p w:rsidR="00AE2AC0" w:rsidRPr="006D12D8" w:rsidRDefault="00AE2AC0">
      <w:pPr>
        <w:tabs>
          <w:tab w:val="left" w:pos="2253"/>
        </w:tabs>
        <w:spacing w:line="360" w:lineRule="auto"/>
        <w:ind w:right="539"/>
        <w:jc w:val="both"/>
        <w:rPr>
          <w:rFonts w:ascii="Palatino Linotype" w:eastAsia="Palatino Linotype" w:hAnsi="Palatino Linotype" w:cs="Palatino Linotype"/>
          <w:i/>
          <w:iCs/>
          <w:color w:val="000000"/>
        </w:rPr>
      </w:pPr>
    </w:p>
    <w:p w:rsidR="00AE2AC0" w:rsidRPr="006D12D8" w:rsidRDefault="00E96513">
      <w:pPr>
        <w:numPr>
          <w:ilvl w:val="0"/>
          <w:numId w:val="1"/>
        </w:numPr>
        <w:spacing w:line="360" w:lineRule="auto"/>
        <w:ind w:left="0"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 xml:space="preserve">Modalidad de entrega de la información: a través de </w:t>
      </w:r>
      <w:r w:rsidRPr="006D12D8">
        <w:rPr>
          <w:rFonts w:ascii="Palatino Linotype" w:eastAsia="Palatino Linotype" w:hAnsi="Palatino Linotype" w:cs="Palatino Linotype"/>
          <w:b/>
          <w:bCs/>
        </w:rPr>
        <w:t>SAIMEX.</w:t>
      </w:r>
    </w:p>
    <w:p w:rsidR="00AE2AC0" w:rsidRPr="006D12D8" w:rsidRDefault="00AE2AC0">
      <w:pPr>
        <w:spacing w:line="360" w:lineRule="auto"/>
        <w:jc w:val="both"/>
        <w:rPr>
          <w:rFonts w:ascii="Palatino Linotype" w:eastAsia="Palatino Linotype" w:hAnsi="Palatino Linotype" w:cs="Palatino Linotype"/>
        </w:rPr>
      </w:pPr>
    </w:p>
    <w:p w:rsidR="00AE2AC0" w:rsidRPr="006D12D8" w:rsidRDefault="00E96513">
      <w:pPr>
        <w:numPr>
          <w:ilvl w:val="0"/>
          <w:numId w:val="1"/>
        </w:numPr>
        <w:spacing w:line="360" w:lineRule="auto"/>
        <w:ind w:left="0" w:firstLine="0"/>
        <w:jc w:val="both"/>
        <w:rPr>
          <w:rFonts w:ascii="Palatino Linotype" w:eastAsia="Palatino Linotype" w:hAnsi="Palatino Linotype" w:cs="Palatino Linotype"/>
          <w:b/>
          <w:bCs/>
          <w:i/>
          <w:iCs/>
        </w:rPr>
      </w:pPr>
      <w:r w:rsidRPr="006D12D8">
        <w:rPr>
          <w:rFonts w:ascii="Palatino Linotype" w:eastAsia="Palatino Linotype" w:hAnsi="Palatino Linotype" w:cs="Palatino Linotype"/>
        </w:rPr>
        <w:lastRenderedPageBreak/>
        <w:t xml:space="preserve">El </w:t>
      </w:r>
      <w:r w:rsidRPr="006D12D8">
        <w:rPr>
          <w:rFonts w:ascii="Palatino Linotype" w:eastAsia="Palatino Linotype" w:hAnsi="Palatino Linotype" w:cs="Palatino Linotype"/>
          <w:b/>
          <w:bCs/>
        </w:rPr>
        <w:t>diecisiete de julio de dos mil veinticinco</w:t>
      </w:r>
      <w:r w:rsidRPr="006D12D8">
        <w:rPr>
          <w:rFonts w:ascii="Palatino Linotype" w:eastAsia="Palatino Linotype" w:hAnsi="Palatino Linotype" w:cs="Palatino Linotype"/>
        </w:rPr>
        <w:t xml:space="preserve">, el </w:t>
      </w:r>
      <w:r w:rsidRPr="006D12D8">
        <w:rPr>
          <w:rFonts w:ascii="Palatino Linotype" w:eastAsia="Palatino Linotype" w:hAnsi="Palatino Linotype" w:cs="Palatino Linotype"/>
          <w:b/>
          <w:bCs/>
        </w:rPr>
        <w:t>SUJETO OBLIGADO</w:t>
      </w:r>
      <w:r w:rsidRPr="006D12D8">
        <w:rPr>
          <w:rFonts w:ascii="Palatino Linotype" w:eastAsia="Palatino Linotype" w:hAnsi="Palatino Linotype" w:cs="Palatino Linotype"/>
          <w:b/>
          <w:bCs/>
          <w:i/>
          <w:iCs/>
        </w:rPr>
        <w:t xml:space="preserve"> </w:t>
      </w:r>
      <w:r w:rsidRPr="006D12D8">
        <w:rPr>
          <w:rFonts w:ascii="Palatino Linotype" w:eastAsia="Palatino Linotype" w:hAnsi="Palatino Linotype" w:cs="Palatino Linotype"/>
        </w:rPr>
        <w:t>dio respuesta a la solicitud de información mediante diversos archivos electrónicos a saber:</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base de datos personales.pdf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4REG-TOL-0365-2025.pdf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SOLICITUD 03706.pdf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INTEGRAL.pdf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INTEGRAL.pdf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03706-TOLUCA-IP-2025.pdf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Respuesta folio 03706.pdf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RESPUESTA SAIMEX 3706-2025.pdf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370635.pdf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(1).pdf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Folio 370636.pdf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A.P INTEGRAL.pdf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A.P SIMPLIFICADO.pdf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1051-2025.pdf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Respuesta Saimex 03706.pdf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Anexo 2 Saimex 03706.pdf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Anexo 1 Saimex 03706.pdf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Anexo-03706-TOLUCA-IP-2025.-PDF.pdf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lastRenderedPageBreak/>
        <w:t>ANEXO-03706-TOLUCA-IP-2025.pdf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03706-TOLUCA-IP-2025.pdf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INTEGRAL PRIMERA SINDICATURA .pdf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NOTIF. CIUDADANO S. 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Respuesta solicitud 03706-TOLUCA-IP-2025.pdf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Anexo 3. Aviso-de-Privacidd-Integral-de-Seguimiento-al-Procedimiento-de-queja....pdf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Anexo 1. Aviso-de-Privacidad-Integral-de-Asesorias-Juridicas.pdf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Anexo 2. Aviso-de-Privacidad-Integral-de-Quejas-Recibidas.pdf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03706.pdf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saimex.03706.pdf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ANEXO 1 AVISOS DE PRIVACIDAD DGMA.pdf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respuesta DGMA 3706-TOLUCA-IP-2025.pdf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CALIFICADORA.pdf.crdownload.pdf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MEDIACIÓN.pdf.crdownload.pdf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ALCOHOLÍMETRO.pdf.crdownload.pdf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CALIFICADORA.pdf.crdownload.pdf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HECHOS DE TRÁNSITO.pdf.crdownload (1).pdf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2025-OFI-2569-SMX-3706.pdf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INTEGRALCOCICOVIS.pdf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Avisos de privacidad Entrega-Recepción.pdf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SIMPLIFICADO COCICOVIS.pdf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lastRenderedPageBreak/>
        <w:t>AVISO-DE-PRIVACIDAD-INTEGRAL-BASE-DE-DATOS-AUTOMATIZADA-PARA-SEGUIMIENTO-Y-CONTROL.pdf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AVISO-DE-PRIVACIDAD-INTEGRAL-Pie-a-tierracasa-por-casa.pdf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AVISO-DE-PRIVACIDAD-INTEGRAL-COORDINACION-DE-PROTECCION-CIVIL-Y-BOMBEROS.pdf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AVISO-DE-PRIVACIDAD-INTEGRAL-VISTOS-BUENOS-PARA-USO-DE-LA-VIA-PUBLICA-1.pdf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AVISO-DE-PRIVACIDAD-INTEGRAL-PLACAS-RETENIDAS-POR-INFRACCIONES.pdf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AVISO-DE-PRIVACIDAD-INTEGRAL-LICENCIAS-Y-TARJETAS.pdf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AVISO-DE-PRIVACIDAD-INTEGRALSABANA-NOTIFICACIONES-DEL-MINISTERIO-PUBLICO-Y-DE-ORGANOS-JURI.pdf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 BASE DE DATOS AUTOMATIZADA PARA SEGUIMIENTO Y CONTROL DEF.docx</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 PIE A TIERRA (CASA POR CASA).docx</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SIMPLIFICADO-LICENCIAS Y TARJETAS- DEF.docx</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 PROTECCIÓN CIVIL.docx</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SIMPLIFICADO-VISTOS BUENOS PARA EL USO DE LA VÍA PÚBLICA.docx</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 PLACAS RETENIDAS POR INFRACCIONES.docx</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SIMPLIFICADO-SABANA, NOTIFICACIONES DEL MINISTERIO PÚBLICO Y DE ÓRGANOS JURISDICCIONALES.docx</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Avisos de Privacidad.pdf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03706.pdf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lastRenderedPageBreak/>
        <w:t>AVISO-DE-PRIVACIDAD-INTEGRAL.pdf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 2025 (1) (1).pdf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SAIMEX 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INTEGRAL Dirección General de Servicios Públicos 28 de marzo de 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PRIVACIDA SEXTA REGIDURIA 2025-2027.pdf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2025-2027.pdf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RESPUESTA SAIMEX 03706_TOLUCA_IP_2025.pdf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SA anexo SAIMEX 03706.pdf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RESPUESTA SAIMEX 3706.pdf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ANEXO 1 SAIMEX 3706 AP. SIMPLIFICADO DGDE.pdf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ANEXO 2 SAIMEX 3706 AVISO DE PRIVACIDAD DGDE.pdf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INTEGRAL 03.pdf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AVISO DE PRIVACIDAD SIMPLIFICADO 03.pdf</w:t>
      </w:r>
    </w:p>
    <w:p w:rsidR="00AE2AC0" w:rsidRPr="006D12D8" w:rsidRDefault="00E96513">
      <w:pPr>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rPr>
        <w:t>Of 2489_Sol03706.pdf</w:t>
      </w:r>
    </w:p>
    <w:p w:rsidR="00AE2AC0" w:rsidRPr="006D12D8" w:rsidRDefault="00E96513">
      <w:pPr>
        <w:spacing w:line="360" w:lineRule="auto"/>
        <w:jc w:val="center"/>
        <w:rPr>
          <w:rFonts w:ascii="Palatino Linotype" w:eastAsia="Palatino Linotype" w:hAnsi="Palatino Linotype" w:cs="Palatino Linotype"/>
          <w:b/>
          <w:bCs/>
        </w:rPr>
      </w:pPr>
      <w:r w:rsidRPr="006D12D8">
        <w:rPr>
          <w:rFonts w:ascii="Palatino Linotype" w:eastAsia="Palatino Linotype" w:hAnsi="Palatino Linotype" w:cs="Palatino Linotype"/>
        </w:rPr>
        <w:t>R. 03706. 2025.pdf</w:t>
      </w:r>
    </w:p>
    <w:p w:rsidR="00AE2AC0" w:rsidRPr="006D12D8" w:rsidRDefault="00AE2AC0">
      <w:pPr>
        <w:spacing w:line="360" w:lineRule="auto"/>
        <w:rPr>
          <w:rFonts w:ascii="Palatino Linotype" w:eastAsia="Palatino Linotype" w:hAnsi="Palatino Linotype" w:cs="Palatino Linotype"/>
          <w:b/>
          <w:bCs/>
          <w:i/>
          <w:iCs/>
        </w:rPr>
      </w:pPr>
    </w:p>
    <w:p w:rsidR="00AE2AC0" w:rsidRPr="006D12D8" w:rsidRDefault="00E96513">
      <w:pPr>
        <w:numPr>
          <w:ilvl w:val="0"/>
          <w:numId w:val="1"/>
        </w:numPr>
        <w:spacing w:line="360" w:lineRule="auto"/>
        <w:ind w:left="0" w:firstLine="0"/>
        <w:jc w:val="both"/>
        <w:rPr>
          <w:rFonts w:ascii="Palatino Linotype" w:eastAsia="Palatino Linotype" w:hAnsi="Palatino Linotype" w:cs="Palatino Linotype"/>
          <w:i/>
          <w:iCs/>
        </w:rPr>
      </w:pPr>
      <w:r w:rsidRPr="006D12D8">
        <w:rPr>
          <w:rFonts w:ascii="Palatino Linotype" w:eastAsia="Palatino Linotype" w:hAnsi="Palatino Linotype" w:cs="Palatino Linotype"/>
        </w:rPr>
        <w:t>Cuyo contenido de manera general corresponde a los avisos de privacidad simplificados e integrales de diversas áreas administrativas de la estructura orgánica del Ayuntamiento de Toluca.</w:t>
      </w:r>
    </w:p>
    <w:p w:rsidR="006D12D8" w:rsidRPr="006D12D8" w:rsidRDefault="006D12D8" w:rsidP="006D12D8">
      <w:pPr>
        <w:spacing w:line="360" w:lineRule="auto"/>
        <w:jc w:val="both"/>
        <w:rPr>
          <w:rFonts w:ascii="Palatino Linotype" w:eastAsia="Palatino Linotype" w:hAnsi="Palatino Linotype" w:cs="Palatino Linotype"/>
          <w:i/>
          <w:iCs/>
        </w:rPr>
      </w:pPr>
    </w:p>
    <w:p w:rsidR="00AE2AC0" w:rsidRPr="006D12D8" w:rsidRDefault="00E96513">
      <w:pPr>
        <w:numPr>
          <w:ilvl w:val="0"/>
          <w:numId w:val="1"/>
        </w:numPr>
        <w:spacing w:line="360" w:lineRule="auto"/>
        <w:ind w:left="0" w:firstLine="0"/>
        <w:jc w:val="both"/>
        <w:rPr>
          <w:rFonts w:ascii="Palatino Linotype" w:eastAsia="Palatino Linotype" w:hAnsi="Palatino Linotype" w:cs="Palatino Linotype"/>
          <w:i/>
          <w:iCs/>
        </w:rPr>
      </w:pPr>
      <w:bookmarkStart w:id="2" w:name="_heading=h.icz6hl2w6qa0" w:colFirst="0" w:colLast="0"/>
      <w:bookmarkEnd w:id="2"/>
      <w:r w:rsidRPr="006D12D8">
        <w:rPr>
          <w:rFonts w:ascii="Palatino Linotype" w:eastAsia="Palatino Linotype" w:hAnsi="Palatino Linotype" w:cs="Palatino Linotype"/>
        </w:rPr>
        <w:lastRenderedPageBreak/>
        <w:t xml:space="preserve">El </w:t>
      </w:r>
      <w:r w:rsidRPr="006D12D8">
        <w:rPr>
          <w:rFonts w:ascii="Palatino Linotype" w:eastAsia="Palatino Linotype" w:hAnsi="Palatino Linotype" w:cs="Palatino Linotype"/>
          <w:b/>
          <w:bCs/>
        </w:rPr>
        <w:t>veintidós de julio de dos mil veinticinco</w:t>
      </w:r>
      <w:r w:rsidRPr="006D12D8">
        <w:rPr>
          <w:rFonts w:ascii="Palatino Linotype" w:eastAsia="Palatino Linotype" w:hAnsi="Palatino Linotype" w:cs="Palatino Linotype"/>
        </w:rPr>
        <w:t xml:space="preserve">, el </w:t>
      </w:r>
      <w:r w:rsidRPr="006D12D8">
        <w:rPr>
          <w:rFonts w:ascii="Palatino Linotype" w:eastAsia="Palatino Linotype" w:hAnsi="Palatino Linotype" w:cs="Palatino Linotype"/>
          <w:b/>
          <w:bCs/>
        </w:rPr>
        <w:t>RECURRENTE</w:t>
      </w:r>
      <w:r w:rsidRPr="006D12D8">
        <w:rPr>
          <w:rFonts w:ascii="Palatino Linotype" w:eastAsia="Palatino Linotype" w:hAnsi="Palatino Linotype" w:cs="Palatino Linotype"/>
        </w:rPr>
        <w:t xml:space="preserve"> interpuso el recurso de revisión, en contra de la respuesta, señalando lo siguiente:</w:t>
      </w:r>
    </w:p>
    <w:p w:rsidR="00AE2AC0" w:rsidRPr="006D12D8" w:rsidRDefault="00AE2AC0">
      <w:pPr>
        <w:spacing w:line="360" w:lineRule="auto"/>
        <w:ind w:right="567"/>
        <w:rPr>
          <w:rFonts w:ascii="Palatino Linotype" w:eastAsia="Palatino Linotype" w:hAnsi="Palatino Linotype" w:cs="Palatino Linotype"/>
          <w:i/>
          <w:iCs/>
        </w:rPr>
      </w:pPr>
    </w:p>
    <w:p w:rsidR="00AE2AC0" w:rsidRPr="006D12D8" w:rsidRDefault="006D12D8" w:rsidP="006D12D8">
      <w:pPr>
        <w:pStyle w:val="Prrafodelista"/>
        <w:numPr>
          <w:ilvl w:val="0"/>
          <w:numId w:val="2"/>
        </w:numPr>
        <w:spacing w:line="360" w:lineRule="auto"/>
        <w:ind w:right="539"/>
        <w:jc w:val="both"/>
        <w:rPr>
          <w:rFonts w:ascii="Palatino Linotype" w:eastAsia="Palatino Linotype" w:hAnsi="Palatino Linotype" w:cs="Palatino Linotype"/>
          <w:i/>
          <w:iCs/>
          <w:sz w:val="24"/>
        </w:rPr>
      </w:pPr>
      <w:r w:rsidRPr="006D12D8">
        <w:rPr>
          <w:rFonts w:ascii="Palatino Linotype" w:eastAsia="Palatino Linotype" w:hAnsi="Palatino Linotype" w:cs="Palatino Linotype"/>
          <w:b/>
          <w:bCs/>
          <w:sz w:val="24"/>
        </w:rPr>
        <w:t>ACTO IMPUGNADO</w:t>
      </w:r>
      <w:r w:rsidR="00E96513" w:rsidRPr="006D12D8">
        <w:rPr>
          <w:rFonts w:ascii="Palatino Linotype" w:eastAsia="Palatino Linotype" w:hAnsi="Palatino Linotype" w:cs="Palatino Linotype"/>
          <w:b/>
          <w:bCs/>
          <w:i/>
          <w:iCs/>
          <w:sz w:val="24"/>
        </w:rPr>
        <w:t>:</w:t>
      </w:r>
      <w:r w:rsidR="00E96513" w:rsidRPr="006D12D8">
        <w:rPr>
          <w:rFonts w:ascii="Palatino Linotype" w:eastAsia="Palatino Linotype" w:hAnsi="Palatino Linotype" w:cs="Palatino Linotype"/>
          <w:i/>
          <w:iCs/>
          <w:color w:val="000000"/>
          <w:sz w:val="24"/>
        </w:rPr>
        <w:t xml:space="preserve"> “La respuesta la información esta incompleta no atiende mi solicitud de acuerdo a lo solicitado “ </w:t>
      </w:r>
    </w:p>
    <w:p w:rsidR="00AE2AC0" w:rsidRPr="006D12D8" w:rsidRDefault="00AE2AC0" w:rsidP="006D12D8">
      <w:pPr>
        <w:pBdr>
          <w:top w:val="nil"/>
          <w:left w:val="nil"/>
          <w:bottom w:val="nil"/>
          <w:right w:val="nil"/>
          <w:between w:val="nil"/>
        </w:pBdr>
        <w:spacing w:line="360" w:lineRule="auto"/>
        <w:ind w:right="539"/>
        <w:jc w:val="both"/>
        <w:rPr>
          <w:rFonts w:ascii="Palatino Linotype" w:eastAsia="Palatino Linotype" w:hAnsi="Palatino Linotype" w:cs="Palatino Linotype"/>
          <w:i/>
          <w:iCs/>
          <w:color w:val="000000"/>
          <w:sz w:val="28"/>
        </w:rPr>
      </w:pPr>
    </w:p>
    <w:p w:rsidR="00AE2AC0" w:rsidRPr="006D12D8" w:rsidRDefault="006D12D8" w:rsidP="006D12D8">
      <w:pPr>
        <w:pStyle w:val="Prrafodelista"/>
        <w:numPr>
          <w:ilvl w:val="0"/>
          <w:numId w:val="2"/>
        </w:numPr>
        <w:spacing w:line="360" w:lineRule="auto"/>
        <w:ind w:right="539"/>
        <w:jc w:val="both"/>
        <w:rPr>
          <w:rFonts w:ascii="Palatino Linotype" w:eastAsia="Palatino Linotype" w:hAnsi="Palatino Linotype" w:cs="Palatino Linotype"/>
          <w:i/>
          <w:iCs/>
          <w:sz w:val="24"/>
        </w:rPr>
      </w:pPr>
      <w:r w:rsidRPr="006D12D8">
        <w:rPr>
          <w:rFonts w:ascii="Palatino Linotype" w:eastAsia="Palatino Linotype" w:hAnsi="Palatino Linotype" w:cs="Palatino Linotype"/>
          <w:b/>
          <w:bCs/>
          <w:sz w:val="24"/>
        </w:rPr>
        <w:t>RAZONES O MOTIVOS DE INCONFORMIDAD</w:t>
      </w:r>
      <w:r w:rsidR="00E96513" w:rsidRPr="006D12D8">
        <w:rPr>
          <w:rFonts w:ascii="Palatino Linotype" w:eastAsia="Palatino Linotype" w:hAnsi="Palatino Linotype" w:cs="Palatino Linotype"/>
          <w:b/>
          <w:bCs/>
          <w:i/>
          <w:iCs/>
          <w:sz w:val="24"/>
        </w:rPr>
        <w:t>:</w:t>
      </w:r>
      <w:r w:rsidR="00E96513" w:rsidRPr="006D12D8">
        <w:rPr>
          <w:rFonts w:ascii="Palatino Linotype" w:eastAsia="Palatino Linotype" w:hAnsi="Palatino Linotype" w:cs="Palatino Linotype"/>
          <w:b/>
          <w:bCs/>
          <w:i/>
          <w:iCs/>
          <w:color w:val="2E75B5"/>
          <w:sz w:val="24"/>
        </w:rPr>
        <w:t xml:space="preserve"> </w:t>
      </w:r>
      <w:r w:rsidR="00E96513" w:rsidRPr="006D12D8">
        <w:rPr>
          <w:rFonts w:ascii="Palatino Linotype" w:eastAsia="Palatino Linotype" w:hAnsi="Palatino Linotype" w:cs="Palatino Linotype"/>
          <w:i/>
          <w:iCs/>
          <w:sz w:val="24"/>
        </w:rPr>
        <w:t>“</w:t>
      </w:r>
      <w:r w:rsidR="00E96513" w:rsidRPr="006D12D8">
        <w:rPr>
          <w:rFonts w:ascii="Palatino Linotype" w:eastAsia="Palatino Linotype" w:hAnsi="Palatino Linotype" w:cs="Palatino Linotype"/>
          <w:i/>
          <w:iCs/>
          <w:color w:val="000000"/>
          <w:sz w:val="24"/>
        </w:rPr>
        <w:t>no sean opacos se solicito el documento de seguridad completo no su ridícula ficha que no es valida esa no es un documento de seguridad dejen la escuela de normita pérez y entregue lo que dice la ley opacos</w:t>
      </w:r>
      <w:r w:rsidR="00E96513" w:rsidRPr="006D12D8">
        <w:rPr>
          <w:rFonts w:ascii="Palatino Linotype" w:eastAsia="Palatino Linotype" w:hAnsi="Palatino Linotype" w:cs="Palatino Linotype"/>
          <w:i/>
          <w:iCs/>
          <w:sz w:val="24"/>
        </w:rPr>
        <w:t xml:space="preserve">” </w:t>
      </w:r>
      <w:r w:rsidR="00E96513" w:rsidRPr="006D12D8">
        <w:rPr>
          <w:rFonts w:ascii="Palatino Linotype" w:eastAsia="Palatino Linotype" w:hAnsi="Palatino Linotype" w:cs="Palatino Linotype"/>
          <w:sz w:val="24"/>
        </w:rPr>
        <w:t>(Sic)</w:t>
      </w:r>
    </w:p>
    <w:p w:rsidR="00AE2AC0" w:rsidRPr="006D12D8" w:rsidRDefault="00AE2AC0">
      <w:pPr>
        <w:spacing w:line="360" w:lineRule="auto"/>
        <w:ind w:right="539"/>
        <w:jc w:val="both"/>
        <w:rPr>
          <w:rFonts w:ascii="Palatino Linotype" w:eastAsia="Palatino Linotype" w:hAnsi="Palatino Linotype" w:cs="Palatino Linotype"/>
          <w:i/>
          <w:iCs/>
        </w:rPr>
      </w:pPr>
    </w:p>
    <w:p w:rsidR="00AE2AC0" w:rsidRPr="006D12D8" w:rsidRDefault="00E96513">
      <w:pPr>
        <w:numPr>
          <w:ilvl w:val="0"/>
          <w:numId w:val="1"/>
        </w:numPr>
        <w:spacing w:line="360" w:lineRule="auto"/>
        <w:ind w:left="0"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6D12D8">
        <w:rPr>
          <w:rFonts w:ascii="Palatino Linotype" w:eastAsia="Palatino Linotype" w:hAnsi="Palatino Linotype" w:cs="Palatino Linotype"/>
          <w:b/>
          <w:bCs/>
        </w:rPr>
        <w:t xml:space="preserve">Ley de Transparencia y Acceso a la Información Pública del Estado de México y Municipios </w:t>
      </w:r>
      <w:r w:rsidRPr="006D12D8">
        <w:rPr>
          <w:rFonts w:ascii="Palatino Linotype" w:eastAsia="Palatino Linotype" w:hAnsi="Palatino Linotype" w:cs="Palatino Linotype"/>
        </w:rPr>
        <w:t xml:space="preserve">se turnó a la </w:t>
      </w:r>
      <w:r w:rsidRPr="006D12D8">
        <w:rPr>
          <w:rFonts w:ascii="Palatino Linotype" w:eastAsia="Palatino Linotype" w:hAnsi="Palatino Linotype" w:cs="Palatino Linotype"/>
          <w:b/>
          <w:bCs/>
        </w:rPr>
        <w:t xml:space="preserve">Comisionada María del Rosario Mejía Ayala, </w:t>
      </w:r>
      <w:r w:rsidR="006D12D8">
        <w:rPr>
          <w:rFonts w:ascii="Palatino Linotype" w:eastAsia="Palatino Linotype" w:hAnsi="Palatino Linotype" w:cs="Palatino Linotype"/>
        </w:rPr>
        <w:t>para</w:t>
      </w:r>
      <w:r w:rsidRPr="006D12D8">
        <w:rPr>
          <w:rFonts w:ascii="Palatino Linotype" w:eastAsia="Palatino Linotype" w:hAnsi="Palatino Linotype" w:cs="Palatino Linotype"/>
        </w:rPr>
        <w:t xml:space="preserve"> su análisis. </w:t>
      </w:r>
    </w:p>
    <w:p w:rsidR="00AE2AC0" w:rsidRPr="006D12D8" w:rsidRDefault="00AE2AC0">
      <w:pPr>
        <w:spacing w:line="360" w:lineRule="auto"/>
        <w:jc w:val="both"/>
        <w:rPr>
          <w:rFonts w:ascii="Palatino Linotype" w:eastAsia="Palatino Linotype" w:hAnsi="Palatino Linotype" w:cs="Palatino Linotype"/>
        </w:rPr>
      </w:pPr>
    </w:p>
    <w:p w:rsidR="00AE2AC0" w:rsidRPr="006D12D8" w:rsidRDefault="006D12D8">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La Comisionada p</w:t>
      </w:r>
      <w:r w:rsidR="00E96513" w:rsidRPr="006D12D8">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00E96513" w:rsidRPr="006D12D8">
        <w:rPr>
          <w:rFonts w:ascii="Palatino Linotype" w:eastAsia="Palatino Linotype" w:hAnsi="Palatino Linotype" w:cs="Palatino Linotype"/>
          <w:b/>
          <w:bCs/>
        </w:rPr>
        <w:t>cinco de agosto de dos mil veinticinco</w:t>
      </w:r>
      <w:r w:rsidR="00E96513" w:rsidRPr="006D12D8">
        <w:rPr>
          <w:rFonts w:ascii="Palatino Linotype" w:eastAsia="Palatino Linotype" w:hAnsi="Palatino Linotype" w:cs="Palatino Linotype"/>
        </w:rPr>
        <w:t xml:space="preserve">, puso a disposición de las partes el expediente electrónico vía </w:t>
      </w:r>
      <w:r w:rsidR="00E96513" w:rsidRPr="006D12D8">
        <w:rPr>
          <w:rFonts w:ascii="Palatino Linotype" w:eastAsia="Palatino Linotype" w:hAnsi="Palatino Linotype" w:cs="Palatino Linotype"/>
          <w:b/>
          <w:bCs/>
        </w:rPr>
        <w:t xml:space="preserve">SAIMEX </w:t>
      </w:r>
      <w:r w:rsidR="00E96513" w:rsidRPr="006D12D8">
        <w:rPr>
          <w:rFonts w:ascii="Palatino Linotype" w:eastAsia="Palatino Linotype" w:hAnsi="Palatino Linotype" w:cs="Palatino Linotype"/>
        </w:rPr>
        <w:t xml:space="preserve">a efecto de que en un plazo máximo de siete días manifestaran lo que a derecho convinieran, ofrecieran pruebas y alegatos según corresponda al caso concreto, de esta forma para que el </w:t>
      </w:r>
      <w:r w:rsidR="00E96513" w:rsidRPr="006D12D8">
        <w:rPr>
          <w:rFonts w:ascii="Palatino Linotype" w:eastAsia="Palatino Linotype" w:hAnsi="Palatino Linotype" w:cs="Palatino Linotype"/>
          <w:b/>
          <w:bCs/>
        </w:rPr>
        <w:t>SUJETO OBLIGADO</w:t>
      </w:r>
      <w:r w:rsidR="00E96513" w:rsidRPr="006D12D8">
        <w:rPr>
          <w:rFonts w:ascii="Palatino Linotype" w:eastAsia="Palatino Linotype" w:hAnsi="Palatino Linotype" w:cs="Palatino Linotype"/>
        </w:rPr>
        <w:t xml:space="preserve"> presentara el informe justificado procedente. </w:t>
      </w:r>
    </w:p>
    <w:p w:rsidR="006D12D8" w:rsidRDefault="006D12D8" w:rsidP="006D12D8">
      <w:pPr>
        <w:pStyle w:val="Prrafodelista"/>
        <w:rPr>
          <w:rFonts w:ascii="Palatino Linotype" w:eastAsia="Palatino Linotype" w:hAnsi="Palatino Linotype" w:cs="Palatino Linotype"/>
          <w:i/>
          <w:iCs/>
          <w:color w:val="000000"/>
        </w:rPr>
      </w:pPr>
    </w:p>
    <w:p w:rsidR="006D12D8" w:rsidRPr="006D12D8" w:rsidRDefault="006D12D8" w:rsidP="006D12D8">
      <w:pPr>
        <w:spacing w:line="360" w:lineRule="auto"/>
        <w:jc w:val="both"/>
        <w:rPr>
          <w:rFonts w:ascii="Palatino Linotype" w:eastAsia="Palatino Linotype" w:hAnsi="Palatino Linotype" w:cs="Palatino Linotype"/>
          <w:i/>
          <w:iCs/>
          <w:color w:val="000000"/>
        </w:rPr>
      </w:pPr>
    </w:p>
    <w:p w:rsidR="00AE2AC0" w:rsidRPr="006D12D8" w:rsidRDefault="00E96513">
      <w:pPr>
        <w:numPr>
          <w:ilvl w:val="0"/>
          <w:numId w:val="1"/>
        </w:numPr>
        <w:spacing w:line="360" w:lineRule="auto"/>
        <w:ind w:left="0" w:firstLine="0"/>
        <w:jc w:val="both"/>
        <w:rPr>
          <w:rFonts w:ascii="Palatino Linotype" w:eastAsia="Palatino Linotype" w:hAnsi="Palatino Linotype" w:cs="Palatino Linotype"/>
          <w:i/>
          <w:iCs/>
        </w:rPr>
      </w:pPr>
      <w:r w:rsidRPr="006D12D8">
        <w:rPr>
          <w:rFonts w:ascii="Palatino Linotype" w:eastAsia="Palatino Linotype" w:hAnsi="Palatino Linotype" w:cs="Palatino Linotype"/>
        </w:rPr>
        <w:lastRenderedPageBreak/>
        <w:t>Los</w:t>
      </w:r>
      <w:r w:rsidRPr="006D12D8">
        <w:rPr>
          <w:rFonts w:ascii="Palatino Linotype" w:eastAsia="Palatino Linotype" w:hAnsi="Palatino Linotype" w:cs="Palatino Linotype"/>
          <w:b/>
          <w:bCs/>
        </w:rPr>
        <w:t xml:space="preserve"> días trece, catorce, dieciocho y veintiuno de agosto de dos mil veinticinco, </w:t>
      </w:r>
      <w:r w:rsidRPr="006D12D8">
        <w:rPr>
          <w:rFonts w:ascii="Palatino Linotype" w:eastAsia="Palatino Linotype" w:hAnsi="Palatino Linotype" w:cs="Palatino Linotype"/>
        </w:rPr>
        <w:t>así como</w:t>
      </w:r>
      <w:r w:rsidRPr="006D12D8">
        <w:rPr>
          <w:rFonts w:ascii="Palatino Linotype" w:eastAsia="Palatino Linotype" w:hAnsi="Palatino Linotype" w:cs="Palatino Linotype"/>
          <w:b/>
          <w:bCs/>
        </w:rPr>
        <w:t xml:space="preserve"> veintinueve de octubre de dos mil veinticinco, </w:t>
      </w:r>
      <w:r w:rsidRPr="006D12D8">
        <w:rPr>
          <w:rFonts w:ascii="Palatino Linotype" w:eastAsia="Palatino Linotype" w:hAnsi="Palatino Linotype" w:cs="Palatino Linotype"/>
        </w:rPr>
        <w:t>a través de quince archivos en los que remite diversas actas de comisiones edilicias, avisos de privacidad de diversas áreas administrativas, así como un escrito signado por el Titular de la Unidad de Transparencia en el que manifiesta que se ratifica a la respuesta emitida por las secretarías, las sindicaturas, las regidurías, las direcciones generales, las unidades administrativas, y los Servidores Públicos Habilitados, el 17 de julio de 2025 a la solicitud 03706/TOLUCA/IP/2025, relacionada con el Recurso de Revisión 08953/INFOEM/IP/RR/2025.</w:t>
      </w:r>
    </w:p>
    <w:p w:rsidR="00AE2AC0" w:rsidRPr="006D12D8" w:rsidRDefault="00AE2AC0">
      <w:pPr>
        <w:spacing w:line="360" w:lineRule="auto"/>
        <w:ind w:left="567"/>
        <w:jc w:val="both"/>
        <w:rPr>
          <w:rFonts w:ascii="Palatino Linotype" w:eastAsia="Palatino Linotype" w:hAnsi="Palatino Linotype" w:cs="Palatino Linotype"/>
          <w:b/>
          <w:bCs/>
        </w:rPr>
      </w:pPr>
    </w:p>
    <w:p w:rsidR="00AE2AC0" w:rsidRPr="006D12D8" w:rsidRDefault="00E96513">
      <w:pPr>
        <w:numPr>
          <w:ilvl w:val="0"/>
          <w:numId w:val="1"/>
        </w:numPr>
        <w:spacing w:line="360" w:lineRule="auto"/>
        <w:ind w:left="0" w:firstLine="0"/>
        <w:jc w:val="both"/>
        <w:rPr>
          <w:rFonts w:ascii="Palatino Linotype" w:eastAsia="Palatino Linotype" w:hAnsi="Palatino Linotype" w:cs="Palatino Linotype"/>
          <w:b/>
          <w:bCs/>
          <w:u w:val="single"/>
        </w:rPr>
      </w:pPr>
      <w:bookmarkStart w:id="3" w:name="_heading=h.xh1ktwklt03i" w:colFirst="0" w:colLast="0"/>
      <w:bookmarkEnd w:id="3"/>
      <w:r w:rsidRPr="006D12D8">
        <w:rPr>
          <w:rFonts w:ascii="Palatino Linotype" w:eastAsia="Palatino Linotype" w:hAnsi="Palatino Linotype" w:cs="Palatino Linotype"/>
          <w:color w:val="000000"/>
        </w:rPr>
        <w:t xml:space="preserve">El </w:t>
      </w:r>
      <w:r w:rsidRPr="006D12D8">
        <w:rPr>
          <w:rFonts w:ascii="Palatino Linotype" w:eastAsia="Palatino Linotype" w:hAnsi="Palatino Linotype" w:cs="Palatino Linotype"/>
          <w:b/>
          <w:bCs/>
          <w:color w:val="000000"/>
        </w:rPr>
        <w:t>cinco de marzo de dos mil veintiséis</w:t>
      </w:r>
      <w:r w:rsidRPr="006D12D8">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 seguidamente l</w:t>
      </w:r>
      <w:r w:rsidRPr="006D12D8">
        <w:rPr>
          <w:rFonts w:ascii="Palatino Linotype" w:eastAsia="Palatino Linotype" w:hAnsi="Palatino Linotype" w:cs="Palatino Linotype"/>
        </w:rPr>
        <w:t xml:space="preserve">a Comisionada Ponente decretó cierre de instrucción mediante el acuerdo del </w:t>
      </w:r>
      <w:r w:rsidRPr="006D12D8">
        <w:rPr>
          <w:rFonts w:ascii="Palatino Linotype" w:eastAsia="Palatino Linotype" w:hAnsi="Palatino Linotype" w:cs="Palatino Linotype"/>
          <w:b/>
          <w:bCs/>
        </w:rPr>
        <w:t>once de marzo de dos mil veintiséis</w:t>
      </w:r>
      <w:r w:rsidRPr="006D12D8">
        <w:rPr>
          <w:rFonts w:ascii="Palatino Linotype" w:eastAsia="Palatino Linotype" w:hAnsi="Palatino Linotype" w:cs="Palatino Linotype"/>
        </w:rPr>
        <w:t xml:space="preserve">; por lo que ordenó turnar el expediente a resolución, misma que ahora se pronuncia; y </w:t>
      </w:r>
    </w:p>
    <w:p w:rsidR="00AE2AC0" w:rsidRPr="006D12D8" w:rsidRDefault="00AE2AC0">
      <w:pPr>
        <w:spacing w:line="360" w:lineRule="auto"/>
        <w:jc w:val="both"/>
        <w:rPr>
          <w:rFonts w:ascii="Palatino Linotype" w:eastAsia="Palatino Linotype" w:hAnsi="Palatino Linotype" w:cs="Palatino Linotype"/>
          <w:b/>
          <w:bCs/>
          <w:u w:val="single"/>
        </w:rPr>
      </w:pPr>
    </w:p>
    <w:p w:rsidR="00AE2AC0" w:rsidRPr="006D12D8" w:rsidRDefault="00E96513">
      <w:pPr>
        <w:keepNext/>
        <w:keepLines/>
        <w:spacing w:line="360" w:lineRule="auto"/>
        <w:jc w:val="center"/>
        <w:rPr>
          <w:rFonts w:ascii="Palatino Linotype" w:eastAsia="Palatino Linotype" w:hAnsi="Palatino Linotype" w:cs="Palatino Linotype"/>
        </w:rPr>
      </w:pPr>
      <w:r w:rsidRPr="006D12D8">
        <w:rPr>
          <w:rFonts w:ascii="Palatino Linotype" w:eastAsia="Palatino Linotype" w:hAnsi="Palatino Linotype" w:cs="Palatino Linotype"/>
          <w:b/>
          <w:bCs/>
        </w:rPr>
        <w:t>C</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O</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N</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S</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I</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D</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E</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R</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A</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N</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D</w:t>
      </w:r>
      <w:r w:rsid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b/>
          <w:bCs/>
        </w:rPr>
        <w:t>O</w:t>
      </w:r>
      <w:r w:rsidR="006D12D8">
        <w:rPr>
          <w:rFonts w:ascii="Palatino Linotype" w:eastAsia="Palatino Linotype" w:hAnsi="Palatino Linotype" w:cs="Palatino Linotype"/>
          <w:b/>
          <w:bCs/>
        </w:rPr>
        <w:t xml:space="preserve"> </w:t>
      </w:r>
    </w:p>
    <w:p w:rsidR="00AE2AC0" w:rsidRPr="006D12D8" w:rsidRDefault="00AE2AC0">
      <w:pPr>
        <w:spacing w:line="360" w:lineRule="auto"/>
        <w:rPr>
          <w:rFonts w:ascii="Palatino Linotype" w:eastAsia="Palatino Linotype" w:hAnsi="Palatino Linotype" w:cs="Palatino Linotype"/>
        </w:rPr>
      </w:pPr>
    </w:p>
    <w:p w:rsidR="00AE2AC0" w:rsidRPr="006D12D8" w:rsidRDefault="00E96513">
      <w:pPr>
        <w:keepNext/>
        <w:keepLines/>
        <w:spacing w:line="360" w:lineRule="auto"/>
        <w:rPr>
          <w:rFonts w:ascii="Palatino Linotype" w:eastAsia="Palatino Linotype" w:hAnsi="Palatino Linotype" w:cs="Palatino Linotype"/>
          <w:b/>
          <w:bCs/>
        </w:rPr>
      </w:pPr>
      <w:bookmarkStart w:id="4" w:name="_heading=h.4wj15ionbklq" w:colFirst="0" w:colLast="0"/>
      <w:bookmarkEnd w:id="4"/>
      <w:r w:rsidRPr="006D12D8">
        <w:rPr>
          <w:rFonts w:ascii="Palatino Linotype" w:eastAsia="Palatino Linotype" w:hAnsi="Palatino Linotype" w:cs="Palatino Linotype"/>
          <w:b/>
          <w:bCs/>
        </w:rPr>
        <w:t>PRIMERO. De la competencia</w:t>
      </w:r>
    </w:p>
    <w:p w:rsidR="00AE2AC0" w:rsidRPr="006D12D8" w:rsidRDefault="00E96513">
      <w:pPr>
        <w:numPr>
          <w:ilvl w:val="0"/>
          <w:numId w:val="1"/>
        </w:numPr>
        <w:spacing w:line="360" w:lineRule="auto"/>
        <w:ind w:left="0"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w:t>
      </w:r>
      <w:r w:rsidRPr="006D12D8">
        <w:rPr>
          <w:rFonts w:ascii="Palatino Linotype" w:eastAsia="Palatino Linotype" w:hAnsi="Palatino Linotype" w:cs="Palatino Linotype"/>
        </w:rPr>
        <w:lastRenderedPageBreak/>
        <w:t>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AE2AC0" w:rsidRPr="006D12D8" w:rsidRDefault="00AE2AC0">
      <w:pPr>
        <w:spacing w:line="360" w:lineRule="auto"/>
        <w:jc w:val="both"/>
        <w:rPr>
          <w:rFonts w:ascii="Palatino Linotype" w:eastAsia="Palatino Linotype" w:hAnsi="Palatino Linotype" w:cs="Palatino Linotype"/>
        </w:rPr>
      </w:pPr>
    </w:p>
    <w:p w:rsidR="00AE2AC0" w:rsidRPr="006D12D8" w:rsidRDefault="00E96513">
      <w:pPr>
        <w:keepNext/>
        <w:keepLines/>
        <w:spacing w:line="360" w:lineRule="auto"/>
        <w:rPr>
          <w:rFonts w:ascii="Palatino Linotype" w:eastAsia="Palatino Linotype" w:hAnsi="Palatino Linotype" w:cs="Palatino Linotype"/>
          <w:b/>
          <w:bCs/>
        </w:rPr>
      </w:pPr>
      <w:bookmarkStart w:id="5" w:name="_heading=h.y3j3so2p7tgo" w:colFirst="0" w:colLast="0"/>
      <w:bookmarkEnd w:id="5"/>
      <w:r w:rsidRPr="006D12D8">
        <w:rPr>
          <w:rFonts w:ascii="Palatino Linotype" w:eastAsia="Palatino Linotype" w:hAnsi="Palatino Linotype" w:cs="Palatino Linotype"/>
          <w:b/>
          <w:bCs/>
        </w:rPr>
        <w:t>SEGUNDO. De la oportunidad y procedencia.</w:t>
      </w: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 xml:space="preserve">El medio de impugnación fue presentado a través del </w:t>
      </w:r>
      <w:r w:rsidRPr="006D12D8">
        <w:rPr>
          <w:rFonts w:ascii="Palatino Linotype" w:eastAsia="Palatino Linotype" w:hAnsi="Palatino Linotype" w:cs="Palatino Linotype"/>
          <w:b/>
          <w:bCs/>
        </w:rPr>
        <w:t>SAIMEX,</w:t>
      </w:r>
      <w:r w:rsidRPr="006D12D8">
        <w:rPr>
          <w:rFonts w:ascii="Palatino Linotype" w:eastAsia="Palatino Linotype" w:hAnsi="Palatino Linotype" w:cs="Palatino Linotype"/>
        </w:rPr>
        <w:t xml:space="preserve"> en el formato previamente aprobado para tal efecto y dentro del plazo legal de quince días hábiles otorgados; por lo que se encuentra dentro de los márgenes temporales previstos en el artículo 178 de la </w:t>
      </w:r>
      <w:r w:rsidRPr="006D12D8">
        <w:rPr>
          <w:rFonts w:ascii="Palatino Linotype" w:eastAsia="Palatino Linotype" w:hAnsi="Palatino Linotype" w:cs="Palatino Linotype"/>
          <w:b/>
          <w:bCs/>
        </w:rPr>
        <w:t xml:space="preserve">Ley de Transparencia y Acceso a la Información Pública del Estado de México y Municipios </w:t>
      </w:r>
      <w:r w:rsidRPr="006D12D8">
        <w:rPr>
          <w:rFonts w:ascii="Palatino Linotype" w:eastAsia="Palatino Linotype" w:hAnsi="Palatino Linotype" w:cs="Palatino Linotype"/>
        </w:rPr>
        <w:t>vigente.</w:t>
      </w: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t xml:space="preserve">Por </w:t>
      </w:r>
      <w:r w:rsidRPr="006D12D8">
        <w:rPr>
          <w:rFonts w:ascii="Palatino Linotype" w:eastAsia="Palatino Linotype" w:hAnsi="Palatino Linotype" w:cs="Palatino Linotype"/>
        </w:rPr>
        <w:t>otro</w:t>
      </w:r>
      <w:r w:rsidRPr="006D12D8">
        <w:rPr>
          <w:rFonts w:ascii="Palatino Linotype" w:eastAsia="Palatino Linotype" w:hAnsi="Palatino Linotype" w:cs="Palatino Linotype"/>
          <w:color w:val="000000"/>
        </w:rPr>
        <w:t xml:space="preserve">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w:t>
      </w:r>
      <w:r w:rsidRPr="006D12D8">
        <w:rPr>
          <w:rFonts w:ascii="Palatino Linotype" w:eastAsia="Palatino Linotype" w:hAnsi="Palatino Linotype" w:cs="Palatino Linotype"/>
          <w:b/>
          <w:bCs/>
          <w:i/>
          <w:iCs/>
        </w:rPr>
        <w:t>Las solicitudes anónimas</w:t>
      </w:r>
      <w:r w:rsidRPr="006D12D8">
        <w:rPr>
          <w:rFonts w:ascii="Palatino Linotype" w:eastAsia="Palatino Linotype" w:hAnsi="Palatino Linotype" w:cs="Palatino Linotype"/>
          <w:i/>
          <w:iCs/>
        </w:rPr>
        <w:t xml:space="preserve">, con nombre incompleto o seudónimo </w:t>
      </w:r>
      <w:r w:rsidRPr="006D12D8">
        <w:rPr>
          <w:rFonts w:ascii="Palatino Linotype" w:eastAsia="Palatino Linotype" w:hAnsi="Palatino Linotype" w:cs="Palatino Linotype"/>
          <w:b/>
          <w:bCs/>
          <w:i/>
          <w:iCs/>
        </w:rPr>
        <w:t>serán procedentes para su trámite por parte del sujeto obligado ante quien se presente</w:t>
      </w:r>
      <w:r w:rsidRPr="006D12D8">
        <w:rPr>
          <w:rFonts w:ascii="Palatino Linotype" w:eastAsia="Palatino Linotype" w:hAnsi="Palatino Linotype" w:cs="Palatino Linotype"/>
          <w:i/>
          <w:iCs/>
        </w:rPr>
        <w:t>. No podrá requerirse información adicional con motivo del nombre proporcionado por el solicitante."</w:t>
      </w:r>
    </w:p>
    <w:p w:rsidR="00AE2AC0" w:rsidRPr="006D12D8" w:rsidRDefault="00AE2AC0">
      <w:pPr>
        <w:spacing w:line="360" w:lineRule="auto"/>
        <w:jc w:val="right"/>
        <w:rPr>
          <w:rFonts w:ascii="Palatino Linotype" w:eastAsia="Palatino Linotype" w:hAnsi="Palatino Linotype" w:cs="Palatino Linotype"/>
          <w:color w:val="000000"/>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lastRenderedPageBreak/>
        <w:t xml:space="preserve">Robusteciendo lo anterior se encuentra lo dispuesto en el artículo 6, Apartado A, fracciones III </w:t>
      </w:r>
      <w:r w:rsidRPr="006D12D8">
        <w:rPr>
          <w:rFonts w:ascii="Palatino Linotype" w:eastAsia="Palatino Linotype" w:hAnsi="Palatino Linotype" w:cs="Palatino Linotype"/>
        </w:rPr>
        <w:t>de</w:t>
      </w:r>
      <w:r w:rsidRPr="006D12D8">
        <w:rPr>
          <w:rFonts w:ascii="Palatino Linotype" w:eastAsia="Palatino Linotype" w:hAnsi="Palatino Linotype" w:cs="Palatino Linotype"/>
          <w:color w:val="000000"/>
        </w:rPr>
        <w:t xml:space="preserve"> la Constitución Política de los Estados Unidos Mexicanos que establece:</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w:t>
      </w:r>
      <w:r w:rsidRPr="006D12D8">
        <w:rPr>
          <w:rFonts w:ascii="Palatino Linotype" w:eastAsia="Palatino Linotype" w:hAnsi="Palatino Linotype" w:cs="Palatino Linotype"/>
          <w:b/>
          <w:bCs/>
          <w:i/>
          <w:iCs/>
        </w:rPr>
        <w:t>Artículo 6.-</w:t>
      </w:r>
      <w:r w:rsidRPr="006D12D8">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Para efectos de lo dispuesto en el presente artículo se observará lo siguiente:</w:t>
      </w:r>
    </w:p>
    <w:p w:rsidR="00AE2AC0" w:rsidRPr="006D12D8" w:rsidRDefault="00AE2AC0">
      <w:pPr>
        <w:spacing w:line="360" w:lineRule="auto"/>
        <w:ind w:left="567" w:right="900" w:firstLine="1134"/>
        <w:jc w:val="both"/>
        <w:rPr>
          <w:rFonts w:ascii="Palatino Linotype" w:eastAsia="Palatino Linotype" w:hAnsi="Palatino Linotype" w:cs="Palatino Linotype"/>
          <w:i/>
          <w:iCs/>
        </w:rPr>
      </w:pP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A. Para el ejercicio del derecho de acceso a la información, la Federación, los Estados y el Distrito Federal, en el ámbito de sus respectivas competencias, se regirán por los siguientes principios y bases:</w:t>
      </w:r>
    </w:p>
    <w:p w:rsidR="00AE2AC0" w:rsidRPr="006D12D8" w:rsidRDefault="00AE2AC0">
      <w:pPr>
        <w:spacing w:line="360" w:lineRule="auto"/>
        <w:ind w:left="567" w:right="900" w:firstLine="1134"/>
        <w:jc w:val="both"/>
        <w:rPr>
          <w:rFonts w:ascii="Palatino Linotype" w:eastAsia="Palatino Linotype" w:hAnsi="Palatino Linotype" w:cs="Palatino Linotype"/>
          <w:i/>
          <w:iCs/>
        </w:rPr>
      </w:pP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 xml:space="preserve">III. Toda persona, sin necesidad de acreditar interés alguno o justificar su utilización, tendrá acceso gratuito a la información pública, a sus datos personales o a la rectificación de éstos.” </w:t>
      </w:r>
    </w:p>
    <w:p w:rsidR="00AE2AC0" w:rsidRPr="006D12D8" w:rsidRDefault="00AE2AC0">
      <w:pPr>
        <w:spacing w:line="360" w:lineRule="auto"/>
        <w:ind w:left="567" w:right="474"/>
        <w:jc w:val="both"/>
        <w:rPr>
          <w:rFonts w:ascii="Palatino Linotype" w:eastAsia="Palatino Linotype" w:hAnsi="Palatino Linotype" w:cs="Palatino Linotype"/>
          <w:i/>
          <w:iCs/>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t xml:space="preserve">Así como el artículo 5 fracción III, párrafo vigésimo noveno, trigésimo y trigésimo primero, de la </w:t>
      </w:r>
      <w:r w:rsidRPr="006D12D8">
        <w:rPr>
          <w:rFonts w:ascii="Palatino Linotype" w:eastAsia="Palatino Linotype" w:hAnsi="Palatino Linotype" w:cs="Palatino Linotype"/>
        </w:rPr>
        <w:t>Constitución</w:t>
      </w:r>
      <w:r w:rsidRPr="006D12D8">
        <w:rPr>
          <w:rFonts w:ascii="Palatino Linotype" w:eastAsia="Palatino Linotype" w:hAnsi="Palatino Linotype" w:cs="Palatino Linotype"/>
          <w:color w:val="000000"/>
        </w:rPr>
        <w:t xml:space="preserve"> Política del Estado Libre y Soberano de México, que determina lo siguiente:</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w:t>
      </w:r>
      <w:r w:rsidRPr="006D12D8">
        <w:rPr>
          <w:rFonts w:ascii="Palatino Linotype" w:eastAsia="Palatino Linotype" w:hAnsi="Palatino Linotype" w:cs="Palatino Linotype"/>
          <w:b/>
          <w:bCs/>
          <w:i/>
          <w:iCs/>
        </w:rPr>
        <w:t>Artículo 5.-</w:t>
      </w:r>
      <w:r w:rsidRPr="006D12D8">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w:t>
      </w:r>
      <w:r w:rsidRPr="006D12D8">
        <w:rPr>
          <w:rFonts w:ascii="Palatino Linotype" w:eastAsia="Palatino Linotype" w:hAnsi="Palatino Linotype" w:cs="Palatino Linotype"/>
          <w:i/>
          <w:iCs/>
        </w:rPr>
        <w:lastRenderedPageBreak/>
        <w:t>de las garantías para su protección, las cuales no podrán restringirse ni suspenderse salvo en los casos y bajo las condiciones que la Constitución Política de los Estados Unidos Mexicanos establece”.</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III. Toda persona, sin necesidad de acreditar interés alguno o justificar su utilización, tendrá acceso gratuito a la información pública, a sus datos personales o a la rectificación de éstos;</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w:t>
      </w:r>
      <w:r w:rsidRPr="006D12D8">
        <w:rPr>
          <w:rFonts w:ascii="Palatino Linotype" w:eastAsia="Palatino Linotype" w:hAnsi="Palatino Linotype" w:cs="Palatino Linotype"/>
          <w:i/>
          <w:iCs/>
        </w:rPr>
        <w:lastRenderedPageBreak/>
        <w:t>cumplimiento del derecho de transparencia, acceso a la información pública y a la protección de datos personales en posesión de los sujetos obligados en los términos que establezca la ley.”</w:t>
      </w:r>
    </w:p>
    <w:p w:rsidR="00AE2AC0" w:rsidRPr="006D12D8" w:rsidRDefault="00AE2AC0">
      <w:pPr>
        <w:spacing w:line="360" w:lineRule="auto"/>
        <w:ind w:left="426" w:right="476"/>
        <w:jc w:val="both"/>
        <w:rPr>
          <w:rFonts w:ascii="Palatino Linotype" w:eastAsia="Palatino Linotype" w:hAnsi="Palatino Linotype" w:cs="Palatino Linotype"/>
          <w:i/>
          <w:iCs/>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w:t>
      </w:r>
      <w:r w:rsidRPr="006D12D8">
        <w:rPr>
          <w:rFonts w:ascii="Palatino Linotype" w:eastAsia="Palatino Linotype" w:hAnsi="Palatino Linotype" w:cs="Palatino Linotype"/>
          <w:b/>
          <w:bCs/>
          <w:i/>
          <w:iCs/>
        </w:rPr>
        <w:t>Artículo 1</w:t>
      </w:r>
      <w:r w:rsidRPr="006D12D8">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rsidR="00AE2AC0" w:rsidRPr="006D12D8" w:rsidRDefault="00E96513">
      <w:pPr>
        <w:spacing w:line="360" w:lineRule="auto"/>
        <w:ind w:left="1134" w:right="900"/>
        <w:jc w:val="both"/>
        <w:rPr>
          <w:rFonts w:ascii="Palatino Linotype" w:eastAsia="Palatino Linotype" w:hAnsi="Palatino Linotype" w:cs="Palatino Linotype"/>
          <w:i/>
          <w:iCs/>
        </w:rPr>
      </w:pPr>
      <w:r w:rsidRPr="006D12D8">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E2AC0" w:rsidRPr="006D12D8" w:rsidRDefault="00AE2AC0">
      <w:pPr>
        <w:spacing w:line="360" w:lineRule="auto"/>
        <w:ind w:left="426" w:right="474"/>
        <w:jc w:val="both"/>
        <w:rPr>
          <w:rFonts w:ascii="Palatino Linotype" w:eastAsia="Palatino Linotype" w:hAnsi="Palatino Linotype" w:cs="Palatino Linotype"/>
          <w:i/>
          <w:iCs/>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 xml:space="preserve">Esto es, que el derecho humano de acceso a la información pública, se aprecia que toda persona, </w:t>
      </w:r>
      <w:r w:rsidRPr="006D12D8">
        <w:rPr>
          <w:rFonts w:ascii="Palatino Linotype" w:eastAsia="Palatino Linotype" w:hAnsi="Palatino Linotype" w:cs="Palatino Linotype"/>
          <w:color w:val="000000"/>
        </w:rPr>
        <w:t>sin</w:t>
      </w:r>
      <w:r w:rsidRPr="006D12D8">
        <w:rPr>
          <w:rFonts w:ascii="Palatino Linotype" w:eastAsia="Palatino Linotype" w:hAnsi="Palatino Linotype" w:cs="Palatino Linotype"/>
        </w:rPr>
        <w:t xml:space="preserve"> necesidad de acreditar interés alguno o justificar su interposición, deberá tener acceso a la información pública, es decir, dicho </w:t>
      </w:r>
      <w:r w:rsidRPr="006D12D8">
        <w:rPr>
          <w:rFonts w:ascii="Palatino Linotype" w:eastAsia="Palatino Linotype" w:hAnsi="Palatino Linotype" w:cs="Palatino Linotype"/>
          <w:i/>
          <w:iCs/>
        </w:rPr>
        <w:t>derecho fundamental exime a quien lo ejerce</w:t>
      </w:r>
      <w:r w:rsidRPr="006D12D8">
        <w:rPr>
          <w:rFonts w:ascii="Palatino Linotype" w:eastAsia="Palatino Linotype" w:hAnsi="Palatino Linotype" w:cs="Palatino Linotype"/>
        </w:rPr>
        <w:t xml:space="preserve">, </w:t>
      </w:r>
      <w:r w:rsidRPr="006D12D8">
        <w:rPr>
          <w:rFonts w:ascii="Palatino Linotype" w:eastAsia="Palatino Linotype" w:hAnsi="Palatino Linotype" w:cs="Palatino Linotype"/>
        </w:rPr>
        <w:lastRenderedPageBreak/>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AE2AC0" w:rsidRPr="006D12D8" w:rsidRDefault="00AE2AC0">
      <w:pPr>
        <w:spacing w:line="360" w:lineRule="auto"/>
        <w:jc w:val="both"/>
        <w:rPr>
          <w:rFonts w:ascii="Palatino Linotype" w:eastAsia="Palatino Linotype" w:hAnsi="Palatino Linotype" w:cs="Palatino Linotype"/>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 xml:space="preserve">En </w:t>
      </w:r>
      <w:r w:rsidRPr="006D12D8">
        <w:rPr>
          <w:rFonts w:ascii="Palatino Linotype" w:eastAsia="Palatino Linotype" w:hAnsi="Palatino Linotype" w:cs="Palatino Linotype"/>
          <w:color w:val="000000"/>
        </w:rPr>
        <w:t>consecuencia</w:t>
      </w:r>
      <w:r w:rsidRPr="006D12D8">
        <w:rPr>
          <w:rFonts w:ascii="Palatino Linotype" w:eastAsia="Palatino Linotype" w:hAnsi="Palatino Linotype" w:cs="Palatino Linotype"/>
        </w:rPr>
        <w:t xml:space="preserve">, dado lo expuesto y fundado con anterioridad, se estima que el requisito relativo al nombre del </w:t>
      </w:r>
      <w:r w:rsidRPr="006D12D8">
        <w:rPr>
          <w:rFonts w:ascii="Palatino Linotype" w:eastAsia="Palatino Linotype" w:hAnsi="Palatino Linotype" w:cs="Palatino Linotype"/>
          <w:b/>
          <w:bCs/>
        </w:rPr>
        <w:t>RECURRENTE</w:t>
      </w:r>
      <w:r w:rsidRPr="006D12D8">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AE2AC0" w:rsidRPr="006D12D8" w:rsidRDefault="00AE2AC0">
      <w:pPr>
        <w:spacing w:line="360" w:lineRule="auto"/>
        <w:rPr>
          <w:rFonts w:ascii="Palatino Linotype" w:eastAsia="Palatino Linotype" w:hAnsi="Palatino Linotype" w:cs="Palatino Linotype"/>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E2AC0" w:rsidRPr="006D12D8" w:rsidRDefault="00AE2AC0">
      <w:pPr>
        <w:spacing w:line="360" w:lineRule="auto"/>
        <w:rPr>
          <w:rFonts w:ascii="Palatino Linotype" w:eastAsia="Palatino Linotype" w:hAnsi="Palatino Linotype" w:cs="Palatino Linotype"/>
          <w:color w:val="000000"/>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t xml:space="preserve">Consecuencia de lo anterior, este Órgano Garante advierte que el escrito contiene las formalidades previstas por el artículo 180 último párrafo de la Ley de Transparencia y </w:t>
      </w:r>
      <w:r w:rsidRPr="006D12D8">
        <w:rPr>
          <w:rFonts w:ascii="Palatino Linotype" w:eastAsia="Palatino Linotype" w:hAnsi="Palatino Linotype" w:cs="Palatino Linotype"/>
          <w:color w:val="000000"/>
        </w:rPr>
        <w:lastRenderedPageBreak/>
        <w:t>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AE2AC0" w:rsidRPr="006D12D8" w:rsidRDefault="00AE2A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rPr>
      </w:pPr>
      <w:bookmarkStart w:id="6" w:name="_heading=h.m6m9qamdt9ez" w:colFirst="0" w:colLast="0"/>
      <w:bookmarkEnd w:id="6"/>
      <w:r w:rsidRPr="006D12D8">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Ayuntamiento de Toluca, conozca y resuelva el presente recurso.</w:t>
      </w: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E96513">
      <w:pPr>
        <w:keepNext/>
        <w:keepLines/>
        <w:spacing w:line="360" w:lineRule="auto"/>
        <w:ind w:right="48"/>
        <w:rPr>
          <w:rFonts w:ascii="Palatino Linotype" w:eastAsia="Palatino Linotype" w:hAnsi="Palatino Linotype" w:cs="Palatino Linotype"/>
          <w:b/>
          <w:bCs/>
        </w:rPr>
      </w:pPr>
      <w:bookmarkStart w:id="7" w:name="_heading=h.9ahly17yebdo" w:colFirst="0" w:colLast="0"/>
      <w:bookmarkEnd w:id="7"/>
      <w:r w:rsidRPr="006D12D8">
        <w:rPr>
          <w:rFonts w:ascii="Palatino Linotype" w:eastAsia="Palatino Linotype" w:hAnsi="Palatino Linotype" w:cs="Palatino Linotype"/>
          <w:b/>
          <w:bCs/>
        </w:rPr>
        <w:t>TERCERO. De las causales del sobreseimiento.</w:t>
      </w:r>
    </w:p>
    <w:p w:rsidR="00AE2AC0" w:rsidRPr="006D12D8" w:rsidRDefault="00E9651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6D12D8">
        <w:rPr>
          <w:rFonts w:ascii="Palatino Linotype" w:eastAsia="Palatino Linotype" w:hAnsi="Palatino Linotype" w:cs="Palatino Linotype"/>
          <w:b/>
          <w:bCs/>
          <w:color w:val="000000"/>
          <w:u w:val="single"/>
        </w:rPr>
        <w:t>sobreseimiento</w:t>
      </w:r>
      <w:r w:rsidRPr="006D12D8">
        <w:rPr>
          <w:rFonts w:ascii="Palatino Linotype" w:eastAsia="Palatino Linotype" w:hAnsi="Palatino Linotype" w:cs="Palatino Linotype"/>
          <w:color w:val="000000"/>
        </w:rPr>
        <w:t xml:space="preserve">; y, en su caso, ordenar la entrega de la información respecto a la falta de respuesta por parte del </w:t>
      </w:r>
      <w:r w:rsidRPr="006D12D8">
        <w:rPr>
          <w:rFonts w:ascii="Palatino Linotype" w:eastAsia="Palatino Linotype" w:hAnsi="Palatino Linotype" w:cs="Palatino Linotype"/>
          <w:b/>
          <w:bCs/>
          <w:color w:val="000000"/>
        </w:rPr>
        <w:t>SUJETO</w:t>
      </w:r>
      <w:r w:rsidRPr="006D12D8">
        <w:rPr>
          <w:rFonts w:ascii="Palatino Linotype" w:eastAsia="Palatino Linotype" w:hAnsi="Palatino Linotype" w:cs="Palatino Linotype"/>
          <w:color w:val="000000"/>
        </w:rPr>
        <w:t xml:space="preserve"> </w:t>
      </w:r>
      <w:r w:rsidRPr="006D12D8">
        <w:rPr>
          <w:rFonts w:ascii="Palatino Linotype" w:eastAsia="Palatino Linotype" w:hAnsi="Palatino Linotype" w:cs="Palatino Linotype"/>
          <w:b/>
          <w:bCs/>
          <w:color w:val="000000"/>
        </w:rPr>
        <w:t>OBLIGADO</w:t>
      </w:r>
      <w:r w:rsidRPr="006D12D8">
        <w:rPr>
          <w:rFonts w:ascii="Palatino Linotype" w:eastAsia="Palatino Linotype" w:hAnsi="Palatino Linotype" w:cs="Palatino Linotype"/>
          <w:color w:val="000000"/>
        </w:rPr>
        <w:t>.</w:t>
      </w:r>
    </w:p>
    <w:p w:rsidR="00AE2AC0" w:rsidRPr="006D12D8" w:rsidRDefault="00AE2AC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AE2AC0" w:rsidRPr="006D12D8" w:rsidRDefault="00E9651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t xml:space="preserve">De acuerdo con el precepto legal contenido en la fracción IV del artículo 192 de la </w:t>
      </w:r>
      <w:r w:rsidRPr="006D12D8">
        <w:rPr>
          <w:rFonts w:ascii="Palatino Linotype" w:eastAsia="Palatino Linotype" w:hAnsi="Palatino Linotype" w:cs="Palatino Linotype"/>
          <w:b/>
          <w:bCs/>
          <w:color w:val="000000"/>
        </w:rPr>
        <w:t>Ley de Transparencia y Acceso a la Información Pública del Estado de México y Municipios</w:t>
      </w:r>
      <w:r w:rsidRPr="006D12D8">
        <w:rPr>
          <w:rFonts w:ascii="Palatino Linotype" w:eastAsia="Palatino Linotype" w:hAnsi="Palatino Linotype" w:cs="Palatino Linotype"/>
          <w:color w:val="000000"/>
        </w:rPr>
        <w:t>, el recurso será sobreseído, cuando una vez admitido, aparezca alguna causal de improcedencia en términos de la misma Ley.</w:t>
      </w: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E96513">
      <w:pPr>
        <w:keepNext/>
        <w:keepLines/>
        <w:numPr>
          <w:ilvl w:val="1"/>
          <w:numId w:val="1"/>
        </w:numPr>
        <w:spacing w:line="360" w:lineRule="auto"/>
        <w:ind w:left="567" w:firstLine="0"/>
        <w:rPr>
          <w:rFonts w:ascii="Palatino Linotype" w:eastAsia="Palatino Linotype" w:hAnsi="Palatino Linotype" w:cs="Palatino Linotype"/>
          <w:b/>
          <w:bCs/>
        </w:rPr>
      </w:pPr>
      <w:bookmarkStart w:id="8" w:name="_heading=h.fxy3yw2bp34m" w:colFirst="0" w:colLast="0"/>
      <w:bookmarkEnd w:id="8"/>
      <w:r w:rsidRPr="006D12D8">
        <w:rPr>
          <w:rFonts w:ascii="Palatino Linotype" w:eastAsia="Palatino Linotype" w:hAnsi="Palatino Linotype" w:cs="Palatino Linotype"/>
          <w:b/>
          <w:bCs/>
        </w:rPr>
        <w:t xml:space="preserve"> De la solicitud de información </w:t>
      </w:r>
    </w:p>
    <w:p w:rsidR="00AE2AC0" w:rsidRPr="006D12D8" w:rsidRDefault="00E9651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bCs/>
          <w:i/>
          <w:iCs/>
          <w:color w:val="000000"/>
        </w:rPr>
      </w:pPr>
      <w:r w:rsidRPr="006D12D8">
        <w:rPr>
          <w:rFonts w:ascii="Palatino Linotype" w:eastAsia="Palatino Linotype" w:hAnsi="Palatino Linotype" w:cs="Palatino Linotype"/>
          <w:color w:val="000000"/>
        </w:rPr>
        <w:t xml:space="preserve">Como ya se ha señalado, el </w:t>
      </w:r>
      <w:r w:rsidRPr="006D12D8">
        <w:rPr>
          <w:rFonts w:ascii="Palatino Linotype" w:eastAsia="Palatino Linotype" w:hAnsi="Palatino Linotype" w:cs="Palatino Linotype"/>
          <w:b/>
          <w:bCs/>
          <w:color w:val="000000"/>
        </w:rPr>
        <w:t xml:space="preserve">RECURRENTE </w:t>
      </w:r>
      <w:r w:rsidRPr="006D12D8">
        <w:rPr>
          <w:rFonts w:ascii="Palatino Linotype" w:eastAsia="Palatino Linotype" w:hAnsi="Palatino Linotype" w:cs="Palatino Linotype"/>
          <w:color w:val="000000"/>
        </w:rPr>
        <w:t xml:space="preserve">solicitó consentimientos de los padres de familia de los menores de edad, mujeres, personas de la tercera edad, que aparecen en las </w:t>
      </w:r>
      <w:r w:rsidRPr="006D12D8">
        <w:rPr>
          <w:rFonts w:ascii="Palatino Linotype" w:eastAsia="Palatino Linotype" w:hAnsi="Palatino Linotype" w:cs="Palatino Linotype"/>
          <w:color w:val="000000"/>
        </w:rPr>
        <w:lastRenderedPageBreak/>
        <w:t>fotografías de las redes sociales del Presidente Municipal; así como los avisos de privacidad de todas las áreas administrativas.</w:t>
      </w:r>
    </w:p>
    <w:p w:rsidR="006D12D8" w:rsidRPr="006D12D8" w:rsidRDefault="006D12D8" w:rsidP="006D12D8">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bCs/>
          <w:i/>
          <w:iCs/>
          <w:color w:val="000000"/>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t xml:space="preserve">En respuesta, el </w:t>
      </w:r>
      <w:r w:rsidRPr="006D12D8">
        <w:rPr>
          <w:rFonts w:ascii="Palatino Linotype" w:eastAsia="Palatino Linotype" w:hAnsi="Palatino Linotype" w:cs="Palatino Linotype"/>
          <w:b/>
          <w:bCs/>
          <w:color w:val="000000"/>
        </w:rPr>
        <w:t>SUJETO OBLIGADO</w:t>
      </w:r>
      <w:r w:rsidRPr="006D12D8">
        <w:rPr>
          <w:rFonts w:ascii="Palatino Linotype" w:eastAsia="Palatino Linotype" w:hAnsi="Palatino Linotype" w:cs="Palatino Linotype"/>
          <w:color w:val="000000"/>
        </w:rPr>
        <w:t xml:space="preserve"> remitió información relacionada a lo peticionado, como lo son avisos de privacidad tanto integrales como simplificados de diversas áreas administrativas de la estructura orgánica municipal. De la respuesta proporcionada, el ahora </w:t>
      </w:r>
      <w:r w:rsidRPr="006D12D8">
        <w:rPr>
          <w:rFonts w:ascii="Palatino Linotype" w:eastAsia="Palatino Linotype" w:hAnsi="Palatino Linotype" w:cs="Palatino Linotype"/>
          <w:b/>
          <w:bCs/>
          <w:color w:val="000000"/>
        </w:rPr>
        <w:t>RECURRENTE</w:t>
      </w:r>
      <w:r w:rsidRPr="006D12D8">
        <w:rPr>
          <w:rFonts w:ascii="Palatino Linotype" w:eastAsia="Palatino Linotype" w:hAnsi="Palatino Linotype" w:cs="Palatino Linotype"/>
          <w:color w:val="000000"/>
        </w:rPr>
        <w:t xml:space="preserve"> por medio del recurso de revisión, se inconformó manifestando lo siguiente:</w:t>
      </w:r>
    </w:p>
    <w:p w:rsidR="00AE2AC0" w:rsidRPr="006D12D8" w:rsidRDefault="00E96513">
      <w:pPr>
        <w:spacing w:line="360" w:lineRule="auto"/>
        <w:ind w:left="567" w:right="539"/>
        <w:jc w:val="both"/>
        <w:rPr>
          <w:rFonts w:ascii="Palatino Linotype" w:eastAsia="Palatino Linotype" w:hAnsi="Palatino Linotype" w:cs="Palatino Linotype"/>
        </w:rPr>
      </w:pPr>
      <w:r w:rsidRPr="006D12D8">
        <w:rPr>
          <w:rFonts w:ascii="Palatino Linotype" w:eastAsia="Palatino Linotype" w:hAnsi="Palatino Linotype" w:cs="Palatino Linotype"/>
          <w:i/>
          <w:iCs/>
        </w:rPr>
        <w:t>“</w:t>
      </w:r>
      <w:r w:rsidRPr="006D12D8">
        <w:rPr>
          <w:rFonts w:ascii="Palatino Linotype" w:eastAsia="Palatino Linotype" w:hAnsi="Palatino Linotype" w:cs="Palatino Linotype"/>
          <w:i/>
          <w:iCs/>
          <w:color w:val="000000"/>
        </w:rPr>
        <w:t xml:space="preserve">no sean opacos </w:t>
      </w:r>
      <w:r w:rsidRPr="006D12D8">
        <w:rPr>
          <w:rFonts w:ascii="Palatino Linotype" w:eastAsia="Palatino Linotype" w:hAnsi="Palatino Linotype" w:cs="Palatino Linotype"/>
          <w:b/>
          <w:bCs/>
          <w:i/>
          <w:iCs/>
          <w:color w:val="000000"/>
          <w:u w:val="single"/>
        </w:rPr>
        <w:t>se solicito el documento de seguridad completo</w:t>
      </w:r>
      <w:r w:rsidRPr="006D12D8">
        <w:rPr>
          <w:rFonts w:ascii="Palatino Linotype" w:eastAsia="Palatino Linotype" w:hAnsi="Palatino Linotype" w:cs="Palatino Linotype"/>
          <w:i/>
          <w:iCs/>
          <w:color w:val="000000"/>
        </w:rPr>
        <w:t xml:space="preserve"> no su ridícula </w:t>
      </w:r>
      <w:r w:rsidRPr="006D12D8">
        <w:rPr>
          <w:rFonts w:ascii="Palatino Linotype" w:eastAsia="Palatino Linotype" w:hAnsi="Palatino Linotype" w:cs="Palatino Linotype"/>
          <w:b/>
          <w:bCs/>
          <w:i/>
          <w:iCs/>
          <w:color w:val="000000"/>
        </w:rPr>
        <w:t>ficha que no es valida esa no es un documento de seguridad</w:t>
      </w:r>
      <w:r w:rsidRPr="006D12D8">
        <w:rPr>
          <w:rFonts w:ascii="Palatino Linotype" w:eastAsia="Palatino Linotype" w:hAnsi="Palatino Linotype" w:cs="Palatino Linotype"/>
          <w:i/>
          <w:iCs/>
          <w:color w:val="000000"/>
        </w:rPr>
        <w:t xml:space="preserve"> dejen la escuela de normita pérez y entregue lo que dice la ley opacos</w:t>
      </w:r>
      <w:r w:rsidRPr="006D12D8">
        <w:rPr>
          <w:rFonts w:ascii="Palatino Linotype" w:eastAsia="Palatino Linotype" w:hAnsi="Palatino Linotype" w:cs="Palatino Linotype"/>
          <w:i/>
          <w:iCs/>
        </w:rPr>
        <w:t xml:space="preserve">” </w:t>
      </w:r>
      <w:r w:rsidRPr="006D12D8">
        <w:rPr>
          <w:rFonts w:ascii="Palatino Linotype" w:eastAsia="Palatino Linotype" w:hAnsi="Palatino Linotype" w:cs="Palatino Linotype"/>
        </w:rPr>
        <w:t>Énfasis propio</w:t>
      </w:r>
    </w:p>
    <w:p w:rsidR="00AE2AC0" w:rsidRPr="006D12D8" w:rsidRDefault="00AE2AC0">
      <w:pPr>
        <w:spacing w:line="360" w:lineRule="auto"/>
        <w:ind w:right="49"/>
        <w:jc w:val="both"/>
        <w:rPr>
          <w:rFonts w:ascii="Palatino Linotype" w:eastAsia="Palatino Linotype" w:hAnsi="Palatino Linotype" w:cs="Palatino Linotype"/>
          <w:color w:val="000000"/>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t>De lo anterior</w:t>
      </w:r>
      <w:r w:rsidRPr="006D12D8">
        <w:rPr>
          <w:rFonts w:ascii="Palatino Linotype" w:eastAsia="Palatino Linotype" w:hAnsi="Palatino Linotype" w:cs="Palatino Linotype"/>
        </w:rPr>
        <w:t>, se desprende que los motivos de inconformidad no guardan relación con la solicitud de información inicial, ni con la respuesta emitida, toda vez que el asunto de mérito versa sobre consentimientos y avisos de privacidad.</w:t>
      </w:r>
    </w:p>
    <w:p w:rsidR="00AE2AC0" w:rsidRPr="006D12D8" w:rsidRDefault="00AE2AC0">
      <w:pPr>
        <w:spacing w:line="360" w:lineRule="auto"/>
        <w:ind w:right="49"/>
        <w:jc w:val="both"/>
        <w:rPr>
          <w:rFonts w:ascii="Palatino Linotype" w:eastAsia="Palatino Linotype" w:hAnsi="Palatino Linotype" w:cs="Palatino Linotype"/>
          <w:color w:val="000000"/>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color w:val="000000"/>
        </w:rPr>
        <w:t xml:space="preserve">Luego entonces, al referir el </w:t>
      </w:r>
      <w:r w:rsidRPr="006D12D8">
        <w:rPr>
          <w:rFonts w:ascii="Palatino Linotype" w:eastAsia="Palatino Linotype" w:hAnsi="Palatino Linotype" w:cs="Palatino Linotype"/>
          <w:b/>
          <w:bCs/>
          <w:color w:val="000000"/>
        </w:rPr>
        <w:t>RECURRENTE</w:t>
      </w:r>
      <w:r w:rsidRPr="006D12D8">
        <w:rPr>
          <w:rFonts w:ascii="Palatino Linotype" w:eastAsia="Palatino Linotype" w:hAnsi="Palatino Linotype" w:cs="Palatino Linotype"/>
          <w:color w:val="000000"/>
        </w:rPr>
        <w:t xml:space="preserve"> que lo entregado no corresponde al documento de seguridad requerido inicialmente, sino a una ficha, se deduce que probablemente por error involuntario, se equivocó de solicitud de información, de lo que también se desprende que no se trata de un requerimiento adicional </w:t>
      </w:r>
      <w:r w:rsidRPr="006D12D8">
        <w:rPr>
          <w:rFonts w:ascii="Palatino Linotype" w:eastAsia="Palatino Linotype" w:hAnsi="Palatino Linotype" w:cs="Palatino Linotype"/>
          <w:i/>
          <w:iCs/>
          <w:color w:val="000000"/>
        </w:rPr>
        <w:t>plus petitio</w:t>
      </w:r>
      <w:r w:rsidRPr="006D12D8">
        <w:rPr>
          <w:rFonts w:ascii="Palatino Linotype" w:eastAsia="Palatino Linotype" w:hAnsi="Palatino Linotype" w:cs="Palatino Linotype"/>
          <w:color w:val="000000"/>
        </w:rPr>
        <w:t>.</w:t>
      </w:r>
    </w:p>
    <w:p w:rsidR="00AE2AC0" w:rsidRPr="006D12D8" w:rsidRDefault="00AE2AC0">
      <w:pPr>
        <w:spacing w:line="360" w:lineRule="auto"/>
        <w:ind w:right="49"/>
        <w:jc w:val="both"/>
        <w:rPr>
          <w:rFonts w:ascii="Palatino Linotype" w:eastAsia="Palatino Linotype" w:hAnsi="Palatino Linotype" w:cs="Palatino Linotype"/>
          <w:color w:val="000000"/>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 xml:space="preserve">Puntualizando lo anterior, se advierte con claridad que </w:t>
      </w:r>
      <w:r w:rsidRPr="006D12D8">
        <w:rPr>
          <w:rFonts w:ascii="Palatino Linotype" w:eastAsia="Palatino Linotype" w:hAnsi="Palatino Linotype" w:cs="Palatino Linotype"/>
          <w:b/>
          <w:bCs/>
          <w:u w:val="single"/>
        </w:rPr>
        <w:t xml:space="preserve">los motivos de inconformidad no guardan relación con la respuesta </w:t>
      </w:r>
      <w:r w:rsidRPr="006D12D8">
        <w:rPr>
          <w:rFonts w:ascii="Palatino Linotype" w:eastAsia="Palatino Linotype" w:hAnsi="Palatino Linotype" w:cs="Palatino Linotype"/>
        </w:rPr>
        <w:t xml:space="preserve">emitida por parte del </w:t>
      </w:r>
      <w:r w:rsidRPr="006D12D8">
        <w:rPr>
          <w:rFonts w:ascii="Palatino Linotype" w:eastAsia="Palatino Linotype" w:hAnsi="Palatino Linotype" w:cs="Palatino Linotype"/>
          <w:b/>
          <w:bCs/>
        </w:rPr>
        <w:t xml:space="preserve">SUJETO </w:t>
      </w:r>
      <w:r w:rsidRPr="006D12D8">
        <w:rPr>
          <w:rFonts w:ascii="Palatino Linotype" w:eastAsia="Palatino Linotype" w:hAnsi="Palatino Linotype" w:cs="Palatino Linotype"/>
          <w:b/>
          <w:bCs/>
        </w:rPr>
        <w:lastRenderedPageBreak/>
        <w:t>OBLIGADO</w:t>
      </w:r>
      <w:r w:rsidRPr="006D12D8">
        <w:rPr>
          <w:rFonts w:ascii="Palatino Linotype" w:eastAsia="Palatino Linotype" w:hAnsi="Palatino Linotype" w:cs="Palatino Linotype"/>
        </w:rPr>
        <w:t xml:space="preserve">, por lo tanto, se actualiza una causal de improcedencia como se determina en los siguientes párrafos. </w:t>
      </w:r>
    </w:p>
    <w:p w:rsidR="00AE2AC0" w:rsidRPr="006D12D8" w:rsidRDefault="00AE2AC0">
      <w:pPr>
        <w:pBdr>
          <w:top w:val="nil"/>
          <w:left w:val="nil"/>
          <w:bottom w:val="nil"/>
          <w:right w:val="nil"/>
          <w:between w:val="nil"/>
        </w:pBdr>
        <w:ind w:left="720"/>
        <w:rPr>
          <w:rFonts w:ascii="Palatino Linotype" w:eastAsia="Palatino Linotype" w:hAnsi="Palatino Linotype" w:cs="Palatino Linotype"/>
          <w:color w:val="000000"/>
        </w:rPr>
      </w:pPr>
    </w:p>
    <w:p w:rsidR="00AE2AC0" w:rsidRPr="006D12D8" w:rsidRDefault="00E96513">
      <w:pPr>
        <w:numPr>
          <w:ilvl w:val="0"/>
          <w:numId w:val="1"/>
        </w:numPr>
        <w:spacing w:line="360" w:lineRule="auto"/>
        <w:ind w:left="0" w:right="49" w:firstLine="0"/>
        <w:jc w:val="both"/>
        <w:rPr>
          <w:rFonts w:ascii="Palatino Linotype" w:eastAsia="Palatino Linotype" w:hAnsi="Palatino Linotype" w:cs="Palatino Linotype"/>
        </w:rPr>
      </w:pPr>
      <w:r w:rsidRPr="006D12D8">
        <w:rPr>
          <w:rFonts w:ascii="Palatino Linotype" w:eastAsia="Palatino Linotype" w:hAnsi="Palatino Linotype" w:cs="Palatino Linotype"/>
          <w:color w:val="000000"/>
        </w:rPr>
        <w:t>Primeramente resulta necesario traer a contexto la Jurisprudencia No. 29 visible a foja 19 del Apéndice al Semanario Judicial de la Federación 1917-1995, Torno VI, Materia Común, Primera Parte, Tesis de la Suprema Corte de Justicia, que contiene:</w:t>
      </w:r>
    </w:p>
    <w:p w:rsidR="00AE2AC0" w:rsidRPr="006D12D8" w:rsidRDefault="00E96513">
      <w:pPr>
        <w:shd w:val="clear" w:color="auto" w:fill="FFFFFF"/>
        <w:spacing w:line="360" w:lineRule="auto"/>
        <w:ind w:left="567" w:right="680"/>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t>“</w:t>
      </w:r>
      <w:r w:rsidRPr="006D12D8">
        <w:rPr>
          <w:rFonts w:ascii="Palatino Linotype" w:eastAsia="Palatino Linotype" w:hAnsi="Palatino Linotype" w:cs="Palatino Linotype"/>
          <w:b/>
          <w:bCs/>
          <w:i/>
          <w:iCs/>
          <w:color w:val="000000"/>
        </w:rPr>
        <w:t>AGRAVIOS EN LA REVISION. DEBEN ESTAR EN RELACION DIRECTA CON LOS FUNDAMENTOS Y CONSIDERACIONES DE LA SENTENCIA</w:t>
      </w:r>
      <w:r w:rsidRPr="006D12D8">
        <w:rPr>
          <w:rFonts w:ascii="Palatino Linotype" w:eastAsia="Palatino Linotype" w:hAnsi="Palatino Linotype" w:cs="Palatino Linotype"/>
          <w:i/>
          <w:iCs/>
          <w:color w:val="000000"/>
        </w:rPr>
        <w:t>.-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AE2AC0" w:rsidRPr="006D12D8" w:rsidRDefault="00AE2AC0">
      <w:pPr>
        <w:shd w:val="clear" w:color="auto" w:fill="FFFFFF"/>
        <w:spacing w:line="360" w:lineRule="auto"/>
        <w:ind w:left="1134" w:right="1106"/>
        <w:jc w:val="both"/>
        <w:rPr>
          <w:rFonts w:ascii="Palatino Linotype" w:eastAsia="Palatino Linotype" w:hAnsi="Palatino Linotype" w:cs="Palatino Linotype"/>
          <w:i/>
          <w:iCs/>
          <w:color w:val="000000"/>
        </w:rPr>
      </w:pPr>
    </w:p>
    <w:p w:rsidR="00AE2AC0" w:rsidRPr="006D12D8" w:rsidRDefault="00E96513">
      <w:pPr>
        <w:numPr>
          <w:ilvl w:val="0"/>
          <w:numId w:val="1"/>
        </w:numPr>
        <w:spacing w:line="360" w:lineRule="auto"/>
        <w:ind w:left="0" w:right="-2" w:firstLine="0"/>
        <w:jc w:val="both"/>
        <w:rPr>
          <w:rFonts w:ascii="Palatino Linotype" w:eastAsia="Palatino Linotype" w:hAnsi="Palatino Linotype" w:cs="Palatino Linotype"/>
        </w:rPr>
      </w:pPr>
      <w:r w:rsidRPr="006D12D8">
        <w:rPr>
          <w:rFonts w:ascii="Palatino Linotype" w:eastAsia="Palatino Linotype" w:hAnsi="Palatino Linotype" w:cs="Palatino Linotype"/>
          <w:color w:val="000000"/>
        </w:rPr>
        <w:t>Expuesto lo anterior, se determina que el recurso de revisión no actualiza ninguna causal de procedencia que se relacione con la solicitud o la respuesta. En consecuencia, l</w:t>
      </w:r>
      <w:r w:rsidRPr="006D12D8">
        <w:rPr>
          <w:rFonts w:ascii="Palatino Linotype" w:eastAsia="Palatino Linotype" w:hAnsi="Palatino Linotype" w:cs="Palatino Linotype"/>
        </w:rPr>
        <w:t>a falta de actualización de causal de procedencia trae consigo que el recurso de revisión sea desechado por improcedente, de acuerdo con el artículo 191 de la citada ley:</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b/>
          <w:bCs/>
          <w:i/>
          <w:iCs/>
          <w:color w:val="000000"/>
        </w:rPr>
        <w:t>“Artículo 191.</w:t>
      </w:r>
      <w:r w:rsidRPr="006D12D8">
        <w:rPr>
          <w:rFonts w:ascii="Palatino Linotype" w:eastAsia="Palatino Linotype" w:hAnsi="Palatino Linotype" w:cs="Palatino Linotype"/>
          <w:i/>
          <w:iCs/>
          <w:color w:val="000000"/>
        </w:rPr>
        <w:t xml:space="preserve"> El recurso será desechado por improcedente cuando:</w:t>
      </w:r>
    </w:p>
    <w:p w:rsidR="00AE2AC0" w:rsidRPr="006D12D8" w:rsidRDefault="00AE2AC0">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t xml:space="preserve">I. Sea extemporáneo por haber transcurrido el plazo establecido en la presente Ley, a partir de la respuesta; </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lastRenderedPageBreak/>
        <w:t xml:space="preserve">II. Se esté tramitando ante el Poder Judicial de la Federación algún recurso o medio de defensa interpuesto por el recurrente; </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b/>
          <w:bCs/>
          <w:i/>
          <w:iCs/>
          <w:color w:val="000000"/>
        </w:rPr>
      </w:pPr>
      <w:r w:rsidRPr="006D12D8">
        <w:rPr>
          <w:rFonts w:ascii="Palatino Linotype" w:eastAsia="Palatino Linotype" w:hAnsi="Palatino Linotype" w:cs="Palatino Linotype"/>
          <w:b/>
          <w:bCs/>
          <w:i/>
          <w:iCs/>
          <w:color w:val="000000"/>
        </w:rPr>
        <w:t xml:space="preserve">III. No actualice alguno de los supuestos previstos en la presente Ley; </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t xml:space="preserve">IV. No se haya desahogado la prevención en los términos establecidos en la presente Ley; </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t xml:space="preserve">V. Se impugne la veracidad de la información proporcionada; </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t xml:space="preserve">VI. Se trate de una consulta, o trámite en específico; y </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t>VII. El recurrente amplíe su solicitud en el recurso de revisión, únicamente respecto de los nuevos contenidos.”</w:t>
      </w:r>
    </w:p>
    <w:p w:rsidR="00AE2AC0" w:rsidRPr="006D12D8" w:rsidRDefault="00AE2AC0">
      <w:pPr>
        <w:pBdr>
          <w:top w:val="nil"/>
          <w:left w:val="nil"/>
          <w:bottom w:val="nil"/>
          <w:right w:val="nil"/>
          <w:between w:val="nil"/>
        </w:pBdr>
        <w:spacing w:line="360" w:lineRule="auto"/>
        <w:ind w:left="1134" w:right="1106"/>
        <w:jc w:val="both"/>
        <w:rPr>
          <w:rFonts w:ascii="Palatino Linotype" w:eastAsia="Palatino Linotype" w:hAnsi="Palatino Linotype" w:cs="Palatino Linotype"/>
          <w:color w:val="000000"/>
        </w:rPr>
      </w:pPr>
    </w:p>
    <w:p w:rsidR="00AE2AC0" w:rsidRPr="006D12D8" w:rsidRDefault="00E96513">
      <w:pPr>
        <w:numPr>
          <w:ilvl w:val="0"/>
          <w:numId w:val="1"/>
        </w:numPr>
        <w:spacing w:line="360" w:lineRule="auto"/>
        <w:ind w:left="0" w:right="-2"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t>Al no actualizar ninguna causal de procedencia, el recurso de revisión debe ser desechados por improcedentes; sin embargo, una vez admitido, procederá el sobreseimiento de acuerdo con lo que establece el artículo 192 fracción IV, de la multicitada Ley de Transparencia:</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b/>
          <w:bCs/>
          <w:i/>
          <w:iCs/>
          <w:color w:val="000000"/>
        </w:rPr>
        <w:t>“Artículo 192.</w:t>
      </w:r>
      <w:r w:rsidRPr="006D12D8">
        <w:rPr>
          <w:rFonts w:ascii="Palatino Linotype" w:eastAsia="Palatino Linotype" w:hAnsi="Palatino Linotype" w:cs="Palatino Linotype"/>
          <w:i/>
          <w:iCs/>
          <w:color w:val="000000"/>
        </w:rPr>
        <w:t xml:space="preserve"> El recurso será sobreseído, en todo o en parte, cuando una vez admitido, se actualicen alguno de los siguientes supuestos:</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t>(…)</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b/>
          <w:bCs/>
          <w:i/>
          <w:iCs/>
          <w:color w:val="000000"/>
        </w:rPr>
      </w:pPr>
      <w:r w:rsidRPr="006D12D8">
        <w:rPr>
          <w:rFonts w:ascii="Palatino Linotype" w:eastAsia="Palatino Linotype" w:hAnsi="Palatino Linotype" w:cs="Palatino Linotype"/>
          <w:b/>
          <w:bCs/>
          <w:i/>
          <w:iCs/>
          <w:color w:val="000000"/>
        </w:rPr>
        <w:t xml:space="preserve">IV. Admitido el recurso de revisión, aparezca alguna causal de improcedencia en los términos de la presente Ley; y </w:t>
      </w:r>
    </w:p>
    <w:p w:rsid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t>V. Cuando por cualquier motivo quede sin materia el recurso.”</w:t>
      </w:r>
    </w:p>
    <w:p w:rsidR="00AE2AC0" w:rsidRPr="006D12D8" w:rsidRDefault="00E96513">
      <w:pPr>
        <w:pBdr>
          <w:top w:val="nil"/>
          <w:left w:val="nil"/>
          <w:bottom w:val="nil"/>
          <w:right w:val="nil"/>
          <w:between w:val="nil"/>
        </w:pBdr>
        <w:spacing w:line="360" w:lineRule="auto"/>
        <w:ind w:left="1134" w:right="1106"/>
        <w:jc w:val="both"/>
        <w:rPr>
          <w:rFonts w:ascii="Palatino Linotype" w:eastAsia="Palatino Linotype" w:hAnsi="Palatino Linotype" w:cs="Palatino Linotype"/>
          <w:i/>
          <w:iCs/>
          <w:color w:val="000000"/>
        </w:rPr>
      </w:pPr>
      <w:r w:rsidRPr="006D12D8">
        <w:rPr>
          <w:rFonts w:ascii="Palatino Linotype" w:eastAsia="Palatino Linotype" w:hAnsi="Palatino Linotype" w:cs="Palatino Linotype"/>
          <w:i/>
          <w:iCs/>
          <w:color w:val="000000"/>
        </w:rPr>
        <w:t xml:space="preserve"> </w:t>
      </w:r>
    </w:p>
    <w:p w:rsidR="00AE2AC0" w:rsidRPr="006D12D8" w:rsidRDefault="00E96513">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bookmarkStart w:id="9" w:name="_heading=h.nxsmedpb7xpq" w:colFirst="0" w:colLast="0"/>
      <w:bookmarkEnd w:id="9"/>
      <w:r w:rsidRPr="006D12D8">
        <w:rPr>
          <w:rFonts w:ascii="Palatino Linotype" w:eastAsia="Palatino Linotype" w:hAnsi="Palatino Linotype" w:cs="Palatino Linotype"/>
          <w:color w:val="000000"/>
        </w:rPr>
        <w:t>Es así como, el recurso de revisión actualiza la causal de sobreseimiento establecida en la fracción IV del artículo 192, en relación a la fracción III del artículo 191, ambos de la Ley de Transparencia y Acceso a la Información Pública del Estado de México y Municipios.</w:t>
      </w:r>
    </w:p>
    <w:p w:rsidR="00AE2AC0" w:rsidRPr="006D12D8" w:rsidRDefault="00E96513">
      <w:pPr>
        <w:numPr>
          <w:ilvl w:val="0"/>
          <w:numId w:val="1"/>
        </w:numPr>
        <w:spacing w:line="360" w:lineRule="auto"/>
        <w:ind w:left="0" w:right="-28" w:firstLine="0"/>
        <w:jc w:val="both"/>
        <w:rPr>
          <w:rFonts w:ascii="Palatino Linotype" w:eastAsia="Palatino Linotype" w:hAnsi="Palatino Linotype" w:cs="Palatino Linotype"/>
        </w:rPr>
      </w:pPr>
      <w:r w:rsidRPr="006D12D8">
        <w:rPr>
          <w:rFonts w:ascii="Palatino Linotype" w:eastAsia="Palatino Linotype" w:hAnsi="Palatino Linotype" w:cs="Palatino Linotype"/>
        </w:rPr>
        <w:lastRenderedPageBreak/>
        <w:t>No obstante, a efecto de no vulnerar los derechos del particular, este Órgano Garante deja a salvo sus derechos para que, si así lo desea, presente una nueva solicitud de acceso a la información requiriendo información que sea de su interés.</w:t>
      </w:r>
    </w:p>
    <w:p w:rsidR="00AE2AC0" w:rsidRPr="006D12D8" w:rsidRDefault="00AE2AC0">
      <w:pPr>
        <w:spacing w:line="360" w:lineRule="auto"/>
        <w:ind w:right="-28"/>
        <w:jc w:val="both"/>
        <w:rPr>
          <w:rFonts w:ascii="Palatino Linotype" w:eastAsia="Palatino Linotype" w:hAnsi="Palatino Linotype" w:cs="Palatino Linotype"/>
        </w:rPr>
      </w:pPr>
    </w:p>
    <w:p w:rsidR="00AE2AC0" w:rsidRPr="006D12D8" w:rsidRDefault="00E96513">
      <w:pPr>
        <w:numPr>
          <w:ilvl w:val="0"/>
          <w:numId w:val="1"/>
        </w:numPr>
        <w:spacing w:line="360" w:lineRule="auto"/>
        <w:ind w:left="0" w:right="-28" w:firstLine="0"/>
        <w:jc w:val="both"/>
        <w:rPr>
          <w:rFonts w:ascii="Palatino Linotype" w:eastAsia="Palatino Linotype" w:hAnsi="Palatino Linotype" w:cs="Palatino Linotype"/>
          <w:color w:val="000000"/>
        </w:rPr>
      </w:pPr>
      <w:bookmarkStart w:id="10" w:name="_heading=h.y314nbrxy8fu" w:colFirst="0" w:colLast="0"/>
      <w:bookmarkEnd w:id="10"/>
      <w:r w:rsidRPr="006D12D8">
        <w:rPr>
          <w:rFonts w:ascii="Palatino Linotype" w:eastAsia="Palatino Linotype" w:hAnsi="Palatino Linotype" w:cs="Palatino Linotype"/>
        </w:rPr>
        <w:t xml:space="preserve">Por lo anteriormente expuesto y fundado, este </w:t>
      </w:r>
      <w:r w:rsidRPr="006D12D8">
        <w:rPr>
          <w:rFonts w:ascii="Palatino Linotype" w:eastAsia="Palatino Linotype" w:hAnsi="Palatino Linotype" w:cs="Palatino Linotype"/>
          <w:b/>
          <w:bCs/>
        </w:rPr>
        <w:t>ÓRGANO GARANTE</w:t>
      </w:r>
      <w:r w:rsidRPr="006D12D8">
        <w:rPr>
          <w:rFonts w:ascii="Palatino Linotype" w:eastAsia="Palatino Linotype" w:hAnsi="Palatino Linotype" w:cs="Palatino Linotype"/>
        </w:rPr>
        <w:t xml:space="preserve"> emite los siguientes:</w:t>
      </w:r>
      <w:r w:rsidRPr="006D12D8">
        <w:rPr>
          <w:rFonts w:ascii="Palatino Linotype" w:eastAsia="Palatino Linotype" w:hAnsi="Palatino Linotype" w:cs="Palatino Linotype"/>
          <w:color w:val="000000"/>
        </w:rPr>
        <w:t xml:space="preserve"> </w:t>
      </w:r>
    </w:p>
    <w:p w:rsidR="00AE2AC0" w:rsidRPr="006D12D8" w:rsidRDefault="00AE2AC0">
      <w:pPr>
        <w:spacing w:line="360" w:lineRule="auto"/>
        <w:ind w:right="-28"/>
        <w:jc w:val="both"/>
        <w:rPr>
          <w:rFonts w:ascii="Palatino Linotype" w:eastAsia="Palatino Linotype" w:hAnsi="Palatino Linotype" w:cs="Palatino Linotype"/>
          <w:color w:val="000000"/>
        </w:rPr>
      </w:pPr>
    </w:p>
    <w:p w:rsidR="00AE2AC0" w:rsidRPr="006D12D8" w:rsidRDefault="00E96513">
      <w:pPr>
        <w:keepNext/>
        <w:keepLines/>
        <w:spacing w:line="360" w:lineRule="auto"/>
        <w:jc w:val="center"/>
        <w:rPr>
          <w:rFonts w:ascii="Palatino Linotype" w:eastAsia="Palatino Linotype" w:hAnsi="Palatino Linotype" w:cs="Palatino Linotype"/>
          <w:b/>
          <w:bCs/>
          <w:color w:val="000000"/>
        </w:rPr>
      </w:pPr>
      <w:r w:rsidRPr="006D12D8">
        <w:rPr>
          <w:rFonts w:ascii="Palatino Linotype" w:eastAsia="Palatino Linotype" w:hAnsi="Palatino Linotype" w:cs="Palatino Linotype"/>
          <w:b/>
          <w:bCs/>
          <w:color w:val="000000"/>
        </w:rPr>
        <w:t>R E S O L U T I V O S</w:t>
      </w:r>
    </w:p>
    <w:p w:rsidR="00AE2AC0" w:rsidRPr="006D12D8" w:rsidRDefault="00AE2AC0">
      <w:pPr>
        <w:keepNext/>
        <w:keepLines/>
        <w:spacing w:line="360" w:lineRule="auto"/>
        <w:rPr>
          <w:rFonts w:ascii="Palatino Linotype" w:eastAsia="Palatino Linotype" w:hAnsi="Palatino Linotype" w:cs="Palatino Linotype"/>
          <w:b/>
          <w:bCs/>
          <w:color w:val="000000"/>
        </w:rPr>
      </w:pPr>
    </w:p>
    <w:p w:rsidR="00AE2AC0" w:rsidRPr="006D12D8" w:rsidRDefault="00E96513">
      <w:pPr>
        <w:spacing w:line="360" w:lineRule="auto"/>
        <w:jc w:val="both"/>
        <w:rPr>
          <w:rFonts w:ascii="Palatino Linotype" w:eastAsia="Palatino Linotype" w:hAnsi="Palatino Linotype" w:cs="Palatino Linotype"/>
        </w:rPr>
      </w:pPr>
      <w:r w:rsidRPr="006D12D8">
        <w:rPr>
          <w:rFonts w:ascii="Palatino Linotype" w:eastAsia="Palatino Linotype" w:hAnsi="Palatino Linotype" w:cs="Palatino Linotype"/>
          <w:b/>
          <w:bCs/>
        </w:rPr>
        <w:t xml:space="preserve">PRIMERO. </w:t>
      </w:r>
      <w:r w:rsidRPr="006D12D8">
        <w:rPr>
          <w:rFonts w:ascii="Palatino Linotype" w:eastAsia="Palatino Linotype" w:hAnsi="Palatino Linotype" w:cs="Palatino Linotype"/>
        </w:rPr>
        <w:t xml:space="preserve">Se </w:t>
      </w:r>
      <w:r w:rsidRPr="006D12D8">
        <w:rPr>
          <w:rFonts w:ascii="Palatino Linotype" w:eastAsia="Palatino Linotype" w:hAnsi="Palatino Linotype" w:cs="Palatino Linotype"/>
          <w:b/>
          <w:bCs/>
        </w:rPr>
        <w:t xml:space="preserve">SOBRESEE </w:t>
      </w:r>
      <w:r w:rsidRPr="006D12D8">
        <w:rPr>
          <w:rFonts w:ascii="Palatino Linotype" w:eastAsia="Palatino Linotype" w:hAnsi="Palatino Linotype" w:cs="Palatino Linotype"/>
        </w:rPr>
        <w:t>el</w:t>
      </w:r>
      <w:r w:rsidRP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rPr>
        <w:t xml:space="preserve">Recurso de Revisión número </w:t>
      </w:r>
      <w:r w:rsidRPr="006D12D8">
        <w:rPr>
          <w:rFonts w:ascii="Palatino Linotype" w:eastAsia="Palatino Linotype" w:hAnsi="Palatino Linotype" w:cs="Palatino Linotype"/>
          <w:b/>
          <w:bCs/>
        </w:rPr>
        <w:t>08953/INFOEM/IP/RR/2025</w:t>
      </w:r>
      <w:r w:rsidRPr="006D12D8">
        <w:rPr>
          <w:rFonts w:ascii="Palatino Linotype" w:eastAsia="Palatino Linotype" w:hAnsi="Palatino Linotype" w:cs="Palatino Linotype"/>
        </w:rPr>
        <w:t xml:space="preserve">, por improcedente conforme al artículo </w:t>
      </w:r>
      <w:r w:rsidRPr="006D12D8">
        <w:rPr>
          <w:rFonts w:ascii="Palatino Linotype" w:eastAsia="Palatino Linotype" w:hAnsi="Palatino Linotype" w:cs="Palatino Linotype"/>
          <w:b/>
          <w:bCs/>
        </w:rPr>
        <w:t>192 fracción IV</w:t>
      </w:r>
      <w:r w:rsidRPr="006D12D8">
        <w:rPr>
          <w:rFonts w:ascii="Palatino Linotype" w:eastAsia="Palatino Linotype" w:hAnsi="Palatino Linotype" w:cs="Palatino Linotype"/>
        </w:rPr>
        <w:t xml:space="preserve">, de la Ley de Transparencia y Acceso a la Información Pública del Estado de México y Municipios, en términos del </w:t>
      </w:r>
      <w:r w:rsidRPr="006D12D8">
        <w:rPr>
          <w:rFonts w:ascii="Palatino Linotype" w:eastAsia="Palatino Linotype" w:hAnsi="Palatino Linotype" w:cs="Palatino Linotype"/>
          <w:b/>
          <w:bCs/>
        </w:rPr>
        <w:t>Considerando TERCERO</w:t>
      </w:r>
      <w:r w:rsidRPr="006D12D8">
        <w:rPr>
          <w:rFonts w:ascii="Palatino Linotype" w:eastAsia="Palatino Linotype" w:hAnsi="Palatino Linotype" w:cs="Palatino Linotype"/>
        </w:rPr>
        <w:t xml:space="preserve"> de la presente Resolución.</w:t>
      </w:r>
    </w:p>
    <w:p w:rsidR="00AE2AC0" w:rsidRPr="006D12D8" w:rsidRDefault="00AE2AC0">
      <w:pPr>
        <w:spacing w:line="360" w:lineRule="auto"/>
        <w:jc w:val="both"/>
        <w:rPr>
          <w:rFonts w:ascii="Palatino Linotype" w:eastAsia="Palatino Linotype" w:hAnsi="Palatino Linotype" w:cs="Palatino Linotype"/>
        </w:rPr>
      </w:pPr>
    </w:p>
    <w:p w:rsidR="00AE2AC0" w:rsidRPr="006D12D8" w:rsidRDefault="00E96513">
      <w:pPr>
        <w:spacing w:line="360" w:lineRule="auto"/>
        <w:jc w:val="both"/>
        <w:rPr>
          <w:rFonts w:ascii="Palatino Linotype" w:eastAsia="Palatino Linotype" w:hAnsi="Palatino Linotype" w:cs="Palatino Linotype"/>
        </w:rPr>
      </w:pPr>
      <w:r w:rsidRPr="006D12D8">
        <w:rPr>
          <w:rFonts w:ascii="Palatino Linotype" w:eastAsia="Palatino Linotype" w:hAnsi="Palatino Linotype" w:cs="Palatino Linotype"/>
          <w:b/>
          <w:bCs/>
        </w:rPr>
        <w:t>SEGUNDO.</w:t>
      </w:r>
      <w:r w:rsidRPr="006D12D8">
        <w:rPr>
          <w:rFonts w:ascii="Palatino Linotype" w:eastAsia="Palatino Linotype" w:hAnsi="Palatino Linotype" w:cs="Palatino Linotype"/>
          <w:b/>
          <w:bCs/>
          <w:color w:val="2E75B5"/>
        </w:rPr>
        <w:t xml:space="preserve"> </w:t>
      </w:r>
      <w:r w:rsidR="00616B29" w:rsidRPr="006D12D8">
        <w:rPr>
          <w:rFonts w:ascii="Palatino Linotype" w:eastAsia="Palatino Linotype" w:hAnsi="Palatino Linotype" w:cs="Palatino Linotype"/>
          <w:b/>
          <w:bCs/>
        </w:rPr>
        <w:t>Notifíquese</w:t>
      </w:r>
      <w:r w:rsidRPr="006D12D8">
        <w:rPr>
          <w:rFonts w:ascii="Palatino Linotype" w:eastAsia="Palatino Linotype" w:hAnsi="Palatino Linotype" w:cs="Palatino Linotype"/>
          <w:b/>
          <w:bCs/>
        </w:rPr>
        <w:t xml:space="preserve"> </w:t>
      </w:r>
      <w:r w:rsidRPr="006D12D8">
        <w:rPr>
          <w:rFonts w:ascii="Palatino Linotype" w:eastAsia="Palatino Linotype" w:hAnsi="Palatino Linotype" w:cs="Palatino Linotype"/>
        </w:rPr>
        <w:t xml:space="preserve">a través del Sistema de Acceso a la Información Mexiquense </w:t>
      </w:r>
      <w:r w:rsidRPr="006D12D8">
        <w:rPr>
          <w:rFonts w:ascii="Palatino Linotype" w:eastAsia="Palatino Linotype" w:hAnsi="Palatino Linotype" w:cs="Palatino Linotype"/>
          <w:b/>
          <w:bCs/>
        </w:rPr>
        <w:t xml:space="preserve">(SAIMEX) </w:t>
      </w:r>
      <w:r w:rsidRPr="006D12D8">
        <w:rPr>
          <w:rFonts w:ascii="Palatino Linotype" w:eastAsia="Palatino Linotype" w:hAnsi="Palatino Linotype" w:cs="Palatino Linotype"/>
        </w:rPr>
        <w:t>la presente Resolución al Titular de la Unidad de Transparencia del</w:t>
      </w:r>
      <w:r w:rsidRPr="006D12D8">
        <w:rPr>
          <w:rFonts w:ascii="Palatino Linotype" w:eastAsia="Palatino Linotype" w:hAnsi="Palatino Linotype" w:cs="Palatino Linotype"/>
          <w:b/>
          <w:bCs/>
        </w:rPr>
        <w:t xml:space="preserve"> SUJETO OBLIGADO</w:t>
      </w:r>
      <w:r w:rsidRPr="006D12D8">
        <w:rPr>
          <w:rFonts w:ascii="Palatino Linotype" w:eastAsia="Palatino Linotype" w:hAnsi="Palatino Linotype" w:cs="Palatino Linotype"/>
        </w:rPr>
        <w:t>, para su conocimiento.</w:t>
      </w:r>
    </w:p>
    <w:p w:rsidR="00AE2AC0" w:rsidRPr="006D12D8" w:rsidRDefault="00AE2AC0">
      <w:pPr>
        <w:spacing w:line="360" w:lineRule="auto"/>
        <w:jc w:val="both"/>
        <w:rPr>
          <w:rFonts w:ascii="Palatino Linotype" w:eastAsia="Palatino Linotype" w:hAnsi="Palatino Linotype" w:cs="Palatino Linotype"/>
        </w:rPr>
      </w:pPr>
    </w:p>
    <w:p w:rsidR="00AE2AC0" w:rsidRPr="006D12D8" w:rsidRDefault="00E96513">
      <w:pPr>
        <w:tabs>
          <w:tab w:val="left" w:pos="8080"/>
        </w:tabs>
        <w:spacing w:line="360" w:lineRule="auto"/>
        <w:ind w:right="49"/>
        <w:jc w:val="both"/>
        <w:rPr>
          <w:rFonts w:ascii="Palatino Linotype" w:eastAsia="Palatino Linotype" w:hAnsi="Palatino Linotype" w:cs="Palatino Linotype"/>
          <w:b/>
          <w:bCs/>
          <w:color w:val="000000"/>
        </w:rPr>
      </w:pPr>
      <w:r w:rsidRPr="006D12D8">
        <w:rPr>
          <w:rFonts w:ascii="Palatino Linotype" w:eastAsia="Palatino Linotype" w:hAnsi="Palatino Linotype" w:cs="Palatino Linotype"/>
          <w:b/>
          <w:bCs/>
        </w:rPr>
        <w:t xml:space="preserve">TERCERO. Notifíquese </w:t>
      </w:r>
      <w:r w:rsidRPr="006D12D8">
        <w:rPr>
          <w:rFonts w:ascii="Palatino Linotype" w:eastAsia="Palatino Linotype" w:hAnsi="Palatino Linotype" w:cs="Palatino Linotype"/>
        </w:rPr>
        <w:t xml:space="preserve">al </w:t>
      </w:r>
      <w:r w:rsidRPr="006D12D8">
        <w:rPr>
          <w:rFonts w:ascii="Palatino Linotype" w:eastAsia="Palatino Linotype" w:hAnsi="Palatino Linotype" w:cs="Palatino Linotype"/>
          <w:b/>
          <w:bCs/>
        </w:rPr>
        <w:t>RECURRENTE</w:t>
      </w:r>
      <w:r w:rsidRPr="006D12D8">
        <w:rPr>
          <w:rFonts w:ascii="Palatino Linotype" w:eastAsia="Palatino Linotype" w:hAnsi="Palatino Linotype" w:cs="Palatino Linotype"/>
        </w:rPr>
        <w:t xml:space="preserve"> la presente Resolución, a través del Sistema de Acceso a la Información Mexiquense </w:t>
      </w:r>
      <w:r w:rsidRPr="006D12D8">
        <w:rPr>
          <w:rFonts w:ascii="Palatino Linotype" w:eastAsia="Palatino Linotype" w:hAnsi="Palatino Linotype" w:cs="Palatino Linotype"/>
          <w:b/>
          <w:bCs/>
        </w:rPr>
        <w:t>(SAIMEX).</w:t>
      </w:r>
    </w:p>
    <w:p w:rsidR="00AE2AC0" w:rsidRPr="006D12D8" w:rsidRDefault="00AE2AC0">
      <w:pPr>
        <w:tabs>
          <w:tab w:val="left" w:pos="8080"/>
        </w:tabs>
        <w:spacing w:line="360" w:lineRule="auto"/>
        <w:ind w:right="49"/>
        <w:jc w:val="both"/>
        <w:rPr>
          <w:rFonts w:ascii="Palatino Linotype" w:eastAsia="Palatino Linotype" w:hAnsi="Palatino Linotype" w:cs="Palatino Linotype"/>
          <w:b/>
          <w:bCs/>
          <w:color w:val="000000"/>
        </w:rPr>
      </w:pPr>
    </w:p>
    <w:p w:rsidR="00AE2AC0" w:rsidRPr="006D12D8" w:rsidRDefault="00E96513">
      <w:pPr>
        <w:shd w:val="clear" w:color="auto" w:fill="FFFFFF"/>
        <w:spacing w:line="360" w:lineRule="auto"/>
        <w:jc w:val="both"/>
        <w:rPr>
          <w:rFonts w:ascii="Palatino Linotype" w:eastAsia="Palatino Linotype" w:hAnsi="Palatino Linotype" w:cs="Palatino Linotype"/>
          <w:color w:val="000000"/>
        </w:rPr>
      </w:pPr>
      <w:r w:rsidRPr="006D12D8">
        <w:rPr>
          <w:rFonts w:ascii="Palatino Linotype" w:eastAsia="Palatino Linotype" w:hAnsi="Palatino Linotype" w:cs="Palatino Linotype"/>
          <w:b/>
          <w:bCs/>
          <w:color w:val="000000"/>
        </w:rPr>
        <w:t xml:space="preserve">CUARTO. </w:t>
      </w:r>
      <w:r w:rsidRPr="006D12D8">
        <w:rPr>
          <w:rFonts w:ascii="Palatino Linotype" w:eastAsia="Palatino Linotype" w:hAnsi="Palatino Linotype" w:cs="Palatino Linotype"/>
        </w:rPr>
        <w:t xml:space="preserve">Se hace del conocimiento del </w:t>
      </w:r>
      <w:r w:rsidRPr="006D12D8">
        <w:rPr>
          <w:rFonts w:ascii="Palatino Linotype" w:eastAsia="Palatino Linotype" w:hAnsi="Palatino Linotype" w:cs="Palatino Linotype"/>
          <w:b/>
          <w:bCs/>
        </w:rPr>
        <w:t>RECURRENTE</w:t>
      </w:r>
      <w:r w:rsidRPr="006D12D8">
        <w:rPr>
          <w:rFonts w:ascii="Palatino Linotype" w:eastAsia="Palatino Linotype" w:hAnsi="Palatino Linotype" w:cs="Palatino Linotype"/>
        </w:rPr>
        <w:t xml:space="preserve"> que, de conformidad con lo establecido en el artículo 196 de la Ley de Transparencia y Acceso a la Información Pública </w:t>
      </w:r>
      <w:r w:rsidRPr="006D12D8">
        <w:rPr>
          <w:rFonts w:ascii="Palatino Linotype" w:eastAsia="Palatino Linotype" w:hAnsi="Palatino Linotype" w:cs="Palatino Linotype"/>
        </w:rPr>
        <w:lastRenderedPageBreak/>
        <w:t>del Estado de México y Municipios, en caso de que considere que la Resolución le cause algún perjuicio podrá impugnarla vía juicio de amparo en los términos de las leyes aplicables.</w:t>
      </w:r>
    </w:p>
    <w:p w:rsidR="00AE2AC0" w:rsidRPr="006D12D8" w:rsidRDefault="00AE2AC0">
      <w:pPr>
        <w:spacing w:line="360" w:lineRule="auto"/>
        <w:ind w:right="48"/>
        <w:jc w:val="both"/>
        <w:rPr>
          <w:rFonts w:ascii="Palatino Linotype" w:eastAsia="Palatino Linotype" w:hAnsi="Palatino Linotype" w:cs="Palatino Linotype"/>
        </w:rPr>
      </w:pPr>
    </w:p>
    <w:p w:rsidR="00616B29" w:rsidRPr="006D12D8" w:rsidRDefault="00616B29" w:rsidP="00616B29">
      <w:pPr>
        <w:spacing w:before="240" w:after="240" w:line="360" w:lineRule="auto"/>
        <w:ind w:firstLine="1"/>
        <w:jc w:val="both"/>
        <w:rPr>
          <w:rFonts w:ascii="Palatino Linotype" w:hAnsi="Palatino Linotype"/>
        </w:rPr>
      </w:pPr>
      <w:bookmarkStart w:id="11" w:name="_Hlk99014733"/>
      <w:r w:rsidRPr="006D12D8">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6D12D8">
        <w:rPr>
          <w:rFonts w:ascii="Palatino Linotype" w:hAnsi="Palatino Linotype" w:cs="Palatino Linotype"/>
          <w:color w:val="000000" w:themeColor="text1"/>
        </w:rPr>
        <w:t>ALEXIS TAPIA RAMÍREZ.</w:t>
      </w:r>
    </w:p>
    <w:bookmarkEnd w:id="11"/>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ind w:right="49"/>
        <w:jc w:val="both"/>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p w:rsidR="00AE2AC0" w:rsidRPr="006D12D8" w:rsidRDefault="00AE2AC0">
      <w:pPr>
        <w:spacing w:line="360" w:lineRule="auto"/>
        <w:rPr>
          <w:rFonts w:ascii="Palatino Linotype" w:eastAsia="Palatino Linotype" w:hAnsi="Palatino Linotype" w:cs="Palatino Linotype"/>
        </w:rPr>
      </w:pPr>
    </w:p>
    <w:sectPr w:rsidR="00AE2AC0" w:rsidRPr="006D12D8" w:rsidSect="006D12D8">
      <w:headerReference w:type="even" r:id="rId8"/>
      <w:headerReference w:type="default" r:id="rId9"/>
      <w:footerReference w:type="default" r:id="rId10"/>
      <w:headerReference w:type="first" r:id="rId11"/>
      <w:footerReference w:type="first" r:id="rId12"/>
      <w:pgSz w:w="12240" w:h="15840"/>
      <w:pgMar w:top="80" w:right="900" w:bottom="1560"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E9F" w:rsidRDefault="00DE5E9F">
      <w:r>
        <w:separator/>
      </w:r>
    </w:p>
  </w:endnote>
  <w:endnote w:type="continuationSeparator" w:id="0">
    <w:p w:rsidR="00DE5E9F" w:rsidRDefault="00DE5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2697F7EC-F893-47B6-B98F-1D5BDA66620B}"/>
    <w:embedBold r:id="rId2" w:fontKey="{5E44BF04-E7FD-4A0C-AEEE-07C281C6CD57}"/>
    <w:embedItalic r:id="rId3" w:fontKey="{6D4D371F-F985-4106-A639-9C885DDF9EE6}"/>
    <w:embedBoldItalic r:id="rId4" w:fontKey="{B0EF1A3B-DCD6-4258-B530-CA275FC96584}"/>
  </w:font>
  <w:font w:name="Century Gothic">
    <w:panose1 w:val="020B0502020202020204"/>
    <w:charset w:val="00"/>
    <w:family w:val="swiss"/>
    <w:pitch w:val="variable"/>
    <w:sig w:usb0="00000287" w:usb1="00000000" w:usb2="00000000" w:usb3="00000000" w:csb0="0000009F" w:csb1="00000000"/>
    <w:embedRegular r:id="rId5" w:fontKey="{21D94FFD-0FE7-469B-83DB-DA960AA48D3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58677AC2-8815-4FF9-93DC-2524BEAD65C0}"/>
  </w:font>
  <w:font w:name="Garamond">
    <w:panose1 w:val="02020404030301010803"/>
    <w:charset w:val="00"/>
    <w:family w:val="roman"/>
    <w:pitch w:val="variable"/>
    <w:sig w:usb0="00000287" w:usb1="00000000" w:usb2="00000000" w:usb3="00000000" w:csb0="0000009F" w:csb1="00000000"/>
    <w:embedRegular r:id="rId7" w:fontKey="{C102DB37-B5AE-440C-9D79-F71E65783CE6}"/>
  </w:font>
  <w:font w:name="Calibri Light">
    <w:panose1 w:val="020F0302020204030204"/>
    <w:charset w:val="00"/>
    <w:family w:val="swiss"/>
    <w:pitch w:val="variable"/>
    <w:sig w:usb0="E4002EFF" w:usb1="C200247B" w:usb2="00000009" w:usb3="00000000" w:csb0="000001FF" w:csb1="00000000"/>
    <w:embedRegular r:id="rId8" w:fontKey="{B3D05E98-17A7-4BB1-B4C9-4C9C9FF89BD9}"/>
  </w:font>
  <w:font w:name="Calibri">
    <w:panose1 w:val="020F0502020204030204"/>
    <w:charset w:val="00"/>
    <w:family w:val="swiss"/>
    <w:pitch w:val="variable"/>
    <w:sig w:usb0="E4002EFF" w:usb1="C200247B" w:usb2="00000009" w:usb3="00000000" w:csb0="000001FF" w:csb1="00000000"/>
    <w:embedRegular r:id="rId9" w:fontKey="{9F2BDDC7-1D26-4722-8459-DB4D323C74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AC0" w:rsidRPr="006D12D8" w:rsidRDefault="00E96513">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6D12D8">
      <w:rPr>
        <w:rFonts w:ascii="Palatino Linotype" w:hAnsi="Palatino Linotype"/>
        <w:b/>
        <w:color w:val="000000"/>
        <w:sz w:val="22"/>
      </w:rPr>
      <w:t xml:space="preserve">Página </w:t>
    </w:r>
    <w:r w:rsidRPr="006D12D8">
      <w:rPr>
        <w:rFonts w:ascii="Palatino Linotype" w:hAnsi="Palatino Linotype"/>
        <w:b/>
        <w:bCs/>
        <w:color w:val="000000"/>
        <w:sz w:val="22"/>
      </w:rPr>
      <w:fldChar w:fldCharType="begin"/>
    </w:r>
    <w:r w:rsidRPr="006D12D8">
      <w:rPr>
        <w:rFonts w:ascii="Palatino Linotype" w:hAnsi="Palatino Linotype"/>
        <w:b/>
        <w:bCs/>
        <w:color w:val="000000"/>
        <w:sz w:val="22"/>
      </w:rPr>
      <w:instrText>PAGE</w:instrText>
    </w:r>
    <w:r w:rsidRPr="006D12D8">
      <w:rPr>
        <w:rFonts w:ascii="Palatino Linotype" w:hAnsi="Palatino Linotype"/>
        <w:b/>
        <w:bCs/>
        <w:color w:val="000000"/>
        <w:sz w:val="22"/>
      </w:rPr>
      <w:fldChar w:fldCharType="separate"/>
    </w:r>
    <w:r w:rsidR="006D12D8">
      <w:rPr>
        <w:rFonts w:ascii="Palatino Linotype" w:hAnsi="Palatino Linotype"/>
        <w:b/>
        <w:bCs/>
        <w:noProof/>
        <w:color w:val="000000"/>
        <w:sz w:val="22"/>
      </w:rPr>
      <w:t>19</w:t>
    </w:r>
    <w:r w:rsidRPr="006D12D8">
      <w:rPr>
        <w:rFonts w:ascii="Palatino Linotype" w:hAnsi="Palatino Linotype"/>
        <w:b/>
        <w:bCs/>
        <w:color w:val="000000"/>
        <w:sz w:val="22"/>
      </w:rPr>
      <w:fldChar w:fldCharType="end"/>
    </w:r>
    <w:r w:rsidRPr="006D12D8">
      <w:rPr>
        <w:rFonts w:ascii="Palatino Linotype" w:hAnsi="Palatino Linotype"/>
        <w:b/>
        <w:color w:val="000000"/>
        <w:sz w:val="22"/>
      </w:rPr>
      <w:t xml:space="preserve"> de </w:t>
    </w:r>
    <w:r w:rsidRPr="006D12D8">
      <w:rPr>
        <w:rFonts w:ascii="Palatino Linotype" w:hAnsi="Palatino Linotype"/>
        <w:b/>
        <w:bCs/>
        <w:color w:val="000000"/>
        <w:sz w:val="22"/>
      </w:rPr>
      <w:fldChar w:fldCharType="begin"/>
    </w:r>
    <w:r w:rsidRPr="006D12D8">
      <w:rPr>
        <w:rFonts w:ascii="Palatino Linotype" w:hAnsi="Palatino Linotype"/>
        <w:b/>
        <w:bCs/>
        <w:color w:val="000000"/>
        <w:sz w:val="22"/>
      </w:rPr>
      <w:instrText>NUMPAGES</w:instrText>
    </w:r>
    <w:r w:rsidRPr="006D12D8">
      <w:rPr>
        <w:rFonts w:ascii="Palatino Linotype" w:hAnsi="Palatino Linotype"/>
        <w:b/>
        <w:bCs/>
        <w:color w:val="000000"/>
        <w:sz w:val="22"/>
      </w:rPr>
      <w:fldChar w:fldCharType="separate"/>
    </w:r>
    <w:r w:rsidR="006D12D8">
      <w:rPr>
        <w:rFonts w:ascii="Palatino Linotype" w:hAnsi="Palatino Linotype"/>
        <w:b/>
        <w:bCs/>
        <w:noProof/>
        <w:color w:val="000000"/>
        <w:sz w:val="22"/>
      </w:rPr>
      <w:t>19</w:t>
    </w:r>
    <w:r w:rsidRPr="006D12D8">
      <w:rPr>
        <w:rFonts w:ascii="Palatino Linotype" w:hAnsi="Palatino Linotype"/>
        <w:b/>
        <w:bCs/>
        <w:color w:val="000000"/>
        <w:sz w:val="22"/>
      </w:rPr>
      <w:fldChar w:fldCharType="end"/>
    </w:r>
  </w:p>
  <w:p w:rsidR="00AE2AC0" w:rsidRDefault="00AE2AC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AC0" w:rsidRPr="006D12D8" w:rsidRDefault="00E96513">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6D12D8">
      <w:rPr>
        <w:rFonts w:ascii="Palatino Linotype" w:hAnsi="Palatino Linotype"/>
        <w:b/>
        <w:color w:val="000000"/>
        <w:sz w:val="22"/>
      </w:rPr>
      <w:t xml:space="preserve">Página </w:t>
    </w:r>
    <w:r w:rsidRPr="006D12D8">
      <w:rPr>
        <w:rFonts w:ascii="Palatino Linotype" w:hAnsi="Palatino Linotype"/>
        <w:b/>
        <w:bCs/>
        <w:color w:val="000000"/>
        <w:sz w:val="22"/>
      </w:rPr>
      <w:fldChar w:fldCharType="begin"/>
    </w:r>
    <w:r w:rsidRPr="006D12D8">
      <w:rPr>
        <w:rFonts w:ascii="Palatino Linotype" w:hAnsi="Palatino Linotype"/>
        <w:b/>
        <w:bCs/>
        <w:color w:val="000000"/>
        <w:sz w:val="22"/>
      </w:rPr>
      <w:instrText>PAGE</w:instrText>
    </w:r>
    <w:r w:rsidRPr="006D12D8">
      <w:rPr>
        <w:rFonts w:ascii="Palatino Linotype" w:hAnsi="Palatino Linotype"/>
        <w:b/>
        <w:bCs/>
        <w:color w:val="000000"/>
        <w:sz w:val="22"/>
      </w:rPr>
      <w:fldChar w:fldCharType="separate"/>
    </w:r>
    <w:r w:rsidR="006D12D8">
      <w:rPr>
        <w:rFonts w:ascii="Palatino Linotype" w:hAnsi="Palatino Linotype"/>
        <w:b/>
        <w:bCs/>
        <w:noProof/>
        <w:color w:val="000000"/>
        <w:sz w:val="22"/>
      </w:rPr>
      <w:t>1</w:t>
    </w:r>
    <w:r w:rsidRPr="006D12D8">
      <w:rPr>
        <w:rFonts w:ascii="Palatino Linotype" w:hAnsi="Palatino Linotype"/>
        <w:b/>
        <w:bCs/>
        <w:color w:val="000000"/>
        <w:sz w:val="22"/>
      </w:rPr>
      <w:fldChar w:fldCharType="end"/>
    </w:r>
    <w:r w:rsidRPr="006D12D8">
      <w:rPr>
        <w:rFonts w:ascii="Palatino Linotype" w:hAnsi="Palatino Linotype"/>
        <w:b/>
        <w:color w:val="000000"/>
        <w:sz w:val="22"/>
      </w:rPr>
      <w:t xml:space="preserve"> de </w:t>
    </w:r>
    <w:r w:rsidRPr="006D12D8">
      <w:rPr>
        <w:rFonts w:ascii="Palatino Linotype" w:hAnsi="Palatino Linotype"/>
        <w:b/>
        <w:bCs/>
        <w:color w:val="000000"/>
        <w:sz w:val="22"/>
      </w:rPr>
      <w:fldChar w:fldCharType="begin"/>
    </w:r>
    <w:r w:rsidRPr="006D12D8">
      <w:rPr>
        <w:rFonts w:ascii="Palatino Linotype" w:hAnsi="Palatino Linotype"/>
        <w:b/>
        <w:bCs/>
        <w:color w:val="000000"/>
        <w:sz w:val="22"/>
      </w:rPr>
      <w:instrText>NUMPAGES</w:instrText>
    </w:r>
    <w:r w:rsidRPr="006D12D8">
      <w:rPr>
        <w:rFonts w:ascii="Palatino Linotype" w:hAnsi="Palatino Linotype"/>
        <w:b/>
        <w:bCs/>
        <w:color w:val="000000"/>
        <w:sz w:val="22"/>
      </w:rPr>
      <w:fldChar w:fldCharType="separate"/>
    </w:r>
    <w:r w:rsidR="006D12D8">
      <w:rPr>
        <w:rFonts w:ascii="Palatino Linotype" w:hAnsi="Palatino Linotype"/>
        <w:b/>
        <w:bCs/>
        <w:noProof/>
        <w:color w:val="000000"/>
        <w:sz w:val="22"/>
      </w:rPr>
      <w:t>19</w:t>
    </w:r>
    <w:r w:rsidRPr="006D12D8">
      <w:rPr>
        <w:rFonts w:ascii="Palatino Linotype" w:hAnsi="Palatino Linotype"/>
        <w:b/>
        <w:bCs/>
        <w:color w:val="000000"/>
        <w:sz w:val="22"/>
      </w:rPr>
      <w:fldChar w:fldCharType="end"/>
    </w:r>
  </w:p>
  <w:p w:rsidR="00AE2AC0" w:rsidRDefault="00AE2AC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E9F" w:rsidRDefault="00DE5E9F">
      <w:r>
        <w:separator/>
      </w:r>
    </w:p>
  </w:footnote>
  <w:footnote w:type="continuationSeparator" w:id="0">
    <w:p w:rsidR="00DE5E9F" w:rsidRDefault="00DE5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AC0" w:rsidRDefault="00DE5E9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10490" w:type="dxa"/>
      <w:tblInd w:w="0" w:type="dxa"/>
      <w:tblLayout w:type="fixed"/>
      <w:tblLook w:val="0400" w:firstRow="0" w:lastRow="0" w:firstColumn="0" w:lastColumn="0" w:noHBand="0" w:noVBand="1"/>
    </w:tblPr>
    <w:tblGrid>
      <w:gridCol w:w="2268"/>
      <w:gridCol w:w="8222"/>
    </w:tblGrid>
    <w:tr w:rsidR="00AE2AC0" w:rsidTr="006D12D8">
      <w:trPr>
        <w:trHeight w:val="1435"/>
      </w:trPr>
      <w:tc>
        <w:tcPr>
          <w:tcW w:w="2268" w:type="dxa"/>
          <w:shd w:val="clear" w:color="auto" w:fill="auto"/>
        </w:tcPr>
        <w:p w:rsidR="00AE2AC0" w:rsidRDefault="00AE2AC0">
          <w:pPr>
            <w:tabs>
              <w:tab w:val="right" w:pos="4273"/>
            </w:tabs>
            <w:rPr>
              <w:rFonts w:ascii="Garamond" w:eastAsia="Garamond" w:hAnsi="Garamond" w:cs="Garamond"/>
              <w:sz w:val="16"/>
              <w:szCs w:val="16"/>
            </w:rPr>
          </w:pPr>
        </w:p>
      </w:tc>
      <w:tc>
        <w:tcPr>
          <w:tcW w:w="8222" w:type="dxa"/>
          <w:shd w:val="clear" w:color="auto" w:fill="auto"/>
        </w:tcPr>
        <w:tbl>
          <w:tblPr>
            <w:tblStyle w:val="a0"/>
            <w:tblW w:w="6930" w:type="dxa"/>
            <w:tblInd w:w="1445" w:type="dxa"/>
            <w:tblLayout w:type="fixed"/>
            <w:tblLook w:val="0400" w:firstRow="0" w:lastRow="0" w:firstColumn="0" w:lastColumn="0" w:noHBand="0" w:noVBand="1"/>
          </w:tblPr>
          <w:tblGrid>
            <w:gridCol w:w="2819"/>
            <w:gridCol w:w="4111"/>
          </w:tblGrid>
          <w:tr w:rsidR="00AE2AC0" w:rsidTr="006D12D8">
            <w:trPr>
              <w:trHeight w:val="150"/>
            </w:trPr>
            <w:tc>
              <w:tcPr>
                <w:tcW w:w="2819" w:type="dxa"/>
                <w:shd w:val="clear" w:color="auto" w:fill="auto"/>
              </w:tcPr>
              <w:p w:rsidR="00AE2AC0" w:rsidRPr="006D12D8" w:rsidRDefault="00E96513">
                <w:pPr>
                  <w:tabs>
                    <w:tab w:val="right" w:pos="8838"/>
                  </w:tabs>
                  <w:ind w:right="-105"/>
                  <w:rPr>
                    <w:rFonts w:ascii="Palatino Linotype" w:eastAsia="Palatino Linotype" w:hAnsi="Palatino Linotype" w:cs="Palatino Linotype"/>
                    <w:b/>
                    <w:bCs/>
                    <w:szCs w:val="22"/>
                  </w:rPr>
                </w:pPr>
                <w:r w:rsidRPr="006D12D8">
                  <w:rPr>
                    <w:rFonts w:ascii="Palatino Linotype" w:eastAsia="Palatino Linotype" w:hAnsi="Palatino Linotype" w:cs="Palatino Linotype"/>
                    <w:b/>
                    <w:bCs/>
                    <w:szCs w:val="22"/>
                  </w:rPr>
                  <w:t>Recurso de Revisión:</w:t>
                </w:r>
              </w:p>
            </w:tc>
            <w:tc>
              <w:tcPr>
                <w:tcW w:w="4111" w:type="dxa"/>
                <w:shd w:val="clear" w:color="auto" w:fill="auto"/>
              </w:tcPr>
              <w:p w:rsidR="00AE2AC0" w:rsidRPr="006D12D8" w:rsidRDefault="00E96513">
                <w:pPr>
                  <w:tabs>
                    <w:tab w:val="right" w:pos="8838"/>
                  </w:tabs>
                  <w:ind w:left="-108" w:right="-102"/>
                  <w:jc w:val="both"/>
                  <w:rPr>
                    <w:rFonts w:ascii="Palatino Linotype" w:eastAsia="Palatino Linotype" w:hAnsi="Palatino Linotype" w:cs="Palatino Linotype"/>
                    <w:szCs w:val="22"/>
                  </w:rPr>
                </w:pPr>
                <w:r w:rsidRPr="006D12D8">
                  <w:rPr>
                    <w:rFonts w:ascii="Palatino Linotype" w:eastAsia="Palatino Linotype" w:hAnsi="Palatino Linotype" w:cs="Palatino Linotype"/>
                    <w:szCs w:val="22"/>
                  </w:rPr>
                  <w:t>08953/INFOEM/IP/RR/2025</w:t>
                </w:r>
              </w:p>
            </w:tc>
          </w:tr>
          <w:tr w:rsidR="00AE2AC0" w:rsidTr="006D12D8">
            <w:trPr>
              <w:trHeight w:val="295"/>
            </w:trPr>
            <w:tc>
              <w:tcPr>
                <w:tcW w:w="2819" w:type="dxa"/>
                <w:shd w:val="clear" w:color="auto" w:fill="auto"/>
              </w:tcPr>
              <w:p w:rsidR="00AE2AC0" w:rsidRPr="006D12D8" w:rsidRDefault="00E96513">
                <w:pPr>
                  <w:tabs>
                    <w:tab w:val="right" w:pos="8838"/>
                  </w:tabs>
                  <w:ind w:right="-105"/>
                  <w:rPr>
                    <w:rFonts w:ascii="Palatino Linotype" w:eastAsia="Palatino Linotype" w:hAnsi="Palatino Linotype" w:cs="Palatino Linotype"/>
                    <w:b/>
                    <w:bCs/>
                    <w:szCs w:val="22"/>
                  </w:rPr>
                </w:pPr>
                <w:r w:rsidRPr="006D12D8">
                  <w:rPr>
                    <w:rFonts w:ascii="Palatino Linotype" w:eastAsia="Palatino Linotype" w:hAnsi="Palatino Linotype" w:cs="Palatino Linotype"/>
                    <w:b/>
                    <w:bCs/>
                    <w:szCs w:val="22"/>
                  </w:rPr>
                  <w:t>Sujeto Obligado:</w:t>
                </w:r>
              </w:p>
            </w:tc>
            <w:tc>
              <w:tcPr>
                <w:tcW w:w="4111" w:type="dxa"/>
                <w:shd w:val="clear" w:color="auto" w:fill="auto"/>
              </w:tcPr>
              <w:p w:rsidR="00AE2AC0" w:rsidRPr="006D12D8" w:rsidRDefault="00E96513">
                <w:pPr>
                  <w:tabs>
                    <w:tab w:val="left" w:pos="2834"/>
                    <w:tab w:val="right" w:pos="8838"/>
                  </w:tabs>
                  <w:ind w:left="-108" w:right="-102"/>
                  <w:jc w:val="both"/>
                  <w:rPr>
                    <w:rFonts w:ascii="Palatino Linotype" w:eastAsia="Palatino Linotype" w:hAnsi="Palatino Linotype" w:cs="Palatino Linotype"/>
                    <w:b/>
                    <w:bCs/>
                    <w:szCs w:val="22"/>
                  </w:rPr>
                </w:pPr>
                <w:r w:rsidRPr="006D12D8">
                  <w:rPr>
                    <w:rFonts w:ascii="Palatino Linotype" w:eastAsia="Palatino Linotype" w:hAnsi="Palatino Linotype" w:cs="Palatino Linotype"/>
                    <w:szCs w:val="22"/>
                  </w:rPr>
                  <w:t xml:space="preserve">Ayuntamiento de Toluca </w:t>
                </w:r>
              </w:p>
            </w:tc>
          </w:tr>
          <w:tr w:rsidR="00AE2AC0" w:rsidTr="006D12D8">
            <w:trPr>
              <w:trHeight w:val="295"/>
            </w:trPr>
            <w:tc>
              <w:tcPr>
                <w:tcW w:w="2819" w:type="dxa"/>
                <w:shd w:val="clear" w:color="auto" w:fill="auto"/>
              </w:tcPr>
              <w:p w:rsidR="00AE2AC0" w:rsidRPr="006D12D8" w:rsidRDefault="00E96513">
                <w:pPr>
                  <w:tabs>
                    <w:tab w:val="right" w:pos="8838"/>
                  </w:tabs>
                  <w:ind w:right="-105"/>
                  <w:rPr>
                    <w:rFonts w:ascii="Palatino Linotype" w:eastAsia="Palatino Linotype" w:hAnsi="Palatino Linotype" w:cs="Palatino Linotype"/>
                    <w:b/>
                    <w:bCs/>
                    <w:szCs w:val="22"/>
                  </w:rPr>
                </w:pPr>
                <w:r w:rsidRPr="006D12D8">
                  <w:rPr>
                    <w:rFonts w:ascii="Palatino Linotype" w:eastAsia="Palatino Linotype" w:hAnsi="Palatino Linotype" w:cs="Palatino Linotype"/>
                    <w:b/>
                    <w:bCs/>
                    <w:szCs w:val="22"/>
                  </w:rPr>
                  <w:t>Comisionada ponente:</w:t>
                </w:r>
              </w:p>
            </w:tc>
            <w:tc>
              <w:tcPr>
                <w:tcW w:w="4111" w:type="dxa"/>
                <w:shd w:val="clear" w:color="auto" w:fill="auto"/>
              </w:tcPr>
              <w:p w:rsidR="00AE2AC0" w:rsidRPr="006D12D8" w:rsidRDefault="00E96513">
                <w:pPr>
                  <w:tabs>
                    <w:tab w:val="right" w:pos="8838"/>
                  </w:tabs>
                  <w:ind w:left="-108" w:right="171"/>
                  <w:jc w:val="both"/>
                  <w:rPr>
                    <w:rFonts w:ascii="Palatino Linotype" w:eastAsia="Palatino Linotype" w:hAnsi="Palatino Linotype" w:cs="Palatino Linotype"/>
                    <w:szCs w:val="22"/>
                  </w:rPr>
                </w:pPr>
                <w:r w:rsidRPr="006D12D8">
                  <w:rPr>
                    <w:rFonts w:ascii="Palatino Linotype" w:eastAsia="Palatino Linotype" w:hAnsi="Palatino Linotype" w:cs="Palatino Linotype"/>
                    <w:szCs w:val="22"/>
                  </w:rPr>
                  <w:t>María del Rosario Mejía Ayala</w:t>
                </w:r>
              </w:p>
              <w:p w:rsidR="00AE2AC0" w:rsidRPr="006D12D8" w:rsidRDefault="00AE2AC0">
                <w:pPr>
                  <w:tabs>
                    <w:tab w:val="right" w:pos="8838"/>
                  </w:tabs>
                  <w:ind w:left="-108" w:right="171"/>
                  <w:jc w:val="both"/>
                  <w:rPr>
                    <w:rFonts w:ascii="Palatino Linotype" w:eastAsia="Palatino Linotype" w:hAnsi="Palatino Linotype" w:cs="Palatino Linotype"/>
                    <w:b/>
                    <w:bCs/>
                    <w:szCs w:val="22"/>
                  </w:rPr>
                </w:pPr>
              </w:p>
            </w:tc>
          </w:tr>
        </w:tbl>
        <w:p w:rsidR="00AE2AC0" w:rsidRDefault="00AE2AC0">
          <w:pPr>
            <w:tabs>
              <w:tab w:val="right" w:pos="8838"/>
            </w:tabs>
            <w:ind w:left="-28"/>
            <w:jc w:val="both"/>
            <w:rPr>
              <w:rFonts w:ascii="Arial" w:eastAsia="Arial" w:hAnsi="Arial" w:cs="Arial"/>
              <w:b/>
              <w:bCs/>
              <w:sz w:val="22"/>
              <w:szCs w:val="22"/>
            </w:rPr>
          </w:pPr>
        </w:p>
      </w:tc>
    </w:tr>
  </w:tbl>
  <w:p w:rsidR="00AE2AC0" w:rsidRDefault="00DE5E9F">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6.3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490" w:type="dxa"/>
      <w:tblInd w:w="0" w:type="dxa"/>
      <w:tblLayout w:type="fixed"/>
      <w:tblLook w:val="0400" w:firstRow="0" w:lastRow="0" w:firstColumn="0" w:lastColumn="0" w:noHBand="0" w:noVBand="1"/>
    </w:tblPr>
    <w:tblGrid>
      <w:gridCol w:w="2268"/>
      <w:gridCol w:w="8222"/>
    </w:tblGrid>
    <w:tr w:rsidR="00AE2AC0" w:rsidRPr="006D12D8" w:rsidTr="006D12D8">
      <w:trPr>
        <w:trHeight w:val="1435"/>
      </w:trPr>
      <w:tc>
        <w:tcPr>
          <w:tcW w:w="2268" w:type="dxa"/>
          <w:shd w:val="clear" w:color="auto" w:fill="auto"/>
        </w:tcPr>
        <w:p w:rsidR="00AE2AC0" w:rsidRDefault="00AE2AC0">
          <w:pPr>
            <w:tabs>
              <w:tab w:val="right" w:pos="4273"/>
            </w:tabs>
            <w:rPr>
              <w:rFonts w:ascii="Garamond" w:eastAsia="Garamond" w:hAnsi="Garamond" w:cs="Garamond"/>
              <w:sz w:val="22"/>
              <w:szCs w:val="22"/>
            </w:rPr>
          </w:pPr>
        </w:p>
      </w:tc>
      <w:tc>
        <w:tcPr>
          <w:tcW w:w="8222" w:type="dxa"/>
          <w:shd w:val="clear" w:color="auto" w:fill="auto"/>
        </w:tcPr>
        <w:tbl>
          <w:tblPr>
            <w:tblStyle w:val="a2"/>
            <w:tblW w:w="6914" w:type="dxa"/>
            <w:tblInd w:w="1161" w:type="dxa"/>
            <w:tblLayout w:type="fixed"/>
            <w:tblLook w:val="0400" w:firstRow="0" w:lastRow="0" w:firstColumn="0" w:lastColumn="0" w:noHBand="0" w:noVBand="1"/>
          </w:tblPr>
          <w:tblGrid>
            <w:gridCol w:w="2835"/>
            <w:gridCol w:w="4079"/>
          </w:tblGrid>
          <w:tr w:rsidR="00AE2AC0" w:rsidRPr="006D12D8" w:rsidTr="006D12D8">
            <w:trPr>
              <w:trHeight w:val="144"/>
            </w:trPr>
            <w:tc>
              <w:tcPr>
                <w:tcW w:w="2835" w:type="dxa"/>
                <w:shd w:val="clear" w:color="auto" w:fill="auto"/>
              </w:tcPr>
              <w:p w:rsidR="00AE2AC0" w:rsidRPr="006D12D8" w:rsidRDefault="00E96513">
                <w:pPr>
                  <w:tabs>
                    <w:tab w:val="right" w:pos="8838"/>
                  </w:tabs>
                  <w:ind w:left="-264" w:right="-105" w:firstLine="195"/>
                  <w:rPr>
                    <w:rFonts w:ascii="Palatino Linotype" w:eastAsia="Palatino Linotype" w:hAnsi="Palatino Linotype" w:cs="Palatino Linotype"/>
                    <w:b/>
                    <w:bCs/>
                    <w:szCs w:val="22"/>
                  </w:rPr>
                </w:pPr>
                <w:r w:rsidRPr="006D12D8">
                  <w:rPr>
                    <w:rFonts w:ascii="Palatino Linotype" w:eastAsia="Palatino Linotype" w:hAnsi="Palatino Linotype" w:cs="Palatino Linotype"/>
                    <w:b/>
                    <w:bCs/>
                    <w:szCs w:val="22"/>
                  </w:rPr>
                  <w:t>Recurso de Revisión:</w:t>
                </w:r>
              </w:p>
            </w:tc>
            <w:tc>
              <w:tcPr>
                <w:tcW w:w="4079" w:type="dxa"/>
                <w:shd w:val="clear" w:color="auto" w:fill="auto"/>
              </w:tcPr>
              <w:p w:rsidR="00AE2AC0" w:rsidRPr="006D12D8" w:rsidRDefault="00E96513" w:rsidP="006D12D8">
                <w:pPr>
                  <w:tabs>
                    <w:tab w:val="right" w:pos="8838"/>
                  </w:tabs>
                  <w:ind w:left="-74" w:right="-105"/>
                  <w:jc w:val="both"/>
                  <w:rPr>
                    <w:rFonts w:ascii="Palatino Linotype" w:eastAsia="Palatino Linotype" w:hAnsi="Palatino Linotype" w:cs="Palatino Linotype"/>
                    <w:szCs w:val="22"/>
                  </w:rPr>
                </w:pPr>
                <w:r w:rsidRPr="006D12D8">
                  <w:rPr>
                    <w:rFonts w:ascii="Palatino Linotype" w:eastAsia="Palatino Linotype" w:hAnsi="Palatino Linotype" w:cs="Palatino Linotype"/>
                    <w:szCs w:val="22"/>
                  </w:rPr>
                  <w:t>08953/INFOEM/IP/RR/2025</w:t>
                </w:r>
              </w:p>
            </w:tc>
          </w:tr>
          <w:tr w:rsidR="00AE2AC0" w:rsidRPr="006D12D8" w:rsidTr="006D12D8">
            <w:trPr>
              <w:trHeight w:val="144"/>
            </w:trPr>
            <w:tc>
              <w:tcPr>
                <w:tcW w:w="2835" w:type="dxa"/>
                <w:shd w:val="clear" w:color="auto" w:fill="auto"/>
              </w:tcPr>
              <w:p w:rsidR="00AE2AC0" w:rsidRPr="006D12D8" w:rsidRDefault="00E96513">
                <w:pPr>
                  <w:tabs>
                    <w:tab w:val="right" w:pos="8838"/>
                  </w:tabs>
                  <w:ind w:left="-74" w:right="-105"/>
                  <w:rPr>
                    <w:rFonts w:ascii="Palatino Linotype" w:eastAsia="Palatino Linotype" w:hAnsi="Palatino Linotype" w:cs="Palatino Linotype"/>
                    <w:b/>
                    <w:bCs/>
                    <w:szCs w:val="22"/>
                  </w:rPr>
                </w:pPr>
                <w:r w:rsidRPr="006D12D8">
                  <w:rPr>
                    <w:rFonts w:ascii="Palatino Linotype" w:eastAsia="Palatino Linotype" w:hAnsi="Palatino Linotype" w:cs="Palatino Linotype"/>
                    <w:b/>
                    <w:bCs/>
                    <w:szCs w:val="22"/>
                  </w:rPr>
                  <w:t>Recurrente:</w:t>
                </w:r>
              </w:p>
            </w:tc>
            <w:tc>
              <w:tcPr>
                <w:tcW w:w="4079" w:type="dxa"/>
                <w:shd w:val="clear" w:color="auto" w:fill="auto"/>
              </w:tcPr>
              <w:p w:rsidR="00AE2AC0" w:rsidRPr="006D12D8" w:rsidRDefault="00AE2AC0" w:rsidP="006D12D8">
                <w:pPr>
                  <w:tabs>
                    <w:tab w:val="left" w:pos="3122"/>
                    <w:tab w:val="right" w:pos="8838"/>
                  </w:tabs>
                  <w:ind w:left="-74" w:right="-105"/>
                  <w:jc w:val="both"/>
                  <w:rPr>
                    <w:rFonts w:ascii="Palatino Linotype" w:eastAsia="Palatino Linotype" w:hAnsi="Palatino Linotype" w:cs="Palatino Linotype"/>
                    <w:szCs w:val="22"/>
                  </w:rPr>
                </w:pPr>
              </w:p>
            </w:tc>
          </w:tr>
          <w:tr w:rsidR="00AE2AC0" w:rsidRPr="006D12D8" w:rsidTr="006D12D8">
            <w:trPr>
              <w:trHeight w:val="283"/>
            </w:trPr>
            <w:tc>
              <w:tcPr>
                <w:tcW w:w="2835" w:type="dxa"/>
                <w:shd w:val="clear" w:color="auto" w:fill="auto"/>
              </w:tcPr>
              <w:p w:rsidR="00AE2AC0" w:rsidRPr="006D12D8" w:rsidRDefault="00E96513">
                <w:pPr>
                  <w:tabs>
                    <w:tab w:val="right" w:pos="8838"/>
                  </w:tabs>
                  <w:ind w:left="-74" w:right="-105"/>
                  <w:rPr>
                    <w:rFonts w:ascii="Palatino Linotype" w:eastAsia="Palatino Linotype" w:hAnsi="Palatino Linotype" w:cs="Palatino Linotype"/>
                    <w:b/>
                    <w:bCs/>
                    <w:szCs w:val="22"/>
                  </w:rPr>
                </w:pPr>
                <w:r w:rsidRPr="006D12D8">
                  <w:rPr>
                    <w:rFonts w:ascii="Palatino Linotype" w:eastAsia="Palatino Linotype" w:hAnsi="Palatino Linotype" w:cs="Palatino Linotype"/>
                    <w:b/>
                    <w:bCs/>
                    <w:szCs w:val="22"/>
                  </w:rPr>
                  <w:t>Sujeto Obligado:</w:t>
                </w:r>
              </w:p>
            </w:tc>
            <w:tc>
              <w:tcPr>
                <w:tcW w:w="4079" w:type="dxa"/>
                <w:shd w:val="clear" w:color="auto" w:fill="auto"/>
              </w:tcPr>
              <w:p w:rsidR="00AE2AC0" w:rsidRPr="006D12D8" w:rsidRDefault="00E96513" w:rsidP="006D12D8">
                <w:pPr>
                  <w:tabs>
                    <w:tab w:val="left" w:pos="2834"/>
                    <w:tab w:val="right" w:pos="8838"/>
                  </w:tabs>
                  <w:ind w:left="-74" w:right="-105"/>
                  <w:jc w:val="both"/>
                  <w:rPr>
                    <w:rFonts w:ascii="Palatino Linotype" w:eastAsia="Palatino Linotype" w:hAnsi="Palatino Linotype" w:cs="Palatino Linotype"/>
                    <w:szCs w:val="22"/>
                  </w:rPr>
                </w:pPr>
                <w:r w:rsidRPr="006D12D8">
                  <w:rPr>
                    <w:rFonts w:ascii="Palatino Linotype" w:eastAsia="Palatino Linotype" w:hAnsi="Palatino Linotype" w:cs="Palatino Linotype"/>
                    <w:szCs w:val="22"/>
                  </w:rPr>
                  <w:t xml:space="preserve">Ayuntamiento de Toluca </w:t>
                </w:r>
              </w:p>
            </w:tc>
          </w:tr>
          <w:tr w:rsidR="00AE2AC0" w:rsidRPr="006D12D8" w:rsidTr="006D12D8">
            <w:trPr>
              <w:trHeight w:val="283"/>
            </w:trPr>
            <w:tc>
              <w:tcPr>
                <w:tcW w:w="2835" w:type="dxa"/>
                <w:shd w:val="clear" w:color="auto" w:fill="auto"/>
              </w:tcPr>
              <w:p w:rsidR="00AE2AC0" w:rsidRPr="006D12D8" w:rsidRDefault="00E96513">
                <w:pPr>
                  <w:tabs>
                    <w:tab w:val="right" w:pos="8838"/>
                  </w:tabs>
                  <w:ind w:left="-74" w:right="-105"/>
                  <w:rPr>
                    <w:rFonts w:ascii="Palatino Linotype" w:eastAsia="Palatino Linotype" w:hAnsi="Palatino Linotype" w:cs="Palatino Linotype"/>
                    <w:b/>
                    <w:bCs/>
                    <w:szCs w:val="22"/>
                  </w:rPr>
                </w:pPr>
                <w:r w:rsidRPr="006D12D8">
                  <w:rPr>
                    <w:rFonts w:ascii="Palatino Linotype" w:eastAsia="Palatino Linotype" w:hAnsi="Palatino Linotype" w:cs="Palatino Linotype"/>
                    <w:b/>
                    <w:bCs/>
                    <w:szCs w:val="22"/>
                  </w:rPr>
                  <w:t>Comisionada ponente:</w:t>
                </w:r>
              </w:p>
            </w:tc>
            <w:tc>
              <w:tcPr>
                <w:tcW w:w="4079" w:type="dxa"/>
                <w:shd w:val="clear" w:color="auto" w:fill="auto"/>
              </w:tcPr>
              <w:p w:rsidR="00AE2AC0" w:rsidRPr="006D12D8" w:rsidRDefault="00E96513" w:rsidP="006D12D8">
                <w:pPr>
                  <w:tabs>
                    <w:tab w:val="right" w:pos="8838"/>
                  </w:tabs>
                  <w:ind w:right="-105"/>
                  <w:jc w:val="both"/>
                  <w:rPr>
                    <w:rFonts w:ascii="Palatino Linotype" w:eastAsia="Palatino Linotype" w:hAnsi="Palatino Linotype" w:cs="Palatino Linotype"/>
                    <w:szCs w:val="22"/>
                  </w:rPr>
                </w:pPr>
                <w:r w:rsidRPr="006D12D8">
                  <w:rPr>
                    <w:rFonts w:ascii="Palatino Linotype" w:eastAsia="Palatino Linotype" w:hAnsi="Palatino Linotype" w:cs="Palatino Linotype"/>
                    <w:szCs w:val="22"/>
                  </w:rPr>
                  <w:t>María del Rosario Mejía Ayala</w:t>
                </w:r>
              </w:p>
              <w:p w:rsidR="00AE2AC0" w:rsidRPr="006D12D8" w:rsidRDefault="00AE2AC0" w:rsidP="006D12D8">
                <w:pPr>
                  <w:tabs>
                    <w:tab w:val="right" w:pos="8838"/>
                  </w:tabs>
                  <w:ind w:left="-74" w:right="-105"/>
                  <w:jc w:val="both"/>
                  <w:rPr>
                    <w:rFonts w:ascii="Palatino Linotype" w:eastAsia="Palatino Linotype" w:hAnsi="Palatino Linotype" w:cs="Palatino Linotype"/>
                    <w:b/>
                    <w:bCs/>
                    <w:szCs w:val="22"/>
                  </w:rPr>
                </w:pPr>
              </w:p>
            </w:tc>
          </w:tr>
        </w:tbl>
        <w:p w:rsidR="00AE2AC0" w:rsidRPr="006D12D8" w:rsidRDefault="00AE2AC0">
          <w:pPr>
            <w:tabs>
              <w:tab w:val="right" w:pos="8838"/>
            </w:tabs>
            <w:ind w:left="-28"/>
            <w:jc w:val="both"/>
            <w:rPr>
              <w:rFonts w:ascii="Arial" w:eastAsia="Arial" w:hAnsi="Arial" w:cs="Arial"/>
              <w:b/>
              <w:bCs/>
              <w:szCs w:val="22"/>
            </w:rPr>
          </w:pPr>
        </w:p>
      </w:tc>
    </w:tr>
  </w:tbl>
  <w:p w:rsidR="00AE2AC0" w:rsidRDefault="00DE5E9F">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203787"/>
    <w:multiLevelType w:val="hybridMultilevel"/>
    <w:tmpl w:val="39862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14B0B77"/>
    <w:multiLevelType w:val="multilevel"/>
    <w:tmpl w:val="0088A2EA"/>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AC0"/>
    <w:rsid w:val="00616B29"/>
    <w:rsid w:val="006C6AB1"/>
    <w:rsid w:val="006D12D8"/>
    <w:rsid w:val="00AE2AC0"/>
    <w:rsid w:val="00DE5E9F"/>
    <w:rsid w:val="00E96513"/>
    <w:rsid w:val="00F22F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527B62E-D282-4EBA-8B7B-930EE129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CE7CF4"/>
    <w:pPr>
      <w:tabs>
        <w:tab w:val="center" w:pos="4419"/>
        <w:tab w:val="right" w:pos="8838"/>
      </w:tabs>
    </w:pPr>
  </w:style>
  <w:style w:type="character" w:customStyle="1" w:styleId="EncabezadoCar">
    <w:name w:val="Encabezado Car"/>
    <w:basedOn w:val="Fuentedeprrafopredeter"/>
    <w:link w:val="Encabezado"/>
    <w:uiPriority w:val="99"/>
    <w:rsid w:val="00CE7CF4"/>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E7CF4"/>
    <w:pPr>
      <w:tabs>
        <w:tab w:val="center" w:pos="4419"/>
        <w:tab w:val="right" w:pos="8838"/>
      </w:tabs>
    </w:pPr>
  </w:style>
  <w:style w:type="character" w:customStyle="1" w:styleId="PiedepginaCar">
    <w:name w:val="Pie de página Car"/>
    <w:basedOn w:val="Fuentedeprrafopredeter"/>
    <w:link w:val="Piedepgina"/>
    <w:uiPriority w:val="99"/>
    <w:rsid w:val="00CE7CF4"/>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7CF4"/>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E7CF4"/>
    <w:rPr>
      <w:rFonts w:ascii="Century Gothic" w:eastAsia="Times New Roman" w:hAnsi="Century Gothic" w:cs="Times New Roman"/>
      <w:szCs w:val="24"/>
      <w:lang w:eastAsia="es-MX"/>
    </w:rPr>
  </w:style>
  <w:style w:type="paragraph" w:customStyle="1" w:styleId="Default">
    <w:name w:val="Default"/>
    <w:rsid w:val="00CE7CF4"/>
    <w:pPr>
      <w:autoSpaceDE w:val="0"/>
      <w:autoSpaceDN w:val="0"/>
      <w:adjustRightInd w:val="0"/>
    </w:pPr>
    <w:rPr>
      <w:rFonts w:ascii="Arial" w:hAnsi="Arial" w:cs="Arial"/>
      <w:color w:val="00000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liEC1k616hbC+eT73Oq/wZo9vw==">CgMxLjAyDmguODZtaTdzaGE2ZDhtMg5oLmljejZobDJ3NnFhMDIOaC54aDFrdHdrbHQwM2kyDmguNHdqMTVpb25ia2xxMg5oLnkzajNzbzJwN3RnbzIOaC5tNm05cWFtZHQ5ZXoyDmguOWFobHkxN3llYmRvMg5oLmZ4eTN5dzJicDM0bTIOaC5ueHNtZWRwYjd4cHEyDmgueTMxNG5icnh5OGZ1OAByITFFSTZWbTF1XzNtczBvU1NmSkFtTExzQkp0aFRseUU5WQ==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3603</Words>
  <Characters>19822</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5</cp:revision>
  <cp:lastPrinted>2026-03-12T23:16:00Z</cp:lastPrinted>
  <dcterms:created xsi:type="dcterms:W3CDTF">2026-03-05T18:04:00Z</dcterms:created>
  <dcterms:modified xsi:type="dcterms:W3CDTF">2026-03-19T17:55:00Z</dcterms:modified>
</cp:coreProperties>
</file>