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sz w:val="22"/>
          <w:szCs w:val="22"/>
        </w:rPr>
      </w:pPr>
      <w:bookmarkStart w:colFirst="0" w:colLast="0" w:name="_heading=h.3rdcrjn" w:id="0"/>
      <w:bookmarkEnd w:id="0"/>
      <w:r w:rsidDel="00000000" w:rsidR="00000000" w:rsidRPr="00000000">
        <w:rPr>
          <w:rFonts w:ascii="Palatino Linotype" w:cs="Palatino Linotype" w:eastAsia="Palatino Linotype" w:hAnsi="Palatino Linotype"/>
          <w:sz w:val="22"/>
          <w:szCs w:val="22"/>
          <w:rtl w:val="0"/>
        </w:rPr>
        <w:t xml:space="preserve">Resolución del Pleno del Instituto de Transparencia, Acceso a la Información Pública y Protección de Datos Personales del Estado de México y Municipios, con domicilio en Metepec, Estado de México, a ocho de abril de dos mil veintiséis. </w:t>
      </w:r>
    </w:p>
    <w:p w:rsidR="00000000" w:rsidDel="00000000" w:rsidP="00000000" w:rsidRDefault="00000000" w:rsidRPr="00000000" w14:paraId="00000002">
      <w:pPr>
        <w:tabs>
          <w:tab w:val="left" w:leader="none" w:pos="5812"/>
        </w:tabs>
        <w:spacing w:after="240" w:before="240" w:line="360" w:lineRule="auto"/>
        <w:jc w:val="both"/>
        <w:rPr>
          <w:rFonts w:ascii="Palatino Linotype" w:cs="Palatino Linotype" w:eastAsia="Palatino Linotype" w:hAnsi="Palatino Linotype"/>
          <w:sz w:val="22"/>
          <w:szCs w:val="22"/>
        </w:rPr>
      </w:pPr>
      <w:bookmarkStart w:colFirst="0" w:colLast="0" w:name="_heading=h.daj3j2xo6q66" w:id="1"/>
      <w:bookmarkEnd w:id="1"/>
      <w:r w:rsidDel="00000000" w:rsidR="00000000" w:rsidRPr="00000000">
        <w:rPr>
          <w:rFonts w:ascii="Palatino Linotype" w:cs="Palatino Linotype" w:eastAsia="Palatino Linotype" w:hAnsi="Palatino Linotype"/>
          <w:b w:val="1"/>
          <w:bCs w:val="1"/>
          <w:sz w:val="22"/>
          <w:szCs w:val="22"/>
          <w:rtl w:val="0"/>
        </w:rPr>
        <w:t xml:space="preserve">VISTO</w:t>
      </w:r>
      <w:r w:rsidDel="00000000" w:rsidR="00000000" w:rsidRPr="00000000">
        <w:rPr>
          <w:rFonts w:ascii="Palatino Linotype" w:cs="Palatino Linotype" w:eastAsia="Palatino Linotype" w:hAnsi="Palatino Linotype"/>
          <w:sz w:val="22"/>
          <w:szCs w:val="22"/>
          <w:rtl w:val="0"/>
        </w:rPr>
        <w:t xml:space="preserve"> el expediente formado con motivo del recurso de revisión </w:t>
      </w:r>
      <w:r w:rsidDel="00000000" w:rsidR="00000000" w:rsidRPr="00000000">
        <w:rPr>
          <w:rFonts w:ascii="Palatino Linotype" w:cs="Palatino Linotype" w:eastAsia="Palatino Linotype" w:hAnsi="Palatino Linotype"/>
          <w:b w:val="1"/>
          <w:bCs w:val="1"/>
          <w:sz w:val="22"/>
          <w:szCs w:val="22"/>
          <w:rtl w:val="0"/>
        </w:rPr>
        <w:t xml:space="preserve">10434/INFOEM/IP/RR/2025</w:t>
      </w:r>
      <w:r w:rsidDel="00000000" w:rsidR="00000000" w:rsidRPr="00000000">
        <w:rPr>
          <w:rFonts w:ascii="Palatino Linotype" w:cs="Palatino Linotype" w:eastAsia="Palatino Linotype" w:hAnsi="Palatino Linotype"/>
          <w:sz w:val="22"/>
          <w:szCs w:val="22"/>
          <w:rtl w:val="0"/>
        </w:rPr>
        <w:t xml:space="preserve">, interpuesto por</w:t>
      </w:r>
      <w:r w:rsidDel="00000000" w:rsidR="00000000" w:rsidRPr="00000000">
        <w:rPr>
          <w:rFonts w:ascii="Palatino Linotype" w:cs="Palatino Linotype" w:eastAsia="Palatino Linotype" w:hAnsi="Palatino Linotype"/>
          <w:b w:val="1"/>
          <w:bCs w:val="1"/>
          <w:sz w:val="22"/>
          <w:szCs w:val="22"/>
          <w:rtl w:val="0"/>
        </w:rPr>
        <w:t xml:space="preserve"> XXXX XXXXXX,</w:t>
      </w:r>
      <w:r w:rsidDel="00000000" w:rsidR="00000000" w:rsidRPr="00000000">
        <w:rPr>
          <w:rFonts w:ascii="Palatino Linotype" w:cs="Palatino Linotype" w:eastAsia="Palatino Linotype" w:hAnsi="Palatino Linotype"/>
          <w:sz w:val="22"/>
          <w:szCs w:val="22"/>
          <w:rtl w:val="0"/>
        </w:rPr>
        <w:t xml:space="preserve"> en lo sucesivo</w:t>
      </w:r>
      <w:r w:rsidDel="00000000" w:rsidR="00000000" w:rsidRPr="00000000">
        <w:rPr>
          <w:rFonts w:ascii="Palatino Linotype" w:cs="Palatino Linotype" w:eastAsia="Palatino Linotype" w:hAnsi="Palatino Linotype"/>
          <w:b w:val="1"/>
          <w:bCs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contra de la respuesta a la solicitud de información con número de folio</w:t>
      </w:r>
      <w:r w:rsidDel="00000000" w:rsidR="00000000" w:rsidRPr="00000000">
        <w:rPr>
          <w:rFonts w:ascii="Palatino Linotype" w:cs="Palatino Linotype" w:eastAsia="Palatino Linotype" w:hAnsi="Palatino Linotype"/>
          <w:b w:val="1"/>
          <w:bCs w:val="1"/>
          <w:sz w:val="22"/>
          <w:szCs w:val="22"/>
          <w:rtl w:val="0"/>
        </w:rPr>
        <w:t xml:space="preserve"> 00330/JUCHITE/IP/2025, </w:t>
      </w:r>
      <w:r w:rsidDel="00000000" w:rsidR="00000000" w:rsidRPr="00000000">
        <w:rPr>
          <w:rFonts w:ascii="Palatino Linotype" w:cs="Palatino Linotype" w:eastAsia="Palatino Linotype" w:hAnsi="Palatino Linotype"/>
          <w:sz w:val="22"/>
          <w:szCs w:val="22"/>
          <w:rtl w:val="0"/>
        </w:rPr>
        <w:t xml:space="preserve">por parte del </w:t>
      </w:r>
      <w:r w:rsidDel="00000000" w:rsidR="00000000" w:rsidRPr="00000000">
        <w:rPr>
          <w:rFonts w:ascii="Palatino Linotype" w:cs="Palatino Linotype" w:eastAsia="Palatino Linotype" w:hAnsi="Palatino Linotype"/>
          <w:b w:val="1"/>
          <w:bCs w:val="1"/>
          <w:sz w:val="22"/>
          <w:szCs w:val="22"/>
          <w:rtl w:val="0"/>
        </w:rPr>
        <w:t xml:space="preserve">Ayuntamiento de Juchitepec, </w:t>
      </w:r>
      <w:r w:rsidDel="00000000" w:rsidR="00000000" w:rsidRPr="00000000">
        <w:rPr>
          <w:rFonts w:ascii="Palatino Linotype" w:cs="Palatino Linotype" w:eastAsia="Palatino Linotype" w:hAnsi="Palatino Linotype"/>
          <w:sz w:val="22"/>
          <w:szCs w:val="22"/>
          <w:rtl w:val="0"/>
        </w:rPr>
        <w:t xml:space="preserve">en lo sucesivo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2"/>
          <w:szCs w:val="22"/>
        </w:rPr>
      </w:pPr>
      <w:bookmarkStart w:colFirst="0" w:colLast="0" w:name="_heading=h.gjdgxs" w:id="2"/>
      <w:bookmarkEnd w:id="2"/>
      <w:r w:rsidDel="00000000" w:rsidR="00000000" w:rsidRPr="00000000">
        <w:rPr>
          <w:rFonts w:ascii="Palatino Linotype" w:cs="Palatino Linotype" w:eastAsia="Palatino Linotype" w:hAnsi="Palatino Linotype"/>
          <w:b w:val="1"/>
          <w:bCs w:val="1"/>
          <w:sz w:val="22"/>
          <w:szCs w:val="22"/>
          <w:rtl w:val="0"/>
        </w:rPr>
        <w:t xml:space="preserve">1. Solicitud de acceso a la información.</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bCs w:val="1"/>
          <w:sz w:val="22"/>
          <w:szCs w:val="22"/>
          <w:rtl w:val="0"/>
        </w:rPr>
        <w:t xml:space="preserve">trece de agosto de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presentó la solicitud de acceso a la información pública ante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a través del Sistema de Acceso a la Información Mexiquense, en lo subsecuente el </w:t>
      </w:r>
      <w:r w:rsidDel="00000000" w:rsidR="00000000" w:rsidRPr="00000000">
        <w:rPr>
          <w:rFonts w:ascii="Palatino Linotype" w:cs="Palatino Linotype" w:eastAsia="Palatino Linotype" w:hAnsi="Palatino Linotype"/>
          <w:b w:val="1"/>
          <w:bCs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mediante la cual requirió lo siguiente:</w:t>
      </w:r>
    </w:p>
    <w:p w:rsidR="00000000" w:rsidDel="00000000" w:rsidP="00000000" w:rsidRDefault="00000000" w:rsidRPr="00000000" w14:paraId="00000005">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 “Solicito se informe por qué la Secretaria del área se presenta como encargada de Comunicación Social, quién autorizó dicha designación, bajo qué criterios, y si existe documento oficial que la respalde. También pido se aclare si tiene facultades para tomar decisiones sobre eventos, conferencias de prensa u otras actividades del área. Se requiere información sobre su perfil profesional, el oficio de baja del anterior encargado, así como el sueldo, horarios registrados en el checador y cumplimiento de jornada laboral de la Secretaria, ya que frecuentemente no se le encuentra en oficina. Toda aclaración debe estar respaldada por documento firmado por Presidencia, Recursos Humanos o la Secretaría del Ayuntamiento.</w:t>
      </w: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Fonts w:ascii="Palatino Linotype" w:cs="Palatino Linotype" w:eastAsia="Palatino Linotype" w:hAnsi="Palatino Linotype"/>
          <w:i w:val="1"/>
          <w:iCs w:val="1"/>
          <w:sz w:val="22"/>
          <w:szCs w:val="22"/>
          <w:rtl w:val="0"/>
        </w:rPr>
        <w:t xml:space="preserve"> (sic) </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b w:val="1"/>
          <w:bCs w:val="1"/>
          <w:sz w:val="22"/>
          <w:szCs w:val="22"/>
        </w:rPr>
      </w:pPr>
      <w:bookmarkStart w:colFirst="0" w:colLast="0" w:name="_heading=h.3dy6vkm" w:id="3"/>
      <w:bookmarkEnd w:id="3"/>
      <w:r w:rsidDel="00000000" w:rsidR="00000000" w:rsidRPr="00000000">
        <w:rPr>
          <w:rFonts w:ascii="Palatino Linotype" w:cs="Palatino Linotype" w:eastAsia="Palatino Linotype" w:hAnsi="Palatino Linotype"/>
          <w:b w:val="1"/>
          <w:bCs w:val="1"/>
          <w:sz w:val="22"/>
          <w:szCs w:val="22"/>
          <w:rtl w:val="0"/>
        </w:rPr>
        <w:t xml:space="preserve">Modalidad de Entrega:</w:t>
      </w:r>
      <w:r w:rsidDel="00000000" w:rsidR="00000000" w:rsidRPr="00000000">
        <w:rPr>
          <w:rFonts w:ascii="Palatino Linotype" w:cs="Palatino Linotype" w:eastAsia="Palatino Linotype" w:hAnsi="Palatino Linotype"/>
          <w:sz w:val="22"/>
          <w:szCs w:val="22"/>
          <w:rtl w:val="0"/>
        </w:rPr>
        <w:t xml:space="preserve"> a través del</w:t>
      </w:r>
      <w:r w:rsidDel="00000000" w:rsidR="00000000" w:rsidRPr="00000000">
        <w:rPr>
          <w:rFonts w:ascii="Palatino Linotype" w:cs="Palatino Linotype" w:eastAsia="Palatino Linotype" w:hAnsi="Palatino Linotype"/>
          <w:b w:val="1"/>
          <w:bCs w:val="1"/>
          <w:sz w:val="22"/>
          <w:szCs w:val="22"/>
          <w:rtl w:val="0"/>
        </w:rPr>
        <w:t xml:space="preserve"> SAIMEX.</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2. Respuesta.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bCs w:val="1"/>
          <w:sz w:val="22"/>
          <w:szCs w:val="22"/>
          <w:rtl w:val="0"/>
        </w:rPr>
        <w:t xml:space="preserve">tres de septiembre de dos mil veinticinco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respondió a la solicitud de información en los términos siguientes: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119"/>
        </w:tabs>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“Anexo el oficio para dar respuesta a su solicitud de información con folio 00330/JUCHITE/IP/2025 espero que la información brindada le resulte de utilidad.”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Pronunciamiento al que adjuntó el oficio emitido por la Coordinación de Comunicación Social y Gobierno Digital  quien en su parte sustantiva informó que no hay documento oficial donde la auxiliar administrativa de la Coordinación de Comunicación Social se presente como  “encargada de Comunicación Social”, siendo que no existe ninguna designación previamente mencionada.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otra parte, las decisiones sobre los eventos, conferencias de prensa u otras actividades del área son tomadas en el carácter de encargada, responden a las solicitudes que las diferentes dependencias realizan, o bien, son órdenes directas del Ejecutivo Municipal, por tanto, las decisiones que se toman en la coordinación no dependen de ningún auxiliar administrativo.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Respecto al perfil profesional, adjuntó el curriculum vitae público acompañado de su cédula profesional; así como, el oficio de baja del anterior encargado y finalmente su recibo de nómina, así como el reporte de los horarios registrados en el checador. </w:t>
      </w:r>
    </w:p>
    <w:p w:rsidR="00000000" w:rsidDel="00000000" w:rsidP="00000000" w:rsidRDefault="00000000" w:rsidRPr="00000000" w14:paraId="0000000C">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3. Interposición del recurso de revisión. E</w:t>
      </w:r>
      <w:r w:rsidDel="00000000" w:rsidR="00000000" w:rsidRPr="00000000">
        <w:rPr>
          <w:rFonts w:ascii="Palatino Linotype" w:cs="Palatino Linotype" w:eastAsia="Palatino Linotype" w:hAnsi="Palatino Linotype"/>
          <w:sz w:val="22"/>
          <w:szCs w:val="22"/>
          <w:rtl w:val="0"/>
        </w:rPr>
        <w:t xml:space="preserve">l </w:t>
      </w:r>
      <w:r w:rsidDel="00000000" w:rsidR="00000000" w:rsidRPr="00000000">
        <w:rPr>
          <w:rFonts w:ascii="Palatino Linotype" w:cs="Palatino Linotype" w:eastAsia="Palatino Linotype" w:hAnsi="Palatino Linotype"/>
          <w:b w:val="1"/>
          <w:bCs w:val="1"/>
          <w:sz w:val="22"/>
          <w:szCs w:val="22"/>
          <w:rtl w:val="0"/>
        </w:rPr>
        <w:t xml:space="preserve">cuatro de septiembre de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interpuso el recurso de revisión a través de </w:t>
      </w:r>
      <w:r w:rsidDel="00000000" w:rsidR="00000000" w:rsidRPr="00000000">
        <w:rPr>
          <w:rFonts w:ascii="Palatino Linotype" w:cs="Palatino Linotype" w:eastAsia="Palatino Linotype" w:hAnsi="Palatino Linotype"/>
          <w:b w:val="1"/>
          <w:bCs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en donde se manifestó de la siguiente manera:</w:t>
      </w:r>
    </w:p>
    <w:p w:rsidR="00000000" w:rsidDel="00000000" w:rsidP="00000000" w:rsidRDefault="00000000" w:rsidRPr="00000000" w14:paraId="0000000D">
      <w:pPr>
        <w:spacing w:after="240" w:before="240" w:line="360" w:lineRule="auto"/>
        <w:ind w:right="49"/>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Acto impugnado: </w:t>
      </w:r>
    </w:p>
    <w:p w:rsidR="00000000" w:rsidDel="00000000" w:rsidP="00000000" w:rsidRDefault="00000000" w:rsidRPr="00000000" w14:paraId="0000000E">
      <w:pPr>
        <w:tabs>
          <w:tab w:val="left" w:leader="none" w:pos="2745"/>
        </w:tabs>
        <w:spacing w:after="240" w:before="240" w:lineRule="auto"/>
        <w:ind w:left="851" w:right="900"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“Con fundamento en el Artículo 6° de la Constitución Política de los Estados Unidos Mexicanos, que reconoce el derecho de acceso a la información pública como garantía fundamental, así como en los Artículos 176, 178, 181, 184 y 185 de la Ley de Transparencia y Acceso a la Información Pública del Estado de México y Municipios, se interpone el presente recurso de revisión en virtud de que la respuesta emitida el día 03 de septiembre de 2025 por el sujeto obligado resulta notoriamente incompleta, evasiva y carente de respaldo documental oficial. En la solicitud presentada el 13 de agosto de 2025, se requirió información precisa sobre la actuación de una persona que se presenta como encargada del área de Comunicación Social y Gobierno Digital, sin contar con nombramiento oficial. Cabe señalar que dicha persona no ostenta formalmente dicho cargo, sino que ocupa el puesto de auxiliar administrativo, lo cual agrava la situación. Se solicitó, entre otros puntos, documentación que acreditara dicha designación, el perfil profesional correspondiente, el oficio de baja del anterior encargado, así como evidencia sobre su sueldo, horarios registrados en el checador y cumplimiento de jornada laboral. Se especificó que toda aclaración debía estar respaldada por documentos firmados por Presidencia, Recursos Humanos o la Secretaría del Ayuntamiento.” (sic)</w:t>
      </w:r>
    </w:p>
    <w:p w:rsidR="00000000" w:rsidDel="00000000" w:rsidP="00000000" w:rsidRDefault="00000000" w:rsidRPr="00000000" w14:paraId="0000000F">
      <w:pPr>
        <w:spacing w:line="360" w:lineRule="auto"/>
        <w:jc w:val="both"/>
        <w:rPr>
          <w:rFonts w:ascii="Palatino Linotype" w:cs="Palatino Linotype" w:eastAsia="Palatino Linotype" w:hAnsi="Palatino Linotype"/>
          <w:sz w:val="22"/>
          <w:szCs w:val="22"/>
        </w:rPr>
      </w:pPr>
      <w:bookmarkStart w:colFirst="0" w:colLast="0" w:name="_heading=h.30j0zll" w:id="4"/>
      <w:bookmarkEnd w:id="4"/>
      <w:r w:rsidDel="00000000" w:rsidR="00000000" w:rsidRPr="00000000">
        <w:rPr>
          <w:rFonts w:ascii="Palatino Linotype" w:cs="Palatino Linotype" w:eastAsia="Palatino Linotype" w:hAnsi="Palatino Linotype"/>
          <w:b w:val="1"/>
          <w:bCs w:val="1"/>
          <w:sz w:val="22"/>
          <w:szCs w:val="22"/>
          <w:rtl w:val="0"/>
        </w:rPr>
        <w:t xml:space="preserve">Y, Razones o motivos de inconformidad</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10">
      <w:pPr>
        <w:tabs>
          <w:tab w:val="left" w:leader="none" w:pos="2745"/>
        </w:tabs>
        <w:spacing w:after="240" w:before="240" w:lineRule="auto"/>
        <w:ind w:left="851" w:right="900"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“La respuesta recibida incumple lo dispuesto en el Artículo 184 de la Ley de Transparencia, que exige que toda respuesta esté debidamente fundada y motivada, señalando con claridad los hechos, razones y disposiciones legales que la sustentan. Si la información no existe, el sujeto obligado debe justificarlo y demostrar que realizó gestiones para localizarla. Además, el Artículo 176 establece que el recurso de revisión procede cuando la información entregada es incompleta, evasiva o no corresponde con lo solicitado. El Artículo 181 obliga a entregar la información en los términos requeridos, salvo que exista causa legal para reservarla, lo cual no fue invocado ni justificado. El Artículo 178 impone al Instituto la obligación de garantizar el acceso pleno a la información pública, y el Artículo 185 faculta al solicitante a impugnar cualquier respuesta que carezca de respaldo oficial o sea insuficiente. En este caso,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no se entregó ningún documento firmado por autoridad competente.</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El perfil profesional fue incluido de manera superficial, sin respaldo documental que acredite experiencia</w:t>
      </w:r>
      <w:r w:rsidDel="00000000" w:rsidR="00000000" w:rsidRPr="00000000">
        <w:rPr>
          <w:rFonts w:ascii="Palatino Linotype" w:cs="Palatino Linotype" w:eastAsia="Palatino Linotype" w:hAnsi="Palatino Linotype"/>
          <w:i w:val="1"/>
          <w:iCs w:val="1"/>
          <w:sz w:val="22"/>
          <w:szCs w:val="22"/>
          <w:rtl w:val="0"/>
        </w:rPr>
        <w:t xml:space="preserve">, formación o idoneidad para el cargo. De acuerdo con el perfil proporcionado, la persona en cuestión no cumple con los requisitos técnicos, académicos ni administrativos necesarios para desempeñarse en el área de Comunicación Social y Gobierno Digital, la cual exige conocimientos especializados en tecnologías de la información y comunicación institucional, manejo de medios tradicionales y digitales, redacción estratégica con lenguaje gubernamental, diseño gráfico y producción audiovisual con fines institucionales, imagen pública, gobernanza digital, participación ciudadana en entornos virtuales, gestión de redes sociales oficiales bajo criterios de responsabilidad pública, normatividad en materia de transparencia y protección de datos personales, planeación de campañas informativas alineadas a objetivos de gobierno, evaluación de impacto comunicacional, coordinación interinstitucional, protocolos de comunicación en situaciones de crisis, dominio de plataformas digitales gubernamentales y conocimiento específico de la Ley de Protección de Datos Personales en Posesión de Sujetos Obligados del Estado de México, así como de la Ley de Gobierno Digital del Estado de México y Municipios. Aunque la persona señalada ostenta el cargo de auxiliar administrativo, se presenta públicamente como encargada del área, asumiendo funciones directivas, administrativas y representativas que exceden por completo las atribuciones de su nombramiento. Esta auto designación informal, sin respaldo legal ni documento oficial que la acredite, constituye una simulación institucional que vulnera los principios de legalidad, jerarquía administrativa y profesionalismo que deben regir el servicio público. Por lo anterior, se solicita respetuosamente al Instituto que requiera al sujeto obligado para que emita una nueva respuesta, completa, documentada y conforme a derecho, atendiendo cada punto solicitado con respaldo oficial, sin evasivas ni interpretaciones genéricas.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Toda respuesta debe estar firmada o avalada por las autoridades competentes, </w:t>
      </w:r>
      <w:r w:rsidDel="00000000" w:rsidR="00000000" w:rsidRPr="00000000">
        <w:rPr>
          <w:rFonts w:ascii="Palatino Linotype" w:cs="Palatino Linotype" w:eastAsia="Palatino Linotype" w:hAnsi="Palatino Linotype"/>
          <w:i w:val="1"/>
          <w:iCs w:val="1"/>
          <w:sz w:val="22"/>
          <w:szCs w:val="22"/>
          <w:rtl w:val="0"/>
        </w:rPr>
        <w:t xml:space="preserve">conforme a los principios de legalidad, transparencia y máxima publicidad, especialmente tratándose de funciones ejercidas dentro del área de Comunicación Social y Gobierno Digital. En este caso, y dada la naturaleza administrativa, orgánica y funcional de lo solicitado,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la respuesta deberá estar firmada por el Secretario del Ayuntamiento,</w:t>
      </w:r>
      <w:r w:rsidDel="00000000" w:rsidR="00000000" w:rsidRPr="00000000">
        <w:rPr>
          <w:rFonts w:ascii="Palatino Linotype" w:cs="Palatino Linotype" w:eastAsia="Palatino Linotype" w:hAnsi="Palatino Linotype"/>
          <w:i w:val="1"/>
          <w:iCs w:val="1"/>
          <w:sz w:val="22"/>
          <w:szCs w:val="22"/>
          <w:rtl w:val="0"/>
        </w:rPr>
        <w:t xml:space="preserve"> en su calidad de fedatario institucional, responsable de certificar la validez de los actos administrativos, avalar la existencia o inexistencia de nombramientos oficiales, y garantizar la autenticidad de la información emitida por el gobierno municipal. En virtud de lo anterior, se solicita que el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Secretario del Ayuntamiento emita un documento oficial, firmado y sellado, en el que: 1. Certifique si existe algún nombramiento, acuerdo administrativo o designación formal que acredite a la persona señalada como titular del área de Comunicación Social y Gobierno Digital. 2. Confirme el cargo que oficialmente ostenta dentro de la estructura municipal, indicando si corresponde al puesto de auxiliar administrativo, y precise su adscripción funcional y jerárquica. 3. Declare si dicho puesto contempla atribuciones de dirección, representación institucional, toma de decisiones, manejo de medios oficiales o gestión de contenidos públicos, conforme a la estructura orgánica vigente. 4. Explique por qué una persona con formación en Derecho se encuentra desempeñando funciones propias de un área técnica como Comunicación Social y Gobierno Digital, sin contar con experiencia acreditada ni preparación profesional en comunicación institucional, tecnologías de la información, imagen pública, producción audiovisual o gobernanza digital. Esta explicación deberá incluir los criterios, fundamentos o decisiones administrativas que permitieron dicha asignación, en caso de existir. 5. Informe qué medidas administrativas, correctivas o legales se aplicarán ante esta actuación irregular, incluyendo la intervención de la Contraloría Interna Municipal</w:t>
      </w:r>
      <w:r w:rsidDel="00000000" w:rsidR="00000000" w:rsidRPr="00000000">
        <w:rPr>
          <w:rFonts w:ascii="Palatino Linotype" w:cs="Palatino Linotype" w:eastAsia="Palatino Linotype" w:hAnsi="Palatino Linotype"/>
          <w:i w:val="1"/>
          <w:iCs w:val="1"/>
          <w:sz w:val="22"/>
          <w:szCs w:val="22"/>
          <w:rtl w:val="0"/>
        </w:rPr>
        <w:t xml:space="preserve">, la reubicación funcional, la suspensión de atribuciones indebidas o la presentación de denuncia por usurpación de funciones, conforme al Artículo 176 del Código Penal del Estado de México. 6. Entregue copia certificada de cualquier acta de cabildo, acuerdo interno o documento oficial que haya autorizado la asignación de funciones a la persona señalada en el área de Comunicación Social y Gobierno Digital, o en su defecto, una declaración formal de que no existe tal autorización. 7. Proporcione el perfil de puesto vigente tanto para el cargo de auxiliar administrativo como para el supuesto encargado del área, con el fin de contrastar las atribuciones legales establecidas en dichos documentos contra las funciones que actualmente se ejercen en la práctica. 8. Expida constancia de adscripción funcional oficial, indicando desde qué fecha la persona señalada está asignada al área correspondiente. 9. Detalle cualquier movimiento administrativo, reasignación, encargo temporal o modificación en su estatus laboral desde su ingreso al Ayuntamiento. 10. Declare si existe algún mecanismo de supervisión sobre las funciones que esta persona realiza, y si se han registrado observaciones, reportes o quejas internas sobre su desempeño o conducta. 11. Se pronuncie expresamente sobre la legalidad de las funciones que actualmente ejerce, indicando si están autorizadas por el Ayuntamiento o si constituyen una actuación irregular que debe ser corregida de inmediato. Esta solicitud se fundamenta en el Artículo 91 de la Ley Orgánica Municipal del Estado de México, que faculta al Secretario del Ayuntamiento para expedir constancias, certificaciones y documentos oficiales que den fe pública de los actos del gobierno municipal. Su intervención es indispensable para garantizar certeza jurídica, evitar simulaciones administrativas y deslindar responsabilidades conforme a derecho. Por todo lo expuesto, queda plenamente acreditado que la respuesta emitida por el sujeto obligado no cumple con los principios de legalidad, veracidad y exhaustividad. La actuación de la persona señalada quien ostenta el cargo de auxiliar administrativo constituye una posible usurpación de funciones, al ejercer atribuciones que no le corresponden, sin nombramiento formal, sin perfil técnico y sin respaldo legal. Esta conducta no puede ser normalizada ni tolerada dentro de una administración pública que se presume legítima. La legalidad no se negocia, se cumple. La dignidad administrativa no se improvisa, se acredita. Por ello, este recurso exige no solo respuestas, sino acciones concretas, consecuencias administrativas y correcciones inmediatas. Confío en que el Secretario del Ayuntamiento actuará con la seriedad, el compromiso y la rectitud que exige su cargo. Porque cuando la legalidad se defiende desde adentro, la dignidad pública se restaura desde la raíz. En consecuencia, y con fundamento en los artículos previamente citados, solicito que este recurso de revisión sea admitido, analizado y resuelto conforme a derecho, requiriendo al sujeto obligado una nueva respuesta que atienda cada punto con respaldo documental oficial, firmada por la autoridad competente, y que garantice el acceso pleno, veraz y legal a la información pública solicitada. Quedo al pendiente de la pronta respuesta, en los términos que marca la ley..” (sic)</w:t>
      </w:r>
    </w:p>
    <w:p w:rsidR="00000000" w:rsidDel="00000000" w:rsidP="00000000" w:rsidRDefault="00000000" w:rsidRPr="00000000" w14:paraId="00000011">
      <w:pPr>
        <w:tabs>
          <w:tab w:val="left" w:leader="none" w:pos="2745"/>
        </w:tabs>
        <w:spacing w:after="240" w:before="240" w:lineRule="auto"/>
        <w:ind w:left="851" w:right="900" w:firstLine="0"/>
        <w:jc w:val="both"/>
        <w:rPr>
          <w:rFonts w:ascii="Palatino Linotype" w:cs="Palatino Linotype" w:eastAsia="Palatino Linotype" w:hAnsi="Palatino Linotype"/>
          <w:i w:val="1"/>
          <w:iCs w:val="1"/>
          <w:sz w:val="22"/>
          <w:szCs w:val="22"/>
        </w:rPr>
      </w:pPr>
      <w:r w:rsidDel="00000000" w:rsidR="00000000" w:rsidRPr="00000000">
        <w:rPr>
          <w:rtl w:val="0"/>
        </w:rPr>
      </w:r>
    </w:p>
    <w:p w:rsidR="00000000" w:rsidDel="00000000" w:rsidP="00000000" w:rsidRDefault="00000000" w:rsidRPr="00000000" w14:paraId="00000012">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4. Turno. </w:t>
      </w:r>
      <w:r w:rsidDel="00000000" w:rsidR="00000000" w:rsidRPr="00000000">
        <w:rPr>
          <w:rFonts w:ascii="Palatino Linotype" w:cs="Palatino Linotype" w:eastAsia="Palatino Linotype" w:hAnsi="Palatino Linotype"/>
          <w:sz w:val="22"/>
          <w:szCs w:val="22"/>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bCs w:val="1"/>
          <w:sz w:val="22"/>
          <w:szCs w:val="22"/>
          <w:rtl w:val="0"/>
        </w:rPr>
        <w:t xml:space="preserve">Guadalupe Ramírez Peña, </w:t>
      </w:r>
      <w:r w:rsidDel="00000000" w:rsidR="00000000" w:rsidRPr="00000000">
        <w:rPr>
          <w:rFonts w:ascii="Palatino Linotype" w:cs="Palatino Linotype" w:eastAsia="Palatino Linotype" w:hAnsi="Palatino Linotype"/>
          <w:sz w:val="22"/>
          <w:szCs w:val="22"/>
          <w:rtl w:val="0"/>
        </w:rPr>
        <w:t xml:space="preserve">a efecto de que analizara sobre su admisión o su desechamiento.</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5. Admisión del Recurso de revisión.</w:t>
      </w:r>
      <w:r w:rsidDel="00000000" w:rsidR="00000000" w:rsidRPr="00000000">
        <w:rPr>
          <w:rFonts w:ascii="Palatino Linotype" w:cs="Palatino Linotype" w:eastAsia="Palatino Linotype" w:hAnsi="Palatino Linotype"/>
          <w:sz w:val="22"/>
          <w:szCs w:val="22"/>
          <w:rtl w:val="0"/>
        </w:rPr>
        <w:t xml:space="preserve"> El</w:t>
      </w:r>
      <w:r w:rsidDel="00000000" w:rsidR="00000000" w:rsidRPr="00000000">
        <w:rPr>
          <w:rFonts w:ascii="Palatino Linotype" w:cs="Palatino Linotype" w:eastAsia="Palatino Linotype" w:hAnsi="Palatino Linotype"/>
          <w:b w:val="1"/>
          <w:bCs w:val="1"/>
          <w:sz w:val="22"/>
          <w:szCs w:val="22"/>
          <w:rtl w:val="0"/>
        </w:rPr>
        <w:t xml:space="preserve"> nueve de septiembre de dos mil veinticinco, </w:t>
      </w:r>
      <w:r w:rsidDel="00000000" w:rsidR="00000000" w:rsidRPr="00000000">
        <w:rPr>
          <w:rFonts w:ascii="Palatino Linotype" w:cs="Palatino Linotype" w:eastAsia="Palatino Linotype" w:hAnsi="Palatino Linotype"/>
          <w:sz w:val="22"/>
          <w:szCs w:val="22"/>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presentara su informe justificado.</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4"/>
        </w:tabs>
        <w:spacing w:line="360" w:lineRule="auto"/>
        <w:ind w:right="49"/>
        <w:jc w:val="both"/>
        <w:rPr>
          <w:rFonts w:ascii="Palatino Linotype" w:cs="Palatino Linotype" w:eastAsia="Palatino Linotype" w:hAnsi="Palatino Linotype"/>
        </w:rPr>
      </w:pPr>
      <w:bookmarkStart w:colFirst="0" w:colLast="0" w:name="_heading=h.2s8eyo1" w:id="5"/>
      <w:bookmarkEnd w:id="5"/>
      <w:r w:rsidDel="00000000" w:rsidR="00000000" w:rsidRPr="00000000">
        <w:rPr>
          <w:rFonts w:ascii="Palatino Linotype" w:cs="Palatino Linotype" w:eastAsia="Palatino Linotype" w:hAnsi="Palatino Linotype"/>
          <w:b w:val="1"/>
          <w:bCs w:val="1"/>
          <w:sz w:val="22"/>
          <w:szCs w:val="22"/>
          <w:rtl w:val="0"/>
        </w:rPr>
        <w:t xml:space="preserve">6. Manifestaciones</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rtl w:val="0"/>
        </w:rPr>
        <w:t xml:space="preserve">De las constancias que integran el expediente en que se actúa, se advierte que el </w:t>
      </w:r>
      <w:r w:rsidDel="00000000" w:rsidR="00000000" w:rsidRPr="00000000">
        <w:rPr>
          <w:rFonts w:ascii="Palatino Linotype" w:cs="Palatino Linotype" w:eastAsia="Palatino Linotype" w:hAnsi="Palatino Linotype"/>
          <w:b w:val="1"/>
          <w:bCs w:val="1"/>
          <w:rtl w:val="0"/>
        </w:rPr>
        <w:t xml:space="preserve">Sujeto Obligado </w:t>
      </w:r>
      <w:r w:rsidDel="00000000" w:rsidR="00000000" w:rsidRPr="00000000">
        <w:rPr>
          <w:rFonts w:ascii="Palatino Linotype" w:cs="Palatino Linotype" w:eastAsia="Palatino Linotype" w:hAnsi="Palatino Linotype"/>
          <w:rtl w:val="0"/>
        </w:rPr>
        <w:t xml:space="preserve">omitió rendir informe justificado para manifestar lo que a su derecho asistiera y conviniera. </w:t>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otro lado,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presentó el escrito de fecha doce de octubre de dos mil veinticinco, por medio del cual manifestó: </w:t>
      </w:r>
    </w:p>
    <w:p w:rsidR="00000000" w:rsidDel="00000000" w:rsidP="00000000" w:rsidRDefault="00000000" w:rsidRPr="00000000" w14:paraId="00000016">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17">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A quien corresponda: </w:t>
      </w:r>
    </w:p>
    <w:p w:rsidR="00000000" w:rsidDel="00000000" w:rsidP="00000000" w:rsidRDefault="00000000" w:rsidRPr="00000000" w14:paraId="00000018">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La suscrita, en ejercicio del derecho ciudadano a la vigilancia institucional, y con fundamento en los principios de transparencia, rendición de cuentas y legalidad que rigen el servicio público, manifiesta lo siguiente: </w:t>
      </w:r>
    </w:p>
    <w:p w:rsidR="00000000" w:rsidDel="00000000" w:rsidP="00000000" w:rsidRDefault="00000000" w:rsidRPr="00000000" w14:paraId="00000019">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Que con base en observación directa y en conversaciones sostenidas con la funcionaria que actualmente ocupa el cargo de Secretaria del área, he constatado que dicha persona se ha presentado públicamente como encargada de Comunicación Social y Gobierno Digital, sin que hasta la fecha se haya hecho pública documentación oficial que respalde dicha designación. </w:t>
      </w:r>
    </w:p>
    <w:p w:rsidR="00000000" w:rsidDel="00000000" w:rsidP="00000000" w:rsidRDefault="00000000" w:rsidRPr="00000000" w14:paraId="0000001A">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Esta manifestación se realiza sin contar con evidencia documental formal, pero con base en hechos reiterados y verificables en el ámbito institucional. Por lo anterior, y en congruencia con el derecho ciudadano a solicitar información pública y exigir claridad en los procesos administrativos, se solicita que toda aclaración sea respaldada exclusivamente por documentos oficiales firmados por Presidencia, Recursos Humanos o la Secretaría del Ayuntamiento. </w:t>
      </w:r>
    </w:p>
    <w:p w:rsidR="00000000" w:rsidDel="00000000" w:rsidP="00000000" w:rsidRDefault="00000000" w:rsidRPr="00000000" w14:paraId="0000001B">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Asimismo, se hace constar que no se aceptarán respuestas verbales, genéricas o sin sustento documental, toda vez que el objetivo de esta manifestación es contribuir a la transparencia y al fortalecimiento de la función pública.</w:t>
      </w:r>
    </w:p>
    <w:p w:rsidR="00000000" w:rsidDel="00000000" w:rsidP="00000000" w:rsidRDefault="00000000" w:rsidRPr="00000000" w14:paraId="0000001C">
      <w:pPr>
        <w:spacing w:after="240" w:before="24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7.</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bCs w:val="1"/>
          <w:sz w:val="22"/>
          <w:szCs w:val="22"/>
          <w:rtl w:val="0"/>
        </w:rPr>
        <w:t xml:space="preserve">Cierre de instrucción. </w:t>
      </w:r>
      <w:r w:rsidDel="00000000" w:rsidR="00000000" w:rsidRPr="00000000">
        <w:rPr>
          <w:rFonts w:ascii="Palatino Linotype" w:cs="Palatino Linotype" w:eastAsia="Palatino Linotype" w:hAnsi="Palatino Linotype"/>
          <w:sz w:val="22"/>
          <w:szCs w:val="22"/>
          <w:rtl w:val="0"/>
        </w:rPr>
        <w:t xml:space="preserve">Una vez transcurrido el periodo otorgado a las partes para realizar sus manifestaciones y no habiendo documentos que integrar al expediente, el </w:t>
      </w:r>
      <w:r w:rsidDel="00000000" w:rsidR="00000000" w:rsidRPr="00000000">
        <w:rPr>
          <w:rFonts w:ascii="Palatino Linotype" w:cs="Palatino Linotype" w:eastAsia="Palatino Linotype" w:hAnsi="Palatino Linotype"/>
          <w:b w:val="1"/>
          <w:bCs w:val="1"/>
          <w:sz w:val="22"/>
          <w:szCs w:val="22"/>
          <w:rtl w:val="0"/>
        </w:rPr>
        <w:t xml:space="preserve">veinticinco de marzo de dos mil veintiséis</w:t>
      </w:r>
      <w:r w:rsidDel="00000000" w:rsidR="00000000" w:rsidRPr="00000000">
        <w:rPr>
          <w:rFonts w:ascii="Palatino Linotype" w:cs="Palatino Linotype" w:eastAsia="Palatino Linotype" w:hAnsi="Palatino Linotype"/>
          <w:sz w:val="22"/>
          <w:szCs w:val="22"/>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1E">
      <w:pPr>
        <w:widowControl w:val="0"/>
        <w:spacing w:after="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8. Ampliación del término para resolver</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bCs w:val="1"/>
          <w:sz w:val="22"/>
          <w:szCs w:val="22"/>
          <w:rtl w:val="0"/>
        </w:rPr>
        <w:t xml:space="preserve">veinticinco de marzo del año dos mil veintiséis</w:t>
      </w:r>
      <w:r w:rsidDel="00000000" w:rsidR="00000000" w:rsidRPr="00000000">
        <w:rPr>
          <w:rFonts w:ascii="Palatino Linotype" w:cs="Palatino Linotype" w:eastAsia="Palatino Linotype" w:hAnsi="Palatino Linotype"/>
          <w:sz w:val="22"/>
          <w:szCs w:val="22"/>
          <w:rtl w:val="0"/>
        </w:rPr>
        <w:t xml:space="preserve">, con fundamento en el artículo 181, párrafo tercero de la Ley de Transparencia y Acceso a la Información Pública del Estado de México y Municipios, se acordó la ampliación del plazo para su resolución.</w:t>
      </w:r>
    </w:p>
    <w:p w:rsidR="00000000" w:rsidDel="00000000" w:rsidP="00000000" w:rsidRDefault="00000000" w:rsidRPr="00000000" w14:paraId="0000001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2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2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2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7">
      <w:pPr>
        <w:spacing w:line="360" w:lineRule="auto"/>
        <w:jc w:val="both"/>
        <w:rPr>
          <w:rFonts w:ascii="Palatino Linotype" w:cs="Palatino Linotype" w:eastAsia="Palatino Linotype" w:hAnsi="Palatino Linotype"/>
          <w:strike w:val="1"/>
          <w:sz w:val="22"/>
          <w:szCs w:val="22"/>
        </w:rPr>
      </w:pPr>
      <w:r w:rsidDel="00000000" w:rsidR="00000000" w:rsidRPr="00000000">
        <w:rPr>
          <w:rFonts w:ascii="Palatino Linotype" w:cs="Palatino Linotype" w:eastAsia="Palatino Linotype" w:hAnsi="Palatino Linotype"/>
          <w:sz w:val="22"/>
          <w:szCs w:val="22"/>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2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9">
      <w:pPr>
        <w:numPr>
          <w:ilvl w:val="0"/>
          <w:numId w:val="1"/>
        </w:numPr>
        <w:spacing w:line="360" w:lineRule="auto"/>
        <w:ind w:left="567" w:right="900" w:hanging="14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Complejidad del Asunto:</w:t>
      </w:r>
      <w:r w:rsidDel="00000000" w:rsidR="00000000" w:rsidRPr="00000000">
        <w:rPr>
          <w:rFonts w:ascii="Palatino Linotype" w:cs="Palatino Linotype" w:eastAsia="Palatino Linotype" w:hAnsi="Palatino Linotype"/>
          <w:sz w:val="22"/>
          <w:szCs w:val="22"/>
          <w:rtl w:val="0"/>
        </w:rPr>
        <w:t xml:space="preserve"> La complejidad de la prueba, la pluralidad de sujetos procesales, el tiempo transcurrido, las características y contexto del recurso. </w:t>
      </w:r>
    </w:p>
    <w:p w:rsidR="00000000" w:rsidDel="00000000" w:rsidP="00000000" w:rsidRDefault="00000000" w:rsidRPr="00000000" w14:paraId="0000002A">
      <w:pPr>
        <w:spacing w:line="360" w:lineRule="auto"/>
        <w:ind w:left="567" w:right="900" w:hanging="141"/>
        <w:jc w:val="both"/>
        <w:rPr>
          <w:rFonts w:ascii="Palatino Linotype" w:cs="Palatino Linotype" w:eastAsia="Palatino Linotype" w:hAnsi="Palatino Linotype"/>
          <w:b w:val="1"/>
          <w:bCs w:val="1"/>
          <w:sz w:val="22"/>
          <w:szCs w:val="22"/>
        </w:rPr>
      </w:pPr>
      <w:r w:rsidDel="00000000" w:rsidR="00000000" w:rsidRPr="00000000">
        <w:rPr>
          <w:rtl w:val="0"/>
        </w:rPr>
      </w:r>
    </w:p>
    <w:p w:rsidR="00000000" w:rsidDel="00000000" w:rsidP="00000000" w:rsidRDefault="00000000" w:rsidRPr="00000000" w14:paraId="0000002B">
      <w:pPr>
        <w:numPr>
          <w:ilvl w:val="0"/>
          <w:numId w:val="1"/>
        </w:numPr>
        <w:spacing w:line="360" w:lineRule="auto"/>
        <w:ind w:left="567" w:right="900" w:hanging="14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Actividad Procesal del interesado.</w:t>
      </w:r>
      <w:r w:rsidDel="00000000" w:rsidR="00000000" w:rsidRPr="00000000">
        <w:rPr>
          <w:rFonts w:ascii="Palatino Linotype" w:cs="Palatino Linotype" w:eastAsia="Palatino Linotype" w:hAnsi="Palatino Linotype"/>
          <w:sz w:val="22"/>
          <w:szCs w:val="22"/>
          <w:rtl w:val="0"/>
        </w:rPr>
        <w:t xml:space="preserve"> Acciones u omisiones del interesado.</w:t>
      </w:r>
    </w:p>
    <w:p w:rsidR="00000000" w:rsidDel="00000000" w:rsidP="00000000" w:rsidRDefault="00000000" w:rsidRPr="00000000" w14:paraId="0000002C">
      <w:pPr>
        <w:spacing w:line="360" w:lineRule="auto"/>
        <w:ind w:left="567" w:right="900" w:hanging="14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D">
      <w:pPr>
        <w:numPr>
          <w:ilvl w:val="0"/>
          <w:numId w:val="1"/>
        </w:numPr>
        <w:spacing w:line="360" w:lineRule="auto"/>
        <w:ind w:left="567" w:right="900" w:hanging="14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Conducta de la Autoridad:</w:t>
      </w:r>
      <w:r w:rsidDel="00000000" w:rsidR="00000000" w:rsidRPr="00000000">
        <w:rPr>
          <w:rFonts w:ascii="Palatino Linotype" w:cs="Palatino Linotype" w:eastAsia="Palatino Linotype" w:hAnsi="Palatino Linotype"/>
          <w:sz w:val="22"/>
          <w:szCs w:val="22"/>
          <w:rtl w:val="0"/>
        </w:rPr>
        <w:t xml:space="preserve"> Las Acciones u omisiones realizadas en el procedimiento. Así como si la autoridad actuó con la debida diligencia.</w:t>
      </w:r>
    </w:p>
    <w:p w:rsidR="00000000" w:rsidDel="00000000" w:rsidP="00000000" w:rsidRDefault="00000000" w:rsidRPr="00000000" w14:paraId="0000002E">
      <w:pPr>
        <w:spacing w:line="360" w:lineRule="auto"/>
        <w:ind w:left="567" w:right="900" w:hanging="141"/>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F">
      <w:pPr>
        <w:spacing w:line="360" w:lineRule="auto"/>
        <w:ind w:left="567" w:right="900" w:hanging="14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d) La afectación generada en la situación jurídica de la persona involucrada en el proceso</w:t>
      </w:r>
      <w:r w:rsidDel="00000000" w:rsidR="00000000" w:rsidRPr="00000000">
        <w:rPr>
          <w:rFonts w:ascii="Palatino Linotype" w:cs="Palatino Linotype" w:eastAsia="Palatino Linotype" w:hAnsi="Palatino Linotype"/>
          <w:sz w:val="22"/>
          <w:szCs w:val="22"/>
          <w:rtl w:val="0"/>
        </w:rPr>
        <w:t xml:space="preserve">: Violación a sus derechos humanos.</w:t>
      </w:r>
    </w:p>
    <w:p w:rsidR="00000000" w:rsidDel="00000000" w:rsidP="00000000" w:rsidRDefault="00000000" w:rsidRPr="00000000" w14:paraId="0000003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3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3">
      <w:pPr>
        <w:spacing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sz w:val="22"/>
          <w:szCs w:val="22"/>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iCs w:val="1"/>
          <w:sz w:val="22"/>
          <w:szCs w:val="22"/>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sz w:val="22"/>
          <w:szCs w:val="22"/>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3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3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iCs w:val="1"/>
          <w:sz w:val="22"/>
          <w:szCs w:val="22"/>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sz w:val="22"/>
          <w:szCs w:val="22"/>
          <w:rtl w:val="0"/>
        </w:rPr>
        <w:t xml:space="preserve"> consultable en el Seminario Judicial de la Federación y su gaceta, con el registro digital 2002351.</w:t>
      </w:r>
    </w:p>
    <w:p w:rsidR="00000000" w:rsidDel="00000000" w:rsidP="00000000" w:rsidRDefault="00000000" w:rsidRPr="00000000" w14:paraId="0000003A">
      <w:pPr>
        <w:spacing w:line="360" w:lineRule="auto"/>
        <w:jc w:val="both"/>
        <w:rPr>
          <w:rFonts w:ascii="Palatino Linotype" w:cs="Palatino Linotype" w:eastAsia="Palatino Linotype" w:hAnsi="Palatino Linotype"/>
          <w:b w:val="1"/>
          <w:bCs w:val="1"/>
          <w:sz w:val="22"/>
          <w:szCs w:val="22"/>
        </w:rPr>
      </w:pPr>
      <w:r w:rsidDel="00000000" w:rsidR="00000000" w:rsidRPr="00000000">
        <w:rPr>
          <w:rtl w:val="0"/>
        </w:rPr>
      </w:r>
    </w:p>
    <w:p w:rsidR="00000000" w:rsidDel="00000000" w:rsidP="00000000" w:rsidRDefault="00000000" w:rsidRPr="00000000" w14:paraId="0000003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iCs w:val="1"/>
          <w:sz w:val="22"/>
          <w:szCs w:val="22"/>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sz w:val="22"/>
          <w:szCs w:val="22"/>
          <w:rtl w:val="0"/>
        </w:rPr>
        <w:t xml:space="preserve">, visible en el Seminario Judicial de la Federación y su gaceta, con el registro digital 2002350.</w:t>
      </w:r>
    </w:p>
    <w:p w:rsidR="00000000" w:rsidDel="00000000" w:rsidP="00000000" w:rsidRDefault="00000000" w:rsidRPr="00000000" w14:paraId="0000003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ello, este organismo garante comprometido con la tutela de los derechos humanos confiados, señala que este exceso de plazo legal para resolver el presente asunto, resulta de carácter excepcional.</w:t>
      </w:r>
    </w:p>
    <w:p w:rsidR="00000000" w:rsidDel="00000000" w:rsidP="00000000" w:rsidRDefault="00000000" w:rsidRPr="00000000" w14:paraId="0000003E">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3F">
      <w:pPr>
        <w:spacing w:after="240" w:before="24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0">
      <w:pPr>
        <w:widowControl w:val="0"/>
        <w:spacing w:after="240" w:before="240" w:line="360" w:lineRule="auto"/>
        <w:jc w:val="cente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II. C O N S I D E R A N D O S</w:t>
      </w:r>
    </w:p>
    <w:p w:rsidR="00000000" w:rsidDel="00000000" w:rsidP="00000000" w:rsidRDefault="00000000" w:rsidRPr="00000000" w14:paraId="00000041">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Primero. Competencia.</w:t>
      </w:r>
      <w:r w:rsidDel="00000000" w:rsidR="00000000" w:rsidRPr="00000000">
        <w:rPr>
          <w:rFonts w:ascii="Palatino Linotype" w:cs="Palatino Linotype" w:eastAsia="Palatino Linotype" w:hAnsi="Palatino Linotype"/>
          <w:sz w:val="22"/>
          <w:szCs w:val="22"/>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42">
      <w:pPr>
        <w:spacing w:line="360" w:lineRule="auto"/>
        <w:jc w:val="both"/>
        <w:rPr>
          <w:rFonts w:ascii="Palatino Linotype" w:cs="Palatino Linotype" w:eastAsia="Palatino Linotype" w:hAnsi="Palatino Linotype"/>
          <w:sz w:val="22"/>
          <w:szCs w:val="22"/>
        </w:rPr>
      </w:pPr>
      <w:bookmarkStart w:colFirst="0" w:colLast="0" w:name="_heading=h.3znysh7" w:id="6"/>
      <w:bookmarkEnd w:id="6"/>
      <w:r w:rsidDel="00000000" w:rsidR="00000000" w:rsidRPr="00000000">
        <w:rPr>
          <w:rFonts w:ascii="Palatino Linotype" w:cs="Palatino Linotype" w:eastAsia="Palatino Linotype" w:hAnsi="Palatino Linotype"/>
          <w:b w:val="1"/>
          <w:bCs w:val="1"/>
          <w:sz w:val="22"/>
          <w:szCs w:val="22"/>
          <w:rtl w:val="0"/>
        </w:rPr>
        <w:t xml:space="preserve">Segundo. Oportunidad y Procedibilidad. </w:t>
      </w:r>
      <w:r w:rsidDel="00000000" w:rsidR="00000000" w:rsidRPr="00000000">
        <w:rPr>
          <w:rFonts w:ascii="Palatino Linotype" w:cs="Palatino Linotype" w:eastAsia="Palatino Linotype" w:hAnsi="Palatino Linotype"/>
          <w:sz w:val="22"/>
          <w:szCs w:val="22"/>
          <w:rtl w:val="0"/>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4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4">
      <w:pPr>
        <w:spacing w:line="360" w:lineRule="auto"/>
        <w:jc w:val="both"/>
        <w:rPr>
          <w:rFonts w:ascii="Palatino Linotype" w:cs="Palatino Linotype" w:eastAsia="Palatino Linotype" w:hAnsi="Palatino Linotype"/>
          <w:sz w:val="22"/>
          <w:szCs w:val="22"/>
        </w:rPr>
      </w:pPr>
      <w:bookmarkStart w:colFirst="0" w:colLast="0" w:name="_heading=h.xdfynv941t8x" w:id="7"/>
      <w:bookmarkEnd w:id="7"/>
      <w:r w:rsidDel="00000000" w:rsidR="00000000" w:rsidRPr="00000000">
        <w:rPr>
          <w:rFonts w:ascii="Palatino Linotype" w:cs="Palatino Linotype" w:eastAsia="Palatino Linotype" w:hAnsi="Palatino Linotype"/>
          <w:sz w:val="22"/>
          <w:szCs w:val="22"/>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remitió la respuesta a la solicitud de información el </w:t>
      </w:r>
      <w:r w:rsidDel="00000000" w:rsidR="00000000" w:rsidRPr="00000000">
        <w:rPr>
          <w:rFonts w:ascii="Palatino Linotype" w:cs="Palatino Linotype" w:eastAsia="Palatino Linotype" w:hAnsi="Palatino Linotype"/>
          <w:b w:val="1"/>
          <w:bCs w:val="1"/>
          <w:sz w:val="22"/>
          <w:szCs w:val="22"/>
          <w:rtl w:val="0"/>
        </w:rPr>
        <w:t xml:space="preserve">tres de septiembre de dos mil veinticinco, </w:t>
      </w:r>
      <w:r w:rsidDel="00000000" w:rsidR="00000000" w:rsidRPr="00000000">
        <w:rPr>
          <w:rFonts w:ascii="Palatino Linotype" w:cs="Palatino Linotype" w:eastAsia="Palatino Linotype" w:hAnsi="Palatino Linotype"/>
          <w:sz w:val="22"/>
          <w:szCs w:val="22"/>
          <w:rtl w:val="0"/>
        </w:rPr>
        <w:t xml:space="preserve">mientras que el recurso de revisión interpuesto por </w:t>
      </w:r>
      <w:r w:rsidDel="00000000" w:rsidR="00000000" w:rsidRPr="00000000">
        <w:rPr>
          <w:rFonts w:ascii="Palatino Linotype" w:cs="Palatino Linotype" w:eastAsia="Palatino Linotype" w:hAnsi="Palatino Linotype"/>
          <w:b w:val="1"/>
          <w:bCs w:val="1"/>
          <w:sz w:val="22"/>
          <w:szCs w:val="22"/>
          <w:rtl w:val="0"/>
        </w:rPr>
        <w:t xml:space="preserve">la parte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se tuvo por presentado el </w:t>
      </w:r>
      <w:r w:rsidDel="00000000" w:rsidR="00000000" w:rsidRPr="00000000">
        <w:rPr>
          <w:rFonts w:ascii="Palatino Linotype" w:cs="Palatino Linotype" w:eastAsia="Palatino Linotype" w:hAnsi="Palatino Linotype"/>
          <w:b w:val="1"/>
          <w:bCs w:val="1"/>
          <w:sz w:val="22"/>
          <w:szCs w:val="22"/>
          <w:rtl w:val="0"/>
        </w:rPr>
        <w:t xml:space="preserve">cuatro de septiembre de dos mil veinticinco</w:t>
      </w:r>
      <w:r w:rsidDel="00000000" w:rsidR="00000000" w:rsidRPr="00000000">
        <w:rPr>
          <w:rFonts w:ascii="Palatino Linotype" w:cs="Palatino Linotype" w:eastAsia="Palatino Linotype" w:hAnsi="Palatino Linotype"/>
          <w:sz w:val="22"/>
          <w:szCs w:val="22"/>
          <w:rtl w:val="0"/>
        </w:rPr>
        <w:t xml:space="preserve"> esto es, el primer</w:t>
      </w:r>
      <w:r w:rsidDel="00000000" w:rsidR="00000000" w:rsidRPr="00000000">
        <w:rPr>
          <w:rFonts w:ascii="Palatino Linotype" w:cs="Palatino Linotype" w:eastAsia="Palatino Linotype" w:hAnsi="Palatino Linotype"/>
          <w:b w:val="1"/>
          <w:bCs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día hábil siguiente al que </w:t>
      </w:r>
      <w:r w:rsidDel="00000000" w:rsidR="00000000" w:rsidRPr="00000000">
        <w:rPr>
          <w:rFonts w:ascii="Palatino Linotype" w:cs="Palatino Linotype" w:eastAsia="Palatino Linotype" w:hAnsi="Palatino Linotype"/>
          <w:b w:val="1"/>
          <w:bCs w:val="1"/>
          <w:sz w:val="22"/>
          <w:szCs w:val="22"/>
          <w:rtl w:val="0"/>
        </w:rPr>
        <w:t xml:space="preserve">tuvo conocimiento de la respuesta impugnada</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45">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sentido, se concluye que el presente recurso de revisión se encuentra dentro de los márgenes temporales previstos en las disposiciones legales referidas.</w:t>
      </w:r>
    </w:p>
    <w:p w:rsidR="00000000" w:rsidDel="00000000" w:rsidP="00000000" w:rsidRDefault="00000000" w:rsidRPr="00000000" w14:paraId="00000046">
      <w:pPr>
        <w:tabs>
          <w:tab w:val="left" w:leader="none" w:pos="7938"/>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47">
      <w:pPr>
        <w:tabs>
          <w:tab w:val="left" w:leader="none" w:pos="7938"/>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efecto de sustentar lo anterior, es de suma importancia mencionar que si bien la persona solicitante </w:t>
      </w:r>
      <w:r w:rsidDel="00000000" w:rsidR="00000000" w:rsidRPr="00000000">
        <w:rPr>
          <w:rFonts w:ascii="Palatino Linotype" w:cs="Palatino Linotype" w:eastAsia="Palatino Linotype" w:hAnsi="Palatino Linotype"/>
          <w:b w:val="1"/>
          <w:bCs w:val="1"/>
          <w:sz w:val="22"/>
          <w:szCs w:val="22"/>
          <w:rtl w:val="0"/>
        </w:rPr>
        <w:t xml:space="preserve">no proporcionó un nombre completo, </w:t>
      </w:r>
      <w:r w:rsidDel="00000000" w:rsidR="00000000" w:rsidRPr="00000000">
        <w:rPr>
          <w:rFonts w:ascii="Palatino Linotype" w:cs="Palatino Linotype" w:eastAsia="Palatino Linotype" w:hAnsi="Palatino Linotype"/>
          <w:sz w:val="22"/>
          <w:szCs w:val="22"/>
          <w:rtl w:val="0"/>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49">
      <w:pPr>
        <w:ind w:left="851" w:right="902" w:firstLine="0"/>
        <w:jc w:val="both"/>
        <w:rPr>
          <w:rFonts w:ascii="Palatino Linotype" w:cs="Palatino Linotype" w:eastAsia="Palatino Linotype" w:hAnsi="Palatino Linotype"/>
          <w:i w:val="1"/>
          <w:iCs w:val="1"/>
          <w:sz w:val="22"/>
          <w:szCs w:val="22"/>
        </w:rPr>
      </w:pPr>
      <w:r w:rsidDel="00000000" w:rsidR="00000000" w:rsidRPr="00000000">
        <w:rPr>
          <w:rtl w:val="0"/>
        </w:rPr>
      </w:r>
    </w:p>
    <w:p w:rsidR="00000000" w:rsidDel="00000000" w:rsidP="00000000" w:rsidRDefault="00000000" w:rsidRPr="00000000" w14:paraId="0000004A">
      <w:pPr>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Las solicitudes anónimas,</w:t>
      </w:r>
      <w:r w:rsidDel="00000000" w:rsidR="00000000" w:rsidRPr="00000000">
        <w:rPr>
          <w:rFonts w:ascii="Palatino Linotype" w:cs="Palatino Linotype" w:eastAsia="Palatino Linotype" w:hAnsi="Palatino Linotype"/>
          <w:i w:val="1"/>
          <w:iCs w:val="1"/>
          <w:sz w:val="22"/>
          <w:szCs w:val="22"/>
          <w:rtl w:val="0"/>
        </w:rPr>
        <w:t xml:space="preserve"> con nombre incompleto o seudónimo</w:t>
      </w:r>
      <w:r w:rsidDel="00000000" w:rsidR="00000000" w:rsidRPr="00000000">
        <w:rPr>
          <w:rFonts w:ascii="Palatino Linotype" w:cs="Palatino Linotype" w:eastAsia="Palatino Linotype" w:hAnsi="Palatino Linotype"/>
          <w:b w:val="1"/>
          <w:bCs w:val="1"/>
          <w:i w:val="1"/>
          <w:iCs w:val="1"/>
          <w:sz w:val="22"/>
          <w:szCs w:val="22"/>
          <w:rtl w:val="0"/>
        </w:rPr>
        <w:t xml:space="preserve"> serán procedentes para su trámite por parte del sujeto obligado ante quien se presente</w:t>
      </w:r>
      <w:r w:rsidDel="00000000" w:rsidR="00000000" w:rsidRPr="00000000">
        <w:rPr>
          <w:rFonts w:ascii="Palatino Linotype" w:cs="Palatino Linotype" w:eastAsia="Palatino Linotype" w:hAnsi="Palatino Linotype"/>
          <w:i w:val="1"/>
          <w:iCs w:val="1"/>
          <w:sz w:val="22"/>
          <w:szCs w:val="22"/>
          <w:rtl w:val="0"/>
        </w:rPr>
        <w:t xml:space="preserve">. No podrá requerirse información adicional con motivo del nombre proporcionado por el solicitante."</w:t>
      </w:r>
    </w:p>
    <w:p w:rsidR="00000000" w:rsidDel="00000000" w:rsidP="00000000" w:rsidRDefault="00000000" w:rsidRPr="00000000" w14:paraId="0000004B">
      <w:pPr>
        <w:tabs>
          <w:tab w:val="left" w:leader="none" w:pos="7938"/>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C">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Tercero. Análisis de las causales de sobreseimiento. </w:t>
      </w:r>
      <w:r w:rsidDel="00000000" w:rsidR="00000000" w:rsidRPr="00000000">
        <w:rPr>
          <w:rFonts w:ascii="Palatino Linotype" w:cs="Palatino Linotype" w:eastAsia="Palatino Linotype" w:hAnsi="Palatino Linotype"/>
          <w:sz w:val="22"/>
          <w:szCs w:val="22"/>
          <w:rtl w:val="0"/>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Palatino Linotype" w:cs="Palatino Linotype" w:eastAsia="Palatino Linotype" w:hAnsi="Palatino Linotyp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000000" w:rsidDel="00000000" w:rsidP="00000000" w:rsidRDefault="00000000" w:rsidRPr="00000000" w14:paraId="0000004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0">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manera preliminar en el caso concreto conviene analizar si se actualiza alguna de las causales de sobreseimiento del recurso de revisión.</w:t>
      </w:r>
    </w:p>
    <w:p w:rsidR="00000000" w:rsidDel="00000000" w:rsidP="00000000" w:rsidRDefault="00000000" w:rsidRPr="00000000" w14:paraId="00000051">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2">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Del análisis la solicitud de información, se advierte que la persona solicitante requirió del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medularmente lo siguiente:</w:t>
      </w:r>
    </w:p>
    <w:p w:rsidR="00000000" w:rsidDel="00000000" w:rsidP="00000000" w:rsidRDefault="00000000" w:rsidRPr="00000000" w14:paraId="00000053">
      <w:pPr>
        <w:spacing w:after="120" w:before="120" w:line="276" w:lineRule="auto"/>
        <w:ind w:left="851" w:right="616"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“Solicito se informe por qué la Secretaria del área se presenta como encargada de Comunicación Social, quién autorizó dicha designación, bajo qué criterios, y si existe documento oficial que la respalde. También pido se aclare si tiene facultades para tomar decisiones sobre eventos, conferencias de prensa u otras actividades del área. Se requiere información sobre su perfil profesional, el oficio de baja del anterior encargado, así como el sueldo, horarios registrados en el checador y cumplimiento de jornada laboral de la Secretaria, ya que frecuentemente no se le encuentra en oficina. Toda aclaración debe estar respaldada por documento firmado por Presidencia, Recursos Humanos o la Secretaría del Ayuntamiento.” (Sic)</w:t>
      </w:r>
    </w:p>
    <w:p w:rsidR="00000000" w:rsidDel="00000000" w:rsidP="00000000" w:rsidRDefault="00000000" w:rsidRPr="00000000" w14:paraId="0000005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Como se puede observar en los antecedentes de la presente resolución,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en respuesta a la solicitud de información informó que no hay documento oficial donde la auxiliar administrativa de la Coordinación de Comunicación Social se presente como  “encargada de Comunicación Social”, siendo que no existe ninguna designación previamente mencionada. </w:t>
      </w:r>
    </w:p>
    <w:p w:rsidR="00000000" w:rsidDel="00000000" w:rsidP="00000000" w:rsidRDefault="00000000" w:rsidRPr="00000000" w14:paraId="0000005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otra parte, las decisiones sobre los eventos, conferencias de prensa u otras actividades del área son tomadas en el carácter de encargada, responden a las solicitudes que las diferentes dependencias realizan, o bien, son órdenes directas del Ejecutivo Municipal, por tanto, las decisiones que se toman en la coordinación no dependen de ningún auxiliar administrativo.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Respecto al perfil profesional, adjuntó el curriculum vitae público acompañado de su cédula profesional; así como, el oficio de baja del anterior encargado y finalmente su recibo de nómina, así como el reporte de los horarios registrados en el checador. </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conocida la respuesta,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manifestó como razones o motivos de inconformidad medularmente lo siguiente: </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b w:val="1"/>
          <w:bCs w:val="1"/>
          <w:i w:val="1"/>
          <w:iCs w:val="1"/>
          <w:sz w:val="22"/>
          <w:szCs w:val="22"/>
          <w:u w:val="single"/>
        </w:rPr>
      </w:pPr>
      <w:r w:rsidDel="00000000" w:rsidR="00000000" w:rsidRPr="00000000">
        <w:rPr>
          <w:rFonts w:ascii="Palatino Linotype" w:cs="Palatino Linotype" w:eastAsia="Palatino Linotype" w:hAnsi="Palatino Linotype"/>
          <w:b w:val="1"/>
          <w:bCs w:val="1"/>
          <w:i w:val="1"/>
          <w:iCs w:val="1"/>
          <w:sz w:val="22"/>
          <w:szCs w:val="22"/>
          <w:u w:val="single"/>
          <w:rtl w:val="0"/>
        </w:rPr>
        <w:t xml:space="preserve">“...no se entregó ningún documento firmado por autoridad competente.</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El perfil profesional fue incluido de manera superficial, sin respaldo documental que acredite experiencia...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tenor, es posible determinar que para el caso que nos ocupa, los argumentos formulados como motivos o razones de inconformidad además de dudar de la veracidad de la información que el Sujeto Obligado puso a disposición de la parte Recurrente.</w:t>
      </w:r>
    </w:p>
    <w:p w:rsidR="00000000" w:rsidDel="00000000" w:rsidP="00000000" w:rsidRDefault="00000000" w:rsidRPr="00000000" w14:paraId="0000005C">
      <w:pPr>
        <w:spacing w:line="360" w:lineRule="auto"/>
        <w:ind w:right="96"/>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D">
      <w:pPr>
        <w:spacing w:line="360" w:lineRule="auto"/>
        <w:ind w:right="96"/>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 del artículo 191 del ordenamiento legal en cita, los que se transcriben a continuación, para un mejor entendimiento:</w:t>
      </w:r>
    </w:p>
    <w:p w:rsidR="00000000" w:rsidDel="00000000" w:rsidP="00000000" w:rsidRDefault="00000000" w:rsidRPr="00000000" w14:paraId="0000005E">
      <w:pPr>
        <w:spacing w:line="360" w:lineRule="auto"/>
        <w:ind w:right="96"/>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F">
      <w:pPr>
        <w:tabs>
          <w:tab w:val="left" w:leader="none" w:pos="7938"/>
        </w:tabs>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Artículo 191</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El recurso</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será </w:t>
      </w:r>
      <w:r w:rsidDel="00000000" w:rsidR="00000000" w:rsidRPr="00000000">
        <w:rPr>
          <w:rFonts w:ascii="Palatino Linotype" w:cs="Palatino Linotype" w:eastAsia="Palatino Linotype" w:hAnsi="Palatino Linotype"/>
          <w:i w:val="1"/>
          <w:iCs w:val="1"/>
          <w:sz w:val="22"/>
          <w:szCs w:val="22"/>
          <w:rtl w:val="0"/>
        </w:rPr>
        <w:t xml:space="preserve">desechado por </w:t>
      </w:r>
      <w:r w:rsidDel="00000000" w:rsidR="00000000" w:rsidRPr="00000000">
        <w:rPr>
          <w:rFonts w:ascii="Palatino Linotype" w:cs="Palatino Linotype" w:eastAsia="Palatino Linotype" w:hAnsi="Palatino Linotype"/>
          <w:b w:val="1"/>
          <w:bCs w:val="1"/>
          <w:i w:val="1"/>
          <w:iCs w:val="1"/>
          <w:sz w:val="22"/>
          <w:szCs w:val="22"/>
          <w:rtl w:val="0"/>
        </w:rPr>
        <w:t xml:space="preserve">improcedente cuando</w:t>
      </w: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60">
      <w:pPr>
        <w:tabs>
          <w:tab w:val="left" w:leader="none" w:pos="7938"/>
        </w:tabs>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61">
      <w:pPr>
        <w:tabs>
          <w:tab w:val="left" w:leader="none" w:pos="7938"/>
        </w:tabs>
        <w:spacing w:line="276" w:lineRule="auto"/>
        <w:ind w:left="567" w:right="902" w:firstLine="0"/>
        <w:jc w:val="both"/>
        <w:rPr>
          <w:rFonts w:ascii="Palatino Linotype" w:cs="Palatino Linotype" w:eastAsia="Palatino Linotype" w:hAnsi="Palatino Linotype"/>
          <w:b w:val="1"/>
          <w:bCs w:val="1"/>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V</w:t>
      </w: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Fonts w:ascii="Palatino Linotype" w:cs="Palatino Linotype" w:eastAsia="Palatino Linotype" w:hAnsi="Palatino Linotype"/>
          <w:i w:val="1"/>
          <w:iCs w:val="1"/>
          <w:sz w:val="22"/>
          <w:szCs w:val="22"/>
          <w:rtl w:val="0"/>
        </w:rPr>
        <w:t xml:space="preserve"> Se impugne la veracidad de la información proporcionada;</w:t>
      </w:r>
      <w:r w:rsidDel="00000000" w:rsidR="00000000" w:rsidRPr="00000000">
        <w:rPr>
          <w:rFonts w:ascii="Palatino Linotype" w:cs="Palatino Linotype" w:eastAsia="Palatino Linotype" w:hAnsi="Palatino Linotype"/>
          <w:b w:val="1"/>
          <w:bCs w:val="1"/>
          <w:i w:val="1"/>
          <w:iCs w:val="1"/>
          <w:sz w:val="22"/>
          <w:szCs w:val="22"/>
          <w:rtl w:val="0"/>
        </w:rPr>
        <w:t xml:space="preserve"> </w:t>
      </w:r>
    </w:p>
    <w:p w:rsidR="00000000" w:rsidDel="00000000" w:rsidP="00000000" w:rsidRDefault="00000000" w:rsidRPr="00000000" w14:paraId="00000062">
      <w:pPr>
        <w:tabs>
          <w:tab w:val="left" w:leader="none" w:pos="7938"/>
        </w:tabs>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63">
      <w:pPr>
        <w:tabs>
          <w:tab w:val="left" w:leader="none" w:pos="7938"/>
        </w:tabs>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tl w:val="0"/>
        </w:rPr>
      </w:r>
    </w:p>
    <w:p w:rsidR="00000000" w:rsidDel="00000000" w:rsidP="00000000" w:rsidRDefault="00000000" w:rsidRPr="00000000" w14:paraId="00000064">
      <w:pPr>
        <w:tabs>
          <w:tab w:val="left" w:leader="none" w:pos="7938"/>
        </w:tabs>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Artículo 192.</w:t>
      </w:r>
      <w:r w:rsidDel="00000000" w:rsidR="00000000" w:rsidRPr="00000000">
        <w:rPr>
          <w:rFonts w:ascii="Palatino Linotype" w:cs="Palatino Linotype" w:eastAsia="Palatino Linotype" w:hAnsi="Palatino Linotype"/>
          <w:i w:val="1"/>
          <w:iCs w:val="1"/>
          <w:sz w:val="22"/>
          <w:szCs w:val="22"/>
          <w:rtl w:val="0"/>
        </w:rPr>
        <w:t xml:space="preserve"> El recurso será sobreseído, en todo o en parte, cuando una vez admitido, se actualicen alguno de los siguientes supuestos:</w:t>
      </w:r>
    </w:p>
    <w:p w:rsidR="00000000" w:rsidDel="00000000" w:rsidP="00000000" w:rsidRDefault="00000000" w:rsidRPr="00000000" w14:paraId="00000065">
      <w:pPr>
        <w:tabs>
          <w:tab w:val="left" w:leader="none" w:pos="7938"/>
        </w:tabs>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938"/>
        </w:tabs>
        <w:spacing w:after="0" w:before="0" w:line="276" w:lineRule="auto"/>
        <w:ind w:left="1077" w:right="902" w:hanging="360"/>
        <w:jc w:val="both"/>
        <w:rPr>
          <w:rFonts w:ascii="Palatino Linotype" w:cs="Palatino Linotype" w:eastAsia="Palatino Linotype" w:hAnsi="Palatino Linotype"/>
          <w:b w:val="0"/>
          <w:bCs w:val="0"/>
          <w:i w:val="1"/>
          <w:iCs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4"/>
          <w:szCs w:val="24"/>
          <w:u w:val="none"/>
          <w:shd w:fill="auto" w:val="clear"/>
          <w:vertAlign w:val="baseline"/>
          <w:rtl w:val="0"/>
        </w:rPr>
        <w:t xml:space="preserve">Admitido el recurso de revisión, </w:t>
      </w:r>
      <w:r w:rsidDel="00000000" w:rsidR="00000000" w:rsidRPr="00000000">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tl w:val="0"/>
        </w:rPr>
        <w:t xml:space="preserve">aparezca alguna causal de improcedencia</w:t>
      </w:r>
      <w:r w:rsidDel="00000000" w:rsidR="00000000" w:rsidRPr="00000000">
        <w:rPr>
          <w:rFonts w:ascii="Palatino Linotype" w:cs="Palatino Linotype" w:eastAsia="Palatino Linotype" w:hAnsi="Palatino Linotype"/>
          <w:b w:val="0"/>
          <w:bCs w:val="0"/>
          <w:i w:val="1"/>
          <w:iCs w:val="1"/>
          <w:smallCaps w:val="0"/>
          <w:strike w:val="0"/>
          <w:color w:val="000000"/>
          <w:sz w:val="24"/>
          <w:szCs w:val="24"/>
          <w:u w:val="none"/>
          <w:shd w:fill="auto" w:val="clear"/>
          <w:vertAlign w:val="baseline"/>
          <w:rtl w:val="0"/>
        </w:rPr>
        <w:t xml:space="preserve"> en los términos de la presente Ley. “</w:t>
      </w:r>
    </w:p>
    <w:p w:rsidR="00000000" w:rsidDel="00000000" w:rsidP="00000000" w:rsidRDefault="00000000" w:rsidRPr="00000000" w14:paraId="00000067">
      <w:pPr>
        <w:tabs>
          <w:tab w:val="left" w:leader="none" w:pos="360"/>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lo expuesto y, toda vez que este organismo Garante carece de facultades para dudar de la veracidad en relación a la información proporcionada, en consecuencia, los requerimientos de la hoy parte Recurrente, se tienen por atendidos. </w:t>
      </w:r>
    </w:p>
    <w:p w:rsidR="00000000" w:rsidDel="00000000" w:rsidP="00000000" w:rsidRDefault="00000000" w:rsidRPr="00000000" w14:paraId="00000068">
      <w:pPr>
        <w:tabs>
          <w:tab w:val="left" w:leader="none" w:pos="360"/>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9">
      <w:pPr>
        <w:spacing w:line="360" w:lineRule="auto"/>
        <w:jc w:val="both"/>
        <w:rPr>
          <w:rFonts w:ascii="Palatino Linotype" w:cs="Palatino Linotype" w:eastAsia="Palatino Linotype" w:hAnsi="Palatino Linotype"/>
          <w:sz w:val="22"/>
          <w:szCs w:val="22"/>
        </w:rPr>
      </w:pPr>
      <w:bookmarkStart w:colFirst="0" w:colLast="0" w:name="_heading=h.7lrj7js2vrl5" w:id="8"/>
      <w:bookmarkEnd w:id="8"/>
      <w:r w:rsidDel="00000000" w:rsidR="00000000" w:rsidRPr="00000000">
        <w:rPr>
          <w:rFonts w:ascii="Palatino Linotype" w:cs="Palatino Linotype" w:eastAsia="Palatino Linotype" w:hAnsi="Palatino Linotype"/>
          <w:sz w:val="22"/>
          <w:szCs w:val="22"/>
          <w:rtl w:val="0"/>
        </w:rPr>
        <w:t xml:space="preserve">Asimismo, se destaca que el Sujeto Obligado sólo puede proporcionar la información que obra en sus archivos, lo que a </w:t>
      </w:r>
      <w:r w:rsidDel="00000000" w:rsidR="00000000" w:rsidRPr="00000000">
        <w:rPr>
          <w:rFonts w:ascii="Palatino Linotype" w:cs="Palatino Linotype" w:eastAsia="Palatino Linotype" w:hAnsi="Palatino Linotype"/>
          <w:i w:val="1"/>
          <w:iCs w:val="1"/>
          <w:sz w:val="22"/>
          <w:szCs w:val="22"/>
          <w:rtl w:val="0"/>
        </w:rPr>
        <w:t xml:space="preserve">contrario sensu </w:t>
      </w:r>
      <w:r w:rsidDel="00000000" w:rsidR="00000000" w:rsidRPr="00000000">
        <w:rPr>
          <w:rFonts w:ascii="Palatino Linotype" w:cs="Palatino Linotype" w:eastAsia="Palatino Linotype" w:hAnsi="Palatino Linotype"/>
          <w:sz w:val="22"/>
          <w:szCs w:val="22"/>
          <w:rtl w:val="0"/>
        </w:rPr>
        <w:t xml:space="preserve">significa que no se está obligado a proporcionar lo que no obre en los mismos, esto, de conformidad con lo que señala el artículo 12 de la Ley de Transparencia y Acceso a la Información Pública del Estado de México.</w:t>
      </w:r>
    </w:p>
    <w:p w:rsidR="00000000" w:rsidDel="00000000" w:rsidP="00000000" w:rsidRDefault="00000000" w:rsidRPr="00000000" w14:paraId="0000006A">
      <w:pPr>
        <w:tabs>
          <w:tab w:val="left" w:leader="none" w:pos="7513"/>
        </w:tabs>
        <w:spacing w:line="360" w:lineRule="auto"/>
        <w:ind w:right="-93"/>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b w:val="1"/>
          <w:bCs w:val="1"/>
          <w:i w:val="1"/>
          <w:iCs w:val="1"/>
          <w:sz w:val="22"/>
          <w:szCs w:val="22"/>
          <w:u w:val="single"/>
        </w:rPr>
      </w:pPr>
      <w:r w:rsidDel="00000000" w:rsidR="00000000" w:rsidRPr="00000000">
        <w:rPr>
          <w:rFonts w:ascii="Palatino Linotype" w:cs="Palatino Linotype" w:eastAsia="Palatino Linotype" w:hAnsi="Palatino Linotype"/>
          <w:sz w:val="22"/>
          <w:szCs w:val="22"/>
          <w:rtl w:val="0"/>
        </w:rPr>
        <w:t xml:space="preserve">Aunado a lo anterior, es importante referir que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al momento de interponer el medio de impugnación que ahora requirió: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119"/>
        </w:tabs>
        <w:spacing w:after="240" w:before="240" w:line="360" w:lineRule="auto"/>
        <w:jc w:val="both"/>
        <w:rPr>
          <w:rFonts w:ascii="Palatino Linotype" w:cs="Palatino Linotype" w:eastAsia="Palatino Linotype" w:hAnsi="Palatino Linotype"/>
          <w:b w:val="1"/>
          <w:bCs w:val="1"/>
          <w:i w:val="1"/>
          <w:iCs w:val="1"/>
          <w:sz w:val="22"/>
          <w:szCs w:val="22"/>
          <w:u w:val="single"/>
        </w:rPr>
      </w:pPr>
      <w:r w:rsidDel="00000000" w:rsidR="00000000" w:rsidRPr="00000000">
        <w:rPr>
          <w:rFonts w:ascii="Palatino Linotype" w:cs="Palatino Linotype" w:eastAsia="Palatino Linotype" w:hAnsi="Palatino Linotype"/>
          <w:b w:val="1"/>
          <w:bCs w:val="1"/>
          <w:i w:val="1"/>
          <w:iCs w:val="1"/>
          <w:sz w:val="22"/>
          <w:szCs w:val="22"/>
          <w:rtl w:val="0"/>
        </w:rPr>
        <w:t xml:space="preserve">“...se solicita que el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Secretario del Ayuntamiento emita un documento oficial, firmado y sellado, en el que: 1. Certifique si existe algún nombramiento, acuerdo administrativo o designación formal que acredite a la persona señalada como titular del área de Comunicación Social y Gobierno Digital. 2. Confirme el cargo que oficialmente ostenta dentro de la estructura municipal, indicando si corresponde al puesto de auxiliar administrativo, y precise su adscripción funcional y jerárquica. 3. Declare si dicho puesto contempla atribuciones de dirección, representación institucional, toma de decisiones, manejo de medios oficiales o gestión de contenidos públicos, conforme a la estructura orgánica vigente. 4. Explique por qué una persona con formación en Derecho se encuentra desempeñando funciones propias de un área técnica como Comunicación Social y Gobierno Digital, sin contar con experiencia acreditada ni preparación profesional en comunicación institucional, tecnologías de la información, imagen pública, producción audiovisual o gobernanza digital. Esta explicación deberá incluir los criterios, fundamentos o decisiones administrativas que permitieron dicha asignación, en caso de existir. 5. Informe qué medidas administrativas, correctivas o legales se aplicarán ante esta actuación irregular, incluyendo la intervención de la Contraloría Interna Municipal”</w:t>
      </w:r>
    </w:p>
    <w:p w:rsidR="00000000" w:rsidDel="00000000" w:rsidP="00000000" w:rsidRDefault="00000000" w:rsidRPr="00000000" w14:paraId="0000006D">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de lo anteriormente transcrito, se tiene que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amplia sus requerimientos a efecto de solicitar información diversa a la primeramente planteada; consideración por la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rsidR="00000000" w:rsidDel="00000000" w:rsidP="00000000" w:rsidRDefault="00000000" w:rsidRPr="00000000" w14:paraId="0000006E">
      <w:pPr>
        <w:spacing w:after="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F">
      <w:pPr>
        <w:spacing w:after="0" w:before="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orden de ideas, una vez formulada su solicitud inicial,</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000000" w:rsidDel="00000000" w:rsidP="00000000" w:rsidRDefault="00000000" w:rsidRPr="00000000" w14:paraId="00000070">
      <w:pPr>
        <w:spacing w:after="0" w:before="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Robustece lo anterior lo plasmado en el criterio orientador número 01/17 emitido por el entonces Instituto Nacional de Transparencia, Acceso a la Información y Protección de Datos Personales, INAI, que lleva por rubro y texto lo que a continuación se transcribe:</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before="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3">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Es improcedente ampliar las solicitudes de acceso a información, a través de la interposición del recurso de revisión. </w:t>
      </w:r>
      <w:r w:rsidDel="00000000" w:rsidR="00000000" w:rsidRPr="00000000">
        <w:rPr>
          <w:rFonts w:ascii="Palatino Linotype" w:cs="Palatino Linotype" w:eastAsia="Palatino Linotype" w:hAnsi="Palatino Linotype"/>
          <w:i w:val="1"/>
          <w:iCs w:val="1"/>
          <w:sz w:val="22"/>
          <w:szCs w:val="22"/>
          <w:rtl w:val="0"/>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74">
      <w:pPr>
        <w:spacing w:after="0" w:before="0" w:line="360" w:lineRule="auto"/>
        <w:ind w:left="851" w:right="90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5">
      <w:pPr>
        <w:spacing w:after="0" w:before="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lo tanto, en términos de todo lo anterior, resulta aplicable al caso concreto el contenido de los artículos 186, 191 fracciones VII, y 192 fracción IV de la de la Ley de Transparencia y Acceso a la Información Pública del Estado de México y Municipios, que disponen lo siguiente: </w:t>
      </w:r>
    </w:p>
    <w:p w:rsidR="00000000" w:rsidDel="00000000" w:rsidP="00000000" w:rsidRDefault="00000000" w:rsidRPr="00000000" w14:paraId="00000076">
      <w:pPr>
        <w:spacing w:after="0" w:before="0"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7">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 “Artículo 186. </w:t>
      </w:r>
      <w:r w:rsidDel="00000000" w:rsidR="00000000" w:rsidRPr="00000000">
        <w:rPr>
          <w:rFonts w:ascii="Palatino Linotype" w:cs="Palatino Linotype" w:eastAsia="Palatino Linotype" w:hAnsi="Palatino Linotype"/>
          <w:i w:val="1"/>
          <w:iCs w:val="1"/>
          <w:sz w:val="22"/>
          <w:szCs w:val="22"/>
          <w:rtl w:val="0"/>
        </w:rPr>
        <w:t xml:space="preserve">Las resoluciones del Instituto podrán:</w:t>
      </w:r>
    </w:p>
    <w:p w:rsidR="00000000" w:rsidDel="00000000" w:rsidP="00000000" w:rsidRDefault="00000000" w:rsidRPr="00000000" w14:paraId="00000078">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 Desechar o sobreseer el recurso;</w:t>
      </w:r>
      <w:r w:rsidDel="00000000" w:rsidR="00000000" w:rsidRPr="00000000">
        <w:rPr>
          <w:rtl w:val="0"/>
        </w:rPr>
      </w:r>
    </w:p>
    <w:p w:rsidR="00000000" w:rsidDel="00000000" w:rsidP="00000000" w:rsidRDefault="00000000" w:rsidRPr="00000000" w14:paraId="00000079">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II. </w:t>
      </w:r>
      <w:r w:rsidDel="00000000" w:rsidR="00000000" w:rsidRPr="00000000">
        <w:rPr>
          <w:rFonts w:ascii="Palatino Linotype" w:cs="Palatino Linotype" w:eastAsia="Palatino Linotype" w:hAnsi="Palatino Linotype"/>
          <w:i w:val="1"/>
          <w:iCs w:val="1"/>
          <w:sz w:val="22"/>
          <w:szCs w:val="22"/>
          <w:rtl w:val="0"/>
        </w:rPr>
        <w:t xml:space="preserve">Confirmar la respuesta del sujeto obligado;</w:t>
      </w:r>
    </w:p>
    <w:p w:rsidR="00000000" w:rsidDel="00000000" w:rsidP="00000000" w:rsidRDefault="00000000" w:rsidRPr="00000000" w14:paraId="0000007A">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III. </w:t>
      </w:r>
      <w:r w:rsidDel="00000000" w:rsidR="00000000" w:rsidRPr="00000000">
        <w:rPr>
          <w:rFonts w:ascii="Palatino Linotype" w:cs="Palatino Linotype" w:eastAsia="Palatino Linotype" w:hAnsi="Palatino Linotype"/>
          <w:i w:val="1"/>
          <w:iCs w:val="1"/>
          <w:sz w:val="22"/>
          <w:szCs w:val="22"/>
          <w:rtl w:val="0"/>
        </w:rPr>
        <w:t xml:space="preserve">Revocar o modificar la respuesta del sujeto obligado; y</w:t>
      </w:r>
    </w:p>
    <w:p w:rsidR="00000000" w:rsidDel="00000000" w:rsidP="00000000" w:rsidRDefault="00000000" w:rsidRPr="00000000" w14:paraId="0000007B">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IV. </w:t>
      </w:r>
      <w:r w:rsidDel="00000000" w:rsidR="00000000" w:rsidRPr="00000000">
        <w:rPr>
          <w:rFonts w:ascii="Palatino Linotype" w:cs="Palatino Linotype" w:eastAsia="Palatino Linotype" w:hAnsi="Palatino Linotype"/>
          <w:i w:val="1"/>
          <w:iCs w:val="1"/>
          <w:sz w:val="22"/>
          <w:szCs w:val="22"/>
          <w:rtl w:val="0"/>
        </w:rPr>
        <w:t xml:space="preserve">Ordenar la entrega de la información…”</w:t>
      </w:r>
    </w:p>
    <w:p w:rsidR="00000000" w:rsidDel="00000000" w:rsidP="00000000" w:rsidRDefault="00000000" w:rsidRPr="00000000" w14:paraId="0000007C">
      <w:pPr>
        <w:spacing w:after="0" w:before="0" w:line="276" w:lineRule="auto"/>
        <w:ind w:left="851" w:right="902" w:firstLine="0"/>
        <w:jc w:val="both"/>
        <w:rPr>
          <w:rFonts w:ascii="Palatino Linotype" w:cs="Palatino Linotype" w:eastAsia="Palatino Linotype" w:hAnsi="Palatino Linotype"/>
          <w:b w:val="1"/>
          <w:bCs w:val="1"/>
          <w:i w:val="1"/>
          <w:iCs w:val="1"/>
          <w:sz w:val="22"/>
          <w:szCs w:val="22"/>
        </w:rPr>
      </w:pPr>
      <w:r w:rsidDel="00000000" w:rsidR="00000000" w:rsidRPr="00000000">
        <w:rPr>
          <w:rtl w:val="0"/>
        </w:rPr>
      </w:r>
    </w:p>
    <w:p w:rsidR="00000000" w:rsidDel="00000000" w:rsidP="00000000" w:rsidRDefault="00000000" w:rsidRPr="00000000" w14:paraId="0000007D">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Artículo 191. </w:t>
      </w:r>
      <w:r w:rsidDel="00000000" w:rsidR="00000000" w:rsidRPr="00000000">
        <w:rPr>
          <w:rFonts w:ascii="Palatino Linotype" w:cs="Palatino Linotype" w:eastAsia="Palatino Linotype" w:hAnsi="Palatino Linotype"/>
          <w:i w:val="1"/>
          <w:iCs w:val="1"/>
          <w:sz w:val="22"/>
          <w:szCs w:val="22"/>
          <w:rtl w:val="0"/>
        </w:rPr>
        <w:t xml:space="preserve">El recurso será desechado por improcedente cuando:</w:t>
      </w:r>
    </w:p>
    <w:p w:rsidR="00000000" w:rsidDel="00000000" w:rsidP="00000000" w:rsidRDefault="00000000" w:rsidRPr="00000000" w14:paraId="0000007E">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tl w:val="0"/>
        </w:rPr>
      </w:r>
    </w:p>
    <w:p w:rsidR="00000000" w:rsidDel="00000000" w:rsidP="00000000" w:rsidRDefault="00000000" w:rsidRPr="00000000" w14:paraId="0000007F">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VII. El recurrente amplíe su solicitud en el recurso de revisión, únicamente respecto de los nuevos contenidos.”</w:t>
      </w:r>
      <w:r w:rsidDel="00000000" w:rsidR="00000000" w:rsidRPr="00000000">
        <w:rPr>
          <w:rtl w:val="0"/>
        </w:rPr>
      </w:r>
    </w:p>
    <w:p w:rsidR="00000000" w:rsidDel="00000000" w:rsidP="00000000" w:rsidRDefault="00000000" w:rsidRPr="00000000" w14:paraId="00000080">
      <w:pPr>
        <w:tabs>
          <w:tab w:val="left" w:leader="none" w:pos="1276"/>
        </w:tabs>
        <w:spacing w:after="0" w:before="0" w:line="276" w:lineRule="auto"/>
        <w:ind w:left="1134" w:right="902" w:firstLine="0"/>
        <w:jc w:val="both"/>
        <w:rPr>
          <w:rFonts w:ascii="Palatino Linotype" w:cs="Palatino Linotype" w:eastAsia="Palatino Linotype" w:hAnsi="Palatino Linotype"/>
          <w:b w:val="1"/>
          <w:bCs w:val="1"/>
          <w:i w:val="1"/>
          <w:iCs w:val="1"/>
          <w:sz w:val="22"/>
          <w:szCs w:val="22"/>
        </w:rPr>
      </w:pPr>
      <w:r w:rsidDel="00000000" w:rsidR="00000000" w:rsidRPr="00000000">
        <w:rPr>
          <w:rtl w:val="0"/>
        </w:rPr>
      </w:r>
    </w:p>
    <w:p w:rsidR="00000000" w:rsidDel="00000000" w:rsidP="00000000" w:rsidRDefault="00000000" w:rsidRPr="00000000" w14:paraId="00000081">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Artículo 192. </w:t>
      </w:r>
      <w:r w:rsidDel="00000000" w:rsidR="00000000" w:rsidRPr="00000000">
        <w:rPr>
          <w:rFonts w:ascii="Palatino Linotype" w:cs="Palatino Linotype" w:eastAsia="Palatino Linotype" w:hAnsi="Palatino Linotype"/>
          <w:i w:val="1"/>
          <w:iCs w:val="1"/>
          <w:sz w:val="22"/>
          <w:szCs w:val="22"/>
          <w:rtl w:val="0"/>
        </w:rPr>
        <w:t xml:space="preserve">El recurso será sobreseído, en todo o en parte, cuando una vez admitido, se actualicen alguno de los siguientes supuestos:</w:t>
      </w:r>
    </w:p>
    <w:p w:rsidR="00000000" w:rsidDel="00000000" w:rsidP="00000000" w:rsidRDefault="00000000" w:rsidRPr="00000000" w14:paraId="00000082">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tl w:val="0"/>
        </w:rPr>
      </w:r>
    </w:p>
    <w:p w:rsidR="00000000" w:rsidDel="00000000" w:rsidP="00000000" w:rsidRDefault="00000000" w:rsidRPr="00000000" w14:paraId="00000083">
      <w:pPr>
        <w:spacing w:after="0" w:before="0"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IV. Admitido el recurso de revisión, aparezca alguna causal de improcedencia en los términos de la presente Ley; y</w:t>
      </w: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tl w:val="0"/>
        </w:rPr>
      </w:r>
    </w:p>
    <w:p w:rsidR="00000000" w:rsidDel="00000000" w:rsidP="00000000" w:rsidRDefault="00000000" w:rsidRPr="00000000" w14:paraId="00000084">
      <w:pPr>
        <w:spacing w:after="120" w:before="0" w:lineRule="auto"/>
        <w:ind w:left="1134"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5">
      <w:pPr>
        <w:spacing w:after="0" w:before="12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7">
      <w:pPr>
        <w:spacing w:after="0" w:before="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Dentro de este orden de ideas, es evidente que no se puede invocar el precepto legal 191 de la Ley en cita ulteriormente a que ha sido admitido, determinando la actualización de un desechamiento</w:t>
      </w:r>
      <w:r w:rsidDel="00000000" w:rsidR="00000000" w:rsidRPr="00000000">
        <w:rPr>
          <w:rFonts w:ascii="Palatino Linotype" w:cs="Palatino Linotype" w:eastAsia="Palatino Linotype" w:hAnsi="Palatino Linotype"/>
          <w:sz w:val="22"/>
          <w:szCs w:val="22"/>
          <w:vertAlign w:val="superscript"/>
        </w:rPr>
        <w:footnoteReference w:customMarkFollows="0" w:id="0"/>
      </w:r>
      <w:r w:rsidDel="00000000" w:rsidR="00000000" w:rsidRPr="00000000">
        <w:rPr>
          <w:rFonts w:ascii="Palatino Linotype" w:cs="Palatino Linotype" w:eastAsia="Palatino Linotype" w:hAnsi="Palatino Linotype"/>
          <w:sz w:val="22"/>
          <w:szCs w:val="22"/>
          <w:rtl w:val="0"/>
        </w:rPr>
        <w:t xml:space="preserve">, porque está ya sería posterior a la etapa procedimental en la que debió desecharse.</w:t>
      </w:r>
    </w:p>
    <w:p w:rsidR="00000000" w:rsidDel="00000000" w:rsidP="00000000" w:rsidRDefault="00000000" w:rsidRPr="00000000" w14:paraId="00000088">
      <w:pPr>
        <w:spacing w:after="0" w:before="0"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9">
      <w:pPr>
        <w:spacing w:after="0" w:before="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Del="00000000" w:rsidR="00000000" w:rsidRPr="00000000">
        <w:rPr>
          <w:rFonts w:ascii="Palatino Linotype" w:cs="Palatino Linotype" w:eastAsia="Palatino Linotype" w:hAnsi="Palatino Linotype"/>
          <w:i w:val="1"/>
          <w:iCs w:val="1"/>
          <w:sz w:val="22"/>
          <w:szCs w:val="22"/>
          <w:rtl w:val="0"/>
        </w:rPr>
        <w:t xml:space="preserve">sobreseído</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8A">
      <w:pPr>
        <w:spacing w:after="0" w:before="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B">
      <w:pPr>
        <w:spacing w:after="0" w:before="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Atento a los razonamientos lógico jurídicos que han quedado precisados y toda vez el </w:t>
      </w:r>
      <w:r w:rsidDel="00000000" w:rsidR="00000000" w:rsidRPr="00000000">
        <w:rPr>
          <w:rFonts w:ascii="Palatino Linotype" w:cs="Palatino Linotype" w:eastAsia="Palatino Linotype" w:hAnsi="Palatino Linotype"/>
          <w:i w:val="1"/>
          <w:iCs w:val="1"/>
          <w:sz w:val="22"/>
          <w:szCs w:val="22"/>
          <w:rtl w:val="0"/>
        </w:rPr>
        <w:t xml:space="preserve">sobreseimiento</w:t>
      </w:r>
      <w:r w:rsidDel="00000000" w:rsidR="00000000" w:rsidRPr="00000000">
        <w:rPr>
          <w:rFonts w:ascii="Palatino Linotype" w:cs="Palatino Linotype" w:eastAsia="Palatino Linotype" w:hAnsi="Palatino Linotype"/>
          <w:sz w:val="22"/>
          <w:szCs w:val="22"/>
          <w:rtl w:val="0"/>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00000" w:rsidDel="00000000" w:rsidP="00000000" w:rsidRDefault="00000000" w:rsidRPr="00000000" w14:paraId="0000008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D">
      <w:pPr>
        <w:spacing w:line="276" w:lineRule="auto"/>
        <w:ind w:left="567" w:right="902" w:firstLine="0"/>
        <w:jc w:val="both"/>
        <w:rPr>
          <w:rFonts w:ascii="Palatino Linotype" w:cs="Palatino Linotype" w:eastAsia="Palatino Linotype" w:hAnsi="Palatino Linotype"/>
          <w:b w:val="1"/>
          <w:bCs w:val="1"/>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SOBRESEIMIENTO, NO PERMITE ENTRAR AL ESTUDIO DE LAS CUESTIONES DE FONDO</w:t>
      </w:r>
    </w:p>
    <w:p w:rsidR="00000000" w:rsidDel="00000000" w:rsidP="00000000" w:rsidRDefault="00000000" w:rsidRPr="00000000" w14:paraId="0000008E">
      <w:pPr>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Localización: 213609. II.2o.183 K. Tribunales Colegiados de Circuito. Octava Época. Semanario Judicial de la Federación. Tomo XIII, Febrero de 1994, Pág. 420</w:t>
      </w:r>
    </w:p>
    <w:p w:rsidR="00000000" w:rsidDel="00000000" w:rsidP="00000000" w:rsidRDefault="00000000" w:rsidRPr="00000000" w14:paraId="0000008F">
      <w:pPr>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000000" w:rsidDel="00000000" w:rsidP="00000000" w:rsidRDefault="00000000" w:rsidRPr="00000000" w14:paraId="00000090">
      <w:pPr>
        <w:spacing w:line="276"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tl w:val="0"/>
        </w:rPr>
      </w:r>
    </w:p>
    <w:p w:rsidR="00000000" w:rsidDel="00000000" w:rsidP="00000000" w:rsidRDefault="00000000" w:rsidRPr="00000000" w14:paraId="0000009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Cabe destacar que la decisión de este Organismo Colegiado de sobreseer el recurso de revisión no implica una limitación o negación a la justicia, según lo ha establecido el Poder Judicial Federal, en el criterio que es aplicable por analogía, con rubro:</w:t>
      </w:r>
    </w:p>
    <w:p w:rsidR="00000000" w:rsidDel="00000000" w:rsidP="00000000" w:rsidRDefault="00000000" w:rsidRPr="00000000" w14:paraId="0000009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3">
      <w:pPr>
        <w:spacing w:line="276" w:lineRule="auto"/>
        <w:ind w:left="567" w:right="567"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“DESECHAMIENTO O SOBRESEIMIENTO EN EL JUICIO DE AMPARO. NO IMPLICA DENEGACIÓN DE JUSTICIA NI GENERA INSEGURIDAD JURÍDICA” </w:t>
      </w:r>
      <w:r w:rsidDel="00000000" w:rsidR="00000000" w:rsidRPr="00000000">
        <w:rPr>
          <w:rFonts w:ascii="Palatino Linotype" w:cs="Palatino Linotype" w:eastAsia="Palatino Linotype" w:hAnsi="Palatino Linotype"/>
          <w:i w:val="1"/>
          <w:iCs w:val="1"/>
          <w:sz w:val="22"/>
          <w:szCs w:val="22"/>
          <w:rtl w:val="0"/>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000000" w:rsidDel="00000000" w:rsidP="00000000" w:rsidRDefault="00000000" w:rsidRPr="00000000" w14:paraId="00000094">
      <w:pPr>
        <w:spacing w:after="0" w:line="276" w:lineRule="auto"/>
        <w:ind w:left="567" w:right="56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5">
      <w:pPr>
        <w:spacing w:after="0" w:before="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último y no menos importante, es necesario señalar que se dejan a salvo los derechos del particular para que, si así lo desea formule nuevas solicitudes de acceso a la información pública solicitando la información de su interés.</w:t>
      </w:r>
    </w:p>
    <w:p w:rsidR="00000000" w:rsidDel="00000000" w:rsidP="00000000" w:rsidRDefault="00000000" w:rsidRPr="00000000" w14:paraId="00000096">
      <w:pPr>
        <w:spacing w:after="240" w:before="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7">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 de la Ley de Transparencia y Acceso a la Información Pública del Estado de México y Municipios, este Pleno: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III. R E S U E L V E</w:t>
      </w:r>
    </w:p>
    <w:p w:rsidR="00000000" w:rsidDel="00000000" w:rsidP="00000000" w:rsidRDefault="00000000" w:rsidRPr="00000000" w14:paraId="00000099">
      <w:pPr>
        <w:tabs>
          <w:tab w:val="left" w:leader="none" w:pos="7936"/>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Primero. </w:t>
      </w:r>
      <w:r w:rsidDel="00000000" w:rsidR="00000000" w:rsidRPr="00000000">
        <w:rPr>
          <w:rFonts w:ascii="Palatino Linotype" w:cs="Palatino Linotype" w:eastAsia="Palatino Linotype" w:hAnsi="Palatino Linotype"/>
          <w:sz w:val="22"/>
          <w:szCs w:val="22"/>
          <w:rtl w:val="0"/>
        </w:rPr>
        <w:t xml:space="preserve">Se</w:t>
      </w:r>
      <w:r w:rsidDel="00000000" w:rsidR="00000000" w:rsidRPr="00000000">
        <w:rPr>
          <w:rFonts w:ascii="Palatino Linotype" w:cs="Palatino Linotype" w:eastAsia="Palatino Linotype" w:hAnsi="Palatino Linotype"/>
          <w:b w:val="1"/>
          <w:bCs w:val="1"/>
          <w:sz w:val="22"/>
          <w:szCs w:val="22"/>
          <w:rtl w:val="0"/>
        </w:rPr>
        <w:t xml:space="preserve"> Sobresee </w:t>
      </w:r>
      <w:r w:rsidDel="00000000" w:rsidR="00000000" w:rsidRPr="00000000">
        <w:rPr>
          <w:rFonts w:ascii="Palatino Linotype" w:cs="Palatino Linotype" w:eastAsia="Palatino Linotype" w:hAnsi="Palatino Linotype"/>
          <w:sz w:val="22"/>
          <w:szCs w:val="22"/>
          <w:rtl w:val="0"/>
        </w:rPr>
        <w:t xml:space="preserve">el recurso de revisión número </w:t>
      </w:r>
      <w:r w:rsidDel="00000000" w:rsidR="00000000" w:rsidRPr="00000000">
        <w:rPr>
          <w:rFonts w:ascii="Palatino Linotype" w:cs="Palatino Linotype" w:eastAsia="Palatino Linotype" w:hAnsi="Palatino Linotype"/>
          <w:b w:val="1"/>
          <w:bCs w:val="1"/>
          <w:sz w:val="22"/>
          <w:szCs w:val="22"/>
          <w:rtl w:val="0"/>
        </w:rPr>
        <w:t xml:space="preserve">10434/INFOEM/IP/RR/2025, </w:t>
      </w:r>
      <w:r w:rsidDel="00000000" w:rsidR="00000000" w:rsidRPr="00000000">
        <w:rPr>
          <w:rFonts w:ascii="Palatino Linotype" w:cs="Palatino Linotype" w:eastAsia="Palatino Linotype" w:hAnsi="Palatino Linotype"/>
          <w:sz w:val="22"/>
          <w:szCs w:val="22"/>
          <w:rtl w:val="0"/>
        </w:rPr>
        <w:t xml:space="preserve">porque una vez admitido se actualizó la causal de improcedencia prevista en artículo 192 fracción IV, en relación con las fracciones V y VII del artículo 191, de la Ley de Transparencia y Acceso a la Información Pública del Estado de México y Municipios, en términos del </w:t>
      </w:r>
      <w:r w:rsidDel="00000000" w:rsidR="00000000" w:rsidRPr="00000000">
        <w:rPr>
          <w:rFonts w:ascii="Palatino Linotype" w:cs="Palatino Linotype" w:eastAsia="Palatino Linotype" w:hAnsi="Palatino Linotype"/>
          <w:b w:val="1"/>
          <w:bCs w:val="1"/>
          <w:sz w:val="22"/>
          <w:szCs w:val="22"/>
          <w:rtl w:val="0"/>
        </w:rPr>
        <w:t xml:space="preserve">Considerando Tercero </w:t>
      </w:r>
      <w:r w:rsidDel="00000000" w:rsidR="00000000" w:rsidRPr="00000000">
        <w:rPr>
          <w:rFonts w:ascii="Palatino Linotype" w:cs="Palatino Linotype" w:eastAsia="Palatino Linotype" w:hAnsi="Palatino Linotype"/>
          <w:sz w:val="22"/>
          <w:szCs w:val="22"/>
          <w:rtl w:val="0"/>
        </w:rPr>
        <w:t xml:space="preserve">de la presente resolución.</w:t>
      </w:r>
    </w:p>
    <w:p w:rsidR="00000000" w:rsidDel="00000000" w:rsidP="00000000" w:rsidRDefault="00000000" w:rsidRPr="00000000" w14:paraId="0000009A">
      <w:pPr>
        <w:tabs>
          <w:tab w:val="left" w:leader="none" w:pos="7936"/>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Segundo. </w:t>
      </w:r>
      <w:r w:rsidDel="00000000" w:rsidR="00000000" w:rsidRPr="00000000">
        <w:rPr>
          <w:rFonts w:ascii="Palatino Linotype" w:cs="Palatino Linotype" w:eastAsia="Palatino Linotype" w:hAnsi="Palatino Linotype"/>
          <w:sz w:val="22"/>
          <w:szCs w:val="22"/>
          <w:rtl w:val="0"/>
        </w:rPr>
        <w:t xml:space="preserve">Notifíquese al Titular de la Unidad de Transparencia, vía Sistema de Acceso a la Información Mexiquense (SAIMEX)</w:t>
      </w:r>
      <w:r w:rsidDel="00000000" w:rsidR="00000000" w:rsidRPr="00000000">
        <w:rPr>
          <w:rFonts w:ascii="Palatino Linotype" w:cs="Palatino Linotype" w:eastAsia="Palatino Linotype" w:hAnsi="Palatino Linotype"/>
          <w:b w:val="1"/>
          <w:bCs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para su conocimiento.</w:t>
      </w:r>
    </w:p>
    <w:p w:rsidR="00000000" w:rsidDel="00000000" w:rsidP="00000000" w:rsidRDefault="00000000" w:rsidRPr="00000000" w14:paraId="0000009C">
      <w:pPr>
        <w:spacing w:after="240" w:before="240" w:line="336"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Tercero. </w:t>
      </w:r>
      <w:r w:rsidDel="00000000" w:rsidR="00000000" w:rsidRPr="00000000">
        <w:rPr>
          <w:rFonts w:ascii="Palatino Linotype" w:cs="Palatino Linotype" w:eastAsia="Palatino Linotype" w:hAnsi="Palatino Linotype"/>
          <w:sz w:val="22"/>
          <w:szCs w:val="22"/>
          <w:rtl w:val="0"/>
        </w:rPr>
        <w:t xml:space="preserve">Notifíquese vía Sistema de Acceso a la Información Mexiquense (SAIMEX), la presente resolución a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así como, que de conformidad con lo establecido en el artículo 196 de la Ley de Transparencia y Acceso a la Información Pública del Estado de México y Municipios, podrá impugnarla vía </w:t>
      </w:r>
      <w:r w:rsidDel="00000000" w:rsidR="00000000" w:rsidRPr="00000000">
        <w:rPr>
          <w:rFonts w:ascii="Palatino Linotype" w:cs="Palatino Linotype" w:eastAsia="Palatino Linotype" w:hAnsi="Palatino Linotype"/>
          <w:b w:val="1"/>
          <w:bCs w:val="1"/>
          <w:sz w:val="22"/>
          <w:szCs w:val="22"/>
          <w:rtl w:val="0"/>
        </w:rPr>
        <w:t xml:space="preserve">Juicio de Amparo</w:t>
      </w:r>
      <w:r w:rsidDel="00000000" w:rsidR="00000000" w:rsidRPr="00000000">
        <w:rPr>
          <w:rFonts w:ascii="Palatino Linotype" w:cs="Palatino Linotype" w:eastAsia="Palatino Linotype" w:hAnsi="Palatino Linotype"/>
          <w:sz w:val="22"/>
          <w:szCs w:val="22"/>
          <w:rtl w:val="0"/>
        </w:rPr>
        <w:t xml:space="preserve"> en los términos de las leyes aplicables.</w:t>
      </w:r>
    </w:p>
    <w:p w:rsidR="00000000" w:rsidDel="00000000" w:rsidP="00000000" w:rsidRDefault="00000000" w:rsidRPr="00000000" w14:paraId="0000009D">
      <w:pPr>
        <w:spacing w:after="240" w:before="240" w:line="336" w:lineRule="auto"/>
        <w:jc w:val="both"/>
        <w:rPr>
          <w:rFonts w:ascii="Palatino Linotype" w:cs="Palatino Linotype" w:eastAsia="Palatino Linotype" w:hAnsi="Palatino Linotype"/>
          <w:sz w:val="22"/>
          <w:szCs w:val="22"/>
        </w:rPr>
      </w:pPr>
      <w:bookmarkStart w:colFirst="0" w:colLast="0" w:name="_heading=h.lnxbz9" w:id="9"/>
      <w:bookmarkEnd w:id="9"/>
      <w:r w:rsidDel="00000000" w:rsidR="00000000" w:rsidRPr="00000000">
        <w:rPr>
          <w:rFonts w:ascii="Palatino Linotype" w:cs="Palatino Linotype" w:eastAsia="Palatino Linotype" w:hAnsi="Palatino Linotype"/>
          <w:b w:val="1"/>
          <w:bCs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DE ABRIL DE DOS MIL VEINTISÉIS, ANTE EL SECRETARIO TÉCNICO DEL PLENO ALEXIS TAPIA RAMÍREZ.</w:t>
      </w:r>
    </w:p>
    <w:p w:rsidR="00000000" w:rsidDel="00000000" w:rsidP="00000000" w:rsidRDefault="00000000" w:rsidRPr="00000000" w14:paraId="0000009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F">
      <w:pPr>
        <w:spacing w:line="360" w:lineRule="auto"/>
        <w:jc w:val="both"/>
        <w:rPr>
          <w:rFonts w:ascii="Palatino Linotype" w:cs="Palatino Linotype" w:eastAsia="Palatino Linotype" w:hAnsi="Palatino Linotype"/>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bCs w:val="1"/>
        <w:color w:val="000000"/>
        <w:sz w:val="20"/>
        <w:szCs w:val="20"/>
        <w:rtl w:val="0"/>
      </w:rPr>
      <w:t xml:space="preserve">Página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bCs w:val="1"/>
        <w:color w:val="000000"/>
        <w:sz w:val="20"/>
        <w:szCs w:val="20"/>
        <w:rtl w:val="0"/>
      </w:rPr>
      <w:t xml:space="preserve">Página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i w:val="1"/>
          <w:iCs w:val="1"/>
          <w:color w:val="000000"/>
          <w:sz w:val="16"/>
          <w:szCs w:val="16"/>
          <w:rtl w:val="0"/>
        </w:rPr>
        <w:t xml:space="preserve">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Palatino Linotype" w:cs="Palatino Linotype" w:eastAsia="Palatino Linotype" w:hAnsi="Palatino Linotype"/>
          <w:color w:val="000000"/>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rFonts w:ascii="Cambria" w:cs="Cambria" w:eastAsia="Cambria" w:hAnsi="Cambria"/>
        <w:color w:val="000000"/>
      </w:rPr>
    </w:pPr>
    <w:r w:rsidDel="00000000" w:rsidR="00000000" w:rsidRPr="00000000">
      <w:rPr>
        <w:rtl w:val="0"/>
      </w:rPr>
    </w:r>
  </w:p>
  <w:tbl>
    <w:tblPr>
      <w:tblStyle w:val="Table1"/>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p w:rsidR="00000000" w:rsidDel="00000000" w:rsidP="00000000" w:rsidRDefault="00000000" w:rsidRPr="00000000" w14:paraId="000000C3">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Recurso de Revisión:</w:t>
          </w:r>
        </w:p>
      </w:tc>
      <w:tc>
        <w:tcPr>
          <w:vAlign w:val="center"/>
        </w:tcPr>
        <w:p w:rsidR="00000000" w:rsidDel="00000000" w:rsidP="00000000" w:rsidRDefault="00000000" w:rsidRPr="00000000" w14:paraId="000000C4">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10434/INFOEM/IP/RR/2025</w:t>
          </w:r>
        </w:p>
      </w:tc>
    </w:tr>
    <w:tr>
      <w:trPr>
        <w:cantSplit w:val="0"/>
        <w:trHeight w:val="228" w:hRule="atLeast"/>
        <w:tblHeader w:val="0"/>
      </w:trPr>
      <w:tc>
        <w:tcPr>
          <w:vAlign w:val="center"/>
        </w:tcPr>
        <w:p w:rsidR="00000000" w:rsidDel="00000000" w:rsidP="00000000" w:rsidRDefault="00000000" w:rsidRPr="00000000" w14:paraId="000000C5">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Sujeto Obligado:</w:t>
          </w:r>
        </w:p>
      </w:tc>
      <w:tc>
        <w:tcPr>
          <w:vAlign w:val="center"/>
        </w:tcPr>
        <w:p w:rsidR="00000000" w:rsidDel="00000000" w:rsidP="00000000" w:rsidRDefault="00000000" w:rsidRPr="00000000" w14:paraId="000000C6">
          <w:pPr>
            <w:ind w:left="-45" w:right="176" w:firstLine="0"/>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Ayuntamiento de Juchitepec</w:t>
          </w:r>
        </w:p>
      </w:tc>
    </w:tr>
    <w:tr>
      <w:trPr>
        <w:cantSplit w:val="0"/>
        <w:tblHeader w:val="0"/>
      </w:trPr>
      <w:tc>
        <w:tcPr>
          <w:vAlign w:val="center"/>
        </w:tcPr>
        <w:p w:rsidR="00000000" w:rsidDel="00000000" w:rsidP="00000000" w:rsidRDefault="00000000" w:rsidRPr="00000000" w14:paraId="000000C7">
          <w:pPr>
            <w:ind w:right="-108"/>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Comisionada ponente:</w:t>
          </w:r>
        </w:p>
      </w:tc>
      <w:tc>
        <w:tcPr>
          <w:vAlign w:val="center"/>
        </w:tcPr>
        <w:p w:rsidR="00000000" w:rsidDel="00000000" w:rsidP="00000000" w:rsidRDefault="00000000" w:rsidRPr="00000000" w14:paraId="000000C8">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Guadalupe Ramírez Peña</w:t>
          </w:r>
          <w:r w:rsidDel="00000000" w:rsidR="00000000" w:rsidRPr="00000000">
            <w:drawing>
              <wp:anchor allowOverlap="1" behindDoc="1" distB="0" distT="0" distL="0" distR="0" hidden="0" layoutInCell="1" locked="0" relativeHeight="0" simplePos="0">
                <wp:simplePos x="0" y="0"/>
                <wp:positionH relativeFrom="column">
                  <wp:posOffset>-4797424</wp:posOffset>
                </wp:positionH>
                <wp:positionV relativeFrom="paragraph">
                  <wp:posOffset>-1056004</wp:posOffset>
                </wp:positionV>
                <wp:extent cx="7809865" cy="1016571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c>
    </w:tr>
  </w:tbl>
  <w:p w:rsidR="00000000" w:rsidDel="00000000" w:rsidP="00000000" w:rsidRDefault="00000000" w:rsidRPr="00000000" w14:paraId="000000C9">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-369891</wp:posOffset>
          </wp:positionV>
          <wp:extent cx="7809865" cy="1016571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p w:rsidR="00000000" w:rsidDel="00000000" w:rsidP="00000000" w:rsidRDefault="00000000" w:rsidRPr="00000000" w14:paraId="000000CB">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Recurso de Revisión:</w:t>
          </w:r>
        </w:p>
      </w:tc>
      <w:tc>
        <w:tcPr>
          <w:vAlign w:val="center"/>
        </w:tcPr>
        <w:p w:rsidR="00000000" w:rsidDel="00000000" w:rsidP="00000000" w:rsidRDefault="00000000" w:rsidRPr="00000000" w14:paraId="000000CC">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10434/INFOEM/IP/RR/2025</w:t>
          </w:r>
        </w:p>
      </w:tc>
    </w:tr>
    <w:tr>
      <w:trPr>
        <w:cantSplit w:val="0"/>
        <w:tblHeader w:val="0"/>
      </w:trPr>
      <w:tc>
        <w:tcPr/>
        <w:p w:rsidR="00000000" w:rsidDel="00000000" w:rsidP="00000000" w:rsidRDefault="00000000" w:rsidRPr="00000000" w14:paraId="000000CD">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Recurrente</w:t>
          </w:r>
        </w:p>
      </w:tc>
      <w:tc>
        <w:tcPr>
          <w:shd w:fill="auto" w:val="clear"/>
          <w:vAlign w:val="center"/>
        </w:tcPr>
        <w:p w:rsidR="00000000" w:rsidDel="00000000" w:rsidP="00000000" w:rsidRDefault="00000000" w:rsidRPr="00000000" w14:paraId="000000CE">
          <w:pPr>
            <w:ind w:right="175"/>
            <w:jc w:val="both"/>
            <w:rPr>
              <w:rFonts w:ascii="Palatino Linotype" w:cs="Palatino Linotype" w:eastAsia="Palatino Linotype" w:hAnsi="Palatino Linotype"/>
              <w:b w:val="1"/>
              <w:bCs w:val="1"/>
              <w:sz w:val="22"/>
              <w:szCs w:val="22"/>
              <w:highlight w:val="yellow"/>
            </w:rPr>
          </w:pPr>
          <w:r w:rsidDel="00000000" w:rsidR="00000000" w:rsidRPr="00000000">
            <w:rPr>
              <w:rFonts w:ascii="Palatino Linotype" w:cs="Palatino Linotype" w:eastAsia="Palatino Linotype" w:hAnsi="Palatino Linotype"/>
              <w:b w:val="1"/>
              <w:bCs w:val="1"/>
              <w:sz w:val="22"/>
              <w:szCs w:val="22"/>
              <w:rtl w:val="0"/>
            </w:rPr>
            <w:t xml:space="preserve">XXXX XXXXXX</w:t>
          </w: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0CF">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Sujeto Obligado:</w:t>
          </w:r>
        </w:p>
      </w:tc>
      <w:tc>
        <w:tcPr>
          <w:vAlign w:val="center"/>
        </w:tcPr>
        <w:p w:rsidR="00000000" w:rsidDel="00000000" w:rsidP="00000000" w:rsidRDefault="00000000" w:rsidRPr="00000000" w14:paraId="000000D0">
          <w:pPr>
            <w:ind w:left="-45" w:right="176" w:firstLine="0"/>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Ayuntamiento de Juchitepec</w:t>
          </w:r>
        </w:p>
      </w:tc>
    </w:tr>
    <w:tr>
      <w:trPr>
        <w:cantSplit w:val="0"/>
        <w:tblHeader w:val="0"/>
      </w:trPr>
      <w:tc>
        <w:tcPr>
          <w:vAlign w:val="center"/>
        </w:tcPr>
        <w:p w:rsidR="00000000" w:rsidDel="00000000" w:rsidP="00000000" w:rsidRDefault="00000000" w:rsidRPr="00000000" w14:paraId="000000D1">
          <w:pPr>
            <w:ind w:right="-108"/>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Comisionada ponente:</w:t>
          </w:r>
        </w:p>
      </w:tc>
      <w:tc>
        <w:tcPr>
          <w:vAlign w:val="center"/>
        </w:tcPr>
        <w:p w:rsidR="00000000" w:rsidDel="00000000" w:rsidP="00000000" w:rsidRDefault="00000000" w:rsidRPr="00000000" w14:paraId="000000D2">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Guadalupe Ramírez Peña</w:t>
          </w:r>
        </w:p>
      </w:tc>
    </w:tr>
  </w:tbl>
  <w:p w:rsidR="00000000" w:rsidDel="00000000" w:rsidP="00000000" w:rsidRDefault="00000000" w:rsidRPr="00000000" w14:paraId="000000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927" w:hanging="360"/>
      </w:pPr>
      <w:rPr>
        <w:b w:val="1"/>
        <w:bCs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upperRoman"/>
      <w:lvlText w:val="%1."/>
      <w:lvlJc w:val="right"/>
      <w:pPr>
        <w:ind w:left="1077" w:hanging="360"/>
      </w:pPr>
      <w:rPr/>
    </w:lvl>
    <w:lvl w:ilvl="1">
      <w:start w:val="1"/>
      <w:numFmt w:val="decimal"/>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bCs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OZFd2MzIvvGfBbsO7Y6uewPNw==">CgMxLjAyCWguM3JkY3JqbjIOaC5kYWozajJ4bzZxNjYyCGguZ2pkZ3hzMgloLjNkeTZ2a20yCWguMzBqMHpsbDIJaC4yczhleW8xMgloLjN6bnlzaDcyDmgueGRmeW52OTQxdDh4Mg5oLjdscmo3anMydnJsNTIIaC5sbnhiejk4AHIhMXFMTkNOZGFwNElSUnRBbWhuWWhBZ1pOdzg2cDRaZ3JV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