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8E6" w:rsidRDefault="00C175D8">
      <w:pPr>
        <w:spacing w:line="360" w:lineRule="auto"/>
        <w:ind w:right="-561"/>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9F3B4B">
        <w:rPr>
          <w:rFonts w:ascii="Palatino Linotype" w:eastAsia="Palatino Linotype" w:hAnsi="Palatino Linotype" w:cs="Palatino Linotype"/>
          <w:b/>
          <w:bCs/>
        </w:rPr>
        <w:t>fecha uno</w:t>
      </w:r>
      <w:r w:rsidR="0004237C">
        <w:rPr>
          <w:rFonts w:ascii="Palatino Linotype" w:eastAsia="Palatino Linotype" w:hAnsi="Palatino Linotype" w:cs="Palatino Linotype"/>
          <w:b/>
          <w:bCs/>
        </w:rPr>
        <w:t xml:space="preserve"> (01)</w:t>
      </w:r>
      <w:r>
        <w:rPr>
          <w:rFonts w:ascii="Palatino Linotype" w:eastAsia="Palatino Linotype" w:hAnsi="Palatino Linotype" w:cs="Palatino Linotype"/>
          <w:b/>
          <w:bCs/>
        </w:rPr>
        <w:t xml:space="preserve"> de julio de dos mil veintiséis.</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02248/INFOEM/IP/RR/2026, </w:t>
      </w:r>
      <w:r>
        <w:rPr>
          <w:rFonts w:ascii="Palatino Linotype" w:eastAsia="Palatino Linotype" w:hAnsi="Palatino Linotype" w:cs="Palatino Linotype"/>
        </w:rPr>
        <w:t xml:space="preserve">promovido por </w:t>
      </w:r>
      <w:r w:rsidR="00AB4C28">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lo sucesivo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 xml:space="preserve">en contra de la respuesta del </w:t>
      </w:r>
      <w:r>
        <w:rPr>
          <w:rFonts w:ascii="Palatino Linotype" w:eastAsia="Palatino Linotype" w:hAnsi="Palatino Linotype" w:cs="Palatino Linotype"/>
          <w:b/>
          <w:bCs/>
        </w:rPr>
        <w:t xml:space="preserve">Ayuntamiento de Atizapán de Zaragoza,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keepNext/>
        <w:keepLines/>
        <w:spacing w:line="360" w:lineRule="auto"/>
        <w:ind w:right="-561"/>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6878E6" w:rsidRDefault="006878E6">
      <w:pPr>
        <w:spacing w:line="360" w:lineRule="auto"/>
        <w:ind w:right="-561"/>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bookmarkStart w:id="1" w:name="_heading=h.ntdj20mvnznb" w:colFirst="0" w:colLast="0"/>
      <w:bookmarkEnd w:id="1"/>
      <w:r>
        <w:rPr>
          <w:rFonts w:ascii="Palatino Linotype" w:eastAsia="Palatino Linotype" w:hAnsi="Palatino Linotype" w:cs="Palatino Linotype"/>
        </w:rPr>
        <w:t>El doce de enero de dos mil veintiséis, la</w:t>
      </w:r>
      <w:r>
        <w:rPr>
          <w:rFonts w:ascii="Palatino Linotype" w:eastAsia="Palatino Linotype" w:hAnsi="Palatino Linotype" w:cs="Palatino Linotype"/>
          <w:b/>
          <w:bCs/>
        </w:rPr>
        <w:t xml:space="preserve"> </w:t>
      </w:r>
      <w:r>
        <w:rPr>
          <w:rFonts w:ascii="Palatino Linotype" w:eastAsia="Palatino Linotype" w:hAnsi="Palatino Linotype" w:cs="Palatino Linotype"/>
        </w:rPr>
        <w:t>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presentó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solicitud de información pública </w:t>
      </w:r>
      <w:r>
        <w:rPr>
          <w:rFonts w:ascii="Palatino Linotype" w:eastAsia="Palatino Linotype" w:hAnsi="Palatino Linotype" w:cs="Palatino Linotype"/>
          <w:b/>
          <w:bCs/>
        </w:rPr>
        <w:t>00003/ATIZARA/IP/2026</w:t>
      </w:r>
      <w:r>
        <w:rPr>
          <w:rFonts w:ascii="Palatino Linotype" w:eastAsia="Palatino Linotype" w:hAnsi="Palatino Linotype" w:cs="Palatino Linotype"/>
        </w:rPr>
        <w:t>, en la que solicitó:</w:t>
      </w:r>
    </w:p>
    <w:p w:rsidR="006878E6" w:rsidRDefault="006878E6">
      <w:pPr>
        <w:spacing w:line="360" w:lineRule="auto"/>
        <w:ind w:right="-561"/>
        <w:jc w:val="both"/>
        <w:rPr>
          <w:rFonts w:ascii="Palatino Linotype" w:eastAsia="Palatino Linotype" w:hAnsi="Palatino Linotype" w:cs="Palatino Linotype"/>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“NOMBRE DE LOS PROVEEDORES Y CONTRATISTAS QUE SE LES HAYAN REALIZADO PAGOS DURANTE LOS EJERCICIOS FISCALES DE 2024 Y 2025.” (Sic) </w:t>
      </w:r>
    </w:p>
    <w:p w:rsidR="006878E6" w:rsidRDefault="006878E6">
      <w:pPr>
        <w:pBdr>
          <w:top w:val="nil"/>
          <w:left w:val="nil"/>
          <w:bottom w:val="nil"/>
          <w:right w:val="nil"/>
          <w:between w:val="nil"/>
        </w:pBd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Se hace constar que se señaló como modalidad de entrega de la información a través del </w:t>
      </w:r>
      <w:r>
        <w:rPr>
          <w:rFonts w:ascii="Palatino Linotype" w:eastAsia="Palatino Linotype" w:hAnsi="Palatino Linotype" w:cs="Palatino Linotype"/>
          <w:b/>
          <w:bCs/>
        </w:rPr>
        <w:t>SAIMEX.</w:t>
      </w:r>
    </w:p>
    <w:p w:rsidR="006878E6" w:rsidRDefault="006878E6">
      <w:pPr>
        <w:ind w:right="-561"/>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El tres de febrero de dos mil veintiséis,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notificó una prórroga para atender la solicitud de información, en los siguientes términos:</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 xml:space="preserve">Con fundamento en los artículos 4, 23 fracción IV, 24 último párrafo, 53 fracción VI, 59, 160, 163 segundo párrafo y demás relativos de la Ley de Transparencia y Acceso a la Información </w:t>
      </w:r>
      <w:r>
        <w:rPr>
          <w:rFonts w:ascii="Palatino Linotype" w:eastAsia="Palatino Linotype" w:hAnsi="Palatino Linotype" w:cs="Palatino Linotype"/>
          <w:i/>
          <w:iCs/>
          <w:color w:val="000000"/>
        </w:rPr>
        <w:lastRenderedPageBreak/>
        <w:t>Pública del Estado de México y Municipios, se solicita la prórroga para la entrega de la información, ya que la entrega de la misma requiere un procesamiento, respecto de los cuales resulta necesario la búsqueda de la misma, además de la carga de actividades que se tiene para agilizar el proceso, por lo que resulta necesaria la ampliación de plazo legal para la correcta atención de dicha solicitud necesaria la ampliación de plazo legal para la correcta atención de dicha solicitud” (Sic)</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El doce de febrero de dos mil veintiséis, el </w:t>
      </w:r>
      <w:r>
        <w:rPr>
          <w:rFonts w:ascii="Palatino Linotype" w:eastAsia="Palatino Linotype" w:hAnsi="Palatino Linotype" w:cs="Palatino Linotype"/>
          <w:b/>
          <w:bCs/>
        </w:rPr>
        <w:t>SUJETO OBLIGADO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dio respuesta a la solicitud de información, en los siguientes términos:</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“SE ANEXA RESPUESTA Se atiende mediante oficio anexo EN ATENCIÓN A LA SOLICITUD DE INFORMACIÓN QUE NOS OCUPA, ME PERMITO INFORMARLE LO SIGUIENTE: (se anexa respuesta)” (Sic) </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spacing w:line="360" w:lineRule="auto"/>
        <w:ind w:right="-561"/>
        <w:jc w:val="both"/>
        <w:rPr>
          <w:rFonts w:ascii="Palatino Linotype" w:eastAsia="Palatino Linotype" w:hAnsi="Palatino Linotype" w:cs="Palatino Linotype"/>
          <w:b/>
          <w:bCs/>
        </w:rPr>
      </w:pPr>
      <w:r>
        <w:rPr>
          <w:rFonts w:ascii="Palatino Linotype" w:eastAsia="Palatino Linotype" w:hAnsi="Palatino Linotype" w:cs="Palatino Linotype"/>
          <w:b/>
          <w:bCs/>
        </w:rPr>
        <w:t>Archivos electrónicos adjuntos:</w:t>
      </w:r>
    </w:p>
    <w:p w:rsidR="006878E6" w:rsidRDefault="00A31BF3">
      <w:pPr>
        <w:ind w:left="567" w:right="-561"/>
        <w:jc w:val="both"/>
        <w:rPr>
          <w:rFonts w:ascii="Palatino Linotype" w:eastAsia="Palatino Linotype" w:hAnsi="Palatino Linotype" w:cs="Palatino Linotype"/>
        </w:rPr>
      </w:pPr>
      <w:hyperlink r:id="rId8">
        <w:r w:rsidR="00C175D8">
          <w:rPr>
            <w:rFonts w:ascii="Palatino Linotype" w:eastAsia="Palatino Linotype" w:hAnsi="Palatino Linotype" w:cs="Palatino Linotype"/>
            <w:b/>
            <w:bCs/>
            <w:color w:val="000000"/>
          </w:rPr>
          <w:t>00003-ATIZARA-IP-2026.pdf</w:t>
        </w:r>
      </w:hyperlink>
      <w:r w:rsidR="00C175D8">
        <w:rPr>
          <w:rFonts w:ascii="Palatino Linotype" w:eastAsia="Palatino Linotype" w:hAnsi="Palatino Linotype" w:cs="Palatino Linotype"/>
        </w:rPr>
        <w:t>: Oficio suscrito por el Tesorero Municipal, mediante el cual, refirió que la información solicitada no es competencia del área a su cargo, motivo por el cual sugirió requerir la misma a la Dirección de Administración y Obras Públicas, según las atribuciones estipuladas en el Bando Municipal de Atizapán de Zaragoza y el Reglamento Orgánico de la Administración Pública Municipal de Atizapán de Zaragoza.</w:t>
      </w:r>
    </w:p>
    <w:p w:rsidR="006878E6" w:rsidRDefault="006878E6">
      <w:pPr>
        <w:ind w:left="567" w:right="-561"/>
        <w:jc w:val="both"/>
        <w:rPr>
          <w:rFonts w:ascii="Palatino Linotype" w:eastAsia="Palatino Linotype" w:hAnsi="Palatino Linotype" w:cs="Palatino Linotype"/>
        </w:rPr>
      </w:pPr>
    </w:p>
    <w:p w:rsidR="006878E6" w:rsidRDefault="00A31BF3">
      <w:pPr>
        <w:ind w:left="567" w:right="-561"/>
        <w:jc w:val="both"/>
        <w:rPr>
          <w:rFonts w:ascii="Palatino Linotype" w:eastAsia="Palatino Linotype" w:hAnsi="Palatino Linotype" w:cs="Palatino Linotype"/>
        </w:rPr>
      </w:pPr>
      <w:hyperlink r:id="rId9">
        <w:r w:rsidR="00C175D8">
          <w:rPr>
            <w:rFonts w:ascii="Palatino Linotype" w:eastAsia="Palatino Linotype" w:hAnsi="Palatino Linotype" w:cs="Palatino Linotype"/>
            <w:b/>
            <w:bCs/>
            <w:color w:val="000000"/>
          </w:rPr>
          <w:t>003.pdf</w:t>
        </w:r>
      </w:hyperlink>
      <w:r w:rsidR="00C175D8">
        <w:rPr>
          <w:rFonts w:ascii="Palatino Linotype" w:eastAsia="Palatino Linotype" w:hAnsi="Palatino Linotype" w:cs="Palatino Linotype"/>
        </w:rPr>
        <w:t>: Oficio suscrito por el Director de Administración, mediante el cual, informó que se realizó la búsqueda exhaustiva y razonable en los archivos de la Dirección a su cargo, de la cual se desprende que no se cuenta con las facultades necesarias para conocer respecto del tema.</w:t>
      </w:r>
    </w:p>
    <w:p w:rsidR="006878E6" w:rsidRDefault="006878E6">
      <w:pPr>
        <w:ind w:left="567" w:right="-561"/>
        <w:jc w:val="both"/>
        <w:rPr>
          <w:rFonts w:ascii="Palatino Linotype" w:eastAsia="Palatino Linotype" w:hAnsi="Palatino Linotype" w:cs="Palatino Linotype"/>
        </w:rPr>
      </w:pPr>
    </w:p>
    <w:p w:rsidR="006878E6" w:rsidRDefault="00A31BF3">
      <w:pPr>
        <w:ind w:left="567" w:right="-561"/>
        <w:jc w:val="both"/>
        <w:rPr>
          <w:rFonts w:ascii="Palatino Linotype" w:eastAsia="Palatino Linotype" w:hAnsi="Palatino Linotype" w:cs="Palatino Linotype"/>
        </w:rPr>
      </w:pPr>
      <w:hyperlink r:id="rId10">
        <w:r w:rsidR="00C175D8">
          <w:rPr>
            <w:rFonts w:ascii="Palatino Linotype" w:eastAsia="Palatino Linotype" w:hAnsi="Palatino Linotype" w:cs="Palatino Linotype"/>
            <w:b/>
            <w:bCs/>
            <w:color w:val="000000"/>
          </w:rPr>
          <w:t>Solic</w:t>
        </w:r>
      </w:hyperlink>
      <w:hyperlink r:id="rId11">
        <w:r w:rsidR="00C175D8">
          <w:rPr>
            <w:rFonts w:ascii="Palatino Linotype" w:eastAsia="Palatino Linotype" w:hAnsi="Palatino Linotype" w:cs="Palatino Linotype"/>
            <w:b/>
            <w:bCs/>
            <w:color w:val="000000"/>
          </w:rPr>
          <w:t>. 003-2026.pdf</w:t>
        </w:r>
      </w:hyperlink>
      <w:r w:rsidR="00C175D8">
        <w:rPr>
          <w:rFonts w:ascii="Palatino Linotype" w:eastAsia="Palatino Linotype" w:hAnsi="Palatino Linotype" w:cs="Palatino Linotype"/>
        </w:rPr>
        <w:t>: Oficio suscrito por el Director de Obras Públicas, mediante el cual, refirió que la dependencia a su cargo no realiza pagos a las empresas contratistas que realizan obra pública en el Municipio de Atizapán de Zaragoza. Derivado de sus atribuciones se limita a tramitar el pago de anticipos, estimaciones y finiquitos de las obras contratadas.</w:t>
      </w:r>
    </w:p>
    <w:p w:rsidR="006878E6" w:rsidRDefault="006878E6">
      <w:pPr>
        <w:ind w:left="567"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lastRenderedPageBreak/>
        <w:t>El diecisiete de febrero de dos mil veintiséis,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en contra de la respuesta, señalando como:</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1"/>
        </w:numPr>
        <w:ind w:left="567" w:right="-561" w:hanging="141"/>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“NO SE ENTREGO LO SOLICITADO EN LA SOLICITUD, UNICAMENTE SE LIMITARON A ENTREGAR EL ALCANCE Y RESPOSABILIDADES DE CADA DIRECICON INVOLUCRADA.” (Sic)</w:t>
      </w:r>
    </w:p>
    <w:p w:rsidR="006878E6" w:rsidRDefault="006878E6">
      <w:pPr>
        <w:ind w:left="567" w:right="-561" w:hanging="141"/>
        <w:jc w:val="both"/>
        <w:rPr>
          <w:rFonts w:ascii="Palatino Linotype" w:eastAsia="Palatino Linotype" w:hAnsi="Palatino Linotype" w:cs="Palatino Linotype"/>
        </w:rPr>
      </w:pPr>
    </w:p>
    <w:p w:rsidR="006878E6" w:rsidRDefault="00C175D8">
      <w:pPr>
        <w:numPr>
          <w:ilvl w:val="0"/>
          <w:numId w:val="3"/>
        </w:numPr>
        <w:ind w:left="567" w:right="-561" w:hanging="141"/>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i/>
          <w:iCs/>
          <w:color w:val="000000"/>
        </w:rPr>
        <w:t>“No me fue proporcionada la información solicitada, toda vez que únicamente entregan documentos en los que enuncian los múltiples ordenamientos que señalan sus facultades de las áreas adscritas al sujeto obligado, información que no es de mi interés ya que se conoce de antemano. Aunado a ello deja ver que la unidad de transparencia de dicho sujeto obligado, incumple con lo establecido por el artículo 162 de la Ley de Transparencia y Acceso a la Información Publica del Estado de México ya que ninguna de las áreas denota que haya realizado una búsqueda exhaustiva y mucho menos razonable de la información solicitada, limitando mi derecho de conocer a que proveedores y a que contratistas le realizaron pagos con cargo al Presupuesto de Egresos del Municipio de Atizapán de Zaragoza durante los ejercicios fiscales 2024 y 2025. Cabe señalar que no estoy solicitando en ningún momento las atribuciones de la Tesorería Municipal, la Dirección de Administración o de la Dirección de Obras Públicas; mucho menos las ligas de IPOMEX que refieren al Catalogo de Proveedores y Contratistas respectivamente Y MUCHO MENOS A LO ESTABLECIDO EN EL ARTICULO 92 FRACCION XXIX DE LA LEY DE TRANSPARENCIA Y ACCESO A LA INFORMACION PUBLICA DEL ESTADO DE MEXICO; únicamente quiero saber a qué Proveedores y a que Contratistas se les realizo pago por cualquier concepto durante los ejercicios fiscales de 2024 y 2025.” (Sic)</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se turna a la </w:t>
      </w:r>
      <w:r>
        <w:rPr>
          <w:rFonts w:ascii="Palatino Linotype" w:eastAsia="Palatino Linotype" w:hAnsi="Palatino Linotype" w:cs="Palatino Linotype"/>
          <w:b/>
          <w:bCs/>
        </w:rPr>
        <w:t xml:space="preserve">Comisionada María del Rosario Mejía Ayala, </w:t>
      </w:r>
      <w:r>
        <w:rPr>
          <w:rFonts w:ascii="Palatino Linotype" w:eastAsia="Palatino Linotype" w:hAnsi="Palatino Linotype" w:cs="Palatino Linotype"/>
        </w:rPr>
        <w:t xml:space="preserve">para su análisis. </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rPr>
          <w:color w:val="000000"/>
        </w:rPr>
      </w:pPr>
      <w:r>
        <w:rPr>
          <w:rFonts w:ascii="Palatino Linotype" w:eastAsia="Palatino Linotype" w:hAnsi="Palatino Linotype" w:cs="Palatino Linotype"/>
        </w:rPr>
        <w:lastRenderedPageBreak/>
        <w:t xml:space="preserve">La Comisionada Ponente con fundamento en lo dispuesto por el artículo 185 fracción II de la ley de la materia, a través del acuerdo de admisión del veinte de febrero de dos mil veintiséis,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6878E6" w:rsidRDefault="006878E6">
      <w:pPr>
        <w:pBdr>
          <w:top w:val="nil"/>
          <w:left w:val="nil"/>
          <w:bottom w:val="nil"/>
          <w:right w:val="nil"/>
          <w:between w:val="nil"/>
        </w:pBdr>
        <w:ind w:right="-561"/>
        <w:rPr>
          <w:rFonts w:ascii="Palatino Linotype" w:eastAsia="Palatino Linotype" w:hAnsi="Palatino Linotype" w:cs="Palatino Linotype"/>
          <w:color w:val="000000"/>
        </w:rPr>
      </w:pPr>
    </w:p>
    <w:p w:rsidR="006878E6" w:rsidRDefault="00C175D8">
      <w:pPr>
        <w:numPr>
          <w:ilvl w:val="0"/>
          <w:numId w:val="4"/>
        </w:numPr>
        <w:pBdr>
          <w:top w:val="nil"/>
          <w:left w:val="nil"/>
          <w:bottom w:val="nil"/>
          <w:right w:val="nil"/>
          <w:between w:val="nil"/>
        </w:pBdr>
        <w:spacing w:line="360" w:lineRule="auto"/>
        <w:ind w:left="0" w:right="-561" w:firstLine="0"/>
        <w:jc w:val="both"/>
      </w:pPr>
      <w:r>
        <w:rPr>
          <w:rFonts w:ascii="Palatino Linotype" w:eastAsia="Palatino Linotype" w:hAnsi="Palatino Linotype" w:cs="Palatino Linotype"/>
        </w:rPr>
        <w:t xml:space="preserve">El veintisiete de febrero de dos mil veintiséis,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rindió el informe justificado correspondiente, mediante el archivo electrónico denominado </w:t>
      </w:r>
      <w:hyperlink r:id="rId12">
        <w:r>
          <w:rPr>
            <w:rFonts w:ascii="Palatino Linotype" w:eastAsia="Palatino Linotype" w:hAnsi="Palatino Linotype" w:cs="Palatino Linotype"/>
            <w:b/>
            <w:bCs/>
            <w:color w:val="000000"/>
          </w:rPr>
          <w:t>[Untitled]_2026022715472614.pdf</w:t>
        </w:r>
      </w:hyperlink>
      <w:r>
        <w:rPr>
          <w:rFonts w:ascii="Palatino Linotype" w:eastAsia="Palatino Linotype" w:hAnsi="Palatino Linotype" w:cs="Palatino Linotype"/>
        </w:rPr>
        <w:t>, a través del cual, ratificó la respuesta.</w:t>
      </w:r>
    </w:p>
    <w:p w:rsidR="006878E6" w:rsidRDefault="006878E6">
      <w:pPr>
        <w:pBdr>
          <w:top w:val="nil"/>
          <w:left w:val="nil"/>
          <w:bottom w:val="nil"/>
          <w:right w:val="nil"/>
          <w:between w:val="nil"/>
        </w:pBdr>
        <w:ind w:left="720" w:right="-561"/>
        <w:rPr>
          <w:rFonts w:ascii="Palatino Linotype" w:eastAsia="Palatino Linotype" w:hAnsi="Palatino Linotype" w:cs="Palatino Linotype"/>
          <w:color w:val="000000"/>
        </w:rPr>
      </w:pPr>
    </w:p>
    <w:p w:rsidR="006878E6" w:rsidRDefault="00C175D8">
      <w:pPr>
        <w:numPr>
          <w:ilvl w:val="0"/>
          <w:numId w:val="4"/>
        </w:numPr>
        <w:pBdr>
          <w:top w:val="nil"/>
          <w:left w:val="nil"/>
          <w:bottom w:val="nil"/>
          <w:right w:val="nil"/>
          <w:between w:val="nil"/>
        </w:pBdr>
        <w:spacing w:line="360" w:lineRule="auto"/>
        <w:ind w:left="0" w:right="-561" w:firstLine="0"/>
        <w:jc w:val="both"/>
      </w:pPr>
      <w:r>
        <w:rPr>
          <w:rFonts w:ascii="Palatino Linotype" w:eastAsia="Palatino Linotype" w:hAnsi="Palatino Linotype" w:cs="Palatino Linotype"/>
        </w:rPr>
        <w:t>Por su parte,</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dejó de realizar manifestaciones que a su derecho conviniera y asistiera.</w:t>
      </w:r>
    </w:p>
    <w:p w:rsidR="006878E6" w:rsidRDefault="006878E6">
      <w:pPr>
        <w:pBdr>
          <w:top w:val="nil"/>
          <w:left w:val="nil"/>
          <w:bottom w:val="nil"/>
          <w:right w:val="nil"/>
          <w:between w:val="nil"/>
        </w:pBdr>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La Comisionada Ponente decretó el cierre de instrucción mediante el acuerdo del uno de agosto de dos mil veintiséis. </w:t>
      </w:r>
    </w:p>
    <w:p w:rsidR="006878E6" w:rsidRDefault="006878E6">
      <w:pPr>
        <w:spacing w:line="360" w:lineRule="auto"/>
        <w:ind w:right="-561"/>
        <w:rPr>
          <w:rFonts w:ascii="Palatino Linotype" w:eastAsia="Palatino Linotype" w:hAnsi="Palatino Linotype" w:cs="Palatino Linotype"/>
          <w:b/>
          <w:bCs/>
        </w:rPr>
      </w:pPr>
    </w:p>
    <w:p w:rsidR="006878E6" w:rsidRDefault="00C175D8">
      <w:pPr>
        <w:keepNext/>
        <w:keepLines/>
        <w:spacing w:line="360" w:lineRule="auto"/>
        <w:ind w:right="-561"/>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6878E6" w:rsidRDefault="006878E6">
      <w:pPr>
        <w:keepNext/>
        <w:keepLines/>
        <w:spacing w:line="360" w:lineRule="auto"/>
        <w:ind w:right="-561"/>
        <w:rPr>
          <w:rFonts w:ascii="Palatino Linotype" w:eastAsia="Palatino Linotype" w:hAnsi="Palatino Linotype" w:cs="Palatino Linotype"/>
        </w:rPr>
      </w:pPr>
    </w:p>
    <w:p w:rsidR="006878E6" w:rsidRDefault="00C175D8">
      <w:pPr>
        <w:keepNext/>
        <w:keepLines/>
        <w:spacing w:line="360" w:lineRule="auto"/>
        <w:ind w:right="-561"/>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6878E6" w:rsidRDefault="00C175D8">
      <w:pPr>
        <w:numPr>
          <w:ilvl w:val="0"/>
          <w:numId w:val="4"/>
        </w:numPr>
        <w:spacing w:line="360" w:lineRule="auto"/>
        <w:ind w:left="0" w:right="-561" w:firstLine="0"/>
        <w:jc w:val="both"/>
      </w:pPr>
      <w:bookmarkStart w:id="2" w:name="_heading=h.3znysh7" w:colFirst="0" w:colLast="0"/>
      <w:bookmarkEnd w:id="2"/>
      <w:r>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w:t>
      </w:r>
      <w:r>
        <w:rPr>
          <w:rFonts w:ascii="Palatino Linotype" w:eastAsia="Palatino Linotype" w:hAnsi="Palatino Linotype" w:cs="Palatino Linotype"/>
        </w:rPr>
        <w:lastRenderedPageBreak/>
        <w:t>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6878E6" w:rsidRDefault="006878E6">
      <w:pPr>
        <w:spacing w:line="360" w:lineRule="auto"/>
        <w:ind w:left="644" w:right="-561"/>
        <w:jc w:val="both"/>
        <w:rPr>
          <w:rFonts w:ascii="Palatino Linotype" w:eastAsia="Palatino Linotype" w:hAnsi="Palatino Linotype" w:cs="Palatino Linotype"/>
        </w:rPr>
      </w:pPr>
      <w:bookmarkStart w:id="3" w:name="_heading=h.2v230knidey2" w:colFirst="0" w:colLast="0"/>
      <w:bookmarkEnd w:id="3"/>
    </w:p>
    <w:p w:rsidR="006878E6" w:rsidRDefault="00C175D8">
      <w:pPr>
        <w:keepNext/>
        <w:keepLines/>
        <w:spacing w:line="360" w:lineRule="auto"/>
        <w:ind w:right="-561"/>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bookmarkStart w:id="4" w:name="_heading=h.3dy6vkm" w:colFirst="0" w:colLast="0"/>
      <w:bookmarkEnd w:id="4"/>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doce de febrero de dos mil veintiséis, de tal forma que el plazo para interponer el recurso de revisión transcurrió del trece de febrero al seis de marzo de dos mil veintiséis; en consecuencia, presentó su inconformidad diecisiete de febrero de dos mil veintiséis, por lo que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878E6" w:rsidRDefault="006878E6">
      <w:pPr>
        <w:pBdr>
          <w:top w:val="nil"/>
          <w:left w:val="nil"/>
          <w:bottom w:val="nil"/>
          <w:right w:val="nil"/>
          <w:between w:val="nil"/>
        </w:pBdr>
        <w:ind w:left="720" w:right="-561"/>
        <w:rPr>
          <w:rFonts w:ascii="Palatino Linotype" w:eastAsia="Palatino Linotype" w:hAnsi="Palatino Linotype" w:cs="Palatino Linotype"/>
          <w:b/>
          <w:bCs/>
          <w:color w:val="000000"/>
        </w:rPr>
      </w:pPr>
    </w:p>
    <w:p w:rsidR="006878E6" w:rsidRDefault="00C175D8">
      <w:pPr>
        <w:pStyle w:val="Ttulo1"/>
        <w:spacing w:before="0" w:after="0" w:line="360" w:lineRule="auto"/>
        <w:ind w:right="-561"/>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lastRenderedPageBreak/>
        <w:t xml:space="preserve">TERCERO. Planteamiento de la </w:t>
      </w:r>
      <w:r>
        <w:rPr>
          <w:rFonts w:ascii="Palatino Linotype" w:eastAsia="Palatino Linotype" w:hAnsi="Palatino Linotype" w:cs="Palatino Linotype"/>
          <w:i/>
          <w:iCs/>
          <w:sz w:val="24"/>
          <w:szCs w:val="24"/>
        </w:rPr>
        <w:t>Litis</w:t>
      </w:r>
      <w:r>
        <w:rPr>
          <w:rFonts w:ascii="Palatino Linotype" w:eastAsia="Palatino Linotype" w:hAnsi="Palatino Linotype" w:cs="Palatino Linotype"/>
          <w:sz w:val="24"/>
          <w:szCs w:val="24"/>
        </w:rPr>
        <w:t>.</w:t>
      </w: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bookmarkStart w:id="5" w:name="_heading=h.rbc146vax4q9" w:colFirst="0" w:colLast="0"/>
      <w:bookmarkEnd w:id="5"/>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solicitó,</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 xml:space="preserve">el </w:t>
      </w:r>
      <w:r>
        <w:rPr>
          <w:rFonts w:ascii="Palatino Linotype" w:eastAsia="Palatino Linotype" w:hAnsi="Palatino Linotype" w:cs="Palatino Linotype"/>
          <w:b/>
          <w:bCs/>
          <w:color w:val="000000"/>
        </w:rPr>
        <w:t>nombre de los proveedores y contratistas a los que se les realizaron pagos durante 2024 y 2025.</w:t>
      </w:r>
    </w:p>
    <w:p w:rsidR="006878E6" w:rsidRDefault="006878E6">
      <w:pPr>
        <w:spacing w:line="360" w:lineRule="auto"/>
        <w:ind w:left="925" w:right="-561"/>
        <w:jc w:val="both"/>
        <w:rPr>
          <w:rFonts w:ascii="Palatino Linotype" w:eastAsia="Palatino Linotype" w:hAnsi="Palatino Linotype" w:cs="Palatino Linotype"/>
          <w:b/>
          <w:bCs/>
        </w:rPr>
      </w:pPr>
      <w:bookmarkStart w:id="6" w:name="_heading=h.b1ok1ye6u7tm" w:colFirst="0" w:colLast="0"/>
      <w:bookmarkEnd w:id="6"/>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emitió respuesta en términos del </w:t>
      </w:r>
      <w:r>
        <w:rPr>
          <w:rFonts w:ascii="Palatino Linotype" w:eastAsia="Palatino Linotype" w:hAnsi="Palatino Linotype" w:cs="Palatino Linotype"/>
          <w:b/>
          <w:bCs/>
        </w:rPr>
        <w:t>párrafo 4</w:t>
      </w:r>
      <w:r>
        <w:rPr>
          <w:rFonts w:ascii="Palatino Linotype" w:eastAsia="Palatino Linotype" w:hAnsi="Palatino Linotype" w:cs="Palatino Linotype"/>
        </w:rPr>
        <w:t xml:space="preserve"> de la presente resolución.</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Inconforme con la respuesta, el Solicitante interpuso el recurso de revisión en el que manifestó </w:t>
      </w:r>
      <w:r>
        <w:rPr>
          <w:rFonts w:ascii="Palatino Linotype" w:eastAsia="Palatino Linotype" w:hAnsi="Palatino Linotype" w:cs="Palatino Linotype"/>
          <w:b/>
          <w:bCs/>
        </w:rPr>
        <w:t>la negativa de la información solicitada.</w:t>
      </w:r>
    </w:p>
    <w:p w:rsidR="006878E6" w:rsidRDefault="006878E6">
      <w:pPr>
        <w:pBdr>
          <w:top w:val="nil"/>
          <w:left w:val="nil"/>
          <w:bottom w:val="nil"/>
          <w:right w:val="nil"/>
          <w:between w:val="nil"/>
        </w:pBdr>
        <w:spacing w:line="360" w:lineRule="auto"/>
        <w:ind w:left="720" w:right="-561"/>
        <w:rPr>
          <w:rFonts w:ascii="Palatino Linotype" w:eastAsia="Palatino Linotype" w:hAnsi="Palatino Linotype" w:cs="Palatino Linotype"/>
          <w:color w:val="000000"/>
        </w:rPr>
      </w:pP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Pr>
          <w:rFonts w:ascii="Palatino Linotype" w:eastAsia="Palatino Linotype" w:hAnsi="Palatino Linotype" w:cs="Palatino Linotype"/>
          <w:b/>
          <w:bCs/>
        </w:rPr>
        <w:t xml:space="preserve"> I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pStyle w:val="Ttulo2"/>
        <w:spacing w:before="0" w:line="360" w:lineRule="auto"/>
        <w:ind w:right="-56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CUARTA. Estudio y resolución del asunto.</w:t>
      </w: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Pr>
          <w:rFonts w:ascii="Palatino Linotype" w:eastAsia="Palatino Linotype" w:hAnsi="Palatino Linotype" w:cs="Palatino Linotype"/>
        </w:rPr>
        <w:t>Particular</w:t>
      </w:r>
      <w:r>
        <w:rPr>
          <w:rFonts w:ascii="Palatino Linotype" w:eastAsia="Palatino Linotype" w:hAnsi="Palatino Linotype" w:cs="Palatino Linotype"/>
          <w:color w:val="000000"/>
        </w:rPr>
        <w:t xml:space="preserve"> del Estado de México.</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pBdr>
          <w:top w:val="nil"/>
          <w:left w:val="nil"/>
          <w:bottom w:val="nil"/>
          <w:right w:val="nil"/>
          <w:between w:val="nil"/>
        </w:pBdr>
        <w:spacing w:line="360" w:lineRule="auto"/>
        <w:ind w:left="0" w:right="-561" w:firstLine="0"/>
        <w:jc w:val="both"/>
        <w:rPr>
          <w:color w:val="000000"/>
        </w:rPr>
      </w:pPr>
      <w:r>
        <w:rPr>
          <w:rFonts w:ascii="Palatino Linotype" w:eastAsia="Palatino Linotype" w:hAnsi="Palatino Linotype" w:cs="Palatino Linotype"/>
          <w:color w:val="000000"/>
        </w:rPr>
        <w:lastRenderedPageBreak/>
        <w:t xml:space="preserve">Definiendo el Derecho de Acceso a la Información Pública como: </w:t>
      </w:r>
      <w:r>
        <w:rPr>
          <w:rFonts w:ascii="Palatino Linotype" w:eastAsia="Palatino Linotype" w:hAnsi="Palatino Linotype" w:cs="Palatino Linotype"/>
          <w:i/>
          <w:iCs/>
          <w:color w:val="000000"/>
        </w:rPr>
        <w:t xml:space="preserve">La igualdad de </w:t>
      </w:r>
      <w:r>
        <w:rPr>
          <w:rFonts w:ascii="Palatino Linotype" w:eastAsia="Palatino Linotype" w:hAnsi="Palatino Linotype" w:cs="Palatino Linotype"/>
          <w:color w:val="000000"/>
        </w:rPr>
        <w:t>oportunidades</w:t>
      </w:r>
      <w:r>
        <w:rPr>
          <w:rFonts w:ascii="Palatino Linotype" w:eastAsia="Palatino Linotype" w:hAnsi="Palatino Linotype" w:cs="Palatino Linotype"/>
          <w:i/>
          <w:iCs/>
          <w:color w:val="000000"/>
        </w:rPr>
        <w:t xml:space="preserve"> para recibir, buscar e impartir información</w:t>
      </w:r>
      <w:r>
        <w:rPr>
          <w:rFonts w:ascii="Palatino Linotype" w:eastAsia="Palatino Linotype" w:hAnsi="Palatino Linotype" w:cs="Palatino Linotype"/>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6878E6" w:rsidRDefault="006878E6">
      <w:pPr>
        <w:spacing w:line="360" w:lineRule="auto"/>
        <w:ind w:right="-561"/>
        <w:rPr>
          <w:rFonts w:ascii="Palatino Linotype" w:eastAsia="Palatino Linotype" w:hAnsi="Palatino Linotype" w:cs="Palatino Linotype"/>
          <w:color w:val="000000"/>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6878E6" w:rsidRDefault="00C175D8">
      <w:pPr>
        <w:tabs>
          <w:tab w:val="left" w:pos="8789"/>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6878E6" w:rsidRDefault="00C175D8">
      <w:pPr>
        <w:tabs>
          <w:tab w:val="left" w:pos="8789"/>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878E6" w:rsidRDefault="00C175D8">
      <w:pPr>
        <w:tabs>
          <w:tab w:val="left" w:pos="8789"/>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universalidad, interdependencia, indivisibilidad y progresividad. En consecuencia, el Estado deberá prevenir, </w:t>
      </w:r>
      <w:r>
        <w:rPr>
          <w:rFonts w:ascii="Palatino Linotype" w:eastAsia="Palatino Linotype" w:hAnsi="Palatino Linotype" w:cs="Palatino Linotype"/>
          <w:i/>
          <w:iCs/>
        </w:rPr>
        <w:lastRenderedPageBreak/>
        <w:t>investigar, sancionar y reparar las violaciones a los derechos humanos, en los términos que establezca la ley.</w:t>
      </w:r>
    </w:p>
    <w:p w:rsidR="006878E6" w:rsidRDefault="00C175D8">
      <w:pPr>
        <w:tabs>
          <w:tab w:val="left" w:pos="8789"/>
        </w:tabs>
        <w:ind w:left="567" w:right="-56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6878E6" w:rsidRDefault="006878E6">
      <w:pPr>
        <w:ind w:left="567" w:right="-561"/>
        <w:jc w:val="both"/>
        <w:rPr>
          <w:rFonts w:ascii="Palatino Linotype" w:eastAsia="Palatino Linotype" w:hAnsi="Palatino Linotype" w:cs="Palatino Linotype"/>
          <w:b/>
          <w:bCs/>
          <w:i/>
          <w:iCs/>
        </w:rPr>
      </w:pP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w:t>
      </w:r>
      <w:r>
        <w:rPr>
          <w:rFonts w:ascii="Palatino Linotype" w:eastAsia="Palatino Linotype" w:hAnsi="Palatino Linotype" w:cs="Palatino Linotype"/>
          <w:b/>
          <w:bCs/>
          <w:i/>
          <w:iCs/>
        </w:rPr>
        <w:lastRenderedPageBreak/>
        <w:t>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878E6" w:rsidRDefault="006878E6">
      <w:pPr>
        <w:tabs>
          <w:tab w:val="left" w:pos="426"/>
          <w:tab w:val="left" w:pos="567"/>
        </w:tabs>
        <w:ind w:left="567" w:right="-561"/>
        <w:jc w:val="both"/>
        <w:rPr>
          <w:rFonts w:ascii="Palatino Linotype" w:eastAsia="Palatino Linotype" w:hAnsi="Palatino Linotype" w:cs="Palatino Linotype"/>
          <w:color w:val="000000"/>
        </w:rPr>
      </w:pP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6878E6" w:rsidRDefault="00C175D8">
      <w:pPr>
        <w:ind w:left="567" w:right="-561"/>
        <w:jc w:val="both"/>
        <w:rPr>
          <w:rFonts w:ascii="Palatino Linotype" w:eastAsia="Palatino Linotype" w:hAnsi="Palatino Linotype" w:cs="Palatino Linotype"/>
          <w:b/>
          <w:bCs/>
        </w:rPr>
      </w:pPr>
      <w:r>
        <w:rPr>
          <w:rFonts w:ascii="Palatino Linotype" w:eastAsia="Palatino Linotype" w:hAnsi="Palatino Linotype" w:cs="Palatino Linotype"/>
          <w:b/>
          <w:bCs/>
          <w:i/>
          <w:iCs/>
        </w:rPr>
        <w:t>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878E6" w:rsidRDefault="006878E6">
      <w:pPr>
        <w:spacing w:line="360" w:lineRule="auto"/>
        <w:ind w:right="-561"/>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color w:val="000000"/>
        </w:rPr>
        <w:t xml:space="preserve">Según </w:t>
      </w:r>
      <w:r>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rPr>
        <w:t xml:space="preserve">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878E6" w:rsidRDefault="006878E6">
      <w:pPr>
        <w:spacing w:line="360" w:lineRule="auto"/>
        <w:ind w:right="-561"/>
        <w:rPr>
          <w:rFonts w:ascii="Palatino Linotype" w:eastAsia="Palatino Linotype" w:hAnsi="Palatino Linotype" w:cs="Palatino Linotype"/>
          <w:b/>
          <w:bCs/>
        </w:rPr>
      </w:pPr>
    </w:p>
    <w:p w:rsidR="006878E6" w:rsidRDefault="00C175D8">
      <w:pPr>
        <w:keepNext/>
        <w:keepLines/>
        <w:numPr>
          <w:ilvl w:val="1"/>
          <w:numId w:val="5"/>
        </w:numPr>
        <w:spacing w:line="360" w:lineRule="auto"/>
        <w:ind w:left="567" w:right="-561"/>
        <w:jc w:val="both"/>
        <w:rPr>
          <w:rFonts w:ascii="Palatino Linotype" w:eastAsia="Palatino Linotype" w:hAnsi="Palatino Linotype" w:cs="Palatino Linotype"/>
          <w:b/>
          <w:bCs/>
        </w:rPr>
      </w:pPr>
      <w:r>
        <w:rPr>
          <w:rFonts w:ascii="Palatino Linotype" w:eastAsia="Palatino Linotype" w:hAnsi="Palatino Linotype" w:cs="Palatino Linotype"/>
          <w:b/>
          <w:bCs/>
        </w:rPr>
        <w:t>De la información solicitada y la respuesta del SUJETO OBLIGADO.</w:t>
      </w:r>
    </w:p>
    <w:p w:rsidR="006878E6" w:rsidRDefault="00C175D8">
      <w:pPr>
        <w:numPr>
          <w:ilvl w:val="0"/>
          <w:numId w:val="4"/>
        </w:numPr>
        <w:spacing w:line="360" w:lineRule="auto"/>
        <w:ind w:left="0" w:right="-561" w:firstLine="0"/>
        <w:jc w:val="both"/>
      </w:pPr>
      <w:bookmarkStart w:id="7" w:name="_heading=h.30j0zll" w:colFirst="0" w:colLast="0"/>
      <w:bookmarkEnd w:id="7"/>
      <w:r>
        <w:rPr>
          <w:rFonts w:ascii="Palatino Linotype" w:eastAsia="Palatino Linotype" w:hAnsi="Palatino Linotype" w:cs="Palatino Linotype"/>
        </w:rPr>
        <w:t xml:space="preserve">Derivado del Planteamiento de la </w:t>
      </w:r>
      <w:r>
        <w:rPr>
          <w:rFonts w:ascii="Palatino Linotype" w:eastAsia="Palatino Linotype" w:hAnsi="Palatino Linotype" w:cs="Palatino Linotype"/>
          <w:i/>
          <w:iCs/>
        </w:rPr>
        <w:t>Litis</w:t>
      </w:r>
      <w:r>
        <w:rPr>
          <w:rFonts w:ascii="Palatino Linotype" w:eastAsia="Palatino Linotype" w:hAnsi="Palatino Linotype" w:cs="Palatino Linotype"/>
        </w:rPr>
        <w:t>,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6878E6" w:rsidRDefault="006878E6">
      <w:pPr>
        <w:spacing w:line="360" w:lineRule="auto"/>
        <w:ind w:right="-561"/>
        <w:jc w:val="both"/>
        <w:rPr>
          <w:rFonts w:ascii="Palatino Linotype" w:eastAsia="Palatino Linotype" w:hAnsi="Palatino Linotype" w:cs="Palatino Linotype"/>
          <w:b/>
          <w:bCs/>
        </w:rPr>
      </w:pPr>
    </w:p>
    <w:p w:rsidR="006878E6" w:rsidRPr="00AB4C28"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Así, resulta conveniente reiterar la información solicitada por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así como la respuesta emitida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mediante el siguiente cuadro descriptivo:</w:t>
      </w:r>
    </w:p>
    <w:p w:rsidR="00AB4C28" w:rsidRDefault="00AB4C28" w:rsidP="00AB4C28">
      <w:pPr>
        <w:pStyle w:val="Prrafodelista"/>
        <w:rPr>
          <w:rFonts w:ascii="Palatino Linotype" w:eastAsia="Palatino Linotype" w:hAnsi="Palatino Linotype" w:cs="Palatino Linotype"/>
          <w:b/>
          <w:bCs/>
        </w:rPr>
      </w:pPr>
    </w:p>
    <w:p w:rsidR="00AB4C28" w:rsidRDefault="00AB4C28" w:rsidP="00AB4C28">
      <w:pPr>
        <w:spacing w:line="360" w:lineRule="auto"/>
        <w:ind w:right="-561"/>
        <w:jc w:val="both"/>
        <w:rPr>
          <w:rFonts w:ascii="Palatino Linotype" w:eastAsia="Palatino Linotype" w:hAnsi="Palatino Linotype" w:cs="Palatino Linotype"/>
          <w:b/>
          <w:bCs/>
        </w:rPr>
      </w:pPr>
    </w:p>
    <w:p w:rsidR="00AB4C28" w:rsidRDefault="00AB4C28" w:rsidP="00AB4C28">
      <w:pPr>
        <w:spacing w:line="360" w:lineRule="auto"/>
        <w:ind w:right="-561"/>
        <w:jc w:val="both"/>
        <w:rPr>
          <w:rFonts w:ascii="Palatino Linotype" w:eastAsia="Palatino Linotype" w:hAnsi="Palatino Linotype" w:cs="Palatino Linotype"/>
          <w:b/>
          <w:bCs/>
        </w:rPr>
      </w:pPr>
    </w:p>
    <w:tbl>
      <w:tblPr>
        <w:tblStyle w:val="a"/>
        <w:tblW w:w="100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6480"/>
      </w:tblGrid>
      <w:tr w:rsidR="006878E6">
        <w:tc>
          <w:tcPr>
            <w:tcW w:w="3600" w:type="dxa"/>
            <w:shd w:val="clear" w:color="auto" w:fill="D9D9D9"/>
          </w:tcPr>
          <w:p w:rsidR="006878E6" w:rsidRDefault="00C175D8">
            <w:pPr>
              <w:ind w:right="40"/>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Información Solicitada</w:t>
            </w:r>
          </w:p>
        </w:tc>
        <w:tc>
          <w:tcPr>
            <w:tcW w:w="6480" w:type="dxa"/>
            <w:shd w:val="clear" w:color="auto" w:fill="D9D9D9"/>
          </w:tcPr>
          <w:p w:rsidR="006878E6" w:rsidRDefault="00C175D8">
            <w:pPr>
              <w:ind w:right="40"/>
              <w:jc w:val="center"/>
              <w:rPr>
                <w:rFonts w:ascii="Palatino Linotype" w:eastAsia="Palatino Linotype" w:hAnsi="Palatino Linotype" w:cs="Palatino Linotype"/>
                <w:b/>
                <w:bCs/>
              </w:rPr>
            </w:pPr>
            <w:r>
              <w:rPr>
                <w:rFonts w:ascii="Palatino Linotype" w:eastAsia="Palatino Linotype" w:hAnsi="Palatino Linotype" w:cs="Palatino Linotype"/>
                <w:b/>
                <w:bCs/>
              </w:rPr>
              <w:t>Respuesta</w:t>
            </w:r>
          </w:p>
        </w:tc>
      </w:tr>
      <w:tr w:rsidR="006878E6">
        <w:trPr>
          <w:trHeight w:val="70"/>
        </w:trPr>
        <w:tc>
          <w:tcPr>
            <w:tcW w:w="3600" w:type="dxa"/>
          </w:tcPr>
          <w:p w:rsidR="006878E6" w:rsidRDefault="00C175D8">
            <w:pPr>
              <w:ind w:right="40"/>
              <w:jc w:val="both"/>
              <w:rPr>
                <w:rFonts w:ascii="Palatino Linotype" w:eastAsia="Palatino Linotype" w:hAnsi="Palatino Linotype" w:cs="Palatino Linotype"/>
                <w:b/>
                <w:bCs/>
                <w:i/>
                <w:iCs/>
              </w:rPr>
            </w:pPr>
            <w:r>
              <w:rPr>
                <w:rFonts w:ascii="Palatino Linotype" w:eastAsia="Palatino Linotype" w:hAnsi="Palatino Linotype" w:cs="Palatino Linotype"/>
                <w:b/>
                <w:bCs/>
              </w:rPr>
              <w:t xml:space="preserve">El </w:t>
            </w:r>
            <w:r>
              <w:rPr>
                <w:rFonts w:ascii="Palatino Linotype" w:eastAsia="Palatino Linotype" w:hAnsi="Palatino Linotype" w:cs="Palatino Linotype"/>
                <w:b/>
                <w:bCs/>
                <w:color w:val="000000"/>
              </w:rPr>
              <w:t>nombre de los proveedores y contratistas a los que se les realizaron pagos durante 2024 y 2025.</w:t>
            </w:r>
          </w:p>
        </w:tc>
        <w:tc>
          <w:tcPr>
            <w:tcW w:w="6480" w:type="dxa"/>
          </w:tcPr>
          <w:p w:rsidR="006878E6" w:rsidRDefault="00C175D8">
            <w:pPr>
              <w:ind w:right="4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Tesorero Municipal, refirió que la información solicitada </w:t>
            </w:r>
            <w:r>
              <w:rPr>
                <w:rFonts w:ascii="Palatino Linotype" w:eastAsia="Palatino Linotype" w:hAnsi="Palatino Linotype" w:cs="Palatino Linotype"/>
                <w:b/>
                <w:bCs/>
              </w:rPr>
              <w:t>no es competencia del área a su cargo, motivo por el cual sugirió requerir la misma a la Dirección de Administración y Obras Públicas.</w:t>
            </w:r>
          </w:p>
          <w:p w:rsidR="006878E6" w:rsidRDefault="006878E6">
            <w:pPr>
              <w:ind w:left="567" w:right="40"/>
              <w:jc w:val="both"/>
              <w:rPr>
                <w:rFonts w:ascii="Palatino Linotype" w:eastAsia="Palatino Linotype" w:hAnsi="Palatino Linotype" w:cs="Palatino Linotype"/>
                <w:b/>
                <w:bCs/>
              </w:rPr>
            </w:pPr>
          </w:p>
          <w:p w:rsidR="006878E6" w:rsidRDefault="00C175D8">
            <w:pPr>
              <w:ind w:right="40"/>
              <w:jc w:val="both"/>
              <w:rPr>
                <w:rFonts w:ascii="Palatino Linotype" w:eastAsia="Palatino Linotype" w:hAnsi="Palatino Linotype" w:cs="Palatino Linotype"/>
              </w:rPr>
            </w:pPr>
            <w:r>
              <w:rPr>
                <w:rFonts w:ascii="Palatino Linotype" w:eastAsia="Palatino Linotype" w:hAnsi="Palatino Linotype" w:cs="Palatino Linotype"/>
              </w:rPr>
              <w:t xml:space="preserve">El Director de Administración, informó que se realizó la búsqueda exhaustiva y razonable en los archivos de la Dirección a su cargo, de la cual se desprende que, </w:t>
            </w:r>
            <w:r>
              <w:rPr>
                <w:rFonts w:ascii="Palatino Linotype" w:eastAsia="Palatino Linotype" w:hAnsi="Palatino Linotype" w:cs="Palatino Linotype"/>
                <w:b/>
                <w:bCs/>
              </w:rPr>
              <w:t>no se cuenta con las facultades necesarias para conocer respecto del tema</w:t>
            </w:r>
            <w:r>
              <w:rPr>
                <w:rFonts w:ascii="Palatino Linotype" w:eastAsia="Palatino Linotype" w:hAnsi="Palatino Linotype" w:cs="Palatino Linotype"/>
              </w:rPr>
              <w:t>.</w:t>
            </w:r>
          </w:p>
          <w:p w:rsidR="006878E6" w:rsidRDefault="006878E6">
            <w:pPr>
              <w:ind w:left="567" w:right="40"/>
              <w:jc w:val="both"/>
              <w:rPr>
                <w:rFonts w:ascii="Palatino Linotype" w:eastAsia="Palatino Linotype" w:hAnsi="Palatino Linotype" w:cs="Palatino Linotype"/>
              </w:rPr>
            </w:pPr>
          </w:p>
          <w:p w:rsidR="006878E6" w:rsidRDefault="00C175D8">
            <w:pPr>
              <w:ind w:right="40"/>
              <w:jc w:val="both"/>
              <w:rPr>
                <w:rFonts w:ascii="Palatino Linotype" w:eastAsia="Palatino Linotype" w:hAnsi="Palatino Linotype" w:cs="Palatino Linotype"/>
              </w:rPr>
            </w:pPr>
            <w:r>
              <w:rPr>
                <w:rFonts w:ascii="Palatino Linotype" w:eastAsia="Palatino Linotype" w:hAnsi="Palatino Linotype" w:cs="Palatino Linotype"/>
              </w:rPr>
              <w:t xml:space="preserve">El Director de Obras Públicas, refirió que la dependencia a su cargo </w:t>
            </w:r>
            <w:r>
              <w:rPr>
                <w:rFonts w:ascii="Palatino Linotype" w:eastAsia="Palatino Linotype" w:hAnsi="Palatino Linotype" w:cs="Palatino Linotype"/>
                <w:b/>
                <w:bCs/>
              </w:rPr>
              <w:t>no realiza pagos a las empresas contratistas que realizan obra pública en el Municipio de Atizapán de Zaragoza.</w:t>
            </w:r>
            <w:r>
              <w:rPr>
                <w:rFonts w:ascii="Palatino Linotype" w:eastAsia="Palatino Linotype" w:hAnsi="Palatino Linotype" w:cs="Palatino Linotype"/>
              </w:rPr>
              <w:t xml:space="preserve"> Derivado de sus atribuciones se limita a tramitar el pago de anticipos, estimaciones y finiquitos de las obras contratadas.</w:t>
            </w:r>
          </w:p>
          <w:p w:rsidR="006878E6" w:rsidRDefault="006878E6">
            <w:pPr>
              <w:ind w:right="40"/>
              <w:jc w:val="both"/>
              <w:rPr>
                <w:rFonts w:ascii="Palatino Linotype" w:eastAsia="Palatino Linotype" w:hAnsi="Palatino Linotype" w:cs="Palatino Linotype"/>
              </w:rPr>
            </w:pPr>
          </w:p>
        </w:tc>
      </w:tr>
    </w:tbl>
    <w:p w:rsidR="006878E6" w:rsidRDefault="006878E6">
      <w:pPr>
        <w:spacing w:line="360" w:lineRule="auto"/>
        <w:ind w:right="-561"/>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bookmarkStart w:id="8" w:name="_heading=h.2s8eyo1" w:colFirst="0" w:colLast="0"/>
      <w:bookmarkEnd w:id="8"/>
      <w:r>
        <w:rPr>
          <w:rFonts w:ascii="Palatino Linotype" w:eastAsia="Palatino Linotype" w:hAnsi="Palatino Linotype" w:cs="Palatino Linotype"/>
        </w:rPr>
        <w:t>En este sentido,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se inconforma </w:t>
      </w:r>
      <w:r>
        <w:rPr>
          <w:rFonts w:ascii="Palatino Linotype" w:eastAsia="Palatino Linotype" w:hAnsi="Palatino Linotype" w:cs="Palatino Linotype"/>
          <w:b/>
          <w:bCs/>
        </w:rPr>
        <w:t>por la negativa de la información solicitada.</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Precisado lo anterior, </w:t>
      </w:r>
      <w:r w:rsidR="0004237C">
        <w:rPr>
          <w:rFonts w:ascii="Palatino Linotype" w:eastAsia="Palatino Linotype" w:hAnsi="Palatino Linotype" w:cs="Palatino Linotype"/>
          <w:color w:val="000000"/>
        </w:rPr>
        <w:t xml:space="preserve">cabe </w:t>
      </w:r>
      <w:r>
        <w:rPr>
          <w:rFonts w:ascii="Palatino Linotype" w:eastAsia="Palatino Linotype" w:hAnsi="Palatino Linotype" w:cs="Palatino Linotype"/>
          <w:color w:val="000000"/>
        </w:rPr>
        <w:t xml:space="preserve">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w:t>
      </w:r>
      <w:r>
        <w:rPr>
          <w:rFonts w:ascii="Palatino Linotype" w:eastAsia="Palatino Linotype" w:hAnsi="Palatino Linotype" w:cs="Palatino Linotype"/>
          <w:color w:val="000000"/>
        </w:rPr>
        <w:lastRenderedPageBreak/>
        <w:t>a los hablantes de lengua indígena con el objeto de otorgar la protección más amplia del derecho de las personas.</w:t>
      </w:r>
    </w:p>
    <w:p w:rsidR="006878E6" w:rsidRDefault="006878E6">
      <w:pPr>
        <w:ind w:right="-561"/>
        <w:rPr>
          <w:rFonts w:ascii="Palatino Linotype" w:eastAsia="Palatino Linotype" w:hAnsi="Palatino Linotype" w:cs="Palatino Linotype"/>
          <w:color w:val="000000"/>
        </w:rPr>
      </w:pPr>
    </w:p>
    <w:p w:rsidR="006878E6" w:rsidRDefault="00C175D8">
      <w:pPr>
        <w:numPr>
          <w:ilvl w:val="0"/>
          <w:numId w:val="4"/>
        </w:numPr>
        <w:pBdr>
          <w:top w:val="nil"/>
          <w:left w:val="nil"/>
          <w:bottom w:val="nil"/>
          <w:right w:val="nil"/>
          <w:between w:val="nil"/>
        </w:pBdr>
        <w:spacing w:line="360" w:lineRule="auto"/>
        <w:ind w:left="0" w:right="-561" w:firstLine="0"/>
        <w:jc w:val="both"/>
        <w:rPr>
          <w:color w:val="000000"/>
        </w:rPr>
      </w:pPr>
      <w:r>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Pr>
          <w:rFonts w:ascii="Palatino Linotype" w:eastAsia="Palatino Linotype" w:hAnsi="Palatino Linotype" w:cs="Palatino Linotype"/>
          <w:color w:val="000000"/>
          <w:vertAlign w:val="superscript"/>
        </w:rPr>
        <w:footnoteReference w:id="5"/>
      </w:r>
      <w:r>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los términos de la Ley General y la Ley de Transparencia y Acceso a la Información Pública del Estado de México y Municipios</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6878E6" w:rsidRDefault="00C175D8">
      <w:pPr>
        <w:numPr>
          <w:ilvl w:val="1"/>
          <w:numId w:val="6"/>
        </w:numPr>
        <w:ind w:left="709" w:right="-56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Recibir, tramitar y dar respuesta a las solicitudes de acceso a la información;</w:t>
      </w:r>
    </w:p>
    <w:p w:rsidR="006878E6" w:rsidRDefault="00C175D8">
      <w:pPr>
        <w:numPr>
          <w:ilvl w:val="1"/>
          <w:numId w:val="6"/>
        </w:numPr>
        <w:ind w:left="709" w:right="-56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6878E6" w:rsidRDefault="00C175D8">
      <w:pPr>
        <w:numPr>
          <w:ilvl w:val="1"/>
          <w:numId w:val="6"/>
        </w:numPr>
        <w:ind w:left="709" w:right="-56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Entregar, en su caso, a los particulares la información solicitada; y </w:t>
      </w:r>
    </w:p>
    <w:p w:rsidR="006878E6" w:rsidRDefault="00C175D8">
      <w:pPr>
        <w:numPr>
          <w:ilvl w:val="1"/>
          <w:numId w:val="6"/>
        </w:numPr>
        <w:ind w:left="709" w:right="-56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Efectuar las notificaciones a los solicitantes.</w:t>
      </w:r>
    </w:p>
    <w:p w:rsidR="006878E6" w:rsidRDefault="006878E6">
      <w:pPr>
        <w:ind w:left="709" w:right="-561"/>
        <w:jc w:val="both"/>
        <w:rPr>
          <w:rFonts w:ascii="Palatino Linotype" w:eastAsia="Palatino Linotype" w:hAnsi="Palatino Linotype" w:cs="Palatino Linotype"/>
          <w:color w:val="000000"/>
        </w:rPr>
      </w:pP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a propuesta del responsable de la Unidad de Transparencia</w:t>
      </w:r>
      <w:r>
        <w:rPr>
          <w:rFonts w:ascii="Palatino Linotype" w:eastAsia="Palatino Linotype" w:hAnsi="Palatino Linotype" w:cs="Palatino Linotype"/>
          <w:vertAlign w:val="superscript"/>
        </w:rPr>
        <w:footnoteReference w:id="7"/>
      </w:r>
      <w:r>
        <w:rPr>
          <w:rFonts w:ascii="Palatino Linotype" w:eastAsia="Palatino Linotype" w:hAnsi="Palatino Linotype" w:cs="Palatino Linotype"/>
          <w:color w:val="000000"/>
        </w:rPr>
        <w:t xml:space="preserve"> y tendrán, entre sus atribuciones, las siguientes</w:t>
      </w:r>
      <w:r>
        <w:rPr>
          <w:rFonts w:ascii="Palatino Linotype" w:eastAsia="Palatino Linotype" w:hAnsi="Palatino Linotype" w:cs="Palatino Linotype"/>
          <w:vertAlign w:val="superscript"/>
        </w:rPr>
        <w:footnoteReference w:id="8"/>
      </w:r>
      <w:r>
        <w:rPr>
          <w:rFonts w:ascii="Palatino Linotype" w:eastAsia="Palatino Linotype" w:hAnsi="Palatino Linotype" w:cs="Palatino Linotype"/>
          <w:color w:val="000000"/>
        </w:rPr>
        <w:t>:</w:t>
      </w:r>
    </w:p>
    <w:p w:rsidR="006878E6" w:rsidRDefault="00C175D8">
      <w:pPr>
        <w:numPr>
          <w:ilvl w:val="1"/>
          <w:numId w:val="2"/>
        </w:numPr>
        <w:ind w:left="709" w:right="-56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Localizar la información que le solicite la Unidad de Transparencia; y</w:t>
      </w:r>
    </w:p>
    <w:p w:rsidR="006878E6" w:rsidRDefault="00C175D8">
      <w:pPr>
        <w:numPr>
          <w:ilvl w:val="1"/>
          <w:numId w:val="2"/>
        </w:numPr>
        <w:ind w:left="709" w:right="-561" w:hanging="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Proporcionar la información que obre en los archivos y que le sea solicitada por la Unidad de Transparencia.</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pBdr>
          <w:top w:val="nil"/>
          <w:left w:val="nil"/>
          <w:bottom w:val="nil"/>
          <w:right w:val="nil"/>
          <w:between w:val="nil"/>
        </w:pBdr>
        <w:spacing w:line="360" w:lineRule="auto"/>
        <w:ind w:left="0" w:right="-56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 tal manera que cada una de las áreas administrativas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6878E6" w:rsidRDefault="006878E6">
      <w:pPr>
        <w:pBdr>
          <w:top w:val="nil"/>
          <w:left w:val="nil"/>
          <w:bottom w:val="nil"/>
          <w:right w:val="nil"/>
          <w:between w:val="nil"/>
        </w:pBdr>
        <w:spacing w:line="360" w:lineRule="auto"/>
        <w:ind w:right="-561"/>
        <w:jc w:val="both"/>
        <w:rPr>
          <w:rFonts w:ascii="Palatino Linotype" w:eastAsia="Palatino Linotype" w:hAnsi="Palatino Linotype" w:cs="Palatino Linotype"/>
          <w:b/>
          <w:bCs/>
          <w:color w:val="000000"/>
        </w:rPr>
      </w:pPr>
    </w:p>
    <w:p w:rsidR="006878E6" w:rsidRDefault="00C175D8">
      <w:pPr>
        <w:numPr>
          <w:ilvl w:val="0"/>
          <w:numId w:val="4"/>
        </w:numPr>
        <w:pBdr>
          <w:top w:val="nil"/>
          <w:left w:val="nil"/>
          <w:bottom w:val="nil"/>
          <w:right w:val="nil"/>
          <w:between w:val="nil"/>
        </w:pBdr>
        <w:spacing w:line="360" w:lineRule="auto"/>
        <w:ind w:left="0" w:right="-56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Unidades de Transparencia tendrán las siguientes funciones: </w:t>
      </w:r>
    </w:p>
    <w:p w:rsidR="006878E6" w:rsidRDefault="006878E6">
      <w:pPr>
        <w:ind w:left="567" w:right="-561"/>
        <w:jc w:val="both"/>
        <w:rPr>
          <w:rFonts w:ascii="Palatino Linotype" w:eastAsia="Palatino Linotype" w:hAnsi="Palatino Linotype" w:cs="Palatino Linotype"/>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 Recibir, tramitar y dar respuesta a las solicitudes de acceso a la información;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III. Auxiliar a los particulares en la elaboración de solicitudes de acceso a la información y, en su caso, orientarlos sobre los sujetos obligados competentes conforme a la normatividad aplicable; </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IV. Realizar, con efectividad, los trámites internos necesarios para la atención de las solicitudes de acceso a la información;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Entregar, en su caso, a los particulares la información solicitada;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Efectuar las notificaciones a los solicitantes;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Proponer al Comité de Transparencia, los procedimientos internos que aseguren la mayor eficiencia en la gestión de las solicitudes de acceso a la información, conforme a la normatividad aplicable;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Proponer a quien preside el Comité de Transparencia, personal habilitado que sea necesario para recibir y dar trámite a las solicitudes de acceso a la información; </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 Presentar ante el Comité, el proyecto de clasificación de información;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Promover e implementar políticas de transparencia proactiva procurando su accesibilidad;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Fomentar la transparencia y accesibilidad al interior del sujeto obligado;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XIII. Hacer del conocimiento de la instancia competente la probable responsabilidad por el incumplimiento de las obligaciones previstas en la presente Ley; y</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XIV. Las demás que resulten necesarias para facilitar el acceso a la información y aquellas que se desprenden de la presente Ley y demás disposiciones jurídicas aplicables. (…)</w:t>
      </w:r>
    </w:p>
    <w:p w:rsidR="006878E6" w:rsidRDefault="00C175D8">
      <w:pPr>
        <w:ind w:left="567" w:right="-561"/>
        <w:jc w:val="both"/>
        <w:rPr>
          <w:rFonts w:ascii="Palatino Linotype" w:eastAsia="Palatino Linotype" w:hAnsi="Palatino Linotype" w:cs="Palatino Linotype"/>
          <w:color w:val="000000"/>
        </w:rPr>
      </w:pPr>
      <w:r>
        <w:rPr>
          <w:rFonts w:ascii="Palatino Linotype" w:eastAsia="Palatino Linotype" w:hAnsi="Palatino Linotype" w:cs="Palatino Linotype"/>
          <w:i/>
          <w:iCs/>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De lo expuesto, se tiene que, la Unidad de Transparencia es la encargada de </w:t>
      </w:r>
      <w:r>
        <w:rPr>
          <w:rFonts w:ascii="Palatino Linotype" w:eastAsia="Palatino Linotype" w:hAnsi="Palatino Linotype" w:cs="Palatino Linotype"/>
        </w:rPr>
        <w:t>recibir, tramitar y dar respuesta a las solicitudes de acceso a la información.</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numPr>
          <w:ilvl w:val="0"/>
          <w:numId w:val="4"/>
        </w:numPr>
        <w:spacing w:line="360" w:lineRule="auto"/>
        <w:ind w:left="0" w:right="-561"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 xml:space="preserve">En este sentido, se advierte que,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gestionó la solicitud de información en diversas unidades en donde </w:t>
      </w:r>
      <w:r>
        <w:rPr>
          <w:rFonts w:ascii="Palatino Linotype" w:eastAsia="Palatino Linotype" w:hAnsi="Palatino Linotype" w:cs="Palatino Linotype"/>
          <w:u w:val="single"/>
        </w:rPr>
        <w:t>pudiera</w:t>
      </w:r>
      <w:r>
        <w:rPr>
          <w:rFonts w:ascii="Palatino Linotype" w:eastAsia="Palatino Linotype" w:hAnsi="Palatino Linotype" w:cs="Palatino Linotype"/>
        </w:rPr>
        <w:t xml:space="preserve"> obrar la información requerida, de manera precisa </w:t>
      </w:r>
      <w:r>
        <w:rPr>
          <w:rFonts w:ascii="Palatino Linotype" w:eastAsia="Palatino Linotype" w:hAnsi="Palatino Linotype" w:cs="Palatino Linotype"/>
          <w:b/>
          <w:bCs/>
        </w:rPr>
        <w:t>la Tesorería Municipal y la Dirección de Administración,</w:t>
      </w:r>
      <w:r>
        <w:rPr>
          <w:rFonts w:ascii="Palatino Linotype" w:eastAsia="Palatino Linotype" w:hAnsi="Palatino Linotype" w:cs="Palatino Linotype"/>
        </w:rPr>
        <w:t xml:space="preserve"> no obstante, estas a través de los Servidores Públicos Habilitados, </w:t>
      </w:r>
      <w:r>
        <w:rPr>
          <w:rFonts w:ascii="Palatino Linotype" w:eastAsia="Palatino Linotype" w:hAnsi="Palatino Linotype" w:cs="Palatino Linotype"/>
          <w:b/>
          <w:bCs/>
        </w:rPr>
        <w:t>manifestaron no contar con las facultades para conocer sobre el tema.</w:t>
      </w:r>
    </w:p>
    <w:p w:rsidR="006878E6" w:rsidRDefault="006878E6">
      <w:pPr>
        <w:ind w:right="-561"/>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Precisado lo anterior, resulta necesario señalar que la información solicitada se encuentra relacionada con el padrón de proveedores y contratistas, información que corresponde a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XXXVI, que refieren: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XXXVI.</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Padrón de proveedores</w:t>
      </w:r>
      <w:r>
        <w:rPr>
          <w:rFonts w:ascii="Palatino Linotype" w:eastAsia="Palatino Linotype" w:hAnsi="Palatino Linotype" w:cs="Palatino Linotype"/>
          <w:i/>
          <w:iCs/>
        </w:rPr>
        <w:t xml:space="preserve"> y contratistas;”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(Énfasis añadido)</w:t>
      </w:r>
    </w:p>
    <w:p w:rsidR="006878E6" w:rsidRDefault="006878E6">
      <w:pPr>
        <w:ind w:left="567" w:right="-561"/>
        <w:jc w:val="both"/>
        <w:rPr>
          <w:rFonts w:ascii="Palatino Linotype" w:eastAsia="Palatino Linotype" w:hAnsi="Palatino Linotype" w:cs="Palatino Linotype"/>
          <w:i/>
          <w:iCs/>
        </w:rPr>
      </w:pPr>
    </w:p>
    <w:p w:rsidR="006878E6" w:rsidRDefault="006878E6">
      <w:pPr>
        <w:widowControl w:val="0"/>
        <w:spacing w:line="360" w:lineRule="auto"/>
        <w:ind w:left="567" w:right="-561"/>
        <w:jc w:val="both"/>
        <w:rPr>
          <w:rFonts w:ascii="Palatino Linotype" w:eastAsia="Palatino Linotype" w:hAnsi="Palatino Linotype" w:cs="Palatino Linotype"/>
        </w:rPr>
      </w:pPr>
    </w:p>
    <w:p w:rsidR="006878E6" w:rsidRDefault="00C175D8">
      <w:pPr>
        <w:numPr>
          <w:ilvl w:val="0"/>
          <w:numId w:val="4"/>
        </w:numPr>
        <w:pBdr>
          <w:top w:val="nil"/>
          <w:left w:val="nil"/>
          <w:bottom w:val="nil"/>
          <w:right w:val="nil"/>
          <w:between w:val="nil"/>
        </w:pBdr>
        <w:spacing w:line="360" w:lineRule="auto"/>
        <w:ind w:left="0" w:right="-561" w:firstLine="0"/>
        <w:jc w:val="both"/>
        <w:rPr>
          <w:color w:val="000000"/>
        </w:rPr>
      </w:pPr>
      <w:r>
        <w:rPr>
          <w:rFonts w:ascii="Palatino Linotype" w:eastAsia="Palatino Linotype" w:hAnsi="Palatino Linotype" w:cs="Palatino Linotype"/>
          <w:color w:val="000000"/>
        </w:rPr>
        <w:t xml:space="preserve">Ahora bien, es dable mencionar que los Lineamientos Técnicos Generales para la publicación, homologación y estandarización de la información de las obligaciones establecidas en el Título Quinto y en la fracción IV del artículo 31 de la Ley General de </w:t>
      </w:r>
      <w:r>
        <w:rPr>
          <w:rFonts w:ascii="Palatino Linotype" w:eastAsia="Palatino Linotype" w:hAnsi="Palatino Linotype" w:cs="Palatino Linotype"/>
          <w:color w:val="000000"/>
        </w:rPr>
        <w:lastRenderedPageBreak/>
        <w:t xml:space="preserve">Transparencia y Acceso a la Información Pública, que deben de difundir los Sujetos Obligados en los portales de internet y en la Plataforma Nacional de Transparencia, dispone la información que los Sujetos Obligados deben difundir respecto del padrón de proveedores; tal como se muestra a continuación: </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“XXXII. Padrón de proveedores y contratistas</w:t>
      </w:r>
    </w:p>
    <w:p w:rsidR="006878E6" w:rsidRDefault="006878E6">
      <w:pPr>
        <w:ind w:left="567" w:right="-561"/>
        <w:jc w:val="both"/>
        <w:rPr>
          <w:rFonts w:ascii="Palatino Linotype" w:eastAsia="Palatino Linotype" w:hAnsi="Palatino Linotype" w:cs="Palatino Linotype"/>
          <w:b/>
          <w:bCs/>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En cumplimiento a la presente fracción, los sujetos obligados deberán publicar un padrón con información relativa a las personas físicas</w:t>
      </w:r>
      <w:r>
        <w:rPr>
          <w:rFonts w:ascii="Palatino Linotype" w:eastAsia="Palatino Linotype" w:hAnsi="Palatino Linotype" w:cs="Palatino Linotype"/>
          <w:i/>
          <w:iCs/>
          <w:vertAlign w:val="superscript"/>
        </w:rPr>
        <w:footnoteReference w:id="9"/>
      </w:r>
      <w:r>
        <w:rPr>
          <w:rFonts w:ascii="Palatino Linotype" w:eastAsia="Palatino Linotype" w:hAnsi="Palatino Linotype" w:cs="Palatino Linotype"/>
          <w:i/>
          <w:iCs/>
        </w:rPr>
        <w:t xml:space="preserve"> y morales con las que celebren contratos de adquisiciones, arrendamientos, servicios, obras públicas y/o servicios relacionados con las mismas, que deberá actualizarse por lo menos cada tres meses.</w:t>
      </w:r>
    </w:p>
    <w:p w:rsidR="006878E6" w:rsidRDefault="006878E6">
      <w:pPr>
        <w:ind w:left="567" w:right="-561"/>
        <w:jc w:val="both"/>
        <w:rPr>
          <w:rFonts w:ascii="Palatino Linotype" w:eastAsia="Palatino Linotype" w:hAnsi="Palatino Linotype" w:cs="Palatino Linotype"/>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En el caso de los sujetos obligados regidos por la Ley de Adquisiciones, Arrendamientos y Servicios del Sector Público, el padrón deberá guardar correspondencia con el Registro Único de Proveedores y Contratistas; el de los partidos políticos con el Registro Único de Proveedores y Contratistas del Instituto Nacional Electoral y el resto de los sujetos obligados incluirá el hipervínculo al registro electrónico que en su caso corresponda.</w:t>
      </w:r>
    </w:p>
    <w:p w:rsidR="006878E6" w:rsidRDefault="006878E6">
      <w:pPr>
        <w:ind w:left="567" w:right="-561"/>
        <w:jc w:val="both"/>
        <w:rPr>
          <w:rFonts w:ascii="Palatino Linotype" w:eastAsia="Palatino Linotype" w:hAnsi="Palatino Linotype" w:cs="Palatino Linotype"/>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Adicionalmente, los sujetos obligados usarán como referencia el Directorio Estadístico Nacional de Unidades Económicas (DENUE), administrado por el Instituto Nacional de Estadística y Geografía (INEGI), para indicar la actividad económica del proveedor y/o contratista que corresponda.</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i/>
          <w:iCs/>
        </w:rPr>
        <w:t>____________________________________________________________________</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Periodo de actualización</w:t>
      </w:r>
      <w:r>
        <w:rPr>
          <w:rFonts w:ascii="Palatino Linotype" w:eastAsia="Palatino Linotype" w:hAnsi="Palatino Linotype" w:cs="Palatino Linotype"/>
          <w:i/>
          <w:iCs/>
        </w:rPr>
        <w:t>: trimestral</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Conservar en el sitio de Internet:</w:t>
      </w:r>
      <w:r>
        <w:rPr>
          <w:rFonts w:ascii="Palatino Linotype" w:eastAsia="Palatino Linotype" w:hAnsi="Palatino Linotype" w:cs="Palatino Linotype"/>
          <w:i/>
          <w:iCs/>
        </w:rPr>
        <w:t xml:space="preserve"> información del ejercicio en curso y la correspondiente al ejercicio inmediato anterior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Aplica a:</w:t>
      </w:r>
      <w:r>
        <w:rPr>
          <w:rFonts w:ascii="Palatino Linotype" w:eastAsia="Palatino Linotype" w:hAnsi="Palatino Linotype" w:cs="Palatino Linotype"/>
          <w:i/>
          <w:iCs/>
        </w:rPr>
        <w:t xml:space="preserve"> todos los sujetos obligados</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____________________________________________________________________</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Criterios sustantivos de contenido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w:t>
      </w:r>
      <w:r>
        <w:rPr>
          <w:rFonts w:ascii="Palatino Linotype" w:eastAsia="Palatino Linotype" w:hAnsi="Palatino Linotype" w:cs="Palatino Linotype"/>
          <w:i/>
          <w:iCs/>
        </w:rPr>
        <w:t xml:space="preserve"> Ejercicio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Criterio 2</w:t>
      </w:r>
      <w:r>
        <w:rPr>
          <w:rFonts w:ascii="Palatino Linotype" w:eastAsia="Palatino Linotype" w:hAnsi="Palatino Linotype" w:cs="Palatino Linotype"/>
          <w:i/>
          <w:iCs/>
        </w:rPr>
        <w:t xml:space="preserve"> Periodo que se informa (fecha de inicio y fecha de término con el formato día/mes/año)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3</w:t>
      </w:r>
      <w:r>
        <w:rPr>
          <w:rFonts w:ascii="Palatino Linotype" w:eastAsia="Palatino Linotype" w:hAnsi="Palatino Linotype" w:cs="Palatino Linotype"/>
          <w:i/>
          <w:iCs/>
        </w:rPr>
        <w:t xml:space="preserve"> Personería jurídica del proveedor o contratista (catálogo): Persona física/Persona moral</w:t>
      </w:r>
      <w:r>
        <w:rPr>
          <w:rFonts w:ascii="Palatino Linotype" w:eastAsia="Palatino Linotype" w:hAnsi="Palatino Linotype" w:cs="Palatino Linotype"/>
          <w:i/>
          <w:iCs/>
          <w:vertAlign w:val="superscript"/>
        </w:rPr>
        <w:footnoteReference w:id="10"/>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4 Nombre (nombre[s], primer apellido, segundo apellido), denominación o razón social del proveedor o contratista.</w:t>
      </w:r>
      <w:r>
        <w:rPr>
          <w:rFonts w:ascii="Palatino Linotype" w:eastAsia="Palatino Linotype" w:hAnsi="Palatino Linotype" w:cs="Palatino Linotype"/>
          <w:b/>
          <w:bCs/>
          <w:i/>
          <w:iCs/>
          <w:vertAlign w:val="superscript"/>
        </w:rPr>
        <w:footnoteReference w:id="11"/>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5</w:t>
      </w:r>
      <w:r>
        <w:rPr>
          <w:rFonts w:ascii="Palatino Linotype" w:eastAsia="Palatino Linotype" w:hAnsi="Palatino Linotype" w:cs="Palatino Linotype"/>
          <w:i/>
          <w:iCs/>
        </w:rPr>
        <w:t xml:space="preserve"> Estratificación</w:t>
      </w:r>
      <w:r>
        <w:rPr>
          <w:rFonts w:ascii="Palatino Linotype" w:eastAsia="Palatino Linotype" w:hAnsi="Palatino Linotype" w:cs="Palatino Linotype"/>
          <w:i/>
          <w:iCs/>
          <w:vertAlign w:val="superscript"/>
        </w:rPr>
        <w:footnoteReference w:id="12"/>
      </w:r>
      <w:r>
        <w:rPr>
          <w:rFonts w:ascii="Palatino Linotype" w:eastAsia="Palatino Linotype" w:hAnsi="Palatino Linotype" w:cs="Palatino Linotype"/>
          <w:i/>
          <w:iCs/>
        </w:rPr>
        <w:t>, por ejemplo, Micro empresa, pequeña empresa, mediana empresa</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6</w:t>
      </w:r>
      <w:r>
        <w:rPr>
          <w:rFonts w:ascii="Palatino Linotype" w:eastAsia="Palatino Linotype" w:hAnsi="Palatino Linotype" w:cs="Palatino Linotype"/>
          <w:i/>
          <w:iCs/>
        </w:rPr>
        <w:t xml:space="preserve"> Origen del proveedor o contratista (catálogo): Nacional/Extranjero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7</w:t>
      </w:r>
      <w:r>
        <w:rPr>
          <w:rFonts w:ascii="Palatino Linotype" w:eastAsia="Palatino Linotype" w:hAnsi="Palatino Linotype" w:cs="Palatino Linotype"/>
          <w:i/>
          <w:iCs/>
        </w:rPr>
        <w:t xml:space="preserve"> Entidad federativa (catálogo de entidades federativas) si la empresa es nacional</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8</w:t>
      </w:r>
      <w:r>
        <w:rPr>
          <w:rFonts w:ascii="Palatino Linotype" w:eastAsia="Palatino Linotype" w:hAnsi="Palatino Linotype" w:cs="Palatino Linotype"/>
          <w:i/>
          <w:iCs/>
        </w:rPr>
        <w:t xml:space="preserve"> País de origen si la empresa es una filial extranjera</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9</w:t>
      </w:r>
      <w:r>
        <w:rPr>
          <w:rFonts w:ascii="Palatino Linotype" w:eastAsia="Palatino Linotype" w:hAnsi="Palatino Linotype" w:cs="Palatino Linotype"/>
          <w:i/>
          <w:iCs/>
        </w:rPr>
        <w:t xml:space="preserve"> Registro Federal de Contribuyentes (RFC) de la persona física o moral con homoclave incluida, emitido por el Servicio de Administración Tributaria (SAT). En el caso de personas morales son 12 caracteres y en el de personas físicas 13.</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10</w:t>
      </w:r>
      <w:r>
        <w:rPr>
          <w:rFonts w:ascii="Palatino Linotype" w:eastAsia="Palatino Linotype" w:hAnsi="Palatino Linotype" w:cs="Palatino Linotype"/>
          <w:i/>
          <w:iCs/>
        </w:rPr>
        <w:t xml:space="preserve"> Entidad federativa de la persona física o moral (catálogo)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11</w:t>
      </w:r>
      <w:r>
        <w:rPr>
          <w:rFonts w:ascii="Palatino Linotype" w:eastAsia="Palatino Linotype" w:hAnsi="Palatino Linotype" w:cs="Palatino Linotype"/>
          <w:i/>
          <w:iCs/>
        </w:rPr>
        <w:t xml:space="preserve"> El proveedor o contratista realiza subcontrataciones (catálogo): Sí / No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12</w:t>
      </w:r>
      <w:r>
        <w:rPr>
          <w:rFonts w:ascii="Palatino Linotype" w:eastAsia="Palatino Linotype" w:hAnsi="Palatino Linotype" w:cs="Palatino Linotype"/>
          <w:i/>
          <w:iCs/>
        </w:rPr>
        <w:t xml:space="preserve"> Actividad económica de la empresa. Especificar la actividad económica de la empresa usando como referencia la clasificación que se maneja en el Directorio Estadístico Nacional de Unidades Económicas. Por ejemplo: Servicios Inmobiliarios y de alquiler de bienes muebles e intangibles, Servicios inmobiliarios, Alquiler de automóviles, camiones y otros trasportes terrestres; Alquiler de automóviles sin chofer </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Criterio 13 </w:t>
      </w:r>
      <w:r>
        <w:rPr>
          <w:rFonts w:ascii="Palatino Linotype" w:eastAsia="Palatino Linotype" w:hAnsi="Palatino Linotype" w:cs="Palatino Linotype"/>
          <w:i/>
          <w:iCs/>
        </w:rPr>
        <w:t>Domicilio</w:t>
      </w:r>
      <w:r>
        <w:rPr>
          <w:rFonts w:ascii="Palatino Linotype" w:eastAsia="Palatino Linotype" w:hAnsi="Palatino Linotype" w:cs="Palatino Linotype"/>
          <w:i/>
          <w:iCs/>
          <w:vertAlign w:val="superscript"/>
        </w:rPr>
        <w:footnoteReference w:id="13"/>
      </w:r>
      <w:r>
        <w:rPr>
          <w:rFonts w:ascii="Palatino Linotype" w:eastAsia="Palatino Linotype" w:hAnsi="Palatino Linotype" w:cs="Palatino Linotype"/>
          <w:i/>
          <w:iCs/>
        </w:rPr>
        <w:t xml:space="preserve"> fiscal de la empresa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 es decir, el proporcionado ante el SAT</w:t>
      </w:r>
      <w:r>
        <w:rPr>
          <w:rFonts w:ascii="Palatino Linotype" w:eastAsia="Palatino Linotype" w:hAnsi="Palatino Linotype" w:cs="Palatino Linotype"/>
          <w:b/>
          <w:bCs/>
          <w:i/>
          <w:iCs/>
        </w:rPr>
        <w:t xml:space="preserve">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Criterio 14</w:t>
      </w:r>
      <w:r>
        <w:rPr>
          <w:rFonts w:ascii="Palatino Linotype" w:eastAsia="Palatino Linotype" w:hAnsi="Palatino Linotype" w:cs="Palatino Linotype"/>
          <w:i/>
          <w:iCs/>
        </w:rPr>
        <w:t xml:space="preserve"> Domicilio en el extranjero. En caso de que el proveedor o contratista sea de otro país, se deberá incluir el domicilio el cual deberá incluir por lo menos: país, ciudad, calle y número </w:t>
      </w:r>
    </w:p>
    <w:p w:rsidR="006878E6" w:rsidRDefault="006878E6">
      <w:pPr>
        <w:ind w:left="567" w:right="-561"/>
        <w:jc w:val="both"/>
        <w:rPr>
          <w:rFonts w:ascii="Palatino Linotype" w:eastAsia="Palatino Linotype" w:hAnsi="Palatino Linotype" w:cs="Palatino Linotype"/>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Respecto del Representante legal se publicará la siguiente información:</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15</w:t>
      </w:r>
      <w:r>
        <w:rPr>
          <w:rFonts w:ascii="Palatino Linotype" w:eastAsia="Palatino Linotype" w:hAnsi="Palatino Linotype" w:cs="Palatino Linotype"/>
          <w:i/>
          <w:iCs/>
        </w:rPr>
        <w:t xml:space="preserve"> Nombre del representante legal de la empresa, es decir, la persona que posee facultades legales para representarla</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16</w:t>
      </w:r>
      <w:r>
        <w:rPr>
          <w:rFonts w:ascii="Palatino Linotype" w:eastAsia="Palatino Linotype" w:hAnsi="Palatino Linotype" w:cs="Palatino Linotype"/>
          <w:i/>
          <w:iCs/>
        </w:rPr>
        <w:t xml:space="preserve"> Datos de contacto: teléfono, en su caso extensión</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17</w:t>
      </w:r>
      <w:r>
        <w:rPr>
          <w:rFonts w:ascii="Palatino Linotype" w:eastAsia="Palatino Linotype" w:hAnsi="Palatino Linotype" w:cs="Palatino Linotype"/>
          <w:i/>
          <w:iCs/>
        </w:rPr>
        <w:t xml:space="preserve"> Correo electrónico, siempre y cuando éstos hayan sido proporcionados por la empresa</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18</w:t>
      </w:r>
      <w:r>
        <w:rPr>
          <w:rFonts w:ascii="Palatino Linotype" w:eastAsia="Palatino Linotype" w:hAnsi="Palatino Linotype" w:cs="Palatino Linotype"/>
          <w:i/>
          <w:iCs/>
        </w:rPr>
        <w:t xml:space="preserve"> Tipo de acreditación legal que posee o, en su caso, señalar que no se cuenta con uno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19</w:t>
      </w:r>
      <w:r>
        <w:rPr>
          <w:rFonts w:ascii="Palatino Linotype" w:eastAsia="Palatino Linotype" w:hAnsi="Palatino Linotype" w:cs="Palatino Linotype"/>
          <w:i/>
          <w:iCs/>
        </w:rPr>
        <w:t xml:space="preserve"> Dirección electrónica que corresponda a la página web del proveedor o contratista</w:t>
      </w: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Criterio 20 </w:t>
      </w:r>
      <w:r>
        <w:rPr>
          <w:rFonts w:ascii="Palatino Linotype" w:eastAsia="Palatino Linotype" w:hAnsi="Palatino Linotype" w:cs="Palatino Linotype"/>
          <w:i/>
          <w:iCs/>
        </w:rPr>
        <w:t>Teléfono oficial del proveedor o contratista</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21</w:t>
      </w:r>
      <w:r>
        <w:rPr>
          <w:rFonts w:ascii="Palatino Linotype" w:eastAsia="Palatino Linotype" w:hAnsi="Palatino Linotype" w:cs="Palatino Linotype"/>
          <w:i/>
          <w:iCs/>
        </w:rPr>
        <w:t xml:space="preserve"> Correo electrónico comercial del proveedor o contratista</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22</w:t>
      </w:r>
      <w:r>
        <w:rPr>
          <w:rFonts w:ascii="Palatino Linotype" w:eastAsia="Palatino Linotype" w:hAnsi="Palatino Linotype" w:cs="Palatino Linotype"/>
          <w:i/>
          <w:iCs/>
        </w:rPr>
        <w:t xml:space="preserve"> Hipervínculo al registro electrónico de proveedores y contratistas que, en su caso, corresponda</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23</w:t>
      </w:r>
      <w:r>
        <w:rPr>
          <w:rFonts w:ascii="Palatino Linotype" w:eastAsia="Palatino Linotype" w:hAnsi="Palatino Linotype" w:cs="Palatino Linotype"/>
          <w:i/>
          <w:iCs/>
        </w:rPr>
        <w:t xml:space="preserve"> Hipervínculo al Directorio de Proveedores y Contratistas Sancionados Criterios adjetivos de actualización</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24</w:t>
      </w:r>
      <w:r>
        <w:rPr>
          <w:rFonts w:ascii="Palatino Linotype" w:eastAsia="Palatino Linotype" w:hAnsi="Palatino Linotype" w:cs="Palatino Linotype"/>
          <w:i/>
          <w:iCs/>
        </w:rPr>
        <w:t xml:space="preserve"> Periodo de actualización de la información: trimestral</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25</w:t>
      </w:r>
      <w:r>
        <w:rPr>
          <w:rFonts w:ascii="Palatino Linotype" w:eastAsia="Palatino Linotype" w:hAnsi="Palatino Linotype" w:cs="Palatino Linotype"/>
          <w:i/>
          <w:iCs/>
        </w:rPr>
        <w:t xml:space="preserve"> La información deberá estar actualizada al periodo que corresponde, de acuerdo con la Tabla de actualización y conservación de la información</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26</w:t>
      </w:r>
      <w:r>
        <w:rPr>
          <w:rFonts w:ascii="Palatino Linotype" w:eastAsia="Palatino Linotype" w:hAnsi="Palatino Linotype" w:cs="Palatino Linotype"/>
          <w:i/>
          <w:iCs/>
        </w:rPr>
        <w:t xml:space="preserve"> Conservar en el sitio de Internet y a través de la Plataforma Nacional la información de acuerdo con la Tabla de actualización y conservación de la información</w:t>
      </w:r>
    </w:p>
    <w:p w:rsidR="006878E6" w:rsidRDefault="006878E6">
      <w:pPr>
        <w:ind w:left="567" w:right="-561"/>
        <w:jc w:val="both"/>
        <w:rPr>
          <w:rFonts w:ascii="Palatino Linotype" w:eastAsia="Palatino Linotype" w:hAnsi="Palatino Linotype" w:cs="Palatino Linotype"/>
          <w:i/>
          <w:iCs/>
        </w:rPr>
      </w:pP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Criterios adjetivos de confiabilidad</w:t>
      </w:r>
    </w:p>
    <w:p w:rsidR="006878E6" w:rsidRDefault="006878E6">
      <w:pPr>
        <w:ind w:left="567" w:right="-561"/>
        <w:jc w:val="both"/>
        <w:rPr>
          <w:rFonts w:ascii="Palatino Linotype" w:eastAsia="Palatino Linotype" w:hAnsi="Palatino Linotype" w:cs="Palatino Linotype"/>
          <w:b/>
          <w:bCs/>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27</w:t>
      </w:r>
      <w:r>
        <w:rPr>
          <w:rFonts w:ascii="Palatino Linotype" w:eastAsia="Palatino Linotype" w:hAnsi="Palatino Linotype" w:cs="Palatino Linotype"/>
          <w:i/>
          <w:iCs/>
        </w:rPr>
        <w:t xml:space="preserve"> Área(s) responsable(s) que genera(n), posee(n), publica(n) y/o actualiza(n) la información</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28</w:t>
      </w:r>
      <w:r>
        <w:rPr>
          <w:rFonts w:ascii="Palatino Linotype" w:eastAsia="Palatino Linotype" w:hAnsi="Palatino Linotype" w:cs="Palatino Linotype"/>
          <w:i/>
          <w:iCs/>
        </w:rPr>
        <w:t xml:space="preserve"> Fecha de actualización de la información publicada con el formato día/mes/año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29</w:t>
      </w:r>
      <w:r>
        <w:rPr>
          <w:rFonts w:ascii="Palatino Linotype" w:eastAsia="Palatino Linotype" w:hAnsi="Palatino Linotype" w:cs="Palatino Linotype"/>
          <w:i/>
          <w:iCs/>
        </w:rPr>
        <w:t xml:space="preserve"> Fecha de validación de la información publicada con el formato día/mes/año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30</w:t>
      </w:r>
      <w:r>
        <w:rPr>
          <w:rFonts w:ascii="Palatino Linotype" w:eastAsia="Palatino Linotype" w:hAnsi="Palatino Linotype" w:cs="Palatino Linotype"/>
          <w:i/>
          <w:iCs/>
        </w:rPr>
        <w:t xml:space="preserve"> Nota. Este criterio se cumple en caso de que sea necesario que el sujeto obligado incluya alguna aclaración relativa a la información publicada y/o explicación por la falta de información</w:t>
      </w:r>
    </w:p>
    <w:p w:rsidR="006878E6" w:rsidRDefault="006878E6">
      <w:pPr>
        <w:ind w:left="567" w:right="-561"/>
        <w:jc w:val="both"/>
        <w:rPr>
          <w:rFonts w:ascii="Palatino Linotype" w:eastAsia="Palatino Linotype" w:hAnsi="Palatino Linotype" w:cs="Palatino Linotype"/>
          <w:i/>
          <w:iCs/>
        </w:rPr>
      </w:pPr>
    </w:p>
    <w:p w:rsidR="006878E6" w:rsidRDefault="00C175D8">
      <w:pPr>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Criterios adjetivos de formato</w:t>
      </w:r>
    </w:p>
    <w:p w:rsidR="006878E6" w:rsidRDefault="006878E6">
      <w:pPr>
        <w:ind w:left="567" w:right="-561"/>
        <w:jc w:val="both"/>
        <w:rPr>
          <w:rFonts w:ascii="Palatino Linotype" w:eastAsia="Palatino Linotype" w:hAnsi="Palatino Linotype" w:cs="Palatino Linotype"/>
          <w:b/>
          <w:bCs/>
          <w:i/>
          <w:iCs/>
        </w:rPr>
      </w:pP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Criterio 31</w:t>
      </w:r>
      <w:r>
        <w:rPr>
          <w:rFonts w:ascii="Palatino Linotype" w:eastAsia="Palatino Linotype" w:hAnsi="Palatino Linotype" w:cs="Palatino Linotype"/>
          <w:i/>
          <w:iCs/>
        </w:rPr>
        <w:t xml:space="preserve"> La información publicada se organiza mediante el formato 32, en el que se incluyen todos los campos especificados en los criterios sustantivos de contenido</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Criterio 32</w:t>
      </w:r>
      <w:r>
        <w:rPr>
          <w:rFonts w:ascii="Palatino Linotype" w:eastAsia="Palatino Linotype" w:hAnsi="Palatino Linotype" w:cs="Palatino Linotype"/>
          <w:i/>
          <w:iCs/>
        </w:rPr>
        <w:t xml:space="preserve"> El soporte de la información permite su reutilización</w:t>
      </w:r>
    </w:p>
    <w:p w:rsidR="006878E6" w:rsidRDefault="006878E6">
      <w:pPr>
        <w:pBdr>
          <w:top w:val="nil"/>
          <w:left w:val="nil"/>
          <w:bottom w:val="nil"/>
          <w:right w:val="nil"/>
          <w:between w:val="nil"/>
        </w:pBdr>
        <w:ind w:left="720" w:right="-561"/>
        <w:rPr>
          <w:rFonts w:ascii="Palatino Linotype" w:eastAsia="Palatino Linotype" w:hAnsi="Palatino Linotype" w:cs="Palatino Linotype"/>
          <w:color w:val="000000"/>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De los preceptos legales transcritos, se resalta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contar con un padrón con información relativa a las personas físicas y morales con las que celebren contratos de adquisiciones, arrendamientos, servicios, obras públicas y/o servicios relacionados con las mismas, que deberá actualizarse cada tres meses, el cual, entre sus criterios sustantivos de contenido, </w:t>
      </w:r>
      <w:r>
        <w:rPr>
          <w:rFonts w:ascii="Palatino Linotype" w:eastAsia="Palatino Linotype" w:hAnsi="Palatino Linotype" w:cs="Palatino Linotype"/>
          <w:b/>
          <w:bCs/>
        </w:rPr>
        <w:t>deberá contar con el nombre (nombre[s], primer apellido, segundo apellido), denominación o razón social del proveedor o contratista.</w:t>
      </w:r>
    </w:p>
    <w:p w:rsidR="006878E6" w:rsidRDefault="006878E6">
      <w:pPr>
        <w:ind w:left="567" w:right="-561"/>
        <w:jc w:val="both"/>
        <w:rPr>
          <w:rFonts w:ascii="Palatino Linotype" w:eastAsia="Palatino Linotype" w:hAnsi="Palatino Linotype" w:cs="Palatino Linotype"/>
          <w:i/>
          <w:iCs/>
        </w:rPr>
      </w:pPr>
    </w:p>
    <w:p w:rsidR="006878E6" w:rsidRDefault="00C175D8">
      <w:pPr>
        <w:spacing w:line="360" w:lineRule="auto"/>
        <w:ind w:right="-561"/>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4673600" cy="174307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673600" cy="1743075"/>
                    </a:xfrm>
                    <a:prstGeom prst="rect">
                      <a:avLst/>
                    </a:prstGeom>
                    <a:ln/>
                  </pic:spPr>
                </pic:pic>
              </a:graphicData>
            </a:graphic>
          </wp:inline>
        </w:drawing>
      </w:r>
    </w:p>
    <w:p w:rsidR="006878E6" w:rsidRDefault="00C175D8">
      <w:pPr>
        <w:spacing w:line="360" w:lineRule="auto"/>
        <w:ind w:right="-561"/>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4779010" cy="22383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4779010" cy="2238375"/>
                    </a:xfrm>
                    <a:prstGeom prst="rect">
                      <a:avLst/>
                    </a:prstGeom>
                    <a:ln/>
                  </pic:spPr>
                </pic:pic>
              </a:graphicData>
            </a:graphic>
          </wp:inline>
        </w:drawing>
      </w: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lastRenderedPageBreak/>
        <w:t>Por lo anterior, se debe de destacar que, la Dirección de Administración tiene dentro de sus facultades y obligaciones, el vigilar la adecuada planeación y programación de la adquisición de bienes y contratación de servicios, como señala el Bando Municipal de Atizapán de Zaragoza.</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Por su parte, el Reglamento Orgánico de la Administración Municipal de Atizapán de Zaragoza, Capítulo V de la Dirección de Administración, establece lo siguiente:</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48.-</w:t>
      </w:r>
      <w:r>
        <w:rPr>
          <w:rFonts w:ascii="Palatino Linotype" w:eastAsia="Palatino Linotype" w:hAnsi="Palatino Linotype" w:cs="Palatino Linotype"/>
          <w:i/>
          <w:iCs/>
        </w:rPr>
        <w:t xml:space="preserve"> Al frente de la Dirección de Administración estará el Director que ejercerá las atribuciones, facultades y obligaciones que las disposiciones legales aplicables le confieren expresamente.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titular de la Dirección de Administración se auxiliará con el personal administrativo que se determine conforme al presupuesto y tendrá las siguientes facultades: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Ejecutar el Programa Anual de Adquisiciones de bienes muebles y servicios, en coordinación con las dependencias de la Administración Pública Municipal, con base en el volumen o importe anual autorizado </w:t>
      </w:r>
    </w:p>
    <w:p w:rsidR="006878E6" w:rsidRDefault="00C175D8">
      <w:pPr>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Correlativo a lo anterior, las Políticas, Bases y Lineamientos en Materia de Adquisiciones y Servicios del Ayuntamiento de Atizapán de Zaragoza, establece que los procedimientos adquisitivos deberán iniciar con el oficio de solicitud acompañado de su requisición completa y debidamente requisitada. En este sentido, los tiempos que, en promedio requiere la S</w:t>
      </w:r>
      <w:r>
        <w:rPr>
          <w:rFonts w:ascii="Palatino Linotype" w:eastAsia="Palatino Linotype" w:hAnsi="Palatino Linotype" w:cs="Palatino Linotype"/>
          <w:b/>
          <w:bCs/>
        </w:rPr>
        <w:t>ubdirección de Recursos Materiales</w:t>
      </w:r>
      <w:r>
        <w:rPr>
          <w:rFonts w:ascii="Palatino Linotype" w:eastAsia="Palatino Linotype" w:hAnsi="Palatino Linotype" w:cs="Palatino Linotype"/>
        </w:rPr>
        <w:t xml:space="preserve"> para llevar a cabo los procedimientos de contratación son los siguientes: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Licitación Pública Nacional: 39 días hábiles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Invitación restringida: 39 días hábiles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Adjudicación Directa por Excepción a la Licitación Pública: 33 días hábiles   </w:t>
      </w:r>
    </w:p>
    <w:p w:rsidR="006878E6" w:rsidRDefault="00C175D8">
      <w:pPr>
        <w:numPr>
          <w:ilvl w:val="0"/>
          <w:numId w:val="4"/>
        </w:numPr>
        <w:pBdr>
          <w:top w:val="nil"/>
          <w:left w:val="nil"/>
          <w:bottom w:val="nil"/>
          <w:right w:val="nil"/>
          <w:between w:val="nil"/>
        </w:pBdr>
        <w:spacing w:line="360" w:lineRule="auto"/>
        <w:ind w:left="0" w:right="-561" w:firstLine="0"/>
        <w:jc w:val="both"/>
        <w:rPr>
          <w:color w:val="000000"/>
        </w:rPr>
      </w:pPr>
      <w:r>
        <w:rPr>
          <w:rFonts w:ascii="Palatino Linotype" w:eastAsia="Palatino Linotype" w:hAnsi="Palatino Linotype" w:cs="Palatino Linotype"/>
          <w:color w:val="000000"/>
        </w:rPr>
        <w:lastRenderedPageBreak/>
        <w:t xml:space="preserve">Así, los plazos anteriores son considerados desde el momento en que el área usuaria ingresa en la </w:t>
      </w:r>
      <w:r>
        <w:rPr>
          <w:rFonts w:ascii="Palatino Linotype" w:eastAsia="Palatino Linotype" w:hAnsi="Palatino Linotype" w:cs="Palatino Linotype"/>
          <w:b/>
          <w:bCs/>
          <w:color w:val="000000"/>
        </w:rPr>
        <w:t>Dirección de Administración</w:t>
      </w:r>
      <w:r>
        <w:rPr>
          <w:rFonts w:ascii="Palatino Linotype" w:eastAsia="Palatino Linotype" w:hAnsi="Palatino Linotype" w:cs="Palatino Linotype"/>
          <w:color w:val="000000"/>
        </w:rPr>
        <w:t xml:space="preserve"> su oficio de solicitud acompañado de su requisición, hasta la formalización del contrato. Además, para una adecuada programación de los procedimientos deberá considerarse un plazo oportuno y razonable para la entrega de los bienes o la prestación del servicio. Será responsabilidad del área usuaria gestionar ante la </w:t>
      </w:r>
      <w:r>
        <w:rPr>
          <w:rFonts w:ascii="Palatino Linotype" w:eastAsia="Palatino Linotype" w:hAnsi="Palatino Linotype" w:cs="Palatino Linotype"/>
          <w:b/>
          <w:bCs/>
          <w:color w:val="000000"/>
        </w:rPr>
        <w:t>Tesorería Municipal la suficiencia presupuestal para la compra de bienes o contratación de servicios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que estas requieran; documento que, si no es remitido a la Dirección de Administración por oficio, la Subdirección de Recursos Materiales no iniciará los procedimientos solicitados.</w:t>
      </w:r>
      <w:r>
        <w:rPr>
          <w:rFonts w:ascii="Palatino Linotype" w:eastAsia="Palatino Linotype" w:hAnsi="Palatino Linotype" w:cs="Palatino Linotype"/>
          <w:color w:val="000000"/>
        </w:rPr>
        <w:t xml:space="preserve"> Así, para los casos de contratación de Servicios Profesionales o Técnicos, se deberá contar con los Dictámenes respectivos y será responsabilidad de la </w:t>
      </w:r>
      <w:r>
        <w:rPr>
          <w:rFonts w:ascii="Palatino Linotype" w:eastAsia="Palatino Linotype" w:hAnsi="Palatino Linotype" w:cs="Palatino Linotype"/>
          <w:b/>
          <w:bCs/>
          <w:color w:val="000000"/>
        </w:rPr>
        <w:t>Subdirección de Recursos Materiales</w:t>
      </w:r>
      <w:r>
        <w:rPr>
          <w:rFonts w:ascii="Palatino Linotype" w:eastAsia="Palatino Linotype" w:hAnsi="Palatino Linotype" w:cs="Palatino Linotype"/>
          <w:color w:val="000000"/>
        </w:rPr>
        <w:t xml:space="preserve"> la </w:t>
      </w:r>
      <w:r>
        <w:rPr>
          <w:rFonts w:ascii="Palatino Linotype" w:eastAsia="Palatino Linotype" w:hAnsi="Palatino Linotype" w:cs="Palatino Linotype"/>
          <w:b/>
          <w:bCs/>
          <w:color w:val="000000"/>
        </w:rPr>
        <w:t>debida integración, guarda y custodia de los expedientes correspondientes a los procedimientos adquisitivos de bienes y servicios, por otro lado, los expedientes deberán contener la totalidad de la documentación generada durante el procedimiento adquisitivo, de acuerdo con el check list.</w:t>
      </w:r>
      <w:r>
        <w:rPr>
          <w:rFonts w:ascii="Palatino Linotype" w:eastAsia="Palatino Linotype" w:hAnsi="Palatino Linotype" w:cs="Palatino Linotype"/>
          <w:color w:val="000000"/>
        </w:rPr>
        <w:t xml:space="preserve"> Finalmente, todos los procedimientos adquisitivos se regularán con lo establecido en la Ley de Contratación Pública del Estado de México y Municipios y su Reglamento.</w:t>
      </w:r>
    </w:p>
    <w:p w:rsidR="006878E6" w:rsidRDefault="006878E6">
      <w:pPr>
        <w:pBdr>
          <w:top w:val="nil"/>
          <w:left w:val="nil"/>
          <w:bottom w:val="nil"/>
          <w:right w:val="nil"/>
          <w:between w:val="nil"/>
        </w:pBdr>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pBdr>
          <w:top w:val="nil"/>
          <w:left w:val="nil"/>
          <w:bottom w:val="nil"/>
          <w:right w:val="nil"/>
          <w:between w:val="nil"/>
        </w:pBdr>
        <w:spacing w:line="360" w:lineRule="auto"/>
        <w:ind w:left="0" w:right="-561" w:firstLine="0"/>
        <w:jc w:val="both"/>
        <w:rPr>
          <w:color w:val="000000"/>
        </w:rPr>
      </w:pPr>
      <w:r>
        <w:rPr>
          <w:rFonts w:ascii="Palatino Linotype" w:eastAsia="Palatino Linotype" w:hAnsi="Palatino Linotype" w:cs="Palatino Linotype"/>
          <w:color w:val="000000"/>
        </w:rPr>
        <w:t xml:space="preserve">Así también, se tiene que la </w:t>
      </w:r>
      <w:r>
        <w:rPr>
          <w:rFonts w:ascii="Palatino Linotype" w:eastAsia="Palatino Linotype" w:hAnsi="Palatino Linotype" w:cs="Palatino Linotype"/>
          <w:b/>
          <w:bCs/>
          <w:color w:val="000000"/>
        </w:rPr>
        <w:t>Subdirección de Recursos Materiales</w:t>
      </w:r>
      <w:r>
        <w:rPr>
          <w:rFonts w:ascii="Palatino Linotype" w:eastAsia="Palatino Linotype" w:hAnsi="Palatino Linotype" w:cs="Palatino Linotype"/>
          <w:color w:val="000000"/>
        </w:rPr>
        <w:t xml:space="preserve"> a través del </w:t>
      </w:r>
      <w:r>
        <w:rPr>
          <w:rFonts w:ascii="Palatino Linotype" w:eastAsia="Palatino Linotype" w:hAnsi="Palatino Linotype" w:cs="Palatino Linotype"/>
          <w:b/>
          <w:bCs/>
          <w:color w:val="000000"/>
        </w:rPr>
        <w:t>Departamento de Licitaciones</w:t>
      </w:r>
      <w:r>
        <w:rPr>
          <w:rFonts w:ascii="Palatino Linotype" w:eastAsia="Palatino Linotype" w:hAnsi="Palatino Linotype" w:cs="Palatino Linotype"/>
          <w:color w:val="000000"/>
        </w:rPr>
        <w:t xml:space="preserve"> será la encargada de realizar la integración del expediente según se requiera:  </w:t>
      </w: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Licitación pública:   </w:t>
      </w: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Realizar Convocatoria y publicar en por lo menos 2 diarios uno de mayor circulación en la capital del Estado y en uno de los diarios de mayor circulación nacional.  </w:t>
      </w: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 Emitir las bases donde se establece la información sobre el objeto, alcance, requisitos, términos y demás condiciones del procedimiento para la adquisición.  </w:t>
      </w:r>
    </w:p>
    <w:p w:rsidR="006878E6" w:rsidRDefault="006878E6">
      <w:pPr>
        <w:pBdr>
          <w:top w:val="nil"/>
          <w:left w:val="nil"/>
          <w:bottom w:val="nil"/>
          <w:right w:val="nil"/>
          <w:between w:val="nil"/>
        </w:pBdr>
        <w:ind w:left="567" w:right="-561"/>
        <w:jc w:val="both"/>
        <w:rPr>
          <w:rFonts w:ascii="Palatino Linotype" w:eastAsia="Palatino Linotype" w:hAnsi="Palatino Linotype" w:cs="Palatino Linotype"/>
          <w:i/>
          <w:iCs/>
          <w:color w:val="000000"/>
        </w:rPr>
      </w:pP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Invitación restringida:  </w:t>
      </w: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Emitir invitación a un mínimo de tres personas seleccionadas de entre las que se encuentren inscritas en el Padrón de Proveedores o Prestadores de Servicios vigentes.   </w:t>
      </w: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Emitir las bases donde se establece la información sobre el objeto, alcance, requisitos, términos y demás condiciones del procedimiento para la adquisición.  </w:t>
      </w:r>
    </w:p>
    <w:p w:rsidR="006878E6" w:rsidRDefault="006878E6">
      <w:pPr>
        <w:pBdr>
          <w:top w:val="nil"/>
          <w:left w:val="nil"/>
          <w:bottom w:val="nil"/>
          <w:right w:val="nil"/>
          <w:between w:val="nil"/>
        </w:pBdr>
        <w:ind w:left="567" w:right="-561"/>
        <w:jc w:val="both"/>
        <w:rPr>
          <w:rFonts w:ascii="Palatino Linotype" w:eastAsia="Palatino Linotype" w:hAnsi="Palatino Linotype" w:cs="Palatino Linotype"/>
          <w:i/>
          <w:iCs/>
          <w:color w:val="000000"/>
        </w:rPr>
      </w:pP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Adjudicación directa por excepción a la licitación:  </w:t>
      </w:r>
    </w:p>
    <w:p w:rsidR="006878E6" w:rsidRDefault="00C175D8">
      <w:pPr>
        <w:pBdr>
          <w:top w:val="nil"/>
          <w:left w:val="nil"/>
          <w:bottom w:val="nil"/>
          <w:right w:val="nil"/>
          <w:between w:val="nil"/>
        </w:pBdr>
        <w:ind w:left="567" w:right="-56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El área usuaria envía oficio la Dirección de Administración adjuntando su requisición completa y debidamente requisitada, cotización, suficiencia presupuestal y la justificación de la adjudicación directa por excepción a la licitación cuando se cumpla alguno de los supuestos del Artículo 48 de la Ley de Contratación Pública del Estado de México y Municipios, con los anexos que soporten la fracción solicitada.</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Ahora bien, el mismo ordenamiento legal, establece que la </w:t>
      </w:r>
      <w:r>
        <w:rPr>
          <w:rFonts w:ascii="Palatino Linotype" w:eastAsia="Palatino Linotype" w:hAnsi="Palatino Linotype" w:cs="Palatino Linotype"/>
          <w:b/>
          <w:bCs/>
        </w:rPr>
        <w:t>Subdirección de Recursos Materiales,</w:t>
      </w:r>
      <w:r>
        <w:rPr>
          <w:rFonts w:ascii="Palatino Linotype" w:eastAsia="Palatino Linotype" w:hAnsi="Palatino Linotype" w:cs="Palatino Linotype"/>
        </w:rPr>
        <w:t xml:space="preserve"> registrará el procedimiento en el formato de control diario el trámite de pago, a efecto de integrar el expediente que se enviará a la </w:t>
      </w:r>
      <w:r>
        <w:rPr>
          <w:rFonts w:ascii="Palatino Linotype" w:eastAsia="Palatino Linotype" w:hAnsi="Palatino Linotype" w:cs="Palatino Linotype"/>
          <w:b/>
          <w:bCs/>
        </w:rPr>
        <w:t>Tesorería Municipal</w:t>
      </w:r>
      <w:r>
        <w:rPr>
          <w:rFonts w:ascii="Palatino Linotype" w:eastAsia="Palatino Linotype" w:hAnsi="Palatino Linotype" w:cs="Palatino Linotype"/>
        </w:rPr>
        <w:t>, misma que realiza lo conducente. Asimismo, el trámite de pago deberá de contener los siguiente:</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Oficio dirigido a la Tesorería Municipal   </w:t>
      </w:r>
    </w:p>
    <w:p w:rsidR="006878E6" w:rsidRDefault="00C175D8">
      <w:pPr>
        <w:ind w:left="567" w:right="-56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 Factura original que cumpla con la normatividad vigente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XML impreso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Pr>
          <w:rFonts w:ascii="Palatino Linotype" w:eastAsia="Palatino Linotype" w:hAnsi="Palatino Linotype" w:cs="Palatino Linotype"/>
          <w:b/>
          <w:bCs/>
        </w:rPr>
        <w:t>Carta de datos bancarios de acuerdo con la normatividad vigente</w:t>
      </w:r>
      <w:r>
        <w:rPr>
          <w:rFonts w:ascii="Palatino Linotype" w:eastAsia="Palatino Linotype" w:hAnsi="Palatino Linotype" w:cs="Palatino Linotype"/>
        </w:rPr>
        <w:t xml:space="preserve">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Verificación del CFDI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Captura de correo de trámite de pago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rPr>
        <w:t xml:space="preserve"> Requisición</w:t>
      </w:r>
      <w:r>
        <w:rPr>
          <w:rFonts w:ascii="Palatino Linotype" w:eastAsia="Palatino Linotype" w:hAnsi="Palatino Linotype" w:cs="Palatino Linotype"/>
        </w:rPr>
        <w:t xml:space="preserve">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Cotización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Suficiencia presupuestal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Vales de entrada y salida en caso de tratarse de adquisición de bienes  </w:t>
      </w:r>
    </w:p>
    <w:p w:rsidR="006878E6" w:rsidRDefault="00C175D8">
      <w:pPr>
        <w:ind w:left="567" w:right="-56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 Carta de recepción de servicio en caso de tratarse de una contratación de servicio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 Evidencia firmada y sellada por el titular del área usuaria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Invitaciones o publicaciones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Fallo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Fianza de cumplimiento - Fianza de vicios ocultos (sólo si aplica)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Fianza de anticipo (solo si aplica) </w:t>
      </w:r>
    </w:p>
    <w:p w:rsidR="006878E6" w:rsidRDefault="00C175D8">
      <w:pPr>
        <w:ind w:left="567" w:right="-56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 Contrato de Identificación Oficial vigente (INE, Pasaporte, Cartilla del Servicio Militar Nacional o Cédula Profesional con fotografía).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Constancia de Situación Fiscal actualizada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Opinión de cumplimiento actualizada y en sentido positivo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xml:space="preserve">• Acta constitutiva y/o modificaciones en su caso, tratándose de personas morales </w:t>
      </w:r>
    </w:p>
    <w:p w:rsidR="006878E6" w:rsidRDefault="00C175D8">
      <w:pPr>
        <w:ind w:left="567" w:right="-561"/>
        <w:jc w:val="both"/>
        <w:rPr>
          <w:rFonts w:ascii="Palatino Linotype" w:eastAsia="Palatino Linotype" w:hAnsi="Palatino Linotype" w:cs="Palatino Linotype"/>
        </w:rPr>
      </w:pPr>
      <w:r>
        <w:rPr>
          <w:rFonts w:ascii="Palatino Linotype" w:eastAsia="Palatino Linotype" w:hAnsi="Palatino Linotype" w:cs="Palatino Linotype"/>
        </w:rPr>
        <w:t>• Poder notarial en caso de que se haya modificado el apoderado legal</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Correlativo a lo anterior, de la “POLITICA DE PAGO”, se advierte que los pagos derivados de las contrataciones realizadas son responsabilidad de la </w:t>
      </w:r>
      <w:r>
        <w:rPr>
          <w:rFonts w:ascii="Palatino Linotype" w:eastAsia="Palatino Linotype" w:hAnsi="Palatino Linotype" w:cs="Palatino Linotype"/>
          <w:b/>
          <w:bCs/>
        </w:rPr>
        <w:t>Tesorería Municipal</w:t>
      </w:r>
      <w:r>
        <w:rPr>
          <w:rFonts w:ascii="Palatino Linotype" w:eastAsia="Palatino Linotype" w:hAnsi="Palatino Linotype" w:cs="Palatino Linotype"/>
        </w:rPr>
        <w:t xml:space="preserve">, de conformidad con lo establecido en el contrato, asimismo </w:t>
      </w:r>
      <w:r>
        <w:rPr>
          <w:rFonts w:ascii="Palatino Linotype" w:eastAsia="Palatino Linotype" w:hAnsi="Palatino Linotype" w:cs="Palatino Linotype"/>
          <w:b/>
          <w:bCs/>
        </w:rPr>
        <w:t>la integración del expediente para el trámite de pago es responsabilidad de la Subdirección de Recursos Materiales</w:t>
      </w:r>
      <w:r>
        <w:rPr>
          <w:rFonts w:ascii="Palatino Linotype" w:eastAsia="Palatino Linotype" w:hAnsi="Palatino Linotype" w:cs="Palatino Linotype"/>
        </w:rPr>
        <w:t xml:space="preserve"> siempre y cuando el área usuaria entregue las evidencias de aceptación a entera satisfacción de los bienes o la prestación de servicio, de acuerdo con las cantidades, características, especificaciones técnicas, términos y condiciones pactadas, lugares de destino y tiempos de entrega o plazos de ejecución.</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 xml:space="preserve">Expuesto lo anterior, se advierte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cumplió con el procedimiento de búsqueda exhaustiva y razonable, pues omitió requerir la información a la Subdirección de Recursos Materiales, unidad administrativa que, como previamente se mencionó es la encargada de la integración de los expedientes para el trámite de pago a proveedores y contratistas. Aunado a lo anterior, no pasa desapercibido mencionar que, </w:t>
      </w:r>
      <w:r>
        <w:rPr>
          <w:rFonts w:ascii="Palatino Linotype" w:eastAsia="Palatino Linotype" w:hAnsi="Palatino Linotype" w:cs="Palatino Linotype"/>
        </w:rPr>
        <w:lastRenderedPageBreak/>
        <w:t>contrario a lo manifestado mediante respuesta, la Tesorería Municipal cuenta con funciones y atribuciones para conocer de lo requerido, tan es así que, es el área encargada de realizar los pagos correspondientes.</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pPr>
      <w:r>
        <w:rPr>
          <w:rFonts w:ascii="Palatino Linotype" w:eastAsia="Palatino Linotype" w:hAnsi="Palatino Linotype" w:cs="Palatino Linotype"/>
        </w:rPr>
        <w:t>En consecuencia, se advierte que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color w:val="000000"/>
        </w:rPr>
        <w:t>deberá proporcionar previa búsqueda exhaustiva y razonable y, de ser el caso en versión pública,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el soporte documental donde se advierta el</w:t>
      </w:r>
      <w:r>
        <w:rPr>
          <w:rFonts w:ascii="Palatino Linotype" w:eastAsia="Palatino Linotype" w:hAnsi="Palatino Linotype" w:cs="Palatino Linotype"/>
          <w:b/>
          <w:bCs/>
          <w:color w:val="000000"/>
        </w:rPr>
        <w:t xml:space="preserve"> nombre de los proveedores y contratistas a los que se les realizaron pagos durante 2024 y 2025.</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numPr>
          <w:ilvl w:val="0"/>
          <w:numId w:val="4"/>
        </w:numPr>
        <w:spacing w:line="360" w:lineRule="auto"/>
        <w:ind w:left="0" w:right="-561" w:firstLine="0"/>
        <w:jc w:val="both"/>
        <w:rPr>
          <w:color w:val="000000"/>
        </w:rPr>
      </w:pPr>
      <w:r>
        <w:rPr>
          <w:rFonts w:ascii="Palatino Linotype" w:eastAsia="Palatino Linotype" w:hAnsi="Palatino Linotype" w:cs="Palatino Linotype"/>
        </w:rPr>
        <w:t xml:space="preserve">Así, es importante señalar que el artículo 4, párrafo segundo de la Ley de Transparencia y Acceso a la Información Pública del Estado de México y Municipios, dispone: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 …</w:t>
      </w:r>
    </w:p>
    <w:p w:rsidR="006878E6" w:rsidRDefault="00C175D8">
      <w:pPr>
        <w:tabs>
          <w:tab w:val="left" w:pos="426"/>
          <w:tab w:val="left" w:pos="567"/>
        </w:tabs>
        <w:ind w:left="567" w:right="-56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878E6" w:rsidRDefault="006878E6">
      <w:pPr>
        <w:tabs>
          <w:tab w:val="left" w:pos="426"/>
          <w:tab w:val="left" w:pos="567"/>
        </w:tabs>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tabs>
          <w:tab w:val="left" w:pos="426"/>
          <w:tab w:val="left" w:pos="567"/>
        </w:tabs>
        <w:spacing w:line="360" w:lineRule="auto"/>
        <w:ind w:left="0" w:right="-561" w:firstLine="0"/>
        <w:jc w:val="both"/>
        <w:rPr>
          <w:color w:val="000000"/>
        </w:rPr>
      </w:pPr>
      <w:r>
        <w:rPr>
          <w:rFonts w:ascii="Palatino Linotype" w:eastAsia="Palatino Linotype" w:hAnsi="Palatino Linotype" w:cs="Palatino Linotype"/>
          <w:color w:val="000000"/>
        </w:rPr>
        <w:t xml:space="preserve">De lo anterior, se desprende </w:t>
      </w:r>
      <w:r>
        <w:rPr>
          <w:rFonts w:ascii="Palatino Linotype" w:eastAsia="Palatino Linotype" w:hAnsi="Palatino Linotype" w:cs="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rsidR="006878E6" w:rsidRDefault="006878E6">
      <w:pPr>
        <w:tabs>
          <w:tab w:val="left" w:pos="426"/>
          <w:tab w:val="left" w:pos="567"/>
        </w:tabs>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tabs>
          <w:tab w:val="left" w:pos="426"/>
          <w:tab w:val="left" w:pos="567"/>
        </w:tabs>
        <w:spacing w:line="360" w:lineRule="auto"/>
        <w:ind w:left="0" w:right="-561" w:firstLine="0"/>
        <w:jc w:val="both"/>
        <w:rPr>
          <w:color w:val="000000"/>
        </w:rPr>
      </w:pPr>
      <w:r>
        <w:rPr>
          <w:rFonts w:ascii="Palatino Linotype" w:eastAsia="Palatino Linotype" w:hAnsi="Palatino Linotype" w:cs="Palatino Linotype"/>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 efectuar cálculos o practicar investigaciones; tal y como se señala a continuación: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6878E6" w:rsidRDefault="006878E6">
      <w:pPr>
        <w:tabs>
          <w:tab w:val="left" w:pos="426"/>
          <w:tab w:val="left" w:pos="567"/>
        </w:tabs>
        <w:ind w:left="567" w:right="-561"/>
        <w:jc w:val="both"/>
        <w:rPr>
          <w:rFonts w:ascii="Palatino Linotype" w:eastAsia="Palatino Linotype" w:hAnsi="Palatino Linotype" w:cs="Palatino Linotype"/>
          <w:i/>
          <w:iCs/>
        </w:rPr>
      </w:pPr>
    </w:p>
    <w:p w:rsidR="006878E6" w:rsidRDefault="00C175D8">
      <w:pPr>
        <w:tabs>
          <w:tab w:val="left" w:pos="426"/>
          <w:tab w:val="left" w:pos="567"/>
        </w:tabs>
        <w:ind w:left="567" w:right="-56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878E6" w:rsidRDefault="006878E6">
      <w:pPr>
        <w:tabs>
          <w:tab w:val="left" w:pos="426"/>
          <w:tab w:val="left" w:pos="567"/>
        </w:tabs>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tabs>
          <w:tab w:val="left" w:pos="426"/>
          <w:tab w:val="left" w:pos="567"/>
        </w:tabs>
        <w:spacing w:line="360" w:lineRule="auto"/>
        <w:ind w:left="0" w:right="-561" w:firstLine="0"/>
        <w:jc w:val="both"/>
        <w:rPr>
          <w:color w:val="000000"/>
        </w:rPr>
      </w:pPr>
      <w:r>
        <w:rPr>
          <w:rFonts w:ascii="Palatino Linotype" w:eastAsia="Palatino Linotype" w:hAnsi="Palatino Linotype" w:cs="Palatino Linotype"/>
          <w:color w:val="000000"/>
        </w:rPr>
        <w:t xml:space="preserve">En síntesis, </w:t>
      </w:r>
      <w:r>
        <w:rPr>
          <w:rFonts w:ascii="Palatino Linotype" w:eastAsia="Palatino Linotype" w:hAnsi="Palatino Linotype" w:cs="Palatino Linotype"/>
        </w:rPr>
        <w:t>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w:t>
      </w:r>
    </w:p>
    <w:p w:rsidR="006878E6" w:rsidRDefault="006878E6">
      <w:pPr>
        <w:tabs>
          <w:tab w:val="left" w:pos="426"/>
          <w:tab w:val="left" w:pos="567"/>
        </w:tabs>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tabs>
          <w:tab w:val="left" w:pos="426"/>
          <w:tab w:val="left" w:pos="567"/>
        </w:tabs>
        <w:spacing w:line="360" w:lineRule="auto"/>
        <w:ind w:left="0" w:right="-561" w:firstLine="0"/>
        <w:jc w:val="both"/>
        <w:rPr>
          <w:color w:val="000000"/>
        </w:rPr>
      </w:pPr>
      <w:r>
        <w:rPr>
          <w:rFonts w:ascii="Palatino Linotype" w:eastAsia="Palatino Linotype" w:hAnsi="Palatino Linotype" w:cs="Palatino Linotype"/>
          <w:color w:val="000000"/>
        </w:rPr>
        <w:t>No obstante,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el Sujeto Obligado tiene el deber de documentar todos los actos que deriven del ejercicio de sus funciones y al mismo tiempo hacer pública la información que se les requiera y que obre en sus archivos. Es así que, todos los actos de autoridad que realicen los Sujetos Obligados deben estar documentados y, bajo el más alto estándar de transparencia </w:t>
      </w:r>
      <w:r>
        <w:rPr>
          <w:rFonts w:ascii="Palatino Linotype" w:eastAsia="Palatino Linotype" w:hAnsi="Palatino Linotype" w:cs="Palatino Linotype"/>
          <w:color w:val="000000"/>
        </w:rPr>
        <w:lastRenderedPageBreak/>
        <w:t>deberán poner toda la información que se encuentre en su posesión, a disposición de los particulares que la soliciten.</w:t>
      </w:r>
    </w:p>
    <w:p w:rsidR="006878E6" w:rsidRDefault="006878E6">
      <w:pPr>
        <w:tabs>
          <w:tab w:val="left" w:pos="426"/>
          <w:tab w:val="left" w:pos="567"/>
        </w:tabs>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tabs>
          <w:tab w:val="left" w:pos="426"/>
          <w:tab w:val="left" w:pos="567"/>
        </w:tabs>
        <w:spacing w:line="360" w:lineRule="auto"/>
        <w:ind w:left="0" w:right="-561" w:firstLine="0"/>
        <w:jc w:val="both"/>
        <w:rPr>
          <w:color w:val="000000"/>
        </w:rPr>
      </w:pPr>
      <w:r>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“No existe obligación de elaborar documentos ad hoc para atender las solicitudes de acceso a la información.</w:t>
      </w:r>
      <w:r>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6878E6" w:rsidRDefault="006878E6">
      <w:pPr>
        <w:tabs>
          <w:tab w:val="left" w:pos="426"/>
          <w:tab w:val="left" w:pos="567"/>
        </w:tabs>
        <w:ind w:left="567" w:right="-561"/>
        <w:jc w:val="both"/>
        <w:rPr>
          <w:rFonts w:ascii="Palatino Linotype" w:eastAsia="Palatino Linotype" w:hAnsi="Palatino Linotype" w:cs="Palatino Linotype"/>
          <w:i/>
          <w:iCs/>
        </w:rPr>
      </w:pP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Resoluciones: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rsidR="006878E6" w:rsidRDefault="00C175D8">
      <w:pPr>
        <w:tabs>
          <w:tab w:val="left" w:pos="426"/>
          <w:tab w:val="left" w:pos="567"/>
        </w:tabs>
        <w:ind w:left="567" w:right="-561"/>
        <w:jc w:val="both"/>
        <w:rPr>
          <w:rFonts w:ascii="Palatino Linotype" w:eastAsia="Palatino Linotype" w:hAnsi="Palatino Linotype" w:cs="Palatino Linotype"/>
          <w:i/>
          <w:iCs/>
          <w:color w:val="000000"/>
        </w:rPr>
      </w:pPr>
      <w:r>
        <w:rPr>
          <w:rFonts w:ascii="Symbol" w:eastAsia="Symbol" w:hAnsi="Symbol" w:cs="Symbol"/>
          <w:i/>
          <w:iCs/>
        </w:rPr>
        <w:t>∙</w:t>
      </w:r>
      <w:r>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rsidR="006878E6" w:rsidRDefault="006878E6">
      <w:pPr>
        <w:tabs>
          <w:tab w:val="left" w:pos="426"/>
          <w:tab w:val="left" w:pos="567"/>
        </w:tabs>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spacing w:line="360" w:lineRule="auto"/>
        <w:ind w:left="0" w:right="-561" w:firstLine="0"/>
        <w:jc w:val="both"/>
        <w:rPr>
          <w:color w:val="000000"/>
        </w:rPr>
      </w:pPr>
      <w:r>
        <w:rPr>
          <w:rFonts w:ascii="Palatino Linotype" w:eastAsia="Palatino Linotype" w:hAnsi="Palatino Linotype" w:cs="Palatino Linotype"/>
          <w:color w:val="000000"/>
        </w:rPr>
        <w:t xml:space="preserve">Asimos, </w:t>
      </w:r>
      <w:r>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w:t>
      </w:r>
      <w:r>
        <w:rPr>
          <w:rFonts w:ascii="Palatino Linotype" w:eastAsia="Palatino Linotype" w:hAnsi="Palatino Linotype" w:cs="Palatino Linotype"/>
        </w:rPr>
        <w:lastRenderedPageBreak/>
        <w:t xml:space="preserve">cualquier persona, lo que implica que es deber de los Sujetos Obligados, garantizar el derecho de acceso a la información pública. </w:t>
      </w:r>
    </w:p>
    <w:p w:rsidR="006878E6" w:rsidRDefault="006878E6">
      <w:pPr>
        <w:spacing w:line="360" w:lineRule="auto"/>
        <w:ind w:right="-561"/>
        <w:jc w:val="both"/>
        <w:rPr>
          <w:rFonts w:ascii="Palatino Linotype" w:eastAsia="Palatino Linotype" w:hAnsi="Palatino Linotype" w:cs="Palatino Linotype"/>
          <w:color w:val="000000"/>
        </w:rPr>
      </w:pPr>
    </w:p>
    <w:p w:rsidR="006878E6" w:rsidRDefault="00C175D8">
      <w:pPr>
        <w:numPr>
          <w:ilvl w:val="0"/>
          <w:numId w:val="4"/>
        </w:numPr>
        <w:spacing w:line="360" w:lineRule="auto"/>
        <w:ind w:left="0" w:right="-561" w:firstLine="0"/>
        <w:jc w:val="both"/>
        <w:rPr>
          <w:color w:val="000000"/>
        </w:rPr>
      </w:pPr>
      <w:r>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xml:space="preserve"> Para los efectos de la presente Ley se entenderá por: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6878E6" w:rsidRDefault="00C175D8">
      <w:pPr>
        <w:tabs>
          <w:tab w:val="left" w:pos="426"/>
          <w:tab w:val="left" w:pos="567"/>
        </w:tabs>
        <w:ind w:left="567" w:right="-56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878E6" w:rsidRDefault="006878E6">
      <w:pPr>
        <w:tabs>
          <w:tab w:val="left" w:pos="426"/>
          <w:tab w:val="left" w:pos="567"/>
        </w:tabs>
        <w:ind w:right="-561"/>
        <w:jc w:val="both"/>
        <w:rPr>
          <w:rFonts w:ascii="Palatino Linotype" w:eastAsia="Palatino Linotype" w:hAnsi="Palatino Linotype" w:cs="Palatino Linotype"/>
          <w:i/>
          <w:iCs/>
          <w:color w:val="000000"/>
        </w:rPr>
      </w:pPr>
    </w:p>
    <w:p w:rsidR="006878E6" w:rsidRDefault="00C175D8">
      <w:pPr>
        <w:numPr>
          <w:ilvl w:val="0"/>
          <w:numId w:val="4"/>
        </w:numPr>
        <w:tabs>
          <w:tab w:val="left" w:pos="426"/>
          <w:tab w:val="left" w:pos="567"/>
        </w:tabs>
        <w:spacing w:line="360" w:lineRule="auto"/>
        <w:ind w:left="0" w:right="-561" w:firstLine="0"/>
        <w:jc w:val="both"/>
        <w:rPr>
          <w:color w:val="000000"/>
        </w:rPr>
      </w:pPr>
      <w:r>
        <w:rPr>
          <w:rFonts w:ascii="Palatino Linotype" w:eastAsia="Palatino Linotype" w:hAnsi="Palatino Linotype" w:cs="Palatino Linotype"/>
          <w:color w:val="000000"/>
        </w:rPr>
        <w:t xml:space="preserve">Siendo </w:t>
      </w:r>
      <w:r>
        <w:rPr>
          <w:rFonts w:ascii="Palatino Linotype" w:eastAsia="Palatino Linotype" w:hAnsi="Palatino Linotype" w:cs="Palatino Linotype"/>
        </w:rPr>
        <w:t xml:space="preserve">aplicable el Criterio de interpretación en el orden administrativo número 0002- 11, emitido por Acuerdo del Pleno del Instituto de Transparencia y Acceso a la Información Pública del Estado de México y Municipios; publicado en el Periódico Oficial del Gobierno del </w:t>
      </w:r>
      <w:r>
        <w:rPr>
          <w:rFonts w:ascii="Palatino Linotype" w:eastAsia="Palatino Linotype" w:hAnsi="Palatino Linotype" w:cs="Palatino Linotype"/>
        </w:rPr>
        <w:lastRenderedPageBreak/>
        <w:t>Estado Libre y Soberano de México “Gaceta del Gobierno”, el diecinueve de octubre de dos mil once, cuyo rubro y texto dispone:</w:t>
      </w:r>
    </w:p>
    <w:p w:rsidR="006878E6" w:rsidRDefault="00C175D8">
      <w:pPr>
        <w:tabs>
          <w:tab w:val="left" w:pos="426"/>
          <w:tab w:val="left" w:pos="567"/>
        </w:tabs>
        <w:ind w:left="567" w:right="-561"/>
        <w:jc w:val="both"/>
        <w:rPr>
          <w:rFonts w:ascii="Palatino Linotype" w:eastAsia="Palatino Linotype" w:hAnsi="Palatino Linotype" w:cs="Palatino Linotype"/>
          <w:i/>
          <w:iCs/>
        </w:rPr>
      </w:pPr>
      <w:r>
        <w:rPr>
          <w:rFonts w:ascii="Palatino Linotype" w:eastAsia="Palatino Linotype" w:hAnsi="Palatino Linotype" w:cs="Palatino Linotype"/>
          <w:i/>
          <w:iCs/>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b/>
          <w:bCs/>
        </w:rPr>
      </w:pPr>
      <w:r>
        <w:rPr>
          <w:rFonts w:ascii="Palatino Linotype" w:eastAsia="Palatino Linotype" w:hAnsi="Palatino Linotype" w:cs="Palatino Linotype"/>
          <w:b/>
          <w:bCs/>
        </w:rPr>
        <w:t>QUINTO. De la versión pública.</w:t>
      </w:r>
    </w:p>
    <w:p w:rsidR="006878E6" w:rsidRDefault="00C175D8">
      <w:pPr>
        <w:spacing w:line="360" w:lineRule="auto"/>
        <w:ind w:right="-561"/>
        <w:jc w:val="both"/>
        <w:rPr>
          <w:rFonts w:ascii="Palatino Linotype" w:eastAsia="Palatino Linotype" w:hAnsi="Palatino Linotype" w:cs="Palatino Linotype"/>
          <w:b/>
          <w:bCs/>
        </w:rPr>
      </w:pPr>
      <w:r>
        <w:rPr>
          <w:rFonts w:ascii="Palatino Linotype" w:eastAsia="Palatino Linotype" w:hAnsi="Palatino Linotype" w:cs="Palatino Linotype"/>
          <w:b/>
          <w:bCs/>
        </w:rPr>
        <w:t>I.</w:t>
      </w:r>
      <w:r>
        <w:rPr>
          <w:rFonts w:ascii="Palatino Linotype" w:eastAsia="Palatino Linotype" w:hAnsi="Palatino Linotype" w:cs="Palatino Linotype"/>
          <w:b/>
          <w:bCs/>
        </w:rPr>
        <w:tab/>
        <w:t xml:space="preserve">Nociones generales. </w:t>
      </w: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 xml:space="preserve">58. </w:t>
      </w:r>
      <w:r>
        <w:rPr>
          <w:rFonts w:ascii="Palatino Linotype" w:eastAsia="Palatino Linotype" w:hAnsi="Palatino Linotype" w:cs="Palatino Linotype"/>
        </w:rPr>
        <w:t xml:space="preserve">Ahora bien, debe destacarse, que debido a que des desconoce el contenido de la información que sea entregada es que pudiera ser el caso que contenga datos susceptibles de protegerse, así como información susceptible de clasificarse como confidencial o reservada, por lo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hacer la adecuada versión pública, protegiendo los datos que no son susceptibles de ser proporcionados. </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 xml:space="preserve">59. </w:t>
      </w:r>
      <w:r>
        <w:rPr>
          <w:rFonts w:ascii="Palatino Linotype" w:eastAsia="Palatino Linotype" w:hAnsi="Palatino Linotype" w:cs="Palatino Linotype"/>
        </w:rPr>
        <w:t xml:space="preserve">No pasa desapercibido para este Órgano Garante que los sujetos obligados serán responsables de los datos personales en su posesión y que, en caso de localizarse datos </w:t>
      </w:r>
      <w:r>
        <w:rPr>
          <w:rFonts w:ascii="Palatino Linotype" w:eastAsia="Palatino Linotype" w:hAnsi="Palatino Linotype" w:cs="Palatino Linotype"/>
        </w:rPr>
        <w:lastRenderedPageBreak/>
        <w:t>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878E6" w:rsidRDefault="006878E6">
      <w:pPr>
        <w:spacing w:line="360" w:lineRule="auto"/>
        <w:ind w:right="-561"/>
        <w:jc w:val="both"/>
        <w:rPr>
          <w:rFonts w:ascii="Palatino Linotype" w:eastAsia="Palatino Linotype" w:hAnsi="Palatino Linotype" w:cs="Palatino Linotype"/>
        </w:rPr>
      </w:pPr>
    </w:p>
    <w:tbl>
      <w:tblPr>
        <w:tblStyle w:val="a0"/>
        <w:tblW w:w="973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5"/>
        <w:gridCol w:w="7050"/>
      </w:tblGrid>
      <w:tr w:rsidR="006878E6">
        <w:tc>
          <w:tcPr>
            <w:tcW w:w="2685" w:type="dxa"/>
          </w:tcPr>
          <w:p w:rsidR="006878E6" w:rsidRDefault="00C175D8">
            <w:pPr>
              <w:tabs>
                <w:tab w:val="left" w:pos="284"/>
              </w:tabs>
              <w:ind w:right="-106"/>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050" w:type="dxa"/>
          </w:tcPr>
          <w:p w:rsidR="006878E6" w:rsidRDefault="00C175D8">
            <w:pPr>
              <w:tabs>
                <w:tab w:val="left" w:pos="284"/>
              </w:tabs>
              <w:ind w:right="-10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6878E6" w:rsidRDefault="00C175D8">
            <w:pPr>
              <w:tabs>
                <w:tab w:val="left" w:pos="284"/>
              </w:tabs>
              <w:ind w:right="-10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Al hacerlo tienen que precisar de qué información se trata, señalando el supuesto de clasificación (confidencialidad o reserva).</w:t>
            </w:r>
          </w:p>
          <w:p w:rsidR="006878E6" w:rsidRDefault="00C175D8">
            <w:pPr>
              <w:tabs>
                <w:tab w:val="left" w:pos="284"/>
              </w:tabs>
              <w:ind w:right="-10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Además, se debe señalar el procedimiento, de los tres que establecen los artículos 132 y 106 de la Ley Estatal y General, respectivamente.</w:t>
            </w:r>
          </w:p>
          <w:p w:rsidR="006878E6" w:rsidRDefault="00C175D8">
            <w:pPr>
              <w:tabs>
                <w:tab w:val="left" w:pos="284"/>
              </w:tabs>
              <w:ind w:right="-106"/>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b/>
                <w:bCs/>
                <w:color w:val="000000"/>
                <w:u w:val="single"/>
              </w:rPr>
              <w:t>no se puede hacer un acuerdo para clasificar de manera general todos los documentos de un expediente o área, sin</w:t>
            </w:r>
            <w:r>
              <w:rPr>
                <w:rFonts w:ascii="Palatino Linotype" w:eastAsia="Palatino Linotype" w:hAnsi="Palatino Linotype" w:cs="Palatino Linotype"/>
                <w:b/>
                <w:bCs/>
                <w:color w:val="000000"/>
              </w:rPr>
              <w:t xml:space="preserve"> individualizar su análisis y tampoco se puede hacer un acuerdo por cada dato que se vaya a clasificar dentro de un documento con diez datos, por ejemplo, susceptibles de ser clasificados.</w:t>
            </w:r>
          </w:p>
        </w:tc>
      </w:tr>
      <w:tr w:rsidR="006878E6">
        <w:tc>
          <w:tcPr>
            <w:tcW w:w="2685" w:type="dxa"/>
          </w:tcPr>
          <w:p w:rsidR="006878E6" w:rsidRDefault="00C175D8">
            <w:pPr>
              <w:tabs>
                <w:tab w:val="left" w:pos="284"/>
              </w:tabs>
              <w:ind w:right="-106"/>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7050" w:type="dxa"/>
          </w:tcPr>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w:t>
            </w:r>
            <w:r>
              <w:rPr>
                <w:rFonts w:ascii="Palatino Linotype" w:eastAsia="Palatino Linotype" w:hAnsi="Palatino Linotype" w:cs="Palatino Linotype"/>
                <w:color w:val="000000"/>
              </w:rPr>
              <w:lastRenderedPageBreak/>
              <w:t>ampliar las excepciones o supuestos de clasificación aduciendo analogía o mayoría de razón.</w:t>
            </w:r>
          </w:p>
          <w:p w:rsidR="006878E6" w:rsidRDefault="00C175D8">
            <w:pPr>
              <w:tabs>
                <w:tab w:val="left" w:pos="284"/>
              </w:tabs>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878E6">
        <w:tc>
          <w:tcPr>
            <w:tcW w:w="2685" w:type="dxa"/>
          </w:tcPr>
          <w:p w:rsidR="006878E6" w:rsidRDefault="00C175D8">
            <w:pPr>
              <w:tabs>
                <w:tab w:val="left" w:pos="284"/>
              </w:tabs>
              <w:ind w:right="-106"/>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050" w:type="dxa"/>
          </w:tcPr>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6878E6" w:rsidRDefault="00C175D8">
            <w:pPr>
              <w:tabs>
                <w:tab w:val="left" w:pos="284"/>
              </w:tabs>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878E6">
        <w:tc>
          <w:tcPr>
            <w:tcW w:w="2685" w:type="dxa"/>
          </w:tcPr>
          <w:p w:rsidR="006878E6" w:rsidRDefault="006878E6">
            <w:pPr>
              <w:tabs>
                <w:tab w:val="left" w:pos="284"/>
              </w:tabs>
              <w:ind w:right="-106"/>
              <w:rPr>
                <w:rFonts w:ascii="Palatino Linotype" w:eastAsia="Palatino Linotype" w:hAnsi="Palatino Linotype" w:cs="Palatino Linotype"/>
                <w:b/>
                <w:bCs/>
              </w:rPr>
            </w:pPr>
          </w:p>
          <w:p w:rsidR="006878E6" w:rsidRDefault="00C175D8">
            <w:pPr>
              <w:tabs>
                <w:tab w:val="left" w:pos="284"/>
              </w:tabs>
              <w:ind w:right="-106"/>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050" w:type="dxa"/>
          </w:tcPr>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w:t>
            </w:r>
            <w:r>
              <w:rPr>
                <w:rFonts w:ascii="Palatino Linotype" w:eastAsia="Palatino Linotype" w:hAnsi="Palatino Linotype" w:cs="Palatino Linotype"/>
                <w:color w:val="000000"/>
              </w:rPr>
              <w:lastRenderedPageBreak/>
              <w:t>autoridad pronuncie en el ejercicio de sus atribuciones, debe expresar los fundamentos legales que le dieron origen y las razones por las que se deben aplicar al caso concreto.</w:t>
            </w:r>
          </w:p>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878E6">
        <w:tc>
          <w:tcPr>
            <w:tcW w:w="2685" w:type="dxa"/>
          </w:tcPr>
          <w:p w:rsidR="006878E6" w:rsidRDefault="00C175D8">
            <w:pPr>
              <w:tabs>
                <w:tab w:val="left" w:pos="284"/>
              </w:tabs>
              <w:ind w:right="-106"/>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050" w:type="dxa"/>
          </w:tcPr>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6878E6" w:rsidRDefault="00C175D8">
            <w:pPr>
              <w:tabs>
                <w:tab w:val="left" w:pos="284"/>
              </w:tabs>
              <w:ind w:right="-10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878E6" w:rsidRDefault="00C175D8">
            <w:pPr>
              <w:tabs>
                <w:tab w:val="left" w:pos="284"/>
              </w:tabs>
              <w:ind w:right="-106"/>
              <w:rPr>
                <w:rFonts w:ascii="Palatino Linotype" w:eastAsia="Palatino Linotype" w:hAnsi="Palatino Linotype" w:cs="Palatino Linotype"/>
              </w:rPr>
            </w:pPr>
            <w:r>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 xml:space="preserve">60. </w:t>
      </w: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 xml:space="preserve">61. </w:t>
      </w:r>
      <w:r>
        <w:rPr>
          <w:rFonts w:ascii="Palatino Linotype" w:eastAsia="Palatino Linotype" w:hAnsi="Palatino Linotype" w:cs="Palatino Linotype"/>
        </w:rPr>
        <w:t xml:space="preserve">Por lo anteriormente expuesto, este Órgano Garante considera parcialmente fundadas las razones o motivos de inconformidad que plantea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rPr>
        <w:t>REVOCAR</w:t>
      </w:r>
      <w:r>
        <w:rPr>
          <w:rFonts w:ascii="Palatino Linotype" w:eastAsia="Palatino Linotype" w:hAnsi="Palatino Linotype" w:cs="Palatino Linotype"/>
        </w:rPr>
        <w:t xml:space="preserve">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Pr>
          <w:rFonts w:ascii="Palatino Linotype" w:eastAsia="Palatino Linotype" w:hAnsi="Palatino Linotype" w:cs="Palatino Linotype"/>
          <w:b/>
          <w:bCs/>
        </w:rPr>
        <w:t>ÓRGANO GARANTE</w:t>
      </w:r>
      <w:r>
        <w:rPr>
          <w:rFonts w:ascii="Palatino Linotype" w:eastAsia="Palatino Linotype" w:hAnsi="Palatino Linotype" w:cs="Palatino Linotype"/>
        </w:rPr>
        <w:t xml:space="preserve"> emite los siguientes. </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center"/>
        <w:rPr>
          <w:rFonts w:ascii="Palatino Linotype" w:eastAsia="Palatino Linotype" w:hAnsi="Palatino Linotype" w:cs="Palatino Linotype"/>
          <w:b/>
          <w:bCs/>
        </w:rPr>
      </w:pPr>
      <w:r>
        <w:rPr>
          <w:rFonts w:ascii="Palatino Linotype" w:eastAsia="Palatino Linotype" w:hAnsi="Palatino Linotype" w:cs="Palatino Linotype"/>
          <w:b/>
          <w:bCs/>
        </w:rPr>
        <w:t>R E S O L U T I V O S</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02248/INFOEM/IP/RR/2026</w:t>
      </w:r>
      <w:r>
        <w:rPr>
          <w:rFonts w:ascii="Palatino Linotype" w:eastAsia="Palatino Linotype" w:hAnsi="Palatino Linotype" w:cs="Palatino Linotype"/>
        </w:rPr>
        <w:t xml:space="preserve">, en términos de los Considerandos Cuarto y Quinto de la presente resolución. </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lastRenderedPageBreak/>
        <w:t>SEGUNDO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REVOCA</w:t>
      </w:r>
      <w:r>
        <w:rPr>
          <w:rFonts w:ascii="Palatino Linotype" w:eastAsia="Palatino Linotype" w:hAnsi="Palatino Linotype" w:cs="Palatino Linotype"/>
        </w:rPr>
        <w:t xml:space="preserve"> la respuesta emitida por el </w:t>
      </w:r>
      <w:r>
        <w:rPr>
          <w:rFonts w:ascii="Palatino Linotype" w:eastAsia="Palatino Linotype" w:hAnsi="Palatino Linotype" w:cs="Palatino Linotype"/>
          <w:b/>
          <w:bCs/>
        </w:rPr>
        <w:t>Ayuntamiento de Atizapán de Zaragoza</w:t>
      </w:r>
      <w:r>
        <w:rPr>
          <w:rFonts w:ascii="Palatino Linotype" w:eastAsia="Palatino Linotype" w:hAnsi="Palatino Linotype" w:cs="Palatino Linotype"/>
        </w:rPr>
        <w:t xml:space="preserve"> y se </w:t>
      </w:r>
      <w:r>
        <w:rPr>
          <w:rFonts w:ascii="Palatino Linotype" w:eastAsia="Palatino Linotype" w:hAnsi="Palatino Linotype" w:cs="Palatino Linotype"/>
          <w:b/>
          <w:bCs/>
        </w:rPr>
        <w:t>ORDENA</w:t>
      </w:r>
      <w:r>
        <w:rPr>
          <w:rFonts w:ascii="Palatino Linotype" w:eastAsia="Palatino Linotype" w:hAnsi="Palatino Linotype" w:cs="Palatino Linotype"/>
        </w:rPr>
        <w:t xml:space="preserve"> entregar vía Sistema de Acceso a la Información, previa búsqueda exhaustiva y razonable, en versión pública de ser procedente, </w:t>
      </w:r>
      <w:r>
        <w:rPr>
          <w:rFonts w:ascii="Palatino Linotype" w:eastAsia="Palatino Linotype" w:hAnsi="Palatino Linotype" w:cs="Palatino Linotype"/>
          <w:b/>
          <w:bCs/>
        </w:rPr>
        <w:t>el soporte documental donde se advierta el</w:t>
      </w:r>
      <w:r>
        <w:rPr>
          <w:rFonts w:ascii="Palatino Linotype" w:eastAsia="Palatino Linotype" w:hAnsi="Palatino Linotype" w:cs="Palatino Linotype"/>
          <w:b/>
          <w:bCs/>
          <w:color w:val="000000"/>
        </w:rPr>
        <w:t xml:space="preserve"> nombre de los proveedores y contratistas a los que se les realizaron pagos durante 2024 y 2025.</w:t>
      </w:r>
    </w:p>
    <w:p w:rsidR="009F3B4B" w:rsidRDefault="009F3B4B">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 xml:space="preserve">dé cumplimiento a lo ordenado dentro del plazo de diez días hábiles, </w:t>
      </w:r>
      <w:r>
        <w:rPr>
          <w:rFonts w:ascii="Palatino Linotype" w:eastAsia="Palatino Linotype" w:hAnsi="Palatino Linotype" w:cs="Palatino Linotyp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6878E6" w:rsidRDefault="006878E6">
      <w:pPr>
        <w:spacing w:line="360" w:lineRule="auto"/>
        <w:ind w:right="-561"/>
        <w:jc w:val="both"/>
        <w:rPr>
          <w:rFonts w:ascii="Palatino Linotype" w:eastAsia="Palatino Linotype" w:hAnsi="Palatino Linotype" w:cs="Palatino Linotype"/>
          <w:b/>
          <w:bCs/>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CUARTO.</w:t>
      </w:r>
      <w:r>
        <w:rPr>
          <w:rFonts w:ascii="Palatino Linotype" w:eastAsia="Palatino Linotype" w:hAnsi="Palatino Linotype" w:cs="Palatino Linotype"/>
        </w:rPr>
        <w:t xml:space="preserve"> 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QUINTO</w:t>
      </w:r>
      <w:r w:rsidR="009F3B4B">
        <w:rPr>
          <w:rFonts w:ascii="Palatino Linotype" w:eastAsia="Palatino Linotype" w:hAnsi="Palatino Linotype" w:cs="Palatino Linotype"/>
        </w:rPr>
        <w:t>. Notifíquese a</w:t>
      </w:r>
      <w:r>
        <w:rPr>
          <w:rFonts w:ascii="Palatino Linotype" w:eastAsia="Palatino Linotype" w:hAnsi="Palatino Linotype" w:cs="Palatino Linotype"/>
        </w:rPr>
        <w:t xml:space="preserv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p>
    <w:p w:rsidR="006878E6" w:rsidRDefault="006878E6">
      <w:pPr>
        <w:spacing w:line="360" w:lineRule="auto"/>
        <w:ind w:right="-561"/>
        <w:jc w:val="both"/>
        <w:rPr>
          <w:rFonts w:ascii="Palatino Linotype" w:eastAsia="Palatino Linotype" w:hAnsi="Palatino Linotype" w:cs="Palatino Linotype"/>
        </w:rPr>
      </w:pPr>
    </w:p>
    <w:p w:rsidR="006878E6" w:rsidRDefault="00C175D8">
      <w:pPr>
        <w:spacing w:line="360" w:lineRule="auto"/>
        <w:ind w:right="-561"/>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878E6" w:rsidRDefault="006878E6">
      <w:pPr>
        <w:spacing w:line="360" w:lineRule="auto"/>
        <w:ind w:right="-561"/>
        <w:rPr>
          <w:rFonts w:ascii="Palatino Linotype" w:eastAsia="Palatino Linotype" w:hAnsi="Palatino Linotype" w:cs="Palatino Linotype"/>
        </w:rPr>
      </w:pPr>
    </w:p>
    <w:p w:rsidR="009F3B4B" w:rsidRPr="003E2295" w:rsidRDefault="009F3B4B" w:rsidP="009F3B4B">
      <w:pPr>
        <w:spacing w:before="240" w:after="240" w:line="360" w:lineRule="auto"/>
        <w:ind w:right="-567"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6878E6" w:rsidRDefault="006878E6" w:rsidP="009F3B4B">
      <w:pPr>
        <w:spacing w:line="360" w:lineRule="auto"/>
        <w:ind w:right="-567"/>
        <w:rPr>
          <w:rFonts w:ascii="Palatino Linotype" w:eastAsia="Palatino Linotype" w:hAnsi="Palatino Linotype" w:cs="Palatino Linotype"/>
        </w:rPr>
      </w:pPr>
    </w:p>
    <w:p w:rsidR="006878E6" w:rsidRDefault="006878E6" w:rsidP="009F3B4B">
      <w:pPr>
        <w:spacing w:line="360" w:lineRule="auto"/>
        <w:ind w:right="-567"/>
        <w:rPr>
          <w:rFonts w:ascii="Palatino Linotype" w:eastAsia="Palatino Linotype" w:hAnsi="Palatino Linotype" w:cs="Palatino Linotype"/>
        </w:rPr>
      </w:pPr>
    </w:p>
    <w:p w:rsidR="006878E6" w:rsidRDefault="006878E6" w:rsidP="009F3B4B">
      <w:pPr>
        <w:spacing w:line="360" w:lineRule="auto"/>
        <w:ind w:right="-567"/>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6878E6" w:rsidRDefault="006878E6">
      <w:pPr>
        <w:spacing w:line="360" w:lineRule="auto"/>
        <w:ind w:right="-561"/>
        <w:rPr>
          <w:rFonts w:ascii="Palatino Linotype" w:eastAsia="Palatino Linotype" w:hAnsi="Palatino Linotype" w:cs="Palatino Linotype"/>
        </w:rPr>
      </w:pPr>
    </w:p>
    <w:p w:rsidR="004314FE" w:rsidRDefault="004314FE">
      <w:pPr>
        <w:spacing w:line="360" w:lineRule="auto"/>
        <w:ind w:right="-561"/>
        <w:rPr>
          <w:rFonts w:ascii="Palatino Linotype" w:eastAsia="Palatino Linotype" w:hAnsi="Palatino Linotype" w:cs="Palatino Linotype"/>
        </w:rPr>
      </w:pPr>
    </w:p>
    <w:p w:rsidR="004314FE" w:rsidRDefault="004314FE">
      <w:pPr>
        <w:spacing w:line="360" w:lineRule="auto"/>
        <w:ind w:right="-561"/>
        <w:rPr>
          <w:rFonts w:ascii="Palatino Linotype" w:eastAsia="Palatino Linotype" w:hAnsi="Palatino Linotype" w:cs="Palatino Linotype"/>
        </w:rPr>
      </w:pPr>
    </w:p>
    <w:p w:rsidR="004314FE" w:rsidRDefault="004314FE">
      <w:pPr>
        <w:spacing w:line="360" w:lineRule="auto"/>
        <w:ind w:right="-561"/>
        <w:rPr>
          <w:rFonts w:ascii="Palatino Linotype" w:eastAsia="Palatino Linotype" w:hAnsi="Palatino Linotype" w:cs="Palatino Linotype"/>
        </w:rPr>
      </w:pPr>
    </w:p>
    <w:sectPr w:rsidR="004314FE">
      <w:headerReference w:type="even" r:id="rId15"/>
      <w:headerReference w:type="default" r:id="rId16"/>
      <w:footerReference w:type="default" r:id="rId17"/>
      <w:headerReference w:type="first" r:id="rId18"/>
      <w:footerReference w:type="first" r:id="rId19"/>
      <w:pgSz w:w="12240" w:h="15840"/>
      <w:pgMar w:top="80" w:right="1296" w:bottom="1843"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BF3" w:rsidRDefault="00A31BF3">
      <w:r>
        <w:separator/>
      </w:r>
    </w:p>
  </w:endnote>
  <w:endnote w:type="continuationSeparator" w:id="0">
    <w:p w:rsidR="00A31BF3" w:rsidRDefault="00A31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1E3BFBA6-6CE0-4E51-8E2C-9B665F5F2024}"/>
    <w:embedBold r:id="rId2" w:fontKey="{0C9A1788-53C7-40DA-AAAB-F0026259711C}"/>
    <w:embedItalic r:id="rId3" w:fontKey="{92D5D343-929B-4E61-8FF1-82CB331AF0AF}"/>
    <w:embedBoldItalic r:id="rId4" w:fontKey="{0E7BA755-951A-4967-9700-C01893DDC3F1}"/>
  </w:font>
  <w:font w:name="Noto Sans Symbols">
    <w:altName w:val="Times New Roman"/>
    <w:charset w:val="00"/>
    <w:family w:val="auto"/>
    <w:pitch w:val="default"/>
    <w:embedRegular r:id="rId5" w:fontKey="{D1BB415D-F6D1-498E-A191-2CF7763E129E}"/>
  </w:font>
  <w:font w:name="Calibri">
    <w:panose1 w:val="020F0502020204030204"/>
    <w:charset w:val="00"/>
    <w:family w:val="swiss"/>
    <w:pitch w:val="variable"/>
    <w:sig w:usb0="E4002EFF" w:usb1="C200247B" w:usb2="00000009" w:usb3="00000000" w:csb0="000001FF" w:csb1="00000000"/>
    <w:embedRegular r:id="rId6" w:fontKey="{7E7C1CD4-0CB6-4B7B-8CF2-9C7E76DCF846}"/>
  </w:font>
  <w:font w:name="Georgia">
    <w:panose1 w:val="02040502050405020303"/>
    <w:charset w:val="00"/>
    <w:family w:val="roman"/>
    <w:pitch w:val="variable"/>
    <w:sig w:usb0="00000287" w:usb1="00000000" w:usb2="00000000" w:usb3="00000000" w:csb0="0000009F" w:csb1="00000000"/>
    <w:embedItalic r:id="rId7" w:fontKey="{47F35AF5-6031-423E-A95B-707CE0991653}"/>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8" w:fontKey="{9837DD46-8976-4AB2-AF03-485F32DC8CD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6DD19138-0E53-427B-AAFC-59931D6F0C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8E6" w:rsidRDefault="00C175D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AB4C28">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B4C28">
      <w:rPr>
        <w:rFonts w:ascii="Palatino Linotype" w:eastAsia="Palatino Linotype" w:hAnsi="Palatino Linotype" w:cs="Palatino Linotype"/>
        <w:b/>
        <w:bCs/>
        <w:noProof/>
        <w:color w:val="000000"/>
        <w:sz w:val="22"/>
        <w:szCs w:val="22"/>
      </w:rPr>
      <w:t>35</w:t>
    </w:r>
    <w:r>
      <w:rPr>
        <w:rFonts w:ascii="Palatino Linotype" w:eastAsia="Palatino Linotype" w:hAnsi="Palatino Linotype" w:cs="Palatino Linotype"/>
        <w:b/>
        <w:bCs/>
        <w:color w:val="000000"/>
        <w:sz w:val="22"/>
        <w:szCs w:val="22"/>
      </w:rPr>
      <w:fldChar w:fldCharType="end"/>
    </w:r>
  </w:p>
  <w:p w:rsidR="006878E6" w:rsidRDefault="006878E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8E6" w:rsidRDefault="00C175D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AB4C28">
      <w:rPr>
        <w:rFonts w:ascii="Palatino Linotype" w:eastAsia="Palatino Linotype" w:hAnsi="Palatino Linotype" w:cs="Palatino Linotype"/>
        <w:b/>
        <w:bCs/>
        <w:noProof/>
        <w:color w:val="000000"/>
        <w:sz w:val="22"/>
        <w:szCs w:val="22"/>
      </w:rPr>
      <w:t>35</w:t>
    </w:r>
    <w:r>
      <w:rPr>
        <w:rFonts w:ascii="Palatino Linotype" w:eastAsia="Palatino Linotype" w:hAnsi="Palatino Linotype" w:cs="Palatino Linotype"/>
        <w:b/>
        <w:bCs/>
        <w:color w:val="000000"/>
        <w:sz w:val="22"/>
        <w:szCs w:val="22"/>
      </w:rPr>
      <w:fldChar w:fldCharType="end"/>
    </w:r>
  </w:p>
  <w:p w:rsidR="006878E6" w:rsidRDefault="006878E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BF3" w:rsidRDefault="00A31BF3">
      <w:r>
        <w:separator/>
      </w:r>
    </w:p>
  </w:footnote>
  <w:footnote w:type="continuationSeparator" w:id="0">
    <w:p w:rsidR="00A31BF3" w:rsidRDefault="00A31BF3">
      <w:r>
        <w:continuationSeparator/>
      </w:r>
    </w:p>
  </w:footnote>
  <w:footnote w:id="1">
    <w:p w:rsidR="006878E6" w:rsidRDefault="00C175D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6878E6" w:rsidRDefault="00C175D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6878E6" w:rsidRDefault="00C175D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6878E6" w:rsidRDefault="00C175D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6878E6" w:rsidRDefault="00C175D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6">
    <w:p w:rsidR="006878E6" w:rsidRDefault="00C175D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7">
    <w:p w:rsidR="006878E6" w:rsidRDefault="00C175D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8">
    <w:p w:rsidR="006878E6" w:rsidRDefault="00C175D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 w:id="9">
    <w:p w:rsidR="006878E6" w:rsidRDefault="00C175D8">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Para el caso de información relacionada con personas físicas deberá observarse lo establecido en el numeral décimo segundo, fracción VIII de los Lineamientos.</w:t>
      </w:r>
    </w:p>
  </w:footnote>
  <w:footnote w:id="10">
    <w:p w:rsidR="006878E6" w:rsidRDefault="00C175D8">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Por ejemplo: entidades federativas, municipios, corporaciones de carácter público reconocidas por la ley, sociedades civiles o mercantiles, sindicatos, asociaciones profesionales, sociedades cooperativas y mutualistas, asociaciones que se propongan fines políticos, científicos, artísticos, de recreo o cualquiera otro fin lícito, siempre que no fueren desconocidas por la ley; personas morales extranjeras de naturaleza privada; de acuerdo con el artículo 25 del Código Civil Federal.</w:t>
      </w:r>
    </w:p>
  </w:footnote>
  <w:footnote w:id="11">
    <w:p w:rsidR="006878E6" w:rsidRDefault="00C175D8">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Nombre oficial y legal que aparece en la documentación que permitió constituir la empresa.</w:t>
      </w:r>
    </w:p>
  </w:footnote>
  <w:footnote w:id="12">
    <w:p w:rsidR="006878E6" w:rsidRDefault="00C175D8">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Con base en la Ley para el Desarrollo de la Competitividad de la Micro, Pequeña y Mediana Empresa</w:t>
      </w:r>
    </w:p>
  </w:footnote>
  <w:footnote w:id="13">
    <w:p w:rsidR="006878E6" w:rsidRDefault="00C175D8">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20"/>
          <w:szCs w:val="20"/>
        </w:rPr>
        <w:t>Los componentes del domicilio se basan en la Norma Técnica sobre Domicilios Geográficos emitida por el Instituto Nacional de Estadística y Geografía, publicada en el Diario Oficial el viernes 12 de noviembre de 2010. Disponible en: http://www.inegi.org.mx/geo/contenidos/normastecnicas/doc/dof_ntdg.pdf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8E6" w:rsidRDefault="00A31BF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8E6" w:rsidRDefault="006878E6">
    <w:pPr>
      <w:widowControl w:val="0"/>
      <w:pBdr>
        <w:top w:val="nil"/>
        <w:left w:val="nil"/>
        <w:bottom w:val="nil"/>
        <w:right w:val="nil"/>
        <w:between w:val="nil"/>
      </w:pBdr>
      <w:spacing w:line="276" w:lineRule="auto"/>
      <w:rPr>
        <w:color w:val="000000"/>
      </w:rPr>
    </w:pPr>
  </w:p>
  <w:tbl>
    <w:tblPr>
      <w:tblStyle w:val="a1"/>
      <w:tblW w:w="9214" w:type="dxa"/>
      <w:tblInd w:w="0" w:type="dxa"/>
      <w:tblLayout w:type="fixed"/>
      <w:tblLook w:val="0400" w:firstRow="0" w:lastRow="0" w:firstColumn="0" w:lastColumn="0" w:noHBand="0" w:noVBand="1"/>
    </w:tblPr>
    <w:tblGrid>
      <w:gridCol w:w="2268"/>
      <w:gridCol w:w="6946"/>
    </w:tblGrid>
    <w:tr w:rsidR="006878E6">
      <w:trPr>
        <w:trHeight w:val="1435"/>
      </w:trPr>
      <w:tc>
        <w:tcPr>
          <w:tcW w:w="2268" w:type="dxa"/>
          <w:shd w:val="clear" w:color="auto" w:fill="auto"/>
        </w:tcPr>
        <w:p w:rsidR="006878E6" w:rsidRDefault="006878E6">
          <w:pPr>
            <w:tabs>
              <w:tab w:val="right" w:pos="4273"/>
            </w:tabs>
            <w:rPr>
              <w:rFonts w:ascii="Garamond" w:eastAsia="Garamond" w:hAnsi="Garamond" w:cs="Garamond"/>
              <w:sz w:val="16"/>
              <w:szCs w:val="16"/>
            </w:rPr>
          </w:pPr>
        </w:p>
      </w:tc>
      <w:tc>
        <w:tcPr>
          <w:tcW w:w="6946" w:type="dxa"/>
          <w:shd w:val="clear" w:color="auto" w:fill="auto"/>
        </w:tcPr>
        <w:p w:rsidR="006878E6" w:rsidRDefault="006878E6">
          <w:pPr>
            <w:rPr>
              <w:sz w:val="18"/>
              <w:szCs w:val="18"/>
            </w:rPr>
          </w:pPr>
        </w:p>
        <w:tbl>
          <w:tblPr>
            <w:tblStyle w:val="a2"/>
            <w:tblW w:w="7073" w:type="dxa"/>
            <w:tblInd w:w="40" w:type="dxa"/>
            <w:tblLayout w:type="fixed"/>
            <w:tblLook w:val="0400" w:firstRow="0" w:lastRow="0" w:firstColumn="0" w:lastColumn="0" w:noHBand="0" w:noVBand="1"/>
          </w:tblPr>
          <w:tblGrid>
            <w:gridCol w:w="3797"/>
            <w:gridCol w:w="3276"/>
          </w:tblGrid>
          <w:tr w:rsidR="006878E6">
            <w:trPr>
              <w:trHeight w:val="150"/>
            </w:trPr>
            <w:tc>
              <w:tcPr>
                <w:tcW w:w="3797" w:type="dxa"/>
                <w:shd w:val="clear" w:color="auto" w:fill="auto"/>
              </w:tcPr>
              <w:p w:rsidR="006878E6" w:rsidRDefault="00C175D8">
                <w:pPr>
                  <w:tabs>
                    <w:tab w:val="right" w:pos="8838"/>
                  </w:tabs>
                  <w:ind w:left="850" w:right="-10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276" w:type="dxa"/>
                <w:shd w:val="clear" w:color="auto" w:fill="auto"/>
              </w:tcPr>
              <w:p w:rsidR="006878E6" w:rsidRDefault="00C175D8">
                <w:pPr>
                  <w:ind w:right="-1343"/>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02248/INFOEM/IP/RR/2026</w:t>
                </w:r>
              </w:p>
            </w:tc>
          </w:tr>
          <w:tr w:rsidR="006878E6">
            <w:trPr>
              <w:trHeight w:val="295"/>
            </w:trPr>
            <w:tc>
              <w:tcPr>
                <w:tcW w:w="3797" w:type="dxa"/>
                <w:shd w:val="clear" w:color="auto" w:fill="auto"/>
              </w:tcPr>
              <w:p w:rsidR="006878E6" w:rsidRDefault="00C175D8">
                <w:pPr>
                  <w:tabs>
                    <w:tab w:val="right" w:pos="8838"/>
                  </w:tabs>
                  <w:ind w:left="850" w:right="-10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276" w:type="dxa"/>
                <w:shd w:val="clear" w:color="auto" w:fill="auto"/>
              </w:tcPr>
              <w:p w:rsidR="009F3B4B" w:rsidRDefault="00C175D8">
                <w:pPr>
                  <w:ind w:right="-1343"/>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Ayuntamiento de Atizapán </w:t>
                </w:r>
              </w:p>
              <w:p w:rsidR="006878E6" w:rsidRDefault="009F3B4B">
                <w:pPr>
                  <w:ind w:right="-1343"/>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d</w:t>
                </w:r>
                <w:r w:rsidR="00C175D8">
                  <w:rPr>
                    <w:rFonts w:ascii="Palatino Linotype" w:eastAsia="Palatino Linotype" w:hAnsi="Palatino Linotype" w:cs="Palatino Linotype"/>
                    <w:sz w:val="22"/>
                    <w:szCs w:val="22"/>
                  </w:rPr>
                  <w:t>e</w:t>
                </w:r>
                <w:r>
                  <w:rPr>
                    <w:rFonts w:ascii="Palatino Linotype" w:eastAsia="Palatino Linotype" w:hAnsi="Palatino Linotype" w:cs="Palatino Linotype"/>
                    <w:sz w:val="22"/>
                    <w:szCs w:val="22"/>
                  </w:rPr>
                  <w:t xml:space="preserve"> </w:t>
                </w:r>
                <w:r w:rsidR="00C175D8">
                  <w:rPr>
                    <w:rFonts w:ascii="Palatino Linotype" w:eastAsia="Palatino Linotype" w:hAnsi="Palatino Linotype" w:cs="Palatino Linotype"/>
                    <w:sz w:val="22"/>
                    <w:szCs w:val="22"/>
                  </w:rPr>
                  <w:t>Zaragoza</w:t>
                </w:r>
              </w:p>
            </w:tc>
          </w:tr>
          <w:tr w:rsidR="006878E6">
            <w:trPr>
              <w:trHeight w:val="295"/>
            </w:trPr>
            <w:tc>
              <w:tcPr>
                <w:tcW w:w="3797" w:type="dxa"/>
                <w:shd w:val="clear" w:color="auto" w:fill="auto"/>
              </w:tcPr>
              <w:p w:rsidR="006878E6" w:rsidRDefault="00C175D8">
                <w:pPr>
                  <w:tabs>
                    <w:tab w:val="right" w:pos="8838"/>
                  </w:tabs>
                  <w:ind w:left="850" w:right="-10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276" w:type="dxa"/>
                <w:shd w:val="clear" w:color="auto" w:fill="auto"/>
              </w:tcPr>
              <w:p w:rsidR="006878E6" w:rsidRDefault="00C175D8">
                <w:pPr>
                  <w:ind w:right="-1343"/>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María del Rosario Mejía Ayala</w:t>
                </w:r>
              </w:p>
              <w:p w:rsidR="006878E6" w:rsidRDefault="006878E6">
                <w:pPr>
                  <w:ind w:left="141" w:right="-1343"/>
                  <w:jc w:val="both"/>
                  <w:rPr>
                    <w:rFonts w:ascii="Palatino Linotype" w:eastAsia="Palatino Linotype" w:hAnsi="Palatino Linotype" w:cs="Palatino Linotype"/>
                    <w:sz w:val="22"/>
                    <w:szCs w:val="22"/>
                  </w:rPr>
                </w:pPr>
              </w:p>
            </w:tc>
          </w:tr>
        </w:tbl>
        <w:p w:rsidR="006878E6" w:rsidRDefault="006878E6">
          <w:pPr>
            <w:tabs>
              <w:tab w:val="right" w:pos="8838"/>
            </w:tabs>
            <w:ind w:left="-28"/>
            <w:jc w:val="both"/>
            <w:rPr>
              <w:rFonts w:ascii="Arial" w:eastAsia="Arial" w:hAnsi="Arial" w:cs="Arial"/>
              <w:b/>
              <w:bCs/>
              <w:sz w:val="18"/>
              <w:szCs w:val="18"/>
            </w:rPr>
          </w:pPr>
        </w:p>
      </w:tc>
    </w:tr>
  </w:tbl>
  <w:p w:rsidR="006878E6" w:rsidRDefault="00A31BF3">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2265"/>
      <w:gridCol w:w="7800"/>
    </w:tblGrid>
    <w:tr w:rsidR="006878E6">
      <w:trPr>
        <w:trHeight w:val="1435"/>
      </w:trPr>
      <w:tc>
        <w:tcPr>
          <w:tcW w:w="2265" w:type="dxa"/>
          <w:shd w:val="clear" w:color="auto" w:fill="auto"/>
        </w:tcPr>
        <w:p w:rsidR="006878E6" w:rsidRDefault="006878E6">
          <w:pPr>
            <w:tabs>
              <w:tab w:val="right" w:pos="4273"/>
            </w:tabs>
            <w:rPr>
              <w:rFonts w:ascii="Garamond" w:eastAsia="Garamond" w:hAnsi="Garamond" w:cs="Garamond"/>
              <w:sz w:val="22"/>
              <w:szCs w:val="22"/>
            </w:rPr>
          </w:pPr>
        </w:p>
      </w:tc>
      <w:tc>
        <w:tcPr>
          <w:tcW w:w="7800" w:type="dxa"/>
          <w:shd w:val="clear" w:color="auto" w:fill="auto"/>
        </w:tcPr>
        <w:tbl>
          <w:tblPr>
            <w:tblStyle w:val="a4"/>
            <w:tblW w:w="7410" w:type="dxa"/>
            <w:tblInd w:w="455" w:type="dxa"/>
            <w:tblLayout w:type="fixed"/>
            <w:tblLook w:val="0400" w:firstRow="0" w:lastRow="0" w:firstColumn="0" w:lastColumn="0" w:noHBand="0" w:noVBand="1"/>
          </w:tblPr>
          <w:tblGrid>
            <w:gridCol w:w="2807"/>
            <w:gridCol w:w="4603"/>
          </w:tblGrid>
          <w:tr w:rsidR="006878E6" w:rsidTr="0004237C">
            <w:trPr>
              <w:trHeight w:val="144"/>
            </w:trPr>
            <w:tc>
              <w:tcPr>
                <w:tcW w:w="2807" w:type="dxa"/>
                <w:shd w:val="clear" w:color="auto" w:fill="auto"/>
              </w:tcPr>
              <w:p w:rsidR="006878E6" w:rsidRPr="009F3B4B" w:rsidRDefault="00C175D8" w:rsidP="009F3B4B">
                <w:pPr>
                  <w:tabs>
                    <w:tab w:val="right" w:pos="8838"/>
                  </w:tabs>
                  <w:ind w:right="-126"/>
                  <w:rPr>
                    <w:rFonts w:ascii="Palatino Linotype" w:eastAsia="Palatino Linotype" w:hAnsi="Palatino Linotype" w:cs="Palatino Linotype"/>
                    <w:b/>
                    <w:bCs/>
                  </w:rPr>
                </w:pPr>
                <w:r w:rsidRPr="009F3B4B">
                  <w:rPr>
                    <w:rFonts w:ascii="Palatino Linotype" w:eastAsia="Palatino Linotype" w:hAnsi="Palatino Linotype" w:cs="Palatino Linotype"/>
                    <w:b/>
                    <w:bCs/>
                  </w:rPr>
                  <w:t>Recurso de Revisión:</w:t>
                </w:r>
              </w:p>
            </w:tc>
            <w:tc>
              <w:tcPr>
                <w:tcW w:w="4603" w:type="dxa"/>
                <w:shd w:val="clear" w:color="auto" w:fill="auto"/>
              </w:tcPr>
              <w:p w:rsidR="006878E6" w:rsidRPr="009F3B4B" w:rsidRDefault="00C175D8" w:rsidP="009F3B4B">
                <w:pPr>
                  <w:tabs>
                    <w:tab w:val="right" w:pos="8838"/>
                  </w:tabs>
                  <w:ind w:right="-126"/>
                  <w:rPr>
                    <w:rFonts w:ascii="Palatino Linotype" w:eastAsia="Palatino Linotype" w:hAnsi="Palatino Linotype" w:cs="Palatino Linotype"/>
                  </w:rPr>
                </w:pPr>
                <w:r w:rsidRPr="009F3B4B">
                  <w:rPr>
                    <w:rFonts w:ascii="Palatino Linotype" w:eastAsia="Palatino Linotype" w:hAnsi="Palatino Linotype" w:cs="Palatino Linotype"/>
                  </w:rPr>
                  <w:t>02248/INFOEM/IP/RR/2026</w:t>
                </w:r>
              </w:p>
            </w:tc>
          </w:tr>
          <w:tr w:rsidR="006878E6" w:rsidTr="0004237C">
            <w:trPr>
              <w:trHeight w:val="144"/>
            </w:trPr>
            <w:tc>
              <w:tcPr>
                <w:tcW w:w="2807" w:type="dxa"/>
                <w:shd w:val="clear" w:color="auto" w:fill="auto"/>
              </w:tcPr>
              <w:p w:rsidR="006878E6" w:rsidRPr="009F3B4B" w:rsidRDefault="00C175D8" w:rsidP="009F3B4B">
                <w:pPr>
                  <w:tabs>
                    <w:tab w:val="right" w:pos="8838"/>
                  </w:tabs>
                  <w:ind w:right="-126"/>
                  <w:rPr>
                    <w:rFonts w:ascii="Palatino Linotype" w:eastAsia="Palatino Linotype" w:hAnsi="Palatino Linotype" w:cs="Palatino Linotype"/>
                    <w:b/>
                    <w:bCs/>
                  </w:rPr>
                </w:pPr>
                <w:r w:rsidRPr="009F3B4B">
                  <w:rPr>
                    <w:rFonts w:ascii="Palatino Linotype" w:eastAsia="Palatino Linotype" w:hAnsi="Palatino Linotype" w:cs="Palatino Linotype"/>
                    <w:b/>
                    <w:bCs/>
                  </w:rPr>
                  <w:t>Recurrente:</w:t>
                </w:r>
              </w:p>
            </w:tc>
            <w:tc>
              <w:tcPr>
                <w:tcW w:w="4603" w:type="dxa"/>
                <w:shd w:val="clear" w:color="auto" w:fill="auto"/>
              </w:tcPr>
              <w:p w:rsidR="006878E6" w:rsidRPr="009F3B4B" w:rsidRDefault="00AB4C28" w:rsidP="009F3B4B">
                <w:pPr>
                  <w:tabs>
                    <w:tab w:val="left" w:pos="3122"/>
                    <w:tab w:val="right" w:pos="8838"/>
                  </w:tabs>
                  <w:ind w:right="-126"/>
                  <w:rPr>
                    <w:rFonts w:ascii="Palatino Linotype" w:eastAsia="Palatino Linotype" w:hAnsi="Palatino Linotype" w:cs="Palatino Linotype"/>
                  </w:rPr>
                </w:pPr>
                <w:r>
                  <w:rPr>
                    <w:rFonts w:ascii="Palatino Linotype" w:eastAsia="Palatino Linotype" w:hAnsi="Palatino Linotype" w:cs="Palatino Linotype"/>
                  </w:rPr>
                  <w:t>XXXX</w:t>
                </w:r>
              </w:p>
            </w:tc>
          </w:tr>
          <w:tr w:rsidR="006878E6" w:rsidTr="0004237C">
            <w:trPr>
              <w:trHeight w:val="80"/>
            </w:trPr>
            <w:tc>
              <w:tcPr>
                <w:tcW w:w="2807" w:type="dxa"/>
                <w:shd w:val="clear" w:color="auto" w:fill="auto"/>
              </w:tcPr>
              <w:p w:rsidR="006878E6" w:rsidRPr="009F3B4B" w:rsidRDefault="00C175D8" w:rsidP="009F3B4B">
                <w:pPr>
                  <w:tabs>
                    <w:tab w:val="right" w:pos="8838"/>
                  </w:tabs>
                  <w:ind w:right="-126"/>
                  <w:rPr>
                    <w:rFonts w:ascii="Palatino Linotype" w:eastAsia="Palatino Linotype" w:hAnsi="Palatino Linotype" w:cs="Palatino Linotype"/>
                    <w:b/>
                    <w:bCs/>
                  </w:rPr>
                </w:pPr>
                <w:r w:rsidRPr="009F3B4B">
                  <w:rPr>
                    <w:rFonts w:ascii="Palatino Linotype" w:eastAsia="Palatino Linotype" w:hAnsi="Palatino Linotype" w:cs="Palatino Linotype"/>
                    <w:b/>
                    <w:bCs/>
                  </w:rPr>
                  <w:t>Sujeto Obligado:</w:t>
                </w:r>
              </w:p>
            </w:tc>
            <w:tc>
              <w:tcPr>
                <w:tcW w:w="4603" w:type="dxa"/>
                <w:shd w:val="clear" w:color="auto" w:fill="auto"/>
              </w:tcPr>
              <w:p w:rsidR="006878E6" w:rsidRPr="009F3B4B" w:rsidRDefault="00C175D8" w:rsidP="009F3B4B">
                <w:pPr>
                  <w:tabs>
                    <w:tab w:val="left" w:pos="3122"/>
                    <w:tab w:val="right" w:pos="8838"/>
                  </w:tabs>
                  <w:ind w:right="-126"/>
                  <w:rPr>
                    <w:rFonts w:ascii="Palatino Linotype" w:eastAsia="Palatino Linotype" w:hAnsi="Palatino Linotype" w:cs="Palatino Linotype"/>
                  </w:rPr>
                </w:pPr>
                <w:r w:rsidRPr="009F3B4B">
                  <w:rPr>
                    <w:rFonts w:ascii="Palatino Linotype" w:eastAsia="Palatino Linotype" w:hAnsi="Palatino Linotype" w:cs="Palatino Linotype"/>
                  </w:rPr>
                  <w:t>Ayuntamiento de Atizapán de Zaragoza</w:t>
                </w:r>
              </w:p>
            </w:tc>
          </w:tr>
          <w:tr w:rsidR="006878E6" w:rsidTr="0004237C">
            <w:trPr>
              <w:trHeight w:val="283"/>
            </w:trPr>
            <w:tc>
              <w:tcPr>
                <w:tcW w:w="2807" w:type="dxa"/>
                <w:shd w:val="clear" w:color="auto" w:fill="auto"/>
              </w:tcPr>
              <w:p w:rsidR="006878E6" w:rsidRPr="009F3B4B" w:rsidRDefault="00C175D8" w:rsidP="009F3B4B">
                <w:pPr>
                  <w:tabs>
                    <w:tab w:val="right" w:pos="8838"/>
                  </w:tabs>
                  <w:ind w:right="-126"/>
                  <w:rPr>
                    <w:rFonts w:ascii="Palatino Linotype" w:eastAsia="Palatino Linotype" w:hAnsi="Palatino Linotype" w:cs="Palatino Linotype"/>
                    <w:b/>
                    <w:bCs/>
                  </w:rPr>
                </w:pPr>
                <w:r w:rsidRPr="009F3B4B">
                  <w:rPr>
                    <w:rFonts w:ascii="Palatino Linotype" w:eastAsia="Palatino Linotype" w:hAnsi="Palatino Linotype" w:cs="Palatino Linotype"/>
                    <w:b/>
                    <w:bCs/>
                  </w:rPr>
                  <w:t>Comisionada ponente:</w:t>
                </w:r>
              </w:p>
            </w:tc>
            <w:tc>
              <w:tcPr>
                <w:tcW w:w="4603" w:type="dxa"/>
                <w:shd w:val="clear" w:color="auto" w:fill="auto"/>
              </w:tcPr>
              <w:p w:rsidR="006878E6" w:rsidRPr="009F3B4B" w:rsidRDefault="00C175D8" w:rsidP="009F3B4B">
                <w:pPr>
                  <w:tabs>
                    <w:tab w:val="right" w:pos="8838"/>
                  </w:tabs>
                  <w:ind w:right="-126"/>
                  <w:rPr>
                    <w:rFonts w:ascii="Palatino Linotype" w:eastAsia="Palatino Linotype" w:hAnsi="Palatino Linotype" w:cs="Palatino Linotype"/>
                  </w:rPr>
                </w:pPr>
                <w:r w:rsidRPr="009F3B4B">
                  <w:rPr>
                    <w:rFonts w:ascii="Palatino Linotype" w:eastAsia="Palatino Linotype" w:hAnsi="Palatino Linotype" w:cs="Palatino Linotype"/>
                  </w:rPr>
                  <w:t>María del Rosario Mejía Ayala</w:t>
                </w:r>
              </w:p>
              <w:p w:rsidR="006878E6" w:rsidRPr="009F3B4B" w:rsidRDefault="006878E6" w:rsidP="009F3B4B">
                <w:pPr>
                  <w:tabs>
                    <w:tab w:val="right" w:pos="8838"/>
                  </w:tabs>
                  <w:ind w:right="-126"/>
                  <w:rPr>
                    <w:rFonts w:ascii="Palatino Linotype" w:eastAsia="Palatino Linotype" w:hAnsi="Palatino Linotype" w:cs="Palatino Linotype"/>
                  </w:rPr>
                </w:pPr>
              </w:p>
            </w:tc>
          </w:tr>
        </w:tbl>
        <w:p w:rsidR="006878E6" w:rsidRDefault="006878E6">
          <w:pPr>
            <w:tabs>
              <w:tab w:val="right" w:pos="8838"/>
            </w:tabs>
            <w:ind w:left="-28"/>
            <w:jc w:val="both"/>
            <w:rPr>
              <w:rFonts w:ascii="Arial" w:eastAsia="Arial" w:hAnsi="Arial" w:cs="Arial"/>
              <w:b/>
              <w:bCs/>
              <w:sz w:val="22"/>
              <w:szCs w:val="22"/>
            </w:rPr>
          </w:pPr>
        </w:p>
      </w:tc>
    </w:tr>
  </w:tbl>
  <w:p w:rsidR="006878E6" w:rsidRDefault="00A31BF3">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1.75pt;margin-top:-119.1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A411C"/>
    <w:multiLevelType w:val="multilevel"/>
    <w:tmpl w:val="2D92A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B82386"/>
    <w:multiLevelType w:val="multilevel"/>
    <w:tmpl w:val="F26A7EDC"/>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BB7DFB"/>
    <w:multiLevelType w:val="multilevel"/>
    <w:tmpl w:val="A434CDA6"/>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4771632"/>
    <w:multiLevelType w:val="multilevel"/>
    <w:tmpl w:val="87A2C29E"/>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20321DE"/>
    <w:multiLevelType w:val="multilevel"/>
    <w:tmpl w:val="DBB2E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82038D5"/>
    <w:multiLevelType w:val="multilevel"/>
    <w:tmpl w:val="17A45A9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8E6"/>
    <w:rsid w:val="0004237C"/>
    <w:rsid w:val="00144B0C"/>
    <w:rsid w:val="002D0310"/>
    <w:rsid w:val="004314FE"/>
    <w:rsid w:val="004B6C72"/>
    <w:rsid w:val="006878E6"/>
    <w:rsid w:val="009F3B4B"/>
    <w:rsid w:val="00A31BF3"/>
    <w:rsid w:val="00AB4C28"/>
    <w:rsid w:val="00C175D8"/>
    <w:rsid w:val="00E324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223E9F7-65CC-41D1-8CDD-3239C771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9F3B4B"/>
    <w:pPr>
      <w:tabs>
        <w:tab w:val="center" w:pos="4419"/>
        <w:tab w:val="right" w:pos="8838"/>
      </w:tabs>
    </w:pPr>
  </w:style>
  <w:style w:type="character" w:customStyle="1" w:styleId="PiedepginaCar">
    <w:name w:val="Pie de página Car"/>
    <w:basedOn w:val="Fuentedeprrafopredeter"/>
    <w:link w:val="Piedepgina"/>
    <w:uiPriority w:val="99"/>
    <w:rsid w:val="009F3B4B"/>
  </w:style>
  <w:style w:type="paragraph" w:styleId="Prrafodelista">
    <w:name w:val="List Paragraph"/>
    <w:basedOn w:val="Normal"/>
    <w:uiPriority w:val="34"/>
    <w:qFormat/>
    <w:rsid w:val="00AB4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56503.page" TargetMode="Externa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aimex.org.mx/saimex/solicitud/downloadAttach/2700152.pa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83181.pa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aimex.org.mx/saimex/solicitud/downloadAttach/2683181.pag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aimex.org.mx/saimex/solicitud/downloadAttach/2676338.page"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z6aTuTWaP68tNGffa3D+4aM3NA==">CgMxLjAyDmgubnRkajIwbXZuem5iMgloLjN6bnlzaDcyDmguMnYyMzBrbmlkZXkyMgloLjNkeTZ2a20yDmgucmJjMTQ2dmF4NHE5Mg5oLmIxb2sxeWU2dTd0bTIJaC4zMGowemxsMgloLjJzOGV5bzE4AHIhMUtMV25pRUtXSHVaSUdiMzZLbE9sQlpES09saUNxUWR0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8938</Words>
  <Characters>49162</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2026-07-03T16:00:00Z</cp:lastPrinted>
  <dcterms:created xsi:type="dcterms:W3CDTF">2026-07-01T20:11:00Z</dcterms:created>
  <dcterms:modified xsi:type="dcterms:W3CDTF">2026-07-07T22:56:00Z</dcterms:modified>
</cp:coreProperties>
</file>