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3979B"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C56E9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dieciocho de febrero de dos mil veintiséis. </w:t>
      </w:r>
    </w:p>
    <w:p w14:paraId="343BE063" w14:textId="77777777" w:rsidR="00211D54" w:rsidRPr="00C56E9A" w:rsidRDefault="00031667">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C56E9A">
        <w:rPr>
          <w:rFonts w:ascii="Palatino Linotype" w:eastAsia="Palatino Linotype" w:hAnsi="Palatino Linotype" w:cs="Palatino Linotype"/>
          <w:b/>
          <w:bCs/>
          <w:sz w:val="22"/>
          <w:szCs w:val="22"/>
        </w:rPr>
        <w:t>VISTO</w:t>
      </w:r>
      <w:r w:rsidRPr="00C56E9A">
        <w:rPr>
          <w:rFonts w:ascii="Palatino Linotype" w:eastAsia="Palatino Linotype" w:hAnsi="Palatino Linotype" w:cs="Palatino Linotype"/>
          <w:sz w:val="22"/>
          <w:szCs w:val="22"/>
        </w:rPr>
        <w:t xml:space="preserve"> el expediente formado con motivo del recurso de revisión </w:t>
      </w:r>
      <w:r w:rsidRPr="00C56E9A">
        <w:rPr>
          <w:rFonts w:ascii="Palatino Linotype" w:eastAsia="Palatino Linotype" w:hAnsi="Palatino Linotype" w:cs="Palatino Linotype"/>
          <w:b/>
          <w:bCs/>
          <w:sz w:val="22"/>
          <w:szCs w:val="22"/>
        </w:rPr>
        <w:t>14629/INFOEM/IP/RR/2025</w:t>
      </w:r>
      <w:r w:rsidRPr="00C56E9A">
        <w:rPr>
          <w:rFonts w:ascii="Palatino Linotype" w:eastAsia="Palatino Linotype" w:hAnsi="Palatino Linotype" w:cs="Palatino Linotype"/>
          <w:sz w:val="22"/>
          <w:szCs w:val="22"/>
        </w:rPr>
        <w:t>, interpuesto por</w:t>
      </w:r>
      <w:r w:rsidRPr="00C56E9A">
        <w:rPr>
          <w:rFonts w:ascii="Palatino Linotype" w:eastAsia="Palatino Linotype" w:hAnsi="Palatino Linotype" w:cs="Palatino Linotype"/>
          <w:b/>
          <w:bCs/>
          <w:sz w:val="22"/>
          <w:szCs w:val="22"/>
        </w:rPr>
        <w:t xml:space="preserve"> una persona que no proporcionó nombre o seudónimo,</w:t>
      </w:r>
      <w:r w:rsidRPr="00C56E9A">
        <w:rPr>
          <w:rFonts w:ascii="Palatino Linotype" w:eastAsia="Palatino Linotype" w:hAnsi="Palatino Linotype" w:cs="Palatino Linotype"/>
          <w:sz w:val="22"/>
          <w:szCs w:val="22"/>
        </w:rPr>
        <w:t xml:space="preserve"> en lo sucesivo</w:t>
      </w:r>
      <w:r w:rsidRPr="00C56E9A">
        <w:rPr>
          <w:rFonts w:ascii="Palatino Linotype" w:eastAsia="Palatino Linotype" w:hAnsi="Palatino Linotype" w:cs="Palatino Linotype"/>
          <w:b/>
          <w:bCs/>
          <w:sz w:val="22"/>
          <w:szCs w:val="22"/>
        </w:rPr>
        <w:t xml:space="preserve"> </w:t>
      </w:r>
      <w:r w:rsidRPr="00C56E9A">
        <w:rPr>
          <w:rFonts w:ascii="Palatino Linotype" w:eastAsia="Palatino Linotype" w:hAnsi="Palatino Linotype" w:cs="Palatino Linotype"/>
          <w:sz w:val="22"/>
          <w:szCs w:val="22"/>
        </w:rPr>
        <w:t xml:space="preserve">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en contra de la respuesta a la solicitud de información con número de folio</w:t>
      </w:r>
      <w:r w:rsidRPr="00C56E9A">
        <w:rPr>
          <w:rFonts w:ascii="Palatino Linotype" w:eastAsia="Palatino Linotype" w:hAnsi="Palatino Linotype" w:cs="Palatino Linotype"/>
          <w:b/>
          <w:bCs/>
          <w:sz w:val="22"/>
          <w:szCs w:val="22"/>
        </w:rPr>
        <w:t xml:space="preserve"> 05863/TOLUCA/IP/2025, </w:t>
      </w:r>
      <w:r w:rsidRPr="00C56E9A">
        <w:rPr>
          <w:rFonts w:ascii="Palatino Linotype" w:eastAsia="Palatino Linotype" w:hAnsi="Palatino Linotype" w:cs="Palatino Linotype"/>
          <w:sz w:val="22"/>
          <w:szCs w:val="22"/>
        </w:rPr>
        <w:t xml:space="preserve">por parte del </w:t>
      </w:r>
      <w:r w:rsidRPr="00C56E9A">
        <w:rPr>
          <w:rFonts w:ascii="Palatino Linotype" w:eastAsia="Palatino Linotype" w:hAnsi="Palatino Linotype" w:cs="Palatino Linotype"/>
          <w:b/>
          <w:bCs/>
          <w:sz w:val="22"/>
          <w:szCs w:val="22"/>
        </w:rPr>
        <w:t xml:space="preserve">Ayuntamiento de Toluca, </w:t>
      </w:r>
      <w:r w:rsidRPr="00C56E9A">
        <w:rPr>
          <w:rFonts w:ascii="Palatino Linotype" w:eastAsia="Palatino Linotype" w:hAnsi="Palatino Linotype" w:cs="Palatino Linotype"/>
          <w:sz w:val="22"/>
          <w:szCs w:val="22"/>
        </w:rPr>
        <w:t xml:space="preserve">en lo sucesivo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 xml:space="preserve">se procede a dictar la presente resolución con base en los siguientes: </w:t>
      </w:r>
    </w:p>
    <w:p w14:paraId="781C0FF3" w14:textId="77777777" w:rsidR="00211D54" w:rsidRPr="00C56E9A" w:rsidRDefault="00031667">
      <w:pPr>
        <w:spacing w:before="240" w:after="240" w:line="360" w:lineRule="auto"/>
        <w:jc w:val="center"/>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I. A N T E C E D E N T E S</w:t>
      </w:r>
    </w:p>
    <w:p w14:paraId="679CE33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C56E9A">
        <w:rPr>
          <w:rFonts w:ascii="Palatino Linotype" w:eastAsia="Palatino Linotype" w:hAnsi="Palatino Linotype" w:cs="Palatino Linotype"/>
          <w:b/>
          <w:bCs/>
          <w:sz w:val="22"/>
          <w:szCs w:val="22"/>
        </w:rPr>
        <w:t>1. Solicitud de acceso a la información.</w:t>
      </w:r>
      <w:r w:rsidRPr="00C56E9A">
        <w:rPr>
          <w:rFonts w:ascii="Palatino Linotype" w:eastAsia="Palatino Linotype" w:hAnsi="Palatino Linotype" w:cs="Palatino Linotype"/>
          <w:sz w:val="22"/>
          <w:szCs w:val="22"/>
        </w:rPr>
        <w:t xml:space="preserve"> El </w:t>
      </w:r>
      <w:r w:rsidRPr="00C56E9A">
        <w:rPr>
          <w:rFonts w:ascii="Palatino Linotype" w:eastAsia="Palatino Linotype" w:hAnsi="Palatino Linotype" w:cs="Palatino Linotype"/>
          <w:b/>
          <w:bCs/>
          <w:sz w:val="22"/>
          <w:szCs w:val="22"/>
        </w:rPr>
        <w:t>seis de noviembre de dos mil veinticinco,</w:t>
      </w:r>
      <w:r w:rsidRPr="00C56E9A">
        <w:rPr>
          <w:rFonts w:ascii="Palatino Linotype" w:eastAsia="Palatino Linotype" w:hAnsi="Palatino Linotype" w:cs="Palatino Linotype"/>
          <w:sz w:val="22"/>
          <w:szCs w:val="22"/>
        </w:rPr>
        <w:t xml:space="preserve">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 xml:space="preserve">presentó la solicitud de acceso a la información pública ante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a través del Sistema de Acceso a la Información Mexiquense, en lo subsecuente el </w:t>
      </w:r>
      <w:r w:rsidRPr="00C56E9A">
        <w:rPr>
          <w:rFonts w:ascii="Palatino Linotype" w:eastAsia="Palatino Linotype" w:hAnsi="Palatino Linotype" w:cs="Palatino Linotype"/>
          <w:b/>
          <w:bCs/>
          <w:sz w:val="22"/>
          <w:szCs w:val="22"/>
        </w:rPr>
        <w:t>SAIMEX,</w:t>
      </w:r>
      <w:r w:rsidRPr="00C56E9A">
        <w:rPr>
          <w:rFonts w:ascii="Palatino Linotype" w:eastAsia="Palatino Linotype" w:hAnsi="Palatino Linotype" w:cs="Palatino Linotype"/>
          <w:sz w:val="22"/>
          <w:szCs w:val="22"/>
        </w:rPr>
        <w:t xml:space="preserve"> mediante la cual requirió lo siguiente:</w:t>
      </w:r>
    </w:p>
    <w:p w14:paraId="08C6DF67"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w:t>
      </w:r>
      <w:r w:rsidRPr="00C56E9A">
        <w:rPr>
          <w:rFonts w:ascii="Palatino Linotype" w:eastAsia="Palatino Linotype" w:hAnsi="Palatino Linotype" w:cs="Palatino Linotype"/>
          <w:i/>
          <w:iCs/>
          <w:sz w:val="22"/>
          <w:szCs w:val="22"/>
        </w:rPr>
        <w:t>Todos los oficios recibidos en la primera sindicatura desde enero a la fecha y su anexos</w:t>
      </w:r>
      <w:r w:rsidRPr="00C56E9A">
        <w:rPr>
          <w:rFonts w:ascii="Palatino Linotype" w:eastAsia="Palatino Linotype" w:hAnsi="Palatino Linotype" w:cs="Palatino Linotype"/>
          <w:b/>
          <w:bCs/>
          <w:i/>
          <w:iCs/>
          <w:sz w:val="22"/>
          <w:szCs w:val="22"/>
        </w:rPr>
        <w:t>”</w:t>
      </w:r>
      <w:r w:rsidRPr="00C56E9A">
        <w:rPr>
          <w:rFonts w:ascii="Palatino Linotype" w:eastAsia="Palatino Linotype" w:hAnsi="Palatino Linotype" w:cs="Palatino Linotype"/>
          <w:i/>
          <w:iCs/>
          <w:sz w:val="22"/>
          <w:szCs w:val="22"/>
        </w:rPr>
        <w:t xml:space="preserve"> (sic) </w:t>
      </w:r>
    </w:p>
    <w:p w14:paraId="50751B0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C56E9A">
        <w:rPr>
          <w:rFonts w:ascii="Palatino Linotype" w:eastAsia="Palatino Linotype" w:hAnsi="Palatino Linotype" w:cs="Palatino Linotype"/>
          <w:b/>
          <w:bCs/>
          <w:sz w:val="22"/>
          <w:szCs w:val="22"/>
        </w:rPr>
        <w:t>Modalidad de Entrega:</w:t>
      </w:r>
      <w:r w:rsidRPr="00C56E9A">
        <w:rPr>
          <w:rFonts w:ascii="Palatino Linotype" w:eastAsia="Palatino Linotype" w:hAnsi="Palatino Linotype" w:cs="Palatino Linotype"/>
          <w:sz w:val="22"/>
          <w:szCs w:val="22"/>
        </w:rPr>
        <w:t xml:space="preserve"> a través del</w:t>
      </w:r>
      <w:r w:rsidRPr="00C56E9A">
        <w:rPr>
          <w:rFonts w:ascii="Palatino Linotype" w:eastAsia="Palatino Linotype" w:hAnsi="Palatino Linotype" w:cs="Palatino Linotype"/>
          <w:b/>
          <w:bCs/>
          <w:sz w:val="22"/>
          <w:szCs w:val="22"/>
        </w:rPr>
        <w:t xml:space="preserve"> SAIMEX.</w:t>
      </w:r>
    </w:p>
    <w:p w14:paraId="379AC69E"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2. Respuesta. </w:t>
      </w:r>
      <w:r w:rsidRPr="00C56E9A">
        <w:rPr>
          <w:rFonts w:ascii="Palatino Linotype" w:eastAsia="Palatino Linotype" w:hAnsi="Palatino Linotype" w:cs="Palatino Linotype"/>
          <w:sz w:val="22"/>
          <w:szCs w:val="22"/>
        </w:rPr>
        <w:t xml:space="preserve">El </w:t>
      </w:r>
      <w:r w:rsidRPr="00C56E9A">
        <w:rPr>
          <w:rFonts w:ascii="Palatino Linotype" w:eastAsia="Palatino Linotype" w:hAnsi="Palatino Linotype" w:cs="Palatino Linotype"/>
          <w:b/>
          <w:bCs/>
          <w:sz w:val="22"/>
          <w:szCs w:val="22"/>
        </w:rPr>
        <w:t>veintisiete de noviembre de dos mil veinticinco,</w:t>
      </w:r>
      <w:r w:rsidRPr="00C56E9A">
        <w:rPr>
          <w:rFonts w:ascii="Palatino Linotype" w:eastAsia="Palatino Linotype" w:hAnsi="Palatino Linotype" w:cs="Palatino Linotype"/>
          <w:sz w:val="22"/>
          <w:szCs w:val="22"/>
        </w:rPr>
        <w:t xml:space="preserve">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47C26487" w14:textId="77777777" w:rsidR="00211D54" w:rsidRPr="00C56E9A" w:rsidRDefault="00031667">
      <w:pPr>
        <w:spacing w:before="240" w:after="24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atención a la solicitud con folio 05853/TOLUCA/IP/2025, me permito adjuntar al presente la respuesta correspondiente, Sin más por el momento, reciba un saludo...” (sic)</w:t>
      </w:r>
    </w:p>
    <w:p w14:paraId="079773AD"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lastRenderedPageBreak/>
        <w:t xml:space="preserve">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adjuntó lo siguiente:</w:t>
      </w:r>
    </w:p>
    <w:p w14:paraId="583D6526" w14:textId="77777777" w:rsidR="00211D54" w:rsidRPr="00C56E9A" w:rsidRDefault="00031667">
      <w:pP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oficio  301/2076/2025, mediante el cual la Primera Síndica refirió anexar de manera digital lo solicitado, asimismo, indicó que el Comité de Transparencia aprobó la clasificación de manera parcial para la protección de datos personales, lo anterior con número de acuerdo CT/SE/1350/02/2025 con fecha de aprobación 13 de noviembre de 2025.</w:t>
      </w:r>
    </w:p>
    <w:p w14:paraId="465E5093" w14:textId="77777777" w:rsidR="00211D54" w:rsidRPr="00C56E9A" w:rsidRDefault="00031667">
      <w:pP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Los archivos: “1 Oficios Recibidos Enero_redacted.pdf”, “2 Oficios Recibidos Febrero_redacted.pdf”, “3 OFICIOS RECIBIDOS MARZO PRIMERA PARTE_redacted.pdf”, “4 RECIBIDOS TESTADO ABRIL.pdf”, “5 OFICIOS MAYO RECIBIDOS TESTADO.pdf”, “6 RECIBIDOS TESTADO JUNIO 2025.pdf”, “7 RECIBIDOS JULIO TESTADOS.pdf”, “8 OFICIOS RECIBIDOS AGOSTO TESTADO.pdf”, “9 OFICIOS TESTADOS SEPTIEMBRE recibidos_redacted.pdf”, y “10 OFICIOS RECIBIDOS OCTUBRE _redacted.pdf”, que contienen diversos oficios recibidos en la Primera Sindicatura en los meses de enero, febrero, marzo, abril, mayo, junio, julio, agosto y septiembre de dos mil veinticinco, con sus anexos, testados.</w:t>
      </w:r>
    </w:p>
    <w:p w14:paraId="2B45F537"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3. Interposición del recurso de revisión. </w:t>
      </w:r>
      <w:r w:rsidRPr="00C56E9A">
        <w:rPr>
          <w:rFonts w:ascii="Palatino Linotype" w:eastAsia="Palatino Linotype" w:hAnsi="Palatino Linotype" w:cs="Palatino Linotype"/>
          <w:sz w:val="22"/>
          <w:szCs w:val="22"/>
        </w:rPr>
        <w:t xml:space="preserve">Inconforme con los términos de la respuesta emitida por parte del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el </w:t>
      </w:r>
      <w:r w:rsidRPr="00C56E9A">
        <w:rPr>
          <w:rFonts w:ascii="Palatino Linotype" w:eastAsia="Palatino Linotype" w:hAnsi="Palatino Linotype" w:cs="Palatino Linotype"/>
          <w:b/>
          <w:bCs/>
          <w:sz w:val="22"/>
          <w:szCs w:val="22"/>
        </w:rPr>
        <w:t>dieciocho de diciembre de dos mil veinticinco,</w:t>
      </w:r>
      <w:r w:rsidRPr="00C56E9A">
        <w:rPr>
          <w:rFonts w:ascii="Palatino Linotype" w:eastAsia="Palatino Linotype" w:hAnsi="Palatino Linotype" w:cs="Palatino Linotype"/>
          <w:sz w:val="22"/>
          <w:szCs w:val="22"/>
        </w:rPr>
        <w:t xml:space="preserve">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interpuso el recurso de revisión a través de </w:t>
      </w:r>
      <w:r w:rsidRPr="00C56E9A">
        <w:rPr>
          <w:rFonts w:ascii="Palatino Linotype" w:eastAsia="Palatino Linotype" w:hAnsi="Palatino Linotype" w:cs="Palatino Linotype"/>
          <w:b/>
          <w:bCs/>
          <w:sz w:val="22"/>
          <w:szCs w:val="22"/>
        </w:rPr>
        <w:t xml:space="preserve">SAIMEX, </w:t>
      </w:r>
      <w:r w:rsidRPr="00C56E9A">
        <w:rPr>
          <w:rFonts w:ascii="Palatino Linotype" w:eastAsia="Palatino Linotype" w:hAnsi="Palatino Linotype" w:cs="Palatino Linotype"/>
          <w:sz w:val="22"/>
          <w:szCs w:val="22"/>
        </w:rPr>
        <w:t xml:space="preserve">sin embargo, al corresponder a un día inhábil se tuvo por presentada el día </w:t>
      </w:r>
      <w:r w:rsidRPr="00C56E9A">
        <w:rPr>
          <w:rFonts w:ascii="Palatino Linotype" w:eastAsia="Palatino Linotype" w:hAnsi="Palatino Linotype" w:cs="Palatino Linotype"/>
          <w:b/>
          <w:bCs/>
          <w:sz w:val="22"/>
          <w:szCs w:val="22"/>
        </w:rPr>
        <w:t xml:space="preserve">cuatro de agosto de dos mil veinticinco, </w:t>
      </w:r>
      <w:r w:rsidRPr="00C56E9A">
        <w:rPr>
          <w:rFonts w:ascii="Palatino Linotype" w:eastAsia="Palatino Linotype" w:hAnsi="Palatino Linotype" w:cs="Palatino Linotype"/>
          <w:sz w:val="22"/>
          <w:szCs w:val="22"/>
        </w:rPr>
        <w:t>en donde se manifestó de la siguiente manera:</w:t>
      </w:r>
    </w:p>
    <w:p w14:paraId="35DD0258" w14:textId="77777777" w:rsidR="00211D54" w:rsidRPr="00C56E9A" w:rsidRDefault="00031667">
      <w:pPr>
        <w:spacing w:before="240" w:after="240" w:line="360" w:lineRule="auto"/>
        <w:ind w:right="49"/>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 xml:space="preserve">Acto impugnado: </w:t>
      </w:r>
    </w:p>
    <w:p w14:paraId="7AAFA8C1" w14:textId="77777777" w:rsidR="00211D54" w:rsidRPr="00C56E9A" w:rsidRDefault="00031667">
      <w:pPr>
        <w:ind w:left="851" w:right="900"/>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“LA INFORACIÓN ETREGADA ESTAINCOPLETA OTRA TAPADA SIN ACTA SON OPACOS” (sic)</w:t>
      </w:r>
    </w:p>
    <w:p w14:paraId="3FE9FC8F" w14:textId="77777777" w:rsidR="00211D54" w:rsidRPr="00C56E9A" w:rsidRDefault="00211D54">
      <w:pPr>
        <w:ind w:left="851" w:right="900"/>
        <w:rPr>
          <w:rFonts w:ascii="Palatino Linotype" w:eastAsia="Palatino Linotype" w:hAnsi="Palatino Linotype" w:cs="Palatino Linotype"/>
          <w:i/>
          <w:iCs/>
          <w:sz w:val="22"/>
          <w:szCs w:val="22"/>
        </w:rPr>
      </w:pPr>
    </w:p>
    <w:p w14:paraId="0E8ACAF3" w14:textId="77777777" w:rsidR="00211D54" w:rsidRPr="00C56E9A" w:rsidRDefault="00211D54">
      <w:pPr>
        <w:spacing w:line="360" w:lineRule="auto"/>
        <w:jc w:val="both"/>
        <w:rPr>
          <w:rFonts w:ascii="Palatino Linotype" w:eastAsia="Palatino Linotype" w:hAnsi="Palatino Linotype" w:cs="Palatino Linotype"/>
          <w:b/>
          <w:bCs/>
          <w:sz w:val="22"/>
          <w:szCs w:val="22"/>
        </w:rPr>
      </w:pPr>
      <w:bookmarkStart w:id="5" w:name="_heading=h.30j0zll" w:colFirst="0" w:colLast="0"/>
      <w:bookmarkEnd w:id="5"/>
    </w:p>
    <w:p w14:paraId="7D988D50" w14:textId="77777777" w:rsidR="00211D54" w:rsidRPr="00C56E9A" w:rsidRDefault="00211D54">
      <w:pPr>
        <w:spacing w:line="360" w:lineRule="auto"/>
        <w:jc w:val="both"/>
        <w:rPr>
          <w:rFonts w:ascii="Palatino Linotype" w:eastAsia="Palatino Linotype" w:hAnsi="Palatino Linotype" w:cs="Palatino Linotype"/>
          <w:b/>
          <w:bCs/>
          <w:sz w:val="22"/>
          <w:szCs w:val="22"/>
        </w:rPr>
      </w:pPr>
    </w:p>
    <w:p w14:paraId="60722960" w14:textId="77777777" w:rsidR="00211D54" w:rsidRPr="00C56E9A" w:rsidRDefault="00031667">
      <w:pPr>
        <w:spacing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lastRenderedPageBreak/>
        <w:t>Y, Razones o motivos de inconformidad</w:t>
      </w:r>
      <w:r w:rsidRPr="00C56E9A">
        <w:rPr>
          <w:rFonts w:ascii="Palatino Linotype" w:eastAsia="Palatino Linotype" w:hAnsi="Palatino Linotype" w:cs="Palatino Linotype"/>
          <w:sz w:val="22"/>
          <w:szCs w:val="22"/>
        </w:rPr>
        <w:t>:</w:t>
      </w:r>
    </w:p>
    <w:p w14:paraId="16AA36B2" w14:textId="77777777" w:rsidR="00211D54" w:rsidRPr="00C56E9A" w:rsidRDefault="00031667">
      <w:pPr>
        <w:tabs>
          <w:tab w:val="left" w:pos="2745"/>
        </w:tabs>
        <w:spacing w:before="240" w:after="24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“NO ENTREGA TODOA LA INFORMACIÓN FALTA Y OTRA ESTA TESTADA Y SIN ACTA” (sic)</w:t>
      </w:r>
    </w:p>
    <w:p w14:paraId="1B0116F2" w14:textId="77777777" w:rsidR="00211D54" w:rsidRPr="00C56E9A" w:rsidRDefault="00031667">
      <w:pPr>
        <w:spacing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4. Turno. </w:t>
      </w:r>
      <w:r w:rsidRPr="00C56E9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56E9A">
        <w:rPr>
          <w:rFonts w:ascii="Palatino Linotype" w:eastAsia="Palatino Linotype" w:hAnsi="Palatino Linotype" w:cs="Palatino Linotype"/>
          <w:b/>
          <w:bCs/>
          <w:sz w:val="22"/>
          <w:szCs w:val="22"/>
        </w:rPr>
        <w:t xml:space="preserve">Guadalupe Ramírez Peña, </w:t>
      </w:r>
      <w:r w:rsidRPr="00C56E9A">
        <w:rPr>
          <w:rFonts w:ascii="Palatino Linotype" w:eastAsia="Palatino Linotype" w:hAnsi="Palatino Linotype" w:cs="Palatino Linotype"/>
          <w:sz w:val="22"/>
          <w:szCs w:val="22"/>
        </w:rPr>
        <w:t>a efecto de que analizara sobre su admisión o su desechamiento.</w:t>
      </w:r>
    </w:p>
    <w:p w14:paraId="13D9F1F2"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5. Admisión del Recurso de revisión.</w:t>
      </w:r>
      <w:r w:rsidRPr="00C56E9A">
        <w:rPr>
          <w:rFonts w:ascii="Palatino Linotype" w:eastAsia="Palatino Linotype" w:hAnsi="Palatino Linotype" w:cs="Palatino Linotype"/>
          <w:sz w:val="22"/>
          <w:szCs w:val="22"/>
        </w:rPr>
        <w:t xml:space="preserve"> El</w:t>
      </w:r>
      <w:r w:rsidRPr="00C56E9A">
        <w:rPr>
          <w:rFonts w:ascii="Palatino Linotype" w:eastAsia="Palatino Linotype" w:hAnsi="Palatino Linotype" w:cs="Palatino Linotype"/>
          <w:b/>
          <w:bCs/>
          <w:sz w:val="22"/>
          <w:szCs w:val="22"/>
        </w:rPr>
        <w:t xml:space="preserve"> trece de enero de dos mil veintiséis, </w:t>
      </w:r>
      <w:r w:rsidRPr="00C56E9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presentara su informe justificado.</w:t>
      </w:r>
    </w:p>
    <w:p w14:paraId="2B2394F3"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C56E9A">
        <w:rPr>
          <w:rFonts w:ascii="Palatino Linotype" w:eastAsia="Palatino Linotype" w:hAnsi="Palatino Linotype" w:cs="Palatino Linotype"/>
          <w:b/>
          <w:bCs/>
          <w:sz w:val="22"/>
          <w:szCs w:val="22"/>
        </w:rPr>
        <w:t>6. Manifestaciones</w:t>
      </w:r>
      <w:r w:rsidRPr="00C56E9A">
        <w:rPr>
          <w:rFonts w:ascii="Palatino Linotype" w:eastAsia="Palatino Linotype" w:hAnsi="Palatino Linotype" w:cs="Palatino Linotype"/>
          <w:sz w:val="22"/>
          <w:szCs w:val="22"/>
        </w:rPr>
        <w:t xml:space="preserve">. El </w:t>
      </w:r>
      <w:r w:rsidRPr="00C56E9A">
        <w:rPr>
          <w:rFonts w:ascii="Palatino Linotype" w:eastAsia="Palatino Linotype" w:hAnsi="Palatino Linotype" w:cs="Palatino Linotype"/>
          <w:b/>
          <w:bCs/>
          <w:sz w:val="22"/>
          <w:szCs w:val="22"/>
        </w:rPr>
        <w:t xml:space="preserve">dieciséis y veintidós de enero de dos mil veintiséis, </w:t>
      </w:r>
      <w:r w:rsidRPr="00C56E9A">
        <w:rPr>
          <w:rFonts w:ascii="Palatino Linotype" w:eastAsia="Palatino Linotype" w:hAnsi="Palatino Linotype" w:cs="Palatino Linotype"/>
          <w:sz w:val="22"/>
          <w:szCs w:val="22"/>
        </w:rPr>
        <w:t xml:space="preserve">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remitió, a través del SAIMEX, su informe justificado mediante el cual ratificó en lo sustancial la respuesta proporcionada en primera instancia por la Primera Sindicatura.</w:t>
      </w:r>
    </w:p>
    <w:p w14:paraId="0F16056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w:t>
      </w:r>
    </w:p>
    <w:p w14:paraId="5ADABD3A" w14:textId="0BBBD098" w:rsidR="00211D54" w:rsidRPr="00C56E9A" w:rsidRDefault="00031667">
      <w:pPr>
        <w:widowControl w:val="0"/>
        <w:spacing w:before="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7. Cierre de instrucción. </w:t>
      </w:r>
      <w:r w:rsidRPr="00C56E9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C56E9A">
        <w:rPr>
          <w:rFonts w:ascii="Palatino Linotype" w:eastAsia="Palatino Linotype" w:hAnsi="Palatino Linotype" w:cs="Palatino Linotype"/>
          <w:b/>
          <w:bCs/>
          <w:sz w:val="22"/>
          <w:szCs w:val="22"/>
        </w:rPr>
        <w:t>dieciocho de febrero de dos mil veintiséis</w:t>
      </w:r>
      <w:r w:rsidRPr="00C56E9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49A2E5E" w14:textId="77777777" w:rsidR="00211D54" w:rsidRPr="00C56E9A" w:rsidRDefault="00031667">
      <w:pPr>
        <w:widowControl w:val="0"/>
        <w:spacing w:before="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9F18CE2" w14:textId="77777777" w:rsidR="00211D54" w:rsidRPr="00C56E9A" w:rsidRDefault="00031667">
      <w:pPr>
        <w:widowControl w:val="0"/>
        <w:spacing w:before="240" w:after="240" w:line="360" w:lineRule="auto"/>
        <w:jc w:val="center"/>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II. C O N S I D E R A N D O S</w:t>
      </w:r>
    </w:p>
    <w:p w14:paraId="42B6B7E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Primero. Competencia.</w:t>
      </w:r>
      <w:r w:rsidRPr="00C56E9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6BA183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C56E9A">
        <w:rPr>
          <w:rFonts w:ascii="Palatino Linotype" w:eastAsia="Palatino Linotype" w:hAnsi="Palatino Linotype" w:cs="Palatino Linotype"/>
          <w:b/>
          <w:bCs/>
          <w:sz w:val="22"/>
          <w:szCs w:val="22"/>
        </w:rPr>
        <w:t>Segundo. Oportunidad y Procedibilidad del Recurso de Revisión</w:t>
      </w:r>
      <w:r w:rsidRPr="00C56E9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C400D7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 xml:space="preserve">remitió la respuesta a la solicitud de información el día </w:t>
      </w:r>
      <w:r w:rsidRPr="00C56E9A">
        <w:rPr>
          <w:rFonts w:ascii="Palatino Linotype" w:eastAsia="Palatino Linotype" w:hAnsi="Palatino Linotype" w:cs="Palatino Linotype"/>
          <w:b/>
          <w:bCs/>
          <w:sz w:val="22"/>
          <w:szCs w:val="22"/>
        </w:rPr>
        <w:t xml:space="preserve">veintisiete de noviembre de dos mil veinticinco, </w:t>
      </w:r>
      <w:r w:rsidRPr="00C56E9A">
        <w:rPr>
          <w:rFonts w:ascii="Palatino Linotype" w:eastAsia="Palatino Linotype" w:hAnsi="Palatino Linotype" w:cs="Palatino Linotype"/>
          <w:sz w:val="22"/>
          <w:szCs w:val="22"/>
        </w:rPr>
        <w:t xml:space="preserve">mientras que el recurso de revisión interpuesto por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se tuvo por presentado el día</w:t>
      </w:r>
      <w:r w:rsidRPr="00C56E9A">
        <w:rPr>
          <w:rFonts w:ascii="Palatino Linotype" w:eastAsia="Palatino Linotype" w:hAnsi="Palatino Linotype" w:cs="Palatino Linotype"/>
          <w:b/>
          <w:bCs/>
          <w:sz w:val="22"/>
          <w:szCs w:val="22"/>
        </w:rPr>
        <w:t xml:space="preserve"> dieciocho de diciembre de dos mil veinticinco, </w:t>
      </w:r>
      <w:r w:rsidRPr="00C56E9A">
        <w:rPr>
          <w:rFonts w:ascii="Palatino Linotype" w:eastAsia="Palatino Linotype" w:hAnsi="Palatino Linotype" w:cs="Palatino Linotype"/>
          <w:sz w:val="22"/>
          <w:szCs w:val="22"/>
        </w:rPr>
        <w:t>esto es, al décimo quinto día hábil posterior a aquel en el que tuvo conocimiento de la respuesta impugnada. En este sentido, se concluye que el presente recurso de revisión se encuentra dentro de los márgenes temporales previstos en las disposiciones legales referidas.</w:t>
      </w:r>
    </w:p>
    <w:p w14:paraId="205232AE" w14:textId="77777777" w:rsidR="00211D54" w:rsidRPr="00C56E9A" w:rsidRDefault="00031667">
      <w:pPr>
        <w:spacing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Además, por cuanto hace a la procedibilidad del recurso de revisión, es de suma importancia señalar que la parte</w:t>
      </w:r>
      <w:r w:rsidRPr="00C56E9A">
        <w:rPr>
          <w:rFonts w:ascii="Palatino Linotype" w:eastAsia="Palatino Linotype" w:hAnsi="Palatino Linotype" w:cs="Palatino Linotype"/>
          <w:b/>
          <w:bCs/>
          <w:sz w:val="22"/>
          <w:szCs w:val="22"/>
        </w:rPr>
        <w:t xml:space="preserve"> Recurrente</w:t>
      </w:r>
      <w:r w:rsidRPr="00C56E9A">
        <w:rPr>
          <w:rFonts w:ascii="Palatino Linotype" w:eastAsia="Palatino Linotype" w:hAnsi="Palatino Linotype" w:cs="Palatino Linotype"/>
          <w:sz w:val="22"/>
          <w:szCs w:val="22"/>
        </w:rPr>
        <w:t xml:space="preserve">, no señaló un </w:t>
      </w:r>
      <w:r w:rsidRPr="00C56E9A">
        <w:rPr>
          <w:rFonts w:ascii="Palatino Linotype" w:eastAsia="Palatino Linotype" w:hAnsi="Palatino Linotype" w:cs="Palatino Linotype"/>
          <w:b/>
          <w:bCs/>
          <w:sz w:val="22"/>
          <w:szCs w:val="22"/>
        </w:rPr>
        <w:t>nombre</w:t>
      </w:r>
      <w:r w:rsidRPr="00C56E9A">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6EEE84"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Las solicitudes anónimas</w:t>
      </w:r>
      <w:r w:rsidRPr="00C56E9A">
        <w:rPr>
          <w:rFonts w:ascii="Palatino Linotype" w:eastAsia="Palatino Linotype" w:hAnsi="Palatino Linotype" w:cs="Palatino Linotype"/>
          <w:i/>
          <w:iCs/>
          <w:sz w:val="22"/>
          <w:szCs w:val="22"/>
        </w:rPr>
        <w:t xml:space="preserve">, con nombre incompleto o </w:t>
      </w:r>
      <w:r w:rsidRPr="00C56E9A">
        <w:rPr>
          <w:rFonts w:ascii="Palatino Linotype" w:eastAsia="Palatino Linotype" w:hAnsi="Palatino Linotype" w:cs="Palatino Linotype"/>
          <w:b/>
          <w:bCs/>
          <w:i/>
          <w:iCs/>
          <w:sz w:val="22"/>
          <w:szCs w:val="22"/>
        </w:rPr>
        <w:t>seudónimo</w:t>
      </w:r>
      <w:r w:rsidRPr="00C56E9A">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16C1055D"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C56E9A">
        <w:rPr>
          <w:rFonts w:ascii="Palatino Linotype" w:eastAsia="Palatino Linotype" w:hAnsi="Palatino Linotype" w:cs="Palatino Linotype"/>
          <w:b/>
          <w:bCs/>
          <w:sz w:val="22"/>
          <w:szCs w:val="22"/>
        </w:rPr>
        <w:t xml:space="preserve"> SAIMEX.</w:t>
      </w:r>
    </w:p>
    <w:p w14:paraId="05F7783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en sus motivos de inconformidad, de acuerdo al artículo 179, fracciones II y V del ordenamiento legal citado, que a la letra dice: </w:t>
      </w:r>
    </w:p>
    <w:p w14:paraId="01CC5929" w14:textId="77777777" w:rsidR="00211D54" w:rsidRPr="00C56E9A" w:rsidRDefault="00031667">
      <w:pPr>
        <w:tabs>
          <w:tab w:val="left" w:pos="7938"/>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179.</w:t>
      </w:r>
      <w:r w:rsidRPr="00C56E9A">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178538B0" w14:textId="77777777" w:rsidR="00211D54" w:rsidRPr="00C56E9A" w:rsidRDefault="00031667">
      <w:pPr>
        <w:tabs>
          <w:tab w:val="left" w:pos="7938"/>
        </w:tabs>
        <w:spacing w:before="120" w:after="120"/>
        <w:ind w:left="851" w:right="900"/>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w:t>
      </w:r>
    </w:p>
    <w:p w14:paraId="6CDC73A8" w14:textId="77777777" w:rsidR="00211D54" w:rsidRPr="00C56E9A" w:rsidRDefault="00031667">
      <w:pPr>
        <w:tabs>
          <w:tab w:val="left" w:pos="7938"/>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La clasificación de la información;</w:t>
      </w:r>
    </w:p>
    <w:p w14:paraId="604DDBF5" w14:textId="77777777" w:rsidR="00211D54" w:rsidRPr="00C56E9A" w:rsidRDefault="00031667">
      <w:pPr>
        <w:tabs>
          <w:tab w:val="left" w:pos="7938"/>
        </w:tabs>
        <w:spacing w:before="120" w:after="120"/>
        <w:ind w:left="851" w:right="900"/>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sz w:val="22"/>
          <w:szCs w:val="22"/>
        </w:rPr>
        <w:t>...</w:t>
      </w:r>
    </w:p>
    <w:p w14:paraId="25FC1D72" w14:textId="77777777" w:rsidR="00211D54" w:rsidRPr="00C56E9A" w:rsidRDefault="00031667">
      <w:pPr>
        <w:tabs>
          <w:tab w:val="left" w:pos="7938"/>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w:t>
      </w:r>
      <w:r w:rsidRPr="00C56E9A">
        <w:rPr>
          <w:rFonts w:ascii="Palatino Linotype" w:eastAsia="Palatino Linotype" w:hAnsi="Palatino Linotype" w:cs="Palatino Linotype"/>
          <w:i/>
          <w:iCs/>
          <w:sz w:val="22"/>
          <w:szCs w:val="22"/>
        </w:rPr>
        <w:t>. La entrega de información incompleta;”</w:t>
      </w:r>
    </w:p>
    <w:p w14:paraId="54027747"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 xml:space="preserve">Tercero. Materia de la revisión. </w:t>
      </w:r>
      <w:r w:rsidRPr="00C56E9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56E9A">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C56E9A">
        <w:rPr>
          <w:rFonts w:ascii="Palatino Linotype" w:eastAsia="Palatino Linotype" w:hAnsi="Palatino Linotype" w:cs="Palatino Linotype"/>
          <w:sz w:val="22"/>
          <w:szCs w:val="22"/>
        </w:rPr>
        <w:t xml:space="preserve">de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o en su defecto, en caso de ser procedente, ordenar la entrega de información.</w:t>
      </w:r>
    </w:p>
    <w:p w14:paraId="7DA6C8F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C56E9A">
        <w:rPr>
          <w:rFonts w:ascii="Palatino Linotype" w:eastAsia="Palatino Linotype" w:hAnsi="Palatino Linotype" w:cs="Palatino Linotype"/>
          <w:b/>
          <w:bCs/>
          <w:sz w:val="22"/>
          <w:szCs w:val="22"/>
        </w:rPr>
        <w:t xml:space="preserve">Cuarto. Estudio del asunto. </w:t>
      </w:r>
      <w:r w:rsidRPr="00C56E9A">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278945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4</w:t>
      </w:r>
      <w:r w:rsidRPr="00C56E9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DF4A3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56E9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2FB2F9"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56E9A">
        <w:rPr>
          <w:rFonts w:ascii="Palatino Linotype" w:eastAsia="Palatino Linotype" w:hAnsi="Palatino Linotype" w:cs="Palatino Linotype"/>
          <w:i/>
          <w:iCs/>
          <w:sz w:val="22"/>
          <w:szCs w:val="22"/>
        </w:rPr>
        <w:t>.”</w:t>
      </w:r>
    </w:p>
    <w:p w14:paraId="03F1B66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AEF4CE1"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12.-</w:t>
      </w:r>
      <w:r w:rsidRPr="00C56E9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9654E2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E74C055" w14:textId="77777777" w:rsidR="00211D54" w:rsidRPr="00C56E9A" w:rsidRDefault="00031667">
      <w:pPr>
        <w:spacing w:before="240" w:after="240" w:line="360" w:lineRule="auto"/>
        <w:ind w:right="-93"/>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0034855"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C56E9A">
        <w:rPr>
          <w:rFonts w:ascii="Palatino Linotype" w:eastAsia="Palatino Linotype" w:hAnsi="Palatino Linotype" w:cs="Palatino Linotype"/>
          <w:b/>
          <w:bCs/>
          <w:sz w:val="22"/>
          <w:szCs w:val="22"/>
        </w:rPr>
        <w:t xml:space="preserve"> </w:t>
      </w:r>
    </w:p>
    <w:p w14:paraId="38FABB59" w14:textId="77777777" w:rsidR="00211D54" w:rsidRPr="00C56E9A" w:rsidRDefault="00031667">
      <w:pPr>
        <w:spacing w:before="120" w:after="120"/>
        <w:ind w:left="1134"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56E9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5F21057" w14:textId="77777777" w:rsidR="00211D54" w:rsidRPr="00C56E9A" w:rsidRDefault="00031667">
      <w:pPr>
        <w:spacing w:before="120" w:after="12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2698644" w14:textId="77777777" w:rsidR="00211D54" w:rsidRPr="00C56E9A" w:rsidRDefault="00031667">
      <w:pPr>
        <w:spacing w:before="120" w:after="12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509C13" w14:textId="77777777" w:rsidR="00211D54" w:rsidRPr="00C56E9A" w:rsidRDefault="00031667">
      <w:pPr>
        <w:tabs>
          <w:tab w:val="left" w:pos="993"/>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 xml:space="preserve">Artículo 3. </w:t>
      </w:r>
      <w:r w:rsidRPr="00C56E9A">
        <w:rPr>
          <w:rFonts w:ascii="Palatino Linotype" w:eastAsia="Palatino Linotype" w:hAnsi="Palatino Linotype" w:cs="Palatino Linotype"/>
          <w:i/>
          <w:iCs/>
          <w:sz w:val="22"/>
          <w:szCs w:val="22"/>
        </w:rPr>
        <w:t>Para los efectos de la presente Ley se entenderá por:</w:t>
      </w:r>
    </w:p>
    <w:p w14:paraId="50802F50" w14:textId="77777777" w:rsidR="00211D54" w:rsidRPr="00C56E9A" w:rsidRDefault="00031667">
      <w:pPr>
        <w:tabs>
          <w:tab w:val="left" w:pos="993"/>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60A3E28F" w14:textId="77777777" w:rsidR="00211D54" w:rsidRPr="00C56E9A" w:rsidRDefault="00031667">
      <w:pPr>
        <w:tabs>
          <w:tab w:val="left" w:pos="993"/>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XI. Documento:</w:t>
      </w:r>
      <w:r w:rsidRPr="00C56E9A">
        <w:rPr>
          <w:rFonts w:ascii="Palatino Linotype" w:eastAsia="Palatino Linotype" w:hAnsi="Palatino Linotype" w:cs="Palatino Linotype"/>
          <w:i/>
          <w:iCs/>
          <w:sz w:val="22"/>
          <w:szCs w:val="22"/>
        </w:rPr>
        <w:t xml:space="preserve"> Los expedientes, reportes, estudios, actas</w:t>
      </w:r>
      <w:r w:rsidRPr="00C56E9A">
        <w:rPr>
          <w:rFonts w:ascii="Palatino Linotype" w:eastAsia="Palatino Linotype" w:hAnsi="Palatino Linotype" w:cs="Palatino Linotype"/>
          <w:b/>
          <w:bCs/>
          <w:i/>
          <w:iCs/>
          <w:sz w:val="22"/>
          <w:szCs w:val="22"/>
        </w:rPr>
        <w:t>,</w:t>
      </w:r>
      <w:r w:rsidRPr="00C56E9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A376144"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99B34F7"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sz w:val="22"/>
          <w:szCs w:val="22"/>
        </w:rPr>
        <w:t>“</w:t>
      </w:r>
      <w:r w:rsidRPr="00C56E9A">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C56E9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4B913E"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480FC320" w14:textId="77777777" w:rsidR="00211D54" w:rsidRPr="00C56E9A" w:rsidRDefault="00031667">
      <w:pPr>
        <w:spacing w:before="120" w:after="120"/>
        <w:ind w:left="1134"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FBD8708" w14:textId="77777777" w:rsidR="00211D54" w:rsidRPr="00C56E9A" w:rsidRDefault="00031667">
      <w:pPr>
        <w:spacing w:before="120" w:after="120"/>
        <w:ind w:left="1134"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44F200AB" w14:textId="77777777" w:rsidR="00211D54" w:rsidRPr="00C56E9A" w:rsidRDefault="00031667">
      <w:pPr>
        <w:spacing w:before="120" w:after="120"/>
        <w:ind w:left="1134"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131073E5" w14:textId="77777777" w:rsidR="00211D54" w:rsidRPr="00C56E9A" w:rsidRDefault="00031667">
      <w:pP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3ACE83"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0116BE0" w14:textId="77777777" w:rsidR="00211D54" w:rsidRPr="00C56E9A" w:rsidRDefault="00031667">
      <w:pP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requirió el acceso a lo siguiente:</w:t>
      </w:r>
    </w:p>
    <w:p w14:paraId="17646CFC" w14:textId="77777777" w:rsidR="00211D54" w:rsidRPr="00C56E9A" w:rsidRDefault="00031667">
      <w:pPr>
        <w:pBdr>
          <w:top w:val="nil"/>
          <w:left w:val="nil"/>
          <w:bottom w:val="nil"/>
          <w:right w:val="nil"/>
          <w:between w:val="nil"/>
        </w:pBdr>
        <w:spacing w:before="280" w:after="280" w:line="360" w:lineRule="auto"/>
        <w:ind w:left="284"/>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1. Todos los oficios recibidos en la Primera Sindicatura desde en uno de enero al seis de noviembre de dos mil veinticinco y sus anexos.</w:t>
      </w:r>
    </w:p>
    <w:p w14:paraId="02B5B5A6" w14:textId="77777777" w:rsidR="00211D54" w:rsidRPr="00C56E9A" w:rsidRDefault="00031667">
      <w:pP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Es respuesta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por conducto de la Primera Sindico hizo entrega de diversos oficios recibidos en la dependencia a su cargo en los meses de enero, febrero, marzo, abril, mayo, junio, julio, agosto y septiembre de dos mil veinticinco, con sus anexos, testados.</w:t>
      </w:r>
    </w:p>
    <w:p w14:paraId="10065A54"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Sin embargo, al no estar conforme con los términos de la respuesta proporcionada,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presentó el recurso de revisión que nos ocupa, donde señaló como motivo de inconformidad que se hizo entrega la información incompleta, además de haberse tapado o testado datos sin haberse proporcionado el acta del Comité de Transparencia.</w:t>
      </w:r>
    </w:p>
    <w:p w14:paraId="5EC404C2"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la etapa de manifestaciones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 xml:space="preserve">ratificó en lo sustancial la respuesta proporcionada en primera instancia, mientras que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20F778D2" w14:textId="77777777" w:rsidR="00211D54" w:rsidRPr="00C56E9A" w:rsidRDefault="00031667">
      <w:pPr>
        <w:spacing w:before="280" w:after="28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 xml:space="preserve">en contraposición con el motivo de inconformidad alegado por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0E2CAC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este sentido es oportuno mencionar que la solicitud fue atendida por la unidad administrativa que genera, administra y/o posee la información de mérito, siendo esta la Primera Sindicatura, al solicitarse los oficios recibidos en dicha dependencia y sus anexos, por lo que se considera que en el presente asunto se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278B3BB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segundo lugar, es de recordar que la persona servidora pública habilitada competente, en atención a la solicitud, hizo entrega de diversos oficios recibidos en la Primera Sindicatura en los meses de enero a octubre de dos mil veinticinco, con sus anexos, en los cuales se testó información personal de conformidad con el acuerdo CT/SE/1350/02/2025 del Comité de Transparencia del 13 de noviembre de 2025.</w:t>
      </w:r>
    </w:p>
    <w:p w14:paraId="237ED77D"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Cabe señalar, que al ser documentos que se emiten por diversas áreas y autoridades, estos cuentan con el número que se les asigna en aquellas, por lo que al no ser posible constatar que estos sigan un orden consecutivo, se considera  que los oficios proporcionados corresponden a la totalidad de la información con la que se cuenta de dicho periodo.</w:t>
      </w:r>
    </w:p>
    <w:p w14:paraId="541DA17D"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No obstante, si bien la información entregada que se traduce en lo solicitado, debe decirse que de la revisión efectuada por este Organismo Garante, al soporte documental entregado en respuesta se concluyó que no es suficiente para tener por satisfecha las solicitud de información por las siguientes razones:</w:t>
      </w:r>
    </w:p>
    <w:p w14:paraId="0FC9126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No se hizo entrega de los oficios recibidos del uno al seis de noviembre de dos mil veinticinco, y tampoco hubo un pronunciamiento respecto de la existencia o inexistencia de dicha información.</w:t>
      </w:r>
    </w:p>
    <w:p w14:paraId="2FD3B2AA"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Algunos de los oficios recibidos de enero a octubre con sus anexos se entregaron testados, no obstante, la eliminación de los datos no se encuentra fundada y motivada al haberse omitido la entrega del acta del Comité de Transparencia, en la cual se aprobó el acuerdo CT/SE/1350/02/2025, referido por la servidora pública habilitada.</w:t>
      </w:r>
    </w:p>
    <w:p w14:paraId="6779F4E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Además, se advirtió que se testaron datos cuya naturaleza es pública, al no corresponder  con alguno de los supuestos establecidos en los artículos 140 y 143 de la Ley de Transparencia y Acceso a la Información Pública del Estado de México y Municipios, de manera enunciativa más no limitativa: nombre y número de plaza de ex servidores públicos, nombre de servidores públicos sindicalizados asignados a alguna comisión, sueldo de servidores públicos, número de expedientes judiciales y administrativos, el número de folio de boletas de infracción, importe de infracciones, número de folio de oficios, número de folio y texto de solicitudes de acceso a la información pública, número de folio de recursos de revisión, nombre de servidores públicos, número de circulares, entre otros.</w:t>
      </w:r>
    </w:p>
    <w:p w14:paraId="4CB53741"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Asimismo, se testaron diversos datos en los que se desconoce su naturaleza, al no poder advertir a que corresponden, como a continuación se ejemplifica:</w:t>
      </w:r>
    </w:p>
    <w:p w14:paraId="5F15A3AF" w14:textId="77777777" w:rsidR="00211D54" w:rsidRPr="00C56E9A" w:rsidRDefault="00031667">
      <w:pPr>
        <w:spacing w:before="240" w:after="240" w:line="360" w:lineRule="auto"/>
        <w:jc w:val="center"/>
        <w:rPr>
          <w:rFonts w:ascii="Palatino Linotype" w:eastAsia="Palatino Linotype" w:hAnsi="Palatino Linotype" w:cs="Palatino Linotype"/>
          <w:sz w:val="22"/>
          <w:szCs w:val="22"/>
        </w:rPr>
      </w:pPr>
      <w:r w:rsidRPr="00C56E9A">
        <w:rPr>
          <w:rFonts w:ascii="Palatino Linotype" w:eastAsia="Palatino Linotype" w:hAnsi="Palatino Linotype" w:cs="Palatino Linotype"/>
          <w:noProof/>
          <w:sz w:val="22"/>
          <w:szCs w:val="22"/>
        </w:rPr>
        <w:drawing>
          <wp:inline distT="0" distB="0" distL="0" distR="0" wp14:anchorId="298D7B48" wp14:editId="33BF5133">
            <wp:extent cx="4320000" cy="363618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20000" cy="3636180"/>
                    </a:xfrm>
                    <a:prstGeom prst="rect">
                      <a:avLst/>
                    </a:prstGeom>
                    <a:ln/>
                  </pic:spPr>
                </pic:pic>
              </a:graphicData>
            </a:graphic>
          </wp:inline>
        </w:drawing>
      </w:r>
    </w:p>
    <w:p w14:paraId="5C356011" w14:textId="77777777" w:rsidR="00211D54" w:rsidRPr="00C56E9A" w:rsidRDefault="00031667">
      <w:pPr>
        <w:spacing w:before="240" w:after="240" w:line="360" w:lineRule="auto"/>
        <w:jc w:val="center"/>
        <w:rPr>
          <w:rFonts w:ascii="Palatino Linotype" w:eastAsia="Palatino Linotype" w:hAnsi="Palatino Linotype" w:cs="Palatino Linotype"/>
          <w:sz w:val="22"/>
          <w:szCs w:val="22"/>
        </w:rPr>
      </w:pPr>
      <w:r w:rsidRPr="00C56E9A">
        <w:rPr>
          <w:rFonts w:ascii="Palatino Linotype" w:eastAsia="Palatino Linotype" w:hAnsi="Palatino Linotype" w:cs="Palatino Linotype"/>
          <w:noProof/>
          <w:sz w:val="22"/>
          <w:szCs w:val="22"/>
        </w:rPr>
        <w:drawing>
          <wp:inline distT="0" distB="0" distL="0" distR="0" wp14:anchorId="4D9AD569" wp14:editId="47FA0CB6">
            <wp:extent cx="4320000" cy="168195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320000" cy="1681955"/>
                    </a:xfrm>
                    <a:prstGeom prst="rect">
                      <a:avLst/>
                    </a:prstGeom>
                    <a:ln/>
                  </pic:spPr>
                </pic:pic>
              </a:graphicData>
            </a:graphic>
          </wp:inline>
        </w:drawing>
      </w:r>
    </w:p>
    <w:p w14:paraId="06B350C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Al respecto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Transparencia y Acceso a la Información Pública del Estado de México y Municipios, que es del tenor literal siguiente:</w:t>
      </w:r>
    </w:p>
    <w:p w14:paraId="282FC681" w14:textId="77777777" w:rsidR="00211D54" w:rsidRPr="00C56E9A" w:rsidRDefault="00031667">
      <w:pPr>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“Artículo 91. </w:t>
      </w:r>
      <w:r w:rsidRPr="00C56E9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BDF0A45"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4699D6E0"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Debe decirse que la Ley de Transparencia y Acceso a la Información Pública del Estado de México y Municipios, define como </w:t>
      </w:r>
      <w:r w:rsidRPr="00C56E9A">
        <w:rPr>
          <w:rFonts w:ascii="Palatino Linotype" w:eastAsia="Palatino Linotype" w:hAnsi="Palatino Linotype" w:cs="Palatino Linotype"/>
          <w:b/>
          <w:bCs/>
          <w:sz w:val="22"/>
          <w:szCs w:val="22"/>
        </w:rPr>
        <w:t xml:space="preserve">información reservada </w:t>
      </w:r>
      <w:r w:rsidRPr="00C56E9A">
        <w:rPr>
          <w:rFonts w:ascii="Palatino Linotype" w:eastAsia="Palatino Linotype" w:hAnsi="Palatino Linotype" w:cs="Palatino Linotype"/>
          <w:sz w:val="22"/>
          <w:szCs w:val="22"/>
        </w:rPr>
        <w:t xml:space="preserve">a la información pública clasificada con este carácter de manera temporal por las disposiciones de la Ley de la Materia, cuya divulgación puede causar daños a las  seguridad pública, y como </w:t>
      </w:r>
      <w:r w:rsidRPr="00C56E9A">
        <w:rPr>
          <w:rFonts w:ascii="Palatino Linotype" w:eastAsia="Palatino Linotype" w:hAnsi="Palatino Linotype" w:cs="Palatino Linotype"/>
          <w:b/>
          <w:bCs/>
          <w:sz w:val="22"/>
          <w:szCs w:val="22"/>
        </w:rPr>
        <w:t>información confidencial</w:t>
      </w:r>
      <w:r w:rsidRPr="00C56E9A">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16D5391A"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Por lo que se refiere a la información clasificada como reservada, para que el acceso a la información pública pueda ser restringido, se deben actualizar los supuestos establecidos en el artículo 140 de la Ley de Transparencia y Acceso a la Información Pública del Estado de México y Municipios, que a la letra señala lo siguiente:</w:t>
      </w:r>
    </w:p>
    <w:p w14:paraId="0CFC593D"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140</w:t>
      </w:r>
      <w:r w:rsidRPr="00C56E9A">
        <w:rPr>
          <w:rFonts w:ascii="Palatino Linotype" w:eastAsia="Palatino Linotype" w:hAnsi="Palatino Linotype" w:cs="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47F834E1"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Comprometa la seguridad pública y cuente con un propósito genuino y un efecto demostrable; </w:t>
      </w:r>
    </w:p>
    <w:p w14:paraId="18116CAA"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Pueda menoscabar la conducción de las negociaciones y relaciones internacionales; </w:t>
      </w:r>
    </w:p>
    <w:p w14:paraId="6F826FD3"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A08E916"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xml:space="preserve"> Ponga en riesgo la vida, la seguridad o la salud de una persona física; </w:t>
      </w:r>
    </w:p>
    <w:p w14:paraId="42E2DF83"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w:t>
      </w:r>
      <w:r w:rsidRPr="00C56E9A">
        <w:rPr>
          <w:rFonts w:ascii="Palatino Linotype" w:eastAsia="Palatino Linotype" w:hAnsi="Palatino Linotype" w:cs="Palatino Linotype"/>
          <w:i/>
          <w:iCs/>
          <w:sz w:val="22"/>
          <w:szCs w:val="22"/>
        </w:rPr>
        <w:t xml:space="preserve">. Aquella cuya divulgación obstruya o pueda causar un serio perjuicio a: </w:t>
      </w:r>
    </w:p>
    <w:p w14:paraId="14A57B6F"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1. Las actividades de fiscalización, verificación, inspección, comprobación y auditoría sobre el cumplimiento de las Leyes; o </w:t>
      </w:r>
    </w:p>
    <w:p w14:paraId="2B7D18CF"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2. La recaudación de las contribuciones. </w:t>
      </w:r>
    </w:p>
    <w:p w14:paraId="792D7B9C"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VI</w:t>
      </w:r>
      <w:r w:rsidRPr="00C56E9A">
        <w:rPr>
          <w:rFonts w:ascii="Palatino Linotype" w:eastAsia="Palatino Linotype" w:hAnsi="Palatino Linotype" w:cs="Palatino Linotype"/>
          <w:i/>
          <w:iCs/>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0EC1BA3"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VII.</w:t>
      </w:r>
      <w:r w:rsidRPr="00C56E9A">
        <w:rPr>
          <w:rFonts w:ascii="Palatino Linotype" w:eastAsia="Palatino Linotype" w:hAnsi="Palatino Linotype" w:cs="Palatino Linotype"/>
          <w:i/>
          <w:iCs/>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5CED21BE"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VIII.</w:t>
      </w:r>
      <w:r w:rsidRPr="00C56E9A">
        <w:rPr>
          <w:rFonts w:ascii="Palatino Linotype" w:eastAsia="Palatino Linotype" w:hAnsi="Palatino Linotype" w:cs="Palatino Linotype"/>
          <w:i/>
          <w:iCs/>
          <w:sz w:val="22"/>
          <w:szCs w:val="22"/>
        </w:rPr>
        <w:t xml:space="preserve"> Vulnere la conducción de los expedientes judiciales o de los procedimientos administrativos seguidos en forma de juicio, en tanto no hayan quedado firmes; </w:t>
      </w:r>
    </w:p>
    <w:p w14:paraId="10345496"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IX</w:t>
      </w:r>
      <w:r w:rsidRPr="00C56E9A">
        <w:rPr>
          <w:rFonts w:ascii="Palatino Linotype" w:eastAsia="Palatino Linotype" w:hAnsi="Palatino Linotype" w:cs="Palatino Linotype"/>
          <w:i/>
          <w:iCs/>
          <w:sz w:val="22"/>
          <w:szCs w:val="22"/>
        </w:rPr>
        <w:t xml:space="preserve">. Se encuentre contenida dentro de las investigaciones de hechos que la Ley señale como delitos y se tramiten ante el Ministerio Público; </w:t>
      </w:r>
    </w:p>
    <w:p w14:paraId="429DBACF"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w:t>
      </w:r>
      <w:r w:rsidRPr="00C56E9A">
        <w:rPr>
          <w:rFonts w:ascii="Palatino Linotype" w:eastAsia="Palatino Linotype" w:hAnsi="Palatino Linotype" w:cs="Palatino Linotype"/>
          <w:i/>
          <w:iCs/>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8147982"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862FB2" w14:textId="77777777" w:rsidR="00211D54" w:rsidRPr="00C56E9A" w:rsidRDefault="00031667">
      <w:pPr>
        <w:spacing w:before="120" w:after="120"/>
        <w:ind w:left="851" w:right="851"/>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XI.</w:t>
      </w:r>
      <w:r w:rsidRPr="00C56E9A">
        <w:rPr>
          <w:rFonts w:ascii="Palatino Linotype" w:eastAsia="Palatino Linotype" w:hAnsi="Palatino Linotype" w:cs="Palatino Linotype"/>
          <w:i/>
          <w:iCs/>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AE06D5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Y, en lo que concierne a la información clasificada como confidencial, para que el acceso a la información pública pueda ser restringido, se deben actualizar los supuestos establecidos en el artículo143 de la Ley de Transparencia y Acceso a la Información Pública del Estado de México y Municipios, que a la letra señala lo siguiente:</w:t>
      </w:r>
    </w:p>
    <w:p w14:paraId="7ED0A7B4"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143.</w:t>
      </w:r>
      <w:r w:rsidRPr="00C56E9A">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 </w:t>
      </w:r>
    </w:p>
    <w:p w14:paraId="25BEAE8F"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 </w:t>
      </w:r>
    </w:p>
    <w:p w14:paraId="1F3B7BB1"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80503AD"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La que presenten los particulares a los sujetos obligados, de conformidad con lo dispuesto por las leyes o los tratados internacionales. </w:t>
      </w:r>
    </w:p>
    <w:p w14:paraId="036ADD8A"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la misma, sus representantes y los servidores públicos facultados para ello. </w:t>
      </w:r>
    </w:p>
    <w:p w14:paraId="35C1BADE"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42AB847" w14:textId="77777777" w:rsidR="00211D54" w:rsidRPr="00C56E9A" w:rsidRDefault="00031667">
      <w:pPr>
        <w:spacing w:before="280" w:after="28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5EC6FA2" w14:textId="77777777" w:rsidR="00211D54" w:rsidRPr="00C56E9A" w:rsidRDefault="00031667">
      <w:pPr>
        <w:numPr>
          <w:ilvl w:val="0"/>
          <w:numId w:val="2"/>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Se reciba una solicitud de acceso a la información;</w:t>
      </w:r>
    </w:p>
    <w:p w14:paraId="6A836CA5" w14:textId="77777777" w:rsidR="00211D54" w:rsidRPr="00C56E9A" w:rsidRDefault="0003166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Se determine mediante resolución de autoridad competente; y/o</w:t>
      </w:r>
    </w:p>
    <w:p w14:paraId="4EEBEB21" w14:textId="77777777" w:rsidR="00211D54" w:rsidRPr="00C56E9A" w:rsidRDefault="00031667">
      <w:pPr>
        <w:numPr>
          <w:ilvl w:val="0"/>
          <w:numId w:val="2"/>
        </w:numPr>
        <w:tabs>
          <w:tab w:val="left" w:pos="851"/>
        </w:tabs>
        <w:spacing w:after="280" w:line="360" w:lineRule="auto"/>
        <w:ind w:left="567" w:firstLine="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Se generen versiones públicas para dar cumplimiento a las obligaciones de transparencia previstas en la Ley.</w:t>
      </w:r>
    </w:p>
    <w:p w14:paraId="4BA82E20" w14:textId="77777777" w:rsidR="00211D54" w:rsidRPr="00C56E9A" w:rsidRDefault="00031667">
      <w:pPr>
        <w:spacing w:before="280" w:after="28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ese sentido, es de precisar que la clasificación de la información no se da por el simple mandato de la Ley, sino que es necesario que los Sujetos Obligados,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0DFE5300"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Respecto a la  elaboración de versiones públicas de documentos que contengan datos susceptibles de ser clasificados, los Sujetos Obligados deben observar, además,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C2E483"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Por lo tanto, la entrega de documentos en su versión pública </w:t>
      </w:r>
      <w:r w:rsidRPr="00C56E9A">
        <w:rPr>
          <w:rFonts w:ascii="Palatino Linotype" w:eastAsia="Palatino Linotype" w:hAnsi="Palatino Linotype" w:cs="Palatino Linotype"/>
          <w:b/>
          <w:bCs/>
          <w:sz w:val="22"/>
          <w:szCs w:val="22"/>
          <w:u w:val="single"/>
        </w:rPr>
        <w:t>debe acompañarse necesariamente del Acuerdo del Comité de Transparencia</w:t>
      </w:r>
      <w:r w:rsidRPr="00C56E9A">
        <w:rPr>
          <w:rFonts w:ascii="Palatino Linotype" w:eastAsia="Palatino Linotype" w:hAnsi="Palatino Linotype" w:cs="Palatino Linotype"/>
          <w:sz w:val="22"/>
          <w:szCs w:val="22"/>
        </w:rPr>
        <w:t xml:space="preserve">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FC57AA9" w14:textId="77777777" w:rsidR="00211D54" w:rsidRPr="00C56E9A" w:rsidRDefault="00031667">
      <w:pPr>
        <w:spacing w:before="240" w:after="240" w:line="360" w:lineRule="auto"/>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sz w:val="22"/>
          <w:szCs w:val="22"/>
        </w:rPr>
        <w:t xml:space="preserve">En el caso que se analiza, es imprescindible mencionar que se coincide con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respecto de la clasificación de los datos personales, tales como número de teléfono particular, correo electrónico personal, nombre de particulares, claves catastrales de inmuebles privados, domicilios particulares, firma de particulares, entre otros contenidos en los oficios entregados, como información confidencial, ya que derivado de su naturaleza estos inciden en su esfera más íntima de privacidad, por lo que actualizan el supuesto previsto en el artículo 143, fracción I de la Ley de Transparencia y Acceso a la Información Pública del Estado de México y Municipios, citado con antelación.</w:t>
      </w:r>
    </w:p>
    <w:p w14:paraId="55FF9603"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Asimismo, no escapa de la óptica de este Organismo Garante que los oficios entregados y sus anexos, también contienen información susceptible de ser clasificada como reservada, de manera enunciativa más no limitativa, nombre de elementos operativos de la Dirección General de Seguridad y Protección en funciones, así como información relacionada con expedientes administrativos en trámite a la fecha de la solicitud, lo anterior de conformidad con las hipótesis previstas en las fracciones IV, VI y VIII del artículo 140 de la Ley de Transparencia y Acceso a la Información Pública del Estado de México y Municipios, citado con antelación.</w:t>
      </w:r>
    </w:p>
    <w:p w14:paraId="492ACB3A"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Bajo esta línea de pensamiento, es claro que no puede tenerse por satisfecho el Derecho de acceso a la información de la persona solicitante, al haberse hecho entrega de diversos oficios recibidos, con sus anexos testados, sin la debida fundamentación, insistiendo en que no se hizo entrega del Acuerdo del Comité de transparencia, además de haberse testado información de carácter público.</w:t>
      </w:r>
    </w:p>
    <w:p w14:paraId="09C35D9E"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Por consiguiente, se estima dable ordenar la entrega nuevamente de los oficios recibidos por la Primera Sindico con sus anexos sus anexos, que fueron testados, en versión pública correcta, así como de los oficios recibidos del uno al seis de noviembre de dos mil veinticinco, acompañados del acuerdo del Comité de Transparencia debidamente fundado y motivado que sustente la versión pública correspondiente, de conformidad con el considerando siguiente.</w:t>
      </w:r>
    </w:p>
    <w:p w14:paraId="26EB3F4E"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No obstante, para el caso de que no se llegaran a localizar oficios recibidos del uno al seis de noviembre de dos mil veinticinco en los archivos del Sujeto Obligado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29E86310" w14:textId="77777777" w:rsidR="00211D54" w:rsidRPr="00C56E9A" w:rsidRDefault="0003166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Finalmente, no pasa desapercibido para este Instituto que de los documentos remitidos en respuesta,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dejo a la vista datos considerados como confidenciales, como lo son, de manera enunciativa, nombres de particulares, enfermedades, entre otros, información que es clasificada en términos del artículo 143 fracción I de la Ley de Transparencia, Acceso a la Información Pública y Protección de Datos Personales del Estado de México y Municipios; por lo que resulta procedente dar vista </w:t>
      </w:r>
      <w:r w:rsidRPr="00C56E9A">
        <w:rPr>
          <w:rFonts w:ascii="Palatino Linotype" w:eastAsia="Palatino Linotype" w:hAnsi="Palatino Linotype" w:cs="Palatino Linotype"/>
          <w:b/>
          <w:bCs/>
          <w:sz w:val="22"/>
          <w:szCs w:val="22"/>
        </w:rPr>
        <w:t>al Titular de la Dirección General de Protección de Datos Personales</w:t>
      </w:r>
      <w:r w:rsidRPr="00C56E9A">
        <w:rPr>
          <w:rFonts w:ascii="Palatino Linotype" w:eastAsia="Palatino Linotype" w:hAnsi="Palatino Linotype" w:cs="Palatino Linotype"/>
          <w:sz w:val="22"/>
          <w:szCs w:val="22"/>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532D1A7A"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 lo hasta aquí expuesto, se concluye que los motivos de inconformidad de la parte </w:t>
      </w:r>
      <w:r w:rsidRPr="00C56E9A">
        <w:rPr>
          <w:rFonts w:ascii="Palatino Linotype" w:eastAsia="Palatino Linotype" w:hAnsi="Palatino Linotype" w:cs="Palatino Linotype"/>
          <w:b/>
          <w:bCs/>
          <w:sz w:val="22"/>
          <w:szCs w:val="22"/>
        </w:rPr>
        <w:t xml:space="preserve">Recurrente </w:t>
      </w:r>
      <w:r w:rsidRPr="00C56E9A">
        <w:rPr>
          <w:rFonts w:ascii="Palatino Linotype" w:eastAsia="Palatino Linotype" w:hAnsi="Palatino Linotype" w:cs="Palatino Linotype"/>
          <w:sz w:val="22"/>
          <w:szCs w:val="22"/>
        </w:rPr>
        <w:t xml:space="preserve">devienen fundados, siendo procedente </w:t>
      </w:r>
      <w:r w:rsidRPr="00C56E9A">
        <w:rPr>
          <w:rFonts w:ascii="Palatino Linotype" w:eastAsia="Palatino Linotype" w:hAnsi="Palatino Linotype" w:cs="Palatino Linotype"/>
          <w:i/>
          <w:iCs/>
          <w:sz w:val="22"/>
          <w:szCs w:val="22"/>
        </w:rPr>
        <w:t xml:space="preserve">Modificar </w:t>
      </w:r>
      <w:r w:rsidRPr="00C56E9A">
        <w:rPr>
          <w:rFonts w:ascii="Palatino Linotype" w:eastAsia="Palatino Linotype" w:hAnsi="Palatino Linotype" w:cs="Palatino Linotype"/>
          <w:sz w:val="22"/>
          <w:szCs w:val="22"/>
        </w:rPr>
        <w:t xml:space="preserve">las respuestas proporcionadas por el </w:t>
      </w:r>
      <w:r w:rsidRPr="00C56E9A">
        <w:rPr>
          <w:rFonts w:ascii="Palatino Linotype" w:eastAsia="Palatino Linotype" w:hAnsi="Palatino Linotype" w:cs="Palatino Linotype"/>
          <w:b/>
          <w:bCs/>
          <w:sz w:val="22"/>
          <w:szCs w:val="22"/>
        </w:rPr>
        <w:t xml:space="preserve">Sujeto Obligado </w:t>
      </w:r>
      <w:r w:rsidRPr="00C56E9A">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45DA6F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Quinto. Versión Pública.</w:t>
      </w:r>
      <w:r w:rsidRPr="00C56E9A">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sin menoscabo al derecho a la protección de los datos personales de terceros.</w:t>
      </w:r>
    </w:p>
    <w:p w14:paraId="17DB3A1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5050F89F"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3</w:t>
      </w:r>
      <w:r w:rsidRPr="00C56E9A">
        <w:rPr>
          <w:rFonts w:ascii="Palatino Linotype" w:eastAsia="Palatino Linotype" w:hAnsi="Palatino Linotype" w:cs="Palatino Linotype"/>
          <w:i/>
          <w:iCs/>
          <w:sz w:val="22"/>
          <w:szCs w:val="22"/>
        </w:rPr>
        <w:t>. Para los efectos de la presente Ley se entenderá por:</w:t>
      </w:r>
    </w:p>
    <w:p w14:paraId="4D5ECB4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48A9ECCA"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IX. Datos personales</w:t>
      </w:r>
      <w:r w:rsidRPr="00C56E9A">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39EDD47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XX. Información clasificada</w:t>
      </w:r>
      <w:r w:rsidRPr="00C56E9A">
        <w:rPr>
          <w:rFonts w:ascii="Palatino Linotype" w:eastAsia="Palatino Linotype" w:hAnsi="Palatino Linotype" w:cs="Palatino Linotype"/>
          <w:i/>
          <w:iCs/>
          <w:sz w:val="22"/>
          <w:szCs w:val="22"/>
        </w:rPr>
        <w:t>: Aquella considerada por la presente Ley como reservada o confidencial;</w:t>
      </w:r>
    </w:p>
    <w:p w14:paraId="73FD3704"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XXI. Información confidencial: </w:t>
      </w:r>
      <w:r w:rsidRPr="00C56E9A">
        <w:rPr>
          <w:rFonts w:ascii="Palatino Linotype" w:eastAsia="Palatino Linotype" w:hAnsi="Palatino Linotype" w:cs="Palatino Linotype"/>
          <w:i/>
          <w:iCs/>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348778"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XLV. Versión pública:</w:t>
      </w:r>
      <w:r w:rsidRPr="00C56E9A">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7E3DD989"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25CF5FE5"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91.</w:t>
      </w:r>
      <w:r w:rsidRPr="00C56E9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F9EA93D"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132.</w:t>
      </w:r>
      <w:r w:rsidRPr="00C56E9A">
        <w:rPr>
          <w:rFonts w:ascii="Palatino Linotype" w:eastAsia="Palatino Linotype" w:hAnsi="Palatino Linotype" w:cs="Palatino Linotype"/>
          <w:i/>
          <w:iCs/>
          <w:sz w:val="22"/>
          <w:szCs w:val="22"/>
        </w:rPr>
        <w:t xml:space="preserve"> La clasificación de la información se llevará a cabo en el momento en que:</w:t>
      </w:r>
    </w:p>
    <w:p w14:paraId="24CF42D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Se reciba una solicitud de acceso a la información;</w:t>
      </w:r>
    </w:p>
    <w:p w14:paraId="3E44A027"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Se determine mediante resolución de autoridad competente; o</w:t>
      </w:r>
    </w:p>
    <w:p w14:paraId="69C0D4C7"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25AFC39E"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62F0386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137.</w:t>
      </w:r>
      <w:r w:rsidRPr="00C56E9A">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4B07D24"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w:t>
      </w:r>
    </w:p>
    <w:p w14:paraId="71BDB0F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143</w:t>
      </w:r>
      <w:r w:rsidRPr="00C56E9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153B846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2752F03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3D6E399" w14:textId="77777777" w:rsidR="00211D54" w:rsidRPr="00C56E9A" w:rsidRDefault="00031667">
      <w:pPr>
        <w:spacing w:before="240" w:after="240" w:line="360" w:lineRule="auto"/>
        <w:ind w:right="5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5E62817" w14:textId="77777777" w:rsidR="00211D54" w:rsidRPr="00C56E9A" w:rsidRDefault="00031667">
      <w:pPr>
        <w:spacing w:before="240" w:after="240" w:line="360" w:lineRule="auto"/>
        <w:ind w:right="5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99CED71" w14:textId="77777777" w:rsidR="00211D54" w:rsidRPr="00C56E9A" w:rsidRDefault="00031667">
      <w:pPr>
        <w:spacing w:before="240" w:after="240" w:line="360" w:lineRule="auto"/>
        <w:ind w:right="-93"/>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Por lo que se refiere al </w:t>
      </w:r>
      <w:r w:rsidRPr="00C56E9A">
        <w:rPr>
          <w:rFonts w:ascii="Palatino Linotype" w:eastAsia="Palatino Linotype" w:hAnsi="Palatino Linotype" w:cs="Palatino Linotype"/>
          <w:b/>
          <w:bCs/>
          <w:sz w:val="22"/>
          <w:szCs w:val="22"/>
        </w:rPr>
        <w:t>teléfono particular</w:t>
      </w:r>
      <w:r w:rsidRPr="00C56E9A">
        <w:rPr>
          <w:rFonts w:ascii="Palatino Linotype" w:eastAsia="Palatino Linotype" w:hAnsi="Palatino Linotype" w:cs="Palatino Linotype"/>
          <w:sz w:val="22"/>
          <w:szCs w:val="22"/>
        </w:rPr>
        <w:t>,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 citado con antelación.</w:t>
      </w:r>
    </w:p>
    <w:p w14:paraId="144E0842" w14:textId="77777777" w:rsidR="00211D54" w:rsidRPr="00C56E9A" w:rsidRDefault="0003166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El </w:t>
      </w:r>
      <w:r w:rsidRPr="00C56E9A">
        <w:rPr>
          <w:rFonts w:ascii="Palatino Linotype" w:eastAsia="Palatino Linotype" w:hAnsi="Palatino Linotype" w:cs="Palatino Linotype"/>
          <w:b/>
          <w:bCs/>
          <w:sz w:val="22"/>
          <w:szCs w:val="22"/>
        </w:rPr>
        <w:t xml:space="preserve">correo electrónico personal </w:t>
      </w:r>
      <w:r w:rsidRPr="00C56E9A">
        <w:rPr>
          <w:rFonts w:ascii="Palatino Linotype" w:eastAsia="Palatino Linotype" w:hAnsi="Palatino Linotype" w:cs="Palatino Linotype"/>
          <w:sz w:val="22"/>
          <w:szCs w:val="22"/>
        </w:rPr>
        <w:t>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109F775D" w14:textId="77777777" w:rsidR="00211D54" w:rsidRPr="00C56E9A" w:rsidRDefault="00031667">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El </w:t>
      </w:r>
      <w:r w:rsidRPr="00C56E9A">
        <w:rPr>
          <w:rFonts w:ascii="Palatino Linotype" w:eastAsia="Palatino Linotype" w:hAnsi="Palatino Linotype" w:cs="Palatino Linotype"/>
          <w:b/>
          <w:bCs/>
          <w:sz w:val="22"/>
          <w:szCs w:val="22"/>
        </w:rPr>
        <w:t>domicilio particular</w:t>
      </w:r>
      <w:r w:rsidRPr="00C56E9A">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0B2E4C7" w14:textId="77777777" w:rsidR="00211D54" w:rsidRPr="00C56E9A" w:rsidRDefault="00031667">
      <w:pPr>
        <w:spacing w:before="240" w:after="240" w:line="360" w:lineRule="auto"/>
        <w:ind w:right="-93"/>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del domicilio y su comprobante, de conformidad con la fracción I, del artículo 143 de la Ley de Transparencia y Acceso a la Información Pública del Estado de México y Municipios.</w:t>
      </w:r>
    </w:p>
    <w:p w14:paraId="79FF96C2"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lo que respecta al </w:t>
      </w:r>
      <w:r w:rsidRPr="00C56E9A">
        <w:rPr>
          <w:rFonts w:ascii="Palatino Linotype" w:eastAsia="Palatino Linotype" w:hAnsi="Palatino Linotype" w:cs="Palatino Linotype"/>
          <w:b/>
          <w:bCs/>
          <w:sz w:val="22"/>
          <w:szCs w:val="22"/>
        </w:rPr>
        <w:t xml:space="preserve">nombre de una persona física, </w:t>
      </w:r>
      <w:r w:rsidRPr="00C56E9A">
        <w:rPr>
          <w:rFonts w:ascii="Palatino Linotype" w:eastAsia="Palatino Linotype" w:hAnsi="Palatino Linotype" w:cs="Palatino Linotype"/>
          <w:sz w:val="22"/>
          <w:szCs w:val="22"/>
        </w:rPr>
        <w:t>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w:t>
      </w:r>
    </w:p>
    <w:p w14:paraId="5D4782F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w:t>
      </w:r>
    </w:p>
    <w:p w14:paraId="1B782C8D"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No obstante, existen ciertas excepciones a dicha regla por razones de interés público, como lo es en aquellos casos en donde dicho dato se relaciona con la erogación de recursos públicos, en cuyo caso, el nombre de estos guardan naturaleza de información pública y por tanto es improcedente su clasificación, con la finalidad de garantizar la rendición de cuentas por parte del ente público. </w:t>
      </w:r>
    </w:p>
    <w:p w14:paraId="6C51E97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Lo anterior, en virtud de que los Sujetos Obligados cuentan con el deber de hacer pública toda aquella información relativa a los montos y las personas a quienes entreguen recursos públicos por cualquier concepto, como se desprende del artículo 23, penúltimo párrafo de la Ley de Transparencia y Acceso a la Información Pública del Estado de México y Municipios, que es del tenor literal siguiente:</w:t>
      </w:r>
    </w:p>
    <w:p w14:paraId="1D77A9E5"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23</w:t>
      </w:r>
      <w:r w:rsidRPr="00C56E9A">
        <w:rPr>
          <w:rFonts w:ascii="Palatino Linotype" w:eastAsia="Palatino Linotype" w:hAnsi="Palatino Linotype" w:cs="Palatino Linotype"/>
          <w:i/>
          <w:iCs/>
          <w:sz w:val="22"/>
          <w:szCs w:val="22"/>
        </w:rPr>
        <w:t>…</w:t>
      </w:r>
    </w:p>
    <w:p w14:paraId="12BD7A4E"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A09BA16"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Por lo que respecta a la </w:t>
      </w:r>
      <w:r w:rsidRPr="00C56E9A">
        <w:rPr>
          <w:rFonts w:ascii="Palatino Linotype" w:eastAsia="Palatino Linotype" w:hAnsi="Palatino Linotype" w:cs="Palatino Linotype"/>
          <w:b/>
          <w:bCs/>
          <w:sz w:val="22"/>
          <w:szCs w:val="22"/>
        </w:rPr>
        <w:t>clave de seguridad social</w:t>
      </w:r>
      <w:r w:rsidRPr="00C56E9A">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323496DD"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Respecto de los </w:t>
      </w:r>
      <w:r w:rsidRPr="00C56E9A">
        <w:rPr>
          <w:rFonts w:ascii="Palatino Linotype" w:eastAsia="Palatino Linotype" w:hAnsi="Palatino Linotype" w:cs="Palatino Linotype"/>
          <w:b/>
          <w:bCs/>
          <w:sz w:val="22"/>
          <w:szCs w:val="22"/>
        </w:rPr>
        <w:t>números de cuentas bancari</w:t>
      </w:r>
      <w:r w:rsidRPr="00C56E9A">
        <w:rPr>
          <w:rFonts w:ascii="Palatino Linotype" w:eastAsia="Palatino Linotype" w:hAnsi="Palatino Linotype" w:cs="Palatino Linotype"/>
          <w:sz w:val="22"/>
          <w:szCs w:val="22"/>
        </w:rPr>
        <w:t xml:space="preserve">as, </w:t>
      </w:r>
      <w:r w:rsidRPr="00C56E9A">
        <w:rPr>
          <w:rFonts w:ascii="Palatino Linotype" w:eastAsia="Palatino Linotype" w:hAnsi="Palatino Linotype" w:cs="Palatino Linotype"/>
          <w:b/>
          <w:bCs/>
          <w:sz w:val="22"/>
          <w:szCs w:val="22"/>
        </w:rPr>
        <w:t>claves estandarizadas –interbancarias- (CLABES) y de tarjetas</w:t>
      </w:r>
      <w:r w:rsidRPr="00C56E9A">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268C70F5"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4D6243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638618B"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C02EC3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72D925D"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Lo argumentado encuentra sustento en los criterios de interpretación con claves de control SO/010/2017 y SO/011/2017, emitidos por el entonces Instituto Nacional de Transparencia, Acceso a la Información y Protección de Datos Personales, INAI, que llevan por rubro y texto los siguientes:</w:t>
      </w:r>
    </w:p>
    <w:p w14:paraId="1A54C81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Cuentas bancarias y/o CLABE interbancaria de personas físicas y morales privadas.</w:t>
      </w:r>
      <w:r w:rsidRPr="00C56E9A">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18CC6B7"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C56E9A">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0B02256"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Con relación al </w:t>
      </w:r>
      <w:r w:rsidRPr="00C56E9A">
        <w:rPr>
          <w:rFonts w:ascii="Palatino Linotype" w:eastAsia="Palatino Linotype" w:hAnsi="Palatino Linotype" w:cs="Palatino Linotype"/>
          <w:b/>
          <w:bCs/>
          <w:sz w:val="22"/>
          <w:szCs w:val="22"/>
        </w:rPr>
        <w:t>número de empleado</w:t>
      </w:r>
      <w:r w:rsidRPr="00C56E9A">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56E9A">
        <w:rPr>
          <w:rFonts w:ascii="Palatino Linotype" w:eastAsia="Palatino Linotype" w:hAnsi="Palatino Linotype" w:cs="Palatino Linotype"/>
          <w:sz w:val="22"/>
          <w:szCs w:val="22"/>
          <w:vertAlign w:val="superscript"/>
        </w:rPr>
        <w:footnoteReference w:id="1"/>
      </w:r>
      <w:r w:rsidRPr="00C56E9A">
        <w:rPr>
          <w:rFonts w:ascii="Palatino Linotype" w:eastAsia="Palatino Linotype" w:hAnsi="Palatino Linotype" w:cs="Palatino Linotype"/>
          <w:sz w:val="22"/>
          <w:szCs w:val="22"/>
        </w:rPr>
        <w:t>.</w:t>
      </w:r>
    </w:p>
    <w:p w14:paraId="10221E81"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pero el entonces  Pleno del el Instituto Nacional de Transparencia, Acceso a la Información, y Protección de Datos Personales, INAI  se ha pronunciado sobre su publicidad, a través del Criterio orientador con Clave de control SO/006/2019, que indica lo siguiente:</w:t>
      </w:r>
    </w:p>
    <w:p w14:paraId="07F8E580" w14:textId="77777777" w:rsidR="00211D54" w:rsidRPr="00C56E9A" w:rsidRDefault="00031667">
      <w:pPr>
        <w:tabs>
          <w:tab w:val="left" w:pos="7655"/>
        </w:tabs>
        <w:spacing w:before="240" w:after="240"/>
        <w:ind w:left="993" w:right="99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“Número de empleado. </w:t>
      </w:r>
      <w:r w:rsidRPr="00C56E9A">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2892089"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1B21B16" w14:textId="77777777" w:rsidR="00211D54" w:rsidRPr="00C56E9A" w:rsidRDefault="0003166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La </w:t>
      </w:r>
      <w:r w:rsidRPr="00C56E9A">
        <w:rPr>
          <w:rFonts w:ascii="Palatino Linotype" w:eastAsia="Palatino Linotype" w:hAnsi="Palatino Linotype" w:cs="Palatino Linotype"/>
          <w:b/>
          <w:bCs/>
          <w:sz w:val="22"/>
          <w:szCs w:val="22"/>
        </w:rPr>
        <w:t>clave catastral</w:t>
      </w:r>
      <w:r w:rsidRPr="00C56E9A">
        <w:rPr>
          <w:rFonts w:ascii="Palatino Linotype" w:eastAsia="Palatino Linotype" w:hAnsi="Palatino Linotype" w:cs="Palatino Linotype"/>
          <w:sz w:val="22"/>
          <w:szCs w:val="22"/>
        </w:rPr>
        <w:t xml:space="preserve"> reviste el carácter de confidencial respecto de aquellos inmuebles de dominio privado, en razón de que la clave catastral remite a información que contiene datos personales, por lo que no puede otorgarse a terceros, dada la confidencialidad que distingue a sus elementos. En ese sentido, sobre la clave catastral debe decirse que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78C5E372" w14:textId="77777777" w:rsidR="00211D54" w:rsidRPr="00C56E9A" w:rsidRDefault="0003166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Además, el “Diccionario de Datos catastrales Escala 1:1000” del Instituto Nacional de Estadística y Geografía (INEGI), contempla en su Glosario la definición de la Clave Catastral, la cual, apunta lo siguiente:</w:t>
      </w:r>
    </w:p>
    <w:p w14:paraId="5AB37F0E" w14:textId="77777777" w:rsidR="00211D54" w:rsidRPr="00C56E9A" w:rsidRDefault="00031667">
      <w:pPr>
        <w:pBdr>
          <w:top w:val="nil"/>
          <w:left w:val="nil"/>
          <w:bottom w:val="nil"/>
          <w:right w:val="nil"/>
          <w:between w:val="nil"/>
        </w:pBdr>
        <w:spacing w:before="120" w:after="120"/>
        <w:ind w:left="851" w:right="8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Clave Catastral</w:t>
      </w:r>
      <w:r w:rsidRPr="00C56E9A">
        <w:rPr>
          <w:rFonts w:ascii="Palatino Linotype" w:eastAsia="Palatino Linotype" w:hAnsi="Palatino Linotype" w:cs="Palatino Linotype"/>
          <w:i/>
          <w:iCs/>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331E12A1" w14:textId="77777777" w:rsidR="00211D54" w:rsidRPr="00C56E9A" w:rsidRDefault="0003166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Del concepto antepuesto,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reitera que no es procedente la entrega de dicho dato, al actualizar lo previsto en el artículo 143, fracción I de la Ley de Transparencia y Acceso a la Información Pública del Estado de México y Municipios.</w:t>
      </w:r>
    </w:p>
    <w:p w14:paraId="23BD7C76" w14:textId="77777777" w:rsidR="00211D54" w:rsidRPr="00C56E9A" w:rsidRDefault="00031667">
      <w:pPr>
        <w:spacing w:before="240" w:after="240" w:line="360" w:lineRule="auto"/>
        <w:ind w:right="-93"/>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 igual forma, se coincide con la clasificación del </w:t>
      </w:r>
      <w:r w:rsidRPr="00C56E9A">
        <w:rPr>
          <w:rFonts w:ascii="Palatino Linotype" w:eastAsia="Palatino Linotype" w:hAnsi="Palatino Linotype" w:cs="Palatino Linotype"/>
          <w:b/>
          <w:bCs/>
          <w:sz w:val="22"/>
          <w:szCs w:val="22"/>
        </w:rPr>
        <w:t>nombre completo de los servidores públicos adscritos a la Dirección de Seguridad Pública Municipal o equivalente que</w:t>
      </w:r>
      <w:r w:rsidRPr="00C56E9A">
        <w:rPr>
          <w:rFonts w:ascii="Palatino Linotype" w:eastAsia="Palatino Linotype" w:hAnsi="Palatino Linotype" w:cs="Palatino Linotype"/>
          <w:sz w:val="22"/>
          <w:szCs w:val="22"/>
        </w:rPr>
        <w:t xml:space="preserve"> </w:t>
      </w:r>
      <w:r w:rsidRPr="00C56E9A">
        <w:rPr>
          <w:rFonts w:ascii="Palatino Linotype" w:eastAsia="Palatino Linotype" w:hAnsi="Palatino Linotype" w:cs="Palatino Linotype"/>
          <w:b/>
          <w:bCs/>
          <w:sz w:val="22"/>
          <w:szCs w:val="22"/>
          <w:u w:val="single"/>
        </w:rPr>
        <w:t>desempeñan funciones operativas,</w:t>
      </w:r>
      <w:r w:rsidRPr="00C56E9A">
        <w:rPr>
          <w:rFonts w:ascii="Palatino Linotype" w:eastAsia="Palatino Linotype" w:hAnsi="Palatino Linotype" w:cs="Palatino Linotype"/>
          <w:sz w:val="22"/>
          <w:szCs w:val="22"/>
        </w:rPr>
        <w:t xml:space="preserve"> como información reservada, en el entendido de que la difusión de dicha información pudiera poner en riesgo su vida, salud y seguridad, derivado de las funciones que les son encomendadas en términos del artículo 21 párrafo noveno de la Constitución Política de los Estados Unidos Mexicanos, las cuales comprenden, la prevención de los delitos, investigación y persecución, entre otras, encuadrando dicha información en el supuesto de clasificación previsto en el artículo 140, fracción IV de la Ley de Transparencia Local.</w:t>
      </w:r>
    </w:p>
    <w:p w14:paraId="375C89C4"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 xml:space="preserve">Como sustento de lo anterior, es preciso mencionar que el </w:t>
      </w:r>
      <w:r w:rsidRPr="00C56E9A">
        <w:rPr>
          <w:rFonts w:ascii="Palatino Linotype" w:eastAsia="Palatino Linotype" w:hAnsi="Palatino Linotype" w:cs="Palatino Linotype"/>
          <w:b/>
          <w:bCs/>
          <w:sz w:val="22"/>
          <w:szCs w:val="22"/>
        </w:rPr>
        <w:t xml:space="preserve">actual Pleno de este Instituto ha sostenido el criterio de no dar a conocer los nombres de aquellos servidores públicos que realizan funciones operativas en materia de seguridad pública, </w:t>
      </w:r>
      <w:r w:rsidRPr="00C56E9A">
        <w:rPr>
          <w:rFonts w:ascii="Palatino Linotype" w:eastAsia="Palatino Linotype" w:hAnsi="Palatino Linotype" w:cs="Palatino Linotype"/>
          <w:sz w:val="22"/>
          <w:szCs w:val="22"/>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C56E9A">
        <w:rPr>
          <w:rFonts w:ascii="Palatino Linotype" w:eastAsia="Palatino Linotype" w:hAnsi="Palatino Linotype" w:cs="Palatino Linotype"/>
          <w:b/>
          <w:bCs/>
          <w:sz w:val="22"/>
          <w:szCs w:val="22"/>
        </w:rPr>
        <w:t xml:space="preserve">vulnerar la vida, seguridad o salud de dichos elementos, incluso la de sus familias o entorno social. </w:t>
      </w:r>
    </w:p>
    <w:p w14:paraId="741E084E"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ese orden de ideas, el</w:t>
      </w:r>
      <w:r w:rsidRPr="00C56E9A">
        <w:rPr>
          <w:rFonts w:ascii="Palatino Linotype" w:eastAsia="Palatino Linotype" w:hAnsi="Palatino Linotype" w:cs="Palatino Linotype"/>
          <w:b/>
          <w:bCs/>
          <w:sz w:val="22"/>
          <w:szCs w:val="22"/>
        </w:rPr>
        <w:t xml:space="preserve"> </w:t>
      </w:r>
      <w:r w:rsidRPr="00C56E9A">
        <w:rPr>
          <w:rFonts w:ascii="Palatino Linotype" w:eastAsia="Palatino Linotype" w:hAnsi="Palatino Linotype" w:cs="Palatino Linotype"/>
          <w:sz w:val="22"/>
          <w:szCs w:val="22"/>
        </w:rPr>
        <w:t>artículo 140, fracción IV, de la Ley de Transparencia y Acceso a la Información Pública del Estado de México y Municipios prevé lo siguiente:</w:t>
      </w:r>
    </w:p>
    <w:p w14:paraId="3F318BF3" w14:textId="77777777" w:rsidR="00211D54" w:rsidRPr="00C56E9A" w:rsidRDefault="00031667">
      <w:pPr>
        <w:tabs>
          <w:tab w:val="left" w:pos="4962"/>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Artículo 140.</w:t>
      </w:r>
      <w:r w:rsidRPr="00C56E9A">
        <w:rPr>
          <w:rFonts w:ascii="Palatino Linotype" w:eastAsia="Palatino Linotype" w:hAnsi="Palatino Linotype" w:cs="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6AD2CD9B" w14:textId="77777777" w:rsidR="00211D54" w:rsidRPr="00C56E9A" w:rsidRDefault="00031667">
      <w:pPr>
        <w:tabs>
          <w:tab w:val="left" w:pos="4962"/>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34269577" w14:textId="77777777" w:rsidR="00211D54" w:rsidRPr="00C56E9A" w:rsidRDefault="00031667">
      <w:pPr>
        <w:tabs>
          <w:tab w:val="left" w:pos="4962"/>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xml:space="preserve"> Ponga en riesgo la vida, la seguridad o la salud de una persona física;</w:t>
      </w:r>
    </w:p>
    <w:p w14:paraId="4740CE45" w14:textId="77777777" w:rsidR="00211D54" w:rsidRPr="00C56E9A" w:rsidRDefault="00031667">
      <w:pPr>
        <w:tabs>
          <w:tab w:val="left" w:pos="4962"/>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 </w:t>
      </w:r>
    </w:p>
    <w:p w14:paraId="1C361751"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Del precepto legal citado se desprende que como información reservada podrá clasificarse aquella cuya publicación </w:t>
      </w:r>
      <w:r w:rsidRPr="00C56E9A">
        <w:rPr>
          <w:rFonts w:ascii="Palatino Linotype" w:eastAsia="Palatino Linotype" w:hAnsi="Palatino Linotype" w:cs="Palatino Linotype"/>
          <w:b/>
          <w:bCs/>
          <w:sz w:val="22"/>
          <w:szCs w:val="22"/>
        </w:rPr>
        <w:t xml:space="preserve">pueda poner en riesgo la vida, seguridad o salud de una persona física. </w:t>
      </w:r>
      <w:r w:rsidRPr="00C56E9A">
        <w:rPr>
          <w:rFonts w:ascii="Palatino Linotype" w:eastAsia="Palatino Linotype" w:hAnsi="Palatino Linotype" w:cs="Palatino Linotype"/>
          <w:sz w:val="22"/>
          <w:szCs w:val="22"/>
        </w:rPr>
        <w:t>En concatenación con lo anterior, los Lineamientos Generales en Materia de Clasificación y Desclasificación de la Información, así como para la Elaboración de Versiones Públicas, establecen lo siguiente:</w:t>
      </w:r>
    </w:p>
    <w:p w14:paraId="622947A1"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“Vigésimo tercero. </w:t>
      </w:r>
      <w:r w:rsidRPr="00C56E9A">
        <w:rPr>
          <w:rFonts w:ascii="Palatino Linotype" w:eastAsia="Palatino Linotype" w:hAnsi="Palatino Linotype" w:cs="Palatino Linotype"/>
          <w:i/>
          <w:iCs/>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64ADD715"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Del Lineamiento referido, se desprende que para clasificar la información como reservada, será necesario </w:t>
      </w:r>
      <w:r w:rsidRPr="00C56E9A">
        <w:rPr>
          <w:rFonts w:ascii="Palatino Linotype" w:eastAsia="Palatino Linotype" w:hAnsi="Palatino Linotype" w:cs="Palatino Linotype"/>
          <w:b/>
          <w:bCs/>
          <w:sz w:val="22"/>
          <w:szCs w:val="22"/>
        </w:rPr>
        <w:t>acreditar un vínculo, entre la persona física y la información que pueda poner en riesgo su vida, seguridad o salud</w:t>
      </w:r>
      <w:r w:rsidRPr="00C56E9A">
        <w:rPr>
          <w:rFonts w:ascii="Palatino Linotype" w:eastAsia="Palatino Linotype" w:hAnsi="Palatino Linotype" w:cs="Palatino Linotype"/>
          <w:sz w:val="22"/>
          <w:szCs w:val="22"/>
        </w:rPr>
        <w:t>.</w:t>
      </w:r>
    </w:p>
    <w:p w14:paraId="7C213A89" w14:textId="77777777" w:rsidR="00211D54" w:rsidRPr="00C56E9A" w:rsidRDefault="00031667">
      <w:pPr>
        <w:spacing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Además, el artículo 81, fracción III, de la Ley de Seguridad del Estado de México, establece lo siguiente:</w:t>
      </w:r>
    </w:p>
    <w:p w14:paraId="21CF87EB"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81.-</w:t>
      </w:r>
      <w:r w:rsidRPr="00C56E9A">
        <w:rPr>
          <w:rFonts w:ascii="Palatino Linotype" w:eastAsia="Palatino Linotype" w:hAnsi="Palatino Linotype" w:cs="Palatino Linotype"/>
          <w:i/>
          <w:iCs/>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19DF673" w14:textId="77777777" w:rsidR="00211D54" w:rsidRPr="00C56E9A" w:rsidRDefault="00031667">
      <w:pPr>
        <w:spacing w:before="120" w:after="120"/>
        <w:ind w:left="1134"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14045679" w14:textId="77777777" w:rsidR="00211D54" w:rsidRPr="00C56E9A" w:rsidRDefault="00031667">
      <w:pPr>
        <w:spacing w:before="120" w:after="120"/>
        <w:ind w:left="1134"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La relativa a los servidores públicos integrantes de las instituciones de seguridad pública, </w:t>
      </w:r>
      <w:r w:rsidRPr="00C56E9A">
        <w:rPr>
          <w:rFonts w:ascii="Palatino Linotype" w:eastAsia="Palatino Linotype" w:hAnsi="Palatino Linotype" w:cs="Palatino Linotype"/>
          <w:b/>
          <w:bCs/>
          <w:i/>
          <w:iCs/>
          <w:sz w:val="22"/>
          <w:szCs w:val="22"/>
        </w:rPr>
        <w:t>cuya revelación pueda poner en riesgo su vida e integridad física con motivo de sus funciones;</w:t>
      </w:r>
    </w:p>
    <w:p w14:paraId="05761862"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1E921277"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 xml:space="preserve">Así, se desprende que es reservada toda aquella información de los servidores públicos integrantes de las instituciones de seguridad pública, cuya revelación </w:t>
      </w:r>
      <w:r w:rsidRPr="00C56E9A">
        <w:rPr>
          <w:rFonts w:ascii="Palatino Linotype" w:eastAsia="Palatino Linotype" w:hAnsi="Palatino Linotype" w:cs="Palatino Linotype"/>
          <w:b/>
          <w:bCs/>
          <w:sz w:val="22"/>
          <w:szCs w:val="22"/>
        </w:rPr>
        <w:t>pueda poner en riesgo su vida e integridad física con motivo de sus funciones.</w:t>
      </w:r>
    </w:p>
    <w:p w14:paraId="64DB0EC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Atento a lo anterior, resulta necesario traer por analogía, el criterio de interpretación con clave de control SO/006/2009, emitido por el entonces Instituto Federal de Acceso a la Información y Protección de Datos, que establece lo siguiente:</w:t>
      </w:r>
    </w:p>
    <w:p w14:paraId="42D40227" w14:textId="77777777" w:rsidR="00211D54" w:rsidRPr="00C56E9A" w:rsidRDefault="00031667">
      <w:pPr>
        <w:tabs>
          <w:tab w:val="left" w:pos="4962"/>
        </w:tabs>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“Nombres de servidores públicos dedicados a actividades en materia de seguridad, por excepción pueden considerarse información reservada.</w:t>
      </w:r>
      <w:r w:rsidRPr="00C56E9A">
        <w:rPr>
          <w:rFonts w:ascii="Palatino Linotype" w:eastAsia="Palatino Linotype" w:hAnsi="Palatino Linotype" w:cs="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A635BAC"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C56E9A">
        <w:rPr>
          <w:rFonts w:ascii="Palatino Linotype" w:eastAsia="Palatino Linotype" w:hAnsi="Palatino Linotype" w:cs="Palatino Linotype"/>
          <w:b/>
          <w:bCs/>
          <w:sz w:val="22"/>
          <w:szCs w:val="22"/>
        </w:rPr>
        <w:t>funciones de carácter operativo.</w:t>
      </w:r>
    </w:p>
    <w:p w14:paraId="30C0B698"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ese orden de ideas, si bien por regla general el nombre de los servidores públicos es información de naturaleza pública, siendo obligación de los entes públicos poner a disposición de los particulares, de manera permanente y actualizada, dicha información, existe una excepción relativa a </w:t>
      </w:r>
      <w:r w:rsidRPr="00C56E9A">
        <w:rPr>
          <w:rFonts w:ascii="Palatino Linotype" w:eastAsia="Palatino Linotype" w:hAnsi="Palatino Linotype" w:cs="Palatino Linotype"/>
          <w:b/>
          <w:bCs/>
          <w:sz w:val="22"/>
          <w:szCs w:val="22"/>
        </w:rPr>
        <w:t>aquellos que realicen actividades operativas en materia de seguridad,</w:t>
      </w:r>
      <w:r w:rsidRPr="00C56E9A">
        <w:rPr>
          <w:rFonts w:ascii="Palatino Linotype" w:eastAsia="Palatino Linotype" w:hAnsi="Palatino Linotype" w:cs="Palatino Linotype"/>
          <w:sz w:val="22"/>
          <w:szCs w:val="22"/>
        </w:rPr>
        <w:t xml:space="preserve"> como es el caso de los elementos operativos.</w:t>
      </w:r>
    </w:p>
    <w:p w14:paraId="6C29A84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5299B70"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ese contexto, el artículo 6, fracciones XI y XII de dicho ordenamiento jurídico, establece los siguientes conceptos:</w:t>
      </w:r>
    </w:p>
    <w:p w14:paraId="783CE409" w14:textId="77777777" w:rsidR="00211D54" w:rsidRPr="00C56E9A" w:rsidRDefault="0003166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 xml:space="preserve">Instituciones Policiales: </w:t>
      </w:r>
      <w:r w:rsidRPr="00C56E9A">
        <w:rPr>
          <w:rFonts w:ascii="Palatino Linotype" w:eastAsia="Palatino Linotype" w:hAnsi="Palatino Linotype" w:cs="Palatino Linotype"/>
          <w:sz w:val="22"/>
          <w:szCs w:val="22"/>
        </w:rPr>
        <w:t xml:space="preserve">Son los cuerpos de policía, de vigilancia y custodia de los establecimientos penitenciarios, detención preventiva, centros de arraigo y en general, </w:t>
      </w:r>
      <w:r w:rsidRPr="00C56E9A">
        <w:rPr>
          <w:rFonts w:ascii="Palatino Linotype" w:eastAsia="Palatino Linotype" w:hAnsi="Palatino Linotype" w:cs="Palatino Linotype"/>
          <w:b/>
          <w:bCs/>
          <w:sz w:val="22"/>
          <w:szCs w:val="22"/>
        </w:rPr>
        <w:t>todas las dependencias encargadas de la seguridad pública a nivel</w:t>
      </w:r>
      <w:r w:rsidRPr="00C56E9A">
        <w:rPr>
          <w:rFonts w:ascii="Palatino Linotype" w:eastAsia="Palatino Linotype" w:hAnsi="Palatino Linotype" w:cs="Palatino Linotype"/>
          <w:sz w:val="22"/>
          <w:szCs w:val="22"/>
        </w:rPr>
        <w:t xml:space="preserve"> estatal y </w:t>
      </w:r>
      <w:r w:rsidRPr="00C56E9A">
        <w:rPr>
          <w:rFonts w:ascii="Palatino Linotype" w:eastAsia="Palatino Linotype" w:hAnsi="Palatino Linotype" w:cs="Palatino Linotype"/>
          <w:b/>
          <w:bCs/>
          <w:sz w:val="22"/>
          <w:szCs w:val="22"/>
        </w:rPr>
        <w:t>municipal.</w:t>
      </w:r>
    </w:p>
    <w:p w14:paraId="530530FE" w14:textId="77777777" w:rsidR="00211D54" w:rsidRPr="00C56E9A" w:rsidRDefault="0003166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 xml:space="preserve">Instituciones de Seguridad Pública: </w:t>
      </w:r>
      <w:r w:rsidRPr="00C56E9A">
        <w:rPr>
          <w:rFonts w:ascii="Palatino Linotype" w:eastAsia="Palatino Linotype" w:hAnsi="Palatino Linotype" w:cs="Palatino Linotype"/>
          <w:sz w:val="22"/>
          <w:szCs w:val="22"/>
        </w:rPr>
        <w:t xml:space="preserve">Instituciones Policiales, Procuración de Justicia, Sistema Penitenciario y </w:t>
      </w:r>
      <w:r w:rsidRPr="00C56E9A">
        <w:rPr>
          <w:rFonts w:ascii="Palatino Linotype" w:eastAsia="Palatino Linotype" w:hAnsi="Palatino Linotype" w:cs="Palatino Linotype"/>
          <w:b/>
          <w:bCs/>
          <w:sz w:val="22"/>
          <w:szCs w:val="22"/>
        </w:rPr>
        <w:t xml:space="preserve">dependencias encargadas de la seguridad pública a nivel </w:t>
      </w:r>
      <w:r w:rsidRPr="00C56E9A">
        <w:rPr>
          <w:rFonts w:ascii="Palatino Linotype" w:eastAsia="Palatino Linotype" w:hAnsi="Palatino Linotype" w:cs="Palatino Linotype"/>
          <w:sz w:val="22"/>
          <w:szCs w:val="22"/>
        </w:rPr>
        <w:t xml:space="preserve">estatal y </w:t>
      </w:r>
      <w:r w:rsidRPr="00C56E9A">
        <w:rPr>
          <w:rFonts w:ascii="Palatino Linotype" w:eastAsia="Palatino Linotype" w:hAnsi="Palatino Linotype" w:cs="Palatino Linotype"/>
          <w:b/>
          <w:bCs/>
          <w:sz w:val="22"/>
          <w:szCs w:val="22"/>
        </w:rPr>
        <w:t>municipal.</w:t>
      </w:r>
    </w:p>
    <w:p w14:paraId="093566B4"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Conforme a lo anterior, se puede deducir que la Comisaría Municipal es una institución de seguridad pública, pues tiene como atribución principal resguardar el orden público y la paz social, la prevención de delitos y la inhibición de manifestaciones de conductas antisociales.</w:t>
      </w:r>
    </w:p>
    <w:p w14:paraId="60B1C67B" w14:textId="77777777" w:rsidR="00211D54" w:rsidRPr="00C56E9A" w:rsidRDefault="00031667">
      <w:pPr>
        <w:tabs>
          <w:tab w:val="left" w:pos="4962"/>
        </w:tabs>
        <w:spacing w:before="240" w:after="240" w:line="360" w:lineRule="auto"/>
        <w:ind w:right="-28"/>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Además, el Instructivo de llenado del Formato “Personal de Seguridad Pública”, del Secretariado Ejecutivo del Sistema Nacional de Seguridad Pública (consultado en la liga electrónica </w:t>
      </w:r>
      <w:hyperlink r:id="rId11">
        <w:r w:rsidRPr="00C56E9A">
          <w:rPr>
            <w:rFonts w:ascii="Palatino Linotype" w:eastAsia="Palatino Linotype" w:hAnsi="Palatino Linotype" w:cs="Palatino Linotype"/>
            <w:sz w:val="22"/>
            <w:szCs w:val="22"/>
            <w:u w:val="single"/>
          </w:rPr>
          <w:t>http://secretariadoejecutivo.gob.mx/work/models/SecretariadoEjecutivo/Resource/328/1/images/instructivo_final_edo_fuerza(1).pdf</w:t>
        </w:r>
      </w:hyperlink>
      <w:r w:rsidRPr="00C56E9A">
        <w:rPr>
          <w:rFonts w:ascii="Palatino Linotype" w:eastAsia="Palatino Linotype" w:hAnsi="Palatino Linotype" w:cs="Palatino Linotype"/>
          <w:sz w:val="22"/>
          <w:szCs w:val="22"/>
        </w:rPr>
        <w:t xml:space="preserve">), establece que los elementos operativos de seguridad pública, son aquellos que desempeñan funciones de campo (policiacas, especializadas o equivalentes y que no </w:t>
      </w:r>
      <w:r w:rsidRPr="00C56E9A">
        <w:rPr>
          <w:rFonts w:ascii="Palatino Linotype" w:eastAsia="Palatino Linotype" w:hAnsi="Palatino Linotype" w:cs="Palatino Linotype"/>
          <w:b/>
          <w:bCs/>
          <w:sz w:val="22"/>
          <w:szCs w:val="22"/>
        </w:rPr>
        <w:t>desempeña funciones de mando</w:t>
      </w:r>
      <w:r w:rsidRPr="00C56E9A">
        <w:rPr>
          <w:rFonts w:ascii="Palatino Linotype" w:eastAsia="Palatino Linotype" w:hAnsi="Palatino Linotype" w:cs="Palatino Linotype"/>
          <w:sz w:val="22"/>
          <w:szCs w:val="22"/>
        </w:rPr>
        <w:t xml:space="preserve">), entre los cuales, se encuentra </w:t>
      </w:r>
      <w:r w:rsidRPr="00C56E9A">
        <w:rPr>
          <w:rFonts w:ascii="Palatino Linotype" w:eastAsia="Palatino Linotype" w:hAnsi="Palatino Linotype" w:cs="Palatino Linotype"/>
          <w:b/>
          <w:bCs/>
          <w:sz w:val="22"/>
          <w:szCs w:val="22"/>
        </w:rPr>
        <w:t>la Policía Municipal</w:t>
      </w:r>
      <w:r w:rsidRPr="00C56E9A">
        <w:rPr>
          <w:rFonts w:ascii="Palatino Linotype" w:eastAsia="Palatino Linotype" w:hAnsi="Palatino Linotype" w:cs="Palatino Linotype"/>
          <w:sz w:val="22"/>
          <w:szCs w:val="22"/>
        </w:rPr>
        <w:t>.</w:t>
      </w:r>
    </w:p>
    <w:p w14:paraId="1F183447" w14:textId="77777777" w:rsidR="00211D54" w:rsidRPr="00C56E9A" w:rsidRDefault="00031667">
      <w:pPr>
        <w:tabs>
          <w:tab w:val="left" w:pos="4962"/>
        </w:tabs>
        <w:spacing w:before="240" w:after="240" w:line="360" w:lineRule="auto"/>
        <w:ind w:right="-28"/>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Comisaria Municipal, tiene dos clases de servidores públicos, por una parte, los operativos (policía municipal) y por otra, los administrativos, de apoyo y personal de mando, los cuales no realizan funciones operativas.</w:t>
      </w:r>
    </w:p>
    <w:p w14:paraId="7E9A483A"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Así, dar a conocer el nombre completo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FD1E15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De tal situación, se considera que dar a conocer el nombre completo de los elementos operativos, que incluye a los policías municipales, puede poner en riesgo la vida, seguridad y salud de estos, de sus familias e incluso su entorno social, pues al hacerlos identificables, los hace blanco de los agentes delincuenciales o inclusive a la delincuencia organizada, los cuales podrían amenazar o causarles algún daño, con el fin de entorpecer o disminuir la seguridad pública y aumentar la comisión de actos ilícitos.</w:t>
      </w:r>
    </w:p>
    <w:p w14:paraId="31BF9636" w14:textId="77777777" w:rsidR="00211D54" w:rsidRPr="00C56E9A" w:rsidRDefault="00031667">
      <w:pPr>
        <w:spacing w:before="240" w:after="240" w:line="360" w:lineRule="auto"/>
        <w:jc w:val="both"/>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sz w:val="22"/>
          <w:szCs w:val="22"/>
        </w:rPr>
        <w:t xml:space="preserve">Por tales consideraciones, </w:t>
      </w:r>
      <w:r w:rsidRPr="00C56E9A">
        <w:rPr>
          <w:rFonts w:ascii="Palatino Linotype" w:eastAsia="Palatino Linotype" w:hAnsi="Palatino Linotype" w:cs="Palatino Linotype"/>
          <w:b/>
          <w:bCs/>
          <w:sz w:val="22"/>
          <w:szCs w:val="22"/>
        </w:rPr>
        <w:t>resulta procedente la reserva del nombre completo de los elementos operativos, en términos del artículo 140, fracción IV, de la Ley de Transparencia y Acceso a la Información Pública del Estado de México y Municipios previamente citado.</w:t>
      </w:r>
    </w:p>
    <w:p w14:paraId="1DF25EF9"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En lo concerniente a los oficios relacionados con expedientes administrativos en trámite o que no han quedado firmes, podrían recaer en los supuestos previstos en el artículo 140, fracciones VI y  VIII de la Ley de la Materia local, en cuyo caso, se deberá justificar de manera fundada y motivada la restricción al Derecho de acceso a la información, debiendo dar   cumplimiento de los elementos que prevén los lineamientos Vigésimo cuarto y Trigésimo de los Lineamientos Generales en Materia de Clasificación y Desclasificación de la Información,, a saber:</w:t>
      </w:r>
    </w:p>
    <w:p w14:paraId="763249A0"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“Vigésimo cuarto</w:t>
      </w:r>
      <w:r w:rsidRPr="00C56E9A">
        <w:rPr>
          <w:rFonts w:ascii="Palatino Linotype" w:eastAsia="Palatino Linotype" w:hAnsi="Palatino Linotype" w:cs="Palatino Linotype"/>
          <w:i/>
          <w:iCs/>
          <w:sz w:val="22"/>
          <w:szCs w:val="22"/>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023F70CC"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La existencia de un procedimiento de verificación del cumplimiento de las leyes; </w:t>
      </w:r>
    </w:p>
    <w:p w14:paraId="56D6E45A"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Que el procedimiento se encuentre en trámite; </w:t>
      </w:r>
    </w:p>
    <w:p w14:paraId="0D032AEA"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La vinculación directa con las actividades que realiza la autoridad en el procedimiento de verificación del cumplimiento de las leyes, y </w:t>
      </w:r>
    </w:p>
    <w:p w14:paraId="4D9211CC"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Que la difusión de la información impida u obstaculice las actividades de inspección, supervisión o vigilancia que realicen las autoridades en el procedimiento de verificación del cumplimiento de las leyes.</w:t>
      </w:r>
    </w:p>
    <w:p w14:paraId="77C1A130"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5A51A5B9"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Trigésimo.</w:t>
      </w:r>
      <w:r w:rsidRPr="00C56E9A">
        <w:rPr>
          <w:rFonts w:ascii="Palatino Linotype" w:eastAsia="Palatino Linotype" w:hAnsi="Palatino Linotype" w:cs="Palatino Linotype"/>
          <w:i/>
          <w:iCs/>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094F8AA5"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I. La existencia de un juicio o procedimiento administrativo materialmente jurisdiccional, que se encuentre en trámite; </w:t>
      </w:r>
    </w:p>
    <w:p w14:paraId="4B8686A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II. Que la información solicitada se refiera a actuaciones, diligencias o constancias propias del procedimiento, y </w:t>
      </w:r>
    </w:p>
    <w:p w14:paraId="02E87CAE"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i/>
          <w:iCs/>
          <w:sz w:val="22"/>
          <w:szCs w:val="22"/>
        </w:rPr>
        <w:t>III. Que su difusión afecte o interrumpa la libertad de decisión de las autoridades dentro del juicio o procedimiento administrativo seguido en forma de juicio.</w:t>
      </w:r>
    </w:p>
    <w:p w14:paraId="2C03C1AE"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2729F8F8"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10411AE3"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2. Que se cumplan las formalidades esenciales del procedimiento. </w:t>
      </w:r>
    </w:p>
    <w:p w14:paraId="2CB1334F"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i/>
          <w:iCs/>
          <w:sz w:val="22"/>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250A240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Asimismo, no debe perderse de vista el contenido del artículo 142, fracción IV, de la Ley de Transparencia y Acceso a la Información Pública del Estado de México y Municipios, que es del tenor literal siguiente: </w:t>
      </w:r>
    </w:p>
    <w:p w14:paraId="11161C6F"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“Artículo 142.</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 xml:space="preserve">Bajo ninguna circunstancia podrá invocarse el carácter de reservado </w:t>
      </w:r>
      <w:r w:rsidRPr="00C56E9A">
        <w:rPr>
          <w:rFonts w:ascii="Palatino Linotype" w:eastAsia="Palatino Linotype" w:hAnsi="Palatino Linotype" w:cs="Palatino Linotype"/>
          <w:i/>
          <w:iCs/>
          <w:sz w:val="22"/>
          <w:szCs w:val="22"/>
        </w:rPr>
        <w:t xml:space="preserve">cuando: </w:t>
      </w:r>
    </w:p>
    <w:p w14:paraId="184D7EA8" w14:textId="77777777" w:rsidR="00211D54" w:rsidRPr="00C56E9A" w:rsidRDefault="00031667">
      <w:pPr>
        <w:tabs>
          <w:tab w:val="left" w:pos="1134"/>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Se trate de </w:t>
      </w:r>
      <w:r w:rsidRPr="00C56E9A">
        <w:rPr>
          <w:rFonts w:ascii="Palatino Linotype" w:eastAsia="Palatino Linotype" w:hAnsi="Palatino Linotype" w:cs="Palatino Linotype"/>
          <w:b/>
          <w:bCs/>
          <w:i/>
          <w:iCs/>
          <w:sz w:val="22"/>
          <w:szCs w:val="22"/>
        </w:rPr>
        <w:t>violaciones graves de derechos humanos</w:t>
      </w:r>
      <w:r w:rsidRPr="00C56E9A">
        <w:rPr>
          <w:rFonts w:ascii="Palatino Linotype" w:eastAsia="Palatino Linotype" w:hAnsi="Palatino Linotype" w:cs="Palatino Linotype"/>
          <w:i/>
          <w:iCs/>
          <w:sz w:val="22"/>
          <w:szCs w:val="22"/>
        </w:rPr>
        <w:t xml:space="preserve">, calificada así por autoridad competente; </w:t>
      </w:r>
    </w:p>
    <w:p w14:paraId="7000AC93" w14:textId="77777777" w:rsidR="00211D54" w:rsidRPr="00C56E9A" w:rsidRDefault="00031667">
      <w:pPr>
        <w:tabs>
          <w:tab w:val="left" w:pos="1134"/>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Se trate de la </w:t>
      </w:r>
      <w:r w:rsidRPr="00C56E9A">
        <w:rPr>
          <w:rFonts w:ascii="Palatino Linotype" w:eastAsia="Palatino Linotype" w:hAnsi="Palatino Linotype" w:cs="Palatino Linotype"/>
          <w:b/>
          <w:bCs/>
          <w:i/>
          <w:iCs/>
          <w:sz w:val="22"/>
          <w:szCs w:val="22"/>
        </w:rPr>
        <w:t>investigación de posibles violaciones graves de derechos humanos</w:t>
      </w:r>
      <w:r w:rsidRPr="00C56E9A">
        <w:rPr>
          <w:rFonts w:ascii="Palatino Linotype" w:eastAsia="Palatino Linotype" w:hAnsi="Palatino Linotype" w:cs="Palatino Linotype"/>
          <w:i/>
          <w:iCs/>
          <w:sz w:val="22"/>
          <w:szCs w:val="22"/>
        </w:rPr>
        <w:t xml:space="preserve"> aun cuando no exista pronunciamiento previo de autoridad competente, cuando se determine, a partir de criterios cuantitativos y cualitativos la trascendencia social de las violaciones; </w:t>
      </w:r>
    </w:p>
    <w:p w14:paraId="64E9706C" w14:textId="77777777" w:rsidR="00211D54" w:rsidRPr="00C56E9A" w:rsidRDefault="00031667">
      <w:pPr>
        <w:tabs>
          <w:tab w:val="left" w:pos="1134"/>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Se trate de </w:t>
      </w:r>
      <w:r w:rsidRPr="00C56E9A">
        <w:rPr>
          <w:rFonts w:ascii="Palatino Linotype" w:eastAsia="Palatino Linotype" w:hAnsi="Palatino Linotype" w:cs="Palatino Linotype"/>
          <w:b/>
          <w:bCs/>
          <w:i/>
          <w:iCs/>
          <w:sz w:val="22"/>
          <w:szCs w:val="22"/>
        </w:rPr>
        <w:t>delitos de lesa humanidad</w:t>
      </w:r>
      <w:r w:rsidRPr="00C56E9A">
        <w:rPr>
          <w:rFonts w:ascii="Palatino Linotype" w:eastAsia="Palatino Linotype" w:hAnsi="Palatino Linotype" w:cs="Palatino Linotype"/>
          <w:i/>
          <w:iCs/>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 </w:t>
      </w:r>
    </w:p>
    <w:p w14:paraId="6A8AC429" w14:textId="77777777" w:rsidR="00211D54" w:rsidRPr="00C56E9A" w:rsidRDefault="00031667">
      <w:pPr>
        <w:tabs>
          <w:tab w:val="left" w:pos="1134"/>
        </w:tabs>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xml:space="preserve">. Se trate de </w:t>
      </w:r>
      <w:r w:rsidRPr="00C56E9A">
        <w:rPr>
          <w:rFonts w:ascii="Palatino Linotype" w:eastAsia="Palatino Linotype" w:hAnsi="Palatino Linotype" w:cs="Palatino Linotype"/>
          <w:b/>
          <w:bCs/>
          <w:i/>
          <w:iCs/>
          <w:sz w:val="22"/>
          <w:szCs w:val="22"/>
        </w:rPr>
        <w:t>información relacionada con actos de corrupción</w:t>
      </w:r>
      <w:r w:rsidRPr="00C56E9A">
        <w:rPr>
          <w:rFonts w:ascii="Palatino Linotype" w:eastAsia="Palatino Linotype" w:hAnsi="Palatino Linotype" w:cs="Palatino Linotype"/>
          <w:i/>
          <w:iCs/>
          <w:sz w:val="22"/>
          <w:szCs w:val="22"/>
        </w:rPr>
        <w:t xml:space="preserve"> de conformidad con las disposiciones jurídicas aplicables.”</w:t>
      </w:r>
    </w:p>
    <w:p w14:paraId="68944C6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Del precepto citado se desprende que aquella información que se relacione con violaciones graves a derechos humanos, delitos de lesa humanidad o actos de corrupción, no puede actualizar alguno de los supuestos de clasificación como información reservada establecidos en el artículo 140 de la Ley de Transparencia y Acceso a la Información Pública del Estado de México y Municipios.</w:t>
      </w:r>
    </w:p>
    <w:p w14:paraId="1C451B9D" w14:textId="77777777" w:rsidR="00211D54" w:rsidRPr="00C56E9A" w:rsidRDefault="00031667">
      <w:pPr>
        <w:tabs>
          <w:tab w:val="left" w:pos="4962"/>
        </w:tabs>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Además,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2410EFC" w14:textId="77777777" w:rsidR="00211D54" w:rsidRPr="00C56E9A" w:rsidRDefault="00031667">
      <w:pPr>
        <w:tabs>
          <w:tab w:val="left" w:pos="4962"/>
        </w:tabs>
        <w:spacing w:before="240" w:after="240" w:line="360" w:lineRule="auto"/>
        <w:ind w:left="284"/>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I. La divulgación de la información representa un riesgo real, demostrable e identificable de perjuicio significativo al interés público o a la seguridad nacional.</w:t>
      </w:r>
    </w:p>
    <w:p w14:paraId="34E88ED2" w14:textId="77777777" w:rsidR="00211D54" w:rsidRPr="00C56E9A" w:rsidRDefault="00031667">
      <w:pPr>
        <w:tabs>
          <w:tab w:val="left" w:pos="4962"/>
        </w:tabs>
        <w:spacing w:before="240" w:after="240" w:line="360" w:lineRule="auto"/>
        <w:ind w:left="284"/>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II. El riesgo de perjuicio supera el interés público general de que se difunda.</w:t>
      </w:r>
    </w:p>
    <w:p w14:paraId="58BBEDBF" w14:textId="77777777" w:rsidR="00211D54" w:rsidRPr="00C56E9A" w:rsidRDefault="00031667">
      <w:pPr>
        <w:tabs>
          <w:tab w:val="left" w:pos="4962"/>
        </w:tabs>
        <w:spacing w:before="240" w:after="240" w:line="360" w:lineRule="auto"/>
        <w:ind w:left="284"/>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III. Que la limitación se adecua al principio de proporcionalidad y representa el medio menos restrictivo disponible para evitar el perjuicio.</w:t>
      </w:r>
    </w:p>
    <w:p w14:paraId="3C9CA1F6"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en materia de seguridad, así como aquella información relacionada con procedimientos administrativos en trámite o que no hayan quedado firmes,  y proporcionar su respectivo acuerdo de Clasificación.</w:t>
      </w:r>
    </w:p>
    <w:p w14:paraId="5FFE3195" w14:textId="77777777" w:rsidR="00211D54" w:rsidRPr="00C56E9A" w:rsidRDefault="00031667">
      <w:pPr>
        <w:spacing w:before="240" w:after="240" w:line="360" w:lineRule="auto"/>
        <w:ind w:right="-93"/>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Finalmente, 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para lo cual se deben observar los </w:t>
      </w:r>
    </w:p>
    <w:p w14:paraId="35C10B74" w14:textId="77777777" w:rsidR="00211D54" w:rsidRPr="00C56E9A" w:rsidRDefault="00031667">
      <w:pPr>
        <w:spacing w:before="240" w:after="240" w:line="360"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Lineamientos Segundo, fracción XVIII, y del Cuarto al Décimo Primero de los “Lineamientos Generales en materia de Clasificación y Desclasificación de la Información, así como para la elaboración de Versiones Públicas”, que literalmente expresan:</w:t>
      </w:r>
    </w:p>
    <w:p w14:paraId="49E13150"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Segundo.-</w:t>
      </w:r>
      <w:r w:rsidRPr="00C56E9A">
        <w:rPr>
          <w:rFonts w:ascii="Palatino Linotype" w:eastAsia="Palatino Linotype" w:hAnsi="Palatino Linotype" w:cs="Palatino Linotype"/>
          <w:i/>
          <w:iCs/>
          <w:sz w:val="22"/>
          <w:szCs w:val="22"/>
        </w:rPr>
        <w:t xml:space="preserve"> Para efectos de los presentes Lineamientos Generales, se entenderá por:</w:t>
      </w:r>
    </w:p>
    <w:p w14:paraId="5F2DB189"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XVIII.</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Versión pública:</w:t>
      </w:r>
      <w:r w:rsidRPr="00C56E9A">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C56E9A">
        <w:rPr>
          <w:rFonts w:ascii="Palatino Linotype" w:eastAsia="Palatino Linotype" w:hAnsi="Palatino Linotype" w:cs="Palatino Linotype"/>
          <w:b/>
          <w:bCs/>
          <w:i/>
          <w:iCs/>
          <w:sz w:val="22"/>
          <w:szCs w:val="22"/>
        </w:rPr>
        <w:t>fundando y motivando la</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reserva o confidencialidad</w:t>
      </w:r>
      <w:r w:rsidRPr="00C56E9A">
        <w:rPr>
          <w:rFonts w:ascii="Palatino Linotype" w:eastAsia="Palatino Linotype" w:hAnsi="Palatino Linotype" w:cs="Palatino Linotype"/>
          <w:i/>
          <w:iCs/>
          <w:sz w:val="22"/>
          <w:szCs w:val="22"/>
        </w:rPr>
        <w:t>, a través de la resolución que para tal efecto emita el Comité de Transparencia.</w:t>
      </w:r>
    </w:p>
    <w:p w14:paraId="7700CF0D"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w:t>
      </w:r>
    </w:p>
    <w:p w14:paraId="75141058"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Cuarto.</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Para clasificar la información como</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reservada o</w:t>
      </w:r>
      <w:r w:rsidRPr="00C56E9A">
        <w:rPr>
          <w:rFonts w:ascii="Palatino Linotype" w:eastAsia="Palatino Linotype" w:hAnsi="Palatino Linotype" w:cs="Palatino Linotype"/>
          <w:i/>
          <w:iCs/>
          <w:sz w:val="22"/>
          <w:szCs w:val="22"/>
        </w:rPr>
        <w:t xml:space="preserve"> </w:t>
      </w:r>
      <w:r w:rsidRPr="00C56E9A">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C56E9A">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C3EC18"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00450C65"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Quinto.</w:t>
      </w:r>
      <w:r w:rsidRPr="00C56E9A">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F93097"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Sexto.</w:t>
      </w:r>
      <w:r w:rsidRPr="00C56E9A">
        <w:rPr>
          <w:rFonts w:ascii="Palatino Linotype" w:eastAsia="Palatino Linotype" w:hAnsi="Palatino Linotype" w:cs="Palatino Linotype"/>
          <w:i/>
          <w:iCs/>
          <w:sz w:val="22"/>
          <w:szCs w:val="22"/>
        </w:rPr>
        <w:t xml:space="preserve"> Se deroga.</w:t>
      </w:r>
    </w:p>
    <w:p w14:paraId="39CA1003"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Séptimo.</w:t>
      </w:r>
      <w:r w:rsidRPr="00C56E9A">
        <w:rPr>
          <w:rFonts w:ascii="Palatino Linotype" w:eastAsia="Palatino Linotype" w:hAnsi="Palatino Linotype" w:cs="Palatino Linotype"/>
          <w:i/>
          <w:iCs/>
          <w:sz w:val="22"/>
          <w:szCs w:val="22"/>
        </w:rPr>
        <w:t xml:space="preserve"> La clasificación de la información se llevará a cabo en el momento en que:</w:t>
      </w:r>
    </w:p>
    <w:p w14:paraId="17D50E65"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Se reciba una solicitud de acceso a la información;</w:t>
      </w:r>
    </w:p>
    <w:p w14:paraId="63960138"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0CB9BAF5"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4C45F4E9"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C56E9A">
        <w:rPr>
          <w:rFonts w:ascii="Palatino Linotype" w:eastAsia="Palatino Linotype" w:hAnsi="Palatino Linotype" w:cs="Palatino Linotype"/>
          <w:sz w:val="22"/>
          <w:szCs w:val="22"/>
        </w:rPr>
        <w:t xml:space="preserve">, </w:t>
      </w:r>
      <w:r w:rsidRPr="00C56E9A">
        <w:rPr>
          <w:rFonts w:ascii="Palatino Linotype" w:eastAsia="Palatino Linotype" w:hAnsi="Palatino Linotype" w:cs="Palatino Linotype"/>
          <w:i/>
          <w:iCs/>
          <w:sz w:val="22"/>
          <w:szCs w:val="22"/>
        </w:rPr>
        <w:t>conforme a su naturaleza, si encuadra en una causal de reserva o de confidencialidad.</w:t>
      </w:r>
    </w:p>
    <w:p w14:paraId="32D1796B"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Octavo.</w:t>
      </w:r>
      <w:r w:rsidRPr="00C56E9A">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2BD17E"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11109D87"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577F3D9"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Noveno.</w:t>
      </w:r>
      <w:r w:rsidRPr="00C56E9A">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D2A154"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Décimo.</w:t>
      </w:r>
      <w:r w:rsidRPr="00C56E9A">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C83D0A9"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07E89F44" w14:textId="77777777" w:rsidR="00211D54" w:rsidRPr="00C56E9A" w:rsidRDefault="00031667">
      <w:pPr>
        <w:tabs>
          <w:tab w:val="left" w:pos="8222"/>
        </w:tabs>
        <w:spacing w:before="120" w:after="120"/>
        <w:ind w:left="851" w:right="1134"/>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Décimo primero.</w:t>
      </w:r>
      <w:r w:rsidRPr="00C56E9A">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232AC34" w14:textId="77777777" w:rsidR="00211D54" w:rsidRPr="00C56E9A" w:rsidRDefault="0003166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Respecto a las formalidades que deberá llevar el acuerdo de clasificación que deberá emitir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6D04F8B7"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 “Quincuagésimo. </w:t>
      </w:r>
      <w:r w:rsidRPr="00C56E9A">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2C67CAA"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Quincuagésimo primero. </w:t>
      </w:r>
      <w:r w:rsidRPr="00C56E9A">
        <w:rPr>
          <w:rFonts w:ascii="Palatino Linotype" w:eastAsia="Palatino Linotype" w:hAnsi="Palatino Linotype" w:cs="Palatino Linotype"/>
          <w:i/>
          <w:iCs/>
          <w:sz w:val="22"/>
          <w:szCs w:val="22"/>
        </w:rPr>
        <w:t xml:space="preserve">Toda acta del Comité de Transparencia deberá contener: </w:t>
      </w:r>
    </w:p>
    <w:p w14:paraId="43A98429"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El número de sesión y fecha; </w:t>
      </w:r>
    </w:p>
    <w:p w14:paraId="59400337"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El nombre del área que solicitó la clasificación de información; </w:t>
      </w:r>
    </w:p>
    <w:p w14:paraId="07C84B85"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La fundamentación legal y motivación correspondiente; </w:t>
      </w:r>
    </w:p>
    <w:p w14:paraId="2A05EE6E"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xml:space="preserve">. La resolución o resoluciones aprobadas; y </w:t>
      </w:r>
    </w:p>
    <w:p w14:paraId="4098C5E2"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V</w:t>
      </w:r>
      <w:r w:rsidRPr="00C56E9A">
        <w:rPr>
          <w:rFonts w:ascii="Palatino Linotype" w:eastAsia="Palatino Linotype" w:hAnsi="Palatino Linotype" w:cs="Palatino Linotype"/>
          <w:i/>
          <w:iCs/>
          <w:sz w:val="22"/>
          <w:szCs w:val="22"/>
        </w:rPr>
        <w:t xml:space="preserve">. La rúbrica o firma digital de cada integrante del Comité de Transparencia. </w:t>
      </w:r>
    </w:p>
    <w:p w14:paraId="3FEC335D"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37B3C77"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09CB9E97"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Descripción de las partes o secciones reservadas, en caso de clasificación parcial</w:t>
      </w:r>
      <w:r w:rsidRPr="00C56E9A">
        <w:rPr>
          <w:rFonts w:ascii="Palatino Linotype" w:eastAsia="Palatino Linotype" w:hAnsi="Palatino Linotype" w:cs="Palatino Linotype"/>
          <w:b/>
          <w:bCs/>
          <w:i/>
          <w:iCs/>
          <w:sz w:val="22"/>
          <w:szCs w:val="22"/>
        </w:rPr>
        <w:t xml:space="preserve">; </w:t>
      </w:r>
    </w:p>
    <w:p w14:paraId="638FB5E9"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El periodo por el que mantendrá su clasificación y fecha de expiración; y </w:t>
      </w:r>
    </w:p>
    <w:p w14:paraId="1B42882F"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IV.</w:t>
      </w:r>
      <w:r w:rsidRPr="00C56E9A">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626F3310"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F06CB4C" w14:textId="77777777" w:rsidR="00211D54" w:rsidRPr="00C56E9A" w:rsidRDefault="0003166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2B1FE53"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Quincuagésimo segundo</w:t>
      </w:r>
      <w:r w:rsidRPr="00C56E9A">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1767638"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En el caso especifico de la clasificación y elaboración de versiones públicas de documentos que contengan información confidencial, las áreas de los sujetos obligados deberán: </w:t>
      </w:r>
    </w:p>
    <w:p w14:paraId="58A2016F"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5A1DD6EA"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5CAB5CF"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Señalar las personas o instancias autorizadas a acceder a la información clasificada.</w:t>
      </w:r>
    </w:p>
    <w:p w14:paraId="0CADA822" w14:textId="77777777" w:rsidR="00211D54" w:rsidRPr="00C56E9A" w:rsidRDefault="00031667">
      <w:pPr>
        <w:spacing w:before="120" w:after="120"/>
        <w:ind w:left="851" w:right="900"/>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D17E356" w14:textId="77777777" w:rsidR="00211D54" w:rsidRPr="00C56E9A" w:rsidRDefault="00031667">
      <w:pPr>
        <w:spacing w:before="240" w:after="240" w:line="360" w:lineRule="auto"/>
        <w:ind w:right="50"/>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p>
    <w:p w14:paraId="187942EB" w14:textId="77777777" w:rsidR="00211D54" w:rsidRPr="00C56E9A" w:rsidRDefault="00031667">
      <w:pPr>
        <w:ind w:left="851" w:right="900"/>
        <w:jc w:val="center"/>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CAPÍTULO VIII</w:t>
      </w:r>
    </w:p>
    <w:p w14:paraId="7F0901C4" w14:textId="77777777" w:rsidR="00211D54" w:rsidRPr="00C56E9A" w:rsidRDefault="00031667">
      <w:pPr>
        <w:ind w:left="851" w:right="900"/>
        <w:jc w:val="center"/>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 xml:space="preserve">DE LOS ELEMENTOS PARA LA CLASIFICACIÓN </w:t>
      </w:r>
    </w:p>
    <w:p w14:paraId="1795B896" w14:textId="77777777" w:rsidR="00211D54" w:rsidRPr="00C56E9A" w:rsidRDefault="00031667">
      <w:pPr>
        <w:ind w:left="851" w:right="900"/>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w:t>
      </w:r>
    </w:p>
    <w:p w14:paraId="65D71A0C"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Quincuagésimo tercero. </w:t>
      </w:r>
      <w:r w:rsidRPr="00C56E9A">
        <w:rPr>
          <w:rFonts w:ascii="Palatino Linotype" w:eastAsia="Palatino Linotype" w:hAnsi="Palatino Linotype" w:cs="Palatino Linotype"/>
          <w:b/>
          <w:bCs/>
          <w:i/>
          <w:iCs/>
          <w:sz w:val="22"/>
          <w:szCs w:val="22"/>
          <w:u w:val="single"/>
        </w:rPr>
        <w:t>El formato para señalar la clasificación de un documento o expediente que contenga información reservada</w:t>
      </w:r>
      <w:r w:rsidRPr="00C56E9A">
        <w:rPr>
          <w:rFonts w:ascii="Palatino Linotype" w:eastAsia="Palatino Linotype" w:hAnsi="Palatino Linotype" w:cs="Palatino Linotype"/>
          <w:b/>
          <w:bCs/>
          <w:i/>
          <w:iCs/>
          <w:sz w:val="22"/>
          <w:szCs w:val="22"/>
        </w:rPr>
        <w:t xml:space="preserve">, </w:t>
      </w:r>
      <w:r w:rsidRPr="00C56E9A">
        <w:rPr>
          <w:rFonts w:ascii="Palatino Linotype" w:eastAsia="Palatino Linotype" w:hAnsi="Palatino Linotype" w:cs="Palatino Linotype"/>
          <w:i/>
          <w:iCs/>
          <w:sz w:val="22"/>
          <w:szCs w:val="22"/>
        </w:rPr>
        <w:t xml:space="preserve">es el siguiente: </w:t>
      </w:r>
    </w:p>
    <w:p w14:paraId="080F2A1C"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noProof/>
          <w:sz w:val="22"/>
          <w:szCs w:val="22"/>
        </w:rPr>
        <w:drawing>
          <wp:inline distT="0" distB="0" distL="0" distR="0" wp14:anchorId="5EC68DB6" wp14:editId="02377908">
            <wp:extent cx="4295775" cy="295275"/>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95731"/>
                    <a:stretch>
                      <a:fillRect/>
                    </a:stretch>
                  </pic:blipFill>
                  <pic:spPr>
                    <a:xfrm>
                      <a:off x="0" y="0"/>
                      <a:ext cx="4295775" cy="295275"/>
                    </a:xfrm>
                    <a:prstGeom prst="rect">
                      <a:avLst/>
                    </a:prstGeom>
                    <a:ln/>
                  </pic:spPr>
                </pic:pic>
              </a:graphicData>
            </a:graphic>
          </wp:inline>
        </w:drawing>
      </w:r>
    </w:p>
    <w:p w14:paraId="48CF2F4A"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noProof/>
          <w:sz w:val="22"/>
          <w:szCs w:val="22"/>
        </w:rPr>
        <w:drawing>
          <wp:inline distT="0" distB="0" distL="0" distR="0" wp14:anchorId="252AC954" wp14:editId="757A4F71">
            <wp:extent cx="4333875" cy="2962710"/>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30909" b="26194"/>
                    <a:stretch>
                      <a:fillRect/>
                    </a:stretch>
                  </pic:blipFill>
                  <pic:spPr>
                    <a:xfrm>
                      <a:off x="0" y="0"/>
                      <a:ext cx="4333875" cy="2962710"/>
                    </a:xfrm>
                    <a:prstGeom prst="rect">
                      <a:avLst/>
                    </a:prstGeom>
                    <a:ln/>
                  </pic:spPr>
                </pic:pic>
              </a:graphicData>
            </a:graphic>
          </wp:inline>
        </w:drawing>
      </w:r>
    </w:p>
    <w:p w14:paraId="4F560FC9"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noProof/>
          <w:sz w:val="22"/>
          <w:szCs w:val="22"/>
        </w:rPr>
        <w:drawing>
          <wp:inline distT="0" distB="0" distL="0" distR="0" wp14:anchorId="70468E2B" wp14:editId="5DC90C05">
            <wp:extent cx="4333875" cy="1696539"/>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73668" b="1767"/>
                    <a:stretch>
                      <a:fillRect/>
                    </a:stretch>
                  </pic:blipFill>
                  <pic:spPr>
                    <a:xfrm>
                      <a:off x="0" y="0"/>
                      <a:ext cx="4333875" cy="1696539"/>
                    </a:xfrm>
                    <a:prstGeom prst="rect">
                      <a:avLst/>
                    </a:prstGeom>
                    <a:ln/>
                  </pic:spPr>
                </pic:pic>
              </a:graphicData>
            </a:graphic>
          </wp:inline>
        </w:drawing>
      </w:r>
    </w:p>
    <w:p w14:paraId="33A86D0F" w14:textId="77777777" w:rsidR="00211D54" w:rsidRPr="00C56E9A" w:rsidRDefault="00211D54">
      <w:pPr>
        <w:spacing w:before="120" w:after="120"/>
        <w:ind w:left="851" w:right="902"/>
        <w:jc w:val="both"/>
        <w:rPr>
          <w:rFonts w:ascii="Palatino Linotype" w:eastAsia="Palatino Linotype" w:hAnsi="Palatino Linotype" w:cs="Palatino Linotype"/>
          <w:b/>
          <w:bCs/>
          <w:i/>
          <w:iCs/>
          <w:sz w:val="22"/>
          <w:szCs w:val="22"/>
        </w:rPr>
      </w:pPr>
    </w:p>
    <w:p w14:paraId="5F6CA686"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Los documentos que integren un expediente reservado en su totalidad no deberán marcarse en lo individual.</w:t>
      </w:r>
    </w:p>
    <w:p w14:paraId="663D46D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Una vez desclasificados los expedientes, si existieren documentos que tuvieran el carácter de reservados deberán permanecer o ser marcados.”</w:t>
      </w:r>
    </w:p>
    <w:p w14:paraId="57D43A24"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03C75737" w14:textId="77777777" w:rsidR="00211D54" w:rsidRPr="00C56E9A" w:rsidRDefault="00031667">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i/>
          <w:iCs/>
          <w:sz w:val="22"/>
          <w:szCs w:val="22"/>
        </w:rPr>
        <w:t>“</w:t>
      </w:r>
      <w:r w:rsidRPr="00C56E9A">
        <w:rPr>
          <w:rFonts w:ascii="Palatino Linotype" w:eastAsia="Palatino Linotype" w:hAnsi="Palatino Linotype" w:cs="Palatino Linotype"/>
          <w:b/>
          <w:bCs/>
          <w:i/>
          <w:iCs/>
          <w:sz w:val="22"/>
          <w:szCs w:val="22"/>
        </w:rPr>
        <w:t xml:space="preserve">Quincuagésimo cuarto. </w:t>
      </w:r>
      <w:r w:rsidRPr="00C56E9A">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56E9A">
        <w:rPr>
          <w:rFonts w:ascii="Palatino Linotype" w:eastAsia="Palatino Linotype" w:hAnsi="Palatino Linotype" w:cs="Palatino Linotype"/>
          <w:b/>
          <w:bCs/>
          <w:i/>
          <w:iCs/>
          <w:sz w:val="22"/>
          <w:szCs w:val="22"/>
        </w:rPr>
        <w:t xml:space="preserve"> </w:t>
      </w:r>
    </w:p>
    <w:p w14:paraId="11698E2F"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 xml:space="preserve">Quincuagésimo quinto. </w:t>
      </w:r>
      <w:r w:rsidRPr="00C56E9A">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805334" w14:textId="77777777" w:rsidR="00211D54" w:rsidRPr="00C56E9A" w:rsidRDefault="00031667">
      <w:pPr>
        <w:spacing w:before="120" w:after="120"/>
        <w:ind w:left="851" w:right="902"/>
        <w:jc w:val="both"/>
        <w:rPr>
          <w:rFonts w:ascii="Palatino Linotype" w:eastAsia="Palatino Linotype" w:hAnsi="Palatino Linotype" w:cs="Palatino Linotype"/>
          <w:b/>
          <w:bCs/>
          <w:i/>
          <w:iCs/>
          <w:sz w:val="22"/>
          <w:szCs w:val="22"/>
        </w:rPr>
      </w:pPr>
      <w:r w:rsidRPr="00C56E9A">
        <w:rPr>
          <w:rFonts w:ascii="Palatino Linotype" w:eastAsia="Palatino Linotype" w:hAnsi="Palatino Linotype" w:cs="Palatino Linotype"/>
          <w:b/>
          <w:bCs/>
          <w:i/>
          <w:iCs/>
          <w:sz w:val="22"/>
          <w:szCs w:val="22"/>
        </w:rPr>
        <w:t>...</w:t>
      </w:r>
    </w:p>
    <w:p w14:paraId="6B04B938"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Quincuagésimo séptimo</w:t>
      </w:r>
      <w:r w:rsidRPr="00C56E9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F42968D"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w:t>
      </w:r>
      <w:r w:rsidRPr="00C56E9A">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89666C8"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w:t>
      </w:r>
      <w:r w:rsidRPr="00C56E9A">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CF1CC0B"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III</w:t>
      </w:r>
      <w:r w:rsidRPr="00C56E9A">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32D7D1D"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1325A771" w14:textId="77777777" w:rsidR="00211D54" w:rsidRPr="00C56E9A" w:rsidRDefault="00031667">
      <w:pPr>
        <w:spacing w:before="120" w:after="120"/>
        <w:ind w:left="851" w:right="902"/>
        <w:jc w:val="both"/>
        <w:rPr>
          <w:rFonts w:ascii="Palatino Linotype" w:eastAsia="Palatino Linotype" w:hAnsi="Palatino Linotype" w:cs="Palatino Linotype"/>
          <w:i/>
          <w:iCs/>
          <w:sz w:val="22"/>
          <w:szCs w:val="22"/>
        </w:rPr>
      </w:pPr>
      <w:r w:rsidRPr="00C56E9A">
        <w:rPr>
          <w:rFonts w:ascii="Palatino Linotype" w:eastAsia="Palatino Linotype" w:hAnsi="Palatino Linotype" w:cs="Palatino Linotype"/>
          <w:b/>
          <w:bCs/>
          <w:i/>
          <w:iCs/>
          <w:sz w:val="22"/>
          <w:szCs w:val="22"/>
        </w:rPr>
        <w:t>Quincuagésimo octavo</w:t>
      </w:r>
      <w:r w:rsidRPr="00C56E9A">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6954EBA"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48FA03A5" w14:textId="77777777" w:rsidR="00211D54" w:rsidRPr="00C56E9A" w:rsidRDefault="00031667">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C56E9A">
        <w:rPr>
          <w:rFonts w:ascii="Palatino Linotype" w:eastAsia="Palatino Linotype" w:hAnsi="Palatino Linotype" w:cs="Palatino Linotype"/>
          <w:b/>
          <w:bCs/>
          <w:sz w:val="22"/>
          <w:szCs w:val="22"/>
        </w:rPr>
        <w:t>III. R E S U E L V E</w:t>
      </w:r>
    </w:p>
    <w:p w14:paraId="3A6AB51F"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C56E9A">
        <w:rPr>
          <w:rFonts w:ascii="Palatino Linotype" w:eastAsia="Palatino Linotype" w:hAnsi="Palatino Linotype" w:cs="Palatino Linotype"/>
          <w:b/>
          <w:bCs/>
          <w:sz w:val="22"/>
          <w:szCs w:val="22"/>
        </w:rPr>
        <w:t xml:space="preserve">Primero. </w:t>
      </w:r>
      <w:r w:rsidRPr="00C56E9A">
        <w:rPr>
          <w:rFonts w:ascii="Palatino Linotype" w:eastAsia="Palatino Linotype" w:hAnsi="Palatino Linotype" w:cs="Palatino Linotype"/>
          <w:sz w:val="22"/>
          <w:szCs w:val="22"/>
        </w:rPr>
        <w:t>Resultan</w:t>
      </w:r>
      <w:r w:rsidRPr="00C56E9A">
        <w:rPr>
          <w:rFonts w:ascii="Palatino Linotype" w:eastAsia="Palatino Linotype" w:hAnsi="Palatino Linotype" w:cs="Palatino Linotype"/>
          <w:b/>
          <w:bCs/>
          <w:sz w:val="22"/>
          <w:szCs w:val="22"/>
        </w:rPr>
        <w:t xml:space="preserve"> fundadas</w:t>
      </w:r>
      <w:r w:rsidRPr="00C56E9A">
        <w:rPr>
          <w:rFonts w:ascii="Palatino Linotype" w:eastAsia="Palatino Linotype" w:hAnsi="Palatino Linotype" w:cs="Palatino Linotype"/>
          <w:sz w:val="22"/>
          <w:szCs w:val="22"/>
        </w:rPr>
        <w:t xml:space="preserve"> las razones o motivos de inconformidad hechos valer por la parte</w:t>
      </w:r>
      <w:r w:rsidRPr="00C56E9A">
        <w:rPr>
          <w:rFonts w:ascii="Palatino Linotype" w:eastAsia="Palatino Linotype" w:hAnsi="Palatino Linotype" w:cs="Palatino Linotype"/>
          <w:b/>
          <w:bCs/>
          <w:sz w:val="22"/>
          <w:szCs w:val="22"/>
        </w:rPr>
        <w:t xml:space="preserve"> Recurrente</w:t>
      </w:r>
      <w:r w:rsidRPr="00C56E9A">
        <w:rPr>
          <w:rFonts w:ascii="Palatino Linotype" w:eastAsia="Palatino Linotype" w:hAnsi="Palatino Linotype" w:cs="Palatino Linotype"/>
          <w:sz w:val="22"/>
          <w:szCs w:val="22"/>
        </w:rPr>
        <w:t xml:space="preserve"> en el recurso de revisión </w:t>
      </w:r>
      <w:r w:rsidRPr="00C56E9A">
        <w:rPr>
          <w:rFonts w:ascii="Palatino Linotype" w:eastAsia="Palatino Linotype" w:hAnsi="Palatino Linotype" w:cs="Palatino Linotype"/>
          <w:b/>
          <w:bCs/>
          <w:sz w:val="22"/>
          <w:szCs w:val="22"/>
        </w:rPr>
        <w:t>14629/INFOEM/IP/RR/2025</w:t>
      </w:r>
      <w:r w:rsidRPr="00C56E9A">
        <w:rPr>
          <w:rFonts w:ascii="Palatino Linotype" w:eastAsia="Palatino Linotype" w:hAnsi="Palatino Linotype" w:cs="Palatino Linotype"/>
          <w:sz w:val="22"/>
          <w:szCs w:val="22"/>
        </w:rPr>
        <w:t xml:space="preserve">; por lo que, en términos del </w:t>
      </w:r>
      <w:r w:rsidRPr="00C56E9A">
        <w:rPr>
          <w:rFonts w:ascii="Palatino Linotype" w:eastAsia="Palatino Linotype" w:hAnsi="Palatino Linotype" w:cs="Palatino Linotype"/>
          <w:b/>
          <w:bCs/>
          <w:sz w:val="22"/>
          <w:szCs w:val="22"/>
        </w:rPr>
        <w:t>Considerando</w:t>
      </w:r>
      <w:r w:rsidRPr="00C56E9A">
        <w:rPr>
          <w:rFonts w:ascii="Palatino Linotype" w:eastAsia="Palatino Linotype" w:hAnsi="Palatino Linotype" w:cs="Palatino Linotype"/>
          <w:sz w:val="22"/>
          <w:szCs w:val="22"/>
        </w:rPr>
        <w:t xml:space="preserve"> </w:t>
      </w:r>
      <w:r w:rsidRPr="00C56E9A">
        <w:rPr>
          <w:rFonts w:ascii="Palatino Linotype" w:eastAsia="Palatino Linotype" w:hAnsi="Palatino Linotype" w:cs="Palatino Linotype"/>
          <w:b/>
          <w:bCs/>
          <w:sz w:val="22"/>
          <w:szCs w:val="22"/>
        </w:rPr>
        <w:t xml:space="preserve">Cuarto </w:t>
      </w:r>
      <w:r w:rsidRPr="00C56E9A">
        <w:rPr>
          <w:rFonts w:ascii="Palatino Linotype" w:eastAsia="Palatino Linotype" w:hAnsi="Palatino Linotype" w:cs="Palatino Linotype"/>
          <w:sz w:val="22"/>
          <w:szCs w:val="22"/>
        </w:rPr>
        <w:t xml:space="preserve">de esta resolución, se </w:t>
      </w:r>
      <w:r w:rsidRPr="00C56E9A">
        <w:rPr>
          <w:rFonts w:ascii="Palatino Linotype" w:eastAsia="Palatino Linotype" w:hAnsi="Palatino Linotype" w:cs="Palatino Linotype"/>
          <w:b/>
          <w:bCs/>
          <w:sz w:val="22"/>
          <w:szCs w:val="22"/>
        </w:rPr>
        <w:t xml:space="preserve">Modifica </w:t>
      </w:r>
      <w:r w:rsidRPr="00C56E9A">
        <w:rPr>
          <w:rFonts w:ascii="Palatino Linotype" w:eastAsia="Palatino Linotype" w:hAnsi="Palatino Linotype" w:cs="Palatino Linotype"/>
          <w:sz w:val="22"/>
          <w:szCs w:val="22"/>
        </w:rPr>
        <w:t xml:space="preserve">la respuesta emitida por el </w:t>
      </w:r>
      <w:r w:rsidRPr="00C56E9A">
        <w:rPr>
          <w:rFonts w:ascii="Palatino Linotype" w:eastAsia="Palatino Linotype" w:hAnsi="Palatino Linotype" w:cs="Palatino Linotype"/>
          <w:b/>
          <w:bCs/>
          <w:sz w:val="22"/>
          <w:szCs w:val="22"/>
        </w:rPr>
        <w:t xml:space="preserve">Sujeto Obligado. </w:t>
      </w:r>
    </w:p>
    <w:p w14:paraId="2AB33A7C"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Segundo. </w:t>
      </w:r>
      <w:r w:rsidRPr="00C56E9A">
        <w:rPr>
          <w:rFonts w:ascii="Palatino Linotype" w:eastAsia="Palatino Linotype" w:hAnsi="Palatino Linotype" w:cs="Palatino Linotype"/>
          <w:sz w:val="22"/>
          <w:szCs w:val="22"/>
        </w:rPr>
        <w:t xml:space="preserve">Se </w:t>
      </w:r>
      <w:r w:rsidRPr="00C56E9A">
        <w:rPr>
          <w:rFonts w:ascii="Palatino Linotype" w:eastAsia="Palatino Linotype" w:hAnsi="Palatino Linotype" w:cs="Palatino Linotype"/>
          <w:b/>
          <w:bCs/>
          <w:sz w:val="22"/>
          <w:szCs w:val="22"/>
        </w:rPr>
        <w:t>Ordena</w:t>
      </w:r>
      <w:r w:rsidRPr="00C56E9A">
        <w:rPr>
          <w:rFonts w:ascii="Palatino Linotype" w:eastAsia="Palatino Linotype" w:hAnsi="Palatino Linotype" w:cs="Palatino Linotype"/>
          <w:sz w:val="22"/>
          <w:szCs w:val="22"/>
        </w:rPr>
        <w:t xml:space="preserve"> al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en términos de los Considerandos </w:t>
      </w:r>
      <w:r w:rsidRPr="00C56E9A">
        <w:rPr>
          <w:rFonts w:ascii="Palatino Linotype" w:eastAsia="Palatino Linotype" w:hAnsi="Palatino Linotype" w:cs="Palatino Linotype"/>
          <w:b/>
          <w:bCs/>
          <w:sz w:val="22"/>
          <w:szCs w:val="22"/>
        </w:rPr>
        <w:t xml:space="preserve">Cuarto </w:t>
      </w:r>
      <w:r w:rsidRPr="00C56E9A">
        <w:rPr>
          <w:rFonts w:ascii="Palatino Linotype" w:eastAsia="Palatino Linotype" w:hAnsi="Palatino Linotype" w:cs="Palatino Linotype"/>
          <w:sz w:val="22"/>
          <w:szCs w:val="22"/>
        </w:rPr>
        <w:t xml:space="preserve">y </w:t>
      </w:r>
      <w:r w:rsidRPr="00C56E9A">
        <w:rPr>
          <w:rFonts w:ascii="Palatino Linotype" w:eastAsia="Palatino Linotype" w:hAnsi="Palatino Linotype" w:cs="Palatino Linotype"/>
          <w:b/>
          <w:bCs/>
          <w:sz w:val="22"/>
          <w:szCs w:val="22"/>
        </w:rPr>
        <w:t xml:space="preserve">Quinto </w:t>
      </w:r>
      <w:r w:rsidRPr="00C56E9A">
        <w:rPr>
          <w:rFonts w:ascii="Palatino Linotype" w:eastAsia="Palatino Linotype" w:hAnsi="Palatino Linotype" w:cs="Palatino Linotype"/>
          <w:sz w:val="22"/>
          <w:szCs w:val="22"/>
        </w:rPr>
        <w:t xml:space="preserve">de esta resolución, haga entrega, vía </w:t>
      </w:r>
      <w:r w:rsidRPr="00C56E9A">
        <w:rPr>
          <w:rFonts w:ascii="Palatino Linotype" w:eastAsia="Palatino Linotype" w:hAnsi="Palatino Linotype" w:cs="Palatino Linotype"/>
          <w:b/>
          <w:bCs/>
          <w:sz w:val="22"/>
          <w:szCs w:val="22"/>
        </w:rPr>
        <w:t>SAIMEX</w:t>
      </w:r>
      <w:r w:rsidRPr="00C56E9A">
        <w:rPr>
          <w:rFonts w:ascii="Palatino Linotype" w:eastAsia="Palatino Linotype" w:hAnsi="Palatino Linotype" w:cs="Palatino Linotype"/>
          <w:sz w:val="22"/>
          <w:szCs w:val="22"/>
        </w:rPr>
        <w:t>, en versión pública de ser procedente, de lo siguiente:</w:t>
      </w:r>
    </w:p>
    <w:p w14:paraId="38D760D1" w14:textId="77777777" w:rsidR="00211D54" w:rsidRPr="00C56E9A" w:rsidRDefault="00031667">
      <w:pPr>
        <w:spacing w:before="240" w:after="240" w:line="360" w:lineRule="auto"/>
        <w:ind w:left="142" w:right="49"/>
        <w:jc w:val="both"/>
        <w:rPr>
          <w:rFonts w:ascii="Palatino Linotype" w:eastAsia="Palatino Linotype" w:hAnsi="Palatino Linotype" w:cs="Palatino Linotype"/>
        </w:rPr>
      </w:pPr>
      <w:r w:rsidRPr="00C56E9A">
        <w:rPr>
          <w:rFonts w:ascii="Palatino Linotype" w:eastAsia="Palatino Linotype" w:hAnsi="Palatino Linotype" w:cs="Palatino Linotype"/>
          <w:sz w:val="22"/>
          <w:szCs w:val="22"/>
        </w:rPr>
        <w:t xml:space="preserve">1. </w:t>
      </w:r>
      <w:r w:rsidRPr="00C56E9A">
        <w:rPr>
          <w:rFonts w:ascii="Palatino Linotype" w:eastAsia="Palatino Linotype" w:hAnsi="Palatino Linotype" w:cs="Palatino Linotype"/>
        </w:rPr>
        <w:t>Oficios recibidos con sus anexos, entregados en respuesta en los que se testó información, en versión pública correcta.</w:t>
      </w:r>
    </w:p>
    <w:p w14:paraId="39AA0D7D" w14:textId="77777777" w:rsidR="00211D54" w:rsidRPr="00C56E9A" w:rsidRDefault="00031667">
      <w:pPr>
        <w:spacing w:before="240" w:after="240" w:line="360" w:lineRule="auto"/>
        <w:ind w:left="142" w:right="49"/>
        <w:jc w:val="both"/>
        <w:rPr>
          <w:rFonts w:ascii="Palatino Linotype" w:eastAsia="Palatino Linotype" w:hAnsi="Palatino Linotype" w:cs="Palatino Linotype"/>
        </w:rPr>
      </w:pPr>
      <w:bookmarkStart w:id="10" w:name="_heading=h.qs6dz7abp5q8" w:colFirst="0" w:colLast="0"/>
      <w:bookmarkEnd w:id="10"/>
      <w:r w:rsidRPr="00C56E9A">
        <w:rPr>
          <w:rFonts w:ascii="Palatino Linotype" w:eastAsia="Palatino Linotype" w:hAnsi="Palatino Linotype" w:cs="Palatino Linotype"/>
        </w:rPr>
        <w:t>2. Oficios recibidos por la Primera Síndico del uno al seis de noviembre de dos mil veinticinco, y sus anexos.</w:t>
      </w:r>
    </w:p>
    <w:p w14:paraId="4BD44CE6" w14:textId="77777777" w:rsidR="00211D54" w:rsidRPr="00C56E9A" w:rsidRDefault="00031667">
      <w:pPr>
        <w:spacing w:before="240" w:after="240"/>
        <w:ind w:left="142" w:right="49"/>
        <w:jc w:val="both"/>
        <w:rPr>
          <w:rFonts w:ascii="Palatino Linotype" w:eastAsia="Palatino Linotype" w:hAnsi="Palatino Linotype" w:cs="Palatino Linotype"/>
          <w:i/>
          <w:iCs/>
          <w:sz w:val="20"/>
          <w:szCs w:val="20"/>
        </w:rPr>
      </w:pPr>
      <w:r w:rsidRPr="00C56E9A">
        <w:rPr>
          <w:rFonts w:ascii="Palatino Linotype" w:eastAsia="Palatino Linotype" w:hAnsi="Palatino Linotype" w:cs="Palatino Linotype"/>
          <w:i/>
          <w:iCs/>
          <w:sz w:val="20"/>
          <w:szCs w:val="2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 la parte </w:t>
      </w:r>
      <w:r w:rsidRPr="00C56E9A">
        <w:rPr>
          <w:rFonts w:ascii="Palatino Linotype" w:eastAsia="Palatino Linotype" w:hAnsi="Palatino Linotype" w:cs="Palatino Linotype"/>
          <w:b/>
          <w:bCs/>
          <w:i/>
          <w:iCs/>
          <w:sz w:val="20"/>
          <w:szCs w:val="20"/>
        </w:rPr>
        <w:t>Recurrente</w:t>
      </w:r>
      <w:r w:rsidRPr="00C56E9A">
        <w:rPr>
          <w:rFonts w:ascii="Palatino Linotype" w:eastAsia="Palatino Linotype" w:hAnsi="Palatino Linotype" w:cs="Palatino Linotype"/>
          <w:i/>
          <w:iCs/>
          <w:sz w:val="20"/>
          <w:szCs w:val="20"/>
        </w:rPr>
        <w:t>.</w:t>
      </w:r>
    </w:p>
    <w:p w14:paraId="2A970140" w14:textId="77777777" w:rsidR="00211D54" w:rsidRPr="00C56E9A" w:rsidRDefault="00031667">
      <w:pPr>
        <w:spacing w:before="120" w:after="120"/>
        <w:ind w:left="142"/>
        <w:jc w:val="both"/>
        <w:rPr>
          <w:rFonts w:ascii="Palatino Linotype" w:eastAsia="Palatino Linotype" w:hAnsi="Palatino Linotype" w:cs="Palatino Linotype"/>
          <w:i/>
          <w:iCs/>
          <w:sz w:val="20"/>
          <w:szCs w:val="20"/>
        </w:rPr>
      </w:pPr>
      <w:r w:rsidRPr="00C56E9A">
        <w:rPr>
          <w:rFonts w:ascii="Palatino Linotype" w:eastAsia="Palatino Linotype" w:hAnsi="Palatino Linotype" w:cs="Palatino Linotype"/>
          <w:i/>
          <w:iCs/>
          <w:sz w:val="20"/>
          <w:szCs w:val="20"/>
        </w:rPr>
        <w:t xml:space="preserve">Para el caso de que la información que se ordena entregar en el </w:t>
      </w:r>
      <w:r w:rsidRPr="00C56E9A">
        <w:rPr>
          <w:rFonts w:ascii="Palatino Linotype" w:eastAsia="Palatino Linotype" w:hAnsi="Palatino Linotype" w:cs="Palatino Linotype"/>
          <w:b/>
          <w:bCs/>
          <w:i/>
          <w:iCs/>
          <w:sz w:val="20"/>
          <w:szCs w:val="20"/>
        </w:rPr>
        <w:t>punto 2</w:t>
      </w:r>
      <w:r w:rsidRPr="00C56E9A">
        <w:rPr>
          <w:rFonts w:ascii="Palatino Linotype" w:eastAsia="Palatino Linotype" w:hAnsi="Palatino Linotype" w:cs="Palatino Linotype"/>
          <w:i/>
          <w:iCs/>
          <w:sz w:val="20"/>
          <w:szCs w:val="20"/>
        </w:rPr>
        <w:t xml:space="preserve"> no obre en los archivos del </w:t>
      </w:r>
      <w:r w:rsidRPr="00C56E9A">
        <w:rPr>
          <w:rFonts w:ascii="Palatino Linotype" w:eastAsia="Palatino Linotype" w:hAnsi="Palatino Linotype" w:cs="Palatino Linotype"/>
          <w:b/>
          <w:bCs/>
          <w:i/>
          <w:iCs/>
          <w:sz w:val="20"/>
          <w:szCs w:val="20"/>
        </w:rPr>
        <w:t>Sujeto Obligado</w:t>
      </w:r>
      <w:r w:rsidRPr="00C56E9A">
        <w:rPr>
          <w:rFonts w:ascii="Palatino Linotype" w:eastAsia="Palatino Linotype" w:hAnsi="Palatino Linotype" w:cs="Palatino Linotype"/>
          <w:i/>
          <w:iCs/>
          <w:sz w:val="20"/>
          <w:szCs w:val="20"/>
        </w:rPr>
        <w:t xml:space="preserve">, por no haberse generado,m poseído o administrado, deberá hacerlo del conocimiento de la parte </w:t>
      </w:r>
      <w:r w:rsidRPr="00C56E9A">
        <w:rPr>
          <w:rFonts w:ascii="Palatino Linotype" w:eastAsia="Palatino Linotype" w:hAnsi="Palatino Linotype" w:cs="Palatino Linotype"/>
          <w:b/>
          <w:bCs/>
          <w:i/>
          <w:iCs/>
          <w:sz w:val="20"/>
          <w:szCs w:val="20"/>
        </w:rPr>
        <w:t>Recurrente</w:t>
      </w:r>
      <w:r w:rsidRPr="00C56E9A">
        <w:rPr>
          <w:rFonts w:ascii="Palatino Linotype" w:eastAsia="Palatino Linotype" w:hAnsi="Palatino Linotype" w:cs="Palatino Linotype"/>
          <w:i/>
          <w:iCs/>
          <w:sz w:val="20"/>
          <w:szCs w:val="20"/>
        </w:rPr>
        <w:t xml:space="preserve"> en términos del artículo 19, párrafo segundo, de la Ley de Transparencia y Acceso a la Información Pública del Estado de México y Municipios, para tener por colmado dicho requerimiento. </w:t>
      </w:r>
    </w:p>
    <w:p w14:paraId="7E17CB17"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Tercero. Notifíquese, </w:t>
      </w:r>
      <w:r w:rsidRPr="00C56E9A">
        <w:rPr>
          <w:rFonts w:ascii="Palatino Linotype" w:eastAsia="Palatino Linotype" w:hAnsi="Palatino Linotype" w:cs="Palatino Linotype"/>
          <w:sz w:val="22"/>
          <w:szCs w:val="22"/>
        </w:rPr>
        <w:t xml:space="preserve">vía </w:t>
      </w:r>
      <w:r w:rsidRPr="00C56E9A">
        <w:rPr>
          <w:rFonts w:ascii="Palatino Linotype" w:eastAsia="Palatino Linotype" w:hAnsi="Palatino Linotype" w:cs="Palatino Linotype"/>
          <w:b/>
          <w:bCs/>
          <w:sz w:val="22"/>
          <w:szCs w:val="22"/>
        </w:rPr>
        <w:t>SAIMEX</w:t>
      </w:r>
      <w:r w:rsidRPr="00C56E9A">
        <w:rPr>
          <w:rFonts w:ascii="Palatino Linotype" w:eastAsia="Palatino Linotype" w:hAnsi="Palatino Linotype" w:cs="Palatino Linotype"/>
          <w:sz w:val="22"/>
          <w:szCs w:val="22"/>
        </w:rPr>
        <w:t xml:space="preserve">, al Titular de la Unidad de Transparencia del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D71F33"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56E9A">
        <w:rPr>
          <w:rFonts w:ascii="Palatino Linotype" w:eastAsia="Palatino Linotype" w:hAnsi="Palatino Linotype" w:cs="Palatino Linotype"/>
          <w:b/>
          <w:bCs/>
          <w:sz w:val="22"/>
          <w:szCs w:val="22"/>
        </w:rPr>
        <w:t>Sujeto Obligado</w:t>
      </w:r>
      <w:r w:rsidRPr="00C56E9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4D4CC74" w14:textId="77777777" w:rsidR="00211D54" w:rsidRPr="00C56E9A" w:rsidRDefault="00031667">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sidRPr="00C56E9A">
        <w:rPr>
          <w:rFonts w:ascii="Palatino Linotype" w:eastAsia="Palatino Linotype" w:hAnsi="Palatino Linotype" w:cs="Palatino Linotype"/>
          <w:b/>
          <w:bCs/>
          <w:sz w:val="22"/>
          <w:szCs w:val="22"/>
        </w:rPr>
        <w:t xml:space="preserve">Cuarto.  Notifíquese, </w:t>
      </w:r>
      <w:r w:rsidRPr="00C56E9A">
        <w:rPr>
          <w:rFonts w:ascii="Palatino Linotype" w:eastAsia="Palatino Linotype" w:hAnsi="Palatino Linotype" w:cs="Palatino Linotype"/>
          <w:sz w:val="22"/>
          <w:szCs w:val="22"/>
        </w:rPr>
        <w:t xml:space="preserve">vía </w:t>
      </w:r>
      <w:r w:rsidRPr="00C56E9A">
        <w:rPr>
          <w:rFonts w:ascii="Palatino Linotype" w:eastAsia="Palatino Linotype" w:hAnsi="Palatino Linotype" w:cs="Palatino Linotype"/>
          <w:b/>
          <w:bCs/>
          <w:sz w:val="22"/>
          <w:szCs w:val="22"/>
        </w:rPr>
        <w:t>SAIMEX</w:t>
      </w:r>
      <w:r w:rsidRPr="00C56E9A">
        <w:rPr>
          <w:rFonts w:ascii="Palatino Linotype" w:eastAsia="Palatino Linotype" w:hAnsi="Palatino Linotype" w:cs="Palatino Linotype"/>
          <w:sz w:val="22"/>
          <w:szCs w:val="22"/>
        </w:rPr>
        <w:t xml:space="preserve">, a la parte </w:t>
      </w:r>
      <w:r w:rsidRPr="00C56E9A">
        <w:rPr>
          <w:rFonts w:ascii="Palatino Linotype" w:eastAsia="Palatino Linotype" w:hAnsi="Palatino Linotype" w:cs="Palatino Linotype"/>
          <w:b/>
          <w:bCs/>
          <w:sz w:val="22"/>
          <w:szCs w:val="22"/>
        </w:rPr>
        <w:t>Recurrente</w:t>
      </w:r>
      <w:r w:rsidRPr="00C56E9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2B471C1" w14:textId="77777777" w:rsidR="00211D54" w:rsidRPr="00C56E9A" w:rsidRDefault="00031667">
      <w:pPr>
        <w:widowControl w:val="0"/>
        <w:tabs>
          <w:tab w:val="left" w:pos="1701"/>
        </w:tabs>
        <w:spacing w:before="240" w:after="240" w:line="348" w:lineRule="auto"/>
        <w:ind w:right="49"/>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b/>
          <w:bCs/>
          <w:sz w:val="22"/>
          <w:szCs w:val="22"/>
        </w:rPr>
        <w:t xml:space="preserve">Quinto. Gírese </w:t>
      </w:r>
      <w:r w:rsidRPr="00C56E9A">
        <w:rPr>
          <w:rFonts w:ascii="Palatino Linotype" w:eastAsia="Palatino Linotype" w:hAnsi="Palatino Linotype" w:cs="Palatino Linotype"/>
          <w:sz w:val="22"/>
          <w:szCs w:val="22"/>
        </w:rPr>
        <w:t>oficio</w:t>
      </w:r>
      <w:r w:rsidRPr="00C56E9A">
        <w:rPr>
          <w:rFonts w:ascii="Palatino Linotype" w:eastAsia="Palatino Linotype" w:hAnsi="Palatino Linotype" w:cs="Palatino Linotype"/>
          <w:b/>
          <w:bCs/>
          <w:sz w:val="22"/>
          <w:szCs w:val="22"/>
        </w:rPr>
        <w:t xml:space="preserve"> </w:t>
      </w:r>
      <w:r w:rsidRPr="00C56E9A">
        <w:rPr>
          <w:rFonts w:ascii="Palatino Linotype" w:eastAsia="Palatino Linotype" w:hAnsi="Palatino Linotype" w:cs="Palatino Linotype"/>
          <w:sz w:val="22"/>
          <w:szCs w:val="22"/>
        </w:rPr>
        <w:t xml:space="preserve">a la </w:t>
      </w:r>
      <w:r w:rsidRPr="00C56E9A">
        <w:rPr>
          <w:rFonts w:ascii="Palatino Linotype" w:eastAsia="Palatino Linotype" w:hAnsi="Palatino Linotype" w:cs="Palatino Linotype"/>
          <w:b/>
          <w:bCs/>
          <w:sz w:val="22"/>
          <w:szCs w:val="22"/>
        </w:rPr>
        <w:t>Dirección General de Protección de Datos Personales</w:t>
      </w:r>
      <w:r w:rsidRPr="00C56E9A">
        <w:rPr>
          <w:rFonts w:ascii="Palatino Linotype" w:eastAsia="Palatino Linotype" w:hAnsi="Palatino Linotype" w:cs="Palatino Linotype"/>
          <w:sz w:val="22"/>
          <w:szCs w:val="22"/>
        </w:rPr>
        <w:t xml:space="preserve"> en atención al artículo 82, fracción XXVII de la Ley de Protección de Datos Personales del Estado de México y Municipios, a fin de que determine lo conducente en términos del </w:t>
      </w:r>
      <w:r w:rsidRPr="00C56E9A">
        <w:rPr>
          <w:rFonts w:ascii="Palatino Linotype" w:eastAsia="Palatino Linotype" w:hAnsi="Palatino Linotype" w:cs="Palatino Linotype"/>
          <w:b/>
          <w:bCs/>
          <w:sz w:val="22"/>
          <w:szCs w:val="22"/>
        </w:rPr>
        <w:t>Considerando</w:t>
      </w:r>
      <w:r w:rsidRPr="00C56E9A">
        <w:rPr>
          <w:rFonts w:ascii="Palatino Linotype" w:eastAsia="Palatino Linotype" w:hAnsi="Palatino Linotype" w:cs="Palatino Linotype"/>
          <w:sz w:val="22"/>
          <w:szCs w:val="22"/>
        </w:rPr>
        <w:t xml:space="preserve"> </w:t>
      </w:r>
      <w:r w:rsidRPr="00C56E9A">
        <w:rPr>
          <w:rFonts w:ascii="Palatino Linotype" w:eastAsia="Palatino Linotype" w:hAnsi="Palatino Linotype" w:cs="Palatino Linotype"/>
          <w:b/>
          <w:bCs/>
          <w:sz w:val="22"/>
          <w:szCs w:val="22"/>
        </w:rPr>
        <w:t xml:space="preserve">Cuarto </w:t>
      </w:r>
      <w:r w:rsidRPr="00C56E9A">
        <w:rPr>
          <w:rFonts w:ascii="Palatino Linotype" w:eastAsia="Palatino Linotype" w:hAnsi="Palatino Linotype" w:cs="Palatino Linotype"/>
          <w:sz w:val="22"/>
          <w:szCs w:val="22"/>
        </w:rPr>
        <w:t>de la presente resolución.</w:t>
      </w:r>
    </w:p>
    <w:p w14:paraId="6F7CDD5D" w14:textId="6374B095" w:rsidR="00211D54" w:rsidRPr="00031667" w:rsidRDefault="00031667">
      <w:pPr>
        <w:tabs>
          <w:tab w:val="left" w:pos="8647"/>
        </w:tabs>
        <w:spacing w:before="240" w:after="240" w:line="360" w:lineRule="auto"/>
        <w:ind w:right="51"/>
        <w:jc w:val="both"/>
        <w:rPr>
          <w:rFonts w:ascii="Palatino Linotype" w:eastAsia="Palatino Linotype" w:hAnsi="Palatino Linotype" w:cs="Palatino Linotype"/>
          <w:sz w:val="22"/>
          <w:szCs w:val="22"/>
        </w:rPr>
      </w:pPr>
      <w:r w:rsidRPr="00C56E9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SEXTA SESIÓN ORDINARIA CELEBRADA EL DIECIOCHO DE FEBRERO DE DOS MIL VEINTISÉIS, ANTE EL SECRETARIO TÉCNICO DEL PLENO ALEXIS TAPIA RAMÍREZ.</w:t>
      </w:r>
    </w:p>
    <w:p w14:paraId="24453A57"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0EDBD155" w14:textId="77777777" w:rsidR="00211D54" w:rsidRPr="00031667" w:rsidRDefault="00211D54">
      <w:pPr>
        <w:spacing w:line="360" w:lineRule="auto"/>
        <w:jc w:val="center"/>
        <w:rPr>
          <w:rFonts w:ascii="Palatino Linotype" w:eastAsia="Palatino Linotype" w:hAnsi="Palatino Linotype" w:cs="Palatino Linotype"/>
          <w:sz w:val="22"/>
          <w:szCs w:val="22"/>
        </w:rPr>
      </w:pPr>
    </w:p>
    <w:p w14:paraId="21FA666C"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1E380E16"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67811517"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5E130EE9" w14:textId="3F3E1EC7" w:rsidR="00211D54" w:rsidRPr="00031667" w:rsidRDefault="00211D54">
      <w:pPr>
        <w:spacing w:line="360" w:lineRule="auto"/>
        <w:jc w:val="both"/>
        <w:rPr>
          <w:rFonts w:ascii="Palatino Linotype" w:eastAsia="Palatino Linotype" w:hAnsi="Palatino Linotype" w:cs="Palatino Linotype"/>
          <w:sz w:val="22"/>
          <w:szCs w:val="22"/>
        </w:rPr>
      </w:pPr>
    </w:p>
    <w:p w14:paraId="4D2F7DAD" w14:textId="31F53755" w:rsidR="00031667" w:rsidRPr="00031667" w:rsidRDefault="00031667">
      <w:pPr>
        <w:spacing w:line="360" w:lineRule="auto"/>
        <w:jc w:val="both"/>
        <w:rPr>
          <w:rFonts w:ascii="Palatino Linotype" w:eastAsia="Palatino Linotype" w:hAnsi="Palatino Linotype" w:cs="Palatino Linotype"/>
          <w:sz w:val="22"/>
          <w:szCs w:val="22"/>
        </w:rPr>
      </w:pPr>
    </w:p>
    <w:p w14:paraId="2758776C" w14:textId="07EA1EEA" w:rsidR="00031667" w:rsidRPr="00031667" w:rsidRDefault="00031667">
      <w:pPr>
        <w:spacing w:line="360" w:lineRule="auto"/>
        <w:jc w:val="both"/>
        <w:rPr>
          <w:rFonts w:ascii="Palatino Linotype" w:eastAsia="Palatino Linotype" w:hAnsi="Palatino Linotype" w:cs="Palatino Linotype"/>
          <w:sz w:val="22"/>
          <w:szCs w:val="22"/>
        </w:rPr>
      </w:pPr>
    </w:p>
    <w:p w14:paraId="3BB09EB8" w14:textId="01C5DD07" w:rsidR="00031667" w:rsidRPr="00031667" w:rsidRDefault="00031667">
      <w:pPr>
        <w:spacing w:line="360" w:lineRule="auto"/>
        <w:jc w:val="both"/>
        <w:rPr>
          <w:rFonts w:ascii="Palatino Linotype" w:eastAsia="Palatino Linotype" w:hAnsi="Palatino Linotype" w:cs="Palatino Linotype"/>
          <w:sz w:val="22"/>
          <w:szCs w:val="22"/>
        </w:rPr>
      </w:pPr>
    </w:p>
    <w:p w14:paraId="1EBD0367" w14:textId="54384030" w:rsidR="00031667" w:rsidRPr="00031667" w:rsidRDefault="00031667">
      <w:pPr>
        <w:spacing w:line="360" w:lineRule="auto"/>
        <w:jc w:val="both"/>
        <w:rPr>
          <w:rFonts w:ascii="Palatino Linotype" w:eastAsia="Palatino Linotype" w:hAnsi="Palatino Linotype" w:cs="Palatino Linotype"/>
          <w:sz w:val="22"/>
          <w:szCs w:val="22"/>
        </w:rPr>
      </w:pPr>
    </w:p>
    <w:p w14:paraId="0D036402" w14:textId="562049C9" w:rsidR="00031667" w:rsidRPr="00031667" w:rsidRDefault="00031667">
      <w:pPr>
        <w:spacing w:line="360" w:lineRule="auto"/>
        <w:jc w:val="both"/>
        <w:rPr>
          <w:rFonts w:ascii="Palatino Linotype" w:eastAsia="Palatino Linotype" w:hAnsi="Palatino Linotype" w:cs="Palatino Linotype"/>
          <w:sz w:val="22"/>
          <w:szCs w:val="22"/>
        </w:rPr>
      </w:pPr>
    </w:p>
    <w:p w14:paraId="2FBB928A" w14:textId="49F18EE6" w:rsidR="00031667" w:rsidRPr="00031667" w:rsidRDefault="00031667">
      <w:pPr>
        <w:spacing w:line="360" w:lineRule="auto"/>
        <w:jc w:val="both"/>
        <w:rPr>
          <w:rFonts w:ascii="Palatino Linotype" w:eastAsia="Palatino Linotype" w:hAnsi="Palatino Linotype" w:cs="Palatino Linotype"/>
          <w:sz w:val="22"/>
          <w:szCs w:val="22"/>
        </w:rPr>
      </w:pPr>
    </w:p>
    <w:p w14:paraId="5303F46E" w14:textId="59C508DC" w:rsidR="00031667" w:rsidRPr="00031667" w:rsidRDefault="00031667">
      <w:pPr>
        <w:spacing w:line="360" w:lineRule="auto"/>
        <w:jc w:val="both"/>
        <w:rPr>
          <w:rFonts w:ascii="Palatino Linotype" w:eastAsia="Palatino Linotype" w:hAnsi="Palatino Linotype" w:cs="Palatino Linotype"/>
          <w:sz w:val="22"/>
          <w:szCs w:val="22"/>
        </w:rPr>
      </w:pPr>
    </w:p>
    <w:p w14:paraId="76F1C526" w14:textId="34252BDB" w:rsidR="00031667" w:rsidRPr="00031667" w:rsidRDefault="00031667">
      <w:pPr>
        <w:spacing w:line="360" w:lineRule="auto"/>
        <w:jc w:val="both"/>
        <w:rPr>
          <w:rFonts w:ascii="Palatino Linotype" w:eastAsia="Palatino Linotype" w:hAnsi="Palatino Linotype" w:cs="Palatino Linotype"/>
          <w:sz w:val="22"/>
          <w:szCs w:val="22"/>
        </w:rPr>
      </w:pPr>
    </w:p>
    <w:p w14:paraId="11103D83" w14:textId="371492F9" w:rsidR="00031667" w:rsidRPr="00031667" w:rsidRDefault="00031667">
      <w:pPr>
        <w:spacing w:line="360" w:lineRule="auto"/>
        <w:jc w:val="both"/>
        <w:rPr>
          <w:rFonts w:ascii="Palatino Linotype" w:eastAsia="Palatino Linotype" w:hAnsi="Palatino Linotype" w:cs="Palatino Linotype"/>
          <w:sz w:val="22"/>
          <w:szCs w:val="22"/>
        </w:rPr>
      </w:pPr>
    </w:p>
    <w:p w14:paraId="2B571FC4" w14:textId="486A7CB7" w:rsidR="00031667" w:rsidRPr="00031667" w:rsidRDefault="00031667">
      <w:pPr>
        <w:spacing w:line="360" w:lineRule="auto"/>
        <w:jc w:val="both"/>
        <w:rPr>
          <w:rFonts w:ascii="Palatino Linotype" w:eastAsia="Palatino Linotype" w:hAnsi="Palatino Linotype" w:cs="Palatino Linotype"/>
          <w:sz w:val="22"/>
          <w:szCs w:val="22"/>
        </w:rPr>
      </w:pPr>
    </w:p>
    <w:p w14:paraId="383F6281" w14:textId="72B2C986" w:rsidR="00031667" w:rsidRPr="00031667" w:rsidRDefault="00031667">
      <w:pPr>
        <w:spacing w:line="360" w:lineRule="auto"/>
        <w:jc w:val="both"/>
        <w:rPr>
          <w:rFonts w:ascii="Palatino Linotype" w:eastAsia="Palatino Linotype" w:hAnsi="Palatino Linotype" w:cs="Palatino Linotype"/>
          <w:sz w:val="22"/>
          <w:szCs w:val="22"/>
        </w:rPr>
      </w:pPr>
    </w:p>
    <w:p w14:paraId="4FEA11A4" w14:textId="61B39313" w:rsidR="00031667" w:rsidRPr="00031667" w:rsidRDefault="00031667">
      <w:pPr>
        <w:spacing w:line="360" w:lineRule="auto"/>
        <w:jc w:val="both"/>
        <w:rPr>
          <w:rFonts w:ascii="Palatino Linotype" w:eastAsia="Palatino Linotype" w:hAnsi="Palatino Linotype" w:cs="Palatino Linotype"/>
          <w:sz w:val="22"/>
          <w:szCs w:val="22"/>
        </w:rPr>
      </w:pPr>
    </w:p>
    <w:p w14:paraId="411E1938" w14:textId="3ABA409A" w:rsidR="00031667" w:rsidRPr="00031667" w:rsidRDefault="00031667">
      <w:pPr>
        <w:spacing w:line="360" w:lineRule="auto"/>
        <w:jc w:val="both"/>
        <w:rPr>
          <w:rFonts w:ascii="Palatino Linotype" w:eastAsia="Palatino Linotype" w:hAnsi="Palatino Linotype" w:cs="Palatino Linotype"/>
          <w:sz w:val="22"/>
          <w:szCs w:val="22"/>
        </w:rPr>
      </w:pPr>
    </w:p>
    <w:p w14:paraId="164D23D2" w14:textId="2863FAE5" w:rsidR="00031667" w:rsidRPr="00031667" w:rsidRDefault="00031667">
      <w:pPr>
        <w:spacing w:line="360" w:lineRule="auto"/>
        <w:jc w:val="both"/>
        <w:rPr>
          <w:rFonts w:ascii="Palatino Linotype" w:eastAsia="Palatino Linotype" w:hAnsi="Palatino Linotype" w:cs="Palatino Linotype"/>
          <w:sz w:val="22"/>
          <w:szCs w:val="22"/>
        </w:rPr>
      </w:pPr>
    </w:p>
    <w:p w14:paraId="1E9CE13C" w14:textId="03797D90" w:rsidR="00031667" w:rsidRPr="00031667" w:rsidRDefault="00031667">
      <w:pPr>
        <w:spacing w:line="360" w:lineRule="auto"/>
        <w:jc w:val="both"/>
        <w:rPr>
          <w:rFonts w:ascii="Palatino Linotype" w:eastAsia="Palatino Linotype" w:hAnsi="Palatino Linotype" w:cs="Palatino Linotype"/>
          <w:sz w:val="22"/>
          <w:szCs w:val="22"/>
        </w:rPr>
      </w:pPr>
    </w:p>
    <w:p w14:paraId="66D2AAB8" w14:textId="3AEC3188" w:rsidR="00031667" w:rsidRPr="00031667" w:rsidRDefault="00031667">
      <w:pPr>
        <w:spacing w:line="360" w:lineRule="auto"/>
        <w:jc w:val="both"/>
        <w:rPr>
          <w:rFonts w:ascii="Palatino Linotype" w:eastAsia="Palatino Linotype" w:hAnsi="Palatino Linotype" w:cs="Palatino Linotype"/>
          <w:sz w:val="22"/>
          <w:szCs w:val="22"/>
        </w:rPr>
      </w:pPr>
    </w:p>
    <w:p w14:paraId="1234FC56" w14:textId="15C11F20" w:rsidR="00031667" w:rsidRPr="00031667" w:rsidRDefault="00031667">
      <w:pPr>
        <w:spacing w:line="360" w:lineRule="auto"/>
        <w:jc w:val="both"/>
        <w:rPr>
          <w:rFonts w:ascii="Palatino Linotype" w:eastAsia="Palatino Linotype" w:hAnsi="Palatino Linotype" w:cs="Palatino Linotype"/>
          <w:sz w:val="22"/>
          <w:szCs w:val="22"/>
        </w:rPr>
      </w:pPr>
    </w:p>
    <w:p w14:paraId="2CD3C4BA" w14:textId="532ECC97" w:rsidR="00031667" w:rsidRPr="00031667" w:rsidRDefault="00031667">
      <w:pPr>
        <w:spacing w:line="360" w:lineRule="auto"/>
        <w:jc w:val="both"/>
        <w:rPr>
          <w:rFonts w:ascii="Palatino Linotype" w:eastAsia="Palatino Linotype" w:hAnsi="Palatino Linotype" w:cs="Palatino Linotype"/>
          <w:sz w:val="22"/>
          <w:szCs w:val="22"/>
        </w:rPr>
      </w:pPr>
    </w:p>
    <w:p w14:paraId="456B9F76" w14:textId="4CD14D34" w:rsidR="00031667" w:rsidRPr="00031667" w:rsidRDefault="00031667">
      <w:pPr>
        <w:spacing w:line="360" w:lineRule="auto"/>
        <w:jc w:val="both"/>
        <w:rPr>
          <w:rFonts w:ascii="Palatino Linotype" w:eastAsia="Palatino Linotype" w:hAnsi="Palatino Linotype" w:cs="Palatino Linotype"/>
          <w:sz w:val="22"/>
          <w:szCs w:val="22"/>
        </w:rPr>
      </w:pPr>
    </w:p>
    <w:p w14:paraId="148BADD8" w14:textId="77777777" w:rsidR="00031667" w:rsidRPr="00031667" w:rsidRDefault="00031667">
      <w:pPr>
        <w:spacing w:line="360" w:lineRule="auto"/>
        <w:jc w:val="both"/>
        <w:rPr>
          <w:rFonts w:ascii="Palatino Linotype" w:eastAsia="Palatino Linotype" w:hAnsi="Palatino Linotype" w:cs="Palatino Linotype"/>
          <w:sz w:val="22"/>
          <w:szCs w:val="22"/>
        </w:rPr>
      </w:pPr>
    </w:p>
    <w:p w14:paraId="1C2FEEA4"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75E2D5ED"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1A35E8D3"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2131A6B8"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08D59FF0"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06656B6B"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7BD6A84E"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7503C0A1"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2C01C9EA"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5BABDF5C"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6BA4C5F4"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2B4B134F"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7A30864D"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329D388D"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548F475F"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17B1F2A9" w14:textId="77777777" w:rsidR="00211D54" w:rsidRPr="00031667" w:rsidRDefault="00211D54">
      <w:pPr>
        <w:spacing w:line="360" w:lineRule="auto"/>
        <w:jc w:val="both"/>
        <w:rPr>
          <w:rFonts w:ascii="Palatino Linotype" w:eastAsia="Palatino Linotype" w:hAnsi="Palatino Linotype" w:cs="Palatino Linotype"/>
          <w:sz w:val="22"/>
          <w:szCs w:val="22"/>
        </w:rPr>
      </w:pPr>
    </w:p>
    <w:p w14:paraId="20B70D7F" w14:textId="77777777" w:rsidR="00211D54" w:rsidRPr="00031667" w:rsidRDefault="00211D54">
      <w:pPr>
        <w:spacing w:line="360" w:lineRule="auto"/>
        <w:jc w:val="both"/>
        <w:rPr>
          <w:rFonts w:ascii="Palatino Linotype" w:eastAsia="Palatino Linotype" w:hAnsi="Palatino Linotype" w:cs="Palatino Linotype"/>
          <w:sz w:val="22"/>
          <w:szCs w:val="22"/>
        </w:rPr>
      </w:pPr>
    </w:p>
    <w:sectPr w:rsidR="00211D54" w:rsidRPr="0003166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1D4B9" w14:textId="77777777" w:rsidR="00ED0CA2" w:rsidRDefault="00ED0CA2">
      <w:r>
        <w:separator/>
      </w:r>
    </w:p>
  </w:endnote>
  <w:endnote w:type="continuationSeparator" w:id="0">
    <w:p w14:paraId="4A9DD651" w14:textId="77777777" w:rsidR="00ED0CA2" w:rsidRDefault="00ED0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8A38CD4D-E87A-4521-B519-ED54D4703E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BD3E48B-1D24-48B1-89F4-0805D6A3C2CF}"/>
    <w:embedBold r:id="rId3" w:fontKey="{7C722945-B57A-44DA-A1E1-E8476B82D58A}"/>
  </w:font>
  <w:font w:name="Cambria">
    <w:panose1 w:val="02040503050406030204"/>
    <w:charset w:val="00"/>
    <w:family w:val="roman"/>
    <w:pitch w:val="variable"/>
    <w:sig w:usb0="E00006FF" w:usb1="420024FF" w:usb2="02000000" w:usb3="00000000" w:csb0="0000019F" w:csb1="00000000"/>
    <w:embedRegular r:id="rId4" w:fontKey="{B42DB3CC-5F86-4BD6-9C5D-89AB220B90C2}"/>
    <w:embedBold r:id="rId5" w:fontKey="{59A1B622-20F7-4285-B2D6-0643663EF1A8}"/>
    <w:embedBoldItalic r:id="rId6" w:fontKey="{1F874482-2BD3-48F2-949F-08C9460D348B}"/>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FA6A63F-C77C-4B0E-8E2D-9924631D153E}"/>
  </w:font>
  <w:font w:name="Georgia">
    <w:panose1 w:val="02040502050405020303"/>
    <w:charset w:val="00"/>
    <w:family w:val="roman"/>
    <w:pitch w:val="variable"/>
    <w:sig w:usb0="00000287" w:usb1="00000000" w:usb2="00000000" w:usb3="00000000" w:csb0="0000009F" w:csb1="00000000"/>
    <w:embedItalic r:id="rId8" w:fontKey="{8734B351-F078-40E4-9C91-8FD7B9FB3B72}"/>
  </w:font>
  <w:font w:name="Palatino Linotype">
    <w:panose1 w:val="02040502050505030304"/>
    <w:charset w:val="00"/>
    <w:family w:val="roman"/>
    <w:pitch w:val="variable"/>
    <w:sig w:usb0="E0000287" w:usb1="40000013" w:usb2="00000000" w:usb3="00000000" w:csb0="0000019F" w:csb1="00000000"/>
    <w:embedRegular r:id="rId9" w:fontKey="{5D93483F-CB15-468C-91F8-8E5913D9CBE3}"/>
    <w:embedBold r:id="rId10" w:fontKey="{7027F482-0648-4A04-8E3A-55A703831128}"/>
    <w:embedItalic r:id="rId11" w:fontKey="{1660566D-C4E0-4727-BC58-7D6D360A9EEA}"/>
    <w:embedBoldItalic r:id="rId12" w:fontKey="{10A26121-A1D1-43E9-B456-B23EB8B549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01797" w14:textId="6296422F" w:rsidR="00211D54" w:rsidRDefault="000316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00A10">
      <w:rPr>
        <w:rFonts w:ascii="Palatino Linotype" w:eastAsia="Palatino Linotype" w:hAnsi="Palatino Linotype" w:cs="Palatino Linotype"/>
        <w:b/>
        <w:bCs/>
        <w:noProof/>
        <w:color w:val="000000"/>
        <w:sz w:val="20"/>
        <w:szCs w:val="20"/>
      </w:rPr>
      <w:t>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00A10">
      <w:rPr>
        <w:rFonts w:ascii="Palatino Linotype" w:eastAsia="Palatino Linotype" w:hAnsi="Palatino Linotype" w:cs="Palatino Linotype"/>
        <w:b/>
        <w:bCs/>
        <w:noProof/>
        <w:color w:val="000000"/>
        <w:sz w:val="20"/>
        <w:szCs w:val="20"/>
      </w:rPr>
      <w:t>48</w:t>
    </w:r>
    <w:r>
      <w:rPr>
        <w:rFonts w:ascii="Palatino Linotype" w:eastAsia="Palatino Linotype" w:hAnsi="Palatino Linotype" w:cs="Palatino Linotype"/>
        <w:b/>
        <w:bCs/>
        <w:color w:val="000000"/>
        <w:sz w:val="20"/>
        <w:szCs w:val="20"/>
      </w:rPr>
      <w:fldChar w:fldCharType="end"/>
    </w:r>
  </w:p>
  <w:p w14:paraId="7665CE93" w14:textId="77777777" w:rsidR="00211D54" w:rsidRDefault="00211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E3F8" w14:textId="7A459106" w:rsidR="00211D54" w:rsidRDefault="000316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600A10">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600A10">
      <w:rPr>
        <w:rFonts w:ascii="Palatino Linotype" w:eastAsia="Palatino Linotype" w:hAnsi="Palatino Linotype" w:cs="Palatino Linotype"/>
        <w:b/>
        <w:bCs/>
        <w:noProof/>
        <w:color w:val="000000"/>
        <w:sz w:val="20"/>
        <w:szCs w:val="20"/>
      </w:rPr>
      <w:t>48</w:t>
    </w:r>
    <w:r>
      <w:rPr>
        <w:rFonts w:ascii="Palatino Linotype" w:eastAsia="Palatino Linotype" w:hAnsi="Palatino Linotype" w:cs="Palatino Linotype"/>
        <w:b/>
        <w:bCs/>
        <w:color w:val="000000"/>
        <w:sz w:val="20"/>
        <w:szCs w:val="20"/>
      </w:rPr>
      <w:fldChar w:fldCharType="end"/>
    </w:r>
  </w:p>
  <w:p w14:paraId="2E0165A8" w14:textId="77777777" w:rsidR="00211D54" w:rsidRDefault="00211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8E2D0" w14:textId="77777777" w:rsidR="00ED0CA2" w:rsidRDefault="00ED0CA2">
      <w:r>
        <w:separator/>
      </w:r>
    </w:p>
  </w:footnote>
  <w:footnote w:type="continuationSeparator" w:id="0">
    <w:p w14:paraId="68EE42DA" w14:textId="77777777" w:rsidR="00ED0CA2" w:rsidRDefault="00ED0CA2">
      <w:r>
        <w:continuationSeparator/>
      </w:r>
    </w:p>
  </w:footnote>
  <w:footnote w:id="1">
    <w:p w14:paraId="0E1B2DEE" w14:textId="77777777" w:rsidR="00211D54" w:rsidRDefault="0003166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56909" w14:textId="77777777" w:rsidR="00211D54" w:rsidRDefault="00031667">
    <w:pPr>
      <w:rPr>
        <w:rFonts w:ascii="Cambria" w:eastAsia="Cambria" w:hAnsi="Cambria" w:cs="Cambria"/>
        <w:color w:val="000000"/>
      </w:rPr>
    </w:pPr>
    <w:r>
      <w:rPr>
        <w:noProof/>
      </w:rPr>
      <w:drawing>
        <wp:anchor distT="0" distB="0" distL="0" distR="0" simplePos="0" relativeHeight="251658240" behindDoc="1" locked="0" layoutInCell="1" hidden="0" allowOverlap="1" wp14:anchorId="429360AF" wp14:editId="2AF0E807">
          <wp:simplePos x="0" y="0"/>
          <wp:positionH relativeFrom="column">
            <wp:posOffset>-1080090</wp:posOffset>
          </wp:positionH>
          <wp:positionV relativeFrom="paragraph">
            <wp:posOffset>-488261</wp:posOffset>
          </wp:positionV>
          <wp:extent cx="7809865" cy="10165715"/>
          <wp:effectExtent l="0" t="0" r="0" b="0"/>
          <wp:wrapNone/>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211D54" w14:paraId="493D7039" w14:textId="77777777">
      <w:tc>
        <w:tcPr>
          <w:tcW w:w="2489" w:type="dxa"/>
        </w:tcPr>
        <w:p w14:paraId="566B46B9" w14:textId="77777777" w:rsidR="00211D54" w:rsidRDefault="0003166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C8519D8" w14:textId="77777777" w:rsidR="00211D54" w:rsidRDefault="0003166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14629/INFOEM/IP/RR/2025</w:t>
          </w:r>
        </w:p>
      </w:tc>
    </w:tr>
    <w:tr w:rsidR="00211D54" w14:paraId="0412DE87" w14:textId="77777777">
      <w:trPr>
        <w:trHeight w:val="228"/>
      </w:trPr>
      <w:tc>
        <w:tcPr>
          <w:tcW w:w="2489" w:type="dxa"/>
          <w:vAlign w:val="center"/>
        </w:tcPr>
        <w:p w14:paraId="5507252E" w14:textId="77777777" w:rsidR="00211D54" w:rsidRDefault="0003166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E2A33D3" w14:textId="77777777" w:rsidR="00211D54" w:rsidRDefault="0003166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211D54" w14:paraId="13D6CFD9" w14:textId="77777777">
      <w:tc>
        <w:tcPr>
          <w:tcW w:w="2489" w:type="dxa"/>
          <w:vAlign w:val="center"/>
        </w:tcPr>
        <w:p w14:paraId="62EF8F59" w14:textId="77777777" w:rsidR="00211D54" w:rsidRDefault="0003166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1B5B2CEA" w14:textId="77777777" w:rsidR="00211D54" w:rsidRDefault="0003166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2F06C35" w14:textId="77777777" w:rsidR="00211D54" w:rsidRDefault="0003166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A7417" w14:textId="77777777" w:rsidR="00211D54" w:rsidRDefault="0003166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7020ED6" wp14:editId="25000DB9">
          <wp:simplePos x="0" y="0"/>
          <wp:positionH relativeFrom="column">
            <wp:posOffset>-1080132</wp:posOffset>
          </wp:positionH>
          <wp:positionV relativeFrom="paragraph">
            <wp:posOffset>-369891</wp:posOffset>
          </wp:positionV>
          <wp:extent cx="7809865" cy="10165715"/>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211D54" w14:paraId="58ECBEB3" w14:textId="77777777">
      <w:tc>
        <w:tcPr>
          <w:tcW w:w="2489" w:type="dxa"/>
        </w:tcPr>
        <w:p w14:paraId="758494AE" w14:textId="77777777" w:rsidR="00211D54" w:rsidRDefault="0003166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7A48E100" w14:textId="77777777" w:rsidR="00211D54" w:rsidRDefault="0003166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14629/INFOEM/IP/RR/2025</w:t>
          </w:r>
        </w:p>
      </w:tc>
    </w:tr>
    <w:tr w:rsidR="00211D54" w14:paraId="18B63B91" w14:textId="77777777">
      <w:tc>
        <w:tcPr>
          <w:tcW w:w="2489" w:type="dxa"/>
        </w:tcPr>
        <w:p w14:paraId="0D5CC30E" w14:textId="77777777" w:rsidR="00211D54" w:rsidRDefault="0003166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3AB3A463" w14:textId="77777777" w:rsidR="00211D54" w:rsidRDefault="00211D54">
          <w:pPr>
            <w:ind w:right="175"/>
            <w:jc w:val="both"/>
            <w:rPr>
              <w:rFonts w:ascii="Palatino Linotype" w:eastAsia="Palatino Linotype" w:hAnsi="Palatino Linotype" w:cs="Palatino Linotype"/>
              <w:b/>
              <w:bCs/>
              <w:sz w:val="22"/>
              <w:szCs w:val="22"/>
              <w:highlight w:val="yellow"/>
            </w:rPr>
          </w:pPr>
        </w:p>
      </w:tc>
    </w:tr>
    <w:tr w:rsidR="00211D54" w14:paraId="56B50851" w14:textId="77777777">
      <w:trPr>
        <w:trHeight w:val="228"/>
      </w:trPr>
      <w:tc>
        <w:tcPr>
          <w:tcW w:w="2489" w:type="dxa"/>
          <w:vAlign w:val="center"/>
        </w:tcPr>
        <w:p w14:paraId="2217D5BC" w14:textId="77777777" w:rsidR="00211D54" w:rsidRDefault="0003166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76F5FA6" w14:textId="77777777" w:rsidR="00211D54" w:rsidRDefault="00031667">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211D54" w14:paraId="2BD27660" w14:textId="77777777">
      <w:tc>
        <w:tcPr>
          <w:tcW w:w="2489" w:type="dxa"/>
          <w:vAlign w:val="center"/>
        </w:tcPr>
        <w:p w14:paraId="7A0D0149" w14:textId="77777777" w:rsidR="00211D54" w:rsidRDefault="0003166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5FF74301" w14:textId="77777777" w:rsidR="00211D54" w:rsidRDefault="0003166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41401C3" w14:textId="77777777" w:rsidR="00211D54" w:rsidRDefault="00211D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3F0900"/>
    <w:multiLevelType w:val="multilevel"/>
    <w:tmpl w:val="E01C4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407546"/>
    <w:multiLevelType w:val="multilevel"/>
    <w:tmpl w:val="A0962DC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D54"/>
    <w:rsid w:val="00031667"/>
    <w:rsid w:val="00211D54"/>
    <w:rsid w:val="00600A10"/>
    <w:rsid w:val="00A64EE8"/>
    <w:rsid w:val="00C56E9A"/>
    <w:rsid w:val="00ED0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D2654"/>
  <w15:docId w15:val="{A1505B8C-7E8E-4A6F-89ED-35658972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sUcvaQoFdAgcu/SLM6e4HVlYA==">CgMxLjAyCWguM3JkY3JqbjIOaC5kYWozajJ4bzZxNjYyCGguZ2pkZ3hzMgloLjNkeTZ2a20yCWguMzBqMHpsbDIJaC4yczhleW8xMghoLnR5amN3dDIJaC4yZXQ5MnAwMgloLjI2aW4xcmcyDmgucXM2ZHo3YWJwNXE4MgloLjE3ZHA4dnU4AHIhMTJjZ1RYT1ZFRFZReUQ0N1V3SzhLdG5VMDZvdGNYRHgx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06FBDA-4CC6-487C-B979-24FFBDFF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13415</Words>
  <Characters>73785</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2026-02-20T19:28:00Z</cp:lastPrinted>
  <dcterms:created xsi:type="dcterms:W3CDTF">2026-04-06T20:56:00Z</dcterms:created>
  <dcterms:modified xsi:type="dcterms:W3CDTF">2026-04-06T20:56:00Z</dcterms:modified>
</cp:coreProperties>
</file>