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BCDA2" w14:textId="77777777" w:rsidR="00B62C8D" w:rsidRPr="00317CCD"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r w:rsidRPr="00317CCD">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F462EA" w:rsidRPr="00317CCD">
        <w:rPr>
          <w:rFonts w:ascii="Palatino Linotype" w:eastAsia="Palatino Linotype" w:hAnsi="Palatino Linotype" w:cs="Palatino Linotype"/>
          <w:color w:val="000000"/>
          <w:sz w:val="24"/>
          <w:szCs w:val="24"/>
        </w:rPr>
        <w:t>once</w:t>
      </w:r>
      <w:r w:rsidR="004723DA" w:rsidRPr="00317CCD">
        <w:rPr>
          <w:rFonts w:ascii="Palatino Linotype" w:eastAsia="Palatino Linotype" w:hAnsi="Palatino Linotype" w:cs="Palatino Linotype"/>
          <w:color w:val="000000"/>
          <w:sz w:val="24"/>
          <w:szCs w:val="24"/>
        </w:rPr>
        <w:t xml:space="preserve"> de marzo</w:t>
      </w:r>
      <w:r w:rsidRPr="00317CCD">
        <w:rPr>
          <w:rFonts w:ascii="Palatino Linotype" w:eastAsia="Palatino Linotype" w:hAnsi="Palatino Linotype" w:cs="Palatino Linotype"/>
          <w:color w:val="000000"/>
          <w:sz w:val="24"/>
          <w:szCs w:val="24"/>
        </w:rPr>
        <w:t xml:space="preserve"> de dos mil veintiséis.</w:t>
      </w:r>
    </w:p>
    <w:p w14:paraId="200CA289" w14:textId="77777777" w:rsidR="00B62C8D" w:rsidRPr="00317CCD" w:rsidRDefault="00B62C8D" w:rsidP="00B62C8D">
      <w:pPr>
        <w:shd w:val="clear" w:color="auto" w:fill="FFFFFF"/>
        <w:spacing w:after="0" w:line="360" w:lineRule="auto"/>
        <w:jc w:val="both"/>
        <w:rPr>
          <w:rFonts w:ascii="Palatino Linotype" w:eastAsia="Palatino Linotype" w:hAnsi="Palatino Linotype" w:cs="Palatino Linotype"/>
          <w:color w:val="000000"/>
          <w:sz w:val="24"/>
          <w:szCs w:val="24"/>
        </w:rPr>
      </w:pPr>
    </w:p>
    <w:p w14:paraId="1FC41DB7" w14:textId="2C35AA3C" w:rsidR="00B62C8D" w:rsidRPr="00317CCD" w:rsidRDefault="00B62C8D" w:rsidP="00B62C8D">
      <w:pPr>
        <w:tabs>
          <w:tab w:val="left" w:pos="1701"/>
        </w:tabs>
        <w:spacing w:after="0" w:line="360" w:lineRule="auto"/>
        <w:jc w:val="both"/>
        <w:rPr>
          <w:rFonts w:ascii="Palatino Linotype" w:eastAsia="Palatino Linotype" w:hAnsi="Palatino Linotype" w:cs="Palatino Linotype"/>
          <w:b/>
          <w:sz w:val="24"/>
          <w:szCs w:val="24"/>
        </w:rPr>
      </w:pPr>
      <w:r w:rsidRPr="00317CCD">
        <w:rPr>
          <w:rFonts w:ascii="Palatino Linotype" w:eastAsia="Palatino Linotype" w:hAnsi="Palatino Linotype" w:cs="Palatino Linotype"/>
          <w:b/>
          <w:sz w:val="24"/>
          <w:szCs w:val="24"/>
        </w:rPr>
        <w:t>VISTO</w:t>
      </w:r>
      <w:r w:rsidRPr="00317CCD">
        <w:rPr>
          <w:rFonts w:ascii="Palatino Linotype" w:eastAsia="Palatino Linotype" w:hAnsi="Palatino Linotype" w:cs="Palatino Linotype"/>
          <w:sz w:val="24"/>
          <w:szCs w:val="24"/>
        </w:rPr>
        <w:t xml:space="preserve"> el expediente electrónico del recurso de revisión con número </w:t>
      </w:r>
      <w:bookmarkStart w:id="0" w:name="_GoBack"/>
      <w:r w:rsidRPr="00317CCD">
        <w:rPr>
          <w:rFonts w:ascii="Palatino Linotype" w:eastAsia="Palatino Linotype" w:hAnsi="Palatino Linotype" w:cs="Palatino Linotype"/>
          <w:b/>
          <w:sz w:val="24"/>
          <w:szCs w:val="24"/>
        </w:rPr>
        <w:t>0</w:t>
      </w:r>
      <w:r w:rsidR="00BC0A5C" w:rsidRPr="00317CCD">
        <w:rPr>
          <w:rFonts w:ascii="Palatino Linotype" w:eastAsia="Palatino Linotype" w:hAnsi="Palatino Linotype" w:cs="Palatino Linotype"/>
          <w:b/>
          <w:sz w:val="24"/>
          <w:szCs w:val="24"/>
        </w:rPr>
        <w:t>1935</w:t>
      </w:r>
      <w:r w:rsidRPr="00317CCD">
        <w:rPr>
          <w:rFonts w:ascii="Palatino Linotype" w:eastAsia="Palatino Linotype" w:hAnsi="Palatino Linotype" w:cs="Palatino Linotype"/>
          <w:b/>
          <w:sz w:val="24"/>
          <w:szCs w:val="24"/>
        </w:rPr>
        <w:t>/INFOEM/IP/RR/2026</w:t>
      </w:r>
      <w:bookmarkEnd w:id="0"/>
      <w:r w:rsidRPr="00317CCD">
        <w:rPr>
          <w:rFonts w:ascii="Palatino Linotype" w:eastAsia="Palatino Linotype" w:hAnsi="Palatino Linotype" w:cs="Palatino Linotype"/>
          <w:b/>
          <w:sz w:val="24"/>
          <w:szCs w:val="24"/>
        </w:rPr>
        <w:t xml:space="preserve">, </w:t>
      </w:r>
      <w:r w:rsidRPr="00317CCD">
        <w:rPr>
          <w:rFonts w:ascii="Palatino Linotype" w:eastAsia="Palatino Linotype" w:hAnsi="Palatino Linotype" w:cs="Palatino Linotype"/>
          <w:color w:val="000000"/>
          <w:sz w:val="24"/>
          <w:szCs w:val="24"/>
        </w:rPr>
        <w:t xml:space="preserve">interpuesto por </w:t>
      </w:r>
      <w:proofErr w:type="spellStart"/>
      <w:r w:rsidR="00226964">
        <w:rPr>
          <w:rFonts w:ascii="Palatino Linotype" w:eastAsia="Palatino Linotype" w:hAnsi="Palatino Linotype" w:cs="Palatino Linotype"/>
          <w:b/>
          <w:color w:val="000000"/>
          <w:sz w:val="24"/>
          <w:szCs w:val="24"/>
        </w:rPr>
        <w:t>xxxxxxxxxxxxxxxxxxxxxxxxx</w:t>
      </w:r>
      <w:proofErr w:type="spellEnd"/>
      <w:r w:rsidRPr="00317CCD">
        <w:rPr>
          <w:rFonts w:ascii="Palatino Linotype" w:eastAsia="Palatino Linotype" w:hAnsi="Palatino Linotype" w:cs="Palatino Linotype"/>
          <w:color w:val="000000"/>
          <w:sz w:val="24"/>
          <w:szCs w:val="24"/>
        </w:rPr>
        <w:t xml:space="preserve">, a quien en lo sucesivo se le denominara como la parte </w:t>
      </w:r>
      <w:r w:rsidRPr="00317CCD">
        <w:rPr>
          <w:rFonts w:ascii="Palatino Linotype" w:eastAsia="Palatino Linotype" w:hAnsi="Palatino Linotype" w:cs="Palatino Linotype"/>
          <w:b/>
          <w:color w:val="000000"/>
          <w:sz w:val="24"/>
          <w:szCs w:val="24"/>
        </w:rPr>
        <w:t>Recurrente</w:t>
      </w:r>
      <w:r w:rsidRPr="00317CCD">
        <w:rPr>
          <w:rFonts w:ascii="Palatino Linotype" w:eastAsia="Palatino Linotype" w:hAnsi="Palatino Linotype" w:cs="Palatino Linotype"/>
          <w:color w:val="000000"/>
          <w:sz w:val="24"/>
          <w:szCs w:val="24"/>
        </w:rPr>
        <w:t xml:space="preserve">, </w:t>
      </w:r>
      <w:r w:rsidRPr="00317CCD">
        <w:rPr>
          <w:rFonts w:ascii="Palatino Linotype" w:eastAsia="Palatino Linotype" w:hAnsi="Palatino Linotype" w:cs="Palatino Linotype"/>
          <w:sz w:val="24"/>
          <w:szCs w:val="24"/>
        </w:rPr>
        <w:t xml:space="preserve">en contra de la falta de respuesta del </w:t>
      </w:r>
      <w:r w:rsidR="00207EA7" w:rsidRPr="00317CCD">
        <w:rPr>
          <w:rFonts w:ascii="Palatino Linotype" w:eastAsia="Palatino Linotype" w:hAnsi="Palatino Linotype" w:cs="Palatino Linotype"/>
          <w:b/>
          <w:color w:val="000000"/>
          <w:sz w:val="24"/>
          <w:szCs w:val="24"/>
        </w:rPr>
        <w:t>Instituto Municipal de Cultura Física y Deporte de Tepotzotlán</w:t>
      </w:r>
      <w:r w:rsidRPr="00317CCD">
        <w:rPr>
          <w:rFonts w:ascii="Palatino Linotype" w:eastAsia="Palatino Linotype" w:hAnsi="Palatino Linotype" w:cs="Palatino Linotype"/>
          <w:b/>
          <w:sz w:val="24"/>
          <w:szCs w:val="24"/>
        </w:rPr>
        <w:t xml:space="preserve">, </w:t>
      </w:r>
      <w:r w:rsidRPr="00317CCD">
        <w:rPr>
          <w:rFonts w:ascii="Palatino Linotype" w:eastAsia="Palatino Linotype" w:hAnsi="Palatino Linotype" w:cs="Palatino Linotype"/>
          <w:sz w:val="24"/>
          <w:szCs w:val="24"/>
        </w:rPr>
        <w:t>en lo subsecuente</w:t>
      </w:r>
      <w:r w:rsidRPr="00317CCD">
        <w:rPr>
          <w:rFonts w:ascii="Palatino Linotype" w:eastAsia="Palatino Linotype" w:hAnsi="Palatino Linotype" w:cs="Palatino Linotype"/>
          <w:b/>
          <w:sz w:val="24"/>
          <w:szCs w:val="24"/>
        </w:rPr>
        <w:t xml:space="preserve"> el Sujeto Obligado, </w:t>
      </w:r>
      <w:r w:rsidRPr="00317CCD">
        <w:rPr>
          <w:rFonts w:ascii="Palatino Linotype" w:eastAsia="Palatino Linotype" w:hAnsi="Palatino Linotype" w:cs="Palatino Linotype"/>
          <w:sz w:val="24"/>
          <w:szCs w:val="24"/>
        </w:rPr>
        <w:t>se procede a dictar la presente resolución.</w:t>
      </w:r>
    </w:p>
    <w:p w14:paraId="41B4B4F2" w14:textId="77777777" w:rsidR="00B62C8D" w:rsidRPr="00317CCD" w:rsidRDefault="00B62C8D" w:rsidP="00B62C8D">
      <w:pPr>
        <w:tabs>
          <w:tab w:val="left" w:pos="6960"/>
        </w:tabs>
        <w:spacing w:after="0" w:line="360" w:lineRule="auto"/>
        <w:jc w:val="both"/>
        <w:rPr>
          <w:rFonts w:ascii="Palatino Linotype" w:eastAsia="Palatino Linotype" w:hAnsi="Palatino Linotype" w:cs="Palatino Linotype"/>
          <w:sz w:val="24"/>
          <w:szCs w:val="24"/>
        </w:rPr>
      </w:pPr>
    </w:p>
    <w:p w14:paraId="4C8E7BFC" w14:textId="77777777" w:rsidR="00B62C8D" w:rsidRPr="00317CCD" w:rsidRDefault="00B62C8D" w:rsidP="00B62C8D">
      <w:pPr>
        <w:spacing w:after="0" w:line="360" w:lineRule="auto"/>
        <w:jc w:val="center"/>
        <w:rPr>
          <w:rFonts w:ascii="Palatino Linotype" w:eastAsia="Palatino Linotype" w:hAnsi="Palatino Linotype" w:cs="Palatino Linotype"/>
          <w:b/>
          <w:sz w:val="28"/>
          <w:szCs w:val="28"/>
        </w:rPr>
      </w:pPr>
      <w:r w:rsidRPr="00317CCD">
        <w:rPr>
          <w:rFonts w:ascii="Palatino Linotype" w:eastAsia="Palatino Linotype" w:hAnsi="Palatino Linotype" w:cs="Palatino Linotype"/>
          <w:b/>
          <w:sz w:val="28"/>
          <w:szCs w:val="28"/>
        </w:rPr>
        <w:t>A N T E C E D E N T E S</w:t>
      </w:r>
    </w:p>
    <w:p w14:paraId="113744BF" w14:textId="77777777" w:rsidR="00B62C8D" w:rsidRPr="00317CCD" w:rsidRDefault="00B62C8D" w:rsidP="00B62C8D">
      <w:pPr>
        <w:spacing w:after="0" w:line="360" w:lineRule="auto"/>
        <w:rPr>
          <w:rFonts w:ascii="Palatino Linotype" w:eastAsia="Palatino Linotype" w:hAnsi="Palatino Linotype" w:cs="Palatino Linotype"/>
          <w:b/>
          <w:sz w:val="24"/>
          <w:szCs w:val="24"/>
        </w:rPr>
      </w:pPr>
    </w:p>
    <w:p w14:paraId="105510D5" w14:textId="77777777" w:rsidR="00B62C8D" w:rsidRPr="00317CCD" w:rsidRDefault="00B62C8D" w:rsidP="00B62C8D">
      <w:pPr>
        <w:spacing w:after="0" w:line="360" w:lineRule="auto"/>
        <w:jc w:val="both"/>
        <w:rPr>
          <w:rFonts w:ascii="Palatino Linotype" w:eastAsia="Palatino Linotype" w:hAnsi="Palatino Linotype" w:cs="Palatino Linotype"/>
          <w:b/>
          <w:sz w:val="28"/>
          <w:szCs w:val="24"/>
        </w:rPr>
      </w:pPr>
      <w:r w:rsidRPr="00317CCD">
        <w:rPr>
          <w:rFonts w:ascii="Palatino Linotype" w:eastAsia="Palatino Linotype" w:hAnsi="Palatino Linotype" w:cs="Palatino Linotype"/>
          <w:b/>
          <w:sz w:val="28"/>
          <w:szCs w:val="24"/>
        </w:rPr>
        <w:t xml:space="preserve">PRIMERO. </w:t>
      </w:r>
      <w:r w:rsidRPr="00317CCD">
        <w:rPr>
          <w:rFonts w:ascii="Palatino Linotype" w:eastAsia="Palatino Linotype" w:hAnsi="Palatino Linotype" w:cs="Palatino Linotype"/>
          <w:b/>
          <w:color w:val="000000"/>
          <w:sz w:val="28"/>
          <w:szCs w:val="24"/>
        </w:rPr>
        <w:t>De la solicitud de información.</w:t>
      </w:r>
    </w:p>
    <w:p w14:paraId="2A736CC2" w14:textId="77777777" w:rsidR="00B62C8D" w:rsidRPr="00317CCD" w:rsidRDefault="00B62C8D" w:rsidP="00B62C8D">
      <w:pPr>
        <w:spacing w:after="0" w:line="360" w:lineRule="auto"/>
        <w:jc w:val="both"/>
        <w:rPr>
          <w:rFonts w:ascii="Palatino Linotype" w:eastAsia="Palatino Linotype" w:hAnsi="Palatino Linotype" w:cs="Palatino Linotype"/>
          <w:b/>
          <w:sz w:val="24"/>
          <w:szCs w:val="24"/>
        </w:rPr>
      </w:pPr>
      <w:r w:rsidRPr="00317CCD">
        <w:rPr>
          <w:rFonts w:ascii="Palatino Linotype" w:eastAsia="Palatino Linotype" w:hAnsi="Palatino Linotype" w:cs="Palatino Linotype"/>
          <w:sz w:val="24"/>
          <w:szCs w:val="24"/>
        </w:rPr>
        <w:t xml:space="preserve">En fecha </w:t>
      </w:r>
      <w:r w:rsidR="00ED5463" w:rsidRPr="00317CCD">
        <w:rPr>
          <w:rFonts w:ascii="Palatino Linotype" w:eastAsia="Palatino Linotype" w:hAnsi="Palatino Linotype" w:cs="Palatino Linotype"/>
          <w:b/>
          <w:sz w:val="24"/>
          <w:szCs w:val="24"/>
        </w:rPr>
        <w:t>diecinueve</w:t>
      </w:r>
      <w:r w:rsidRPr="00317CCD">
        <w:rPr>
          <w:rFonts w:ascii="Palatino Linotype" w:eastAsia="Palatino Linotype" w:hAnsi="Palatino Linotype" w:cs="Palatino Linotype"/>
          <w:b/>
          <w:sz w:val="24"/>
          <w:szCs w:val="24"/>
        </w:rPr>
        <w:t xml:space="preserve"> de enero de dos mil veintiséis</w:t>
      </w:r>
      <w:r w:rsidRPr="00317CCD">
        <w:rPr>
          <w:rFonts w:ascii="Palatino Linotype" w:eastAsia="Palatino Linotype" w:hAnsi="Palatino Linotype" w:cs="Palatino Linotype"/>
          <w:sz w:val="24"/>
          <w:szCs w:val="24"/>
        </w:rPr>
        <w:t>, la parte</w:t>
      </w:r>
      <w:r w:rsidRPr="00317CCD">
        <w:rPr>
          <w:rFonts w:ascii="Palatino Linotype" w:eastAsia="Palatino Linotype" w:hAnsi="Palatino Linotype" w:cs="Palatino Linotype"/>
          <w:b/>
          <w:sz w:val="24"/>
          <w:szCs w:val="24"/>
        </w:rPr>
        <w:t xml:space="preserve"> Recurrente</w:t>
      </w:r>
      <w:r w:rsidRPr="00317CCD">
        <w:rPr>
          <w:rFonts w:ascii="Palatino Linotype" w:eastAsia="Palatino Linotype" w:hAnsi="Palatino Linotype" w:cs="Palatino Linotype"/>
          <w:sz w:val="24"/>
          <w:szCs w:val="24"/>
        </w:rPr>
        <w:t xml:space="preserve"> presentó a través del Sistema de Acceso a la Información Mexiquense (</w:t>
      </w:r>
      <w:r w:rsidRPr="00317CCD">
        <w:rPr>
          <w:rFonts w:ascii="Palatino Linotype" w:eastAsia="Palatino Linotype" w:hAnsi="Palatino Linotype" w:cs="Palatino Linotype"/>
          <w:b/>
          <w:sz w:val="24"/>
          <w:szCs w:val="24"/>
        </w:rPr>
        <w:t>SAIMEX)</w:t>
      </w:r>
      <w:r w:rsidRPr="00317CCD">
        <w:rPr>
          <w:rFonts w:ascii="Palatino Linotype" w:eastAsia="Palatino Linotype" w:hAnsi="Palatino Linotype" w:cs="Palatino Linotype"/>
          <w:sz w:val="24"/>
          <w:szCs w:val="24"/>
        </w:rPr>
        <w:t xml:space="preserve">, la solicitud de acceso a la información pública, con número de folio </w:t>
      </w:r>
      <w:r w:rsidR="00207EA7" w:rsidRPr="00317CCD">
        <w:rPr>
          <w:rFonts w:ascii="Palatino Linotype" w:eastAsia="Palatino Linotype" w:hAnsi="Palatino Linotype" w:cs="Palatino Linotype"/>
          <w:b/>
          <w:sz w:val="24"/>
          <w:szCs w:val="24"/>
        </w:rPr>
        <w:t>00013/IMCUFIDETEPO/IP/2026</w:t>
      </w:r>
      <w:r w:rsidRPr="00317CCD">
        <w:rPr>
          <w:rFonts w:ascii="Palatino Linotype" w:eastAsia="Palatino Linotype" w:hAnsi="Palatino Linotype" w:cs="Palatino Linotype"/>
          <w:sz w:val="24"/>
          <w:szCs w:val="24"/>
        </w:rPr>
        <w:t xml:space="preserve">, de lo siguiente: </w:t>
      </w:r>
    </w:p>
    <w:p w14:paraId="29201CDA" w14:textId="77777777" w:rsidR="00B62C8D" w:rsidRPr="00317CCD" w:rsidRDefault="00B62C8D" w:rsidP="00ED5463">
      <w:pPr>
        <w:pStyle w:val="INFOEM"/>
        <w:rPr>
          <w:lang w:val="es-ES_tradnl" w:eastAsia="es-ES"/>
        </w:rPr>
      </w:pPr>
      <w:r w:rsidRPr="00317CCD">
        <w:rPr>
          <w:lang w:val="es-ES_tradnl" w:eastAsia="es-ES"/>
        </w:rPr>
        <w:t>“</w:t>
      </w:r>
      <w:r w:rsidR="00207EA7" w:rsidRPr="00317CCD">
        <w:rPr>
          <w:lang w:val="es-ES" w:eastAsia="es-ES"/>
        </w:rPr>
        <w:t xml:space="preserve">Solicito al Instituto Municipal de Cultura Física y Deporte de Tepotzotlán (IMCUFIDE) la relación completa de contratos, convenios o instrumentos jurídicos celebrados durante los ejercicios fiscales 2023, 2024 y 2025, para mantenimiento, seguridad, limpieza, administración u operación de espacios deportivos. Para cada contrato o convenio, solicito se proporcione la siguiente información: Objeto del contrato Nombre o razón social del proveedor o prestador del servicio RFC del </w:t>
      </w:r>
      <w:r w:rsidR="00207EA7" w:rsidRPr="00317CCD">
        <w:rPr>
          <w:lang w:val="es-ES" w:eastAsia="es-ES"/>
        </w:rPr>
        <w:lastRenderedPageBreak/>
        <w:t>proveedor Monto contratado y monto pagado Vigencia Procedimiento de contratación (licitación pública, invitación restringida o adjudicación directa) Área responsable de la contratación Fuente de financiamiento (recursos propios, municipales, estatales o federales) Asimismo, solicito copia simple de los contratos, convenios, anexos, facturas y comprobantes de pago correspondientes. En caso de que el Instituto no haya celebrado contratos durante alguno de los ejercicios señalados, solicito se indique expresamente dicha circunstancia. La omisión de esta información o la entrega parcial impediría conocer el ejercicio de recursos públicos destinados al deporte municipal, limitando la fiscalización ciudadana y vulnerando el principio de máxima publicidad previsto en la legislación en materia de transparencia.</w:t>
      </w:r>
      <w:r w:rsidRPr="00317CCD">
        <w:rPr>
          <w:lang w:val="es-ES_tradnl" w:eastAsia="es-ES"/>
        </w:rPr>
        <w:t>” (Sic)</w:t>
      </w:r>
    </w:p>
    <w:p w14:paraId="4FFFB0E2" w14:textId="77777777" w:rsidR="00B62C8D" w:rsidRPr="00317CCD" w:rsidRDefault="00B62C8D" w:rsidP="00B62C8D">
      <w:pPr>
        <w:spacing w:before="240" w:line="360" w:lineRule="auto"/>
        <w:jc w:val="both"/>
        <w:rPr>
          <w:rFonts w:ascii="Palatino Linotype" w:hAnsi="Palatino Linotype"/>
          <w:lang w:val="es-ES_tradnl"/>
        </w:rPr>
      </w:pPr>
      <w:r w:rsidRPr="00317CCD">
        <w:rPr>
          <w:rFonts w:ascii="Palatino Linotype" w:hAnsi="Palatino Linotype"/>
          <w:b/>
          <w:lang w:val="es-ES_tradnl"/>
        </w:rPr>
        <w:t>Modalidad de entrega:</w:t>
      </w:r>
      <w:r w:rsidRPr="00317CCD">
        <w:rPr>
          <w:rFonts w:ascii="Palatino Linotype" w:hAnsi="Palatino Linotype"/>
          <w:lang w:val="es-ES_tradnl"/>
        </w:rPr>
        <w:t xml:space="preserve"> A través del SAIMEX.</w:t>
      </w:r>
    </w:p>
    <w:p w14:paraId="1F31B834"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51745E28"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317CCD">
        <w:rPr>
          <w:rFonts w:ascii="Palatino Linotype" w:eastAsia="Palatino Linotype" w:hAnsi="Palatino Linotype" w:cs="Palatino Linotype"/>
          <w:b/>
          <w:color w:val="000000"/>
          <w:sz w:val="28"/>
          <w:szCs w:val="24"/>
        </w:rPr>
        <w:t>SEGUNDO. De la falta de respuesta del Sujeto Obligado.</w:t>
      </w:r>
    </w:p>
    <w:p w14:paraId="784D185E"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17CCD">
        <w:rPr>
          <w:rFonts w:ascii="Palatino Linotype" w:eastAsia="Palatino Linotype" w:hAnsi="Palatino Linotype" w:cs="Palatino Linotype"/>
          <w:color w:val="000000"/>
          <w:sz w:val="24"/>
          <w:szCs w:val="24"/>
        </w:rPr>
        <w:t>E</w:t>
      </w:r>
      <w:r w:rsidRPr="00317CCD">
        <w:rPr>
          <w:rFonts w:ascii="Palatino Linotype" w:eastAsia="Palatino Linotype" w:hAnsi="Palatino Linotype" w:cs="Palatino Linotype"/>
          <w:sz w:val="24"/>
          <w:szCs w:val="24"/>
        </w:rPr>
        <w:t xml:space="preserv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no proporcionó respuesta a la solicitud de información </w:t>
      </w:r>
      <w:r w:rsidRPr="00317CCD">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40ACC74F"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3F66F099"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317CCD">
        <w:rPr>
          <w:rFonts w:ascii="Palatino Linotype" w:eastAsia="Palatino Linotype" w:hAnsi="Palatino Linotype" w:cs="Palatino Linotype"/>
          <w:b/>
          <w:sz w:val="28"/>
          <w:szCs w:val="24"/>
        </w:rPr>
        <w:t xml:space="preserve">TERCERO. </w:t>
      </w:r>
      <w:r w:rsidRPr="00317CCD">
        <w:rPr>
          <w:rFonts w:ascii="Palatino Linotype" w:eastAsia="Palatino Linotype" w:hAnsi="Palatino Linotype" w:cs="Palatino Linotype"/>
          <w:b/>
          <w:color w:val="000000"/>
          <w:sz w:val="28"/>
          <w:szCs w:val="24"/>
        </w:rPr>
        <w:t>Del recurso de revisión.</w:t>
      </w:r>
    </w:p>
    <w:p w14:paraId="6B2901AF" w14:textId="77777777" w:rsidR="00B62C8D" w:rsidRPr="00317CCD" w:rsidRDefault="00B62C8D" w:rsidP="00B62C8D">
      <w:pPr>
        <w:spacing w:after="0" w:line="360" w:lineRule="auto"/>
        <w:jc w:val="both"/>
        <w:rPr>
          <w:rFonts w:ascii="Palatino Linotype" w:eastAsia="Palatino Linotype" w:hAnsi="Palatino Linotype" w:cs="Palatino Linotype"/>
          <w:b/>
          <w:sz w:val="24"/>
          <w:szCs w:val="24"/>
        </w:rPr>
      </w:pPr>
      <w:r w:rsidRPr="00317CCD">
        <w:rPr>
          <w:rFonts w:ascii="Palatino Linotype" w:eastAsia="Palatino Linotype" w:hAnsi="Palatino Linotype" w:cs="Palatino Linotype"/>
          <w:sz w:val="24"/>
          <w:szCs w:val="24"/>
        </w:rPr>
        <w:t>Ante la falta de respuesta</w:t>
      </w:r>
      <w:r w:rsidRPr="00317CCD">
        <w:rPr>
          <w:rFonts w:ascii="Palatino Linotype" w:eastAsia="Palatino Linotype" w:hAnsi="Palatino Linotype" w:cs="Palatino Linotype"/>
          <w:b/>
          <w:sz w:val="24"/>
          <w:szCs w:val="24"/>
        </w:rPr>
        <w:t xml:space="preserve"> </w:t>
      </w:r>
      <w:r w:rsidRPr="00317CCD">
        <w:rPr>
          <w:rFonts w:ascii="Palatino Linotype" w:eastAsia="Palatino Linotype" w:hAnsi="Palatino Linotype" w:cs="Palatino Linotype"/>
          <w:sz w:val="24"/>
          <w:szCs w:val="24"/>
        </w:rPr>
        <w:t xml:space="preserve">del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la parte </w:t>
      </w:r>
      <w:r w:rsidRPr="00317CCD">
        <w:rPr>
          <w:rFonts w:ascii="Palatino Linotype" w:eastAsia="Palatino Linotype" w:hAnsi="Palatino Linotype" w:cs="Palatino Linotype"/>
          <w:b/>
          <w:sz w:val="24"/>
          <w:szCs w:val="24"/>
        </w:rPr>
        <w:t>Recurrente</w:t>
      </w:r>
      <w:r w:rsidRPr="00317CCD">
        <w:rPr>
          <w:rFonts w:ascii="Palatino Linotype" w:eastAsia="Palatino Linotype" w:hAnsi="Palatino Linotype" w:cs="Palatino Linotype"/>
          <w:sz w:val="24"/>
          <w:szCs w:val="24"/>
        </w:rPr>
        <w:t xml:space="preserve"> interpuso el recurso de revisión en fecha </w:t>
      </w:r>
      <w:r w:rsidR="00ED5463" w:rsidRPr="00317CCD">
        <w:rPr>
          <w:rFonts w:ascii="Palatino Linotype" w:eastAsia="Palatino Linotype" w:hAnsi="Palatino Linotype" w:cs="Palatino Linotype"/>
          <w:b/>
          <w:sz w:val="24"/>
          <w:szCs w:val="24"/>
        </w:rPr>
        <w:t>dieciséis</w:t>
      </w:r>
      <w:r w:rsidRPr="00317CCD">
        <w:rPr>
          <w:rFonts w:ascii="Palatino Linotype" w:eastAsia="Palatino Linotype" w:hAnsi="Palatino Linotype" w:cs="Palatino Linotype"/>
          <w:b/>
          <w:sz w:val="24"/>
          <w:szCs w:val="24"/>
        </w:rPr>
        <w:t xml:space="preserve"> de febrero de dos mil veintiséis</w:t>
      </w:r>
      <w:r w:rsidRPr="00317CCD">
        <w:rPr>
          <w:rFonts w:ascii="Palatino Linotype" w:eastAsia="Palatino Linotype" w:hAnsi="Palatino Linotype" w:cs="Palatino Linotype"/>
          <w:sz w:val="24"/>
          <w:szCs w:val="24"/>
        </w:rPr>
        <w:t>, registrado</w:t>
      </w:r>
      <w:r w:rsidRPr="00317CCD">
        <w:rPr>
          <w:rFonts w:ascii="Palatino Linotype" w:eastAsia="Palatino Linotype" w:hAnsi="Palatino Linotype" w:cs="Palatino Linotype"/>
          <w:b/>
          <w:sz w:val="24"/>
          <w:szCs w:val="24"/>
        </w:rPr>
        <w:t xml:space="preserve"> </w:t>
      </w:r>
      <w:r w:rsidRPr="00317CCD">
        <w:rPr>
          <w:rFonts w:ascii="Palatino Linotype" w:eastAsia="Palatino Linotype" w:hAnsi="Palatino Linotype" w:cs="Palatino Linotype"/>
          <w:sz w:val="24"/>
          <w:szCs w:val="24"/>
        </w:rPr>
        <w:t xml:space="preserve">en el </w:t>
      </w:r>
      <w:r w:rsidRPr="00317CCD">
        <w:rPr>
          <w:rFonts w:ascii="Palatino Linotype" w:eastAsia="Palatino Linotype" w:hAnsi="Palatino Linotype" w:cs="Palatino Linotype"/>
          <w:b/>
          <w:sz w:val="24"/>
          <w:szCs w:val="24"/>
        </w:rPr>
        <w:t xml:space="preserve">SAIMEX </w:t>
      </w:r>
      <w:r w:rsidRPr="00317CCD">
        <w:rPr>
          <w:rFonts w:ascii="Palatino Linotype" w:eastAsia="Palatino Linotype" w:hAnsi="Palatino Linotype" w:cs="Palatino Linotype"/>
          <w:sz w:val="24"/>
          <w:szCs w:val="24"/>
        </w:rPr>
        <w:t xml:space="preserve">con el número de expediente </w:t>
      </w:r>
      <w:r w:rsidRPr="00317CCD">
        <w:rPr>
          <w:rFonts w:ascii="Palatino Linotype" w:eastAsia="Palatino Linotype" w:hAnsi="Palatino Linotype" w:cs="Palatino Linotype"/>
          <w:b/>
          <w:sz w:val="24"/>
          <w:szCs w:val="24"/>
        </w:rPr>
        <w:t>0</w:t>
      </w:r>
      <w:r w:rsidR="00BC0A5C" w:rsidRPr="00317CCD">
        <w:rPr>
          <w:rFonts w:ascii="Palatino Linotype" w:eastAsia="Palatino Linotype" w:hAnsi="Palatino Linotype" w:cs="Palatino Linotype"/>
          <w:b/>
          <w:sz w:val="24"/>
          <w:szCs w:val="24"/>
        </w:rPr>
        <w:t>1935</w:t>
      </w:r>
      <w:r w:rsidRPr="00317CCD">
        <w:rPr>
          <w:rFonts w:ascii="Palatino Linotype" w:eastAsia="Palatino Linotype" w:hAnsi="Palatino Linotype" w:cs="Palatino Linotype"/>
          <w:b/>
          <w:sz w:val="24"/>
          <w:szCs w:val="24"/>
        </w:rPr>
        <w:t>/INFOEM/IP/RR/2026</w:t>
      </w:r>
      <w:r w:rsidRPr="00317CCD">
        <w:rPr>
          <w:rFonts w:ascii="Palatino Linotype" w:eastAsia="Palatino Linotype" w:hAnsi="Palatino Linotype" w:cs="Palatino Linotype"/>
          <w:sz w:val="24"/>
          <w:szCs w:val="24"/>
        </w:rPr>
        <w:t>, y señaló como acto impugnado y razones o motivos de inconformidad, lo siguiente:</w:t>
      </w:r>
    </w:p>
    <w:p w14:paraId="1F328A31" w14:textId="77777777" w:rsidR="00B62C8D" w:rsidRPr="00317CCD" w:rsidRDefault="00B62C8D" w:rsidP="00B62C8D">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70EC37C4" w14:textId="77777777" w:rsidR="00B62C8D" w:rsidRPr="00317CCD" w:rsidRDefault="00B62C8D" w:rsidP="00B62C8D">
      <w:pPr>
        <w:numPr>
          <w:ilvl w:val="0"/>
          <w:numId w:val="1"/>
        </w:numPr>
        <w:pBdr>
          <w:top w:val="nil"/>
          <w:left w:val="nil"/>
          <w:bottom w:val="nil"/>
          <w:right w:val="nil"/>
          <w:between w:val="nil"/>
        </w:pBdr>
        <w:spacing w:after="0" w:line="360" w:lineRule="auto"/>
        <w:jc w:val="both"/>
        <w:rPr>
          <w:i/>
        </w:rPr>
      </w:pPr>
      <w:r w:rsidRPr="00317CCD">
        <w:rPr>
          <w:rFonts w:ascii="Palatino Linotype" w:eastAsia="Palatino Linotype" w:hAnsi="Palatino Linotype" w:cs="Palatino Linotype"/>
          <w:b/>
          <w:i/>
          <w:color w:val="000000"/>
        </w:rPr>
        <w:t>Acto Impugnado:</w:t>
      </w:r>
    </w:p>
    <w:p w14:paraId="31243C5C" w14:textId="77777777" w:rsidR="00B62C8D" w:rsidRPr="00317CCD" w:rsidRDefault="00B62C8D" w:rsidP="00B62C8D">
      <w:pPr>
        <w:pStyle w:val="INFOEM"/>
        <w:ind w:left="720"/>
      </w:pPr>
      <w:r w:rsidRPr="00317CCD">
        <w:t>“</w:t>
      </w:r>
      <w:r w:rsidR="00207EA7" w:rsidRPr="00317CCD">
        <w:t>Solicito al Instituto Municipal de Cultura Física y Deporte de Tepotzotlán (IMCUFIDE) la relación completa de contratos, convenios o instrumentos jurídicos celebrados durante los ejercicios fiscales 2023, 2024 y 2025, para mantenimiento, seguridad, limpieza, administración u operación de espacios deportivos. Para cada contrato o convenio, solicito se proporcione la siguiente información: Objeto del contrato Nombre o razón social del proveedor o prestador del servicio RFC del proveedor Monto contratado y monto pagado Vigencia Procedimiento de contratación (licitación pública, invitación restringida o adjudicación directa) Área responsable de la contratación Fuente de financiamiento (recursos propios, municipales, estatales o federales) Asimismo, solicito copia simple de los contratos, convenios, anexos, facturas y comprobantes de pago correspondientes. En caso de que el Instituto no haya celebrado contratos durante alguno de los ejercicios señalados, solicito se indique expresamente dicha circunstancia. La omisión de esta información o la entrega parcial impediría conocer el ejercicio de recursos públicos destinados al deporte municipal, limitando la fiscalización ciudadana y vulnerando el principio de máxima publicidad previsto en la legislación en materia de transparencia. Se interpone recurso de revisión por falta absoluta de respuesta dentro del plazo legal, respecto a la solicitud donde se requirió la relación completa de contratos, convenios o instrumentos jurídicos celebrados durante 2023, 2024 y 2025 para mantenimiento, seguridad, limpieza, administración u operación de espacios deportivos. Han transcurrido más de 15 días hábiles sin respuesta, configurándose silencio administrativo, en violación directa al derecho constitucional de acceso a la información.</w:t>
      </w:r>
      <w:r w:rsidRPr="00317CCD">
        <w:t xml:space="preserve">" (Sic) </w:t>
      </w:r>
    </w:p>
    <w:p w14:paraId="562C6D76" w14:textId="77777777" w:rsidR="00B62C8D" w:rsidRPr="00317CCD" w:rsidRDefault="00B62C8D" w:rsidP="00B62C8D">
      <w:pPr>
        <w:pBdr>
          <w:top w:val="nil"/>
          <w:left w:val="nil"/>
          <w:bottom w:val="nil"/>
          <w:right w:val="nil"/>
          <w:between w:val="nil"/>
        </w:pBdr>
        <w:spacing w:after="0" w:line="360" w:lineRule="auto"/>
        <w:ind w:left="720"/>
        <w:jc w:val="both"/>
        <w:rPr>
          <w:i/>
        </w:rPr>
      </w:pPr>
    </w:p>
    <w:p w14:paraId="0170321F" w14:textId="77777777" w:rsidR="00B62C8D" w:rsidRPr="00317CCD" w:rsidRDefault="00B62C8D" w:rsidP="00B62C8D">
      <w:pPr>
        <w:numPr>
          <w:ilvl w:val="0"/>
          <w:numId w:val="1"/>
        </w:numPr>
        <w:pBdr>
          <w:top w:val="nil"/>
          <w:left w:val="nil"/>
          <w:bottom w:val="nil"/>
          <w:right w:val="nil"/>
          <w:between w:val="nil"/>
        </w:pBdr>
        <w:spacing w:after="0" w:line="360" w:lineRule="auto"/>
        <w:jc w:val="both"/>
        <w:rPr>
          <w:i/>
        </w:rPr>
      </w:pPr>
      <w:r w:rsidRPr="00317CCD">
        <w:rPr>
          <w:rFonts w:ascii="Palatino Linotype" w:eastAsia="Palatino Linotype" w:hAnsi="Palatino Linotype" w:cs="Palatino Linotype"/>
          <w:b/>
          <w:i/>
          <w:color w:val="000000"/>
        </w:rPr>
        <w:lastRenderedPageBreak/>
        <w:t xml:space="preserve">Razones o Motivos de Inconformidad: </w:t>
      </w:r>
    </w:p>
    <w:p w14:paraId="483F721A" w14:textId="77777777" w:rsidR="00B62C8D" w:rsidRPr="00317CCD" w:rsidRDefault="00B62C8D" w:rsidP="00B62C8D">
      <w:pPr>
        <w:pStyle w:val="INFOEM"/>
      </w:pPr>
      <w:r w:rsidRPr="00317CCD">
        <w:t>“</w:t>
      </w:r>
      <w:r w:rsidR="00207EA7" w:rsidRPr="00317CCD">
        <w:t>AGRAVIOS Violación grave al derecho de acceso a la información. El sujeto obligado omitió responder dentro del plazo legal sin justificación alguna. Posible ocultamiento de contratos públicos. La información solicitada corresponde al ejercicio de recursos públicos y su ocultamiento impide conocer el destino del presupuesto deportivo municipal. Falta administrativa relevante. La omisión de respuesta constituye incumplimiento de obligaciones legales de transparencia y rendición de cuentas. Riesgo de simulación administrativa. La inexistencia de respuesta sobre contratos de mantenimiento o seguridad en bienes públicos deportivos puede implicar irregularidades en el manejo de recursos. PETICIONES Solicito al Órgano Garante: Admitir el presente recurso de revisión. Ordenar al sujeto obligado emitir respuesta completa y fundada. Ordenar búsqueda exhaustiva en todas las áreas administrativas del IMCUFIDE. Ordenar entrega de: Relación completa de contratos 2023-2025 Copia de contratos, convenios y anexos Facturas y comprobantes de pago Procedimiento de contratación y fuente de financiamiento Determinar responsabilidad administrativa por incumplimiento del plazo legal. Dar vista a la Contraloría Municipal en caso de detectarse ocultamiento de contratos o información incompleta.</w:t>
      </w:r>
      <w:r w:rsidRPr="00317CCD">
        <w:t xml:space="preserve">" (Sic) </w:t>
      </w:r>
    </w:p>
    <w:p w14:paraId="45093B0B" w14:textId="77777777" w:rsidR="00B62C8D" w:rsidRPr="00317CCD" w:rsidRDefault="00B62C8D" w:rsidP="00B62C8D">
      <w:pPr>
        <w:spacing w:after="0" w:line="360" w:lineRule="auto"/>
        <w:jc w:val="both"/>
        <w:rPr>
          <w:rFonts w:ascii="Palatino Linotype" w:eastAsia="Palatino Linotype" w:hAnsi="Palatino Linotype" w:cs="Palatino Linotype"/>
          <w:b/>
          <w:sz w:val="28"/>
          <w:szCs w:val="28"/>
        </w:rPr>
      </w:pPr>
    </w:p>
    <w:p w14:paraId="0E2AF402" w14:textId="77777777" w:rsidR="00B62C8D" w:rsidRPr="00317CCD" w:rsidRDefault="00B62C8D" w:rsidP="00B62C8D">
      <w:pPr>
        <w:spacing w:before="240" w:line="360" w:lineRule="auto"/>
        <w:jc w:val="both"/>
        <w:rPr>
          <w:rFonts w:ascii="Palatino Linotype" w:hAnsi="Palatino Linotype" w:cs="Arial"/>
          <w:b/>
        </w:rPr>
      </w:pPr>
      <w:r w:rsidRPr="00317CCD">
        <w:rPr>
          <w:rFonts w:ascii="Palatino Linotype" w:eastAsia="Palatino Linotype" w:hAnsi="Palatino Linotype" w:cs="Palatino Linotype"/>
          <w:b/>
          <w:color w:val="000000"/>
          <w:sz w:val="28"/>
          <w:szCs w:val="24"/>
        </w:rPr>
        <w:t>CUARTO</w:t>
      </w:r>
      <w:r w:rsidRPr="00317CCD">
        <w:rPr>
          <w:rFonts w:ascii="Palatino Linotype" w:hAnsi="Palatino Linotype" w:cs="Arial"/>
          <w:b/>
        </w:rPr>
        <w:t xml:space="preserve">. </w:t>
      </w:r>
      <w:r w:rsidRPr="00317CCD">
        <w:rPr>
          <w:rFonts w:ascii="Palatino Linotype" w:hAnsi="Palatino Linotype" w:cs="Arial"/>
          <w:b/>
          <w:sz w:val="28"/>
          <w:szCs w:val="28"/>
        </w:rPr>
        <w:t>Del turno y admisión del recurso de revisión.</w:t>
      </w:r>
    </w:p>
    <w:p w14:paraId="20DFB07E" w14:textId="77777777" w:rsidR="00B62C8D" w:rsidRPr="00317CCD" w:rsidRDefault="00B62C8D" w:rsidP="00B62C8D">
      <w:pPr>
        <w:spacing w:before="240" w:line="360" w:lineRule="auto"/>
        <w:jc w:val="both"/>
        <w:rPr>
          <w:rFonts w:ascii="Palatino Linotype" w:hAnsi="Palatino Linotype" w:cs="Arial"/>
          <w:sz w:val="32"/>
        </w:rPr>
      </w:pPr>
      <w:r w:rsidRPr="00317CCD">
        <w:rPr>
          <w:rFonts w:ascii="Palatino Linotype" w:hAnsi="Palatino Linotype"/>
          <w:sz w:val="24"/>
        </w:rPr>
        <w:t xml:space="preserve">El medio de impugnación fue turnado al Comisionado Presidente </w:t>
      </w:r>
      <w:r w:rsidRPr="00317CCD">
        <w:rPr>
          <w:rFonts w:ascii="Palatino Linotype" w:hAnsi="Palatino Linotype"/>
          <w:b/>
          <w:sz w:val="24"/>
        </w:rPr>
        <w:t>José Martínez Vilchis,</w:t>
      </w:r>
      <w:r w:rsidRPr="00317CCD">
        <w:rPr>
          <w:rFonts w:ascii="Palatino Linotype" w:hAnsi="Palatino Linotype"/>
          <w:sz w:val="24"/>
        </w:rPr>
        <w:t xml:space="preserve"> por medio del sistema electrónico SAIMEX, en términos del artículo 185, fracción I, de la Ley de Transparencia y Acceso a la información Pública del Estado de </w:t>
      </w:r>
      <w:r w:rsidRPr="00317CCD">
        <w:rPr>
          <w:rFonts w:ascii="Palatino Linotype" w:hAnsi="Palatino Linotype"/>
          <w:sz w:val="24"/>
        </w:rPr>
        <w:lastRenderedPageBreak/>
        <w:t xml:space="preserve">México y Municipios, del cual recayó acuerdo de </w:t>
      </w:r>
      <w:r w:rsidRPr="00317CCD">
        <w:rPr>
          <w:rFonts w:ascii="Palatino Linotype" w:hAnsi="Palatino Linotype"/>
          <w:b/>
          <w:sz w:val="24"/>
        </w:rPr>
        <w:t>admisión</w:t>
      </w:r>
      <w:r w:rsidRPr="00317CCD">
        <w:rPr>
          <w:rFonts w:ascii="Palatino Linotype" w:hAnsi="Palatino Linotype"/>
          <w:sz w:val="24"/>
        </w:rPr>
        <w:t xml:space="preserve"> en fecha </w:t>
      </w:r>
      <w:r w:rsidR="00ED5463" w:rsidRPr="00317CCD">
        <w:rPr>
          <w:rFonts w:ascii="Palatino Linotype" w:eastAsia="Palatino Linotype" w:hAnsi="Palatino Linotype" w:cs="Palatino Linotype"/>
          <w:b/>
          <w:sz w:val="24"/>
          <w:szCs w:val="24"/>
        </w:rPr>
        <w:t xml:space="preserve">dieciocho </w:t>
      </w:r>
      <w:r w:rsidRPr="00317CCD">
        <w:rPr>
          <w:rFonts w:ascii="Palatino Linotype" w:eastAsia="Palatino Linotype" w:hAnsi="Palatino Linotype" w:cs="Palatino Linotype"/>
          <w:b/>
          <w:sz w:val="24"/>
          <w:szCs w:val="24"/>
        </w:rPr>
        <w:t>de febrero de dos mil veintiséis</w:t>
      </w:r>
      <w:r w:rsidRPr="00317CCD">
        <w:rPr>
          <w:rFonts w:ascii="Palatino Linotype" w:hAnsi="Palatino Linotype"/>
          <w:sz w:val="24"/>
        </w:rPr>
        <w:t>, determinándose en ellos, un plazo de siete días para que las partes manifestaran lo que a su derecho corresponda en términos del numeral ya citado.</w:t>
      </w:r>
    </w:p>
    <w:p w14:paraId="40829B5A" w14:textId="77777777" w:rsidR="00B62C8D" w:rsidRPr="00317CCD" w:rsidRDefault="00B62C8D" w:rsidP="00B62C8D">
      <w:pPr>
        <w:spacing w:after="0" w:line="360" w:lineRule="auto"/>
        <w:jc w:val="both"/>
        <w:rPr>
          <w:rFonts w:ascii="Palatino Linotype" w:eastAsia="Palatino Linotype" w:hAnsi="Palatino Linotype" w:cs="Palatino Linotype"/>
          <w:b/>
          <w:sz w:val="28"/>
          <w:szCs w:val="28"/>
        </w:rPr>
      </w:pPr>
    </w:p>
    <w:p w14:paraId="6D8EB3C5" w14:textId="77777777" w:rsidR="00B62C8D" w:rsidRPr="00317CCD" w:rsidRDefault="00B62C8D" w:rsidP="00B62C8D">
      <w:pPr>
        <w:pStyle w:val="Prrafodelista"/>
        <w:spacing w:line="360" w:lineRule="auto"/>
        <w:ind w:left="0"/>
        <w:jc w:val="both"/>
        <w:rPr>
          <w:rFonts w:ascii="Palatino Linotype" w:hAnsi="Palatino Linotype" w:cs="Arial"/>
          <w:b/>
          <w:sz w:val="28"/>
          <w:szCs w:val="28"/>
        </w:rPr>
      </w:pPr>
      <w:r w:rsidRPr="00317CCD">
        <w:rPr>
          <w:rFonts w:ascii="Palatino Linotype" w:hAnsi="Palatino Linotype" w:cs="Arial"/>
          <w:b/>
          <w:sz w:val="28"/>
        </w:rPr>
        <w:t>QUINTO</w:t>
      </w:r>
      <w:r w:rsidRPr="00317CCD">
        <w:rPr>
          <w:rFonts w:ascii="Palatino Linotype" w:hAnsi="Palatino Linotype" w:cs="Arial"/>
          <w:b/>
        </w:rPr>
        <w:t>.</w:t>
      </w:r>
      <w:r w:rsidRPr="00317CCD">
        <w:rPr>
          <w:rFonts w:ascii="Palatino Linotype" w:hAnsi="Palatino Linotype" w:cs="Arial"/>
          <w:b/>
          <w:sz w:val="28"/>
          <w:szCs w:val="28"/>
        </w:rPr>
        <w:t xml:space="preserve"> De la etapa de instrucción.</w:t>
      </w:r>
    </w:p>
    <w:p w14:paraId="169371DF" w14:textId="77777777" w:rsidR="00B62C8D" w:rsidRPr="00317CCD" w:rsidRDefault="00B62C8D" w:rsidP="00B62C8D">
      <w:pPr>
        <w:spacing w:after="0" w:line="360" w:lineRule="auto"/>
        <w:jc w:val="both"/>
        <w:rPr>
          <w:rFonts w:ascii="Palatino Linotype" w:hAnsi="Palatino Linotype"/>
          <w:sz w:val="24"/>
          <w:szCs w:val="24"/>
        </w:rPr>
      </w:pPr>
      <w:r w:rsidRPr="00317CCD">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317CCD">
        <w:rPr>
          <w:rFonts w:ascii="Palatino Linotype" w:hAnsi="Palatino Linotype" w:cs="Arial"/>
          <w:b/>
          <w:sz w:val="24"/>
          <w:szCs w:val="24"/>
        </w:rPr>
        <w:t>,</w:t>
      </w:r>
      <w:r w:rsidRPr="00317CCD">
        <w:rPr>
          <w:rFonts w:ascii="Palatino Linotype" w:hAnsi="Palatino Linotype" w:cs="Arial"/>
          <w:sz w:val="24"/>
          <w:szCs w:val="24"/>
        </w:rPr>
        <w:t xml:space="preserve"> omitió rendir dentro del término de Ley, las manifestaciones que a sus intereses conviniera.</w:t>
      </w:r>
    </w:p>
    <w:p w14:paraId="318441AB" w14:textId="77777777" w:rsidR="00B62C8D" w:rsidRPr="00317CCD" w:rsidRDefault="00B62C8D" w:rsidP="00B62C8D">
      <w:pPr>
        <w:spacing w:after="0" w:line="360" w:lineRule="auto"/>
        <w:jc w:val="both"/>
        <w:rPr>
          <w:rFonts w:ascii="Palatino Linotype" w:hAnsi="Palatino Linotype" w:cs="Arial"/>
          <w:sz w:val="24"/>
          <w:szCs w:val="24"/>
        </w:rPr>
      </w:pPr>
    </w:p>
    <w:p w14:paraId="39D805CD" w14:textId="77777777" w:rsidR="00B62C8D" w:rsidRPr="00317CCD" w:rsidRDefault="00B62C8D" w:rsidP="00B62C8D">
      <w:pPr>
        <w:spacing w:after="0" w:line="360" w:lineRule="auto"/>
        <w:jc w:val="both"/>
        <w:rPr>
          <w:rFonts w:ascii="Palatino Linotype" w:hAnsi="Palatino Linotype" w:cs="Arial"/>
          <w:sz w:val="24"/>
          <w:szCs w:val="24"/>
        </w:rPr>
      </w:pPr>
      <w:r w:rsidRPr="00317CCD">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F636AA8" w14:textId="77777777" w:rsidR="00B62C8D" w:rsidRPr="00317CCD" w:rsidRDefault="00B62C8D" w:rsidP="00B62C8D">
      <w:pPr>
        <w:spacing w:after="0" w:line="360" w:lineRule="auto"/>
        <w:jc w:val="both"/>
        <w:rPr>
          <w:rFonts w:ascii="Palatino Linotype" w:hAnsi="Palatino Linotype" w:cs="Arial"/>
          <w:b/>
          <w:sz w:val="28"/>
          <w:szCs w:val="28"/>
        </w:rPr>
      </w:pPr>
    </w:p>
    <w:p w14:paraId="13FF7910" w14:textId="77777777" w:rsidR="00B62C8D" w:rsidRPr="00317CCD" w:rsidRDefault="00B62C8D" w:rsidP="00B62C8D">
      <w:pPr>
        <w:spacing w:after="0" w:line="360" w:lineRule="auto"/>
        <w:jc w:val="both"/>
        <w:rPr>
          <w:rFonts w:ascii="Palatino Linotype" w:hAnsi="Palatino Linotype" w:cs="Arial"/>
          <w:b/>
          <w:sz w:val="28"/>
          <w:szCs w:val="28"/>
        </w:rPr>
      </w:pPr>
      <w:r w:rsidRPr="00317CCD">
        <w:rPr>
          <w:rFonts w:ascii="Palatino Linotype" w:hAnsi="Palatino Linotype" w:cs="Arial"/>
          <w:b/>
          <w:sz w:val="28"/>
          <w:szCs w:val="28"/>
        </w:rPr>
        <w:t>SEXTO. Del Cierre de Instrucción.</w:t>
      </w:r>
    </w:p>
    <w:p w14:paraId="4AD41FF9" w14:textId="77777777" w:rsidR="00B62C8D" w:rsidRPr="00317CCD" w:rsidRDefault="00B62C8D" w:rsidP="00B62C8D">
      <w:pPr>
        <w:spacing w:after="0" w:line="360" w:lineRule="auto"/>
        <w:jc w:val="both"/>
        <w:rPr>
          <w:rFonts w:ascii="Palatino Linotype" w:hAnsi="Palatino Linotype" w:cs="Arial"/>
          <w:b/>
          <w:sz w:val="24"/>
          <w:szCs w:val="24"/>
        </w:rPr>
      </w:pPr>
      <w:r w:rsidRPr="00317CCD">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800BD0" w:rsidRPr="00317CCD">
        <w:rPr>
          <w:rFonts w:ascii="Palatino Linotype" w:hAnsi="Palatino Linotype" w:cs="Arial"/>
          <w:b/>
          <w:sz w:val="24"/>
          <w:szCs w:val="24"/>
        </w:rPr>
        <w:t>tres de marzo</w:t>
      </w:r>
      <w:r w:rsidRPr="00317CCD">
        <w:rPr>
          <w:rFonts w:ascii="Palatino Linotype" w:hAnsi="Palatino Linotype" w:cs="Arial"/>
          <w:b/>
          <w:sz w:val="24"/>
          <w:szCs w:val="24"/>
        </w:rPr>
        <w:t xml:space="preserve"> de dos mil veintiséis</w:t>
      </w:r>
      <w:r w:rsidRPr="00317CCD">
        <w:rPr>
          <w:rFonts w:ascii="Palatino Linotype" w:hAnsi="Palatino Linotype" w:cs="Arial"/>
          <w:sz w:val="24"/>
          <w:szCs w:val="24"/>
        </w:rPr>
        <w:t xml:space="preserve">, en términos del artículo 185 fracción VI de la Ley de Transparencia y Acceso a la </w:t>
      </w:r>
      <w:r w:rsidRPr="00317CCD">
        <w:rPr>
          <w:rFonts w:ascii="Palatino Linotype" w:hAnsi="Palatino Linotype" w:cs="Arial"/>
          <w:sz w:val="24"/>
          <w:szCs w:val="24"/>
        </w:rPr>
        <w:lastRenderedPageBreak/>
        <w:t>Información Pública del Estado de México y Municipios, ordenándose turnar el expediente a la resolución que en derecho proceda.</w:t>
      </w:r>
    </w:p>
    <w:p w14:paraId="46DB6009"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6900052B" w14:textId="77777777" w:rsidR="00B62C8D" w:rsidRPr="00317CCD" w:rsidRDefault="00B62C8D" w:rsidP="00B62C8D">
      <w:pPr>
        <w:spacing w:after="0" w:line="360" w:lineRule="auto"/>
        <w:jc w:val="center"/>
        <w:rPr>
          <w:rFonts w:ascii="Palatino Linotype" w:eastAsia="Palatino Linotype" w:hAnsi="Palatino Linotype" w:cs="Palatino Linotype"/>
          <w:sz w:val="24"/>
          <w:szCs w:val="24"/>
        </w:rPr>
      </w:pPr>
      <w:r w:rsidRPr="00317CCD">
        <w:rPr>
          <w:rFonts w:ascii="Palatino Linotype" w:eastAsia="Palatino Linotype" w:hAnsi="Palatino Linotype" w:cs="Palatino Linotype"/>
          <w:b/>
          <w:sz w:val="28"/>
          <w:szCs w:val="28"/>
        </w:rPr>
        <w:t xml:space="preserve">C O N S I D E R A N D O </w:t>
      </w:r>
    </w:p>
    <w:p w14:paraId="40D342E6"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03BA4A33" w14:textId="77777777" w:rsidR="00B62C8D" w:rsidRPr="00317CCD" w:rsidRDefault="00B62C8D" w:rsidP="00B62C8D">
      <w:pPr>
        <w:spacing w:after="0" w:line="360" w:lineRule="auto"/>
        <w:jc w:val="both"/>
        <w:rPr>
          <w:rFonts w:ascii="Palatino Linotype" w:eastAsia="Palatino Linotype" w:hAnsi="Palatino Linotype" w:cs="Palatino Linotype"/>
          <w:sz w:val="28"/>
          <w:szCs w:val="24"/>
        </w:rPr>
      </w:pPr>
      <w:r w:rsidRPr="00317CCD">
        <w:rPr>
          <w:rFonts w:ascii="Palatino Linotype" w:eastAsia="Palatino Linotype" w:hAnsi="Palatino Linotype" w:cs="Palatino Linotype"/>
          <w:b/>
          <w:sz w:val="28"/>
          <w:szCs w:val="24"/>
        </w:rPr>
        <w:t>PRIMERO. De la competencia</w:t>
      </w:r>
      <w:r w:rsidRPr="00317CCD">
        <w:rPr>
          <w:rFonts w:ascii="Palatino Linotype" w:eastAsia="Palatino Linotype" w:hAnsi="Palatino Linotype" w:cs="Palatino Linotype"/>
          <w:sz w:val="28"/>
          <w:szCs w:val="24"/>
        </w:rPr>
        <w:t>.</w:t>
      </w:r>
    </w:p>
    <w:p w14:paraId="1CBD356F" w14:textId="77777777" w:rsidR="00B62C8D" w:rsidRPr="00317CCD" w:rsidRDefault="00B62C8D" w:rsidP="00B62C8D">
      <w:pPr>
        <w:spacing w:after="0" w:line="360" w:lineRule="auto"/>
        <w:jc w:val="both"/>
        <w:rPr>
          <w:rFonts w:ascii="Palatino Linotype" w:hAnsi="Palatino Linotype"/>
          <w:sz w:val="24"/>
          <w:lang w:val="es-ES"/>
        </w:rPr>
      </w:pPr>
      <w:r w:rsidRPr="00317CCD">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1B7B1ED"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1F319955" w14:textId="77777777" w:rsidR="00B62C8D" w:rsidRPr="00317CCD" w:rsidRDefault="00B62C8D" w:rsidP="00B62C8D">
      <w:pPr>
        <w:spacing w:after="0" w:line="360" w:lineRule="auto"/>
        <w:jc w:val="both"/>
        <w:rPr>
          <w:rFonts w:ascii="Palatino Linotype" w:eastAsia="Palatino Linotype" w:hAnsi="Palatino Linotype" w:cs="Palatino Linotype"/>
          <w:sz w:val="28"/>
          <w:szCs w:val="24"/>
        </w:rPr>
      </w:pPr>
      <w:r w:rsidRPr="00317CCD">
        <w:rPr>
          <w:rFonts w:ascii="Palatino Linotype" w:eastAsia="Palatino Linotype" w:hAnsi="Palatino Linotype" w:cs="Palatino Linotype"/>
          <w:b/>
          <w:sz w:val="28"/>
          <w:szCs w:val="24"/>
        </w:rPr>
        <w:t>SEGUNDO. De la Oportunidad y Procedencia del Recurso de Revisión</w:t>
      </w:r>
      <w:r w:rsidRPr="00317CCD">
        <w:rPr>
          <w:rFonts w:ascii="Palatino Linotype" w:eastAsia="Palatino Linotype" w:hAnsi="Palatino Linotype" w:cs="Palatino Linotype"/>
          <w:sz w:val="28"/>
          <w:szCs w:val="24"/>
        </w:rPr>
        <w:t>.</w:t>
      </w:r>
    </w:p>
    <w:p w14:paraId="4CD40940" w14:textId="77777777" w:rsidR="00B62C8D" w:rsidRPr="00317CCD" w:rsidRDefault="00B62C8D" w:rsidP="00B62C8D">
      <w:pPr>
        <w:spacing w:after="0" w:line="360" w:lineRule="auto"/>
        <w:jc w:val="both"/>
        <w:rPr>
          <w:rFonts w:ascii="Palatino Linotype" w:eastAsia="Palatino Linotype" w:hAnsi="Palatino Linotype" w:cs="Palatino Linotype"/>
          <w:b/>
          <w:sz w:val="24"/>
          <w:szCs w:val="24"/>
        </w:rPr>
      </w:pPr>
      <w:r w:rsidRPr="00317CCD">
        <w:rPr>
          <w:rFonts w:ascii="Palatino Linotype" w:eastAsia="Palatino Linotype" w:hAnsi="Palatino Linotype" w:cs="Palatino Linotype"/>
          <w:sz w:val="24"/>
          <w:szCs w:val="24"/>
        </w:rPr>
        <w:t xml:space="preserve">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w:t>
      </w:r>
      <w:r w:rsidRPr="00317CCD">
        <w:rPr>
          <w:rFonts w:ascii="Palatino Linotype" w:eastAsia="Palatino Linotype" w:hAnsi="Palatino Linotype" w:cs="Palatino Linotype"/>
          <w:sz w:val="24"/>
          <w:szCs w:val="24"/>
        </w:rPr>
        <w:lastRenderedPageBreak/>
        <w:t>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7D73BF01"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5C7372A3"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317CCD">
        <w:rPr>
          <w:rFonts w:ascii="Palatino Linotype" w:eastAsia="Palatino Linotype" w:hAnsi="Palatino Linotype" w:cs="Palatino Linotype"/>
          <w:b/>
          <w:sz w:val="24"/>
          <w:szCs w:val="24"/>
        </w:rPr>
        <w:t>Recurrente</w:t>
      </w:r>
      <w:r w:rsidRPr="00317CCD">
        <w:rPr>
          <w:rFonts w:ascii="Palatino Linotype" w:eastAsia="Palatino Linotype" w:hAnsi="Palatino Linotype" w:cs="Palatino Linotype"/>
          <w:sz w:val="24"/>
          <w:szCs w:val="24"/>
        </w:rPr>
        <w:t xml:space="preserve">, por lo que, en el presente caso, al haber sido presentado el recurso de revisión vía </w:t>
      </w:r>
      <w:r w:rsidRPr="00317CCD">
        <w:rPr>
          <w:rFonts w:ascii="Palatino Linotype" w:eastAsia="Palatino Linotype" w:hAnsi="Palatino Linotype" w:cs="Palatino Linotype"/>
          <w:b/>
          <w:sz w:val="24"/>
          <w:szCs w:val="24"/>
        </w:rPr>
        <w:t>SAIMEX</w:t>
      </w:r>
      <w:r w:rsidRPr="00317CCD">
        <w:rPr>
          <w:rFonts w:ascii="Palatino Linotype" w:eastAsia="Palatino Linotype" w:hAnsi="Palatino Linotype" w:cs="Palatino Linotype"/>
          <w:sz w:val="24"/>
          <w:szCs w:val="24"/>
        </w:rPr>
        <w:t>, dicho requisito resulta innecesario.</w:t>
      </w:r>
    </w:p>
    <w:p w14:paraId="5401B8FF"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6122EA0C" w14:textId="77777777" w:rsidR="00B62C8D" w:rsidRPr="00317CCD" w:rsidRDefault="00B62C8D" w:rsidP="00B62C8D">
      <w:pPr>
        <w:spacing w:before="240" w:after="240" w:line="360" w:lineRule="auto"/>
        <w:jc w:val="both"/>
        <w:rPr>
          <w:rFonts w:ascii="Palatino Linotype" w:eastAsia="Palatino Linotype" w:hAnsi="Palatino Linotype" w:cs="Palatino Linotype"/>
          <w:i/>
          <w:sz w:val="24"/>
          <w:szCs w:val="24"/>
        </w:rPr>
      </w:pPr>
      <w:r w:rsidRPr="00317CCD">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hipótesis jurídica que se actualiza en este caso, aunado a que la parte </w:t>
      </w:r>
      <w:r w:rsidRPr="00317CCD">
        <w:rPr>
          <w:rFonts w:ascii="Palatino Linotype" w:eastAsia="Palatino Linotype" w:hAnsi="Palatino Linotype" w:cs="Palatino Linotype"/>
          <w:b/>
          <w:sz w:val="24"/>
          <w:szCs w:val="24"/>
        </w:rPr>
        <w:t>Recurrente</w:t>
      </w:r>
      <w:r w:rsidRPr="00317CCD">
        <w:rPr>
          <w:rFonts w:ascii="Palatino Linotype" w:eastAsia="Palatino Linotype" w:hAnsi="Palatino Linotype" w:cs="Palatino Linotype"/>
          <w:sz w:val="24"/>
          <w:szCs w:val="24"/>
        </w:rPr>
        <w:t xml:space="preserve"> combate falta de trámite por 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y expresa motivos de inconformidad en contra de dicha circunstancia.</w:t>
      </w:r>
    </w:p>
    <w:p w14:paraId="1379BF48"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40ABD65E"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317CCD">
        <w:rPr>
          <w:rFonts w:ascii="Palatino Linotype" w:eastAsia="Palatino Linotype" w:hAnsi="Palatino Linotype" w:cs="Palatino Linotype"/>
          <w:sz w:val="24"/>
          <w:szCs w:val="24"/>
        </w:rPr>
        <w:lastRenderedPageBreak/>
        <w:t>por las partes, que resulte dable abordar, encontrándose actualizados todos los presupuestos procedimentales para atender el fondo del asunto, en los términos del considerando posterior.</w:t>
      </w:r>
    </w:p>
    <w:p w14:paraId="1B4BAA3E"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40CEDB0C" w14:textId="77777777" w:rsidR="00B62C8D" w:rsidRPr="00317CCD" w:rsidRDefault="00B62C8D" w:rsidP="00B62C8D">
      <w:pPr>
        <w:widowControl w:val="0"/>
        <w:spacing w:after="0" w:line="360" w:lineRule="auto"/>
        <w:jc w:val="both"/>
        <w:rPr>
          <w:rFonts w:ascii="Palatino Linotype" w:eastAsia="Palatino Linotype" w:hAnsi="Palatino Linotype" w:cs="Palatino Linotype"/>
          <w:b/>
          <w:sz w:val="28"/>
          <w:szCs w:val="28"/>
        </w:rPr>
      </w:pPr>
      <w:r w:rsidRPr="00317CCD">
        <w:rPr>
          <w:rFonts w:ascii="Palatino Linotype" w:eastAsia="Palatino Linotype" w:hAnsi="Palatino Linotype" w:cs="Palatino Linotype"/>
          <w:b/>
          <w:sz w:val="28"/>
          <w:szCs w:val="28"/>
        </w:rPr>
        <w:t xml:space="preserve">TERCERO. Estudio y resolución del asunto. </w:t>
      </w:r>
    </w:p>
    <w:p w14:paraId="5AB642FC" w14:textId="77777777" w:rsidR="00B62C8D" w:rsidRPr="00317CCD" w:rsidRDefault="00B62C8D" w:rsidP="00B62C8D">
      <w:pPr>
        <w:spacing w:after="0" w:line="360" w:lineRule="auto"/>
        <w:jc w:val="both"/>
        <w:rPr>
          <w:rFonts w:ascii="Palatino Linotype" w:eastAsia="Palatino Linotype" w:hAnsi="Palatino Linotype" w:cs="Palatino Linotype"/>
          <w:color w:val="000000"/>
          <w:sz w:val="24"/>
          <w:szCs w:val="24"/>
        </w:rPr>
      </w:pPr>
      <w:r w:rsidRPr="00317CCD">
        <w:rPr>
          <w:rFonts w:ascii="Palatino Linotype" w:eastAsia="Palatino Linotype" w:hAnsi="Palatino Linotype" w:cs="Palatino Linotype"/>
          <w:sz w:val="24"/>
          <w:szCs w:val="24"/>
        </w:rPr>
        <w:t xml:space="preserve">El derecho de acceso a la información pública es un </w:t>
      </w:r>
      <w:r w:rsidRPr="00317CCD">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1D349F68"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06D414CD"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14:paraId="112EC2E9"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49F80E3B"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lastRenderedPageBreak/>
        <w:t xml:space="preserve">Asimismo, los motivos o razones de inconformidad expuestos por la parte Recurrente, se adolece de la falta de respuesta a la solicitud de acceso a la información formulada, por lo que se actualiza la causal de procedencia establecida </w:t>
      </w:r>
      <w:r w:rsidRPr="00317CCD">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317CCD">
        <w:rPr>
          <w:rFonts w:ascii="Palatino Linotype" w:eastAsia="Palatino Linotype" w:hAnsi="Palatino Linotype" w:cs="Palatino Linotype"/>
          <w:b/>
          <w:color w:val="000000"/>
          <w:sz w:val="24"/>
          <w:szCs w:val="24"/>
        </w:rPr>
        <w:t xml:space="preserve"> </w:t>
      </w:r>
      <w:r w:rsidRPr="00317CCD">
        <w:rPr>
          <w:rFonts w:ascii="Palatino Linotype" w:eastAsia="Palatino Linotype" w:hAnsi="Palatino Linotype" w:cs="Palatino Linotype"/>
          <w:color w:val="000000"/>
          <w:sz w:val="24"/>
          <w:szCs w:val="24"/>
        </w:rPr>
        <w:t>y</w:t>
      </w:r>
      <w:r w:rsidRPr="00317CCD">
        <w:rPr>
          <w:rFonts w:ascii="Palatino Linotype" w:eastAsia="Palatino Linotype" w:hAnsi="Palatino Linotype" w:cs="Palatino Linotype"/>
          <w:b/>
          <w:color w:val="000000"/>
          <w:sz w:val="24"/>
          <w:szCs w:val="24"/>
        </w:rPr>
        <w:t xml:space="preserve"> </w:t>
      </w:r>
      <w:r w:rsidRPr="00317CCD">
        <w:rPr>
          <w:rFonts w:ascii="Palatino Linotype" w:eastAsia="Palatino Linotype" w:hAnsi="Palatino Linotype" w:cs="Palatino Linotype"/>
          <w:sz w:val="24"/>
          <w:szCs w:val="24"/>
        </w:rPr>
        <w:t>por tanto, procedente la interposición del recurso de revisión.</w:t>
      </w:r>
    </w:p>
    <w:p w14:paraId="4C46C001"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5140C6A5"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En consecuencia, las razones o motivos de inconformidad hechos valer, resultan </w:t>
      </w:r>
      <w:r w:rsidRPr="00317CCD">
        <w:rPr>
          <w:rFonts w:ascii="Palatino Linotype" w:eastAsia="Palatino Linotype" w:hAnsi="Palatino Linotype" w:cs="Palatino Linotype"/>
          <w:b/>
          <w:sz w:val="24"/>
          <w:szCs w:val="24"/>
        </w:rPr>
        <w:t>fundadas y procedentes</w:t>
      </w:r>
      <w:r w:rsidRPr="00317CCD">
        <w:rPr>
          <w:rFonts w:ascii="Palatino Linotype" w:eastAsia="Palatino Linotype" w:hAnsi="Palatino Linotype" w:cs="Palatino Linotype"/>
          <w:sz w:val="24"/>
          <w:szCs w:val="24"/>
        </w:rPr>
        <w:t xml:space="preserve">, en virtud de las constancias que obran en el expediente electrónico SAIMEX, se acredita que 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fue omiso en responder la solicitud de información hecha por la parte </w:t>
      </w:r>
      <w:r w:rsidRPr="00317CCD">
        <w:rPr>
          <w:rFonts w:ascii="Palatino Linotype" w:eastAsia="Palatino Linotype" w:hAnsi="Palatino Linotype" w:cs="Palatino Linotype"/>
          <w:b/>
          <w:sz w:val="24"/>
          <w:szCs w:val="24"/>
        </w:rPr>
        <w:t>Recurrente</w:t>
      </w:r>
      <w:r w:rsidRPr="00317CCD">
        <w:rPr>
          <w:rFonts w:ascii="Palatino Linotype" w:eastAsia="Palatino Linotype" w:hAnsi="Palatino Linotype" w:cs="Palatino Linotype"/>
          <w:sz w:val="24"/>
          <w:szCs w:val="24"/>
        </w:rPr>
        <w:t xml:space="preserve">, es decir, incumplió las obligaciones que se le imponen como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3D119171"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66056C4C" w14:textId="77777777" w:rsidR="00B62C8D" w:rsidRPr="00317CCD"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79188E0D" w14:textId="77777777" w:rsidR="00B62C8D" w:rsidRPr="00317CCD"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14:paraId="3E0E7EE3" w14:textId="77777777" w:rsidR="00B62C8D" w:rsidRPr="00317CCD"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268F2C" w14:textId="77777777" w:rsidR="00B62C8D" w:rsidRPr="00317CCD" w:rsidRDefault="00B62C8D" w:rsidP="00B62C8D">
      <w:pPr>
        <w:widowControl w:val="0"/>
        <w:tabs>
          <w:tab w:val="left" w:pos="1276"/>
        </w:tabs>
        <w:spacing w:line="360" w:lineRule="auto"/>
        <w:jc w:val="both"/>
        <w:rPr>
          <w:rFonts w:ascii="Palatino Linotype" w:eastAsia="Palatino Linotype" w:hAnsi="Palatino Linotype" w:cs="Palatino Linotype"/>
          <w:sz w:val="24"/>
          <w:szCs w:val="24"/>
        </w:rPr>
      </w:pPr>
    </w:p>
    <w:p w14:paraId="5B4F7A7A"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131A7EF4"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7A8507F1" w14:textId="77777777" w:rsidR="00B62C8D" w:rsidRPr="00317CCD" w:rsidRDefault="00B62C8D" w:rsidP="00B62C8D">
      <w:pPr>
        <w:spacing w:after="0" w:line="360" w:lineRule="auto"/>
        <w:jc w:val="both"/>
        <w:rPr>
          <w:rFonts w:ascii="Palatino Linotype" w:eastAsia="Palatino Linotype" w:hAnsi="Palatino Linotype" w:cs="Palatino Linotype"/>
          <w:i/>
          <w:sz w:val="24"/>
          <w:szCs w:val="24"/>
        </w:rPr>
      </w:pPr>
      <w:r w:rsidRPr="00317CCD">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317CCD">
        <w:rPr>
          <w:rFonts w:ascii="Palatino Linotype" w:eastAsia="Palatino Linotype" w:hAnsi="Palatino Linotype" w:cs="Palatino Linotype"/>
          <w:i/>
          <w:sz w:val="24"/>
          <w:szCs w:val="24"/>
        </w:rPr>
        <w:t xml:space="preserve">procedimiento de acceso a la información es la garantía primaria del derecho en cuestión, </w:t>
      </w:r>
      <w:r w:rsidRPr="00317CCD">
        <w:rPr>
          <w:rFonts w:ascii="Palatino Linotype" w:eastAsia="Palatino Linotype" w:hAnsi="Palatino Linotype" w:cs="Palatino Linotype"/>
          <w:sz w:val="24"/>
          <w:szCs w:val="24"/>
        </w:rPr>
        <w:t xml:space="preserve">por lo tanto, la falta de respuesta a una solicitud de acceso a la información constituye un incumplimiento </w:t>
      </w:r>
      <w:r w:rsidRPr="00317CCD">
        <w:rPr>
          <w:rFonts w:ascii="Palatino Linotype" w:eastAsia="Palatino Linotype" w:hAnsi="Palatino Linotype" w:cs="Palatino Linotype"/>
          <w:sz w:val="24"/>
          <w:szCs w:val="24"/>
        </w:rPr>
        <w:lastRenderedPageBreak/>
        <w:t xml:space="preserve">del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a su deber de garantizar el derecho, lo que constituye una vulneración al mismo.</w:t>
      </w:r>
    </w:p>
    <w:p w14:paraId="5C8E9652"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6529A5AC"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Por lo que, en cumplimiento a esta resolución, el </w:t>
      </w:r>
      <w:r w:rsidRPr="00317CCD">
        <w:rPr>
          <w:rFonts w:ascii="Palatino Linotype" w:eastAsia="Palatino Linotype" w:hAnsi="Palatino Linotype" w:cs="Palatino Linotype"/>
          <w:b/>
          <w:sz w:val="24"/>
          <w:szCs w:val="24"/>
        </w:rPr>
        <w:t xml:space="preserve">Sujeto Obligado </w:t>
      </w:r>
      <w:r w:rsidRPr="00317CCD">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9C5A82E"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7ED1A760"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4C0F16B2" w14:textId="77777777" w:rsidR="00B62C8D" w:rsidRPr="00317CCD" w:rsidRDefault="00B62C8D" w:rsidP="00B62C8D">
      <w:pPr>
        <w:numPr>
          <w:ilvl w:val="0"/>
          <w:numId w:val="2"/>
        </w:numPr>
        <w:spacing w:after="0" w:line="360" w:lineRule="auto"/>
        <w:jc w:val="both"/>
        <w:rPr>
          <w:b/>
          <w:sz w:val="28"/>
          <w:szCs w:val="28"/>
        </w:rPr>
      </w:pPr>
      <w:r w:rsidRPr="00317CCD">
        <w:rPr>
          <w:rFonts w:ascii="Palatino Linotype" w:eastAsia="Palatino Linotype" w:hAnsi="Palatino Linotype" w:cs="Palatino Linotype"/>
          <w:b/>
          <w:sz w:val="28"/>
          <w:szCs w:val="28"/>
        </w:rPr>
        <w:t>De la clasificación de la información</w:t>
      </w:r>
    </w:p>
    <w:p w14:paraId="79E67836"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199EAFBF"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p>
    <w:p w14:paraId="77C8FD3D"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74A7F89B"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6AF93E6E"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bookmarkStart w:id="1" w:name="_gjdgxs" w:colFirst="0" w:colLast="0"/>
      <w:bookmarkEnd w:id="1"/>
      <w:r w:rsidRPr="00317CCD">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76DCDFFE"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128A11FB"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5E083A7"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212783B9"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03F512D3"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6BDFC81F"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30D3232" w14:textId="77777777" w:rsidR="00B62C8D" w:rsidRPr="00317CCD" w:rsidRDefault="00B62C8D" w:rsidP="00B62C8D">
      <w:pPr>
        <w:spacing w:line="360" w:lineRule="auto"/>
        <w:ind w:right="51"/>
        <w:jc w:val="both"/>
        <w:rPr>
          <w:rFonts w:ascii="Palatino Linotype" w:eastAsia="Palatino Linotype" w:hAnsi="Palatino Linotype" w:cs="Palatino Linotype"/>
          <w:sz w:val="24"/>
          <w:szCs w:val="24"/>
        </w:rPr>
      </w:pPr>
    </w:p>
    <w:p w14:paraId="2C4B4F0E"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02489FA"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p>
    <w:p w14:paraId="74CE2E02"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4C7FC0A" w14:textId="77777777" w:rsidR="00B62C8D" w:rsidRPr="00317CCD" w:rsidRDefault="00B62C8D" w:rsidP="00B62C8D">
      <w:pPr>
        <w:spacing w:line="360" w:lineRule="auto"/>
        <w:jc w:val="both"/>
        <w:rPr>
          <w:rFonts w:ascii="Palatino Linotype" w:eastAsia="Palatino Linotype" w:hAnsi="Palatino Linotype" w:cs="Palatino Linotype"/>
          <w:sz w:val="24"/>
          <w:szCs w:val="24"/>
        </w:rPr>
      </w:pPr>
    </w:p>
    <w:p w14:paraId="271CC21C"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154F61AC"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2162D17D"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17CCD">
        <w:rPr>
          <w:rFonts w:ascii="Palatino Linotype" w:eastAsia="Palatino Linotype" w:hAnsi="Palatino Linotype" w:cs="Palatino Linotype"/>
          <w:i/>
          <w:sz w:val="24"/>
          <w:szCs w:val="24"/>
        </w:rPr>
        <w:t>.</w:t>
      </w:r>
    </w:p>
    <w:p w14:paraId="670B5F41"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3A523F51" w14:textId="77777777" w:rsidR="00B62C8D" w:rsidRPr="00317CCD" w:rsidRDefault="00B62C8D" w:rsidP="00B62C8D">
      <w:pPr>
        <w:numPr>
          <w:ilvl w:val="0"/>
          <w:numId w:val="3"/>
        </w:numPr>
        <w:tabs>
          <w:tab w:val="left" w:pos="7938"/>
        </w:tabs>
        <w:spacing w:after="0" w:line="360" w:lineRule="auto"/>
        <w:ind w:left="426"/>
        <w:jc w:val="both"/>
        <w:rPr>
          <w:b/>
          <w:sz w:val="28"/>
          <w:szCs w:val="28"/>
        </w:rPr>
      </w:pPr>
      <w:r w:rsidRPr="00317CCD">
        <w:rPr>
          <w:rFonts w:ascii="Palatino Linotype" w:eastAsia="Palatino Linotype" w:hAnsi="Palatino Linotype" w:cs="Palatino Linotype"/>
          <w:b/>
          <w:sz w:val="28"/>
          <w:szCs w:val="28"/>
        </w:rPr>
        <w:t xml:space="preserve">De la vista a los órganos de control interno competentes </w:t>
      </w:r>
    </w:p>
    <w:p w14:paraId="0053E630" w14:textId="77777777" w:rsidR="00B62C8D" w:rsidRPr="00317CCD" w:rsidRDefault="00B62C8D" w:rsidP="00B62C8D">
      <w:pPr>
        <w:spacing w:line="360" w:lineRule="auto"/>
        <w:ind w:right="49"/>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Como ya se mencionó el</w:t>
      </w:r>
      <w:r w:rsidRPr="00317CCD">
        <w:rPr>
          <w:rFonts w:ascii="Palatino Linotype" w:eastAsia="Palatino Linotype" w:hAnsi="Palatino Linotype" w:cs="Palatino Linotype"/>
          <w:b/>
          <w:sz w:val="24"/>
          <w:szCs w:val="24"/>
        </w:rPr>
        <w:t xml:space="preserve"> Sujeto Obligado</w:t>
      </w:r>
      <w:r w:rsidRPr="00317CCD">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17CCD">
        <w:rPr>
          <w:rFonts w:ascii="Palatino Linotype" w:eastAsia="Palatino Linotype" w:hAnsi="Palatino Linotype" w:cs="Palatino Linotype"/>
          <w:b/>
          <w:sz w:val="24"/>
          <w:szCs w:val="24"/>
        </w:rPr>
        <w:t xml:space="preserve"> </w:t>
      </w:r>
      <w:r w:rsidRPr="00317CCD">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w:t>
      </w:r>
      <w:r w:rsidRPr="00317CCD">
        <w:rPr>
          <w:rFonts w:ascii="Palatino Linotype" w:eastAsia="Palatino Linotype" w:hAnsi="Palatino Linotype" w:cs="Palatino Linotype"/>
          <w:sz w:val="24"/>
          <w:szCs w:val="24"/>
        </w:rPr>
        <w:lastRenderedPageBreak/>
        <w:t>Interior del Instituto de Transparencia, Acceso a la Información y Protección de Datos Personales del Estado de México y Municipios, se determine lo conducente.</w:t>
      </w:r>
    </w:p>
    <w:p w14:paraId="2DB27829" w14:textId="77777777" w:rsidR="00B62C8D" w:rsidRPr="00317CCD" w:rsidRDefault="00B62C8D" w:rsidP="00B62C8D">
      <w:pPr>
        <w:spacing w:line="360" w:lineRule="auto"/>
        <w:ind w:right="49"/>
        <w:jc w:val="both"/>
        <w:rPr>
          <w:rFonts w:ascii="Palatino Linotype" w:eastAsia="Palatino Linotype" w:hAnsi="Palatino Linotype" w:cs="Palatino Linotype"/>
          <w:sz w:val="24"/>
          <w:szCs w:val="24"/>
        </w:rPr>
      </w:pPr>
    </w:p>
    <w:p w14:paraId="32B883A1"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317CCD">
        <w:rPr>
          <w:rFonts w:ascii="Palatino Linotype" w:eastAsia="Palatino Linotype" w:hAnsi="Palatino Linotype" w:cs="Palatino Linotype"/>
          <w:b/>
          <w:sz w:val="24"/>
          <w:szCs w:val="24"/>
        </w:rPr>
        <w:t>ORDENA</w:t>
      </w:r>
      <w:r w:rsidRPr="00317CCD">
        <w:rPr>
          <w:rFonts w:ascii="Palatino Linotype" w:eastAsia="Palatino Linotype" w:hAnsi="Palatino Linotype" w:cs="Palatino Linotype"/>
          <w:sz w:val="24"/>
          <w:szCs w:val="24"/>
        </w:rPr>
        <w:t xml:space="preserve"> al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atienda las solicitudes de información </w:t>
      </w:r>
      <w:r w:rsidR="00207EA7" w:rsidRPr="00317CCD">
        <w:rPr>
          <w:rFonts w:ascii="Palatino Linotype" w:eastAsia="Palatino Linotype" w:hAnsi="Palatino Linotype" w:cs="Palatino Linotype"/>
          <w:b/>
          <w:sz w:val="24"/>
          <w:szCs w:val="24"/>
        </w:rPr>
        <w:t>00013/IMCUFIDETEPO/IP/2026</w:t>
      </w:r>
      <w:r w:rsidRPr="00317CCD">
        <w:rPr>
          <w:rFonts w:ascii="Palatino Linotype" w:eastAsia="Palatino Linotype" w:hAnsi="Palatino Linotype" w:cs="Palatino Linotype"/>
          <w:b/>
          <w:sz w:val="24"/>
          <w:szCs w:val="24"/>
        </w:rPr>
        <w:t>,</w:t>
      </w:r>
      <w:r w:rsidRPr="00317CCD">
        <w:rPr>
          <w:rFonts w:ascii="Palatino Linotype" w:eastAsia="Palatino Linotype" w:hAnsi="Palatino Linotype" w:cs="Palatino Linotype"/>
          <w:sz w:val="24"/>
          <w:szCs w:val="24"/>
        </w:rPr>
        <w:t xml:space="preserve"> que han sido materia del presente fallo</w:t>
      </w:r>
    </w:p>
    <w:p w14:paraId="6B9E8B55"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Por lo antes expuesto y fundado es de resolverse y,</w:t>
      </w:r>
    </w:p>
    <w:p w14:paraId="3C541F89"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024A94BA" w14:textId="77777777" w:rsidR="00B62C8D" w:rsidRPr="00317CCD" w:rsidRDefault="00B62C8D" w:rsidP="00B62C8D">
      <w:pPr>
        <w:spacing w:after="0" w:line="360" w:lineRule="auto"/>
        <w:ind w:left="426"/>
        <w:jc w:val="center"/>
        <w:rPr>
          <w:rFonts w:ascii="Palatino Linotype" w:eastAsia="Palatino Linotype" w:hAnsi="Palatino Linotype" w:cs="Palatino Linotype"/>
          <w:b/>
          <w:color w:val="000000"/>
          <w:sz w:val="28"/>
          <w:szCs w:val="28"/>
        </w:rPr>
      </w:pPr>
      <w:r w:rsidRPr="00317CCD">
        <w:rPr>
          <w:rFonts w:ascii="Palatino Linotype" w:eastAsia="Palatino Linotype" w:hAnsi="Palatino Linotype" w:cs="Palatino Linotype"/>
          <w:b/>
          <w:color w:val="000000"/>
          <w:sz w:val="28"/>
          <w:szCs w:val="28"/>
        </w:rPr>
        <w:t>SE    RESUELVE</w:t>
      </w:r>
    </w:p>
    <w:p w14:paraId="023861C4" w14:textId="77777777" w:rsidR="00B62C8D" w:rsidRPr="00317CCD" w:rsidRDefault="00B62C8D" w:rsidP="00B62C8D">
      <w:pPr>
        <w:spacing w:after="0" w:line="360" w:lineRule="auto"/>
        <w:ind w:left="426"/>
        <w:jc w:val="center"/>
        <w:rPr>
          <w:rFonts w:ascii="Palatino Linotype" w:eastAsia="Palatino Linotype" w:hAnsi="Palatino Linotype" w:cs="Palatino Linotype"/>
          <w:b/>
          <w:color w:val="000000"/>
          <w:sz w:val="28"/>
          <w:szCs w:val="28"/>
        </w:rPr>
      </w:pPr>
    </w:p>
    <w:p w14:paraId="480B468A"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b/>
          <w:sz w:val="28"/>
          <w:szCs w:val="28"/>
        </w:rPr>
        <w:t>PRIMERO.</w:t>
      </w:r>
      <w:r w:rsidRPr="00317CCD">
        <w:rPr>
          <w:rFonts w:ascii="Palatino Linotype" w:eastAsia="Palatino Linotype" w:hAnsi="Palatino Linotype" w:cs="Palatino Linotype"/>
          <w:sz w:val="24"/>
          <w:szCs w:val="24"/>
        </w:rPr>
        <w:t xml:space="preserve"> Resultan fundadas las razones o motivos de inconformidad hechos valer por la parte </w:t>
      </w:r>
      <w:r w:rsidRPr="00317CCD">
        <w:rPr>
          <w:rFonts w:ascii="Palatino Linotype" w:eastAsia="Palatino Linotype" w:hAnsi="Palatino Linotype" w:cs="Palatino Linotype"/>
          <w:b/>
          <w:sz w:val="24"/>
          <w:szCs w:val="24"/>
        </w:rPr>
        <w:t>Recurrente,</w:t>
      </w:r>
      <w:r w:rsidRPr="00317CCD">
        <w:rPr>
          <w:rFonts w:ascii="Palatino Linotype" w:eastAsia="Palatino Linotype" w:hAnsi="Palatino Linotype" w:cs="Palatino Linotype"/>
          <w:sz w:val="24"/>
          <w:szCs w:val="24"/>
        </w:rPr>
        <w:t xml:space="preserve"> en términos del considerando </w:t>
      </w:r>
      <w:r w:rsidRPr="00317CCD">
        <w:rPr>
          <w:rFonts w:ascii="Palatino Linotype" w:eastAsia="Palatino Linotype" w:hAnsi="Palatino Linotype" w:cs="Palatino Linotype"/>
          <w:b/>
          <w:sz w:val="24"/>
          <w:szCs w:val="24"/>
        </w:rPr>
        <w:t>TERCERO</w:t>
      </w:r>
      <w:r w:rsidRPr="00317CCD">
        <w:rPr>
          <w:rFonts w:ascii="Palatino Linotype" w:eastAsia="Palatino Linotype" w:hAnsi="Palatino Linotype" w:cs="Palatino Linotype"/>
          <w:sz w:val="24"/>
          <w:szCs w:val="24"/>
        </w:rPr>
        <w:t>, de la presente resolución.</w:t>
      </w:r>
    </w:p>
    <w:p w14:paraId="739DFEA8"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0F3F6620"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b/>
          <w:sz w:val="28"/>
          <w:szCs w:val="28"/>
        </w:rPr>
        <w:t>SEGUNDO.</w:t>
      </w:r>
      <w:r w:rsidRPr="00317CCD">
        <w:rPr>
          <w:rFonts w:ascii="Palatino Linotype" w:eastAsia="Palatino Linotype" w:hAnsi="Palatino Linotype" w:cs="Palatino Linotype"/>
          <w:sz w:val="24"/>
          <w:szCs w:val="24"/>
        </w:rPr>
        <w:t xml:space="preserve"> Se </w:t>
      </w:r>
      <w:r w:rsidRPr="00317CCD">
        <w:rPr>
          <w:rFonts w:ascii="Palatino Linotype" w:eastAsia="Palatino Linotype" w:hAnsi="Palatino Linotype" w:cs="Palatino Linotype"/>
          <w:b/>
          <w:sz w:val="24"/>
          <w:szCs w:val="24"/>
        </w:rPr>
        <w:t>ORDENA</w:t>
      </w:r>
      <w:r w:rsidRPr="00317CCD">
        <w:rPr>
          <w:rFonts w:ascii="Palatino Linotype" w:eastAsia="Palatino Linotype" w:hAnsi="Palatino Linotype" w:cs="Palatino Linotype"/>
          <w:sz w:val="24"/>
          <w:szCs w:val="24"/>
        </w:rPr>
        <w:t xml:space="preserve"> al </w:t>
      </w:r>
      <w:r w:rsidRPr="00317CCD">
        <w:rPr>
          <w:rFonts w:ascii="Palatino Linotype" w:eastAsia="Palatino Linotype" w:hAnsi="Palatino Linotype" w:cs="Palatino Linotype"/>
          <w:b/>
          <w:sz w:val="24"/>
          <w:szCs w:val="24"/>
        </w:rPr>
        <w:t>Sujeto Obligado</w:t>
      </w:r>
      <w:r w:rsidRPr="00317CCD">
        <w:rPr>
          <w:rFonts w:ascii="Palatino Linotype" w:eastAsia="Palatino Linotype" w:hAnsi="Palatino Linotype" w:cs="Palatino Linotype"/>
          <w:sz w:val="24"/>
          <w:szCs w:val="24"/>
        </w:rPr>
        <w:t xml:space="preserve"> atienda la solicitud de información </w:t>
      </w:r>
      <w:r w:rsidR="00207EA7" w:rsidRPr="00317CCD">
        <w:rPr>
          <w:rFonts w:ascii="Palatino Linotype" w:eastAsia="Palatino Linotype" w:hAnsi="Palatino Linotype" w:cs="Palatino Linotype"/>
          <w:b/>
          <w:sz w:val="24"/>
          <w:szCs w:val="24"/>
        </w:rPr>
        <w:t>00013/IMCUFIDETEPO/IP/2026</w:t>
      </w:r>
      <w:r w:rsidRPr="00317CCD">
        <w:rPr>
          <w:rFonts w:ascii="Palatino Linotype" w:eastAsia="Palatino Linotype" w:hAnsi="Palatino Linotype" w:cs="Palatino Linotype"/>
          <w:sz w:val="24"/>
          <w:szCs w:val="24"/>
        </w:rPr>
        <w:t xml:space="preserve">, vía Sistema de Acceso a la Información Mexiquense (SAIMEX), en términos del Considerando </w:t>
      </w:r>
      <w:r w:rsidRPr="00317CCD">
        <w:rPr>
          <w:rFonts w:ascii="Palatino Linotype" w:eastAsia="Palatino Linotype" w:hAnsi="Palatino Linotype" w:cs="Palatino Linotype"/>
          <w:b/>
          <w:sz w:val="24"/>
          <w:szCs w:val="24"/>
        </w:rPr>
        <w:t xml:space="preserve">TERCERO </w:t>
      </w:r>
      <w:r w:rsidRPr="00317CCD">
        <w:rPr>
          <w:rFonts w:ascii="Palatino Linotype" w:eastAsia="Palatino Linotype" w:hAnsi="Palatino Linotype" w:cs="Palatino Linotype"/>
          <w:sz w:val="24"/>
          <w:szCs w:val="24"/>
        </w:rPr>
        <w:t>de esta resolución</w:t>
      </w:r>
      <w:r w:rsidRPr="00317CCD">
        <w:rPr>
          <w:rFonts w:ascii="Palatino Linotype" w:eastAsia="Palatino Linotype" w:hAnsi="Palatino Linotype" w:cs="Palatino Linotype"/>
          <w:b/>
          <w:sz w:val="24"/>
          <w:szCs w:val="24"/>
        </w:rPr>
        <w:t>.</w:t>
      </w:r>
    </w:p>
    <w:p w14:paraId="0E3D8D1B" w14:textId="77777777" w:rsidR="00B62C8D" w:rsidRPr="00317CCD" w:rsidRDefault="00B62C8D" w:rsidP="00B62C8D">
      <w:pPr>
        <w:tabs>
          <w:tab w:val="left" w:pos="8647"/>
        </w:tabs>
        <w:spacing w:after="0" w:line="360" w:lineRule="auto"/>
        <w:ind w:right="51"/>
        <w:jc w:val="both"/>
        <w:rPr>
          <w:rFonts w:ascii="Palatino Linotype" w:eastAsia="Palatino Linotype" w:hAnsi="Palatino Linotype" w:cs="Palatino Linotype"/>
          <w:sz w:val="24"/>
          <w:szCs w:val="24"/>
        </w:rPr>
      </w:pPr>
    </w:p>
    <w:p w14:paraId="6A5AF01D" w14:textId="77777777" w:rsidR="00B62C8D" w:rsidRPr="00317CCD" w:rsidRDefault="00B62C8D" w:rsidP="00B62C8D">
      <w:pPr>
        <w:tabs>
          <w:tab w:val="left" w:pos="8647"/>
        </w:tabs>
        <w:spacing w:after="0" w:line="360" w:lineRule="auto"/>
        <w:ind w:right="51"/>
        <w:jc w:val="both"/>
        <w:rPr>
          <w:rFonts w:ascii="Palatino Linotype" w:hAnsi="Palatino Linotype" w:cs="Arial"/>
          <w:sz w:val="24"/>
          <w:szCs w:val="24"/>
        </w:rPr>
      </w:pPr>
      <w:r w:rsidRPr="00317CCD">
        <w:rPr>
          <w:rFonts w:ascii="Palatino Linotype" w:hAnsi="Palatino Linotype" w:cs="Arial"/>
          <w:b/>
          <w:sz w:val="28"/>
          <w:szCs w:val="24"/>
        </w:rPr>
        <w:t>TERCERO</w:t>
      </w:r>
      <w:r w:rsidRPr="00317CCD">
        <w:rPr>
          <w:rFonts w:ascii="Palatino Linotype" w:hAnsi="Palatino Linotype" w:cs="Arial"/>
          <w:b/>
          <w:sz w:val="24"/>
          <w:szCs w:val="24"/>
        </w:rPr>
        <w:t>.</w:t>
      </w:r>
      <w:r w:rsidRPr="00317CCD">
        <w:rPr>
          <w:rFonts w:ascii="Palatino Linotype" w:hAnsi="Palatino Linotype" w:cs="Arial"/>
          <w:sz w:val="24"/>
          <w:szCs w:val="24"/>
        </w:rPr>
        <w:t xml:space="preserve"> </w:t>
      </w:r>
      <w:r w:rsidRPr="00317CCD">
        <w:rPr>
          <w:rFonts w:ascii="Palatino Linotype" w:hAnsi="Palatino Linotype" w:cs="Arial"/>
          <w:b/>
          <w:sz w:val="24"/>
          <w:szCs w:val="24"/>
        </w:rPr>
        <w:t>Notifíquese</w:t>
      </w:r>
      <w:r w:rsidRPr="00317CCD">
        <w:rPr>
          <w:rFonts w:ascii="Palatino Linotype" w:eastAsia="Times New Roman" w:hAnsi="Palatino Linotype" w:cs="Arial"/>
          <w:sz w:val="24"/>
          <w:szCs w:val="24"/>
          <w:lang w:val="es-ES" w:eastAsia="es-ES"/>
        </w:rPr>
        <w:t xml:space="preserve"> a través del SAIMEX,</w:t>
      </w:r>
      <w:r w:rsidRPr="00317CCD">
        <w:rPr>
          <w:rFonts w:ascii="Palatino Linotype" w:hAnsi="Palatino Linotype" w:cs="Arial"/>
          <w:b/>
          <w:i/>
          <w:sz w:val="24"/>
          <w:szCs w:val="24"/>
        </w:rPr>
        <w:t xml:space="preserve"> </w:t>
      </w:r>
      <w:r w:rsidRPr="00317CCD">
        <w:rPr>
          <w:rFonts w:ascii="Palatino Linotype" w:hAnsi="Palatino Linotype" w:cs="Arial"/>
          <w:sz w:val="24"/>
          <w:szCs w:val="24"/>
        </w:rPr>
        <w:t>al Titular de la Unidad de Transparencia del</w:t>
      </w:r>
      <w:r w:rsidRPr="00317CCD">
        <w:rPr>
          <w:rFonts w:ascii="Palatino Linotype" w:hAnsi="Palatino Linotype" w:cs="Arial"/>
          <w:b/>
          <w:sz w:val="24"/>
          <w:szCs w:val="24"/>
        </w:rPr>
        <w:t xml:space="preserve"> Sujeto Obligado</w:t>
      </w:r>
      <w:r w:rsidRPr="00317CCD">
        <w:rPr>
          <w:rFonts w:ascii="Palatino Linotype" w:hAnsi="Palatino Linotype" w:cs="Arial"/>
          <w:sz w:val="24"/>
          <w:szCs w:val="24"/>
        </w:rPr>
        <w:t xml:space="preserve"> la presente resolución, para que conforme al artículo 186 último párrafo y 189 segundo párrafo de la Ley de Transparencia y Acceso </w:t>
      </w:r>
      <w:r w:rsidRPr="00317CCD">
        <w:rPr>
          <w:rFonts w:ascii="Palatino Linotype" w:hAnsi="Palatino Linotype" w:cs="Arial"/>
          <w:sz w:val="24"/>
          <w:szCs w:val="24"/>
        </w:rPr>
        <w:lastRenderedPageBreak/>
        <w:t xml:space="preserve">a la Información Pública del Estado de México y Municipios dé cumplimiento a lo ordenado dentro del plazo de diez días hábiles, debiendo informar a este Instituto en un plazo de tres días hábiles siguientes sobre el cumplimiento dado a la presente </w:t>
      </w:r>
      <w:r w:rsidRPr="00317CCD">
        <w:rPr>
          <w:rFonts w:ascii="Palatino Linotype" w:hAnsi="Palatino Linotype" w:cs="Arial"/>
          <w:b/>
          <w:sz w:val="24"/>
          <w:szCs w:val="32"/>
          <w:lang w:val="es-ES_tradnl"/>
        </w:rPr>
        <w:t>y</w:t>
      </w:r>
      <w:r w:rsidRPr="00317CCD">
        <w:rPr>
          <w:rFonts w:ascii="Palatino Linotype" w:hAnsi="Palatino Linotype" w:cs="Arial"/>
          <w:sz w:val="24"/>
          <w:szCs w:val="32"/>
          <w:lang w:val="es-ES_tradnl"/>
        </w:rPr>
        <w:t xml:space="preserve"> </w:t>
      </w:r>
      <w:r w:rsidRPr="00317CCD">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BA884A" w14:textId="77777777" w:rsidR="00B62C8D" w:rsidRPr="00317CCD" w:rsidRDefault="00B62C8D" w:rsidP="00B62C8D">
      <w:pPr>
        <w:tabs>
          <w:tab w:val="left" w:pos="8647"/>
        </w:tabs>
        <w:spacing w:after="0" w:line="360" w:lineRule="auto"/>
        <w:ind w:right="51"/>
        <w:jc w:val="both"/>
        <w:rPr>
          <w:rFonts w:ascii="Palatino Linotype" w:hAnsi="Palatino Linotype" w:cs="Arial"/>
          <w:sz w:val="24"/>
          <w:szCs w:val="24"/>
        </w:rPr>
      </w:pPr>
    </w:p>
    <w:p w14:paraId="380B4D1C" w14:textId="77777777" w:rsidR="00B62C8D" w:rsidRPr="00317CCD" w:rsidRDefault="00B62C8D" w:rsidP="00B62C8D">
      <w:pPr>
        <w:spacing w:after="0" w:line="360" w:lineRule="auto"/>
        <w:jc w:val="both"/>
        <w:rPr>
          <w:rFonts w:ascii="Palatino Linotype" w:eastAsia="Times New Roman" w:hAnsi="Palatino Linotype" w:cs="Arial"/>
          <w:sz w:val="24"/>
          <w:szCs w:val="24"/>
          <w:lang w:val="es-ES" w:eastAsia="es-ES"/>
        </w:rPr>
      </w:pPr>
      <w:r w:rsidRPr="00317CCD">
        <w:rPr>
          <w:rFonts w:ascii="Palatino Linotype" w:eastAsia="Times New Roman" w:hAnsi="Palatino Linotype" w:cs="Arial"/>
          <w:b/>
          <w:sz w:val="28"/>
          <w:szCs w:val="24"/>
          <w:lang w:val="es-ES" w:eastAsia="es-ES"/>
        </w:rPr>
        <w:t>CUARTO</w:t>
      </w:r>
      <w:r w:rsidRPr="00317CCD">
        <w:rPr>
          <w:rFonts w:ascii="Palatino Linotype" w:eastAsia="Times New Roman" w:hAnsi="Palatino Linotype" w:cs="Arial"/>
          <w:b/>
          <w:sz w:val="24"/>
          <w:szCs w:val="24"/>
          <w:lang w:val="es-ES" w:eastAsia="es-ES"/>
        </w:rPr>
        <w:t>. Notifíquese</w:t>
      </w:r>
      <w:r w:rsidRPr="00317CCD">
        <w:rPr>
          <w:rFonts w:ascii="Palatino Linotype" w:eastAsia="Times New Roman" w:hAnsi="Palatino Linotype" w:cs="Arial"/>
          <w:sz w:val="24"/>
          <w:szCs w:val="24"/>
          <w:lang w:val="es-ES" w:eastAsia="es-ES"/>
        </w:rPr>
        <w:t xml:space="preserve"> </w:t>
      </w:r>
      <w:r w:rsidRPr="00317CCD">
        <w:rPr>
          <w:rFonts w:ascii="Palatino Linotype" w:eastAsia="Times New Roman" w:hAnsi="Palatino Linotype" w:cs="Arial"/>
          <w:b/>
          <w:sz w:val="24"/>
          <w:szCs w:val="24"/>
          <w:lang w:val="es-ES" w:eastAsia="es-ES"/>
        </w:rPr>
        <w:t>a la Recurrente</w:t>
      </w:r>
      <w:r w:rsidRPr="00317CCD">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2499F6ED" w14:textId="77777777" w:rsidR="00B62C8D" w:rsidRPr="00317CCD" w:rsidRDefault="00B62C8D" w:rsidP="00B62C8D">
      <w:pPr>
        <w:spacing w:after="0" w:line="360" w:lineRule="auto"/>
        <w:jc w:val="both"/>
        <w:rPr>
          <w:rFonts w:ascii="Palatino Linotype" w:hAnsi="Palatino Linotype"/>
          <w:sz w:val="24"/>
          <w:szCs w:val="24"/>
          <w:lang w:eastAsia="es-ES_tradnl"/>
        </w:rPr>
      </w:pPr>
    </w:p>
    <w:p w14:paraId="41A2AE13" w14:textId="77777777" w:rsidR="00B62C8D" w:rsidRPr="00317CCD" w:rsidRDefault="00B62C8D" w:rsidP="00B62C8D">
      <w:pPr>
        <w:spacing w:after="0" w:line="360" w:lineRule="auto"/>
        <w:jc w:val="both"/>
        <w:rPr>
          <w:rFonts w:ascii="Palatino Linotype" w:hAnsi="Palatino Linotype" w:cs="Times New Roman"/>
          <w:sz w:val="24"/>
          <w:szCs w:val="24"/>
          <w:lang w:eastAsia="es-ES_tradnl"/>
        </w:rPr>
      </w:pPr>
      <w:r w:rsidRPr="00317CCD">
        <w:rPr>
          <w:rFonts w:ascii="Palatino Linotype" w:hAnsi="Palatino Linotype" w:cs="Times New Roman"/>
          <w:b/>
          <w:sz w:val="28"/>
          <w:szCs w:val="24"/>
          <w:lang w:eastAsia="es-ES_tradnl"/>
        </w:rPr>
        <w:t>QUINTO</w:t>
      </w:r>
      <w:r w:rsidRPr="00317CCD">
        <w:rPr>
          <w:rFonts w:ascii="Palatino Linotype" w:hAnsi="Palatino Linotype" w:cs="Times New Roman"/>
          <w:b/>
          <w:sz w:val="24"/>
          <w:szCs w:val="24"/>
          <w:lang w:eastAsia="es-ES_tradnl"/>
        </w:rPr>
        <w:t>.</w:t>
      </w:r>
      <w:r w:rsidRPr="00317CCD">
        <w:rPr>
          <w:rFonts w:ascii="Palatino Linotype" w:hAnsi="Palatino Linotype" w:cs="Times New Roman"/>
          <w:sz w:val="24"/>
          <w:szCs w:val="24"/>
          <w:lang w:eastAsia="es-ES_tradnl"/>
        </w:rPr>
        <w:t xml:space="preserve"> </w:t>
      </w:r>
      <w:r w:rsidRPr="00317CCD">
        <w:rPr>
          <w:rFonts w:ascii="Palatino Linotype" w:hAnsi="Palatino Linotype" w:cs="Times New Roman"/>
          <w:b/>
          <w:sz w:val="24"/>
          <w:szCs w:val="24"/>
          <w:lang w:eastAsia="es-ES_tradnl"/>
        </w:rPr>
        <w:t>Notifíquese</w:t>
      </w:r>
      <w:r w:rsidRPr="00317CCD">
        <w:rPr>
          <w:rFonts w:ascii="Palatino Linotype" w:hAnsi="Palatino Linotype" w:cs="Times New Roman"/>
          <w:sz w:val="24"/>
          <w:szCs w:val="24"/>
          <w:lang w:eastAsia="es-ES_tradnl"/>
        </w:rPr>
        <w:t xml:space="preserve"> al </w:t>
      </w:r>
      <w:r w:rsidRPr="00317CCD">
        <w:rPr>
          <w:rFonts w:ascii="Palatino Linotype" w:hAnsi="Palatino Linotype" w:cs="Times New Roman"/>
          <w:b/>
          <w:sz w:val="24"/>
          <w:szCs w:val="24"/>
          <w:lang w:eastAsia="es-ES_tradnl"/>
        </w:rPr>
        <w:t>Recurrente</w:t>
      </w:r>
      <w:r w:rsidRPr="00317CCD">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317CCD">
        <w:rPr>
          <w:rFonts w:ascii="Palatino Linotype" w:hAnsi="Palatino Linotype" w:cs="Times New Roman"/>
          <w:b/>
          <w:sz w:val="24"/>
          <w:szCs w:val="24"/>
          <w:lang w:eastAsia="es-ES_tradnl"/>
        </w:rPr>
        <w:t>Sujeto Obligado</w:t>
      </w:r>
      <w:r w:rsidRPr="00317CCD">
        <w:rPr>
          <w:rFonts w:ascii="Palatino Linotype" w:hAnsi="Palatino Linotype" w:cs="Times New Roman"/>
          <w:sz w:val="24"/>
          <w:szCs w:val="24"/>
          <w:lang w:eastAsia="es-ES_tradnl"/>
        </w:rPr>
        <w:t>, en cumplimiento a esta Resolución.</w:t>
      </w:r>
    </w:p>
    <w:p w14:paraId="18FCEFCA" w14:textId="77777777" w:rsidR="00B62C8D" w:rsidRPr="00317CCD" w:rsidRDefault="00B62C8D" w:rsidP="00B62C8D">
      <w:pPr>
        <w:spacing w:after="0" w:line="360" w:lineRule="auto"/>
        <w:jc w:val="both"/>
        <w:rPr>
          <w:rFonts w:ascii="Palatino Linotype" w:hAnsi="Palatino Linotype" w:cs="Times New Roman"/>
          <w:sz w:val="24"/>
          <w:szCs w:val="24"/>
          <w:lang w:eastAsia="es-ES_tradnl"/>
        </w:rPr>
      </w:pPr>
    </w:p>
    <w:p w14:paraId="3A87C68A" w14:textId="77777777" w:rsidR="00B62C8D" w:rsidRPr="00317CCD" w:rsidRDefault="00B62C8D" w:rsidP="00B62C8D">
      <w:pPr>
        <w:spacing w:after="0" w:line="360" w:lineRule="auto"/>
        <w:jc w:val="both"/>
        <w:rPr>
          <w:rFonts w:ascii="Palatino Linotype" w:hAnsi="Palatino Linotype"/>
          <w:sz w:val="24"/>
          <w:szCs w:val="24"/>
          <w:lang w:eastAsia="es-ES_tradnl"/>
        </w:rPr>
      </w:pPr>
      <w:r w:rsidRPr="00317CCD">
        <w:rPr>
          <w:rFonts w:ascii="Palatino Linotype" w:hAnsi="Palatino Linotype" w:cs="Times New Roman"/>
          <w:b/>
          <w:sz w:val="28"/>
          <w:szCs w:val="24"/>
          <w:lang w:eastAsia="es-ES_tradnl"/>
        </w:rPr>
        <w:t>SEXTO</w:t>
      </w:r>
      <w:r w:rsidRPr="00317CCD">
        <w:rPr>
          <w:rFonts w:ascii="Palatino Linotype" w:hAnsi="Palatino Linotype" w:cs="Times New Roman"/>
          <w:b/>
          <w:sz w:val="24"/>
          <w:szCs w:val="24"/>
          <w:lang w:eastAsia="es-ES_tradnl"/>
        </w:rPr>
        <w:t xml:space="preserve">. - </w:t>
      </w:r>
      <w:r w:rsidRPr="00317CCD">
        <w:rPr>
          <w:rFonts w:ascii="Palatino Linotype" w:hAnsi="Palatino Linotype"/>
          <w:b/>
          <w:sz w:val="24"/>
          <w:szCs w:val="24"/>
          <w:lang w:eastAsia="es-ES_tradnl"/>
        </w:rPr>
        <w:t xml:space="preserve">Gírese </w:t>
      </w:r>
      <w:r w:rsidRPr="00317CCD">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w:t>
      </w:r>
      <w:r w:rsidRPr="00317CCD">
        <w:rPr>
          <w:rFonts w:ascii="Palatino Linotype" w:hAnsi="Palatino Linotype"/>
          <w:sz w:val="24"/>
          <w:szCs w:val="24"/>
          <w:lang w:eastAsia="es-ES_tradnl"/>
        </w:rPr>
        <w:lastRenderedPageBreak/>
        <w:t xml:space="preserve">fin de que de conformidad con el artículo 190 de la Ley de Transparencia y Acceso a la Información Pública del Estado de México y Municipios se determine lo conducente, en términos de lo señalado en el Considerando </w:t>
      </w:r>
      <w:r w:rsidRPr="00317CCD">
        <w:rPr>
          <w:rFonts w:ascii="Palatino Linotype" w:hAnsi="Palatino Linotype"/>
          <w:b/>
          <w:bCs/>
          <w:sz w:val="24"/>
          <w:szCs w:val="24"/>
          <w:lang w:eastAsia="es-ES_tradnl"/>
        </w:rPr>
        <w:t>TERCERO</w:t>
      </w:r>
      <w:r w:rsidRPr="00317CCD">
        <w:rPr>
          <w:rFonts w:ascii="Palatino Linotype" w:hAnsi="Palatino Linotype"/>
          <w:sz w:val="24"/>
          <w:szCs w:val="24"/>
          <w:lang w:eastAsia="es-ES_tradnl"/>
        </w:rPr>
        <w:t xml:space="preserve"> de la presente resolución.</w:t>
      </w:r>
    </w:p>
    <w:p w14:paraId="05D871C8" w14:textId="77777777" w:rsidR="00B62C8D" w:rsidRPr="00317CCD" w:rsidRDefault="00B62C8D" w:rsidP="00B62C8D">
      <w:pPr>
        <w:spacing w:after="0" w:line="360" w:lineRule="auto"/>
        <w:jc w:val="both"/>
        <w:rPr>
          <w:rFonts w:ascii="Palatino Linotype" w:eastAsia="Palatino Linotype" w:hAnsi="Palatino Linotype" w:cs="Palatino Linotype"/>
          <w:sz w:val="24"/>
          <w:szCs w:val="24"/>
        </w:rPr>
      </w:pPr>
    </w:p>
    <w:p w14:paraId="5B91AA5F" w14:textId="3611937E" w:rsidR="00B62C8D" w:rsidRPr="00317CCD" w:rsidRDefault="00317CCD" w:rsidP="00B62C8D">
      <w:pPr>
        <w:spacing w:after="0" w:line="360" w:lineRule="auto"/>
        <w:jc w:val="both"/>
        <w:rPr>
          <w:rFonts w:ascii="Palatino Linotype" w:eastAsia="Palatino Linotype" w:hAnsi="Palatino Linotype" w:cs="Palatino Linotype"/>
          <w:sz w:val="24"/>
          <w:szCs w:val="24"/>
        </w:rPr>
      </w:pPr>
      <w:r w:rsidRPr="00317CCD">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B62C8D" w:rsidRPr="00317CCD">
        <w:rPr>
          <w:rFonts w:ascii="Palatino Linotype" w:eastAsia="Palatino Linotype" w:hAnsi="Palatino Linotype" w:cs="Palatino Linotype"/>
          <w:sz w:val="24"/>
          <w:szCs w:val="24"/>
        </w:rPr>
        <w:t>. --------------------------------------------------------------------------------------------------------------------------------------------------------------------------------------------------------------------------------------------------------------------------------------------------------------------------------------------------------------------------------------------------------------------------------------------------------------------------------------------------------------------------------------------------------------------------------------------------------------------------------------------------------------------------------------------------------------------------------------------------------------------------------------------------------------------------------------------------------------------------------------------------------------------------------------------------------------------------------------------------------------------------------</w:t>
      </w:r>
      <w:r w:rsidR="00BA7896" w:rsidRPr="00317CCD">
        <w:rPr>
          <w:rFonts w:ascii="Palatino Linotype" w:eastAsia="Palatino Linotype" w:hAnsi="Palatino Linotype" w:cs="Palatino Linotype"/>
          <w:sz w:val="24"/>
          <w:szCs w:val="24"/>
        </w:rPr>
        <w:t>---------</w:t>
      </w:r>
    </w:p>
    <w:p w14:paraId="7E41D87F" w14:textId="77777777" w:rsidR="00B62C8D" w:rsidRPr="00D2150D" w:rsidRDefault="00B62C8D" w:rsidP="00B62C8D">
      <w:pPr>
        <w:spacing w:after="0" w:line="360" w:lineRule="auto"/>
        <w:jc w:val="both"/>
        <w:rPr>
          <w:rFonts w:ascii="Palatino Linotype" w:eastAsia="Palatino Linotype" w:hAnsi="Palatino Linotype" w:cs="Palatino Linotype"/>
          <w:sz w:val="16"/>
          <w:szCs w:val="20"/>
        </w:rPr>
      </w:pPr>
      <w:r w:rsidRPr="00317CCD">
        <w:rPr>
          <w:rFonts w:ascii="Palatino Linotype" w:eastAsia="Palatino Linotype" w:hAnsi="Palatino Linotype" w:cs="Palatino Linotype"/>
          <w:sz w:val="16"/>
          <w:szCs w:val="20"/>
        </w:rPr>
        <w:t>JMV/CCR/LMST</w:t>
      </w:r>
    </w:p>
    <w:p w14:paraId="3F1B861C"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1DF4B152"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4F4365C3" w14:textId="77777777" w:rsidR="00B62C8D" w:rsidRDefault="00B62C8D" w:rsidP="00B62C8D">
      <w:pPr>
        <w:spacing w:after="0" w:line="360" w:lineRule="auto"/>
        <w:jc w:val="both"/>
        <w:rPr>
          <w:rFonts w:ascii="Palatino Linotype" w:eastAsia="Palatino Linotype" w:hAnsi="Palatino Linotype" w:cs="Palatino Linotype"/>
          <w:sz w:val="24"/>
          <w:szCs w:val="24"/>
        </w:rPr>
      </w:pPr>
    </w:p>
    <w:p w14:paraId="67A3D4E9" w14:textId="77777777" w:rsidR="00B62C8D" w:rsidRDefault="00B62C8D" w:rsidP="00B62C8D">
      <w:pPr>
        <w:spacing w:after="0"/>
        <w:rPr>
          <w:rFonts w:ascii="Palatino Linotype" w:eastAsia="Palatino Linotype" w:hAnsi="Palatino Linotype" w:cs="Palatino Linotype"/>
        </w:rPr>
      </w:pPr>
    </w:p>
    <w:p w14:paraId="132BDE24" w14:textId="77777777" w:rsidR="00B62C8D" w:rsidRDefault="00B62C8D" w:rsidP="00B62C8D">
      <w:pPr>
        <w:spacing w:after="0"/>
        <w:rPr>
          <w:rFonts w:ascii="Palatino Linotype" w:eastAsia="Palatino Linotype" w:hAnsi="Palatino Linotype" w:cs="Palatino Linotype"/>
        </w:rPr>
      </w:pPr>
    </w:p>
    <w:p w14:paraId="14F5C959" w14:textId="77777777" w:rsidR="00B62C8D" w:rsidRDefault="00B62C8D" w:rsidP="00B62C8D">
      <w:pPr>
        <w:spacing w:after="0"/>
        <w:rPr>
          <w:rFonts w:ascii="Palatino Linotype" w:eastAsia="Palatino Linotype" w:hAnsi="Palatino Linotype" w:cs="Palatino Linotype"/>
        </w:rPr>
      </w:pPr>
    </w:p>
    <w:p w14:paraId="343A0CA3" w14:textId="77777777" w:rsidR="00B62C8D" w:rsidRDefault="00B62C8D" w:rsidP="00B62C8D">
      <w:pPr>
        <w:spacing w:after="0"/>
        <w:rPr>
          <w:rFonts w:ascii="Palatino Linotype" w:eastAsia="Palatino Linotype" w:hAnsi="Palatino Linotype" w:cs="Palatino Linotype"/>
        </w:rPr>
      </w:pPr>
    </w:p>
    <w:p w14:paraId="3203909F" w14:textId="77777777" w:rsidR="00B62C8D" w:rsidRDefault="00B62C8D" w:rsidP="00B62C8D">
      <w:pPr>
        <w:spacing w:after="0"/>
        <w:rPr>
          <w:rFonts w:ascii="Palatino Linotype" w:eastAsia="Palatino Linotype" w:hAnsi="Palatino Linotype" w:cs="Palatino Linotype"/>
        </w:rPr>
      </w:pPr>
    </w:p>
    <w:p w14:paraId="4DD00192" w14:textId="77777777" w:rsidR="00B62C8D" w:rsidRDefault="00B62C8D" w:rsidP="00B62C8D">
      <w:pPr>
        <w:spacing w:after="0"/>
        <w:rPr>
          <w:rFonts w:ascii="Palatino Linotype" w:eastAsia="Palatino Linotype" w:hAnsi="Palatino Linotype" w:cs="Palatino Linotype"/>
        </w:rPr>
      </w:pPr>
    </w:p>
    <w:p w14:paraId="3FD927C3" w14:textId="77777777" w:rsidR="00B62C8D" w:rsidRDefault="00B62C8D" w:rsidP="00B62C8D">
      <w:pPr>
        <w:spacing w:after="0"/>
        <w:rPr>
          <w:rFonts w:ascii="Palatino Linotype" w:eastAsia="Palatino Linotype" w:hAnsi="Palatino Linotype" w:cs="Palatino Linotype"/>
        </w:rPr>
      </w:pPr>
    </w:p>
    <w:p w14:paraId="08D748FF" w14:textId="77777777" w:rsidR="00B62C8D" w:rsidRDefault="00B62C8D" w:rsidP="00B62C8D">
      <w:pPr>
        <w:spacing w:after="0"/>
        <w:rPr>
          <w:rFonts w:ascii="Palatino Linotype" w:eastAsia="Palatino Linotype" w:hAnsi="Palatino Linotype" w:cs="Palatino Linotype"/>
        </w:rPr>
      </w:pPr>
    </w:p>
    <w:p w14:paraId="46181A5B" w14:textId="77777777" w:rsidR="00B62C8D" w:rsidRDefault="00B62C8D" w:rsidP="00B62C8D">
      <w:pPr>
        <w:spacing w:after="0"/>
        <w:rPr>
          <w:rFonts w:ascii="Palatino Linotype" w:eastAsia="Palatino Linotype" w:hAnsi="Palatino Linotype" w:cs="Palatino Linotype"/>
        </w:rPr>
      </w:pPr>
    </w:p>
    <w:p w14:paraId="25B7E5FC" w14:textId="77777777" w:rsidR="00B62C8D" w:rsidRDefault="00B62C8D" w:rsidP="00B62C8D">
      <w:pPr>
        <w:spacing w:after="0"/>
        <w:rPr>
          <w:rFonts w:ascii="Palatino Linotype" w:eastAsia="Palatino Linotype" w:hAnsi="Palatino Linotype" w:cs="Palatino Linotype"/>
        </w:rPr>
      </w:pPr>
    </w:p>
    <w:p w14:paraId="1AFEAE9E" w14:textId="77777777" w:rsidR="00B62C8D" w:rsidRDefault="00B62C8D" w:rsidP="00B62C8D">
      <w:pPr>
        <w:spacing w:after="0"/>
      </w:pPr>
    </w:p>
    <w:p w14:paraId="377DB479" w14:textId="77777777" w:rsidR="00B62C8D" w:rsidRDefault="00B62C8D" w:rsidP="00B62C8D"/>
    <w:p w14:paraId="6C814DF6" w14:textId="77777777" w:rsidR="00B62C8D" w:rsidRDefault="00B62C8D" w:rsidP="00B62C8D"/>
    <w:p w14:paraId="3798C590" w14:textId="77777777" w:rsidR="00B62C8D" w:rsidRDefault="00B62C8D" w:rsidP="00B62C8D"/>
    <w:p w14:paraId="7ADFEE11" w14:textId="77777777" w:rsidR="00B62C8D" w:rsidRDefault="00B62C8D" w:rsidP="00B62C8D"/>
    <w:p w14:paraId="7BBCEA53" w14:textId="77777777" w:rsidR="00B62C8D" w:rsidRDefault="00B62C8D" w:rsidP="00B62C8D"/>
    <w:p w14:paraId="19765E94" w14:textId="77777777" w:rsidR="00B62C8D" w:rsidRDefault="00B62C8D" w:rsidP="00B62C8D"/>
    <w:p w14:paraId="6D1700F2" w14:textId="77777777" w:rsidR="00B62C8D" w:rsidRDefault="00B62C8D" w:rsidP="00B62C8D"/>
    <w:p w14:paraId="268C320F" w14:textId="77777777" w:rsidR="00B62C8D" w:rsidRDefault="00B62C8D" w:rsidP="00B62C8D"/>
    <w:p w14:paraId="6B6943E3" w14:textId="77777777" w:rsidR="00B62C8D" w:rsidRDefault="00B62C8D" w:rsidP="00B62C8D"/>
    <w:p w14:paraId="405E3E85" w14:textId="77777777" w:rsidR="00B62C8D" w:rsidRDefault="00B62C8D" w:rsidP="00B62C8D"/>
    <w:p w14:paraId="7A91533F" w14:textId="77777777" w:rsidR="00B62C8D" w:rsidRDefault="00B62C8D" w:rsidP="00B62C8D"/>
    <w:p w14:paraId="34339D69" w14:textId="77777777" w:rsidR="00B62C8D" w:rsidRDefault="00B62C8D" w:rsidP="00B62C8D"/>
    <w:p w14:paraId="3B2A92FF" w14:textId="77777777" w:rsidR="00B62C8D" w:rsidRDefault="00B62C8D" w:rsidP="00B62C8D"/>
    <w:p w14:paraId="6B560FE9" w14:textId="77777777" w:rsidR="00B62C8D" w:rsidRDefault="00B62C8D" w:rsidP="00B62C8D"/>
    <w:p w14:paraId="5FAD3E3A" w14:textId="77777777" w:rsidR="00EC144B" w:rsidRDefault="00EC144B"/>
    <w:sectPr w:rsidR="00EC144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EC1EF" w14:textId="77777777" w:rsidR="00BD4351" w:rsidRDefault="00BD4351" w:rsidP="00B62C8D">
      <w:pPr>
        <w:spacing w:after="0" w:line="240" w:lineRule="auto"/>
      </w:pPr>
      <w:r>
        <w:separator/>
      </w:r>
    </w:p>
  </w:endnote>
  <w:endnote w:type="continuationSeparator" w:id="0">
    <w:p w14:paraId="79852FD5" w14:textId="77777777" w:rsidR="00BD4351" w:rsidRDefault="00BD4351" w:rsidP="00B6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0F573" w14:textId="77777777" w:rsidR="00FC33AB"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26964">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26964">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6CE52C6B" w14:textId="77777777" w:rsidR="00FC33AB" w:rsidRDefault="00FC33A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1CDD8" w14:textId="77777777" w:rsidR="00FC33AB" w:rsidRDefault="00B62C8D">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26964">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26964">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812CE57" w14:textId="77777777" w:rsidR="00FC33AB" w:rsidRDefault="00FC33A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191E8" w14:textId="77777777" w:rsidR="00BD4351" w:rsidRDefault="00BD4351" w:rsidP="00B62C8D">
      <w:pPr>
        <w:spacing w:after="0" w:line="240" w:lineRule="auto"/>
      </w:pPr>
      <w:r>
        <w:separator/>
      </w:r>
    </w:p>
  </w:footnote>
  <w:footnote w:type="continuationSeparator" w:id="0">
    <w:p w14:paraId="56DEBD3B" w14:textId="77777777" w:rsidR="00BD4351" w:rsidRDefault="00BD4351" w:rsidP="00B62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79808" w14:textId="77777777" w:rsidR="00FC33AB" w:rsidRDefault="00FC33AB">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14:paraId="10AAB011" w14:textId="77777777">
      <w:trPr>
        <w:trHeight w:val="227"/>
      </w:trPr>
      <w:tc>
        <w:tcPr>
          <w:tcW w:w="5246" w:type="dxa"/>
        </w:tcPr>
        <w:p w14:paraId="6F90287F" w14:textId="77777777" w:rsidR="00FC33AB"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2FB3652B" wp14:editId="103CF665">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086E75D2" w14:textId="77777777" w:rsidR="00FC33AB" w:rsidRDefault="00B62C8D" w:rsidP="00207EA7">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1</w:t>
          </w:r>
          <w:r w:rsidR="00AF73B2">
            <w:rPr>
              <w:rFonts w:ascii="Palatino Linotype" w:eastAsia="Palatino Linotype" w:hAnsi="Palatino Linotype" w:cs="Palatino Linotype"/>
              <w:b/>
              <w:sz w:val="24"/>
              <w:szCs w:val="24"/>
            </w:rPr>
            <w:t>93</w:t>
          </w:r>
          <w:r w:rsidR="00207EA7">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14:paraId="2725846D" w14:textId="77777777">
      <w:trPr>
        <w:trHeight w:val="242"/>
      </w:trPr>
      <w:tc>
        <w:tcPr>
          <w:tcW w:w="5246" w:type="dxa"/>
        </w:tcPr>
        <w:p w14:paraId="7F31272E" w14:textId="77777777" w:rsidR="00FC33AB"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1BB919F5" w14:textId="77777777" w:rsidR="00FC33AB" w:rsidRDefault="00207EA7">
          <w:pPr>
            <w:spacing w:after="120" w:line="256" w:lineRule="auto"/>
            <w:ind w:left="-486" w:right="214" w:firstLine="284"/>
            <w:jc w:val="right"/>
            <w:rPr>
              <w:rFonts w:ascii="Palatino Linotype" w:eastAsia="Palatino Linotype" w:hAnsi="Palatino Linotype" w:cs="Palatino Linotype"/>
              <w:b/>
              <w:sz w:val="24"/>
              <w:szCs w:val="24"/>
            </w:rPr>
          </w:pPr>
          <w:r w:rsidRPr="00207EA7">
            <w:rPr>
              <w:rFonts w:ascii="Palatino Linotype" w:eastAsia="Palatino Linotype" w:hAnsi="Palatino Linotype" w:cs="Palatino Linotype"/>
              <w:b/>
              <w:color w:val="000000"/>
              <w:sz w:val="24"/>
              <w:szCs w:val="24"/>
            </w:rPr>
            <w:t>Instituto Municipal de Cultura Física y Deporte de Tepotzotlán</w:t>
          </w:r>
        </w:p>
      </w:tc>
    </w:tr>
    <w:tr w:rsidR="001A237F" w14:paraId="158E7E63" w14:textId="77777777">
      <w:trPr>
        <w:trHeight w:val="342"/>
      </w:trPr>
      <w:tc>
        <w:tcPr>
          <w:tcW w:w="5246" w:type="dxa"/>
        </w:tcPr>
        <w:p w14:paraId="65561AD1" w14:textId="77777777" w:rsidR="00FC33AB"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334FC03C" w14:textId="77777777" w:rsidR="00FC33AB"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16936579" w14:textId="77777777" w:rsidR="00FC33AB" w:rsidRDefault="00FC33AB">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812ED" w14:textId="77777777" w:rsidR="00FC33AB" w:rsidRDefault="00B62C8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0DC53705" wp14:editId="61DC6260">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14:paraId="443DF9FE" w14:textId="77777777">
      <w:trPr>
        <w:trHeight w:val="227"/>
      </w:trPr>
      <w:tc>
        <w:tcPr>
          <w:tcW w:w="5104" w:type="dxa"/>
        </w:tcPr>
        <w:p w14:paraId="18DAFB59" w14:textId="77777777" w:rsidR="00FC33AB" w:rsidRDefault="00B62C8D">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23E9325E" w14:textId="77777777" w:rsidR="00FC33AB" w:rsidRDefault="00B62C8D" w:rsidP="00BC0A5C">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1</w:t>
          </w:r>
          <w:r w:rsidR="00AF73B2">
            <w:rPr>
              <w:rFonts w:ascii="Palatino Linotype" w:eastAsia="Palatino Linotype" w:hAnsi="Palatino Linotype" w:cs="Palatino Linotype"/>
              <w:b/>
              <w:sz w:val="24"/>
              <w:szCs w:val="24"/>
            </w:rPr>
            <w:t>93</w:t>
          </w:r>
          <w:r w:rsidR="00BC0A5C">
            <w:rPr>
              <w:rFonts w:ascii="Palatino Linotype" w:eastAsia="Palatino Linotype" w:hAnsi="Palatino Linotype" w:cs="Palatino Linotype"/>
              <w:b/>
              <w:sz w:val="24"/>
              <w:szCs w:val="24"/>
            </w:rPr>
            <w:t>5</w:t>
          </w:r>
          <w:r w:rsidRPr="0028688B">
            <w:rPr>
              <w:rFonts w:ascii="Palatino Linotype" w:eastAsia="Palatino Linotype" w:hAnsi="Palatino Linotype" w:cs="Palatino Linotype"/>
              <w:b/>
              <w:sz w:val="24"/>
              <w:szCs w:val="24"/>
            </w:rPr>
            <w:t>/INFOEM/IP/RR/2026</w:t>
          </w:r>
        </w:p>
      </w:tc>
    </w:tr>
    <w:tr w:rsidR="001A237F" w14:paraId="76EE9EF5" w14:textId="77777777">
      <w:trPr>
        <w:trHeight w:val="242"/>
      </w:trPr>
      <w:tc>
        <w:tcPr>
          <w:tcW w:w="5104" w:type="dxa"/>
        </w:tcPr>
        <w:p w14:paraId="18AC67CF" w14:textId="77777777" w:rsidR="00FC33AB" w:rsidRDefault="00B62C8D">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29171E35" w14:textId="77777777" w:rsidR="00FC33AB" w:rsidRDefault="00207EA7">
          <w:pPr>
            <w:spacing w:after="120" w:line="256" w:lineRule="auto"/>
            <w:ind w:left="-486" w:right="214" w:firstLine="284"/>
            <w:jc w:val="right"/>
            <w:rPr>
              <w:rFonts w:ascii="Palatino Linotype" w:eastAsia="Palatino Linotype" w:hAnsi="Palatino Linotype" w:cs="Palatino Linotype"/>
              <w:b/>
            </w:rPr>
          </w:pPr>
          <w:r w:rsidRPr="00207EA7">
            <w:rPr>
              <w:rFonts w:ascii="Palatino Linotype" w:eastAsia="Palatino Linotype" w:hAnsi="Palatino Linotype" w:cs="Palatino Linotype"/>
              <w:b/>
              <w:color w:val="000000"/>
              <w:sz w:val="24"/>
              <w:szCs w:val="24"/>
            </w:rPr>
            <w:t>Instituto Municipal de Cultura Física y Deporte de Tepotzotlán</w:t>
          </w:r>
        </w:p>
      </w:tc>
    </w:tr>
    <w:tr w:rsidR="001A237F" w14:paraId="1BD5A000" w14:textId="77777777">
      <w:trPr>
        <w:trHeight w:val="342"/>
      </w:trPr>
      <w:tc>
        <w:tcPr>
          <w:tcW w:w="5104" w:type="dxa"/>
        </w:tcPr>
        <w:p w14:paraId="3B5516B0" w14:textId="77777777" w:rsidR="00FC33AB"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A54372D" w14:textId="1D1AAC80" w:rsidR="00FC33AB" w:rsidRDefault="00226964">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xxxxxxxxxxxxxxxxxxxxxxx</w:t>
          </w:r>
          <w:proofErr w:type="spellEnd"/>
        </w:p>
      </w:tc>
    </w:tr>
    <w:tr w:rsidR="001A237F" w14:paraId="00E02E37" w14:textId="77777777">
      <w:trPr>
        <w:trHeight w:val="342"/>
      </w:trPr>
      <w:tc>
        <w:tcPr>
          <w:tcW w:w="5104" w:type="dxa"/>
        </w:tcPr>
        <w:p w14:paraId="6D67F3FE" w14:textId="77777777" w:rsidR="00FC33AB" w:rsidRDefault="00B62C8D">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80848DD" w14:textId="77777777" w:rsidR="00FC33AB" w:rsidRDefault="00B62C8D">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3359A4FC" w14:textId="77777777" w:rsidR="00FC33AB" w:rsidRDefault="00FC33AB">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8D"/>
    <w:rsid w:val="00075F0B"/>
    <w:rsid w:val="00207EA7"/>
    <w:rsid w:val="00226964"/>
    <w:rsid w:val="002D2A43"/>
    <w:rsid w:val="00317CCD"/>
    <w:rsid w:val="004723DA"/>
    <w:rsid w:val="006D4592"/>
    <w:rsid w:val="0070558A"/>
    <w:rsid w:val="00800BD0"/>
    <w:rsid w:val="009050B3"/>
    <w:rsid w:val="00AC2F93"/>
    <w:rsid w:val="00AF73B2"/>
    <w:rsid w:val="00B62C8D"/>
    <w:rsid w:val="00BA7896"/>
    <w:rsid w:val="00BC0A5C"/>
    <w:rsid w:val="00BD4351"/>
    <w:rsid w:val="00CF738C"/>
    <w:rsid w:val="00EC144B"/>
    <w:rsid w:val="00ED5463"/>
    <w:rsid w:val="00F462EA"/>
    <w:rsid w:val="00FC33A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A00C8"/>
  <w15:chartTrackingRefBased/>
  <w15:docId w15:val="{1DA16350-023C-402D-99B6-FFC60EA1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2C8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B62C8D"/>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B62C8D"/>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B62C8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B62C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C8D"/>
    <w:rPr>
      <w:rFonts w:ascii="Calibri" w:eastAsia="Calibri" w:hAnsi="Calibri" w:cs="Calibri"/>
      <w:lang w:eastAsia="es-MX"/>
    </w:rPr>
  </w:style>
  <w:style w:type="paragraph" w:styleId="Piedepgina">
    <w:name w:val="footer"/>
    <w:basedOn w:val="Normal"/>
    <w:link w:val="PiedepginaCar"/>
    <w:uiPriority w:val="99"/>
    <w:unhideWhenUsed/>
    <w:rsid w:val="00B62C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C8D"/>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3970</Words>
  <Characters>21840</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2026-03-13T16:33:00Z</cp:lastPrinted>
  <dcterms:created xsi:type="dcterms:W3CDTF">2026-03-03T22:54:00Z</dcterms:created>
  <dcterms:modified xsi:type="dcterms:W3CDTF">2026-04-08T17:46:00Z</dcterms:modified>
</cp:coreProperties>
</file>