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9A5" w:rsidRDefault="00AD3DEE" w:rsidP="00182306">
      <w:pPr>
        <w:shd w:val="clear" w:color="auto" w:fill="FFFFFF"/>
        <w:spacing w:after="0" w:line="360" w:lineRule="auto"/>
        <w:ind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de fecha </w:t>
      </w:r>
      <w:r w:rsidR="00965417">
        <w:rPr>
          <w:rFonts w:ascii="Palatino Linotype" w:eastAsia="Palatino Linotype" w:hAnsi="Palatino Linotype" w:cs="Palatino Linotype"/>
          <w:b/>
          <w:bCs/>
          <w:color w:val="000000"/>
          <w:sz w:val="24"/>
          <w:szCs w:val="24"/>
        </w:rPr>
        <w:t>veintisiete</w:t>
      </w:r>
      <w:r w:rsidR="00182306">
        <w:rPr>
          <w:rFonts w:ascii="Palatino Linotype" w:eastAsia="Palatino Linotype" w:hAnsi="Palatino Linotype" w:cs="Palatino Linotype"/>
          <w:b/>
          <w:bCs/>
          <w:color w:val="000000"/>
          <w:sz w:val="24"/>
          <w:szCs w:val="24"/>
        </w:rPr>
        <w:t xml:space="preserve"> (27)</w:t>
      </w:r>
      <w:r w:rsidR="00965417">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b/>
          <w:bCs/>
          <w:color w:val="000000"/>
          <w:sz w:val="24"/>
          <w:szCs w:val="24"/>
        </w:rPr>
        <w:t>de mayo de dos mil veintiséis.</w:t>
      </w:r>
      <w:r>
        <w:rPr>
          <w:rFonts w:ascii="Palatino Linotype" w:eastAsia="Palatino Linotype" w:hAnsi="Palatino Linotype" w:cs="Palatino Linotype"/>
          <w:color w:val="000000"/>
          <w:sz w:val="24"/>
          <w:szCs w:val="24"/>
        </w:rPr>
        <w:t xml:space="preserve"> </w:t>
      </w:r>
    </w:p>
    <w:p w:rsidR="009F49A5" w:rsidRDefault="009F49A5" w:rsidP="00182306">
      <w:pPr>
        <w:shd w:val="clear" w:color="auto" w:fill="FFFFFF"/>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spacing w:after="0" w:line="360" w:lineRule="auto"/>
        <w:ind w:right="-28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VISTO</w:t>
      </w:r>
      <w:r>
        <w:rPr>
          <w:rFonts w:ascii="Palatino Linotype" w:eastAsia="Palatino Linotype" w:hAnsi="Palatino Linotype" w:cs="Palatino Linotype"/>
          <w:sz w:val="24"/>
          <w:szCs w:val="24"/>
        </w:rPr>
        <w:t xml:space="preserve"> el expediente electrónico formado con motivo del recurso de revisión número </w:t>
      </w:r>
      <w:r>
        <w:rPr>
          <w:rFonts w:ascii="Palatino Linotype" w:eastAsia="Palatino Linotype" w:hAnsi="Palatino Linotype" w:cs="Palatino Linotype"/>
          <w:b/>
          <w:bCs/>
          <w:sz w:val="24"/>
          <w:szCs w:val="24"/>
        </w:rPr>
        <w:t xml:space="preserve">10228/INFOEM/ICR-131/IP/RR/2025, </w:t>
      </w:r>
      <w:r>
        <w:rPr>
          <w:rFonts w:ascii="Palatino Linotype" w:eastAsia="Palatino Linotype" w:hAnsi="Palatino Linotype" w:cs="Palatino Linotype"/>
          <w:sz w:val="24"/>
          <w:szCs w:val="24"/>
        </w:rPr>
        <w:t xml:space="preserve">interpuesto por </w:t>
      </w:r>
      <w:r w:rsidR="00AA0C6F">
        <w:rPr>
          <w:rFonts w:ascii="Palatino Linotype" w:eastAsia="Palatino Linotype" w:hAnsi="Palatino Linotype" w:cs="Palatino Linotype"/>
          <w:b/>
          <w:bCs/>
          <w:sz w:val="24"/>
          <w:szCs w:val="24"/>
        </w:rPr>
        <w:t>XXXX</w:t>
      </w:r>
      <w:r>
        <w:rPr>
          <w:rFonts w:ascii="Palatino Linotype" w:eastAsia="Palatino Linotype" w:hAnsi="Palatino Linotype" w:cs="Palatino Linotype"/>
          <w:sz w:val="24"/>
          <w:szCs w:val="24"/>
        </w:rPr>
        <w:t xml:space="preserve">, a quien en lo sucesivo se le denominará </w:t>
      </w:r>
      <w:r>
        <w:rPr>
          <w:rFonts w:ascii="Palatino Linotype" w:eastAsia="Palatino Linotype" w:hAnsi="Palatino Linotype" w:cs="Palatino Linotype"/>
          <w:b/>
          <w:bCs/>
          <w:sz w:val="24"/>
          <w:szCs w:val="24"/>
        </w:rPr>
        <w:t xml:space="preserve">EL RECURRENTE, </w:t>
      </w:r>
      <w:r>
        <w:rPr>
          <w:rFonts w:ascii="Palatino Linotype" w:eastAsia="Palatino Linotype" w:hAnsi="Palatino Linotype" w:cs="Palatino Linotype"/>
          <w:sz w:val="24"/>
          <w:szCs w:val="24"/>
        </w:rPr>
        <w:t xml:space="preserve">en contra de la falta de respuesta del </w:t>
      </w:r>
      <w:r>
        <w:rPr>
          <w:rFonts w:ascii="Palatino Linotype" w:eastAsia="Palatino Linotype" w:hAnsi="Palatino Linotype" w:cs="Palatino Linotype"/>
          <w:b/>
          <w:bCs/>
          <w:color w:val="000000"/>
          <w:sz w:val="24"/>
          <w:szCs w:val="24"/>
        </w:rPr>
        <w:t>Sistema Municipal Para el Desarrollo Integral de la Familia de Ixtapaluca</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en adelante </w:t>
      </w:r>
      <w:r>
        <w:rPr>
          <w:rFonts w:ascii="Palatino Linotype" w:eastAsia="Palatino Linotype" w:hAnsi="Palatino Linotype" w:cs="Palatino Linotype"/>
          <w:b/>
          <w:bCs/>
          <w:sz w:val="24"/>
          <w:szCs w:val="24"/>
        </w:rPr>
        <w:t xml:space="preserve">EL SUJETO OBLIGADO, </w:t>
      </w:r>
      <w:r>
        <w:rPr>
          <w:rFonts w:ascii="Palatino Linotype" w:eastAsia="Palatino Linotype" w:hAnsi="Palatino Linotype" w:cs="Palatino Linotype"/>
          <w:sz w:val="24"/>
          <w:szCs w:val="24"/>
        </w:rPr>
        <w:t xml:space="preserve">en lo conducente se procede a dictar la presente resolución: </w:t>
      </w:r>
    </w:p>
    <w:p w:rsidR="009F49A5" w:rsidRDefault="009F49A5" w:rsidP="00182306">
      <w:pPr>
        <w:spacing w:after="0" w:line="360" w:lineRule="auto"/>
        <w:ind w:right="-283"/>
        <w:jc w:val="both"/>
        <w:rPr>
          <w:rFonts w:ascii="Palatino Linotype" w:eastAsia="Palatino Linotype" w:hAnsi="Palatino Linotype" w:cs="Palatino Linotype"/>
          <w:sz w:val="24"/>
          <w:szCs w:val="24"/>
        </w:rPr>
      </w:pPr>
    </w:p>
    <w:p w:rsidR="009F49A5" w:rsidRDefault="00AD3DEE" w:rsidP="00182306">
      <w:pPr>
        <w:spacing w:after="0" w:line="360" w:lineRule="auto"/>
        <w:ind w:right="-283"/>
        <w:jc w:val="cente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A N T E C E D E N T E S</w:t>
      </w:r>
    </w:p>
    <w:p w:rsidR="009F49A5" w:rsidRDefault="009F49A5" w:rsidP="00182306">
      <w:pPr>
        <w:spacing w:after="0" w:line="360" w:lineRule="auto"/>
        <w:ind w:right="-283"/>
        <w:rPr>
          <w:rFonts w:ascii="Palatino Linotype" w:eastAsia="Palatino Linotype" w:hAnsi="Palatino Linotype" w:cs="Palatino Linotype"/>
          <w:b/>
          <w:bCs/>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 xml:space="preserve">siete de agosto de dos mil veinticinco, EL RECURRENTE, </w:t>
      </w:r>
      <w:r>
        <w:rPr>
          <w:rFonts w:ascii="Palatino Linotype" w:eastAsia="Palatino Linotype" w:hAnsi="Palatino Linotype" w:cs="Palatino Linotype"/>
          <w:color w:val="000000"/>
          <w:sz w:val="24"/>
          <w:szCs w:val="24"/>
        </w:rPr>
        <w:t xml:space="preserve">presentó a través del Sistema de Acceso a la Información Mexiquense (SAIMEX), la solicitud de acceso a la información pública, con número de folio </w:t>
      </w:r>
      <w:r>
        <w:rPr>
          <w:rFonts w:ascii="Palatino Linotype" w:eastAsia="Palatino Linotype" w:hAnsi="Palatino Linotype" w:cs="Palatino Linotype"/>
          <w:b/>
          <w:bCs/>
          <w:color w:val="000000"/>
          <w:sz w:val="24"/>
          <w:szCs w:val="24"/>
        </w:rPr>
        <w:t xml:space="preserve"> 00024/DIFIXTAPAL/IP/2025</w:t>
      </w:r>
      <w:r>
        <w:rPr>
          <w:rFonts w:ascii="Palatino Linotype" w:eastAsia="Palatino Linotype" w:hAnsi="Palatino Linotype" w:cs="Palatino Linotype"/>
          <w:color w:val="000000"/>
          <w:sz w:val="24"/>
          <w:szCs w:val="24"/>
        </w:rPr>
        <w:t>, en la que solicitó</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lo siguiente: </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00024/DIFIXTAPAL/IP/2025:</w:t>
      </w:r>
    </w:p>
    <w:p w:rsidR="009F49A5" w:rsidRDefault="00AD3DEE" w:rsidP="00182306">
      <w:pPr>
        <w:pBdr>
          <w:top w:val="nil"/>
          <w:left w:val="nil"/>
          <w:bottom w:val="nil"/>
          <w:right w:val="nil"/>
          <w:between w:val="nil"/>
        </w:pBdr>
        <w:spacing w:after="0" w:line="360" w:lineRule="auto"/>
        <w:ind w:left="426"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“Solicito bitácora de uso del auditorio municipal para actividades del DIF entre abril y julio de 2025” (Sic)</w:t>
      </w:r>
      <w:bookmarkStart w:id="0" w:name="_GoBack"/>
      <w:bookmarkEnd w:id="0"/>
    </w:p>
    <w:p w:rsidR="009F49A5" w:rsidRDefault="009F49A5" w:rsidP="00182306">
      <w:pPr>
        <w:pBdr>
          <w:top w:val="nil"/>
          <w:left w:val="nil"/>
          <w:bottom w:val="nil"/>
          <w:right w:val="nil"/>
          <w:between w:val="nil"/>
        </w:pBdr>
        <w:spacing w:after="0" w:line="360" w:lineRule="auto"/>
        <w:ind w:left="426" w:right="-283"/>
        <w:jc w:val="both"/>
        <w:rPr>
          <w:rFonts w:ascii="Palatino Linotype" w:eastAsia="Palatino Linotype" w:hAnsi="Palatino Linotype" w:cs="Palatino Linotype"/>
          <w:i/>
          <w:iCs/>
          <w:color w:val="000000"/>
          <w:sz w:val="24"/>
          <w:szCs w:val="24"/>
        </w:rPr>
      </w:pPr>
    </w:p>
    <w:p w:rsidR="009F49A5" w:rsidRDefault="00AD3DEE" w:rsidP="00182306">
      <w:pPr>
        <w:numPr>
          <w:ilvl w:val="0"/>
          <w:numId w:val="8"/>
        </w:numPr>
        <w:spacing w:line="360" w:lineRule="auto"/>
        <w:ind w:right="-28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Modalidad de entrega</w:t>
      </w:r>
      <w:r>
        <w:rPr>
          <w:rFonts w:ascii="Palatino Linotype" w:eastAsia="Palatino Linotype" w:hAnsi="Palatino Linotype" w:cs="Palatino Linotype"/>
          <w:sz w:val="24"/>
          <w:szCs w:val="24"/>
        </w:rPr>
        <w:t xml:space="preserve">: a través del </w:t>
      </w:r>
      <w:r>
        <w:rPr>
          <w:rFonts w:ascii="Palatino Linotype" w:eastAsia="Palatino Linotype" w:hAnsi="Palatino Linotype" w:cs="Palatino Linotype"/>
          <w:b/>
          <w:bCs/>
          <w:sz w:val="24"/>
          <w:szCs w:val="24"/>
        </w:rPr>
        <w:t>SAIMEX.</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sz w:val="24"/>
          <w:szCs w:val="24"/>
        </w:rPr>
        <w:lastRenderedPageBreak/>
        <w:t>EL SUJETO OBLIGADO</w:t>
      </w:r>
      <w:r>
        <w:rPr>
          <w:rFonts w:ascii="Palatino Linotype" w:eastAsia="Palatino Linotype" w:hAnsi="Palatino Linotype" w:cs="Palatino Linotype"/>
          <w:color w:val="000000"/>
          <w:sz w:val="24"/>
          <w:szCs w:val="24"/>
        </w:rPr>
        <w:t xml:space="preserve"> no proporcionó respuesta a las solicitudes de información dentro del plazo de quince días establecido en el artículo 163, de la Ley de Transparencia y Acceso a la Información Pública del Estado de México y Municipios.</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Ante la falta de respuesta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del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EL RECURRENTE</w:t>
      </w:r>
      <w:r>
        <w:rPr>
          <w:rFonts w:ascii="Palatino Linotype" w:eastAsia="Palatino Linotype" w:hAnsi="Palatino Linotype" w:cs="Palatino Linotype"/>
          <w:color w:val="000000"/>
          <w:sz w:val="24"/>
          <w:szCs w:val="24"/>
        </w:rPr>
        <w:t xml:space="preserve"> interpuso el Recurso de Revisión el </w:t>
      </w:r>
      <w:r>
        <w:rPr>
          <w:rFonts w:ascii="Palatino Linotype" w:eastAsia="Palatino Linotype" w:hAnsi="Palatino Linotype" w:cs="Palatino Linotype"/>
          <w:b/>
          <w:bCs/>
          <w:color w:val="000000"/>
          <w:sz w:val="24"/>
          <w:szCs w:val="24"/>
        </w:rPr>
        <w:t xml:space="preserve">uno de septiembre de dos mil veinticinco, </w:t>
      </w:r>
      <w:r>
        <w:rPr>
          <w:rFonts w:ascii="Palatino Linotype" w:eastAsia="Palatino Linotype" w:hAnsi="Palatino Linotype" w:cs="Palatino Linotype"/>
          <w:color w:val="000000"/>
          <w:sz w:val="24"/>
          <w:szCs w:val="24"/>
        </w:rPr>
        <w:t xml:space="preserve">registrado en el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 xml:space="preserve">con el número de expediente </w:t>
      </w:r>
      <w:r>
        <w:rPr>
          <w:rFonts w:ascii="Palatino Linotype" w:eastAsia="Palatino Linotype" w:hAnsi="Palatino Linotype" w:cs="Palatino Linotype"/>
          <w:b/>
          <w:bCs/>
          <w:sz w:val="24"/>
          <w:szCs w:val="24"/>
        </w:rPr>
        <w:t>10228/INFOEM/IP/RR/2025</w:t>
      </w:r>
      <w:r>
        <w:rPr>
          <w:rFonts w:ascii="Palatino Linotype" w:eastAsia="Palatino Linotype" w:hAnsi="Palatino Linotype" w:cs="Palatino Linotype"/>
          <w:color w:val="000000"/>
          <w:sz w:val="24"/>
          <w:szCs w:val="24"/>
        </w:rPr>
        <w:t>,</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en el cual aduce las siguientes manifestaciones:</w:t>
      </w:r>
    </w:p>
    <w:p w:rsidR="009F49A5" w:rsidRDefault="009F49A5" w:rsidP="00182306">
      <w:pPr>
        <w:pBdr>
          <w:top w:val="nil"/>
          <w:left w:val="nil"/>
          <w:bottom w:val="nil"/>
          <w:right w:val="nil"/>
          <w:between w:val="nil"/>
        </w:pBdr>
        <w:spacing w:after="0" w:line="360" w:lineRule="auto"/>
        <w:ind w:left="993" w:right="-283"/>
        <w:jc w:val="both"/>
        <w:rPr>
          <w:rFonts w:ascii="Palatino Linotype" w:eastAsia="Palatino Linotype" w:hAnsi="Palatino Linotype" w:cs="Palatino Linotype"/>
          <w:color w:val="000000"/>
          <w:sz w:val="24"/>
          <w:szCs w:val="24"/>
        </w:rPr>
      </w:pPr>
    </w:p>
    <w:p w:rsidR="009F49A5" w:rsidRDefault="00AD3DEE" w:rsidP="00182306">
      <w:pPr>
        <w:numPr>
          <w:ilvl w:val="0"/>
          <w:numId w:val="7"/>
        </w:numPr>
        <w:spacing w:after="0"/>
        <w:ind w:left="993" w:right="-283"/>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 xml:space="preserve">Acto Impugnado: </w:t>
      </w:r>
    </w:p>
    <w:p w:rsidR="009F49A5" w:rsidRDefault="00AD3DEE" w:rsidP="00182306">
      <w:pPr>
        <w:spacing w:after="0"/>
        <w:ind w:left="993"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“Transcurrido en su totalidad el plazo legal establecido en la Ley de Transparencia y Acceso a la Información Pública del Estado de México y Municipios, el sujeto obligado no emitió respuesta alguna a la solicitud presentada en tiempo y forma, configurándose así una omisión de respuesta, en contravención directa a los principios de certeza, eficacia, legalidad, transparencia y máxima publicidad que deben regir el actuar de toda autoridad. La falta de contestación no solo representa un incumplimiento procesal, sino que además vulnera de manera directa mi derecho fundamental de acceso a la información pública, el cual se encuentra reconocido y garantizado en el artículo 6° de la Constitución Política de los Estados Unidos Mexicanos, así como en el artículo 5° de la Constitución Política del Estado Libre y Soberano de México, que imponen a las autoridades la obligación de garantizar a todas las personas el acceso pleno, expedito y gratuito a la información gubernamental. De igual manera, tal omisión contraviene lo dispuesto en los artículos 10 y 12 de la Ley de Transparencia y Acceso a la Información Pública del Estado de México y Municipios, que establecen expresamente la obligación de los sujetos obligados de dar respuesta puntual, completa y fundada a las solicitudes presentadas por los particulares. La ausencia de </w:t>
      </w:r>
      <w:proofErr w:type="gramStart"/>
      <w:r>
        <w:rPr>
          <w:rFonts w:ascii="Palatino Linotype" w:eastAsia="Palatino Linotype" w:hAnsi="Palatino Linotype" w:cs="Palatino Linotype"/>
          <w:i/>
          <w:iCs/>
          <w:color w:val="000000"/>
          <w:sz w:val="24"/>
          <w:szCs w:val="24"/>
        </w:rPr>
        <w:t>respuesta</w:t>
      </w:r>
      <w:proofErr w:type="gramEnd"/>
      <w:r>
        <w:rPr>
          <w:rFonts w:ascii="Palatino Linotype" w:eastAsia="Palatino Linotype" w:hAnsi="Palatino Linotype" w:cs="Palatino Linotype"/>
          <w:i/>
          <w:iCs/>
          <w:color w:val="000000"/>
          <w:sz w:val="24"/>
          <w:szCs w:val="24"/>
        </w:rPr>
        <w:t xml:space="preserve"> constituye además un acto de opacidad administrativa que desconoce la naturaleza del derecho de acceso a la información como una herramienta indispensable para la rendición de cuentas, el control ciudadano y la consolidación de un gobierno abierto y transparente. Por lo anteriormente expuesto, con fundamento en los preceptos constitucionales y legales referidos, interpongo formalmente recurso de revisión, solicitando a esa autoridad garante </w:t>
      </w:r>
      <w:r>
        <w:rPr>
          <w:rFonts w:ascii="Palatino Linotype" w:eastAsia="Palatino Linotype" w:hAnsi="Palatino Linotype" w:cs="Palatino Linotype"/>
          <w:i/>
          <w:iCs/>
          <w:color w:val="000000"/>
          <w:sz w:val="24"/>
          <w:szCs w:val="24"/>
        </w:rPr>
        <w:lastRenderedPageBreak/>
        <w:t>que, en el ámbito de sus atribuciones, ordene al sujeto obligado emitir la respuesta correspondiente a mi solicitud de información, proporcionando de manera íntegra los documentos requeridos o, en su caso, fundando y motivando de manera clara y suficiente las razones jurídicas que justifiquen la negativa de acceso, atendiendo en todo momento a los principios de legalidad y máxima publicidad que rigen en la materia.” (Sic).</w:t>
      </w:r>
    </w:p>
    <w:p w:rsidR="009F49A5" w:rsidRDefault="009F49A5" w:rsidP="00182306">
      <w:pPr>
        <w:spacing w:after="0"/>
        <w:ind w:left="993" w:right="-283"/>
        <w:jc w:val="both"/>
        <w:rPr>
          <w:rFonts w:ascii="Palatino Linotype" w:eastAsia="Palatino Linotype" w:hAnsi="Palatino Linotype" w:cs="Palatino Linotype"/>
          <w:i/>
          <w:iCs/>
          <w:color w:val="000000"/>
          <w:sz w:val="24"/>
          <w:szCs w:val="24"/>
        </w:rPr>
      </w:pPr>
    </w:p>
    <w:p w:rsidR="009F49A5" w:rsidRDefault="009F49A5" w:rsidP="00182306">
      <w:pPr>
        <w:spacing w:after="0"/>
        <w:ind w:left="993" w:right="-283"/>
        <w:jc w:val="both"/>
        <w:rPr>
          <w:rFonts w:ascii="Palatino Linotype" w:eastAsia="Palatino Linotype" w:hAnsi="Palatino Linotype" w:cs="Palatino Linotype"/>
          <w:i/>
          <w:iCs/>
          <w:color w:val="000000"/>
          <w:sz w:val="24"/>
          <w:szCs w:val="24"/>
        </w:rPr>
      </w:pPr>
    </w:p>
    <w:p w:rsidR="009F49A5" w:rsidRDefault="00AD3DEE" w:rsidP="00182306">
      <w:pPr>
        <w:numPr>
          <w:ilvl w:val="0"/>
          <w:numId w:val="1"/>
        </w:numPr>
        <w:pBdr>
          <w:top w:val="nil"/>
          <w:left w:val="nil"/>
          <w:bottom w:val="nil"/>
          <w:right w:val="nil"/>
          <w:between w:val="nil"/>
        </w:pBdr>
        <w:spacing w:after="0" w:line="240" w:lineRule="auto"/>
        <w:ind w:left="993"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Razones o Motivos de Inconformidad</w:t>
      </w:r>
      <w:r>
        <w:rPr>
          <w:rFonts w:ascii="Palatino Linotype" w:eastAsia="Palatino Linotype" w:hAnsi="Palatino Linotype" w:cs="Palatino Linotype"/>
          <w:color w:val="000000"/>
          <w:sz w:val="24"/>
          <w:szCs w:val="24"/>
        </w:rPr>
        <w:t xml:space="preserve">: </w:t>
      </w:r>
    </w:p>
    <w:p w:rsidR="009F49A5" w:rsidRDefault="00AD3DEE" w:rsidP="00182306">
      <w:pPr>
        <w:spacing w:after="0" w:line="360" w:lineRule="auto"/>
        <w:ind w:left="993"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“Transcurrido en su totalidad el plazo legal establecido en la Ley de Transparencia y Acceso a la Información Pública del Estado de México y Municipios, el sujeto obligado no emitió respuesta alguna a la solicitud presentada en tiempo y forma, configurándose así una omisión de respuesta, en contravención directa a los principios de certeza, eficacia, legalidad, transparencia y máxima publicidad que deben regir el actuar de toda autoridad. La falta de contestación no solo representa un incumplimiento procesal, sino que además vulnera de manera directa mi derecho fundamental de acceso a la información pública, el cual se encuentra reconocido y garantizado en el artículo 6° de la Constitución Política de los Estados Unidos Mexicanos, así como en el artículo 5° de la Constitución Política del Estado Libre y Soberano de México, que imponen a las autoridades la obligación de garantizar a todas las personas el acceso pleno, expedito y gratuito a la información gubernamental. De igual manera, tal omisión contraviene lo dispuesto en los artículos 10 y 12 de la Ley de Transparencia y Acceso a la Información Pública del Estado de México y Municipios, que establecen expresamente la obligación de los sujetos obligados de dar respuesta puntual, completa y fundada a las solicitudes presentadas por los particulares. La ausencia de respuesta constituye además un acto de opacidad administrativa que desconoce la naturaleza del derecho de acceso a la información como una herramienta indispensable para la rendición de cuentas, el control ciudadano y la consolidación de un gobierno abierto y transparente. Por lo anteriormente expuesto, con fundamento en los preceptos constitucionales y legales </w:t>
      </w:r>
      <w:r>
        <w:rPr>
          <w:rFonts w:ascii="Palatino Linotype" w:eastAsia="Palatino Linotype" w:hAnsi="Palatino Linotype" w:cs="Palatino Linotype"/>
          <w:i/>
          <w:iCs/>
          <w:color w:val="000000"/>
          <w:sz w:val="24"/>
          <w:szCs w:val="24"/>
        </w:rPr>
        <w:lastRenderedPageBreak/>
        <w:t>referidos, interpongo formalmente recurso de revisión, solicitando a esa autoridad garante que, en el ámbito de sus atribuciones, ordene al sujeto obligado emitir la respuesta correspondiente a mi solicitud de información, proporcionando de manera íntegra los documentos requeridos o, en su caso, fundando y motivando de manera clara y suficiente las razones jurídicas que justifiquen la negativa de acceso, atendiendo en todo momento a los principios de legalidad y máxima publicidad que rigen en la materia.” (Sic).</w:t>
      </w:r>
    </w:p>
    <w:p w:rsidR="009F49A5" w:rsidRDefault="009F49A5" w:rsidP="00182306">
      <w:pP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Medio de impugnación que le fue turnado por medio del sistema electrónico a la Comisionada María del Rosario Mejía Ayala,  en términos del arábigo 185, fracción I, de la Ley de Transparencia y Acceso a la información Pública del Estado de México y Municipios, al cual recayó el acuerdo de admisión de fecha </w:t>
      </w:r>
      <w:r>
        <w:rPr>
          <w:rFonts w:ascii="Palatino Linotype" w:eastAsia="Palatino Linotype" w:hAnsi="Palatino Linotype" w:cs="Palatino Linotype"/>
          <w:b/>
          <w:bCs/>
          <w:color w:val="000000"/>
          <w:sz w:val="24"/>
          <w:szCs w:val="24"/>
        </w:rPr>
        <w:t xml:space="preserve">dos de septiembre de dos mil veinticinco, </w:t>
      </w:r>
      <w:r>
        <w:rPr>
          <w:rFonts w:ascii="Palatino Linotype" w:eastAsia="Palatino Linotype" w:hAnsi="Palatino Linotype" w:cs="Palatino Linotype"/>
          <w:sz w:val="24"/>
          <w:szCs w:val="24"/>
        </w:rPr>
        <w:t>determinando</w:t>
      </w:r>
      <w:r>
        <w:rPr>
          <w:rFonts w:ascii="Palatino Linotype" w:eastAsia="Palatino Linotype" w:hAnsi="Palatino Linotype" w:cs="Palatino Linotype"/>
          <w:color w:val="000000"/>
          <w:sz w:val="24"/>
          <w:szCs w:val="24"/>
        </w:rPr>
        <w:t xml:space="preserve"> un plazo de siete días para que las partes </w:t>
      </w:r>
      <w:r>
        <w:rPr>
          <w:rFonts w:ascii="Palatino Linotype" w:eastAsia="Palatino Linotype" w:hAnsi="Palatino Linotype" w:cs="Palatino Linotype"/>
          <w:sz w:val="24"/>
          <w:szCs w:val="24"/>
        </w:rPr>
        <w:t xml:space="preserve">manifestaron </w:t>
      </w:r>
      <w:r>
        <w:rPr>
          <w:rFonts w:ascii="Palatino Linotype" w:eastAsia="Palatino Linotype" w:hAnsi="Palatino Linotype" w:cs="Palatino Linotype"/>
          <w:color w:val="000000"/>
          <w:sz w:val="24"/>
          <w:szCs w:val="24"/>
        </w:rPr>
        <w:t xml:space="preserve">lo que a su derecho corresponda en términos de los numerales ya citados. </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sz w:val="24"/>
          <w:szCs w:val="24"/>
        </w:rPr>
        <w:t>EL SUJETO OBLIGADO</w:t>
      </w:r>
      <w:r>
        <w:rPr>
          <w:rFonts w:ascii="Palatino Linotype" w:eastAsia="Palatino Linotype" w:hAnsi="Palatino Linotype" w:cs="Palatino Linotype"/>
          <w:color w:val="000000"/>
          <w:sz w:val="24"/>
          <w:szCs w:val="24"/>
        </w:rPr>
        <w:t xml:space="preserve"> fue omiso en rendir el Informe Justificado; asimismo </w:t>
      </w:r>
      <w:r>
        <w:rPr>
          <w:rFonts w:ascii="Palatino Linotype" w:eastAsia="Palatino Linotype" w:hAnsi="Palatino Linotype" w:cs="Palatino Linotype"/>
          <w:b/>
          <w:bCs/>
          <w:color w:val="000000"/>
          <w:sz w:val="24"/>
          <w:szCs w:val="24"/>
        </w:rPr>
        <w:t>EL RECURRENTE</w:t>
      </w:r>
      <w:r>
        <w:rPr>
          <w:rFonts w:ascii="Palatino Linotype" w:eastAsia="Palatino Linotype" w:hAnsi="Palatino Linotype" w:cs="Palatino Linotype"/>
          <w:color w:val="000000"/>
          <w:sz w:val="24"/>
          <w:szCs w:val="24"/>
        </w:rPr>
        <w:t xml:space="preserve"> no </w:t>
      </w:r>
      <w:r>
        <w:rPr>
          <w:rFonts w:ascii="Palatino Linotype" w:eastAsia="Palatino Linotype" w:hAnsi="Palatino Linotype" w:cs="Palatino Linotype"/>
          <w:sz w:val="24"/>
          <w:szCs w:val="24"/>
        </w:rPr>
        <w:t>proporcionó</w:t>
      </w:r>
      <w:r>
        <w:rPr>
          <w:rFonts w:ascii="Palatino Linotype" w:eastAsia="Palatino Linotype" w:hAnsi="Palatino Linotype" w:cs="Palatino Linotype"/>
          <w:color w:val="000000"/>
          <w:sz w:val="24"/>
          <w:szCs w:val="24"/>
        </w:rPr>
        <w:t xml:space="preserve"> manifestaciones que a su derecho </w:t>
      </w:r>
      <w:r>
        <w:rPr>
          <w:rFonts w:ascii="Palatino Linotype" w:eastAsia="Palatino Linotype" w:hAnsi="Palatino Linotype" w:cs="Palatino Linotype"/>
          <w:sz w:val="24"/>
          <w:szCs w:val="24"/>
        </w:rPr>
        <w:t>conviniera</w:t>
      </w:r>
      <w:r>
        <w:rPr>
          <w:rFonts w:ascii="Palatino Linotype" w:eastAsia="Palatino Linotype" w:hAnsi="Palatino Linotype" w:cs="Palatino Linotype"/>
          <w:color w:val="000000"/>
          <w:sz w:val="24"/>
          <w:szCs w:val="24"/>
        </w:rPr>
        <w:t>.</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Atento a lo anterior, en fecha </w:t>
      </w:r>
      <w:r>
        <w:rPr>
          <w:rFonts w:ascii="Palatino Linotype" w:eastAsia="Palatino Linotype" w:hAnsi="Palatino Linotype" w:cs="Palatino Linotype"/>
          <w:b/>
          <w:bCs/>
          <w:color w:val="000000"/>
          <w:sz w:val="24"/>
          <w:szCs w:val="24"/>
        </w:rPr>
        <w:t xml:space="preserve">seis de octubre de dos mil veintiséis, </w:t>
      </w:r>
      <w:r>
        <w:rPr>
          <w:rFonts w:ascii="Palatino Linotype" w:eastAsia="Palatino Linotype" w:hAnsi="Palatino Linotype" w:cs="Palatino Linotype"/>
          <w:color w:val="000000"/>
          <w:sz w:val="24"/>
          <w:szCs w:val="24"/>
        </w:rPr>
        <w:t xml:space="preserve">se notificó la resolución por la que se le </w:t>
      </w:r>
      <w:r>
        <w:rPr>
          <w:rFonts w:ascii="Palatino Linotype" w:eastAsia="Palatino Linotype" w:hAnsi="Palatino Linotype" w:cs="Palatino Linotype"/>
          <w:sz w:val="24"/>
          <w:szCs w:val="24"/>
        </w:rPr>
        <w:t>ordenó</w:t>
      </w:r>
      <w:r>
        <w:rPr>
          <w:rFonts w:ascii="Palatino Linotype" w:eastAsia="Palatino Linotype" w:hAnsi="Palatino Linotype" w:cs="Palatino Linotype"/>
          <w:color w:val="000000"/>
          <w:sz w:val="24"/>
          <w:szCs w:val="24"/>
        </w:rPr>
        <w:t xml:space="preserve"> al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atender la solicitud de información que nos ocupa.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Atento a lo anterior,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 xml:space="preserve">veinte de noviembre de dos mil veintiséis, </w:t>
      </w:r>
      <w:r>
        <w:rPr>
          <w:rFonts w:ascii="Palatino Linotype" w:eastAsia="Palatino Linotype" w:hAnsi="Palatino Linotype" w:cs="Palatino Linotype"/>
          <w:color w:val="000000"/>
          <w:sz w:val="24"/>
          <w:szCs w:val="24"/>
        </w:rPr>
        <w:t>hizo entrega de la información, haciendo valer una incompetencia.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lastRenderedPageBreak/>
        <w:t xml:space="preserve">Inconforme con la información entregada, ahora </w:t>
      </w:r>
      <w:r>
        <w:rPr>
          <w:rFonts w:ascii="Palatino Linotype" w:eastAsia="Palatino Linotype" w:hAnsi="Palatino Linotype" w:cs="Palatino Linotype"/>
          <w:b/>
          <w:bCs/>
          <w:color w:val="000000"/>
          <w:sz w:val="24"/>
          <w:szCs w:val="24"/>
        </w:rPr>
        <w:t xml:space="preserve">RECURRENTE, </w:t>
      </w:r>
      <w:r>
        <w:rPr>
          <w:rFonts w:ascii="Palatino Linotype" w:eastAsia="Palatino Linotype" w:hAnsi="Palatino Linotype" w:cs="Palatino Linotype"/>
          <w:color w:val="000000"/>
          <w:sz w:val="24"/>
          <w:szCs w:val="24"/>
        </w:rPr>
        <w:t xml:space="preserve">interpuso segundo recurso de revisión </w:t>
      </w:r>
      <w:r>
        <w:rPr>
          <w:rFonts w:ascii="Palatino Linotype" w:eastAsia="Palatino Linotype" w:hAnsi="Palatino Linotype" w:cs="Palatino Linotype"/>
          <w:b/>
          <w:bCs/>
          <w:color w:val="000000"/>
          <w:sz w:val="24"/>
          <w:szCs w:val="24"/>
        </w:rPr>
        <w:t xml:space="preserve">10228/INFOEM/ICR-131/IP/RR/2025, </w:t>
      </w:r>
      <w:r>
        <w:rPr>
          <w:rFonts w:ascii="Palatino Linotype" w:eastAsia="Palatino Linotype" w:hAnsi="Palatino Linotype" w:cs="Palatino Linotype"/>
          <w:color w:val="000000"/>
          <w:sz w:val="24"/>
          <w:szCs w:val="24"/>
        </w:rPr>
        <w:t>en el que arguyó lo siguiente:</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7"/>
        </w:numPr>
        <w:spacing w:after="0" w:line="276" w:lineRule="auto"/>
        <w:ind w:left="993" w:right="-283"/>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 xml:space="preserve">Acto Impugnado: </w:t>
      </w:r>
    </w:p>
    <w:p w:rsidR="009F49A5" w:rsidRDefault="00AD3DEE" w:rsidP="00182306">
      <w:pPr>
        <w:spacing w:after="0" w:line="276" w:lineRule="auto"/>
        <w:ind w:left="993"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“No se </w:t>
      </w:r>
      <w:proofErr w:type="spellStart"/>
      <w:r>
        <w:rPr>
          <w:rFonts w:ascii="Palatino Linotype" w:eastAsia="Palatino Linotype" w:hAnsi="Palatino Linotype" w:cs="Palatino Linotype"/>
          <w:i/>
          <w:iCs/>
          <w:color w:val="000000"/>
          <w:sz w:val="24"/>
          <w:szCs w:val="24"/>
        </w:rPr>
        <w:t>marco</w:t>
      </w:r>
      <w:proofErr w:type="spellEnd"/>
      <w:r>
        <w:rPr>
          <w:rFonts w:ascii="Palatino Linotype" w:eastAsia="Palatino Linotype" w:hAnsi="Palatino Linotype" w:cs="Palatino Linotype"/>
          <w:i/>
          <w:iCs/>
          <w:color w:val="000000"/>
          <w:sz w:val="24"/>
          <w:szCs w:val="24"/>
        </w:rPr>
        <w:t xml:space="preserve"> la incompetencia orientando en tiempo que </w:t>
      </w:r>
      <w:proofErr w:type="spellStart"/>
      <w:r>
        <w:rPr>
          <w:rFonts w:ascii="Palatino Linotype" w:eastAsia="Palatino Linotype" w:hAnsi="Palatino Linotype" w:cs="Palatino Linotype"/>
          <w:i/>
          <w:iCs/>
          <w:color w:val="000000"/>
          <w:sz w:val="24"/>
          <w:szCs w:val="24"/>
        </w:rPr>
        <w:t>debia</w:t>
      </w:r>
      <w:proofErr w:type="spellEnd"/>
      <w:r>
        <w:rPr>
          <w:rFonts w:ascii="Palatino Linotype" w:eastAsia="Palatino Linotype" w:hAnsi="Palatino Linotype" w:cs="Palatino Linotype"/>
          <w:i/>
          <w:iCs/>
          <w:color w:val="000000"/>
          <w:sz w:val="24"/>
          <w:szCs w:val="24"/>
        </w:rPr>
        <w:t xml:space="preserve"> de ser al ayuntamiento de </w:t>
      </w:r>
      <w:proofErr w:type="spellStart"/>
      <w:r>
        <w:rPr>
          <w:rFonts w:ascii="Palatino Linotype" w:eastAsia="Palatino Linotype" w:hAnsi="Palatino Linotype" w:cs="Palatino Linotype"/>
          <w:i/>
          <w:iCs/>
          <w:color w:val="000000"/>
          <w:sz w:val="24"/>
          <w:szCs w:val="24"/>
        </w:rPr>
        <w:t>ixtapaluca</w:t>
      </w:r>
      <w:proofErr w:type="spellEnd"/>
      <w:r>
        <w:rPr>
          <w:rFonts w:ascii="Palatino Linotype" w:eastAsia="Palatino Linotype" w:hAnsi="Palatino Linotype" w:cs="Palatino Linotype"/>
          <w:i/>
          <w:iCs/>
          <w:color w:val="000000"/>
          <w:sz w:val="24"/>
          <w:szCs w:val="24"/>
        </w:rPr>
        <w:t xml:space="preserve"> por lo que debió de realizar el trámite y entregar la respuesta del sujeto obligado correspondiente esto al haber incumplido los tiempos estipulados para determinar incompetencia. En cuanto a la bitácora me refiero a la del auditorio del DIF (Sic).</w:t>
      </w:r>
    </w:p>
    <w:p w:rsidR="009F49A5" w:rsidRDefault="009F49A5" w:rsidP="00182306">
      <w:pPr>
        <w:spacing w:after="0" w:line="276" w:lineRule="auto"/>
        <w:ind w:left="993" w:right="-283"/>
        <w:jc w:val="both"/>
        <w:rPr>
          <w:rFonts w:ascii="Palatino Linotype" w:eastAsia="Palatino Linotype" w:hAnsi="Palatino Linotype" w:cs="Palatino Linotype"/>
          <w:i/>
          <w:iCs/>
          <w:color w:val="000000"/>
          <w:sz w:val="24"/>
          <w:szCs w:val="24"/>
        </w:rPr>
      </w:pPr>
    </w:p>
    <w:p w:rsidR="009F49A5" w:rsidRDefault="009F49A5" w:rsidP="00182306">
      <w:pPr>
        <w:spacing w:after="0" w:line="276" w:lineRule="auto"/>
        <w:ind w:left="993" w:right="-283"/>
        <w:jc w:val="both"/>
        <w:rPr>
          <w:rFonts w:ascii="Palatino Linotype" w:eastAsia="Palatino Linotype" w:hAnsi="Palatino Linotype" w:cs="Palatino Linotype"/>
          <w:i/>
          <w:iCs/>
          <w:color w:val="000000"/>
          <w:sz w:val="24"/>
          <w:szCs w:val="24"/>
        </w:rPr>
      </w:pPr>
    </w:p>
    <w:p w:rsidR="009F49A5" w:rsidRDefault="00AD3DEE" w:rsidP="00182306">
      <w:pPr>
        <w:numPr>
          <w:ilvl w:val="0"/>
          <w:numId w:val="1"/>
        </w:numPr>
        <w:pBdr>
          <w:top w:val="nil"/>
          <w:left w:val="nil"/>
          <w:bottom w:val="nil"/>
          <w:right w:val="nil"/>
          <w:between w:val="nil"/>
        </w:pBdr>
        <w:spacing w:after="0" w:line="276" w:lineRule="auto"/>
        <w:ind w:left="993"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Razones o Motivos de Inconformidad</w:t>
      </w:r>
      <w:r>
        <w:rPr>
          <w:rFonts w:ascii="Palatino Linotype" w:eastAsia="Palatino Linotype" w:hAnsi="Palatino Linotype" w:cs="Palatino Linotype"/>
          <w:color w:val="000000"/>
          <w:sz w:val="24"/>
          <w:szCs w:val="24"/>
        </w:rPr>
        <w:t xml:space="preserve">: </w:t>
      </w:r>
    </w:p>
    <w:p w:rsidR="009F49A5" w:rsidRDefault="00AD3DEE" w:rsidP="00182306">
      <w:pPr>
        <w:spacing w:after="0" w:line="276" w:lineRule="auto"/>
        <w:ind w:left="993"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“No se </w:t>
      </w:r>
      <w:proofErr w:type="spellStart"/>
      <w:r>
        <w:rPr>
          <w:rFonts w:ascii="Palatino Linotype" w:eastAsia="Palatino Linotype" w:hAnsi="Palatino Linotype" w:cs="Palatino Linotype"/>
          <w:i/>
          <w:iCs/>
          <w:color w:val="000000"/>
          <w:sz w:val="24"/>
          <w:szCs w:val="24"/>
        </w:rPr>
        <w:t>marco</w:t>
      </w:r>
      <w:proofErr w:type="spellEnd"/>
      <w:r>
        <w:rPr>
          <w:rFonts w:ascii="Palatino Linotype" w:eastAsia="Palatino Linotype" w:hAnsi="Palatino Linotype" w:cs="Palatino Linotype"/>
          <w:i/>
          <w:iCs/>
          <w:color w:val="000000"/>
          <w:sz w:val="24"/>
          <w:szCs w:val="24"/>
        </w:rPr>
        <w:t xml:space="preserve"> la incompetencia orientando en tiempo que </w:t>
      </w:r>
      <w:proofErr w:type="spellStart"/>
      <w:r>
        <w:rPr>
          <w:rFonts w:ascii="Palatino Linotype" w:eastAsia="Palatino Linotype" w:hAnsi="Palatino Linotype" w:cs="Palatino Linotype"/>
          <w:i/>
          <w:iCs/>
          <w:color w:val="000000"/>
          <w:sz w:val="24"/>
          <w:szCs w:val="24"/>
        </w:rPr>
        <w:t>debia</w:t>
      </w:r>
      <w:proofErr w:type="spellEnd"/>
      <w:r>
        <w:rPr>
          <w:rFonts w:ascii="Palatino Linotype" w:eastAsia="Palatino Linotype" w:hAnsi="Palatino Linotype" w:cs="Palatino Linotype"/>
          <w:i/>
          <w:iCs/>
          <w:color w:val="000000"/>
          <w:sz w:val="24"/>
          <w:szCs w:val="24"/>
        </w:rPr>
        <w:t xml:space="preserve"> de ser al ayuntamiento de </w:t>
      </w:r>
      <w:proofErr w:type="spellStart"/>
      <w:r>
        <w:rPr>
          <w:rFonts w:ascii="Palatino Linotype" w:eastAsia="Palatino Linotype" w:hAnsi="Palatino Linotype" w:cs="Palatino Linotype"/>
          <w:i/>
          <w:iCs/>
          <w:color w:val="000000"/>
          <w:sz w:val="24"/>
          <w:szCs w:val="24"/>
        </w:rPr>
        <w:t>ixtapaluca</w:t>
      </w:r>
      <w:proofErr w:type="spellEnd"/>
      <w:r>
        <w:rPr>
          <w:rFonts w:ascii="Palatino Linotype" w:eastAsia="Palatino Linotype" w:hAnsi="Palatino Linotype" w:cs="Palatino Linotype"/>
          <w:i/>
          <w:iCs/>
          <w:color w:val="000000"/>
          <w:sz w:val="24"/>
          <w:szCs w:val="24"/>
        </w:rPr>
        <w:t xml:space="preserve"> por lo que debió de realizar el trámite y entregar la respuesta del sujeto obligado correspondiente esto al haber incumplido los tiempos estipulados para determinar incompetencia. En cuanto a la bitácora me refiero a la del auditorio del DIF.” (Sic).</w:t>
      </w:r>
    </w:p>
    <w:p w:rsidR="009F49A5" w:rsidRDefault="009F49A5" w:rsidP="00182306">
      <w:pPr>
        <w:spacing w:after="0" w:line="276" w:lineRule="auto"/>
        <w:ind w:left="993" w:right="-283"/>
        <w:jc w:val="both"/>
        <w:rPr>
          <w:rFonts w:ascii="Palatino Linotype" w:eastAsia="Palatino Linotype" w:hAnsi="Palatino Linotype" w:cs="Palatino Linotype"/>
          <w:i/>
          <w:iCs/>
          <w:color w:val="000000"/>
          <w:sz w:val="24"/>
          <w:szCs w:val="24"/>
        </w:rPr>
      </w:pPr>
    </w:p>
    <w:p w:rsidR="009F49A5" w:rsidRPr="00182306"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El recurso de revisión en comento, fue admitido el </w:t>
      </w:r>
      <w:r>
        <w:rPr>
          <w:rFonts w:ascii="Palatino Linotype" w:eastAsia="Palatino Linotype" w:hAnsi="Palatino Linotype" w:cs="Palatino Linotype"/>
          <w:b/>
          <w:bCs/>
          <w:color w:val="000000"/>
          <w:sz w:val="24"/>
          <w:szCs w:val="24"/>
        </w:rPr>
        <w:t xml:space="preserve">dieciocho de noviembre de dos mil veinticinco, </w:t>
      </w:r>
      <w:r>
        <w:rPr>
          <w:rFonts w:ascii="Palatino Linotype" w:eastAsia="Palatino Linotype" w:hAnsi="Palatino Linotype" w:cs="Palatino Linotype"/>
          <w:color w:val="000000"/>
          <w:sz w:val="24"/>
          <w:szCs w:val="24"/>
        </w:rPr>
        <w:t xml:space="preserve">en el que se señaló un periodo de siete días para que las partes </w:t>
      </w:r>
      <w:r>
        <w:rPr>
          <w:rFonts w:ascii="Palatino Linotype" w:eastAsia="Palatino Linotype" w:hAnsi="Palatino Linotype" w:cs="Palatino Linotype"/>
          <w:sz w:val="24"/>
          <w:szCs w:val="24"/>
        </w:rPr>
        <w:t>realizarán</w:t>
      </w:r>
      <w:r>
        <w:rPr>
          <w:rFonts w:ascii="Palatino Linotype" w:eastAsia="Palatino Linotype" w:hAnsi="Palatino Linotype" w:cs="Palatino Linotype"/>
          <w:color w:val="000000"/>
          <w:sz w:val="24"/>
          <w:szCs w:val="24"/>
        </w:rPr>
        <w:t xml:space="preserve"> las manifestaciones correspondientes conforme a su derecho conviniera y/o asistiera. </w:t>
      </w:r>
    </w:p>
    <w:p w:rsidR="00182306" w:rsidRDefault="00182306"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 xml:space="preserve">PARTICULAR, </w:t>
      </w:r>
      <w:r>
        <w:rPr>
          <w:rFonts w:ascii="Palatino Linotype" w:eastAsia="Palatino Linotype" w:hAnsi="Palatino Linotype" w:cs="Palatino Linotype"/>
          <w:color w:val="000000"/>
          <w:sz w:val="24"/>
          <w:szCs w:val="24"/>
        </w:rPr>
        <w:t>fue omiso en pronunciarse.</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El</w:t>
      </w:r>
      <w:r>
        <w:rPr>
          <w:rFonts w:ascii="Palatino Linotype" w:eastAsia="Palatino Linotype" w:hAnsi="Palatino Linotype" w:cs="Palatino Linotype"/>
          <w:b/>
          <w:bCs/>
          <w:sz w:val="24"/>
          <w:szCs w:val="24"/>
        </w:rPr>
        <w:t xml:space="preserve"> SUJETO OBLIGADO, </w:t>
      </w:r>
      <w:r>
        <w:rPr>
          <w:rFonts w:ascii="Palatino Linotype" w:eastAsia="Palatino Linotype" w:hAnsi="Palatino Linotype" w:cs="Palatino Linotype"/>
          <w:sz w:val="24"/>
          <w:szCs w:val="24"/>
        </w:rPr>
        <w:t xml:space="preserve">rindió el Informe Justificado correspondiente a través del archivo </w:t>
      </w:r>
      <w:hyperlink r:id="rId8">
        <w:r>
          <w:rPr>
            <w:rFonts w:ascii="Palatino Linotype" w:eastAsia="Palatino Linotype" w:hAnsi="Palatino Linotype" w:cs="Palatino Linotype"/>
            <w:b/>
            <w:bCs/>
            <w:color w:val="000000"/>
            <w:sz w:val="24"/>
            <w:szCs w:val="24"/>
          </w:rPr>
          <w:t>RESPUESTA 24.pdf</w:t>
        </w:r>
      </w:hyperlink>
      <w:r>
        <w:rPr>
          <w:rFonts w:ascii="Palatino Linotype" w:eastAsia="Palatino Linotype" w:hAnsi="Palatino Linotype" w:cs="Palatino Linotype"/>
          <w:sz w:val="24"/>
          <w:szCs w:val="24"/>
        </w:rPr>
        <w:t>, del que se desprende el oficio firmado por el Titular de Transparencia por el que confirmó su respuesta primigenia.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lastRenderedPageBreak/>
        <w:t xml:space="preserve">El </w:t>
      </w:r>
      <w:r>
        <w:rPr>
          <w:rFonts w:ascii="Palatino Linotype" w:eastAsia="Palatino Linotype" w:hAnsi="Palatino Linotype" w:cs="Palatino Linotype"/>
          <w:b/>
          <w:bCs/>
          <w:color w:val="000000"/>
          <w:sz w:val="24"/>
          <w:szCs w:val="24"/>
        </w:rPr>
        <w:t xml:space="preserve">diecinueve de mayo de dos mil veintiséis, </w:t>
      </w:r>
      <w:r>
        <w:rPr>
          <w:rFonts w:ascii="Palatino Linotype" w:eastAsia="Palatino Linotype" w:hAnsi="Palatino Linotype" w:cs="Palatino Linotype"/>
          <w:color w:val="000000"/>
          <w:sz w:val="24"/>
          <w:szCs w:val="24"/>
        </w:rPr>
        <w:t xml:space="preserve">se notificó el acuerdo por el que se amplió el plazo para resolver el recurso de revisión que nos ocupa. </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Ahora bien, en términos del artículo 185, fracciones VI y VIII de la Ley de Transparencia y Acceso a la Información Pública del Estado de México y Municipios, el</w:t>
      </w:r>
      <w:r>
        <w:rPr>
          <w:rFonts w:ascii="Palatino Linotype" w:eastAsia="Palatino Linotype" w:hAnsi="Palatino Linotype" w:cs="Palatino Linotype"/>
          <w:b/>
          <w:bCs/>
          <w:color w:val="000000"/>
          <w:sz w:val="24"/>
          <w:szCs w:val="24"/>
        </w:rPr>
        <w:t xml:space="preserve"> veintisiete de mayo de dos mil veintiséis, </w:t>
      </w:r>
      <w:r>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9F49A5" w:rsidRDefault="009F49A5" w:rsidP="00182306">
      <w:pPr>
        <w:spacing w:after="0" w:line="360" w:lineRule="auto"/>
        <w:ind w:right="-283"/>
        <w:jc w:val="center"/>
        <w:rPr>
          <w:rFonts w:ascii="Palatino Linotype" w:eastAsia="Palatino Linotype" w:hAnsi="Palatino Linotype" w:cs="Palatino Linotype"/>
          <w:b/>
          <w:bCs/>
          <w:sz w:val="24"/>
          <w:szCs w:val="24"/>
        </w:rPr>
      </w:pPr>
    </w:p>
    <w:p w:rsidR="009F49A5" w:rsidRDefault="00AD3DEE" w:rsidP="00182306">
      <w:pPr>
        <w:spacing w:after="0" w:line="360" w:lineRule="auto"/>
        <w:ind w:right="-283"/>
        <w:jc w:val="center"/>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C O N S I D E R A N D O </w:t>
      </w:r>
    </w:p>
    <w:p w:rsidR="009F49A5" w:rsidRDefault="009F49A5" w:rsidP="00182306">
      <w:pPr>
        <w:spacing w:after="0" w:line="360" w:lineRule="auto"/>
        <w:ind w:right="-283"/>
        <w:jc w:val="both"/>
        <w:rPr>
          <w:rFonts w:ascii="Palatino Linotype" w:eastAsia="Palatino Linotype" w:hAnsi="Palatino Linotype" w:cs="Palatino Linotype"/>
          <w:sz w:val="24"/>
          <w:szCs w:val="24"/>
        </w:rPr>
      </w:pPr>
    </w:p>
    <w:p w:rsidR="009F49A5" w:rsidRDefault="00AD3DEE" w:rsidP="00182306">
      <w:pPr>
        <w:pStyle w:val="Ttulo2"/>
        <w:spacing w:before="0" w:line="360" w:lineRule="auto"/>
        <w:ind w:right="-283"/>
        <w:rPr>
          <w:rFonts w:ascii="Palatino Linotype" w:eastAsia="Palatino Linotype" w:hAnsi="Palatino Linotype" w:cs="Palatino Linotype"/>
          <w:b w:val="0"/>
          <w:bCs w:val="0"/>
          <w:sz w:val="24"/>
          <w:szCs w:val="24"/>
        </w:rPr>
      </w:pPr>
      <w:bookmarkStart w:id="1" w:name="_heading=h.2e4zy23cgr8e" w:colFirst="0" w:colLast="0"/>
      <w:bookmarkEnd w:id="1"/>
      <w:r>
        <w:rPr>
          <w:rFonts w:ascii="Palatino Linotype" w:eastAsia="Palatino Linotype" w:hAnsi="Palatino Linotype" w:cs="Palatino Linotype"/>
          <w:sz w:val="24"/>
          <w:szCs w:val="24"/>
        </w:rPr>
        <w:t>PRIMERO. De la competencia</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pStyle w:val="Ttulo2"/>
        <w:spacing w:before="0" w:line="360" w:lineRule="auto"/>
        <w:ind w:right="-283"/>
        <w:rPr>
          <w:rFonts w:ascii="Palatino Linotype" w:eastAsia="Palatino Linotype" w:hAnsi="Palatino Linotype" w:cs="Palatino Linotype"/>
          <w:b w:val="0"/>
          <w:bCs w:val="0"/>
          <w:sz w:val="24"/>
          <w:szCs w:val="24"/>
        </w:rPr>
      </w:pPr>
      <w:bookmarkStart w:id="2" w:name="_heading=h.ernc8vwogc3v" w:colFirst="0" w:colLast="0"/>
      <w:bookmarkEnd w:id="2"/>
      <w:r>
        <w:rPr>
          <w:rFonts w:ascii="Palatino Linotype" w:eastAsia="Palatino Linotype" w:hAnsi="Palatino Linotype" w:cs="Palatino Linotype"/>
          <w:sz w:val="24"/>
          <w:szCs w:val="24"/>
        </w:rPr>
        <w:lastRenderedPageBreak/>
        <w:t>SEGUNDO. De la oportunidad y procedencia.</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medio de impugnación fue presentado a través del </w:t>
      </w:r>
      <w:r>
        <w:rPr>
          <w:rFonts w:ascii="Palatino Linotype" w:eastAsia="Palatino Linotype" w:hAnsi="Palatino Linotype" w:cs="Palatino Linotype"/>
          <w:b/>
          <w:bCs/>
          <w:sz w:val="24"/>
          <w:szCs w:val="24"/>
        </w:rPr>
        <w:t>SAIMEX,</w:t>
      </w:r>
      <w:r>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declinó incompetencia el </w:t>
      </w:r>
      <w:r>
        <w:rPr>
          <w:rFonts w:ascii="Palatino Linotype" w:eastAsia="Palatino Linotype" w:hAnsi="Palatino Linotype" w:cs="Palatino Linotype"/>
          <w:b/>
          <w:bCs/>
          <w:sz w:val="24"/>
          <w:szCs w:val="24"/>
        </w:rPr>
        <w:t>veinte de octubre de dos mil veintiséis</w:t>
      </w:r>
      <w:r>
        <w:rPr>
          <w:rFonts w:ascii="Palatino Linotype" w:eastAsia="Palatino Linotype" w:hAnsi="Palatino Linotype" w:cs="Palatino Linotype"/>
          <w:sz w:val="24"/>
          <w:szCs w:val="24"/>
        </w:rPr>
        <w:t>, de tal forma que el plazo para interponer el recurso de revisión transcurrió del</w:t>
      </w:r>
      <w:r>
        <w:rPr>
          <w:rFonts w:ascii="Palatino Linotype" w:eastAsia="Palatino Linotype" w:hAnsi="Palatino Linotype" w:cs="Palatino Linotype"/>
          <w:b/>
          <w:bCs/>
          <w:sz w:val="24"/>
          <w:szCs w:val="24"/>
        </w:rPr>
        <w:t xml:space="preserve"> veintiuno de octubre al once de noviembre de dos mil veintiséis</w:t>
      </w:r>
      <w:r>
        <w:rPr>
          <w:rFonts w:ascii="Palatino Linotype" w:eastAsia="Palatino Linotype" w:hAnsi="Palatino Linotype" w:cs="Palatino Linotype"/>
          <w:sz w:val="24"/>
          <w:szCs w:val="24"/>
        </w:rPr>
        <w:t xml:space="preserve">; en consecuencia, el ahora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presentó su inconformidad el </w:t>
      </w:r>
      <w:r>
        <w:rPr>
          <w:rFonts w:ascii="Palatino Linotype" w:eastAsia="Palatino Linotype" w:hAnsi="Palatino Linotype" w:cs="Palatino Linotype"/>
          <w:b/>
          <w:bCs/>
          <w:sz w:val="24"/>
          <w:szCs w:val="24"/>
        </w:rPr>
        <w:t>veintisiete de octubre de dos mil veintiséis</w:t>
      </w:r>
      <w:r>
        <w:rPr>
          <w:rFonts w:ascii="Palatino Linotype" w:eastAsia="Palatino Linotype" w:hAnsi="Palatino Linotype" w:cs="Palatino Linotype"/>
          <w:sz w:val="24"/>
          <w:szCs w:val="24"/>
        </w:rPr>
        <w:t>; por lo que se estima que la inconformidad se presentó dentro del lapso legalmente establecido para tal efecto.</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sz w:val="24"/>
          <w:szCs w:val="24"/>
        </w:rPr>
      </w:pPr>
    </w:p>
    <w:p w:rsidR="009F49A5" w:rsidRDefault="00AD3DEE" w:rsidP="00182306">
      <w:pPr>
        <w:pStyle w:val="Ttulo1"/>
        <w:spacing w:before="0" w:line="360" w:lineRule="auto"/>
        <w:ind w:right="-283"/>
        <w:rPr>
          <w:rFonts w:ascii="Palatino Linotype" w:eastAsia="Palatino Linotype" w:hAnsi="Palatino Linotype" w:cs="Palatino Linotype"/>
          <w:b w:val="0"/>
          <w:bCs w:val="0"/>
          <w:color w:val="000000"/>
          <w:sz w:val="24"/>
          <w:szCs w:val="24"/>
        </w:rPr>
      </w:pPr>
      <w:bookmarkStart w:id="3" w:name="_heading=h.qciemh1mzctw" w:colFirst="0" w:colLast="0"/>
      <w:bookmarkEnd w:id="3"/>
      <w:r>
        <w:rPr>
          <w:rFonts w:ascii="Palatino Linotype" w:eastAsia="Palatino Linotype" w:hAnsi="Palatino Linotype" w:cs="Palatino Linotype"/>
          <w:sz w:val="24"/>
          <w:szCs w:val="24"/>
        </w:rPr>
        <w:t xml:space="preserve">TERCERO. </w:t>
      </w:r>
      <w:r>
        <w:rPr>
          <w:rFonts w:ascii="Palatino Linotype" w:eastAsia="Palatino Linotype" w:hAnsi="Palatino Linotype" w:cs="Palatino Linotype"/>
          <w:color w:val="000000"/>
          <w:sz w:val="24"/>
          <w:szCs w:val="24"/>
        </w:rPr>
        <w:t xml:space="preserve">Del planteamiento de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Se solicitó tener acceso, a la información que a continuación se desagrega:</w:t>
      </w:r>
    </w:p>
    <w:p w:rsidR="009F49A5" w:rsidRDefault="00AD3DEE" w:rsidP="00182306">
      <w:pPr>
        <w:numPr>
          <w:ilvl w:val="0"/>
          <w:numId w:val="4"/>
        </w:numPr>
        <w:pBdr>
          <w:top w:val="nil"/>
          <w:left w:val="nil"/>
          <w:bottom w:val="nil"/>
          <w:right w:val="nil"/>
          <w:between w:val="nil"/>
        </w:pBdr>
        <w:spacing w:after="0" w:line="276" w:lineRule="auto"/>
        <w:ind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Solicito bitácora de uso del auditorio municipal para actividades del DIF entre abril y julio de 2025</w:t>
      </w:r>
    </w:p>
    <w:p w:rsidR="009F49A5" w:rsidRDefault="009F49A5" w:rsidP="00182306">
      <w:pPr>
        <w:pBdr>
          <w:top w:val="nil"/>
          <w:left w:val="nil"/>
          <w:bottom w:val="nil"/>
          <w:right w:val="nil"/>
          <w:between w:val="nil"/>
        </w:pBdr>
        <w:spacing w:after="0" w:line="276" w:lineRule="auto"/>
        <w:ind w:left="720"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no dio respuesta.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b/>
          <w:bCs/>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PARTICULAR, </w:t>
      </w:r>
      <w:r>
        <w:rPr>
          <w:rFonts w:ascii="Palatino Linotype" w:eastAsia="Palatino Linotype" w:hAnsi="Palatino Linotype" w:cs="Palatino Linotype"/>
          <w:sz w:val="24"/>
          <w:szCs w:val="24"/>
        </w:rPr>
        <w:t>interpuso recurso de revisión arguyendo la negativa de la entrega de la información solicitada.</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lastRenderedPageBreak/>
        <w:t>Las PARTES</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no realizaron manifestaciones.</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b/>
          <w:bCs/>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seis de octubre de dos mil veintiséis, </w:t>
      </w:r>
      <w:r>
        <w:rPr>
          <w:rFonts w:ascii="Palatino Linotype" w:eastAsia="Palatino Linotype" w:hAnsi="Palatino Linotype" w:cs="Palatino Linotype"/>
          <w:sz w:val="24"/>
          <w:szCs w:val="24"/>
        </w:rPr>
        <w:t xml:space="preserve">se notificó la resolución por la que se ordenó al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atender la solicitud de información que nos ocupa.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b/>
          <w:bCs/>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Atento a lo anterior,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declinó su competencia, arguyendo que la información que solicita no se encuentra en sus archivos y que es el Ayuntamiento de Ixtapaluca,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que genera, administra y/o posee la información solicitada.</w:t>
      </w:r>
    </w:p>
    <w:p w:rsidR="009F49A5" w:rsidRDefault="00AD3DEE"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b/>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Inconforme con la incompetencia planteada por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se interpuso el recurso de revisión que nos ocupa, es decir, el </w:t>
      </w:r>
      <w:r>
        <w:rPr>
          <w:rFonts w:ascii="Palatino Linotype" w:eastAsia="Palatino Linotype" w:hAnsi="Palatino Linotype" w:cs="Palatino Linotype"/>
          <w:b/>
          <w:bCs/>
          <w:sz w:val="24"/>
          <w:szCs w:val="24"/>
        </w:rPr>
        <w:t>10228/INFOEM/ICR-131/IP/RR/2025.</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Dentro de la etapa de manifestaciones el </w:t>
      </w:r>
      <w:r>
        <w:rPr>
          <w:rFonts w:ascii="Palatino Linotype" w:eastAsia="Palatino Linotype" w:hAnsi="Palatino Linotype" w:cs="Palatino Linotype"/>
          <w:b/>
          <w:bCs/>
          <w:sz w:val="24"/>
          <w:szCs w:val="24"/>
        </w:rPr>
        <w:t>PARTICULAR,</w:t>
      </w:r>
      <w:r>
        <w:rPr>
          <w:b/>
          <w:bCs/>
          <w:sz w:val="24"/>
          <w:szCs w:val="24"/>
        </w:rPr>
        <w:t xml:space="preserve"> </w:t>
      </w:r>
      <w:r>
        <w:rPr>
          <w:rFonts w:ascii="Palatino Linotype" w:eastAsia="Palatino Linotype" w:hAnsi="Palatino Linotype" w:cs="Palatino Linotype"/>
          <w:sz w:val="24"/>
          <w:szCs w:val="24"/>
        </w:rPr>
        <w:t>no se pronunció al respecto</w:t>
      </w:r>
      <w:r>
        <w:rPr>
          <w:sz w:val="24"/>
          <w:szCs w:val="24"/>
        </w:rPr>
        <w:t>.</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rindió el Informe Justificado correspondiente a través del archivo </w:t>
      </w:r>
      <w:hyperlink r:id="rId9">
        <w:r>
          <w:rPr>
            <w:rFonts w:ascii="Palatino Linotype" w:eastAsia="Palatino Linotype" w:hAnsi="Palatino Linotype" w:cs="Palatino Linotype"/>
            <w:b/>
            <w:bCs/>
            <w:color w:val="000000"/>
            <w:sz w:val="24"/>
            <w:szCs w:val="24"/>
          </w:rPr>
          <w:t>RESPUESTA 24.pdf</w:t>
        </w:r>
      </w:hyperlink>
      <w:r>
        <w:rPr>
          <w:rFonts w:ascii="Palatino Linotype" w:eastAsia="Palatino Linotype" w:hAnsi="Palatino Linotype" w:cs="Palatino Linotype"/>
          <w:sz w:val="24"/>
          <w:szCs w:val="24"/>
        </w:rPr>
        <w:t>, por el que medularmente confirma su respuesta primigenia.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En dichas condiciones, la </w:t>
      </w:r>
      <w:r>
        <w:rPr>
          <w:rFonts w:ascii="Palatino Linotype" w:eastAsia="Palatino Linotype" w:hAnsi="Palatino Linotype" w:cs="Palatino Linotype"/>
          <w:i/>
          <w:iCs/>
          <w:sz w:val="24"/>
          <w:szCs w:val="24"/>
        </w:rPr>
        <w:t>Litis</w:t>
      </w:r>
      <w:r>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w:t>
      </w:r>
      <w:r>
        <w:rPr>
          <w:rFonts w:ascii="Palatino Linotype" w:eastAsia="Palatino Linotype" w:hAnsi="Palatino Linotype" w:cs="Palatino Linotype"/>
          <w:b/>
          <w:bCs/>
          <w:sz w:val="24"/>
          <w:szCs w:val="24"/>
        </w:rPr>
        <w:t xml:space="preserve">fracción IV </w:t>
      </w:r>
      <w:r>
        <w:rPr>
          <w:rFonts w:ascii="Palatino Linotype" w:eastAsia="Palatino Linotype" w:hAnsi="Palatino Linotype" w:cs="Palatino Linotype"/>
          <w:sz w:val="24"/>
          <w:szCs w:val="24"/>
        </w:rPr>
        <w:t xml:space="preserve">de la </w:t>
      </w:r>
      <w:r>
        <w:rPr>
          <w:rFonts w:ascii="Palatino Linotype" w:eastAsia="Palatino Linotype" w:hAnsi="Palatino Linotype" w:cs="Palatino Linotype"/>
          <w:b/>
          <w:bCs/>
          <w:sz w:val="24"/>
          <w:szCs w:val="24"/>
        </w:rPr>
        <w:t xml:space="preserve">Ley de Transparencia y Acceso a la Información Pública del Estado de </w:t>
      </w:r>
      <w:r>
        <w:rPr>
          <w:rFonts w:ascii="Palatino Linotype" w:eastAsia="Palatino Linotype" w:hAnsi="Palatino Linotype" w:cs="Palatino Linotype"/>
          <w:sz w:val="24"/>
          <w:szCs w:val="24"/>
        </w:rPr>
        <w:t>México</w:t>
      </w:r>
      <w:r>
        <w:rPr>
          <w:rFonts w:ascii="Palatino Linotype" w:eastAsia="Palatino Linotype" w:hAnsi="Palatino Linotype" w:cs="Palatino Linotype"/>
          <w:b/>
          <w:bCs/>
          <w:sz w:val="24"/>
          <w:szCs w:val="24"/>
        </w:rPr>
        <w:t xml:space="preserve"> y </w:t>
      </w:r>
      <w:r>
        <w:rPr>
          <w:rFonts w:ascii="Palatino Linotype" w:eastAsia="Palatino Linotype" w:hAnsi="Palatino Linotype" w:cs="Palatino Linotype"/>
          <w:sz w:val="24"/>
          <w:szCs w:val="24"/>
        </w:rPr>
        <w:t xml:space="preserve">Municipios; </w:t>
      </w:r>
      <w:r>
        <w:rPr>
          <w:rFonts w:ascii="Palatino Linotype" w:eastAsia="Palatino Linotype" w:hAnsi="Palatino Linotype" w:cs="Palatino Linotype"/>
          <w:color w:val="000000"/>
          <w:sz w:val="24"/>
          <w:szCs w:val="24"/>
        </w:rPr>
        <w:t xml:space="preserve">La declaración de incompetencia por el sujeto obligado; </w:t>
      </w:r>
      <w:r>
        <w:rPr>
          <w:rFonts w:ascii="Palatino Linotype" w:eastAsia="Palatino Linotype" w:hAnsi="Palatino Linotype" w:cs="Palatino Linotype"/>
          <w:sz w:val="24"/>
          <w:szCs w:val="24"/>
        </w:rPr>
        <w:t xml:space="preserve">contexto del cual se dolió </w:t>
      </w:r>
      <w:r>
        <w:rPr>
          <w:rFonts w:ascii="Palatino Linotype" w:eastAsia="Palatino Linotype" w:hAnsi="Palatino Linotype" w:cs="Palatino Linotype"/>
          <w:b/>
          <w:bCs/>
          <w:sz w:val="24"/>
          <w:szCs w:val="24"/>
        </w:rPr>
        <w:t xml:space="preserve">EL RECURRENTE </w:t>
      </w:r>
      <w:r>
        <w:rPr>
          <w:rFonts w:ascii="Palatino Linotype" w:eastAsia="Palatino Linotype" w:hAnsi="Palatino Linotype" w:cs="Palatino Linotype"/>
          <w:sz w:val="24"/>
          <w:szCs w:val="24"/>
        </w:rPr>
        <w:t>al momento de interponer su inconformidad.</w:t>
      </w:r>
      <w:r>
        <w:rPr>
          <w:rFonts w:ascii="Palatino Linotype" w:eastAsia="Palatino Linotype" w:hAnsi="Palatino Linotype" w:cs="Palatino Linotype"/>
          <w:color w:val="000000"/>
          <w:sz w:val="24"/>
          <w:szCs w:val="24"/>
        </w:rPr>
        <w:t xml:space="preserve"> </w:t>
      </w:r>
    </w:p>
    <w:p w:rsidR="009F49A5" w:rsidRDefault="009F49A5" w:rsidP="00182306">
      <w:pPr>
        <w:pBdr>
          <w:top w:val="nil"/>
          <w:left w:val="nil"/>
          <w:bottom w:val="nil"/>
          <w:right w:val="nil"/>
          <w:between w:val="nil"/>
        </w:pBdr>
        <w:spacing w:after="0" w:line="240" w:lineRule="auto"/>
        <w:ind w:left="708" w:right="-283"/>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lastRenderedPageBreak/>
        <w:t xml:space="preserve">De modo tal que el presente recurso de revisión se </w:t>
      </w:r>
      <w:r>
        <w:rPr>
          <w:rFonts w:ascii="Palatino Linotype" w:eastAsia="Palatino Linotype" w:hAnsi="Palatino Linotype" w:cs="Palatino Linotype"/>
          <w:sz w:val="24"/>
          <w:szCs w:val="24"/>
        </w:rPr>
        <w:t>abocará</w:t>
      </w:r>
      <w:r>
        <w:rPr>
          <w:rFonts w:ascii="Palatino Linotype" w:eastAsia="Palatino Linotype" w:hAnsi="Palatino Linotype" w:cs="Palatino Linotype"/>
          <w:color w:val="000000"/>
          <w:sz w:val="24"/>
          <w:szCs w:val="24"/>
        </w:rPr>
        <w:t xml:space="preserve"> en determinar si el </w:t>
      </w:r>
      <w:r>
        <w:rPr>
          <w:rFonts w:ascii="Palatino Linotype" w:eastAsia="Palatino Linotype" w:hAnsi="Palatino Linotype" w:cs="Palatino Linotype"/>
          <w:b/>
          <w:bCs/>
          <w:color w:val="000000"/>
          <w:sz w:val="24"/>
          <w:szCs w:val="24"/>
        </w:rPr>
        <w:t>SUJETO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OBLIGADO</w:t>
      </w:r>
      <w:r>
        <w:rPr>
          <w:rFonts w:ascii="Palatino Linotype" w:eastAsia="Palatino Linotype" w:hAnsi="Palatino Linotype" w:cs="Palatino Linotype"/>
          <w:color w:val="000000"/>
          <w:sz w:val="24"/>
          <w:szCs w:val="24"/>
        </w:rPr>
        <w:t xml:space="preserve"> con su respuesta ciertamente actualiza la causal de procedencia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antes señalada. </w:t>
      </w:r>
    </w:p>
    <w:p w:rsidR="009F49A5" w:rsidRDefault="009F49A5" w:rsidP="00182306">
      <w:pPr>
        <w:spacing w:after="0" w:line="360" w:lineRule="auto"/>
        <w:ind w:right="-283"/>
        <w:jc w:val="both"/>
        <w:rPr>
          <w:rFonts w:ascii="Palatino Linotype" w:eastAsia="Palatino Linotype" w:hAnsi="Palatino Linotype" w:cs="Palatino Linotype"/>
          <w:sz w:val="24"/>
          <w:szCs w:val="24"/>
        </w:rPr>
      </w:pPr>
    </w:p>
    <w:p w:rsidR="009F49A5" w:rsidRDefault="00AD3DEE" w:rsidP="00182306">
      <w:pPr>
        <w:pStyle w:val="Ttulo2"/>
        <w:spacing w:before="0" w:line="360" w:lineRule="auto"/>
        <w:ind w:right="-283"/>
        <w:rPr>
          <w:rFonts w:ascii="Palatino Linotype" w:eastAsia="Palatino Linotype" w:hAnsi="Palatino Linotype" w:cs="Palatino Linotype"/>
          <w:b w:val="0"/>
          <w:bCs w:val="0"/>
          <w:color w:val="000000"/>
          <w:sz w:val="24"/>
          <w:szCs w:val="24"/>
        </w:rPr>
      </w:pPr>
      <w:bookmarkStart w:id="4" w:name="_heading=h.2og2v9kt4jf8" w:colFirst="0" w:colLast="0"/>
      <w:bookmarkEnd w:id="4"/>
      <w:r>
        <w:rPr>
          <w:rFonts w:ascii="Palatino Linotype" w:eastAsia="Palatino Linotype" w:hAnsi="Palatino Linotype" w:cs="Palatino Linotype"/>
          <w:color w:val="000000"/>
          <w:sz w:val="24"/>
          <w:szCs w:val="24"/>
        </w:rPr>
        <w:t>CUARTO. Del estudio y resolución del asunto.</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 xml:space="preserve">Acotada la </w:t>
      </w:r>
      <w:r>
        <w:rPr>
          <w:rFonts w:ascii="Palatino Linotype" w:eastAsia="Palatino Linotype" w:hAnsi="Palatino Linotype" w:cs="Palatino Linotype"/>
          <w:i/>
          <w:iCs/>
          <w:color w:val="000000"/>
          <w:sz w:val="24"/>
          <w:szCs w:val="24"/>
        </w:rPr>
        <w:t>Litis</w:t>
      </w:r>
      <w:r>
        <w:rPr>
          <w:rFonts w:ascii="Palatino Linotype" w:eastAsia="Palatino Linotype" w:hAnsi="Palatino Linotype" w:cs="Palatino Linotype"/>
          <w:color w:val="000000"/>
          <w:sz w:val="24"/>
          <w:szCs w:val="24"/>
        </w:rPr>
        <w:t xml:space="preserve"> del presente asunto, primeramente es menester precisar que del escrito de inconformidad, se observa que el </w:t>
      </w:r>
      <w:r>
        <w:rPr>
          <w:rFonts w:ascii="Palatino Linotype" w:eastAsia="Palatino Linotype" w:hAnsi="Palatino Linotype" w:cs="Palatino Linotype"/>
          <w:b/>
          <w:bCs/>
          <w:color w:val="000000"/>
          <w:sz w:val="24"/>
          <w:szCs w:val="24"/>
        </w:rPr>
        <w:t xml:space="preserve">PARTICULAR </w:t>
      </w:r>
      <w:r>
        <w:rPr>
          <w:rFonts w:ascii="Palatino Linotype" w:eastAsia="Palatino Linotype" w:hAnsi="Palatino Linotype" w:cs="Palatino Linotype"/>
          <w:color w:val="000000"/>
          <w:sz w:val="24"/>
          <w:szCs w:val="24"/>
        </w:rPr>
        <w:t xml:space="preserve">se inconforma por la a declaración de incompetencia por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por lo que resulta necesario traer </w:t>
      </w:r>
      <w:r>
        <w:rPr>
          <w:rFonts w:ascii="Palatino Linotype" w:eastAsia="Palatino Linotype" w:hAnsi="Palatino Linotype" w:cs="Palatino Linotype"/>
          <w:sz w:val="24"/>
          <w:szCs w:val="24"/>
        </w:rPr>
        <w:t>dentro del estudio de mérito, lo señalado en la Ley de Transparencia y Acceso a la Información Pública del Estado de México y Municipios, en su artículo 167, respecto de la incompetencia refiere lo siguiente:</w:t>
      </w:r>
    </w:p>
    <w:p w:rsidR="009F49A5" w:rsidRDefault="00AD3DEE" w:rsidP="00182306">
      <w:pPr>
        <w:spacing w:after="0" w:line="276" w:lineRule="auto"/>
        <w:ind w:left="567" w:right="-283"/>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Artículo 167.</w:t>
      </w:r>
    </w:p>
    <w:p w:rsidR="009F49A5" w:rsidRDefault="00AD3DEE" w:rsidP="00182306">
      <w:pPr>
        <w:spacing w:after="0" w:line="276" w:lineRule="auto"/>
        <w:ind w:left="567"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 “Cuando las unidades de transparencia determinen la notoria incompetencia por parte de los sujetos obligados, dentro del ámbito de aplicación, para atender la solicitud de acceso a la información, </w:t>
      </w:r>
      <w:r>
        <w:rPr>
          <w:rFonts w:ascii="Palatino Linotype" w:eastAsia="Palatino Linotype" w:hAnsi="Palatino Linotype" w:cs="Palatino Linotype"/>
          <w:i/>
          <w:iCs/>
          <w:sz w:val="24"/>
          <w:szCs w:val="24"/>
          <w:u w:val="single"/>
        </w:rPr>
        <w:t>deberán comunicarlo al solicitante, dentro de los tres días hábiles posteriores a la recepción de la solicitud</w:t>
      </w:r>
      <w:r>
        <w:rPr>
          <w:rFonts w:ascii="Palatino Linotype" w:eastAsia="Palatino Linotype" w:hAnsi="Palatino Linotype" w:cs="Palatino Linotype"/>
          <w:i/>
          <w:iCs/>
          <w:sz w:val="24"/>
          <w:szCs w:val="24"/>
        </w:rPr>
        <w:t xml:space="preserve"> y, </w:t>
      </w:r>
      <w:r>
        <w:rPr>
          <w:rFonts w:ascii="Palatino Linotype" w:eastAsia="Palatino Linotype" w:hAnsi="Palatino Linotype" w:cs="Palatino Linotype"/>
          <w:i/>
          <w:iCs/>
          <w:sz w:val="24"/>
          <w:szCs w:val="24"/>
          <w:u w:val="single"/>
        </w:rPr>
        <w:t>en su caso orientar al solicitante, el o los sujetos obligados competentes.</w:t>
      </w:r>
      <w:r>
        <w:rPr>
          <w:rFonts w:ascii="Palatino Linotype" w:eastAsia="Palatino Linotype" w:hAnsi="Palatino Linotype" w:cs="Palatino Linotype"/>
          <w:i/>
          <w:iCs/>
          <w:sz w:val="24"/>
          <w:szCs w:val="24"/>
        </w:rPr>
        <w:t xml:space="preserve"> Si los sujetos obligados son competentes para atender parcialmente la solicitud de acceso a la información, deberá dar respuesta respecto de dicha parte. Respecto de la información sobre la cual es incompetente se procederá conforme lo señala el párrafo anterior. Si transcurrido el plazo señalado en el primer párrafo de este artículo, el sujeto obligado no declina la competencia en los términos establecidos, podrá canalizar la solicitud ante el sujeto obligado competente.” (</w:t>
      </w:r>
      <w:proofErr w:type="gramStart"/>
      <w:r>
        <w:rPr>
          <w:rFonts w:ascii="Palatino Linotype" w:eastAsia="Palatino Linotype" w:hAnsi="Palatino Linotype" w:cs="Palatino Linotype"/>
          <w:i/>
          <w:iCs/>
          <w:sz w:val="24"/>
          <w:szCs w:val="24"/>
        </w:rPr>
        <w:t>sic</w:t>
      </w:r>
      <w:proofErr w:type="gramEnd"/>
      <w:r>
        <w:rPr>
          <w:rFonts w:ascii="Palatino Linotype" w:eastAsia="Palatino Linotype" w:hAnsi="Palatino Linotype" w:cs="Palatino Linotype"/>
          <w:i/>
          <w:iCs/>
          <w:sz w:val="24"/>
          <w:szCs w:val="24"/>
        </w:rPr>
        <w:t>)</w:t>
      </w:r>
    </w:p>
    <w:p w:rsidR="009F49A5" w:rsidRDefault="009F49A5" w:rsidP="00182306">
      <w:pP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Es así como, este Órgano </w:t>
      </w:r>
      <w:proofErr w:type="spellStart"/>
      <w:r>
        <w:rPr>
          <w:rFonts w:ascii="Palatino Linotype" w:eastAsia="Palatino Linotype" w:hAnsi="Palatino Linotype" w:cs="Palatino Linotype"/>
          <w:sz w:val="24"/>
          <w:szCs w:val="24"/>
        </w:rPr>
        <w:t>Resolutor</w:t>
      </w:r>
      <w:proofErr w:type="spellEnd"/>
      <w:r>
        <w:rPr>
          <w:rFonts w:ascii="Palatino Linotype" w:eastAsia="Palatino Linotype" w:hAnsi="Palatino Linotype" w:cs="Palatino Linotype"/>
          <w:sz w:val="24"/>
          <w:szCs w:val="24"/>
        </w:rPr>
        <w:t>, respecto de la incompetencia hecha valer, refiere lo que establece la Ley de Transparencia y Acceso a la Información Pública del Estado de México y Municipios</w:t>
      </w:r>
    </w:p>
    <w:p w:rsidR="009F49A5" w:rsidRDefault="00AD3DEE" w:rsidP="00182306">
      <w:pPr>
        <w:spacing w:after="0" w:line="276" w:lineRule="auto"/>
        <w:ind w:left="993"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23.</w:t>
      </w:r>
      <w:r>
        <w:rPr>
          <w:rFonts w:ascii="Palatino Linotype" w:eastAsia="Palatino Linotype" w:hAnsi="Palatino Linotype" w:cs="Palatino Linotype"/>
          <w:i/>
          <w:iCs/>
          <w:sz w:val="24"/>
          <w:szCs w:val="24"/>
        </w:rPr>
        <w:t xml:space="preserve"> Son sujetos obligados a transparentar y permitir el acceso a su información y proteger los datos personales que obren en su poder:</w:t>
      </w:r>
    </w:p>
    <w:p w:rsidR="009F49A5" w:rsidRDefault="009F49A5" w:rsidP="00182306">
      <w:pPr>
        <w:spacing w:after="0" w:line="276" w:lineRule="auto"/>
        <w:ind w:left="993" w:right="-283"/>
        <w:jc w:val="both"/>
        <w:rPr>
          <w:rFonts w:ascii="Palatino Linotype" w:eastAsia="Palatino Linotype" w:hAnsi="Palatino Linotype" w:cs="Palatino Linotype"/>
          <w:i/>
          <w:iCs/>
          <w:sz w:val="24"/>
          <w:szCs w:val="24"/>
        </w:rPr>
      </w:pP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 xml:space="preserve">El Poder Ejecutivo del Estado de México, las dependencias, organismos auxiliares, órganos, entidades, fideicomisos y fondos públicos, así como la Fiscalía General de Justicia del Estado de México;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El Poder Legislativo del Estado, los organismos, órganos y entidades de la Legislatura y sus dependencias;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El Poder Judicial, sus organismos, órganos y entidades, así como el Consejo de la Judicatura del Estado;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Los ayuntamientos y las dependencias, organismos, órganos y entidades de la administración municipal;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Los órganos autónomos;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tribunales administrativos y autoridades jurisdiccionales en materia laboral;</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partidos políticos y agrupaciones políticas, en los términos de las disposiciones aplicables;</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Los fideicomisos y fondos públicos que cuenten con financiamiento público, parcial o total, o con participación de entidades de gobierno;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Los sindicatos que reciban y/o ejerzan recursos públicos en el ámbito estatal y municipal;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Cualquier persona física o jurídico colectiva que reciba y ejerza recursos públicos en el ámbito estatal o municipal; y </w:t>
      </w:r>
    </w:p>
    <w:p w:rsidR="009F49A5" w:rsidRDefault="00AD3DEE" w:rsidP="00182306">
      <w:pPr>
        <w:numPr>
          <w:ilvl w:val="0"/>
          <w:numId w:val="2"/>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Cualquier otra autoridad, entidad, órgano u organismo de los poderes estatal o municipal, que reciba recursos públicos. </w:t>
      </w:r>
    </w:p>
    <w:p w:rsidR="009F49A5" w:rsidRDefault="009F49A5" w:rsidP="00182306">
      <w:pPr>
        <w:pBdr>
          <w:top w:val="nil"/>
          <w:left w:val="nil"/>
          <w:bottom w:val="nil"/>
          <w:right w:val="nil"/>
          <w:between w:val="nil"/>
        </w:pBdr>
        <w:spacing w:after="0" w:line="276" w:lineRule="auto"/>
        <w:ind w:left="1773" w:right="-283"/>
        <w:jc w:val="both"/>
        <w:rPr>
          <w:rFonts w:ascii="Palatino Linotype" w:eastAsia="Palatino Linotype" w:hAnsi="Palatino Linotype" w:cs="Palatino Linotype"/>
          <w:i/>
          <w:iCs/>
          <w:color w:val="000000"/>
          <w:sz w:val="24"/>
          <w:szCs w:val="24"/>
        </w:rPr>
      </w:pPr>
    </w:p>
    <w:p w:rsidR="009F49A5" w:rsidRDefault="00AD3DEE" w:rsidP="00182306">
      <w:pPr>
        <w:spacing w:line="276" w:lineRule="auto"/>
        <w:ind w:left="1053"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Los sujetos obligados deberán hacer pública toda aquella información relativa a los montos y las personas a quienes entreguen, por cualquier motivo, recursos públicos, así como los informes que dichas personas les entreguen sobre el uso y destino de dichos recursos. Los servidores públicos deberán transparentar sus acciones así como garantizar y respetar el derecho de acceso a la información pública.</w:t>
      </w:r>
    </w:p>
    <w:p w:rsidR="009F49A5" w:rsidRDefault="009F49A5" w:rsidP="00182306">
      <w:pPr>
        <w:spacing w:line="276" w:lineRule="auto"/>
        <w:ind w:left="1053" w:right="-283"/>
        <w:jc w:val="both"/>
        <w:rPr>
          <w:rFonts w:ascii="Palatino Linotype" w:eastAsia="Palatino Linotype" w:hAnsi="Palatino Linotype" w:cs="Palatino Linotype"/>
          <w:i/>
          <w:iCs/>
          <w:sz w:val="24"/>
          <w:szCs w:val="24"/>
        </w:rPr>
      </w:pPr>
    </w:p>
    <w:p w:rsidR="009F49A5" w:rsidRDefault="00AD3DEE" w:rsidP="00182306">
      <w:pPr>
        <w:spacing w:line="276" w:lineRule="auto"/>
        <w:ind w:left="1053"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53</w:t>
      </w:r>
      <w:r>
        <w:rPr>
          <w:rFonts w:ascii="Palatino Linotype" w:eastAsia="Palatino Linotype" w:hAnsi="Palatino Linotype" w:cs="Palatino Linotype"/>
          <w:i/>
          <w:iCs/>
          <w:sz w:val="24"/>
          <w:szCs w:val="24"/>
        </w:rPr>
        <w:t>. Las Unidades de Transparencia tendrán las siguientes funciones:</w:t>
      </w:r>
    </w:p>
    <w:p w:rsidR="009F49A5" w:rsidRDefault="00AD3DEE" w:rsidP="00182306">
      <w:pPr>
        <w:numPr>
          <w:ilvl w:val="0"/>
          <w:numId w:val="3"/>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9F49A5" w:rsidRDefault="00AD3DEE" w:rsidP="00182306">
      <w:pPr>
        <w:numPr>
          <w:ilvl w:val="0"/>
          <w:numId w:val="3"/>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Recibir, tramitar y dar respuesta a las solicitudes de acceso a la información;</w:t>
      </w:r>
    </w:p>
    <w:p w:rsidR="009F49A5" w:rsidRDefault="00AD3DEE" w:rsidP="00182306">
      <w:pPr>
        <w:numPr>
          <w:ilvl w:val="0"/>
          <w:numId w:val="3"/>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9F49A5" w:rsidRDefault="00AD3DEE" w:rsidP="00182306">
      <w:pPr>
        <w:numPr>
          <w:ilvl w:val="0"/>
          <w:numId w:val="3"/>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Realizar, con efectividad, los trámites internos necesarios para la atención de las solicitudes de acceso a la información;</w:t>
      </w:r>
    </w:p>
    <w:p w:rsidR="009F49A5" w:rsidRDefault="00AD3DEE" w:rsidP="00182306">
      <w:pPr>
        <w:numPr>
          <w:ilvl w:val="0"/>
          <w:numId w:val="3"/>
        </w:numPr>
        <w:pBdr>
          <w:top w:val="nil"/>
          <w:left w:val="nil"/>
          <w:bottom w:val="nil"/>
          <w:right w:val="nil"/>
          <w:between w:val="nil"/>
        </w:pBdr>
        <w:spacing w:after="0" w:line="276" w:lineRule="auto"/>
        <w:ind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Entregar, en su caso, a los particulares la información solicitada;</w:t>
      </w:r>
    </w:p>
    <w:p w:rsidR="009F49A5" w:rsidRDefault="009F49A5" w:rsidP="00182306">
      <w:pPr>
        <w:pBdr>
          <w:top w:val="nil"/>
          <w:left w:val="nil"/>
          <w:bottom w:val="nil"/>
          <w:right w:val="nil"/>
          <w:between w:val="nil"/>
        </w:pBdr>
        <w:spacing w:after="0" w:line="240" w:lineRule="auto"/>
        <w:ind w:left="708" w:right="-283"/>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Aunado a lo anterior, la Ley General de Transparencia y Acceso a la Información Pública al caso concreto refiere lo siguiente: </w:t>
      </w:r>
    </w:p>
    <w:p w:rsidR="009F49A5" w:rsidRDefault="00AD3DEE" w:rsidP="00182306">
      <w:pPr>
        <w:pBdr>
          <w:top w:val="nil"/>
          <w:left w:val="nil"/>
          <w:bottom w:val="nil"/>
          <w:right w:val="nil"/>
          <w:between w:val="nil"/>
        </w:pBdr>
        <w:spacing w:after="0" w:line="276" w:lineRule="auto"/>
        <w:ind w:left="992"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45</w:t>
      </w:r>
      <w:r>
        <w:rPr>
          <w:rFonts w:ascii="Palatino Linotype" w:eastAsia="Palatino Linotype" w:hAnsi="Palatino Linotype" w:cs="Palatino Linotype"/>
          <w:i/>
          <w:iCs/>
          <w:color w:val="000000"/>
          <w:sz w:val="24"/>
          <w:szCs w:val="24"/>
        </w:rPr>
        <w:t>. Los sujetos obligados designarán al responsable de la Unidad de Transparencia que tendrá las siguientes funciones:</w:t>
      </w:r>
    </w:p>
    <w:p w:rsidR="009F49A5" w:rsidRDefault="00AD3DEE" w:rsidP="00182306">
      <w:pPr>
        <w:pBdr>
          <w:top w:val="nil"/>
          <w:left w:val="nil"/>
          <w:bottom w:val="nil"/>
          <w:right w:val="nil"/>
          <w:between w:val="nil"/>
        </w:pBdr>
        <w:spacing w:after="0" w:line="276" w:lineRule="auto"/>
        <w:ind w:left="992"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II. Recibir y dar trámite a las solicitudes de acceso a la información; </w:t>
      </w:r>
    </w:p>
    <w:p w:rsidR="009F49A5" w:rsidRDefault="00AD3DEE" w:rsidP="00182306">
      <w:pPr>
        <w:pBdr>
          <w:top w:val="nil"/>
          <w:left w:val="nil"/>
          <w:bottom w:val="nil"/>
          <w:right w:val="nil"/>
          <w:between w:val="nil"/>
        </w:pBdr>
        <w:spacing w:after="0" w:line="276" w:lineRule="auto"/>
        <w:ind w:left="992"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9F49A5" w:rsidRDefault="00AD3DEE" w:rsidP="00182306">
      <w:pPr>
        <w:pBdr>
          <w:top w:val="nil"/>
          <w:left w:val="nil"/>
          <w:bottom w:val="nil"/>
          <w:right w:val="nil"/>
          <w:between w:val="nil"/>
        </w:pBdr>
        <w:spacing w:after="0" w:line="276" w:lineRule="auto"/>
        <w:ind w:left="992"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IV. Realizar los trámites internos necesarios para la atención de las solicitudes de acceso a la información;</w:t>
      </w:r>
    </w:p>
    <w:p w:rsidR="009F49A5" w:rsidRDefault="00AD3DEE" w:rsidP="00182306">
      <w:pPr>
        <w:pBdr>
          <w:top w:val="nil"/>
          <w:left w:val="nil"/>
          <w:bottom w:val="nil"/>
          <w:right w:val="nil"/>
          <w:between w:val="nil"/>
        </w:pBdr>
        <w:spacing w:after="0" w:line="276" w:lineRule="auto"/>
        <w:ind w:left="992"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V. Efectuar las notificaciones a los solicitantes;</w:t>
      </w:r>
    </w:p>
    <w:p w:rsidR="009F49A5" w:rsidRDefault="009F49A5" w:rsidP="00182306">
      <w:pPr>
        <w:pBdr>
          <w:top w:val="nil"/>
          <w:left w:val="nil"/>
          <w:bottom w:val="nil"/>
          <w:right w:val="nil"/>
          <w:between w:val="nil"/>
        </w:pBdr>
        <w:spacing w:after="0" w:line="360" w:lineRule="auto"/>
        <w:ind w:left="1773" w:right="-283"/>
        <w:jc w:val="both"/>
        <w:rPr>
          <w:rFonts w:ascii="Palatino Linotype" w:eastAsia="Palatino Linotype" w:hAnsi="Palatino Linotype" w:cs="Palatino Linotype"/>
          <w:i/>
          <w:iCs/>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Ahora bien, se advierte que dada la naturaleza de la información solicitada, versa respecto la bitácora del uso del auditorio municipal para actividades del DIF del mes de abril y julio de dos mil veinticinco, por lo que al respecto, resulta necesario referir que, el objetivo principal del Sistema Municipal Para el Desarrollo Integral de la Familia de Ixtapaluca</w:t>
      </w:r>
      <w:r>
        <w:rPr>
          <w:rFonts w:ascii="Palatino Linotype" w:eastAsia="Palatino Linotype" w:hAnsi="Palatino Linotype" w:cs="Palatino Linotype"/>
          <w:i/>
          <w:iCs/>
          <w:sz w:val="24"/>
          <w:szCs w:val="24"/>
        </w:rPr>
        <w:t xml:space="preserve">, es </w:t>
      </w:r>
      <w:r>
        <w:rPr>
          <w:rFonts w:ascii="Palatino Linotype" w:eastAsia="Palatino Linotype" w:hAnsi="Palatino Linotype" w:cs="Palatino Linotype"/>
          <w:sz w:val="24"/>
          <w:szCs w:val="24"/>
        </w:rPr>
        <w:t>ofrecer un instrumento de consulta suficiente para los funcionarios de la</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Administración Pública Municipal, que les permita conocer la forma de organización,</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funciones y niveles de responsabilidad de cada Área, permitiendo de mejor manera</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 xml:space="preserve">alcanzar los objetivos que se persiguen, así como proveer de información necesaria a las y los servidores públicos que </w:t>
      </w:r>
      <w:r>
        <w:rPr>
          <w:rFonts w:ascii="Palatino Linotype" w:eastAsia="Palatino Linotype" w:hAnsi="Palatino Linotype" w:cs="Palatino Linotype"/>
          <w:sz w:val="24"/>
          <w:szCs w:val="24"/>
        </w:rPr>
        <w:lastRenderedPageBreak/>
        <w:t>integran la</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Dirección del Sistema Municipal para el Desarrollo Integral de la Familia, lo cual les</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permitirá conocer el objetivo institucional de cada unidad administrativa que la</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conforman, los antecedentes históricos de la Dependencia, las funciones</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principales, los niveles de responsabilidad y la estructura orgánica del área,</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atendiendo a los propósitos planteados.</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i/>
          <w:iCs/>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Ahora bien, respecto la información solicitada, si bien es cierto, en la solicitud, se refirió un auditorio municipal, también cierto es que, el </w:t>
      </w:r>
      <w:r>
        <w:rPr>
          <w:rFonts w:ascii="Palatino Linotype" w:eastAsia="Palatino Linotype" w:hAnsi="Palatino Linotype" w:cs="Palatino Linotype"/>
          <w:b/>
          <w:bCs/>
          <w:sz w:val="24"/>
          <w:szCs w:val="24"/>
        </w:rPr>
        <w:t xml:space="preserve">PARTICULAR, </w:t>
      </w:r>
      <w:r>
        <w:rPr>
          <w:rFonts w:ascii="Palatino Linotype" w:eastAsia="Palatino Linotype" w:hAnsi="Palatino Linotype" w:cs="Palatino Linotype"/>
          <w:sz w:val="24"/>
          <w:szCs w:val="24"/>
        </w:rPr>
        <w:t xml:space="preserve">no es experto en la materia y se advierte que la información solicitada corresponde al auditorio del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situación que se robustece con los motivos de inconformidad argüidos dentro del recurso que nos ocupa.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i/>
          <w:iCs/>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Lo anterior, toma relevancia derivado de que este Órgano </w:t>
      </w:r>
      <w:proofErr w:type="spellStart"/>
      <w:r>
        <w:rPr>
          <w:rFonts w:ascii="Palatino Linotype" w:eastAsia="Palatino Linotype" w:hAnsi="Palatino Linotype" w:cs="Palatino Linotype"/>
          <w:sz w:val="24"/>
          <w:szCs w:val="24"/>
        </w:rPr>
        <w:t>Resolutor</w:t>
      </w:r>
      <w:proofErr w:type="spellEnd"/>
      <w:r>
        <w:rPr>
          <w:rFonts w:ascii="Palatino Linotype" w:eastAsia="Palatino Linotype" w:hAnsi="Palatino Linotype" w:cs="Palatino Linotype"/>
          <w:sz w:val="24"/>
          <w:szCs w:val="24"/>
        </w:rPr>
        <w:t>, localizó lo siguiente:</w:t>
      </w:r>
    </w:p>
    <w:p w:rsidR="009F49A5" w:rsidRDefault="00AD3DEE" w:rsidP="00182306">
      <w:pPr>
        <w:pBdr>
          <w:top w:val="nil"/>
          <w:left w:val="nil"/>
          <w:bottom w:val="nil"/>
          <w:right w:val="nil"/>
          <w:between w:val="nil"/>
        </w:pBdr>
        <w:spacing w:after="0" w:line="360" w:lineRule="auto"/>
        <w:ind w:right="-283"/>
        <w:jc w:val="center"/>
        <w:rPr>
          <w:rFonts w:ascii="Palatino Linotype" w:eastAsia="Palatino Linotype" w:hAnsi="Palatino Linotype" w:cs="Palatino Linotype"/>
          <w:i/>
          <w:iCs/>
          <w:sz w:val="24"/>
          <w:szCs w:val="24"/>
        </w:rPr>
      </w:pPr>
      <w:r>
        <w:rPr>
          <w:rFonts w:ascii="Palatino Linotype" w:eastAsia="Palatino Linotype" w:hAnsi="Palatino Linotype" w:cs="Palatino Linotype"/>
          <w:i/>
          <w:iCs/>
          <w:noProof/>
          <w:sz w:val="24"/>
          <w:szCs w:val="24"/>
          <w:lang w:val="es-MX"/>
        </w:rPr>
        <w:lastRenderedPageBreak/>
        <w:drawing>
          <wp:inline distT="0" distB="0" distL="0" distR="0">
            <wp:extent cx="4191585" cy="422969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191585" cy="4229690"/>
                    </a:xfrm>
                    <a:prstGeom prst="rect">
                      <a:avLst/>
                    </a:prstGeom>
                    <a:ln/>
                  </pic:spPr>
                </pic:pic>
              </a:graphicData>
            </a:graphic>
          </wp:inline>
        </w:drawing>
      </w:r>
    </w:p>
    <w:p w:rsidR="00182306" w:rsidRDefault="00182306" w:rsidP="00182306">
      <w:pPr>
        <w:pBdr>
          <w:top w:val="nil"/>
          <w:left w:val="nil"/>
          <w:bottom w:val="nil"/>
          <w:right w:val="nil"/>
          <w:between w:val="nil"/>
        </w:pBdr>
        <w:spacing w:after="0" w:line="360" w:lineRule="auto"/>
        <w:ind w:right="-283"/>
        <w:jc w:val="center"/>
        <w:rPr>
          <w:rFonts w:ascii="Palatino Linotype" w:eastAsia="Palatino Linotype" w:hAnsi="Palatino Linotype" w:cs="Palatino Linotype"/>
          <w:i/>
          <w:iCs/>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De lo anterior, se observa que el </w:t>
      </w:r>
      <w:r>
        <w:rPr>
          <w:rFonts w:ascii="Palatino Linotype" w:eastAsia="Palatino Linotype" w:hAnsi="Palatino Linotype" w:cs="Palatino Linotype"/>
          <w:b/>
          <w:bCs/>
          <w:sz w:val="24"/>
          <w:szCs w:val="24"/>
        </w:rPr>
        <w:t>SUJETO OBLIGADO, Si</w:t>
      </w:r>
      <w:r>
        <w:rPr>
          <w:rFonts w:ascii="Palatino Linotype" w:eastAsia="Palatino Linotype" w:hAnsi="Palatino Linotype" w:cs="Palatino Linotype"/>
          <w:sz w:val="24"/>
          <w:szCs w:val="24"/>
        </w:rPr>
        <w:t xml:space="preserve"> cuenta con un auditorio, por lo que, se colige que hay hechos notorios de la información solicitada por el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situación por la cual es aplicable lo siguiente.</w:t>
      </w:r>
    </w:p>
    <w:p w:rsidR="009F49A5" w:rsidRDefault="00AD3DEE" w:rsidP="00182306">
      <w:pPr>
        <w:pBdr>
          <w:top w:val="nil"/>
          <w:left w:val="nil"/>
          <w:bottom w:val="nil"/>
          <w:right w:val="nil"/>
          <w:between w:val="nil"/>
        </w:pBdr>
        <w:ind w:left="1134" w:right="-283"/>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sz w:val="24"/>
          <w:szCs w:val="24"/>
        </w:rPr>
        <w:t>”</w:t>
      </w:r>
      <w:r>
        <w:rPr>
          <w:rFonts w:ascii="Palatino Linotype" w:eastAsia="Palatino Linotype" w:hAnsi="Palatino Linotype" w:cs="Palatino Linotype"/>
          <w:b/>
          <w:bCs/>
          <w:i/>
          <w:iCs/>
          <w:sz w:val="24"/>
          <w:szCs w:val="24"/>
        </w:rPr>
        <w:t>HECHOS NOTORIOS. CONCEPTOS GENERAL Y JURÍDICO</w:t>
      </w:r>
    </w:p>
    <w:p w:rsidR="009F49A5" w:rsidRDefault="00AD3DEE" w:rsidP="00182306">
      <w:pPr>
        <w:ind w:left="1134"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Conforme al artículo </w:t>
      </w:r>
      <w:hyperlink r:id="rId11">
        <w:r>
          <w:rPr>
            <w:rFonts w:ascii="Palatino Linotype" w:eastAsia="Palatino Linotype" w:hAnsi="Palatino Linotype" w:cs="Palatino Linotype"/>
            <w:i/>
            <w:iCs/>
            <w:sz w:val="24"/>
            <w:szCs w:val="24"/>
          </w:rPr>
          <w:t>88 del Código Federal de Procedimientos Civiles</w:t>
        </w:r>
      </w:hyperlink>
      <w:r>
        <w:rPr>
          <w:rFonts w:ascii="Palatino Linotype" w:eastAsia="Palatino Linotype" w:hAnsi="Palatino Linotype" w:cs="Palatino Linotype"/>
          <w:i/>
          <w:iCs/>
          <w:sz w:val="24"/>
          <w:szCs w:val="24"/>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w:t>
      </w:r>
      <w:r>
        <w:rPr>
          <w:rFonts w:ascii="Palatino Linotype" w:eastAsia="Palatino Linotype" w:hAnsi="Palatino Linotype" w:cs="Palatino Linotype"/>
          <w:i/>
          <w:iCs/>
          <w:sz w:val="24"/>
          <w:szCs w:val="24"/>
        </w:rPr>
        <w:lastRenderedPageBreak/>
        <w:t>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9F49A5" w:rsidRDefault="00AD3DEE" w:rsidP="00182306">
      <w:pPr>
        <w:ind w:left="1134"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Controversia constitucional 24/2005. Cámara de Diputados del Congreso de la Unión. 9 de marzo de 2006. Once votos. Ponente: José Ramón Cossío Díaz. Secretarios: Raúl Manuel Mejía Garza y Laura Patricia Rojas Zamudio.</w:t>
      </w:r>
    </w:p>
    <w:p w:rsidR="009F49A5" w:rsidRDefault="00AD3DEE" w:rsidP="00182306">
      <w:pPr>
        <w:ind w:left="1134"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El Tribunal Pleno, el dieciséis de mayo en curso, aprobó, con el número 74/2006, la tesis jurisprudencial que antecede. México, Distrito Federal, a dieciséis de mayo de dos mil seis.</w:t>
      </w:r>
    </w:p>
    <w:p w:rsidR="009F49A5" w:rsidRDefault="00AD3DEE" w:rsidP="00182306">
      <w:pPr>
        <w:ind w:left="1134"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Nota: Esta tesis fue objeto de la denuncia relativa a la contradicción de tesis 91/2014, desechada por notoriamente improcedente, mediante acuerdo de 24 de marzo de 2014.”</w:t>
      </w:r>
    </w:p>
    <w:p w:rsidR="009F49A5" w:rsidRDefault="009F49A5" w:rsidP="00182306">
      <w:pPr>
        <w:ind w:left="1134" w:right="-283"/>
        <w:jc w:val="both"/>
        <w:rPr>
          <w:rFonts w:ascii="Palatino Linotype" w:eastAsia="Palatino Linotype" w:hAnsi="Palatino Linotype" w:cs="Palatino Linotype"/>
          <w:i/>
          <w:iCs/>
          <w:sz w:val="24"/>
          <w:szCs w:val="24"/>
        </w:rPr>
      </w:pPr>
    </w:p>
    <w:p w:rsidR="009F49A5" w:rsidRDefault="00AD3DEE" w:rsidP="00182306">
      <w:pPr>
        <w:ind w:left="1134"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PÁGINAS WEB O ELECTRÓNICAS. SU CONTENIDO ES UN HECHO NOTORIO Y SUSCEPTIBLE DE SER VALORADO EN UNA DECISIÓN JUDICIAL.</w:t>
      </w:r>
      <w:r>
        <w:rPr>
          <w:rFonts w:ascii="Palatino Linotype" w:eastAsia="Palatino Linotype" w:hAnsi="Palatino Linotype" w:cs="Palatino Linotype"/>
          <w:i/>
          <w:iCs/>
          <w:sz w:val="24"/>
          <w:szCs w:val="24"/>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w:t>
      </w:r>
      <w:r>
        <w:rPr>
          <w:rFonts w:ascii="Palatino Linotype" w:eastAsia="Palatino Linotype" w:hAnsi="Palatino Linotype" w:cs="Palatino Linotype"/>
          <w:i/>
          <w:iCs/>
          <w:sz w:val="24"/>
          <w:szCs w:val="24"/>
        </w:rPr>
        <w:lastRenderedPageBreak/>
        <w:t xml:space="preserve">prueba plena, a menos que haya una en contrario que no fue creada por orden del interesado, ya que se le reputará autor y podrá perjudicarle lo que ofrezca en sus términos. </w:t>
      </w:r>
    </w:p>
    <w:p w:rsidR="009F49A5" w:rsidRDefault="00AD3DEE" w:rsidP="00182306">
      <w:pPr>
        <w:ind w:left="1134" w:right="-283"/>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TERCER TRIBUNAL COLEGIADO EN MATERIA CIVIL DEL PRIMER CIRCUITO. Amparo en revisión 365/2012. </w:t>
      </w:r>
      <w:proofErr w:type="spellStart"/>
      <w:r>
        <w:rPr>
          <w:rFonts w:ascii="Palatino Linotype" w:eastAsia="Palatino Linotype" w:hAnsi="Palatino Linotype" w:cs="Palatino Linotype"/>
          <w:i/>
          <w:iCs/>
          <w:sz w:val="24"/>
          <w:szCs w:val="24"/>
        </w:rPr>
        <w:t>Mardygras</w:t>
      </w:r>
      <w:proofErr w:type="spellEnd"/>
      <w:r>
        <w:rPr>
          <w:rFonts w:ascii="Palatino Linotype" w:eastAsia="Palatino Linotype" w:hAnsi="Palatino Linotype" w:cs="Palatino Linotype"/>
          <w:i/>
          <w:iCs/>
          <w:sz w:val="24"/>
          <w:szCs w:val="24"/>
        </w:rPr>
        <w:t>, S.A. de C.V. 7 de diciembre de 2012. Unanimidad de votos. Ponente: Neófito López Ramos. Secretaria: Ana Lilia Osorno Arroyo.</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Es por lo anterior, que la incompetencia planteada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resulta improcedente. </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Ahora bien, respecto la fuente obligacional, el Manual de Organización, refiere que la Tesorería, está integrada de la manera siguiente:</w:t>
      </w: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IV. Tesorería. Se integra por:</w:t>
      </w:r>
    </w:p>
    <w:p w:rsidR="009F49A5" w:rsidRDefault="009F49A5"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a) Coordinación General de Contabilidad.</w:t>
      </w: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b) Contador General.</w:t>
      </w: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c) Coordinación de Archivo.</w:t>
      </w: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d</w:t>
      </w:r>
      <w:r>
        <w:rPr>
          <w:rFonts w:ascii="Palatino Linotype" w:eastAsia="Palatino Linotype" w:hAnsi="Palatino Linotype" w:cs="Palatino Linotype"/>
          <w:b/>
          <w:bCs/>
          <w:i/>
          <w:iCs/>
          <w:color w:val="000000"/>
          <w:sz w:val="24"/>
          <w:szCs w:val="24"/>
          <w:u w:val="single"/>
        </w:rPr>
        <w:t>) Jefatura de Patrimonio.</w:t>
      </w: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e) Jefatura de Procuración de Fondos.</w:t>
      </w: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f) Jefatura de Recursos Humanos.</w:t>
      </w:r>
    </w:p>
    <w:p w:rsidR="009F49A5" w:rsidRDefault="00AD3DEE" w:rsidP="00182306">
      <w:pPr>
        <w:pBdr>
          <w:top w:val="nil"/>
          <w:left w:val="nil"/>
          <w:bottom w:val="nil"/>
          <w:right w:val="nil"/>
          <w:between w:val="nil"/>
        </w:pBdr>
        <w:spacing w:after="0" w:line="240" w:lineRule="auto"/>
        <w:ind w:left="1418"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g) Jefatura de Servicios Generales y Almacén.</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 xml:space="preserve">Su objetivo es Conducir sus actividades en forma programada, en base a resultados establecidos en las políticas públicas, dirigir el proceso de planeación, programación, </w:t>
      </w:r>
      <w:proofErr w:type="spellStart"/>
      <w:r>
        <w:rPr>
          <w:rFonts w:ascii="Palatino Linotype" w:eastAsia="Palatino Linotype" w:hAnsi="Palatino Linotype" w:cs="Palatino Linotype"/>
          <w:color w:val="000000"/>
          <w:sz w:val="24"/>
          <w:szCs w:val="24"/>
        </w:rPr>
        <w:t>presupuestación</w:t>
      </w:r>
      <w:proofErr w:type="spellEnd"/>
      <w:r>
        <w:rPr>
          <w:rFonts w:ascii="Palatino Linotype" w:eastAsia="Palatino Linotype" w:hAnsi="Palatino Linotype" w:cs="Palatino Linotype"/>
          <w:color w:val="000000"/>
          <w:sz w:val="24"/>
          <w:szCs w:val="24"/>
        </w:rPr>
        <w:t xml:space="preserve">, registro y evaluación de las operaciones generales del organismo, procurando el eficiente y oportuno suministro de los recursos humanos, financieros, materiales y técnicos necesarios para la operación de los programas institucionales del SMDIF. </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lastRenderedPageBreak/>
        <w:t>Sus funciones, son las siguientes:</w:t>
      </w: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XI. Realizar los inventarios de bienes muebles e inmuebles correspondientes a su área;</w:t>
      </w: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9F49A5" w:rsidRDefault="009F49A5"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JEFATURA DE PATRIMONIO</w:t>
      </w:r>
    </w:p>
    <w:p w:rsidR="009F49A5" w:rsidRDefault="009F49A5"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a. Objetivo.</w:t>
      </w: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Vigilar y controlar los bienes muebles e inmuebles destinados al servicio público, los del dominio público, los del domino privado y los de uso común, y registro de los derechos ejercidos sobre los bienes patrimoniales.</w:t>
      </w:r>
    </w:p>
    <w:p w:rsidR="009F49A5" w:rsidRDefault="009F49A5"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b. Funciones.</w:t>
      </w:r>
    </w:p>
    <w:p w:rsidR="009F49A5" w:rsidRDefault="009F49A5"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9F49A5" w:rsidRDefault="009F49A5"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VIII. Llevar a cabo los trámites administrativos internos necesarios, que tengan por objeto la regulación de los bienes muebles propiedad del Sistema Municipal para el Desarrollo Integral de la Familia, en coordinación con el área de Tesorería;</w:t>
      </w:r>
    </w:p>
    <w:p w:rsidR="009F49A5" w:rsidRDefault="009F49A5"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p>
    <w:p w:rsidR="009F49A5" w:rsidRDefault="00AD3DEE" w:rsidP="00182306">
      <w:pPr>
        <w:pBdr>
          <w:top w:val="nil"/>
          <w:left w:val="nil"/>
          <w:bottom w:val="nil"/>
          <w:right w:val="nil"/>
          <w:between w:val="nil"/>
        </w:pBdr>
        <w:spacing w:after="0" w:line="240" w:lineRule="auto"/>
        <w:ind w:left="851" w:right="-283"/>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De lo anterior, se observa que de manera enunciativa, más no limitativa es la Tesorería a través de la Jefatura de Patrimonio, por lo que se ordena la búsqueda exhaustiva y razonable de lo solicitado, de ser procedente en versión pública.</w:t>
      </w:r>
    </w:p>
    <w:p w:rsidR="009F49A5" w:rsidRDefault="009F49A5" w:rsidP="00182306">
      <w:pPr>
        <w:pBdr>
          <w:top w:val="nil"/>
          <w:left w:val="nil"/>
          <w:bottom w:val="nil"/>
          <w:right w:val="nil"/>
          <w:between w:val="nil"/>
        </w:pBdr>
        <w:spacing w:after="0" w:line="360" w:lineRule="auto"/>
        <w:ind w:right="-283"/>
        <w:jc w:val="both"/>
        <w:rPr>
          <w:rFonts w:ascii="Palatino Linotype" w:eastAsia="Palatino Linotype" w:hAnsi="Palatino Linotype" w:cs="Palatino Linotype"/>
          <w:color w:val="000000"/>
          <w:sz w:val="24"/>
          <w:szCs w:val="24"/>
        </w:rPr>
      </w:pPr>
    </w:p>
    <w:p w:rsidR="009F49A5" w:rsidRDefault="00AD3DEE" w:rsidP="00182306">
      <w:pPr>
        <w:spacing w:line="360" w:lineRule="auto"/>
        <w:ind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QUINTO. De la versión pública.</w:t>
      </w:r>
    </w:p>
    <w:p w:rsidR="009F49A5" w:rsidRDefault="00AD3DEE" w:rsidP="00182306">
      <w:pPr>
        <w:numPr>
          <w:ilvl w:val="0"/>
          <w:numId w:val="5"/>
        </w:numPr>
        <w:pBdr>
          <w:top w:val="nil"/>
          <w:left w:val="nil"/>
          <w:bottom w:val="nil"/>
          <w:right w:val="nil"/>
          <w:between w:val="nil"/>
        </w:pBdr>
        <w:tabs>
          <w:tab w:val="left" w:pos="851"/>
        </w:tabs>
        <w:spacing w:line="360" w:lineRule="auto"/>
        <w:ind w:right="-28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Nociones generales. </w:t>
      </w: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Debe destacarse que, debido a la naturaleza de la información solicitada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eventualmente pudiera obrar datos personales susceptibles de protegerse, el </w:t>
      </w:r>
      <w:r>
        <w:rPr>
          <w:rFonts w:ascii="Palatino Linotype" w:eastAsia="Palatino Linotype" w:hAnsi="Palatino Linotype" w:cs="Palatino Linotype"/>
          <w:b/>
          <w:bCs/>
          <w:color w:val="000000"/>
          <w:sz w:val="24"/>
          <w:szCs w:val="24"/>
        </w:rPr>
        <w:t xml:space="preserve">SUJETO </w:t>
      </w:r>
      <w:r>
        <w:rPr>
          <w:rFonts w:ascii="Palatino Linotype" w:eastAsia="Palatino Linotype" w:hAnsi="Palatino Linotype" w:cs="Palatino Linotype"/>
          <w:b/>
          <w:bCs/>
          <w:color w:val="000000"/>
          <w:sz w:val="24"/>
          <w:szCs w:val="24"/>
        </w:rPr>
        <w:lastRenderedPageBreak/>
        <w:t xml:space="preserve">OBLIGADO </w:t>
      </w:r>
      <w:r>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9F49A5" w:rsidRDefault="009F49A5" w:rsidP="00182306">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sz w:val="24"/>
          <w:szCs w:val="24"/>
        </w:rPr>
      </w:pPr>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sz w:val="24"/>
          <w:szCs w:val="24"/>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F49A5" w:rsidRDefault="009F49A5" w:rsidP="00182306">
      <w:pPr>
        <w:pBdr>
          <w:top w:val="nil"/>
          <w:left w:val="nil"/>
          <w:bottom w:val="nil"/>
          <w:right w:val="nil"/>
          <w:between w:val="nil"/>
        </w:pBdr>
        <w:tabs>
          <w:tab w:val="left" w:pos="851"/>
        </w:tabs>
        <w:spacing w:line="360" w:lineRule="auto"/>
        <w:ind w:right="-283"/>
        <w:jc w:val="both"/>
        <w:rPr>
          <w:rFonts w:ascii="Palatino Linotype" w:eastAsia="Palatino Linotype" w:hAnsi="Palatino Linotype" w:cs="Palatino Linotype"/>
          <w:color w:val="000000"/>
          <w:sz w:val="24"/>
          <w:szCs w:val="24"/>
        </w:rPr>
      </w:pPr>
    </w:p>
    <w:tbl>
      <w:tblPr>
        <w:tblStyle w:val="a"/>
        <w:tblW w:w="1003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6780"/>
      </w:tblGrid>
      <w:tr w:rsidR="009F49A5">
        <w:tc>
          <w:tcPr>
            <w:tcW w:w="3255"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 Requisitos previos.</w:t>
            </w:r>
          </w:p>
        </w:tc>
        <w:tc>
          <w:tcPr>
            <w:tcW w:w="6780"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vigente al momento de interponer la solicitud de información, respectivamente.</w:t>
            </w:r>
          </w:p>
          <w:p w:rsidR="009F49A5" w:rsidRDefault="009F49A5"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9F49A5">
        <w:tc>
          <w:tcPr>
            <w:tcW w:w="3255"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b) Supuestos de clasificación.</w:t>
            </w:r>
          </w:p>
        </w:tc>
        <w:tc>
          <w:tcPr>
            <w:tcW w:w="6780"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F49A5">
        <w:tc>
          <w:tcPr>
            <w:tcW w:w="3255"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c) Formalidades para emitir el acuerdo de clasificación.</w:t>
            </w:r>
          </w:p>
        </w:tc>
        <w:tc>
          <w:tcPr>
            <w:tcW w:w="6780"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necesario que </w:t>
            </w:r>
            <w:r>
              <w:rPr>
                <w:rFonts w:ascii="Palatino Linotype" w:eastAsia="Palatino Linotype" w:hAnsi="Palatino Linotype" w:cs="Palatino Linotype"/>
                <w:b/>
                <w:bCs/>
                <w:color w:val="000000"/>
                <w:sz w:val="24"/>
                <w:szCs w:val="24"/>
                <w:u w:val="single"/>
              </w:rPr>
              <w:t>el acto reúna con los requisitos elementales</w:t>
            </w:r>
            <w:r>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sz w:val="24"/>
                <w:szCs w:val="24"/>
              </w:rPr>
              <w:t>El área</w:t>
            </w:r>
            <w:r>
              <w:rPr>
                <w:rFonts w:ascii="Palatino Linotype" w:eastAsia="Palatino Linotype" w:hAnsi="Palatino Linotype" w:cs="Palatino Linotype"/>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F49A5">
        <w:tc>
          <w:tcPr>
            <w:tcW w:w="3255" w:type="dxa"/>
          </w:tcPr>
          <w:p w:rsidR="009F49A5" w:rsidRDefault="009F49A5"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d) Requisitos de fondo del acuerdo de clasificación. </w:t>
            </w:r>
          </w:p>
        </w:tc>
        <w:tc>
          <w:tcPr>
            <w:tcW w:w="6780"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Como se ha señalado antes, al hacer el juicio de subsunción o encaje entre el supuesto de hecho y la hipótesis jurídica, se </w:t>
            </w:r>
            <w:r>
              <w:rPr>
                <w:rFonts w:ascii="Palatino Linotype" w:eastAsia="Palatino Linotype" w:hAnsi="Palatino Linotype" w:cs="Palatino Linotype"/>
                <w:color w:val="000000"/>
                <w:sz w:val="24"/>
                <w:szCs w:val="24"/>
              </w:rPr>
              <w:lastRenderedPageBreak/>
              <w:t xml:space="preserve">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sz w:val="24"/>
                <w:szCs w:val="24"/>
              </w:rPr>
              <w:t>Sujetos Obligados</w:t>
            </w:r>
            <w:r>
              <w:rPr>
                <w:rFonts w:ascii="Palatino Linotype" w:eastAsia="Palatino Linotype" w:hAnsi="Palatino Linotype" w:cs="Palatino Linotype"/>
                <w:color w:val="000000"/>
                <w:sz w:val="24"/>
                <w:szCs w:val="24"/>
              </w:rPr>
              <w:t xml:space="preserve">, por lo que deberán fundar y motivar debidamente la clasificación. </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desprende que para una correcta </w:t>
            </w:r>
            <w:r>
              <w:rPr>
                <w:rFonts w:ascii="Palatino Linotype" w:eastAsia="Palatino Linotype" w:hAnsi="Palatino Linotype" w:cs="Palatino Linotype"/>
                <w:b/>
                <w:bCs/>
                <w:color w:val="000000"/>
                <w:sz w:val="24"/>
                <w:szCs w:val="24"/>
              </w:rPr>
              <w:t>clasificación total o parcial</w:t>
            </w:r>
            <w:r>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En ese mismo sentido, el numeral trigésimo tercero fracción V de los Lineamientos Generales, precisa que para motivar la clasificación se deben acreditar las circunstancias de tiempo, modo y lugar.</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Ahora bien, </w:t>
            </w:r>
            <w:r>
              <w:rPr>
                <w:rFonts w:ascii="Palatino Linotype" w:eastAsia="Palatino Linotype" w:hAnsi="Palatino Linotype" w:cs="Palatino Linotype"/>
                <w:b/>
                <w:bCs/>
                <w:color w:val="000000"/>
                <w:sz w:val="24"/>
                <w:szCs w:val="24"/>
                <w:u w:val="single"/>
              </w:rPr>
              <w:t>para cada caso además de fundar y motivar</w:t>
            </w:r>
            <w:r>
              <w:rPr>
                <w:rFonts w:ascii="Palatino Linotype" w:eastAsia="Palatino Linotype" w:hAnsi="Palatino Linotype" w:cs="Palatino Linotype"/>
                <w:color w:val="000000"/>
                <w:sz w:val="24"/>
                <w:szCs w:val="24"/>
              </w:rPr>
              <w:t xml:space="preserve">, se debe identificar con claridad </w:t>
            </w:r>
            <w:r>
              <w:rPr>
                <w:rFonts w:ascii="Palatino Linotype" w:eastAsia="Palatino Linotype" w:hAnsi="Palatino Linotype" w:cs="Palatino Linotype"/>
                <w:sz w:val="24"/>
                <w:szCs w:val="24"/>
              </w:rPr>
              <w:t>qué</w:t>
            </w:r>
            <w:r>
              <w:rPr>
                <w:rFonts w:ascii="Palatino Linotype" w:eastAsia="Palatino Linotype" w:hAnsi="Palatino Linotype" w:cs="Palatino Linotype"/>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F49A5">
        <w:tc>
          <w:tcPr>
            <w:tcW w:w="3255"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e) Condiciones especiales de la clasificación de la información como confidencial. </w:t>
            </w:r>
          </w:p>
        </w:tc>
        <w:tc>
          <w:tcPr>
            <w:tcW w:w="6780" w:type="dxa"/>
          </w:tcPr>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F49A5" w:rsidRDefault="00AD3DEE" w:rsidP="00182306">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F49A5" w:rsidRDefault="009F49A5" w:rsidP="00182306">
      <w:pPr>
        <w:spacing w:line="360" w:lineRule="auto"/>
        <w:ind w:right="-283"/>
        <w:jc w:val="both"/>
        <w:rPr>
          <w:rFonts w:ascii="Palatino Linotype" w:eastAsia="Palatino Linotype" w:hAnsi="Palatino Linotype" w:cs="Palatino Linotype"/>
          <w:color w:val="000000"/>
          <w:sz w:val="24"/>
          <w:szCs w:val="24"/>
        </w:rPr>
      </w:pPr>
      <w:bookmarkStart w:id="5" w:name="_heading=h.4d34og8" w:colFirst="0" w:colLast="0"/>
      <w:bookmarkEnd w:id="5"/>
    </w:p>
    <w:p w:rsidR="009F49A5" w:rsidRDefault="00AD3DEE" w:rsidP="00182306">
      <w:pPr>
        <w:numPr>
          <w:ilvl w:val="0"/>
          <w:numId w:val="6"/>
        </w:numPr>
        <w:pBdr>
          <w:top w:val="nil"/>
          <w:left w:val="nil"/>
          <w:bottom w:val="nil"/>
          <w:right w:val="nil"/>
          <w:between w:val="nil"/>
        </w:pBdr>
        <w:spacing w:after="0"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sz w:val="24"/>
          <w:szCs w:val="24"/>
        </w:rPr>
        <w:t>Por lo anteriormente expuesto, este Órgano Garante considera parcialmente fundadas las razones o motivos de inconformidad que plantea el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determinando </w:t>
      </w:r>
      <w:r>
        <w:rPr>
          <w:rFonts w:ascii="Palatino Linotype" w:eastAsia="Palatino Linotype" w:hAnsi="Palatino Linotype" w:cs="Palatino Linotype"/>
          <w:b/>
          <w:bCs/>
          <w:smallCaps/>
          <w:sz w:val="24"/>
          <w:szCs w:val="24"/>
        </w:rPr>
        <w:t xml:space="preserve">REVOCAR  </w:t>
      </w:r>
      <w:r>
        <w:rPr>
          <w:rFonts w:ascii="Palatino Linotype" w:eastAsia="Palatino Linotype" w:hAnsi="Palatino Linotype" w:cs="Palatino Linotype"/>
          <w:sz w:val="24"/>
          <w:szCs w:val="24"/>
        </w:rPr>
        <w:t xml:space="preserve">la respuesta del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sz w:val="24"/>
          <w:szCs w:val="24"/>
        </w:rPr>
        <w:t xml:space="preserve">este </w:t>
      </w:r>
      <w:r>
        <w:rPr>
          <w:rFonts w:ascii="Palatino Linotype" w:eastAsia="Palatino Linotype" w:hAnsi="Palatino Linotype" w:cs="Palatino Linotype"/>
          <w:b/>
          <w:bCs/>
          <w:color w:val="000000"/>
          <w:sz w:val="24"/>
          <w:szCs w:val="24"/>
        </w:rPr>
        <w:t>ÓRGANO GARANTE</w:t>
      </w:r>
      <w:r>
        <w:rPr>
          <w:rFonts w:ascii="Palatino Linotype" w:eastAsia="Palatino Linotype" w:hAnsi="Palatino Linotype" w:cs="Palatino Linotype"/>
          <w:color w:val="000000"/>
          <w:sz w:val="24"/>
          <w:szCs w:val="24"/>
        </w:rPr>
        <w:t xml:space="preserve"> emite los siguientes.</w:t>
      </w:r>
    </w:p>
    <w:p w:rsidR="009F49A5" w:rsidRDefault="009F49A5" w:rsidP="00182306">
      <w:pPr>
        <w:pBdr>
          <w:top w:val="nil"/>
          <w:left w:val="nil"/>
          <w:bottom w:val="nil"/>
          <w:right w:val="nil"/>
          <w:between w:val="nil"/>
        </w:pBdr>
        <w:ind w:left="720" w:right="-283"/>
        <w:rPr>
          <w:rFonts w:ascii="Palatino Linotype" w:eastAsia="Palatino Linotype" w:hAnsi="Palatino Linotype" w:cs="Palatino Linotype"/>
          <w:sz w:val="24"/>
          <w:szCs w:val="24"/>
        </w:rPr>
      </w:pPr>
    </w:p>
    <w:p w:rsidR="009F49A5" w:rsidRDefault="00AD3DEE" w:rsidP="00182306">
      <w:pPr>
        <w:pStyle w:val="Ttulo1"/>
        <w:spacing w:before="0" w:line="360" w:lineRule="auto"/>
        <w:ind w:right="-283"/>
        <w:jc w:val="center"/>
        <w:rPr>
          <w:rFonts w:ascii="Palatino Linotype" w:eastAsia="Palatino Linotype" w:hAnsi="Palatino Linotype" w:cs="Palatino Linotype"/>
          <w:b w:val="0"/>
          <w:bCs w:val="0"/>
          <w:color w:val="000000"/>
          <w:sz w:val="24"/>
          <w:szCs w:val="24"/>
        </w:rPr>
      </w:pPr>
      <w:r>
        <w:rPr>
          <w:rFonts w:ascii="Palatino Linotype" w:eastAsia="Palatino Linotype" w:hAnsi="Palatino Linotype" w:cs="Palatino Linotype"/>
          <w:color w:val="000000"/>
          <w:sz w:val="24"/>
          <w:szCs w:val="24"/>
        </w:rPr>
        <w:t>R E S O L U T I V O S</w:t>
      </w:r>
    </w:p>
    <w:p w:rsidR="009F49A5" w:rsidRDefault="009F49A5" w:rsidP="00182306">
      <w:pPr>
        <w:spacing w:line="360" w:lineRule="auto"/>
        <w:ind w:right="-283"/>
        <w:rPr>
          <w:rFonts w:ascii="Palatino Linotype" w:eastAsia="Palatino Linotype" w:hAnsi="Palatino Linotype" w:cs="Palatino Linotype"/>
          <w:sz w:val="24"/>
          <w:szCs w:val="24"/>
        </w:rPr>
      </w:pPr>
    </w:p>
    <w:p w:rsidR="009F49A5" w:rsidRDefault="00AD3DEE" w:rsidP="00182306">
      <w:pPr>
        <w:spacing w:line="360" w:lineRule="auto"/>
        <w:ind w:right="-28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PRIMERO</w:t>
      </w:r>
      <w:r>
        <w:rPr>
          <w:rFonts w:ascii="Palatino Linotype" w:eastAsia="Palatino Linotype" w:hAnsi="Palatino Linotype" w:cs="Palatino Linotype"/>
          <w:sz w:val="24"/>
          <w:szCs w:val="24"/>
        </w:rPr>
        <w:t>. Resultan fundadas las</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razones o motivos de inconformidad hechos valer en el Recurso de Revisión</w:t>
      </w:r>
      <w:r>
        <w:rPr>
          <w:rFonts w:ascii="Palatino Linotype" w:eastAsia="Palatino Linotype" w:hAnsi="Palatino Linotype" w:cs="Palatino Linotype"/>
          <w:b/>
          <w:bCs/>
          <w:sz w:val="24"/>
          <w:szCs w:val="24"/>
        </w:rPr>
        <w:t xml:space="preserve"> 10228/INFOEM/ICR-131/IP/RR/2025, </w:t>
      </w:r>
      <w:r>
        <w:rPr>
          <w:rFonts w:ascii="Palatino Linotype" w:eastAsia="Palatino Linotype" w:hAnsi="Palatino Linotype" w:cs="Palatino Linotype"/>
          <w:sz w:val="24"/>
          <w:szCs w:val="24"/>
        </w:rPr>
        <w:t xml:space="preserve">en términos del </w:t>
      </w:r>
      <w:r>
        <w:rPr>
          <w:rFonts w:ascii="Palatino Linotype" w:eastAsia="Palatino Linotype" w:hAnsi="Palatino Linotype" w:cs="Palatino Linotype"/>
          <w:b/>
          <w:bCs/>
          <w:sz w:val="24"/>
          <w:szCs w:val="24"/>
        </w:rPr>
        <w:t xml:space="preserve">Considerando Cuarto y Quinto </w:t>
      </w:r>
      <w:r>
        <w:rPr>
          <w:rFonts w:ascii="Palatino Linotype" w:eastAsia="Palatino Linotype" w:hAnsi="Palatino Linotype" w:cs="Palatino Linotype"/>
          <w:sz w:val="24"/>
          <w:szCs w:val="24"/>
        </w:rPr>
        <w:t>de la presente resolución.</w:t>
      </w: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Pr="00DE245C" w:rsidRDefault="00AD3DEE" w:rsidP="00182306">
      <w:pPr>
        <w:spacing w:line="360" w:lineRule="auto"/>
        <w:ind w:right="-283"/>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sz w:val="24"/>
          <w:szCs w:val="24"/>
        </w:rPr>
        <w:lastRenderedPageBreak/>
        <w:t>SEGUNDO.</w:t>
      </w:r>
      <w:r>
        <w:rPr>
          <w:rFonts w:ascii="Palatino Linotype" w:eastAsia="Palatino Linotype" w:hAnsi="Palatino Linotype" w:cs="Palatino Linotype"/>
          <w:color w:val="2E75B5"/>
          <w:sz w:val="24"/>
          <w:szCs w:val="24"/>
        </w:rPr>
        <w:t xml:space="preserve">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b/>
          <w:bCs/>
          <w:color w:val="000000"/>
          <w:sz w:val="24"/>
          <w:szCs w:val="24"/>
        </w:rPr>
        <w:t xml:space="preserve">REVOCA </w:t>
      </w:r>
      <w:r>
        <w:rPr>
          <w:rFonts w:ascii="Palatino Linotype" w:eastAsia="Palatino Linotype" w:hAnsi="Palatino Linotype" w:cs="Palatino Linotype"/>
          <w:color w:val="000000"/>
          <w:sz w:val="24"/>
          <w:szCs w:val="24"/>
        </w:rPr>
        <w:t xml:space="preserve">la respuesta emitida por el </w:t>
      </w:r>
      <w:r>
        <w:rPr>
          <w:rFonts w:ascii="Palatino Linotype" w:eastAsia="Palatino Linotype" w:hAnsi="Palatino Linotype" w:cs="Palatino Linotype"/>
          <w:b/>
          <w:bCs/>
          <w:color w:val="000000"/>
          <w:sz w:val="24"/>
          <w:szCs w:val="24"/>
        </w:rPr>
        <w:t xml:space="preserve">Sistema Municipal Para el Desarrollo Integral de la Familia de Ixtapaluca </w:t>
      </w:r>
      <w:r>
        <w:rPr>
          <w:rFonts w:ascii="Palatino Linotype" w:eastAsia="Palatino Linotype" w:hAnsi="Palatino Linotype" w:cs="Palatino Linotype"/>
          <w:color w:val="000000"/>
          <w:sz w:val="24"/>
          <w:szCs w:val="24"/>
        </w:rPr>
        <w:t xml:space="preserve">y se </w:t>
      </w:r>
      <w:r>
        <w:rPr>
          <w:rFonts w:ascii="Palatino Linotype" w:eastAsia="Palatino Linotype" w:hAnsi="Palatino Linotype" w:cs="Palatino Linotype"/>
          <w:b/>
          <w:bCs/>
          <w:color w:val="000000"/>
          <w:sz w:val="24"/>
          <w:szCs w:val="24"/>
        </w:rPr>
        <w:t>ORDENA</w:t>
      </w:r>
      <w:r>
        <w:rPr>
          <w:rFonts w:ascii="Palatino Linotype" w:eastAsia="Palatino Linotype" w:hAnsi="Palatino Linotype" w:cs="Palatino Linotype"/>
          <w:color w:val="000000"/>
          <w:sz w:val="24"/>
          <w:szCs w:val="24"/>
        </w:rPr>
        <w:t xml:space="preserve"> entregar vía Sistema de Acceso a la Información Mexiquense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 xml:space="preserve">previa búsqueda exhaustiva y razonable, de ser </w:t>
      </w:r>
      <w:r w:rsidRPr="00DE245C">
        <w:rPr>
          <w:rFonts w:ascii="Palatino Linotype" w:eastAsia="Palatino Linotype" w:hAnsi="Palatino Linotype" w:cs="Palatino Linotype"/>
          <w:color w:val="000000"/>
          <w:sz w:val="24"/>
          <w:szCs w:val="24"/>
        </w:rPr>
        <w:t>procedente en versión pública, lo siguiente:</w:t>
      </w:r>
    </w:p>
    <w:p w:rsidR="009F49A5" w:rsidRDefault="00AD3DEE" w:rsidP="00182306">
      <w:pPr>
        <w:pBdr>
          <w:top w:val="nil"/>
          <w:left w:val="nil"/>
          <w:bottom w:val="nil"/>
          <w:right w:val="nil"/>
          <w:between w:val="nil"/>
        </w:pBdr>
        <w:tabs>
          <w:tab w:val="left" w:pos="8080"/>
        </w:tabs>
        <w:spacing w:after="0" w:line="360" w:lineRule="auto"/>
        <w:ind w:left="708" w:right="-283"/>
        <w:jc w:val="both"/>
        <w:rPr>
          <w:rFonts w:ascii="Palatino Linotype" w:eastAsia="Palatino Linotype" w:hAnsi="Palatino Linotype" w:cs="Palatino Linotype"/>
          <w:b/>
          <w:bCs/>
          <w:color w:val="000000"/>
          <w:sz w:val="24"/>
          <w:szCs w:val="24"/>
        </w:rPr>
      </w:pPr>
      <w:bookmarkStart w:id="6" w:name="_heading=h.crdv98bd31c8" w:colFirst="0" w:colLast="0"/>
      <w:bookmarkEnd w:id="6"/>
      <w:r w:rsidRPr="00DE245C">
        <w:rPr>
          <w:rFonts w:ascii="Palatino Linotype" w:eastAsia="Palatino Linotype" w:hAnsi="Palatino Linotype" w:cs="Palatino Linotype"/>
          <w:b/>
          <w:bCs/>
          <w:color w:val="000000"/>
          <w:sz w:val="24"/>
          <w:szCs w:val="24"/>
        </w:rPr>
        <w:t>Soporte documental que dé cuenta del uso del auditorio</w:t>
      </w:r>
      <w:r w:rsidR="009D14F7" w:rsidRPr="00DE245C">
        <w:rPr>
          <w:rFonts w:ascii="Palatino Linotype" w:eastAsia="Palatino Linotype" w:hAnsi="Palatino Linotype" w:cs="Palatino Linotype"/>
          <w:b/>
          <w:bCs/>
          <w:color w:val="000000"/>
          <w:sz w:val="24"/>
          <w:szCs w:val="24"/>
        </w:rPr>
        <w:t xml:space="preserve"> </w:t>
      </w:r>
      <w:r w:rsidRPr="00DE245C">
        <w:rPr>
          <w:rFonts w:ascii="Palatino Linotype" w:eastAsia="Palatino Linotype" w:hAnsi="Palatino Linotype" w:cs="Palatino Linotype"/>
          <w:b/>
          <w:bCs/>
          <w:color w:val="000000"/>
          <w:sz w:val="24"/>
          <w:szCs w:val="24"/>
        </w:rPr>
        <w:t>del Sistema Municipal Para el Desarrollo Integral de la Familia de Ixtapaluca</w:t>
      </w:r>
      <w:r w:rsidR="009D14F7" w:rsidRPr="00DE245C">
        <w:rPr>
          <w:rFonts w:ascii="Palatino Linotype" w:eastAsia="Palatino Linotype" w:hAnsi="Palatino Linotype" w:cs="Palatino Linotype"/>
          <w:b/>
          <w:bCs/>
          <w:color w:val="000000"/>
          <w:sz w:val="24"/>
          <w:szCs w:val="24"/>
        </w:rPr>
        <w:t xml:space="preserve"> para actividades exclusivamente de este, </w:t>
      </w:r>
      <w:r w:rsidRPr="00DE245C">
        <w:rPr>
          <w:rFonts w:ascii="Palatino Linotype" w:eastAsia="Palatino Linotype" w:hAnsi="Palatino Linotype" w:cs="Palatino Linotype"/>
          <w:b/>
          <w:bCs/>
          <w:color w:val="000000"/>
          <w:sz w:val="24"/>
          <w:szCs w:val="24"/>
        </w:rPr>
        <w:t>de los meses de abril y julio de dos mil veinticinco.</w:t>
      </w:r>
      <w:r>
        <w:rPr>
          <w:rFonts w:ascii="Palatino Linotype" w:eastAsia="Palatino Linotype" w:hAnsi="Palatino Linotype" w:cs="Palatino Linotype"/>
          <w:b/>
          <w:bCs/>
          <w:color w:val="000000"/>
          <w:sz w:val="24"/>
          <w:szCs w:val="24"/>
        </w:rPr>
        <w:t xml:space="preserve"> </w:t>
      </w:r>
    </w:p>
    <w:p w:rsidR="009F49A5" w:rsidRDefault="009F49A5" w:rsidP="00182306">
      <w:pPr>
        <w:pBdr>
          <w:top w:val="nil"/>
          <w:left w:val="nil"/>
          <w:bottom w:val="nil"/>
          <w:right w:val="nil"/>
          <w:between w:val="nil"/>
        </w:pBdr>
        <w:spacing w:line="360" w:lineRule="auto"/>
        <w:ind w:right="-283"/>
        <w:jc w:val="both"/>
        <w:rPr>
          <w:rFonts w:ascii="Palatino Linotype" w:eastAsia="Palatino Linotype" w:hAnsi="Palatino Linotype" w:cs="Palatino Linotype"/>
          <w:b/>
          <w:bCs/>
          <w:color w:val="000000"/>
          <w:sz w:val="24"/>
          <w:szCs w:val="24"/>
        </w:rPr>
      </w:pPr>
    </w:p>
    <w:p w:rsidR="009F49A5" w:rsidRDefault="00AD3DEE" w:rsidP="00182306">
      <w:pPr>
        <w:spacing w:line="360" w:lineRule="auto"/>
        <w:ind w:right="-283"/>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sz w:val="24"/>
          <w:szCs w:val="24"/>
        </w:rPr>
        <w:t>RECURRENTE.</w:t>
      </w:r>
    </w:p>
    <w:p w:rsidR="009F49A5" w:rsidRDefault="00AD3DEE" w:rsidP="00182306">
      <w:pPr>
        <w:tabs>
          <w:tab w:val="left" w:pos="8080"/>
        </w:tabs>
        <w:spacing w:line="360" w:lineRule="auto"/>
        <w:ind w:right="-283"/>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sz w:val="24"/>
          <w:szCs w:val="24"/>
        </w:rPr>
        <w:t xml:space="preserve">TERCERO. </w:t>
      </w:r>
      <w:r>
        <w:rPr>
          <w:rFonts w:ascii="Palatino Linotype" w:eastAsia="Palatino Linotype" w:hAnsi="Palatino Linotype" w:cs="Palatino Linotype"/>
          <w:b/>
          <w:bCs/>
          <w:color w:val="222222"/>
          <w:sz w:val="24"/>
          <w:szCs w:val="24"/>
        </w:rPr>
        <w:t xml:space="preserve">NOTIFÍQUESE </w:t>
      </w:r>
      <w:r>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sz w:val="24"/>
          <w:szCs w:val="24"/>
        </w:rPr>
        <w:t xml:space="preserve">dé cumplimiento a lo ordenado dentro del plazo de diez días hábiles, </w:t>
      </w:r>
      <w:r>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9F49A5" w:rsidRDefault="00AD3DEE" w:rsidP="00182306">
      <w:pPr>
        <w:spacing w:line="360" w:lineRule="auto"/>
        <w:ind w:right="-28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 xml:space="preserve">CUARTO. </w:t>
      </w:r>
      <w:r>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F49A5" w:rsidRDefault="00AD3DEE" w:rsidP="00182306">
      <w:pPr>
        <w:spacing w:line="360" w:lineRule="auto"/>
        <w:ind w:right="-28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QUINTO. </w:t>
      </w:r>
      <w:r>
        <w:rPr>
          <w:rFonts w:ascii="Palatino Linotype" w:eastAsia="Palatino Linotype" w:hAnsi="Palatino Linotype" w:cs="Palatino Linotype"/>
          <w:b/>
          <w:bCs/>
          <w:color w:val="222222"/>
          <w:sz w:val="24"/>
          <w:szCs w:val="24"/>
        </w:rPr>
        <w:t xml:space="preserve">Notifíquese </w:t>
      </w:r>
      <w:r w:rsidR="00965417" w:rsidRPr="00965417">
        <w:rPr>
          <w:rFonts w:ascii="Palatino Linotype" w:eastAsia="Palatino Linotype" w:hAnsi="Palatino Linotype" w:cs="Palatino Linotype"/>
          <w:bCs/>
          <w:color w:val="222222"/>
          <w:sz w:val="24"/>
          <w:szCs w:val="24"/>
        </w:rPr>
        <w:t>al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la presente resolución, vía SAIMEX.</w:t>
      </w:r>
    </w:p>
    <w:p w:rsidR="009F49A5" w:rsidRDefault="00AD3DEE" w:rsidP="00182306">
      <w:pPr>
        <w:spacing w:line="360" w:lineRule="auto"/>
        <w:ind w:right="-28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SEXTO.</w:t>
      </w:r>
      <w:r>
        <w:rPr>
          <w:rFonts w:ascii="Palatino Linotype" w:eastAsia="Palatino Linotype" w:hAnsi="Palatino Linotype" w:cs="Palatino Linotype"/>
          <w:sz w:val="24"/>
          <w:szCs w:val="24"/>
        </w:rPr>
        <w:t xml:space="preserve"> Se hace del conocimiento de</w:t>
      </w:r>
      <w:r w:rsidR="00965417">
        <w:rPr>
          <w:rFonts w:ascii="Palatino Linotype" w:eastAsia="Palatino Linotype" w:hAnsi="Palatino Linotype" w:cs="Palatino Linotype"/>
          <w:sz w:val="24"/>
          <w:szCs w:val="24"/>
        </w:rPr>
        <w:t>l</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965417" w:rsidRPr="00965417" w:rsidRDefault="00965417" w:rsidP="00182306">
      <w:pPr>
        <w:spacing w:before="240" w:after="240" w:line="360" w:lineRule="auto"/>
        <w:ind w:right="-283" w:firstLine="1"/>
        <w:jc w:val="both"/>
        <w:rPr>
          <w:rFonts w:ascii="Palatino Linotype" w:hAnsi="Palatino Linotype"/>
          <w:sz w:val="24"/>
        </w:rPr>
      </w:pPr>
      <w:bookmarkStart w:id="7" w:name="_Hlk99014733"/>
      <w:r w:rsidRPr="00965417">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965417">
        <w:rPr>
          <w:rFonts w:ascii="Palatino Linotype" w:hAnsi="Palatino Linotype" w:cs="Palatino Linotype"/>
          <w:color w:val="000000" w:themeColor="text1"/>
          <w:sz w:val="24"/>
        </w:rPr>
        <w:t>ALEXIS TAPIA RAMÍREZ.</w:t>
      </w:r>
    </w:p>
    <w:bookmarkEnd w:id="7"/>
    <w:p w:rsidR="009F49A5" w:rsidRPr="00965417" w:rsidRDefault="009F49A5" w:rsidP="00182306">
      <w:pPr>
        <w:spacing w:line="360" w:lineRule="auto"/>
        <w:ind w:right="-283" w:firstLine="1"/>
        <w:jc w:val="both"/>
        <w:rPr>
          <w:rFonts w:ascii="Palatino Linotype" w:eastAsia="Palatino Linotype" w:hAnsi="Palatino Linotype" w:cs="Palatino Linotype"/>
          <w:sz w:val="28"/>
          <w:szCs w:val="24"/>
        </w:rPr>
      </w:pPr>
    </w:p>
    <w:p w:rsidR="009F49A5" w:rsidRPr="00965417" w:rsidRDefault="009F49A5" w:rsidP="00182306">
      <w:pPr>
        <w:spacing w:line="360" w:lineRule="auto"/>
        <w:ind w:right="-283" w:firstLine="1"/>
        <w:jc w:val="both"/>
        <w:rPr>
          <w:rFonts w:ascii="Palatino Linotype" w:eastAsia="Palatino Linotype" w:hAnsi="Palatino Linotype" w:cs="Palatino Linotype"/>
          <w:sz w:val="28"/>
          <w:szCs w:val="24"/>
        </w:rPr>
      </w:pPr>
    </w:p>
    <w:p w:rsidR="009F49A5" w:rsidRPr="00965417" w:rsidRDefault="009F49A5" w:rsidP="00182306">
      <w:pPr>
        <w:spacing w:after="0" w:line="360" w:lineRule="auto"/>
        <w:ind w:right="-283"/>
        <w:jc w:val="both"/>
        <w:rPr>
          <w:rFonts w:ascii="Palatino Linotype" w:eastAsia="Palatino Linotype" w:hAnsi="Palatino Linotype" w:cs="Palatino Linotype"/>
          <w:sz w:val="28"/>
          <w:szCs w:val="24"/>
        </w:rPr>
      </w:pP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Default="009F49A5" w:rsidP="00182306">
      <w:pPr>
        <w:pBdr>
          <w:top w:val="nil"/>
          <w:left w:val="nil"/>
          <w:bottom w:val="nil"/>
          <w:right w:val="nil"/>
          <w:between w:val="nil"/>
        </w:pBdr>
        <w:spacing w:after="0" w:line="240" w:lineRule="auto"/>
        <w:ind w:left="708" w:right="-283"/>
        <w:rPr>
          <w:rFonts w:ascii="Palatino Linotype" w:eastAsia="Palatino Linotype" w:hAnsi="Palatino Linotype" w:cs="Palatino Linotype"/>
          <w:color w:val="000000"/>
          <w:sz w:val="24"/>
          <w:szCs w:val="24"/>
        </w:rPr>
      </w:pP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Default="009F49A5" w:rsidP="00182306">
      <w:pPr>
        <w:spacing w:line="360" w:lineRule="auto"/>
        <w:ind w:right="-283"/>
        <w:jc w:val="both"/>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spacing w:after="0"/>
        <w:ind w:right="-283"/>
        <w:rPr>
          <w:rFonts w:ascii="Palatino Linotype" w:eastAsia="Palatino Linotype" w:hAnsi="Palatino Linotype" w:cs="Palatino Linotype"/>
          <w:sz w:val="24"/>
          <w:szCs w:val="24"/>
        </w:rPr>
      </w:pPr>
    </w:p>
    <w:p w:rsidR="009F49A5" w:rsidRDefault="009F49A5" w:rsidP="00182306">
      <w:pPr>
        <w:ind w:right="-283"/>
        <w:rPr>
          <w:rFonts w:ascii="Palatino Linotype" w:eastAsia="Palatino Linotype" w:hAnsi="Palatino Linotype" w:cs="Palatino Linotype"/>
          <w:sz w:val="24"/>
          <w:szCs w:val="24"/>
        </w:rPr>
      </w:pPr>
      <w:bookmarkStart w:id="8" w:name="_heading=h.gjdgxs" w:colFirst="0" w:colLast="0"/>
      <w:bookmarkEnd w:id="8"/>
    </w:p>
    <w:sectPr w:rsidR="009F49A5" w:rsidSect="00182306">
      <w:headerReference w:type="default" r:id="rId12"/>
      <w:footerReference w:type="default" r:id="rId13"/>
      <w:headerReference w:type="first" r:id="rId14"/>
      <w:footerReference w:type="first" r:id="rId15"/>
      <w:pgSz w:w="12240" w:h="15840"/>
      <w:pgMar w:top="2552" w:right="104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776" w:rsidRDefault="00665776">
      <w:pPr>
        <w:spacing w:after="0" w:line="240" w:lineRule="auto"/>
      </w:pPr>
      <w:r>
        <w:separator/>
      </w:r>
    </w:p>
  </w:endnote>
  <w:endnote w:type="continuationSeparator" w:id="0">
    <w:p w:rsidR="00665776" w:rsidRDefault="00665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C4297C37-1944-46DD-A36E-CBEE973D14E8}"/>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F4B7C45-1D27-4A31-B474-109DBEE030CA}"/>
    <w:embedBold r:id="rId3" w:fontKey="{06D0F1EC-4AF0-46F6-A5B6-51AD6A5A4D36}"/>
    <w:embedItalic r:id="rId4" w:fontKey="{D09F826A-3230-4DFB-82A9-ED6FF6991171}"/>
    <w:embedBoldItalic r:id="rId5" w:fontKey="{795EDFB8-EA26-4E45-8DE6-0CAA6851C806}"/>
  </w:font>
  <w:font w:name="Calibri">
    <w:panose1 w:val="020F0502020204030204"/>
    <w:charset w:val="00"/>
    <w:family w:val="swiss"/>
    <w:pitch w:val="variable"/>
    <w:sig w:usb0="E4002EFF" w:usb1="C200247B" w:usb2="00000009" w:usb3="00000000" w:csb0="000001FF" w:csb1="00000000"/>
    <w:embedRegular r:id="rId6" w:fontKey="{B7E7B96E-1E20-4DCB-8F16-5A06975DBC7F}"/>
    <w:embedBold r:id="rId7" w:fontKey="{45309268-DAE2-45EF-9F0D-12F60B7FA728}"/>
  </w:font>
  <w:font w:name="Georgia">
    <w:panose1 w:val="02040502050405020303"/>
    <w:charset w:val="00"/>
    <w:family w:val="roman"/>
    <w:pitch w:val="variable"/>
    <w:sig w:usb0="00000287" w:usb1="00000000" w:usb2="00000000" w:usb3="00000000" w:csb0="0000009F" w:csb1="00000000"/>
    <w:embedItalic r:id="rId8" w:fontKey="{01ADCC6D-3052-42EF-BEEC-F9765466A4D4}"/>
  </w:font>
  <w:font w:name="Cambria">
    <w:panose1 w:val="02040503050406030204"/>
    <w:charset w:val="00"/>
    <w:family w:val="roman"/>
    <w:pitch w:val="variable"/>
    <w:sig w:usb0="E00006FF" w:usb1="420024FF" w:usb2="02000000" w:usb3="00000000" w:csb0="0000019F" w:csb1="00000000"/>
    <w:embedRegular r:id="rId9" w:fontKey="{24C6E590-CEA8-470C-BBE2-574E7FE698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9A5" w:rsidRDefault="00AD3DE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AA0C6F">
      <w:rPr>
        <w:rFonts w:ascii="Palatino Linotype" w:eastAsia="Palatino Linotype" w:hAnsi="Palatino Linotype" w:cs="Palatino Linotype"/>
        <w:noProof/>
        <w:color w:val="000000"/>
      </w:rPr>
      <w:t>6</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AA0C6F">
      <w:rPr>
        <w:rFonts w:ascii="Palatino Linotype" w:eastAsia="Palatino Linotype" w:hAnsi="Palatino Linotype" w:cs="Palatino Linotype"/>
        <w:noProof/>
        <w:color w:val="000000"/>
      </w:rPr>
      <w:t>25</w:t>
    </w:r>
    <w:r>
      <w:rPr>
        <w:rFonts w:ascii="Palatino Linotype" w:eastAsia="Palatino Linotype" w:hAnsi="Palatino Linotype" w:cs="Palatino Linotype"/>
        <w:color w:val="000000"/>
      </w:rPr>
      <w:fldChar w:fldCharType="end"/>
    </w:r>
  </w:p>
  <w:p w:rsidR="009F49A5" w:rsidRDefault="009F49A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9A5" w:rsidRDefault="00AD3DE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PAGE</w:instrText>
    </w:r>
    <w:r>
      <w:rPr>
        <w:rFonts w:ascii="Palatino Linotype" w:eastAsia="Palatino Linotype" w:hAnsi="Palatino Linotype" w:cs="Palatino Linotype"/>
        <w:color w:val="000000"/>
      </w:rPr>
      <w:fldChar w:fldCharType="separate"/>
    </w:r>
    <w:r w:rsidR="00AA0C6F">
      <w:rPr>
        <w:rFonts w:ascii="Palatino Linotype" w:eastAsia="Palatino Linotype" w:hAnsi="Palatino Linotype" w:cs="Palatino Linotype"/>
        <w:noProof/>
        <w:color w:val="000000"/>
      </w:rPr>
      <w:t>1</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NUMPAGES</w:instrText>
    </w:r>
    <w:r>
      <w:rPr>
        <w:rFonts w:ascii="Palatino Linotype" w:eastAsia="Palatino Linotype" w:hAnsi="Palatino Linotype" w:cs="Palatino Linotype"/>
        <w:color w:val="000000"/>
      </w:rPr>
      <w:fldChar w:fldCharType="separate"/>
    </w:r>
    <w:r w:rsidR="00AA0C6F">
      <w:rPr>
        <w:rFonts w:ascii="Palatino Linotype" w:eastAsia="Palatino Linotype" w:hAnsi="Palatino Linotype" w:cs="Palatino Linotype"/>
        <w:noProof/>
        <w:color w:val="000000"/>
      </w:rPr>
      <w:t>25</w:t>
    </w:r>
    <w:r>
      <w:rPr>
        <w:rFonts w:ascii="Palatino Linotype" w:eastAsia="Palatino Linotype" w:hAnsi="Palatino Linotype" w:cs="Palatino Linotype"/>
        <w:color w:val="000000"/>
      </w:rPr>
      <w:fldChar w:fldCharType="end"/>
    </w:r>
  </w:p>
  <w:p w:rsidR="009F49A5" w:rsidRDefault="009F49A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776" w:rsidRDefault="00665776">
      <w:pPr>
        <w:spacing w:after="0" w:line="240" w:lineRule="auto"/>
      </w:pPr>
      <w:r>
        <w:separator/>
      </w:r>
    </w:p>
  </w:footnote>
  <w:footnote w:type="continuationSeparator" w:id="0">
    <w:p w:rsidR="00665776" w:rsidRDefault="006657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065" w:type="dxa"/>
      <w:tblInd w:w="993" w:type="dxa"/>
      <w:tblLayout w:type="fixed"/>
      <w:tblLook w:val="0400" w:firstRow="0" w:lastRow="0" w:firstColumn="0" w:lastColumn="0" w:noHBand="0" w:noVBand="1"/>
    </w:tblPr>
    <w:tblGrid>
      <w:gridCol w:w="4734"/>
      <w:gridCol w:w="5331"/>
    </w:tblGrid>
    <w:tr w:rsidR="009F49A5" w:rsidTr="00182306">
      <w:trPr>
        <w:trHeight w:val="227"/>
      </w:trPr>
      <w:tc>
        <w:tcPr>
          <w:tcW w:w="4734" w:type="dxa"/>
        </w:tcPr>
        <w:p w:rsidR="009F49A5" w:rsidRDefault="00AD3DEE" w:rsidP="00182306">
          <w:pPr>
            <w:spacing w:after="0" w:line="256" w:lineRule="auto"/>
            <w:ind w:right="20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5331" w:type="dxa"/>
        </w:tcPr>
        <w:p w:rsidR="009F49A5" w:rsidRDefault="00AD3DEE" w:rsidP="0018230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10228/INFOEM/ICR-131/IP/RR/2025</w:t>
          </w:r>
        </w:p>
      </w:tc>
    </w:tr>
    <w:tr w:rsidR="009F49A5" w:rsidTr="00182306">
      <w:trPr>
        <w:trHeight w:val="242"/>
      </w:trPr>
      <w:tc>
        <w:tcPr>
          <w:tcW w:w="4734" w:type="dxa"/>
        </w:tcPr>
        <w:p w:rsidR="009F49A5" w:rsidRDefault="00AD3DEE" w:rsidP="00182306">
          <w:pPr>
            <w:spacing w:after="0" w:line="256" w:lineRule="auto"/>
            <w:ind w:right="20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5331" w:type="dxa"/>
        </w:tcPr>
        <w:p w:rsidR="009F49A5" w:rsidRDefault="00AD3DEE" w:rsidP="00182306">
          <w:pPr>
            <w:spacing w:after="0" w:line="256" w:lineRule="auto"/>
            <w:ind w:right="1207"/>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Sistema Municipal Para el Desarrollo Integral de la Familia de Ixtapaluca</w:t>
          </w:r>
        </w:p>
      </w:tc>
    </w:tr>
    <w:tr w:rsidR="009F49A5" w:rsidTr="00182306">
      <w:trPr>
        <w:trHeight w:val="342"/>
      </w:trPr>
      <w:tc>
        <w:tcPr>
          <w:tcW w:w="4734" w:type="dxa"/>
        </w:tcPr>
        <w:p w:rsidR="009F49A5" w:rsidRDefault="00AD3DEE" w:rsidP="00182306">
          <w:pPr>
            <w:tabs>
              <w:tab w:val="left" w:pos="4892"/>
            </w:tabs>
            <w:spacing w:after="0" w:line="256" w:lineRule="auto"/>
            <w:ind w:right="20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Comisionado Ponente:</w:t>
          </w:r>
        </w:p>
      </w:tc>
      <w:tc>
        <w:tcPr>
          <w:tcW w:w="5331" w:type="dxa"/>
        </w:tcPr>
        <w:p w:rsidR="009F49A5" w:rsidRDefault="00AD3DEE" w:rsidP="0018230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r>
  </w:tbl>
  <w:p w:rsidR="009F49A5" w:rsidRDefault="0018230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24"/>
        <w:szCs w:val="24"/>
      </w:rPr>
    </w:pPr>
    <w:r>
      <w:rPr>
        <w:rFonts w:ascii="Palatino Linotype" w:eastAsia="Palatino Linotype" w:hAnsi="Palatino Linotype" w:cs="Palatino Linotype"/>
        <w:noProof/>
        <w:color w:val="000000"/>
        <w:lang w:val="es-MX"/>
      </w:rPr>
      <w:drawing>
        <wp:anchor distT="0" distB="0" distL="0" distR="0" simplePos="0" relativeHeight="251658240" behindDoc="1" locked="0" layoutInCell="1" hidden="0" allowOverlap="1">
          <wp:simplePos x="0" y="0"/>
          <wp:positionH relativeFrom="margin">
            <wp:align>center</wp:align>
          </wp:positionH>
          <wp:positionV relativeFrom="page">
            <wp:align>top</wp:align>
          </wp:positionV>
          <wp:extent cx="7705725" cy="9987915"/>
          <wp:effectExtent l="0" t="0" r="9525" b="0"/>
          <wp:wrapNone/>
          <wp:docPr id="1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9A5" w:rsidRDefault="00AD3DE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align>center</wp:align>
          </wp:positionH>
          <wp:positionV relativeFrom="page">
            <wp:posOffset>118110</wp:posOffset>
          </wp:positionV>
          <wp:extent cx="7705725" cy="9987915"/>
          <wp:effectExtent l="0" t="0" r="9525" b="0"/>
          <wp:wrapNone/>
          <wp:docPr id="1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1"/>
      <w:tblW w:w="10980" w:type="dxa"/>
      <w:tblInd w:w="-533" w:type="dxa"/>
      <w:tblLayout w:type="fixed"/>
      <w:tblLook w:val="0400" w:firstRow="0" w:lastRow="0" w:firstColumn="0" w:lastColumn="0" w:noHBand="0" w:noVBand="1"/>
    </w:tblPr>
    <w:tblGrid>
      <w:gridCol w:w="6009"/>
      <w:gridCol w:w="4971"/>
    </w:tblGrid>
    <w:tr w:rsidR="009F49A5">
      <w:trPr>
        <w:trHeight w:val="227"/>
      </w:trPr>
      <w:tc>
        <w:tcPr>
          <w:tcW w:w="6009" w:type="dxa"/>
        </w:tcPr>
        <w:p w:rsidR="009F49A5" w:rsidRDefault="00AD3DEE" w:rsidP="00182306">
          <w:pPr>
            <w:spacing w:after="0" w:line="256" w:lineRule="auto"/>
            <w:ind w:left="2164" w:right="204"/>
            <w:jc w:val="right"/>
            <w:rPr>
              <w:rFonts w:ascii="Palatino Linotype" w:eastAsia="Palatino Linotype" w:hAnsi="Palatino Linotype" w:cs="Palatino Linotype"/>
              <w:b/>
              <w:bCs/>
              <w:sz w:val="24"/>
              <w:szCs w:val="24"/>
            </w:rPr>
          </w:pPr>
          <w:bookmarkStart w:id="9" w:name="_heading=h.30j0zll" w:colFirst="0" w:colLast="0"/>
          <w:bookmarkEnd w:id="9"/>
          <w:r>
            <w:rPr>
              <w:rFonts w:ascii="Palatino Linotype" w:eastAsia="Palatino Linotype" w:hAnsi="Palatino Linotype" w:cs="Palatino Linotype"/>
              <w:b/>
              <w:bCs/>
              <w:sz w:val="24"/>
              <w:szCs w:val="24"/>
            </w:rPr>
            <w:t>Recurso de Revisión:</w:t>
          </w:r>
        </w:p>
      </w:tc>
      <w:tc>
        <w:tcPr>
          <w:tcW w:w="4971" w:type="dxa"/>
        </w:tcPr>
        <w:p w:rsidR="009F49A5" w:rsidRDefault="00AD3DEE" w:rsidP="0018230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10228/INFOEM/ICR-131/IP/RR/2025</w:t>
          </w:r>
        </w:p>
      </w:tc>
    </w:tr>
    <w:tr w:rsidR="009F49A5">
      <w:trPr>
        <w:trHeight w:val="242"/>
      </w:trPr>
      <w:tc>
        <w:tcPr>
          <w:tcW w:w="6009" w:type="dxa"/>
        </w:tcPr>
        <w:p w:rsidR="009F49A5" w:rsidRDefault="00AD3DEE" w:rsidP="00182306">
          <w:pPr>
            <w:spacing w:after="0" w:line="256" w:lineRule="auto"/>
            <w:ind w:right="20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971" w:type="dxa"/>
        </w:tcPr>
        <w:p w:rsidR="009F49A5" w:rsidRDefault="00AD3DEE" w:rsidP="00182306">
          <w:pPr>
            <w:spacing w:after="0" w:line="256" w:lineRule="auto"/>
            <w:ind w:left="-67" w:right="214"/>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Sistema Municipal Para el Desarrollo Integral de la Familia de Ixtapaluca</w:t>
          </w:r>
        </w:p>
      </w:tc>
    </w:tr>
    <w:tr w:rsidR="009F49A5">
      <w:trPr>
        <w:trHeight w:val="342"/>
      </w:trPr>
      <w:tc>
        <w:tcPr>
          <w:tcW w:w="6009" w:type="dxa"/>
        </w:tcPr>
        <w:p w:rsidR="009F49A5" w:rsidRDefault="00AD3DEE" w:rsidP="00182306">
          <w:pPr>
            <w:tabs>
              <w:tab w:val="left" w:pos="4892"/>
            </w:tabs>
            <w:spacing w:after="0" w:line="256" w:lineRule="auto"/>
            <w:ind w:right="20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Recurrente:</w:t>
          </w:r>
        </w:p>
      </w:tc>
      <w:tc>
        <w:tcPr>
          <w:tcW w:w="4971" w:type="dxa"/>
        </w:tcPr>
        <w:p w:rsidR="009F49A5" w:rsidRDefault="00AA0C6F" w:rsidP="00182306">
          <w:pPr>
            <w:spacing w:after="0" w:line="256" w:lineRule="auto"/>
            <w:ind w:right="-14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r>
    <w:tr w:rsidR="009F49A5">
      <w:trPr>
        <w:trHeight w:val="342"/>
      </w:trPr>
      <w:tc>
        <w:tcPr>
          <w:tcW w:w="6009" w:type="dxa"/>
        </w:tcPr>
        <w:p w:rsidR="009F49A5" w:rsidRDefault="00AD3DEE" w:rsidP="00182306">
          <w:pPr>
            <w:tabs>
              <w:tab w:val="left" w:pos="4892"/>
            </w:tabs>
            <w:spacing w:after="0" w:line="256" w:lineRule="auto"/>
            <w:ind w:right="204"/>
            <w:jc w:val="right"/>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Comisionado Ponente:</w:t>
          </w:r>
        </w:p>
      </w:tc>
      <w:tc>
        <w:tcPr>
          <w:tcW w:w="4971" w:type="dxa"/>
        </w:tcPr>
        <w:p w:rsidR="009F49A5" w:rsidRDefault="00AD3DEE" w:rsidP="0018230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r>
  </w:tbl>
  <w:p w:rsidR="009F49A5" w:rsidRDefault="009F49A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02F98"/>
    <w:multiLevelType w:val="multilevel"/>
    <w:tmpl w:val="0C9E4C40"/>
    <w:lvl w:ilvl="0">
      <w:start w:val="1"/>
      <w:numFmt w:val="upperRoman"/>
      <w:lvlText w:val="%1."/>
      <w:lvlJc w:val="left"/>
      <w:pPr>
        <w:ind w:left="1773" w:hanging="720"/>
      </w:pPr>
    </w:lvl>
    <w:lvl w:ilvl="1">
      <w:start w:val="1"/>
      <w:numFmt w:val="lowerLetter"/>
      <w:lvlText w:val="%2."/>
      <w:lvlJc w:val="left"/>
      <w:pPr>
        <w:ind w:left="2133" w:hanging="360"/>
      </w:pPr>
    </w:lvl>
    <w:lvl w:ilvl="2">
      <w:start w:val="1"/>
      <w:numFmt w:val="lowerRoman"/>
      <w:lvlText w:val="%3."/>
      <w:lvlJc w:val="right"/>
      <w:pPr>
        <w:ind w:left="2853" w:hanging="180"/>
      </w:pPr>
    </w:lvl>
    <w:lvl w:ilvl="3">
      <w:start w:val="1"/>
      <w:numFmt w:val="decimal"/>
      <w:lvlText w:val="%4."/>
      <w:lvlJc w:val="left"/>
      <w:pPr>
        <w:ind w:left="3573" w:hanging="360"/>
      </w:pPr>
    </w:lvl>
    <w:lvl w:ilvl="4">
      <w:start w:val="1"/>
      <w:numFmt w:val="lowerLetter"/>
      <w:lvlText w:val="%5."/>
      <w:lvlJc w:val="left"/>
      <w:pPr>
        <w:ind w:left="4293" w:hanging="360"/>
      </w:pPr>
    </w:lvl>
    <w:lvl w:ilvl="5">
      <w:start w:val="1"/>
      <w:numFmt w:val="lowerRoman"/>
      <w:lvlText w:val="%6."/>
      <w:lvlJc w:val="right"/>
      <w:pPr>
        <w:ind w:left="5013" w:hanging="180"/>
      </w:pPr>
    </w:lvl>
    <w:lvl w:ilvl="6">
      <w:start w:val="1"/>
      <w:numFmt w:val="decimal"/>
      <w:lvlText w:val="%7."/>
      <w:lvlJc w:val="left"/>
      <w:pPr>
        <w:ind w:left="5733" w:hanging="360"/>
      </w:pPr>
    </w:lvl>
    <w:lvl w:ilvl="7">
      <w:start w:val="1"/>
      <w:numFmt w:val="lowerLetter"/>
      <w:lvlText w:val="%8."/>
      <w:lvlJc w:val="left"/>
      <w:pPr>
        <w:ind w:left="6453" w:hanging="360"/>
      </w:pPr>
    </w:lvl>
    <w:lvl w:ilvl="8">
      <w:start w:val="1"/>
      <w:numFmt w:val="lowerRoman"/>
      <w:lvlText w:val="%9."/>
      <w:lvlJc w:val="right"/>
      <w:pPr>
        <w:ind w:left="7173" w:hanging="180"/>
      </w:pPr>
    </w:lvl>
  </w:abstractNum>
  <w:abstractNum w:abstractNumId="1" w15:restartNumberingAfterBreak="0">
    <w:nsid w:val="08333FF4"/>
    <w:multiLevelType w:val="multilevel"/>
    <w:tmpl w:val="74FEA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995C9C"/>
    <w:multiLevelType w:val="multilevel"/>
    <w:tmpl w:val="49C8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2C713C"/>
    <w:multiLevelType w:val="multilevel"/>
    <w:tmpl w:val="BE2420D4"/>
    <w:lvl w:ilvl="0">
      <w:start w:val="1"/>
      <w:numFmt w:val="upperRoman"/>
      <w:lvlText w:val="%1."/>
      <w:lvlJc w:val="left"/>
      <w:pPr>
        <w:ind w:left="1818" w:hanging="720"/>
      </w:pPr>
    </w:lvl>
    <w:lvl w:ilvl="1">
      <w:start w:val="1"/>
      <w:numFmt w:val="lowerLetter"/>
      <w:lvlText w:val="%2."/>
      <w:lvlJc w:val="left"/>
      <w:pPr>
        <w:ind w:left="2178" w:hanging="360"/>
      </w:pPr>
    </w:lvl>
    <w:lvl w:ilvl="2">
      <w:start w:val="1"/>
      <w:numFmt w:val="lowerRoman"/>
      <w:lvlText w:val="%3."/>
      <w:lvlJc w:val="right"/>
      <w:pPr>
        <w:ind w:left="2898" w:hanging="180"/>
      </w:pPr>
    </w:lvl>
    <w:lvl w:ilvl="3">
      <w:start w:val="1"/>
      <w:numFmt w:val="decimal"/>
      <w:lvlText w:val="%4."/>
      <w:lvlJc w:val="left"/>
      <w:pPr>
        <w:ind w:left="3618" w:hanging="360"/>
      </w:pPr>
    </w:lvl>
    <w:lvl w:ilvl="4">
      <w:start w:val="1"/>
      <w:numFmt w:val="lowerLetter"/>
      <w:lvlText w:val="%5."/>
      <w:lvlJc w:val="left"/>
      <w:pPr>
        <w:ind w:left="4338" w:hanging="360"/>
      </w:pPr>
    </w:lvl>
    <w:lvl w:ilvl="5">
      <w:start w:val="1"/>
      <w:numFmt w:val="lowerRoman"/>
      <w:lvlText w:val="%6."/>
      <w:lvlJc w:val="right"/>
      <w:pPr>
        <w:ind w:left="5058" w:hanging="180"/>
      </w:pPr>
    </w:lvl>
    <w:lvl w:ilvl="6">
      <w:start w:val="1"/>
      <w:numFmt w:val="decimal"/>
      <w:lvlText w:val="%7."/>
      <w:lvlJc w:val="left"/>
      <w:pPr>
        <w:ind w:left="5778" w:hanging="360"/>
      </w:pPr>
    </w:lvl>
    <w:lvl w:ilvl="7">
      <w:start w:val="1"/>
      <w:numFmt w:val="lowerLetter"/>
      <w:lvlText w:val="%8."/>
      <w:lvlJc w:val="left"/>
      <w:pPr>
        <w:ind w:left="6498" w:hanging="360"/>
      </w:pPr>
    </w:lvl>
    <w:lvl w:ilvl="8">
      <w:start w:val="1"/>
      <w:numFmt w:val="lowerRoman"/>
      <w:lvlText w:val="%9."/>
      <w:lvlJc w:val="right"/>
      <w:pPr>
        <w:ind w:left="7218" w:hanging="180"/>
      </w:pPr>
    </w:lvl>
  </w:abstractNum>
  <w:abstractNum w:abstractNumId="4" w15:restartNumberingAfterBreak="0">
    <w:nsid w:val="513B1632"/>
    <w:multiLevelType w:val="multilevel"/>
    <w:tmpl w:val="60AACE8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C8111F"/>
    <w:multiLevelType w:val="multilevel"/>
    <w:tmpl w:val="EF400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3723BF"/>
    <w:multiLevelType w:val="multilevel"/>
    <w:tmpl w:val="022E1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FB71ED"/>
    <w:multiLevelType w:val="multilevel"/>
    <w:tmpl w:val="D8E2DE82"/>
    <w:lvl w:ilvl="0">
      <w:start w:val="1"/>
      <w:numFmt w:val="decimal"/>
      <w:lvlText w:val="%1."/>
      <w:lvlJc w:val="left"/>
      <w:pPr>
        <w:ind w:left="36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4"/>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A5"/>
    <w:rsid w:val="00040BBB"/>
    <w:rsid w:val="00182306"/>
    <w:rsid w:val="004F1863"/>
    <w:rsid w:val="00665776"/>
    <w:rsid w:val="00965417"/>
    <w:rsid w:val="00966534"/>
    <w:rsid w:val="009D14F7"/>
    <w:rsid w:val="009F49A5"/>
    <w:rsid w:val="00AA0C6F"/>
    <w:rsid w:val="00AD3DEE"/>
    <w:rsid w:val="00B40126"/>
    <w:rsid w:val="00DE245C"/>
    <w:rsid w:val="00F464FA"/>
    <w:rsid w:val="00F53B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53BE54-E76D-4E38-8CDA-DEF7B612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Encabezado">
    <w:name w:val="header"/>
    <w:basedOn w:val="Normal"/>
    <w:link w:val="EncabezadoCar"/>
    <w:uiPriority w:val="99"/>
    <w:unhideWhenUsed/>
    <w:rsid w:val="001823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2306"/>
  </w:style>
  <w:style w:type="paragraph" w:styleId="Piedepgina">
    <w:name w:val="footer"/>
    <w:basedOn w:val="Normal"/>
    <w:link w:val="PiedepginaCar"/>
    <w:uiPriority w:val="99"/>
    <w:unhideWhenUsed/>
    <w:rsid w:val="001823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2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64397.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imex.org.mx/saimex/solicitud/downloadAttach/2664397.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isZghuCAJgoflILA5WnmEeBA==">CgMxLjAyDmguMmU0enkyM2NncjhlMg5oLmVybmM4dndvZ2MzdjIOaC5xY2llbWgxbXpjdHcyDmguMm9nMnY5a3Q0amY4MgloLjRkMzRvZzgyDmguY3Jkdjk4YmQzMWM4MghoLmdqZGd4czIJaC4zMGowemxsOAByITFsV3hWZWdCWEFMZkdoTWRCVzZNQkQxTXlZckg5OWRHUA==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5462</Words>
  <Characters>30046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2026-05-29T00:14:00Z</cp:lastPrinted>
  <dcterms:created xsi:type="dcterms:W3CDTF">2026-05-25T18:02:00Z</dcterms:created>
  <dcterms:modified xsi:type="dcterms:W3CDTF">2026-06-03T00:02:00Z</dcterms:modified>
</cp:coreProperties>
</file>