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6EC" w:rsidRPr="002D1639" w:rsidRDefault="00B4438D">
      <w:pPr>
        <w:tabs>
          <w:tab w:val="left" w:pos="3465"/>
        </w:tabs>
        <w:spacing w:line="360" w:lineRule="auto"/>
        <w:ind w:right="-141"/>
        <w:jc w:val="both"/>
        <w:rPr>
          <w:rFonts w:ascii="Palatino Linotype" w:eastAsia="Palatino Linotype" w:hAnsi="Palatino Linotype" w:cs="Palatino Linotype"/>
          <w:b/>
          <w:bCs/>
          <w:color w:val="000000"/>
        </w:rPr>
      </w:pPr>
      <w:bookmarkStart w:id="0" w:name="_GoBack"/>
      <w:bookmarkEnd w:id="0"/>
      <w:r w:rsidRPr="002D163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87647" w:rsidRPr="002D1639">
        <w:rPr>
          <w:rFonts w:ascii="Palatino Linotype" w:eastAsia="Palatino Linotype" w:hAnsi="Palatino Linotype" w:cs="Palatino Linotype"/>
          <w:b/>
          <w:bCs/>
          <w:color w:val="000000"/>
        </w:rPr>
        <w:t xml:space="preserve">cinco </w:t>
      </w:r>
      <w:r w:rsidR="002D1639">
        <w:rPr>
          <w:rFonts w:ascii="Palatino Linotype" w:eastAsia="Palatino Linotype" w:hAnsi="Palatino Linotype" w:cs="Palatino Linotype"/>
          <w:b/>
          <w:bCs/>
          <w:color w:val="000000"/>
        </w:rPr>
        <w:t xml:space="preserve">(05) </w:t>
      </w:r>
      <w:r w:rsidR="00D87647" w:rsidRPr="002D1639">
        <w:rPr>
          <w:rFonts w:ascii="Palatino Linotype" w:eastAsia="Palatino Linotype" w:hAnsi="Palatino Linotype" w:cs="Palatino Linotype"/>
          <w:b/>
          <w:bCs/>
          <w:color w:val="000000"/>
        </w:rPr>
        <w:t>de febrero de dos mil veintiséis</w:t>
      </w:r>
      <w:r w:rsidRPr="002D1639">
        <w:rPr>
          <w:rFonts w:ascii="Palatino Linotype" w:eastAsia="Palatino Linotype" w:hAnsi="Palatino Linotype" w:cs="Palatino Linotype"/>
          <w:b/>
          <w:bCs/>
          <w:color w:val="000000"/>
        </w:rPr>
        <w:t>.</w:t>
      </w:r>
    </w:p>
    <w:p w:rsidR="00A206EC" w:rsidRPr="002D1639" w:rsidRDefault="00A206EC">
      <w:pPr>
        <w:tabs>
          <w:tab w:val="left" w:pos="3465"/>
        </w:tabs>
        <w:spacing w:line="360" w:lineRule="auto"/>
        <w:ind w:right="-141"/>
        <w:jc w:val="both"/>
        <w:rPr>
          <w:rFonts w:ascii="Palatino Linotype" w:eastAsia="Palatino Linotype" w:hAnsi="Palatino Linotype" w:cs="Palatino Linotype"/>
        </w:rPr>
      </w:pPr>
    </w:p>
    <w:p w:rsidR="00A206EC" w:rsidRPr="002D1639" w:rsidRDefault="00B4438D">
      <w:pPr>
        <w:spacing w:line="360" w:lineRule="auto"/>
        <w:ind w:right="-141"/>
        <w:jc w:val="both"/>
        <w:rPr>
          <w:rFonts w:ascii="Palatino Linotype" w:eastAsia="Palatino Linotype" w:hAnsi="Palatino Linotype" w:cs="Palatino Linotype"/>
        </w:rPr>
      </w:pPr>
      <w:bookmarkStart w:id="1" w:name="_heading=h.pjxirruvllwe" w:colFirst="0" w:colLast="0"/>
      <w:bookmarkEnd w:id="1"/>
      <w:r w:rsidRPr="002D1639">
        <w:rPr>
          <w:rFonts w:ascii="Palatino Linotype" w:eastAsia="Palatino Linotype" w:hAnsi="Palatino Linotype" w:cs="Palatino Linotype"/>
          <w:b/>
          <w:bCs/>
        </w:rPr>
        <w:t>VISTO</w:t>
      </w:r>
      <w:r w:rsidRPr="002D1639">
        <w:rPr>
          <w:rFonts w:ascii="Palatino Linotype" w:eastAsia="Palatino Linotype" w:hAnsi="Palatino Linotype" w:cs="Palatino Linotype"/>
        </w:rPr>
        <w:t xml:space="preserve"> el expediente electrónico formado con motivo del Recurso de Revisión </w:t>
      </w:r>
      <w:r w:rsidRPr="002D1639">
        <w:rPr>
          <w:rFonts w:ascii="Palatino Linotype" w:eastAsia="Palatino Linotype" w:hAnsi="Palatino Linotype" w:cs="Palatino Linotype"/>
          <w:b/>
          <w:bCs/>
        </w:rPr>
        <w:t>06828/INFOEM/IP/RR/2025</w:t>
      </w:r>
      <w:r w:rsidRPr="002D1639">
        <w:rPr>
          <w:rFonts w:ascii="Palatino Linotype" w:eastAsia="Palatino Linotype" w:hAnsi="Palatino Linotype" w:cs="Palatino Linotype"/>
        </w:rPr>
        <w:t>,</w:t>
      </w:r>
      <w:r w:rsidRPr="002D1639">
        <w:rPr>
          <w:rFonts w:ascii="Palatino Linotype" w:eastAsia="Palatino Linotype" w:hAnsi="Palatino Linotype" w:cs="Palatino Linotype"/>
          <w:b/>
          <w:bCs/>
        </w:rPr>
        <w:t xml:space="preserve"> </w:t>
      </w:r>
      <w:r w:rsidRPr="002D1639">
        <w:rPr>
          <w:rFonts w:ascii="Palatino Linotype" w:eastAsia="Palatino Linotype" w:hAnsi="Palatino Linotype" w:cs="Palatino Linotype"/>
        </w:rPr>
        <w:t>promovido po</w:t>
      </w:r>
      <w:r w:rsidRPr="002D1639">
        <w:rPr>
          <w:rFonts w:ascii="Palatino Linotype" w:eastAsia="Palatino Linotype" w:hAnsi="Palatino Linotype" w:cs="Palatino Linotype"/>
          <w:highlight w:val="white"/>
        </w:rPr>
        <w:t xml:space="preserve">r </w:t>
      </w:r>
      <w:r w:rsidR="00F13CBE">
        <w:rPr>
          <w:rFonts w:ascii="Palatino Linotype" w:eastAsia="Palatino Linotype" w:hAnsi="Palatino Linotype" w:cs="Palatino Linotype"/>
          <w:b/>
          <w:bCs/>
          <w:highlight w:val="white"/>
        </w:rPr>
        <w:t>XXXX</w:t>
      </w:r>
      <w:r w:rsidRPr="002D1639">
        <w:rPr>
          <w:rFonts w:ascii="Palatino Linotype" w:eastAsia="Palatino Linotype" w:hAnsi="Palatino Linotype" w:cs="Palatino Linotype"/>
          <w:highlight w:val="white"/>
        </w:rPr>
        <w:t xml:space="preserve">, </w:t>
      </w:r>
      <w:r w:rsidR="002D1639">
        <w:rPr>
          <w:rFonts w:ascii="Palatino Linotype" w:eastAsia="Palatino Linotype" w:hAnsi="Palatino Linotype" w:cs="Palatino Linotype"/>
          <w:highlight w:val="white"/>
        </w:rPr>
        <w:t xml:space="preserve">a quien denominaremos </w:t>
      </w:r>
      <w:r w:rsidR="002D1639" w:rsidRPr="002D1639">
        <w:rPr>
          <w:rFonts w:ascii="Palatino Linotype" w:eastAsia="Palatino Linotype" w:hAnsi="Palatino Linotype" w:cs="Palatino Linotype"/>
          <w:b/>
          <w:highlight w:val="white"/>
        </w:rPr>
        <w:t>RECURRENTE</w:t>
      </w:r>
      <w:r w:rsidR="002D1639">
        <w:rPr>
          <w:rFonts w:ascii="Palatino Linotype" w:eastAsia="Palatino Linotype" w:hAnsi="Palatino Linotype" w:cs="Palatino Linotype"/>
          <w:highlight w:val="white"/>
        </w:rPr>
        <w:t xml:space="preserve">, </w:t>
      </w:r>
      <w:r w:rsidRPr="002D1639">
        <w:rPr>
          <w:rFonts w:ascii="Palatino Linotype" w:eastAsia="Palatino Linotype" w:hAnsi="Palatino Linotype" w:cs="Palatino Linotype"/>
          <w:highlight w:val="white"/>
        </w:rPr>
        <w:t xml:space="preserve">en contra de la respuesta del </w:t>
      </w:r>
      <w:r w:rsidRPr="002D1639">
        <w:rPr>
          <w:rFonts w:ascii="Palatino Linotype" w:eastAsia="Palatino Linotype" w:hAnsi="Palatino Linotype" w:cs="Palatino Linotype"/>
          <w:b/>
          <w:bCs/>
          <w:highlight w:val="white"/>
        </w:rPr>
        <w:t>Ayuntamiento de Huehuetoca</w:t>
      </w:r>
      <w:r w:rsidRPr="002D1639">
        <w:rPr>
          <w:rFonts w:ascii="Palatino Linotype" w:eastAsia="Palatino Linotype" w:hAnsi="Palatino Linotype" w:cs="Palatino Linotype"/>
        </w:rPr>
        <w:t>, en lo sucesivo el</w:t>
      </w:r>
      <w:r w:rsidRPr="002D1639">
        <w:rPr>
          <w:rFonts w:ascii="Palatino Linotype" w:eastAsia="Palatino Linotype" w:hAnsi="Palatino Linotype" w:cs="Palatino Linotype"/>
          <w:b/>
          <w:bCs/>
        </w:rPr>
        <w:t xml:space="preserve"> SUJETO OBLIGADO</w:t>
      </w:r>
      <w:r w:rsidRPr="002D1639">
        <w:rPr>
          <w:rFonts w:ascii="Palatino Linotype" w:eastAsia="Palatino Linotype" w:hAnsi="Palatino Linotype" w:cs="Palatino Linotype"/>
        </w:rPr>
        <w:t>, se procede a dictar la presente Resolución, con base en los siguientes:</w:t>
      </w:r>
    </w:p>
    <w:p w:rsidR="00A206EC" w:rsidRPr="002D1639" w:rsidRDefault="00A206EC">
      <w:pPr>
        <w:ind w:right="-141"/>
        <w:jc w:val="both"/>
        <w:rPr>
          <w:rFonts w:ascii="Palatino Linotype" w:eastAsia="Palatino Linotype" w:hAnsi="Palatino Linotype" w:cs="Palatino Linotype"/>
        </w:rPr>
      </w:pPr>
    </w:p>
    <w:p w:rsidR="00A206EC" w:rsidRPr="002D1639" w:rsidRDefault="00B4438D">
      <w:pPr>
        <w:pStyle w:val="Ttulo1"/>
        <w:spacing w:before="0" w:line="360" w:lineRule="auto"/>
        <w:ind w:right="-141"/>
        <w:jc w:val="center"/>
        <w:rPr>
          <w:rFonts w:ascii="Palatino Linotype" w:eastAsia="Palatino Linotype" w:hAnsi="Palatino Linotype" w:cs="Palatino Linotype"/>
          <w:b/>
          <w:bCs/>
          <w:color w:val="000000"/>
          <w:sz w:val="24"/>
          <w:szCs w:val="24"/>
        </w:rPr>
      </w:pPr>
      <w:bookmarkStart w:id="2" w:name="_heading=h.gblvvbtbyie5" w:colFirst="0" w:colLast="0"/>
      <w:bookmarkEnd w:id="2"/>
      <w:r w:rsidRPr="002D1639">
        <w:rPr>
          <w:rFonts w:ascii="Palatino Linotype" w:eastAsia="Palatino Linotype" w:hAnsi="Palatino Linotype" w:cs="Palatino Linotype"/>
          <w:b/>
          <w:bCs/>
          <w:color w:val="000000"/>
          <w:sz w:val="24"/>
          <w:szCs w:val="24"/>
        </w:rPr>
        <w:t>A</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N</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T</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E</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C</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E</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D</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E</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N</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T</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E</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S</w:t>
      </w:r>
    </w:p>
    <w:p w:rsidR="00A206EC" w:rsidRPr="002D1639" w:rsidRDefault="00A206EC">
      <w:pPr>
        <w:pBdr>
          <w:top w:val="nil"/>
          <w:left w:val="nil"/>
          <w:bottom w:val="nil"/>
          <w:right w:val="nil"/>
          <w:between w:val="nil"/>
        </w:pBdr>
        <w:ind w:right="-141"/>
        <w:jc w:val="both"/>
        <w:rPr>
          <w:rFonts w:ascii="Palatino Linotype" w:eastAsia="Palatino Linotype" w:hAnsi="Palatino Linotype" w:cs="Palatino Linotype"/>
          <w:color w:val="000000"/>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 xml:space="preserve">El </w:t>
      </w:r>
      <w:r w:rsidRPr="002D1639">
        <w:rPr>
          <w:rFonts w:ascii="Palatino Linotype" w:eastAsia="Palatino Linotype" w:hAnsi="Palatino Linotype" w:cs="Palatino Linotype"/>
          <w:b/>
          <w:bCs/>
        </w:rPr>
        <w:t>trece de mayo</w:t>
      </w:r>
      <w:r w:rsidRPr="002D1639">
        <w:rPr>
          <w:rFonts w:ascii="Palatino Linotype" w:eastAsia="Palatino Linotype" w:hAnsi="Palatino Linotype" w:cs="Palatino Linotype"/>
          <w:b/>
          <w:bCs/>
          <w:color w:val="000000"/>
        </w:rPr>
        <w:t xml:space="preserve"> de dos mil veinticinco, </w:t>
      </w:r>
      <w:r w:rsidRPr="002D1639">
        <w:rPr>
          <w:rFonts w:ascii="Palatino Linotype" w:eastAsia="Palatino Linotype" w:hAnsi="Palatino Linotype" w:cs="Palatino Linotype"/>
          <w:color w:val="000000"/>
        </w:rPr>
        <w:t xml:space="preserve">se presentó ante el </w:t>
      </w:r>
      <w:r w:rsidRPr="002D1639">
        <w:rPr>
          <w:rFonts w:ascii="Palatino Linotype" w:eastAsia="Palatino Linotype" w:hAnsi="Palatino Linotype" w:cs="Palatino Linotype"/>
          <w:b/>
          <w:bCs/>
          <w:color w:val="000000"/>
        </w:rPr>
        <w:t>SUJETO OBLIGADO</w:t>
      </w:r>
      <w:r w:rsidRPr="002D1639">
        <w:rPr>
          <w:rFonts w:ascii="Palatino Linotype" w:eastAsia="Palatino Linotype" w:hAnsi="Palatino Linotype" w:cs="Palatino Linotype"/>
          <w:color w:val="000000"/>
        </w:rPr>
        <w:t xml:space="preserve"> vía Sistema de Acceso a la Información Mexiquense (SAIMEX), la solicitud de acceso a datos personales registrada con el número</w:t>
      </w:r>
      <w:r w:rsidRPr="002D1639">
        <w:rPr>
          <w:rFonts w:ascii="Palatino Linotype" w:eastAsia="Palatino Linotype" w:hAnsi="Palatino Linotype" w:cs="Palatino Linotype"/>
          <w:b/>
          <w:bCs/>
          <w:color w:val="000000"/>
        </w:rPr>
        <w:t xml:space="preserve"> 002</w:t>
      </w:r>
      <w:r w:rsidRPr="002D1639">
        <w:rPr>
          <w:rFonts w:ascii="Palatino Linotype" w:eastAsia="Palatino Linotype" w:hAnsi="Palatino Linotype" w:cs="Palatino Linotype"/>
          <w:b/>
          <w:bCs/>
        </w:rPr>
        <w:t>54</w:t>
      </w:r>
      <w:r w:rsidRPr="002D1639">
        <w:rPr>
          <w:rFonts w:ascii="Palatino Linotype" w:eastAsia="Palatino Linotype" w:hAnsi="Palatino Linotype" w:cs="Palatino Linotype"/>
          <w:b/>
          <w:bCs/>
          <w:color w:val="000000"/>
        </w:rPr>
        <w:t>/</w:t>
      </w:r>
      <w:r w:rsidRPr="002D1639">
        <w:rPr>
          <w:rFonts w:ascii="Palatino Linotype" w:eastAsia="Palatino Linotype" w:hAnsi="Palatino Linotype" w:cs="Palatino Linotype"/>
          <w:b/>
          <w:bCs/>
        </w:rPr>
        <w:t>HUEHUETO</w:t>
      </w:r>
      <w:r w:rsidRPr="002D1639">
        <w:rPr>
          <w:rFonts w:ascii="Palatino Linotype" w:eastAsia="Palatino Linotype" w:hAnsi="Palatino Linotype" w:cs="Palatino Linotype"/>
          <w:b/>
          <w:bCs/>
          <w:color w:val="000000"/>
        </w:rPr>
        <w:t xml:space="preserve">/IP/2025; </w:t>
      </w:r>
      <w:r w:rsidR="002D1639">
        <w:rPr>
          <w:rFonts w:ascii="Palatino Linotype" w:eastAsia="Palatino Linotype" w:hAnsi="Palatino Linotype" w:cs="Palatino Linotype"/>
          <w:color w:val="000000"/>
        </w:rPr>
        <w:t xml:space="preserve">en la que </w:t>
      </w:r>
      <w:r w:rsidRPr="002D1639">
        <w:rPr>
          <w:rFonts w:ascii="Palatino Linotype" w:eastAsia="Palatino Linotype" w:hAnsi="Palatino Linotype" w:cs="Palatino Linotype"/>
          <w:color w:val="000000"/>
        </w:rPr>
        <w:t>se solicitó la siguiente información:</w:t>
      </w:r>
    </w:p>
    <w:p w:rsidR="00A206EC" w:rsidRPr="002D1639" w:rsidRDefault="00A206EC">
      <w:pPr>
        <w:pBdr>
          <w:top w:val="nil"/>
          <w:left w:val="nil"/>
          <w:bottom w:val="nil"/>
          <w:right w:val="nil"/>
          <w:between w:val="nil"/>
        </w:pBdr>
        <w:ind w:left="567" w:right="426"/>
        <w:jc w:val="both"/>
        <w:rPr>
          <w:rFonts w:ascii="Palatino Linotype" w:eastAsia="Palatino Linotype" w:hAnsi="Palatino Linotype" w:cs="Palatino Linotype"/>
          <w:i/>
          <w:iCs/>
          <w:color w:val="000000"/>
        </w:rPr>
      </w:pPr>
    </w:p>
    <w:p w:rsidR="00A206EC" w:rsidRPr="002D1639" w:rsidRDefault="00B4438D">
      <w:pPr>
        <w:pBdr>
          <w:top w:val="nil"/>
          <w:left w:val="nil"/>
          <w:bottom w:val="nil"/>
          <w:right w:val="nil"/>
          <w:between w:val="nil"/>
        </w:pBdr>
        <w:ind w:left="567" w:right="42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w:t>
      </w:r>
      <w:r w:rsidRPr="002D1639">
        <w:rPr>
          <w:rFonts w:ascii="Palatino Linotype" w:eastAsia="Palatino Linotype" w:hAnsi="Palatino Linotype" w:cs="Palatino Linotype"/>
          <w:i/>
          <w:iCs/>
        </w:rPr>
        <w:t xml:space="preserve">A quien corresponda: Con fundamento en el artículo 6º de la Constitución Política de los Estados Unidos Mexicanos y en la Ley de Transparencia y Acceso a la Información Pública del Estado de México y Municipios, me permito realizar la siguiente solicitud de información: He observado que frente a la antigua gasolinería del centro de Huehuetoca, sobre vía pública, se encuentra estacionado un tráiler de gran tamaño desde hace varios meses, sin que haya sido retirado, inmovilizado o sancionado, a pesar de representar una obstrucción permanente al libre tránsito de vehículos y peatones. Con base en el Reglamento Municipal de Movilidad, Restricción y Prohibición Vial de Huehuetoca, publicado en la Gaceta Municipal No. 02 del 31 de enero de 2025, solicito la siguiente información: 1. ¿Por qué razón dicho tráiler no ha sido removido, inmovilizado o sancionado, a pesar de lo dispuesto en los siguientes artículos del reglamento citado? • </w:t>
      </w:r>
      <w:r w:rsidRPr="002D1639">
        <w:rPr>
          <w:rFonts w:ascii="Palatino Linotype" w:eastAsia="Palatino Linotype" w:hAnsi="Palatino Linotype" w:cs="Palatino Linotype"/>
          <w:i/>
          <w:iCs/>
        </w:rPr>
        <w:lastRenderedPageBreak/>
        <w:t>Artículo 13, fracción V: Prohíbe ocupar la vía pública con vehículos abandonados o en grado de deterioro notable, los cuales deben ser retirados. • Artículo 13, fracción VII: Prohíbe que vehículos de transporte pesado se estacionen en vialidades principales del municipio. • Artículo 13, fracción XI: Establece que la obstrucción deliberada de vialidad será sancionada económicamente y con el retiro del vehículo utilizando grúa. • Artículo 13, fracción XVI: Establece que los vehículos que obstruyan tránsito en calles y avenidas podrán ser inmovilizados y retirados con grúa. • Artículo 15: Describe el procedimiento para el retiro de vehículos abandonados por parte de la Coordinación de Movilidad. 2. ¿Qué autoridad municipal tiene conocimiento de este caso, y por qué no se ha iniciado el procedimiento correspondiente conforme a los artículos 10, 13 y 15 del reglamento? 3. ¿Existen reportes, denuncias o solicitudes ciudadanas registradas respecto a este tráiler? En caso afirmativo, solicito copia o número de folio de dichas denuncias. 4. ¿Cuál es el criterio, fundamento o causa por la cual no se ha ordenado el retiro con grúa o la inmovilización del vehículo, a pesar de su evidente incumplimiento a la norma? Agradezco la atención a la presente, y solicito que la información sea entregada de forma digital y con documentos de soporte, en términos del principio de máxima publicidad.</w:t>
      </w:r>
      <w:r w:rsidRPr="002D1639">
        <w:rPr>
          <w:rFonts w:ascii="Palatino Linotype" w:eastAsia="Palatino Linotype" w:hAnsi="Palatino Linotype" w:cs="Palatino Linotype"/>
          <w:i/>
          <w:iCs/>
          <w:color w:val="000000"/>
        </w:rPr>
        <w:t>” (Sic)</w:t>
      </w:r>
    </w:p>
    <w:p w:rsidR="00A206EC" w:rsidRPr="002D1639" w:rsidRDefault="00A206EC">
      <w:pPr>
        <w:ind w:right="-992"/>
        <w:jc w:val="both"/>
        <w:rPr>
          <w:rFonts w:ascii="Palatino Linotype" w:eastAsia="Palatino Linotype" w:hAnsi="Palatino Linotype" w:cs="Palatino Linotype"/>
          <w:color w:val="000000"/>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 xml:space="preserve">Se hace constar que se señaló como modalidad de entrega de la información a través del </w:t>
      </w:r>
      <w:r w:rsidRPr="002D1639">
        <w:rPr>
          <w:rFonts w:ascii="Palatino Linotype" w:eastAsia="Palatino Linotype" w:hAnsi="Palatino Linotype" w:cs="Palatino Linotype"/>
          <w:b/>
          <w:bCs/>
          <w:color w:val="000000"/>
        </w:rPr>
        <w:t>SAIMEX.</w:t>
      </w:r>
    </w:p>
    <w:p w:rsidR="00A206EC" w:rsidRPr="002D1639" w:rsidRDefault="00A206EC">
      <w:pPr>
        <w:ind w:right="426"/>
        <w:jc w:val="both"/>
        <w:rPr>
          <w:rFonts w:ascii="Palatino Linotype" w:eastAsia="Palatino Linotype" w:hAnsi="Palatino Linotype" w:cs="Palatino Linotype"/>
        </w:rPr>
      </w:pPr>
    </w:p>
    <w:p w:rsidR="00A206EC" w:rsidRPr="002D1639" w:rsidRDefault="00A206EC">
      <w:pPr>
        <w:rPr>
          <w:rFonts w:ascii="Palatino Linotype" w:eastAsia="Palatino Linotype" w:hAnsi="Palatino Linotype" w:cs="Palatino Linotype"/>
          <w:color w:val="000000"/>
        </w:rPr>
      </w:pPr>
    </w:p>
    <w:p w:rsidR="00A206EC" w:rsidRPr="002D1639" w:rsidRDefault="00B443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color w:val="000000"/>
        </w:rPr>
        <w:t xml:space="preserve">El </w:t>
      </w:r>
      <w:r w:rsidRPr="002D1639">
        <w:rPr>
          <w:rFonts w:ascii="Palatino Linotype" w:eastAsia="Palatino Linotype" w:hAnsi="Palatino Linotype" w:cs="Palatino Linotype"/>
          <w:b/>
          <w:bCs/>
        </w:rPr>
        <w:t xml:space="preserve">treinta de mayo </w:t>
      </w:r>
      <w:r w:rsidRPr="002D1639">
        <w:rPr>
          <w:rFonts w:ascii="Palatino Linotype" w:eastAsia="Palatino Linotype" w:hAnsi="Palatino Linotype" w:cs="Palatino Linotype"/>
          <w:b/>
          <w:bCs/>
          <w:color w:val="000000"/>
        </w:rPr>
        <w:t>de dos mil veinticinco</w:t>
      </w:r>
      <w:r w:rsidRPr="002D1639">
        <w:rPr>
          <w:rFonts w:ascii="Palatino Linotype" w:eastAsia="Palatino Linotype" w:hAnsi="Palatino Linotype" w:cs="Palatino Linotype"/>
          <w:color w:val="000000"/>
        </w:rPr>
        <w:t xml:space="preserve">, el </w:t>
      </w:r>
      <w:r w:rsidRPr="002D1639">
        <w:rPr>
          <w:rFonts w:ascii="Palatino Linotype" w:eastAsia="Palatino Linotype" w:hAnsi="Palatino Linotype" w:cs="Palatino Linotype"/>
          <w:b/>
          <w:bCs/>
          <w:color w:val="000000"/>
        </w:rPr>
        <w:t>SUJETO OBLIGADO</w:t>
      </w:r>
      <w:r w:rsidRPr="002D1639">
        <w:rPr>
          <w:rFonts w:ascii="Palatino Linotype" w:eastAsia="Palatino Linotype" w:hAnsi="Palatino Linotype" w:cs="Palatino Linotype"/>
          <w:color w:val="000000"/>
        </w:rPr>
        <w:t xml:space="preserve"> emitió su respuesta a la solicitud en los siguientes términos:</w:t>
      </w:r>
    </w:p>
    <w:p w:rsidR="00A206EC" w:rsidRPr="002D1639" w:rsidRDefault="00B4438D">
      <w:pPr>
        <w:pBdr>
          <w:top w:val="nil"/>
          <w:left w:val="nil"/>
          <w:bottom w:val="nil"/>
          <w:right w:val="nil"/>
          <w:between w:val="nil"/>
        </w:pBdr>
        <w:ind w:left="567" w:right="42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w:t>
      </w:r>
      <w:r w:rsidRPr="002D1639">
        <w:rPr>
          <w:rFonts w:ascii="Palatino Linotype" w:eastAsia="Palatino Linotype" w:hAnsi="Palatino Linotype" w:cs="Palatino Linotype"/>
          <w:i/>
          <w:iCs/>
        </w:rPr>
        <w:t>C. SOLICITANTE POR ESTE MEDIO SE REMITE RESPUESTA A SU SOLICITUD, MISMA QUE SE ADJUNTA AL PRESENTE.</w:t>
      </w:r>
      <w:r w:rsidRPr="002D1639">
        <w:rPr>
          <w:rFonts w:ascii="Palatino Linotype" w:eastAsia="Palatino Linotype" w:hAnsi="Palatino Linotype" w:cs="Palatino Linotype"/>
          <w:i/>
          <w:iCs/>
          <w:color w:val="000000"/>
        </w:rPr>
        <w:t>” (Sic)</w:t>
      </w:r>
    </w:p>
    <w:p w:rsidR="00A206EC" w:rsidRPr="002D1639" w:rsidRDefault="00A206EC">
      <w:pPr>
        <w:pBdr>
          <w:top w:val="nil"/>
          <w:left w:val="nil"/>
          <w:bottom w:val="nil"/>
          <w:right w:val="nil"/>
          <w:between w:val="nil"/>
        </w:pBdr>
        <w:spacing w:line="360" w:lineRule="auto"/>
        <w:ind w:right="-708"/>
        <w:jc w:val="both"/>
        <w:rPr>
          <w:rFonts w:ascii="Palatino Linotype" w:eastAsia="Palatino Linotype" w:hAnsi="Palatino Linotype" w:cs="Palatino Linotype"/>
          <w:i/>
          <w:iCs/>
          <w:color w:val="000000"/>
        </w:rPr>
      </w:pPr>
    </w:p>
    <w:p w:rsidR="00A206EC" w:rsidRPr="002D1639" w:rsidRDefault="00B4438D">
      <w:pPr>
        <w:pBdr>
          <w:top w:val="nil"/>
          <w:left w:val="nil"/>
          <w:bottom w:val="nil"/>
          <w:right w:val="nil"/>
          <w:between w:val="nil"/>
        </w:pBdr>
        <w:spacing w:line="360" w:lineRule="auto"/>
        <w:ind w:right="-708"/>
        <w:jc w:val="both"/>
        <w:rPr>
          <w:rFonts w:ascii="Palatino Linotype" w:eastAsia="Palatino Linotype" w:hAnsi="Palatino Linotype" w:cs="Palatino Linotype"/>
          <w:b/>
          <w:bCs/>
          <w:color w:val="000000"/>
        </w:rPr>
      </w:pPr>
      <w:r w:rsidRPr="002D1639">
        <w:rPr>
          <w:rFonts w:ascii="Palatino Linotype" w:eastAsia="Palatino Linotype" w:hAnsi="Palatino Linotype" w:cs="Palatino Linotype"/>
          <w:b/>
          <w:bCs/>
          <w:color w:val="000000"/>
        </w:rPr>
        <w:t>Archivos electrónicos adjuntos:</w:t>
      </w:r>
    </w:p>
    <w:p w:rsidR="00A206EC" w:rsidRPr="002D1639" w:rsidRDefault="0058098F">
      <w:pPr>
        <w:pBdr>
          <w:top w:val="nil"/>
          <w:left w:val="nil"/>
          <w:bottom w:val="nil"/>
          <w:right w:val="nil"/>
          <w:between w:val="nil"/>
        </w:pBdr>
        <w:spacing w:line="360" w:lineRule="auto"/>
        <w:ind w:left="566" w:right="-708"/>
        <w:jc w:val="both"/>
        <w:rPr>
          <w:rFonts w:ascii="Palatino Linotype" w:eastAsia="Palatino Linotype" w:hAnsi="Palatino Linotype" w:cs="Palatino Linotype"/>
        </w:rPr>
      </w:pPr>
      <w:hyperlink r:id="rId8">
        <w:r w:rsidR="00B4438D" w:rsidRPr="002D1639">
          <w:rPr>
            <w:rFonts w:ascii="Palatino Linotype" w:eastAsia="Palatino Linotype" w:hAnsi="Palatino Linotype" w:cs="Palatino Linotype"/>
            <w:b/>
            <w:bCs/>
          </w:rPr>
          <w:t>0254HUEHUETOIP2025.pdf</w:t>
        </w:r>
      </w:hyperlink>
      <w:r w:rsidR="00B4438D" w:rsidRPr="002D1639">
        <w:rPr>
          <w:rFonts w:ascii="Palatino Linotype" w:eastAsia="Palatino Linotype" w:hAnsi="Palatino Linotype" w:cs="Palatino Linotype"/>
          <w:b/>
          <w:bCs/>
        </w:rPr>
        <w:t xml:space="preserve">: </w:t>
      </w:r>
      <w:r w:rsidR="00B4438D" w:rsidRPr="002D1639">
        <w:rPr>
          <w:rFonts w:ascii="Palatino Linotype" w:eastAsia="Palatino Linotype" w:hAnsi="Palatino Linotype" w:cs="Palatino Linotype"/>
        </w:rPr>
        <w:t>Oficio suscrito por el Coordinador de Movilidad, mediante el cual, emitió respuesta a cada punto requerido por el Solicitante.</w:t>
      </w:r>
    </w:p>
    <w:p w:rsidR="00A206EC" w:rsidRPr="002D1639" w:rsidRDefault="00A206EC">
      <w:pPr>
        <w:pBdr>
          <w:top w:val="nil"/>
          <w:left w:val="nil"/>
          <w:bottom w:val="nil"/>
          <w:right w:val="nil"/>
          <w:between w:val="nil"/>
        </w:pBdr>
        <w:spacing w:line="360" w:lineRule="auto"/>
        <w:ind w:left="566" w:right="-708"/>
        <w:jc w:val="both"/>
        <w:rPr>
          <w:rFonts w:ascii="Palatino Linotype" w:eastAsia="Palatino Linotype" w:hAnsi="Palatino Linotype" w:cs="Palatino Linotype"/>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color w:val="000000"/>
        </w:rPr>
        <w:lastRenderedPageBreak/>
        <w:t xml:space="preserve">El </w:t>
      </w:r>
      <w:r w:rsidRPr="002D1639">
        <w:rPr>
          <w:rFonts w:ascii="Palatino Linotype" w:eastAsia="Palatino Linotype" w:hAnsi="Palatino Linotype" w:cs="Palatino Linotype"/>
          <w:b/>
          <w:bCs/>
        </w:rPr>
        <w:t>once de junio</w:t>
      </w:r>
      <w:r w:rsidRPr="002D1639">
        <w:rPr>
          <w:rFonts w:ascii="Palatino Linotype" w:eastAsia="Palatino Linotype" w:hAnsi="Palatino Linotype" w:cs="Palatino Linotype"/>
          <w:b/>
          <w:bCs/>
          <w:color w:val="000000"/>
        </w:rPr>
        <w:t xml:space="preserve"> de dos mil veinticinco</w:t>
      </w:r>
      <w:r w:rsidRPr="002D1639">
        <w:rPr>
          <w:rFonts w:ascii="Palatino Linotype" w:eastAsia="Palatino Linotype" w:hAnsi="Palatino Linotype" w:cs="Palatino Linotype"/>
          <w:color w:val="000000"/>
        </w:rPr>
        <w:t xml:space="preserve">, la parte </w:t>
      </w:r>
      <w:r w:rsidRPr="002D1639">
        <w:rPr>
          <w:rFonts w:ascii="Palatino Linotype" w:eastAsia="Palatino Linotype" w:hAnsi="Palatino Linotype" w:cs="Palatino Linotype"/>
          <w:b/>
          <w:bCs/>
          <w:color w:val="000000"/>
        </w:rPr>
        <w:t>RECURRENTE</w:t>
      </w:r>
      <w:r w:rsidRPr="002D1639">
        <w:rPr>
          <w:rFonts w:ascii="Palatino Linotype" w:eastAsia="Palatino Linotype" w:hAnsi="Palatino Linotype" w:cs="Palatino Linotype"/>
          <w:color w:val="000000"/>
        </w:rPr>
        <w:t xml:space="preserve"> interpuso recurso de revisión, en los siguientes términos:</w:t>
      </w:r>
    </w:p>
    <w:p w:rsidR="00A206EC" w:rsidRPr="002D1639" w:rsidRDefault="00A206EC">
      <w:pPr>
        <w:pBdr>
          <w:top w:val="nil"/>
          <w:left w:val="nil"/>
          <w:bottom w:val="nil"/>
          <w:right w:val="nil"/>
          <w:between w:val="nil"/>
        </w:pBdr>
        <w:ind w:right="-425"/>
        <w:jc w:val="both"/>
        <w:rPr>
          <w:rFonts w:ascii="Palatino Linotype" w:eastAsia="Palatino Linotype" w:hAnsi="Palatino Linotype" w:cs="Palatino Linotype"/>
          <w:i/>
          <w:iCs/>
          <w:color w:val="000000"/>
        </w:rPr>
      </w:pPr>
    </w:p>
    <w:p w:rsidR="00A206EC" w:rsidRPr="002D1639" w:rsidRDefault="00B4438D" w:rsidP="002D1639">
      <w:pPr>
        <w:pStyle w:val="Prrafodelista"/>
        <w:numPr>
          <w:ilvl w:val="0"/>
          <w:numId w:val="7"/>
        </w:numPr>
        <w:ind w:right="426"/>
        <w:jc w:val="both"/>
        <w:rPr>
          <w:rFonts w:ascii="Palatino Linotype" w:eastAsia="Palatino Linotype" w:hAnsi="Palatino Linotype" w:cs="Palatino Linotype"/>
          <w:i/>
          <w:iCs/>
        </w:rPr>
      </w:pPr>
      <w:bookmarkStart w:id="3" w:name="_heading=h.a4yqcbbd8811" w:colFirst="0" w:colLast="0"/>
      <w:bookmarkEnd w:id="3"/>
      <w:r w:rsidRPr="002D1639">
        <w:rPr>
          <w:rFonts w:ascii="Palatino Linotype" w:eastAsia="Palatino Linotype" w:hAnsi="Palatino Linotype" w:cs="Palatino Linotype"/>
          <w:b/>
          <w:bCs/>
          <w:color w:val="000000"/>
        </w:rPr>
        <w:t>ACTO IMPUGNADO</w:t>
      </w:r>
      <w:r w:rsidRPr="002D1639">
        <w:rPr>
          <w:rFonts w:ascii="Palatino Linotype" w:eastAsia="Palatino Linotype" w:hAnsi="Palatino Linotype" w:cs="Palatino Linotype"/>
          <w:b/>
          <w:bCs/>
          <w:i/>
          <w:iCs/>
          <w:color w:val="000000"/>
        </w:rPr>
        <w:t xml:space="preserve">: </w:t>
      </w:r>
      <w:r w:rsidRPr="002D1639">
        <w:rPr>
          <w:rFonts w:ascii="Palatino Linotype" w:eastAsia="Palatino Linotype" w:hAnsi="Palatino Linotype" w:cs="Palatino Linotype"/>
          <w:i/>
          <w:iCs/>
          <w:color w:val="000000"/>
        </w:rPr>
        <w:t>“</w:t>
      </w:r>
      <w:r w:rsidRPr="002D1639">
        <w:rPr>
          <w:rFonts w:ascii="Palatino Linotype" w:eastAsia="Palatino Linotype" w:hAnsi="Palatino Linotype" w:cs="Palatino Linotype"/>
          <w:i/>
          <w:iCs/>
        </w:rPr>
        <w:t>La respuesta incompleta y evasiva de la Unidad de Transparencia y/o autoridad municipal que no proporciona información congruente, fundada ni motivada sobre las razones legales y técnicas que justifiquen la omisión de aplicar el Reglamento de Movilidad vigente, respecto a un vehículo estacionado de manera irregular.</w:t>
      </w:r>
      <w:r w:rsidRPr="002D1639">
        <w:rPr>
          <w:rFonts w:ascii="Palatino Linotype" w:eastAsia="Palatino Linotype" w:hAnsi="Palatino Linotype" w:cs="Palatino Linotype"/>
          <w:i/>
          <w:iCs/>
          <w:color w:val="000000"/>
        </w:rPr>
        <w:t>” (Sic)</w:t>
      </w:r>
    </w:p>
    <w:p w:rsidR="00A206EC" w:rsidRPr="002D1639" w:rsidRDefault="00A206EC" w:rsidP="002D1639">
      <w:pPr>
        <w:pBdr>
          <w:top w:val="nil"/>
          <w:left w:val="nil"/>
          <w:bottom w:val="nil"/>
          <w:right w:val="nil"/>
          <w:between w:val="nil"/>
        </w:pBdr>
        <w:spacing w:line="360" w:lineRule="auto"/>
        <w:ind w:right="426"/>
        <w:jc w:val="both"/>
        <w:rPr>
          <w:rFonts w:ascii="Palatino Linotype" w:eastAsia="Palatino Linotype" w:hAnsi="Palatino Linotype" w:cs="Palatino Linotype"/>
          <w:i/>
          <w:iCs/>
          <w:color w:val="000000"/>
        </w:rPr>
      </w:pPr>
    </w:p>
    <w:p w:rsidR="00A206EC" w:rsidRPr="002D1639" w:rsidRDefault="00B4438D" w:rsidP="002D1639">
      <w:pPr>
        <w:pStyle w:val="Prrafodelista"/>
        <w:numPr>
          <w:ilvl w:val="0"/>
          <w:numId w:val="7"/>
        </w:numPr>
        <w:pBdr>
          <w:top w:val="nil"/>
          <w:left w:val="nil"/>
          <w:bottom w:val="nil"/>
          <w:right w:val="nil"/>
          <w:between w:val="nil"/>
        </w:pBdr>
        <w:ind w:right="42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b/>
          <w:bCs/>
          <w:color w:val="000000"/>
        </w:rPr>
        <w:t>RAZONES O MOTIVOS DE LA INCONFORMIDAD:</w:t>
      </w:r>
      <w:r w:rsidRPr="002D1639">
        <w:rPr>
          <w:rFonts w:ascii="Palatino Linotype" w:eastAsia="Palatino Linotype" w:hAnsi="Palatino Linotype" w:cs="Palatino Linotype"/>
          <w:b/>
          <w:bCs/>
          <w:i/>
          <w:iCs/>
          <w:color w:val="000000"/>
        </w:rPr>
        <w:t xml:space="preserve"> </w:t>
      </w:r>
      <w:r w:rsidRPr="002D1639">
        <w:rPr>
          <w:rFonts w:ascii="Palatino Linotype" w:eastAsia="Palatino Linotype" w:hAnsi="Palatino Linotype" w:cs="Palatino Linotype"/>
          <w:i/>
          <w:iCs/>
          <w:color w:val="000000"/>
        </w:rPr>
        <w:t>“1</w:t>
      </w:r>
      <w:r w:rsidRPr="002D1639">
        <w:rPr>
          <w:rFonts w:ascii="Palatino Linotype" w:eastAsia="Palatino Linotype" w:hAnsi="Palatino Linotype" w:cs="Palatino Linotype"/>
          <w:i/>
          <w:iCs/>
        </w:rPr>
        <w:t>. Incongruencia jurídica: Citan el Bando Municipal en lugar del Reglamento de Movilidad específicamente invocado, lo cual representa un desvío del marco legal aplicable. 2. Falta de respuesta puntual y razonada: No explican claramente por qué no se ha iniciado el procedimiento de retiro o sanción, a pesar de la posible infracción a varios artículos (13 y 15) del Reglamento que tú citas. Alegan que no hay denuncia, sin verificar si el reporte que tú estás presentando en esta solicitud activa ya ese procedimiento. 3. Omisión de documentos: No anexan acta circunstanciada, dictamen, informe técnico, inspección, ni folio de revisión del caso, como exige el principio de máxima publicidad. Esto puede implicar negligencia o inacción de la autoridad competente. 4. Posible violación al derecho de acceso a la información pública: Al no entregar documentos que deban existir conforme a su marco legal, y con base en tus observaciones como ciudadano, se presume una omisión deliberada o falta de debida diligencia.</w:t>
      </w:r>
      <w:r w:rsidRPr="002D1639">
        <w:rPr>
          <w:rFonts w:ascii="Palatino Linotype" w:eastAsia="Palatino Linotype" w:hAnsi="Palatino Linotype" w:cs="Palatino Linotype"/>
          <w:i/>
          <w:iCs/>
          <w:color w:val="000000"/>
        </w:rPr>
        <w:t>” (Sic)</w:t>
      </w:r>
    </w:p>
    <w:p w:rsidR="00A206EC" w:rsidRPr="002D1639" w:rsidRDefault="00A206EC">
      <w:pPr>
        <w:pBdr>
          <w:top w:val="nil"/>
          <w:left w:val="nil"/>
          <w:bottom w:val="nil"/>
          <w:right w:val="nil"/>
          <w:between w:val="nil"/>
        </w:pBdr>
        <w:spacing w:line="360" w:lineRule="auto"/>
        <w:ind w:right="-141"/>
        <w:jc w:val="both"/>
        <w:rPr>
          <w:rFonts w:ascii="Palatino Linotype" w:eastAsia="Palatino Linotype" w:hAnsi="Palatino Linotype" w:cs="Palatino Linotype"/>
          <w:i/>
          <w:iCs/>
          <w:color w:val="000000"/>
        </w:rPr>
      </w:pPr>
    </w:p>
    <w:p w:rsidR="00A206EC" w:rsidRPr="002D1639" w:rsidRDefault="002D1639">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La Comisionada p</w:t>
      </w:r>
      <w:r w:rsidR="00B4438D" w:rsidRPr="002D1639">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B4438D" w:rsidRPr="002D1639">
        <w:rPr>
          <w:rFonts w:ascii="Palatino Linotype" w:eastAsia="Palatino Linotype" w:hAnsi="Palatino Linotype" w:cs="Palatino Linotype"/>
          <w:b/>
          <w:bCs/>
        </w:rPr>
        <w:t xml:space="preserve">trece de junio </w:t>
      </w:r>
      <w:r w:rsidR="00B4438D" w:rsidRPr="002D1639">
        <w:rPr>
          <w:rFonts w:ascii="Palatino Linotype" w:eastAsia="Palatino Linotype" w:hAnsi="Palatino Linotype" w:cs="Palatino Linotype"/>
          <w:b/>
          <w:bCs/>
          <w:color w:val="000000"/>
        </w:rPr>
        <w:t>de dos mil veinticinco</w:t>
      </w:r>
      <w:r w:rsidR="00B4438D" w:rsidRPr="002D1639">
        <w:rPr>
          <w:rFonts w:ascii="Palatino Linotype" w:eastAsia="Palatino Linotype" w:hAnsi="Palatino Linotype" w:cs="Palatino Linotype"/>
          <w:color w:val="000000"/>
        </w:rPr>
        <w:t xml:space="preserve">, puso a disposición de las partes el expediente electrónico vía </w:t>
      </w:r>
      <w:r w:rsidR="00B4438D" w:rsidRPr="002D1639">
        <w:rPr>
          <w:rFonts w:ascii="Palatino Linotype" w:eastAsia="Palatino Linotype" w:hAnsi="Palatino Linotype" w:cs="Palatino Linotype"/>
          <w:b/>
          <w:bCs/>
          <w:color w:val="000000"/>
        </w:rPr>
        <w:t xml:space="preserve">SAIMEX </w:t>
      </w:r>
      <w:r w:rsidR="00B4438D" w:rsidRPr="002D1639">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00B4438D" w:rsidRPr="002D1639">
        <w:rPr>
          <w:rFonts w:ascii="Palatino Linotype" w:eastAsia="Palatino Linotype" w:hAnsi="Palatino Linotype" w:cs="Palatino Linotype"/>
          <w:b/>
          <w:bCs/>
          <w:color w:val="000000"/>
        </w:rPr>
        <w:t>SUJETO OBLIGADO</w:t>
      </w:r>
      <w:r w:rsidR="00B4438D" w:rsidRPr="002D1639">
        <w:rPr>
          <w:rFonts w:ascii="Palatino Linotype" w:eastAsia="Palatino Linotype" w:hAnsi="Palatino Linotype" w:cs="Palatino Linotype"/>
          <w:color w:val="000000"/>
        </w:rPr>
        <w:t xml:space="preserve"> presentará el Informe Justificado procedente.</w:t>
      </w:r>
    </w:p>
    <w:p w:rsidR="00A206EC" w:rsidRPr="002D1639" w:rsidRDefault="00A206EC">
      <w:pPr>
        <w:pBdr>
          <w:top w:val="nil"/>
          <w:left w:val="nil"/>
          <w:bottom w:val="nil"/>
          <w:right w:val="nil"/>
          <w:between w:val="nil"/>
        </w:pBdr>
        <w:spacing w:line="360" w:lineRule="auto"/>
        <w:ind w:right="-141"/>
        <w:jc w:val="both"/>
        <w:rPr>
          <w:rFonts w:ascii="Palatino Linotype" w:eastAsia="Palatino Linotype" w:hAnsi="Palatino Linotype" w:cs="Palatino Linotype"/>
          <w:i/>
          <w:iCs/>
          <w:color w:val="000000"/>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rPr>
      </w:pPr>
      <w:r w:rsidRPr="002D1639">
        <w:rPr>
          <w:rFonts w:ascii="Palatino Linotype" w:eastAsia="Palatino Linotype" w:hAnsi="Palatino Linotype" w:cs="Palatino Linotype"/>
        </w:rPr>
        <w:lastRenderedPageBreak/>
        <w:t xml:space="preserve">El </w:t>
      </w:r>
      <w:r w:rsidRPr="002D1639">
        <w:rPr>
          <w:rFonts w:ascii="Palatino Linotype" w:eastAsia="Palatino Linotype" w:hAnsi="Palatino Linotype" w:cs="Palatino Linotype"/>
          <w:b/>
          <w:bCs/>
        </w:rPr>
        <w:t>veintitrés de junio de dos mil veinticinco</w:t>
      </w:r>
      <w:r w:rsidRPr="002D1639">
        <w:rPr>
          <w:rFonts w:ascii="Palatino Linotype" w:eastAsia="Palatino Linotype" w:hAnsi="Palatino Linotype" w:cs="Palatino Linotype"/>
        </w:rPr>
        <w:t xml:space="preserve">,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ratificó su respuesta, por medio del archivo electrónico denominado </w:t>
      </w:r>
      <w:r w:rsidRPr="002D1639">
        <w:rPr>
          <w:rFonts w:ascii="Palatino Linotype" w:eastAsia="Palatino Linotype" w:hAnsi="Palatino Linotype" w:cs="Palatino Linotype"/>
          <w:b/>
          <w:bCs/>
        </w:rPr>
        <w:t>RECURSO DE REVISIÓN 06828</w:t>
      </w:r>
      <w:hyperlink r:id="rId9">
        <w:r w:rsidRPr="002D1639">
          <w:rPr>
            <w:rFonts w:ascii="Palatino Linotype" w:eastAsia="Palatino Linotype" w:hAnsi="Palatino Linotype" w:cs="Palatino Linotype"/>
            <w:b/>
            <w:bCs/>
            <w:color w:val="000000"/>
          </w:rPr>
          <w:t>.pdf</w:t>
        </w:r>
      </w:hyperlink>
      <w:r w:rsidRPr="002D1639">
        <w:rPr>
          <w:rFonts w:ascii="Palatino Linotype" w:eastAsia="Palatino Linotype" w:hAnsi="Palatino Linotype" w:cs="Palatino Linotype"/>
        </w:rPr>
        <w:t>; y, el t</w:t>
      </w:r>
      <w:r w:rsidRPr="002D1639">
        <w:rPr>
          <w:rFonts w:ascii="Palatino Linotype" w:eastAsia="Palatino Linotype" w:hAnsi="Palatino Linotype" w:cs="Palatino Linotype"/>
          <w:b/>
          <w:bCs/>
        </w:rPr>
        <w:t>rece de agosto de dos mil veinticinco</w:t>
      </w:r>
      <w:r w:rsidRPr="002D1639">
        <w:rPr>
          <w:rFonts w:ascii="Palatino Linotype" w:eastAsia="Palatino Linotype" w:hAnsi="Palatino Linotype" w:cs="Palatino Linotype"/>
        </w:rPr>
        <w:t xml:space="preserve">, adjuntó el archivo electrónico denominado </w:t>
      </w:r>
      <w:r w:rsidRPr="002D1639">
        <w:rPr>
          <w:rFonts w:ascii="Palatino Linotype" w:eastAsia="Palatino Linotype" w:hAnsi="Palatino Linotype" w:cs="Palatino Linotype"/>
          <w:b/>
          <w:bCs/>
        </w:rPr>
        <w:t>06828 INFOEM2025.pdf,</w:t>
      </w:r>
      <w:r w:rsidRPr="002D1639">
        <w:rPr>
          <w:rFonts w:ascii="Palatino Linotype" w:eastAsia="Palatino Linotype" w:hAnsi="Palatino Linotype" w:cs="Palatino Linotype"/>
        </w:rPr>
        <w:t xml:space="preserve"> consistente en un oficio suscrito por el Coordinador de Movilidad, mediante el cual, informó que se dará inicio al procedimiento de remoción del vehículo identificado con las siguientes características: Góndola color rojo. Ubicación actual: Sobre Av. </w:t>
      </w:r>
      <w:r w:rsidR="00AD7A7A" w:rsidRPr="002D1639">
        <w:rPr>
          <w:rFonts w:ascii="Palatino Linotype" w:eastAsia="Palatino Linotype" w:hAnsi="Palatino Linotype" w:cs="Palatino Linotype"/>
        </w:rPr>
        <w:t>Juárez</w:t>
      </w:r>
      <w:r w:rsidRPr="002D1639">
        <w:rPr>
          <w:rFonts w:ascii="Palatino Linotype" w:eastAsia="Palatino Linotype" w:hAnsi="Palatino Linotype" w:cs="Palatino Linotype"/>
        </w:rPr>
        <w:t xml:space="preserve"> frente a la gasolinera vieja. Asimismo, señaló que cualquier información adicional que se requiera sobre el estatus del procedimiento puede acudir a la Coordinación de Movilidad del Ayuntamiento de Huehuetoca.</w:t>
      </w:r>
    </w:p>
    <w:p w:rsidR="00A206EC" w:rsidRPr="002D1639" w:rsidRDefault="00A206EC">
      <w:pPr>
        <w:pBdr>
          <w:top w:val="nil"/>
          <w:left w:val="nil"/>
          <w:bottom w:val="nil"/>
          <w:right w:val="nil"/>
          <w:between w:val="nil"/>
        </w:pBdr>
        <w:spacing w:line="360" w:lineRule="auto"/>
        <w:ind w:left="502" w:right="-141"/>
        <w:jc w:val="both"/>
        <w:rPr>
          <w:rFonts w:ascii="Palatino Linotype" w:eastAsia="Palatino Linotype" w:hAnsi="Palatino Linotype" w:cs="Palatino Linotype"/>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rPr>
      </w:pPr>
      <w:r w:rsidRPr="002D1639">
        <w:rPr>
          <w:rFonts w:ascii="Palatino Linotype" w:eastAsia="Palatino Linotype" w:hAnsi="Palatino Linotype" w:cs="Palatino Linotype"/>
        </w:rPr>
        <w:t xml:space="preserve">Por su parte, el </w:t>
      </w:r>
      <w:r w:rsidRPr="002D1639">
        <w:rPr>
          <w:rFonts w:ascii="Palatino Linotype" w:eastAsia="Palatino Linotype" w:hAnsi="Palatino Linotype" w:cs="Palatino Linotype"/>
          <w:b/>
          <w:bCs/>
        </w:rPr>
        <w:t>tres de octubre de dos mil veinticinco</w:t>
      </w:r>
      <w:r w:rsidRPr="002D1639">
        <w:rPr>
          <w:rFonts w:ascii="Palatino Linotype" w:eastAsia="Palatino Linotype" w:hAnsi="Palatino Linotype" w:cs="Palatino Linotype"/>
        </w:rPr>
        <w:t xml:space="preserve">, la parte </w:t>
      </w:r>
      <w:r w:rsidRPr="002D1639">
        <w:rPr>
          <w:rFonts w:ascii="Palatino Linotype" w:eastAsia="Palatino Linotype" w:hAnsi="Palatino Linotype" w:cs="Palatino Linotype"/>
          <w:b/>
          <w:bCs/>
        </w:rPr>
        <w:t>RECURRENTE</w:t>
      </w:r>
      <w:r w:rsidRPr="002D1639">
        <w:rPr>
          <w:rFonts w:ascii="Palatino Linotype" w:eastAsia="Palatino Linotype" w:hAnsi="Palatino Linotype" w:cs="Palatino Linotype"/>
        </w:rPr>
        <w:t xml:space="preserve"> adjuntó el archivo electrónico denominado </w:t>
      </w:r>
      <w:r w:rsidRPr="002D1639">
        <w:rPr>
          <w:rFonts w:ascii="Palatino Linotype" w:eastAsia="Palatino Linotype" w:hAnsi="Palatino Linotype" w:cs="Palatino Linotype"/>
          <w:b/>
          <w:bCs/>
        </w:rPr>
        <w:t>REC. 06828.pdf</w:t>
      </w:r>
      <w:r w:rsidRPr="002D1639">
        <w:rPr>
          <w:rFonts w:ascii="Palatino Linotype" w:eastAsia="Palatino Linotype" w:hAnsi="Palatino Linotype" w:cs="Palatino Linotype"/>
        </w:rPr>
        <w:t xml:space="preserve">, consistente en un oficio suscrito por el Coordinador de Movilidad, dirigido a la parte RECURRENTE, mediante el cual, le informó que la Coordinación a su cargo realizará una inspección para verificar si efectivamente el </w:t>
      </w:r>
      <w:r w:rsidR="00C56A4E" w:rsidRPr="002D1639">
        <w:rPr>
          <w:rFonts w:ascii="Palatino Linotype" w:eastAsia="Palatino Linotype" w:hAnsi="Palatino Linotype" w:cs="Palatino Linotype"/>
        </w:rPr>
        <w:t>tráiler</w:t>
      </w:r>
      <w:r w:rsidRPr="002D1639">
        <w:rPr>
          <w:rFonts w:ascii="Palatino Linotype" w:eastAsia="Palatino Linotype" w:hAnsi="Palatino Linotype" w:cs="Palatino Linotype"/>
        </w:rPr>
        <w:t xml:space="preserve"> está en una situación que contravenga lo dispuesto en el Reglamento Municipal de Movilidad, Restricción y Prohibición Vial o en el Bando Municipal.</w:t>
      </w:r>
    </w:p>
    <w:p w:rsidR="00A206EC" w:rsidRPr="002D1639" w:rsidRDefault="00A206EC">
      <w:pPr>
        <w:pBdr>
          <w:top w:val="nil"/>
          <w:left w:val="nil"/>
          <w:bottom w:val="nil"/>
          <w:right w:val="nil"/>
          <w:between w:val="nil"/>
        </w:pBdr>
        <w:spacing w:line="360" w:lineRule="auto"/>
        <w:ind w:left="502" w:right="-141"/>
        <w:jc w:val="both"/>
        <w:rPr>
          <w:rFonts w:ascii="Palatino Linotype" w:eastAsia="Palatino Linotype" w:hAnsi="Palatino Linotype" w:cs="Palatino Linotype"/>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b/>
          <w:bCs/>
          <w:color w:val="000000"/>
        </w:rPr>
      </w:pPr>
      <w:r w:rsidRPr="002D1639">
        <w:rPr>
          <w:rFonts w:ascii="Palatino Linotype" w:eastAsia="Palatino Linotype" w:hAnsi="Palatino Linotype" w:cs="Palatino Linotype"/>
          <w:color w:val="000000"/>
        </w:rPr>
        <w:t xml:space="preserve">El </w:t>
      </w:r>
      <w:r w:rsidRPr="002D1639">
        <w:rPr>
          <w:rFonts w:ascii="Palatino Linotype" w:eastAsia="Palatino Linotype" w:hAnsi="Palatino Linotype" w:cs="Palatino Linotype"/>
          <w:b/>
          <w:bCs/>
        </w:rPr>
        <w:t>veintiocho de enero</w:t>
      </w:r>
      <w:r w:rsidRPr="002D1639">
        <w:rPr>
          <w:rFonts w:ascii="Palatino Linotype" w:eastAsia="Palatino Linotype" w:hAnsi="Palatino Linotype" w:cs="Palatino Linotype"/>
          <w:b/>
          <w:bCs/>
          <w:color w:val="000000"/>
        </w:rPr>
        <w:t xml:space="preserve"> de dos mil veinti</w:t>
      </w:r>
      <w:r w:rsidRPr="002D1639">
        <w:rPr>
          <w:rFonts w:ascii="Palatino Linotype" w:eastAsia="Palatino Linotype" w:hAnsi="Palatino Linotype" w:cs="Palatino Linotype"/>
          <w:b/>
          <w:bCs/>
        </w:rPr>
        <w:t>séis</w:t>
      </w:r>
      <w:r w:rsidRPr="002D1639">
        <w:rPr>
          <w:rFonts w:ascii="Palatino Linotype" w:eastAsia="Palatino Linotype" w:hAnsi="Palatino Linotype" w:cs="Palatino Linotype"/>
          <w:b/>
          <w:bCs/>
          <w:color w:val="000000"/>
        </w:rPr>
        <w:t xml:space="preserve">, </w:t>
      </w:r>
      <w:r w:rsidRPr="002D1639">
        <w:rPr>
          <w:rFonts w:ascii="Palatino Linotype" w:eastAsia="Palatino Linotype" w:hAnsi="Palatino Linotype" w:cs="Palatino Linotype"/>
          <w:color w:val="000000"/>
        </w:rPr>
        <w:t>se decretó el cierre de instrucción, por lo que no habiendo más que hacer constar y --------------------------------------------------------------</w:t>
      </w:r>
    </w:p>
    <w:p w:rsidR="002D1639" w:rsidRDefault="002D1639" w:rsidP="002D1639">
      <w:pPr>
        <w:pStyle w:val="Prrafodelista"/>
        <w:rPr>
          <w:rFonts w:ascii="Palatino Linotype" w:eastAsia="Palatino Linotype" w:hAnsi="Palatino Linotype" w:cs="Palatino Linotype"/>
          <w:b/>
          <w:bCs/>
          <w:color w:val="000000"/>
        </w:rPr>
      </w:pPr>
    </w:p>
    <w:p w:rsidR="002D1639" w:rsidRPr="002D1639" w:rsidRDefault="002D1639" w:rsidP="002D1639">
      <w:pPr>
        <w:pBdr>
          <w:top w:val="nil"/>
          <w:left w:val="nil"/>
          <w:bottom w:val="nil"/>
          <w:right w:val="nil"/>
          <w:between w:val="nil"/>
        </w:pBdr>
        <w:spacing w:line="360" w:lineRule="auto"/>
        <w:ind w:right="-141"/>
        <w:jc w:val="both"/>
        <w:rPr>
          <w:rFonts w:ascii="Palatino Linotype" w:eastAsia="Palatino Linotype" w:hAnsi="Palatino Linotype" w:cs="Palatino Linotype"/>
          <w:b/>
          <w:bCs/>
          <w:color w:val="000000"/>
        </w:rPr>
      </w:pPr>
    </w:p>
    <w:p w:rsidR="00A206EC" w:rsidRPr="002D1639" w:rsidRDefault="00A206EC">
      <w:pPr>
        <w:pBdr>
          <w:top w:val="nil"/>
          <w:left w:val="nil"/>
          <w:bottom w:val="nil"/>
          <w:right w:val="nil"/>
          <w:between w:val="nil"/>
        </w:pBdr>
        <w:ind w:right="-992"/>
        <w:jc w:val="both"/>
        <w:rPr>
          <w:rFonts w:ascii="Palatino Linotype" w:eastAsia="Palatino Linotype" w:hAnsi="Palatino Linotype" w:cs="Palatino Linotype"/>
          <w:b/>
          <w:bCs/>
          <w:color w:val="000000"/>
        </w:rPr>
      </w:pPr>
    </w:p>
    <w:p w:rsidR="00A206EC" w:rsidRPr="002D1639" w:rsidRDefault="00B4438D">
      <w:pPr>
        <w:pStyle w:val="Ttulo1"/>
        <w:spacing w:before="0" w:line="360" w:lineRule="auto"/>
        <w:ind w:right="-992"/>
        <w:jc w:val="center"/>
        <w:rPr>
          <w:rFonts w:ascii="Palatino Linotype" w:eastAsia="Palatino Linotype" w:hAnsi="Palatino Linotype" w:cs="Palatino Linotype"/>
          <w:b/>
          <w:bCs/>
          <w:color w:val="000000"/>
          <w:sz w:val="24"/>
          <w:szCs w:val="24"/>
        </w:rPr>
      </w:pPr>
      <w:bookmarkStart w:id="4" w:name="_heading=h.tcdf2ax2f2z" w:colFirst="0" w:colLast="0"/>
      <w:bookmarkEnd w:id="4"/>
      <w:r w:rsidRPr="002D1639">
        <w:rPr>
          <w:rFonts w:ascii="Palatino Linotype" w:eastAsia="Palatino Linotype" w:hAnsi="Palatino Linotype" w:cs="Palatino Linotype"/>
          <w:b/>
          <w:bCs/>
          <w:color w:val="000000"/>
          <w:sz w:val="24"/>
          <w:szCs w:val="24"/>
        </w:rPr>
        <w:lastRenderedPageBreak/>
        <w:t>C</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O</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N</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S</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I</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D</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E</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R</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A</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N</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D</w:t>
      </w:r>
      <w:r w:rsidR="002D1639">
        <w:rPr>
          <w:rFonts w:ascii="Palatino Linotype" w:eastAsia="Palatino Linotype" w:hAnsi="Palatino Linotype" w:cs="Palatino Linotype"/>
          <w:b/>
          <w:bCs/>
          <w:color w:val="000000"/>
          <w:sz w:val="24"/>
          <w:szCs w:val="24"/>
        </w:rPr>
        <w:t xml:space="preserve"> </w:t>
      </w:r>
      <w:r w:rsidRPr="002D1639">
        <w:rPr>
          <w:rFonts w:ascii="Palatino Linotype" w:eastAsia="Palatino Linotype" w:hAnsi="Palatino Linotype" w:cs="Palatino Linotype"/>
          <w:b/>
          <w:bCs/>
          <w:color w:val="000000"/>
          <w:sz w:val="24"/>
          <w:szCs w:val="24"/>
        </w:rPr>
        <w:t>O</w:t>
      </w:r>
      <w:r w:rsidR="002D1639">
        <w:rPr>
          <w:rFonts w:ascii="Palatino Linotype" w:eastAsia="Palatino Linotype" w:hAnsi="Palatino Linotype" w:cs="Palatino Linotype"/>
          <w:b/>
          <w:bCs/>
          <w:color w:val="000000"/>
          <w:sz w:val="24"/>
          <w:szCs w:val="24"/>
        </w:rPr>
        <w:t xml:space="preserve"> </w:t>
      </w:r>
    </w:p>
    <w:p w:rsidR="00A206EC" w:rsidRPr="002D1639" w:rsidRDefault="00A206EC">
      <w:pPr>
        <w:pStyle w:val="Ttulo2"/>
        <w:spacing w:before="0"/>
        <w:ind w:right="-992"/>
        <w:rPr>
          <w:rFonts w:ascii="Palatino Linotype" w:eastAsia="Palatino Linotype" w:hAnsi="Palatino Linotype" w:cs="Palatino Linotype"/>
          <w:b/>
          <w:bCs/>
          <w:color w:val="000000"/>
          <w:sz w:val="24"/>
          <w:szCs w:val="24"/>
        </w:rPr>
      </w:pPr>
      <w:bookmarkStart w:id="5" w:name="_heading=h.eukquq32djgq" w:colFirst="0" w:colLast="0"/>
      <w:bookmarkEnd w:id="5"/>
    </w:p>
    <w:p w:rsidR="00A206EC" w:rsidRPr="002D1639" w:rsidRDefault="00B4438D">
      <w:pPr>
        <w:pStyle w:val="Ttulo2"/>
        <w:spacing w:before="0" w:line="360" w:lineRule="auto"/>
        <w:ind w:right="-708"/>
        <w:rPr>
          <w:rFonts w:ascii="Palatino Linotype" w:eastAsia="Palatino Linotype" w:hAnsi="Palatino Linotype" w:cs="Palatino Linotype"/>
          <w:b/>
          <w:bCs/>
          <w:color w:val="000000"/>
          <w:sz w:val="24"/>
          <w:szCs w:val="24"/>
        </w:rPr>
      </w:pPr>
      <w:r w:rsidRPr="002D1639">
        <w:rPr>
          <w:rFonts w:ascii="Palatino Linotype" w:eastAsia="Palatino Linotype" w:hAnsi="Palatino Linotype" w:cs="Palatino Linotype"/>
          <w:b/>
          <w:bCs/>
          <w:color w:val="000000"/>
          <w:sz w:val="24"/>
          <w:szCs w:val="24"/>
        </w:rPr>
        <w:t>PRIMERO. De la competencia</w:t>
      </w: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A206EC" w:rsidRPr="002D1639" w:rsidRDefault="00A206EC">
      <w:pPr>
        <w:ind w:right="-141"/>
        <w:jc w:val="both"/>
        <w:rPr>
          <w:rFonts w:ascii="Palatino Linotype" w:eastAsia="Palatino Linotype" w:hAnsi="Palatino Linotype" w:cs="Palatino Linotype"/>
          <w:color w:val="000000"/>
        </w:rPr>
      </w:pPr>
    </w:p>
    <w:p w:rsidR="00A206EC" w:rsidRPr="002D1639" w:rsidRDefault="00B4438D">
      <w:pPr>
        <w:spacing w:line="360" w:lineRule="auto"/>
        <w:ind w:right="-141"/>
        <w:jc w:val="both"/>
        <w:rPr>
          <w:rFonts w:ascii="Palatino Linotype" w:eastAsia="Palatino Linotype" w:hAnsi="Palatino Linotype" w:cs="Palatino Linotype"/>
          <w:b/>
          <w:bCs/>
        </w:rPr>
      </w:pPr>
      <w:bookmarkStart w:id="6" w:name="_heading=h.dyf81up906hi" w:colFirst="0" w:colLast="0"/>
      <w:bookmarkEnd w:id="6"/>
      <w:r w:rsidRPr="002D1639">
        <w:rPr>
          <w:rFonts w:ascii="Palatino Linotype" w:eastAsia="Palatino Linotype" w:hAnsi="Palatino Linotype" w:cs="Palatino Linotype"/>
          <w:color w:val="000000"/>
        </w:rPr>
        <w:t xml:space="preserve"> </w:t>
      </w:r>
      <w:r w:rsidRPr="002D1639">
        <w:rPr>
          <w:rFonts w:ascii="Palatino Linotype" w:eastAsia="Palatino Linotype" w:hAnsi="Palatino Linotype" w:cs="Palatino Linotype"/>
          <w:b/>
          <w:bCs/>
        </w:rPr>
        <w:t>SEGUNDO. De la oportunidad y procedencia.</w:t>
      </w: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rPr>
      </w:pPr>
      <w:r w:rsidRPr="002D1639">
        <w:rPr>
          <w:rFonts w:ascii="Palatino Linotype" w:eastAsia="Palatino Linotype" w:hAnsi="Palatino Linotype" w:cs="Palatino Linotype"/>
        </w:rPr>
        <w:t xml:space="preserve">El medio de impugnación fue presentado a través del </w:t>
      </w:r>
      <w:r w:rsidRPr="002D1639">
        <w:rPr>
          <w:rFonts w:ascii="Palatino Linotype" w:eastAsia="Palatino Linotype" w:hAnsi="Palatino Linotype" w:cs="Palatino Linotype"/>
          <w:b/>
          <w:bCs/>
        </w:rPr>
        <w:t>SAIMEX,</w:t>
      </w:r>
      <w:r w:rsidRPr="002D1639">
        <w:rPr>
          <w:rFonts w:ascii="Palatino Linotype" w:eastAsia="Palatino Linotype" w:hAnsi="Palatino Linotype" w:cs="Palatino Linotype"/>
        </w:rPr>
        <w:t xml:space="preserve"> en el formato </w:t>
      </w:r>
      <w:r w:rsidRPr="002D1639">
        <w:rPr>
          <w:rFonts w:ascii="Palatino Linotype" w:eastAsia="Palatino Linotype" w:hAnsi="Palatino Linotype" w:cs="Palatino Linotype"/>
          <w:color w:val="000000"/>
        </w:rPr>
        <w:t>previamente</w:t>
      </w:r>
      <w:r w:rsidRPr="002D1639">
        <w:rPr>
          <w:rFonts w:ascii="Palatino Linotype" w:eastAsia="Palatino Linotype" w:hAnsi="Palatino Linotype" w:cs="Palatino Linotype"/>
        </w:rPr>
        <w:t xml:space="preserve"> aprobado para tal efecto y dentro del plazo legal de quince días hábiles otorgados; para el caso en particular es de señalar que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entregó respuesta el </w:t>
      </w:r>
      <w:r w:rsidRPr="002D1639">
        <w:rPr>
          <w:rFonts w:ascii="Palatino Linotype" w:eastAsia="Palatino Linotype" w:hAnsi="Palatino Linotype" w:cs="Palatino Linotype"/>
          <w:b/>
          <w:bCs/>
        </w:rPr>
        <w:t>treinta de mayo de dos mil veinticinco</w:t>
      </w:r>
      <w:r w:rsidRPr="002D1639">
        <w:rPr>
          <w:rFonts w:ascii="Palatino Linotype" w:eastAsia="Palatino Linotype" w:hAnsi="Palatino Linotype" w:cs="Palatino Linotype"/>
        </w:rPr>
        <w:t xml:space="preserve">, de tal forma que el plazo para interponer el recurso transcurrió del </w:t>
      </w:r>
      <w:r w:rsidRPr="002D1639">
        <w:rPr>
          <w:rFonts w:ascii="Palatino Linotype" w:eastAsia="Palatino Linotype" w:hAnsi="Palatino Linotype" w:cs="Palatino Linotype"/>
          <w:b/>
          <w:bCs/>
        </w:rPr>
        <w:t xml:space="preserve">dos al veinte de junio de dos mil veinticinco, </w:t>
      </w:r>
      <w:r w:rsidRPr="002D1639">
        <w:rPr>
          <w:rFonts w:ascii="Palatino Linotype" w:eastAsia="Palatino Linotype" w:hAnsi="Palatino Linotype" w:cs="Palatino Linotype"/>
        </w:rPr>
        <w:t xml:space="preserve">en consecuencia, si el </w:t>
      </w:r>
      <w:r w:rsidRPr="002D1639">
        <w:rPr>
          <w:rFonts w:ascii="Palatino Linotype" w:eastAsia="Palatino Linotype" w:hAnsi="Palatino Linotype" w:cs="Palatino Linotype"/>
          <w:b/>
          <w:bCs/>
        </w:rPr>
        <w:t>PARTICULAR</w:t>
      </w:r>
      <w:r w:rsidRPr="002D1639">
        <w:rPr>
          <w:rFonts w:ascii="Palatino Linotype" w:eastAsia="Palatino Linotype" w:hAnsi="Palatino Linotype" w:cs="Palatino Linotype"/>
        </w:rPr>
        <w:t xml:space="preserve"> presentó su inconformidad el </w:t>
      </w:r>
      <w:r w:rsidRPr="002D1639">
        <w:rPr>
          <w:rFonts w:ascii="Palatino Linotype" w:eastAsia="Palatino Linotype" w:hAnsi="Palatino Linotype" w:cs="Palatino Linotype"/>
          <w:b/>
          <w:bCs/>
        </w:rPr>
        <w:t>once de junio de dos mil veinticinco</w:t>
      </w:r>
      <w:r w:rsidRPr="002D1639">
        <w:rPr>
          <w:rFonts w:ascii="Palatino Linotype" w:eastAsia="Palatino Linotype" w:hAnsi="Palatino Linotype" w:cs="Palatino Linotype"/>
        </w:rPr>
        <w:t xml:space="preserve">, este se encuentra dentro de los márgenes temporales previstos en el artículo </w:t>
      </w:r>
      <w:r w:rsidRPr="002D1639">
        <w:rPr>
          <w:rFonts w:ascii="Palatino Linotype" w:eastAsia="Palatino Linotype" w:hAnsi="Palatino Linotype" w:cs="Palatino Linotype"/>
        </w:rPr>
        <w:lastRenderedPageBreak/>
        <w:t xml:space="preserve">178 de la </w:t>
      </w:r>
      <w:r w:rsidRPr="002D1639">
        <w:rPr>
          <w:rFonts w:ascii="Palatino Linotype" w:eastAsia="Palatino Linotype" w:hAnsi="Palatino Linotype" w:cs="Palatino Linotype"/>
          <w:b/>
          <w:bCs/>
        </w:rPr>
        <w:t xml:space="preserve">Ley de Transparencia y Acceso a la Información Pública del Estado de México y Municipios </w:t>
      </w:r>
      <w:r w:rsidRPr="002D1639">
        <w:rPr>
          <w:rFonts w:ascii="Palatino Linotype" w:eastAsia="Palatino Linotype" w:hAnsi="Palatino Linotype" w:cs="Palatino Linotype"/>
        </w:rPr>
        <w:t xml:space="preserve">vigente. </w:t>
      </w:r>
    </w:p>
    <w:p w:rsidR="00A206EC" w:rsidRPr="002D1639" w:rsidRDefault="00A206EC">
      <w:pPr>
        <w:ind w:right="-141"/>
        <w:rPr>
          <w:rFonts w:ascii="Palatino Linotype" w:eastAsia="Palatino Linotype" w:hAnsi="Palatino Linotype" w:cs="Palatino Linotype"/>
        </w:rPr>
      </w:pPr>
    </w:p>
    <w:p w:rsidR="00A206EC" w:rsidRPr="002D1639" w:rsidRDefault="00B4438D">
      <w:pPr>
        <w:spacing w:line="360" w:lineRule="auto"/>
        <w:ind w:right="-592"/>
        <w:jc w:val="both"/>
        <w:rPr>
          <w:rFonts w:ascii="Palatino Linotype" w:eastAsia="Palatino Linotype" w:hAnsi="Palatino Linotype" w:cs="Palatino Linotype"/>
          <w:b/>
          <w:bCs/>
        </w:rPr>
      </w:pPr>
      <w:bookmarkStart w:id="7" w:name="_heading=h.460b73ogeowf" w:colFirst="0" w:colLast="0"/>
      <w:bookmarkEnd w:id="7"/>
      <w:r w:rsidRPr="002D1639">
        <w:rPr>
          <w:rFonts w:ascii="Palatino Linotype" w:eastAsia="Palatino Linotype" w:hAnsi="Palatino Linotype" w:cs="Palatino Linotype"/>
          <w:b/>
          <w:bCs/>
          <w:color w:val="000000"/>
        </w:rPr>
        <w:t xml:space="preserve">TERCERO. </w:t>
      </w:r>
      <w:r w:rsidRPr="002D1639">
        <w:rPr>
          <w:rFonts w:ascii="Palatino Linotype" w:eastAsia="Palatino Linotype" w:hAnsi="Palatino Linotype" w:cs="Palatino Linotype"/>
          <w:b/>
          <w:bCs/>
        </w:rPr>
        <w:t>De las causales de sobreseimiento.</w:t>
      </w:r>
    </w:p>
    <w:p w:rsidR="00A206EC" w:rsidRPr="002D1639" w:rsidRDefault="00B4438D" w:rsidP="00AD7A7A">
      <w:pPr>
        <w:numPr>
          <w:ilvl w:val="0"/>
          <w:numId w:val="1"/>
        </w:numPr>
        <w:spacing w:line="360" w:lineRule="auto"/>
        <w:ind w:left="0" w:right="49" w:firstLine="0"/>
        <w:jc w:val="both"/>
      </w:pPr>
      <w:bookmarkStart w:id="8" w:name="_heading=h.wejk1e9zt3ln" w:colFirst="0" w:colLast="0"/>
      <w:bookmarkEnd w:id="8"/>
      <w:r w:rsidRPr="002D1639">
        <w:rPr>
          <w:rFonts w:ascii="Palatino Linotype" w:eastAsia="Palatino Linotype" w:hAnsi="Palatino Linotype" w:cs="Palatino Linotype"/>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2D1639">
        <w:rPr>
          <w:rFonts w:ascii="Palatino Linotype" w:eastAsia="Palatino Linotype" w:hAnsi="Palatino Linotype" w:cs="Palatino Linotype"/>
          <w:b/>
          <w:bCs/>
          <w:u w:val="single"/>
        </w:rPr>
        <w:t>sobreseimiento</w:t>
      </w:r>
      <w:r w:rsidRPr="002D1639">
        <w:rPr>
          <w:rFonts w:ascii="Palatino Linotype" w:eastAsia="Palatino Linotype" w:hAnsi="Palatino Linotype" w:cs="Palatino Linotype"/>
        </w:rPr>
        <w:t xml:space="preserve">; y en su caso ordenar la entrega de la información con respecto a la respuesta emitida por el </w:t>
      </w:r>
      <w:r w:rsidRPr="002D1639">
        <w:rPr>
          <w:rFonts w:ascii="Palatino Linotype" w:eastAsia="Palatino Linotype" w:hAnsi="Palatino Linotype" w:cs="Palatino Linotype"/>
          <w:b/>
          <w:bCs/>
        </w:rPr>
        <w:t>SUJETO</w:t>
      </w:r>
      <w:r w:rsidRPr="002D1639">
        <w:rPr>
          <w:rFonts w:ascii="Palatino Linotype" w:eastAsia="Palatino Linotype" w:hAnsi="Palatino Linotype" w:cs="Palatino Linotype"/>
        </w:rPr>
        <w:t xml:space="preserve"> </w:t>
      </w:r>
      <w:r w:rsidRPr="002D1639">
        <w:rPr>
          <w:rFonts w:ascii="Palatino Linotype" w:eastAsia="Palatino Linotype" w:hAnsi="Palatino Linotype" w:cs="Palatino Linotype"/>
          <w:b/>
          <w:bCs/>
        </w:rPr>
        <w:t>OBLIGADO</w:t>
      </w:r>
      <w:r w:rsidRPr="002D1639">
        <w:rPr>
          <w:rFonts w:ascii="Palatino Linotype" w:eastAsia="Palatino Linotype" w:hAnsi="Palatino Linotype" w:cs="Palatino Linotype"/>
        </w:rPr>
        <w:t>.</w:t>
      </w:r>
    </w:p>
    <w:p w:rsidR="00A206EC" w:rsidRPr="002D1639" w:rsidRDefault="00A206EC" w:rsidP="00AD7A7A">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9" w:name="_heading=h.sg69pjfuscz6" w:colFirst="0" w:colLast="0"/>
      <w:bookmarkEnd w:id="9"/>
    </w:p>
    <w:p w:rsidR="00A206EC" w:rsidRPr="002D1639" w:rsidRDefault="00B4438D" w:rsidP="00AD7A7A">
      <w:pPr>
        <w:numPr>
          <w:ilvl w:val="0"/>
          <w:numId w:val="1"/>
        </w:numPr>
        <w:spacing w:line="360" w:lineRule="auto"/>
        <w:ind w:left="0" w:right="1" w:firstLine="0"/>
        <w:jc w:val="both"/>
      </w:pPr>
      <w:r w:rsidRPr="002D1639">
        <w:rPr>
          <w:rFonts w:ascii="Palatino Linotype" w:eastAsia="Palatino Linotype" w:hAnsi="Palatino Linotype" w:cs="Palatino Linotype"/>
        </w:rPr>
        <w:t xml:space="preserve">De acuerdo al precepto legal contenido en la fracción III del artículo 192 de la </w:t>
      </w:r>
      <w:r w:rsidRPr="002D1639">
        <w:rPr>
          <w:rFonts w:ascii="Palatino Linotype" w:eastAsia="Palatino Linotype" w:hAnsi="Palatino Linotype" w:cs="Palatino Linotype"/>
          <w:b/>
          <w:bCs/>
        </w:rPr>
        <w:t>Ley de Transparencia y Acceso a la Información Pública del Estado de México y Municipios</w:t>
      </w:r>
      <w:r w:rsidRPr="002D1639">
        <w:rPr>
          <w:rFonts w:ascii="Palatino Linotype" w:eastAsia="Palatino Linotype" w:hAnsi="Palatino Linotype" w:cs="Palatino Linotype"/>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A206EC" w:rsidRPr="002D1639" w:rsidRDefault="00A206EC" w:rsidP="00AD7A7A">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10" w:name="_heading=h.1s8w4nri8zt8" w:colFirst="0" w:colLast="0"/>
      <w:bookmarkEnd w:id="10"/>
    </w:p>
    <w:p w:rsidR="00A206EC" w:rsidRPr="002D1639" w:rsidRDefault="00B4438D" w:rsidP="00AD7A7A">
      <w:pPr>
        <w:numPr>
          <w:ilvl w:val="0"/>
          <w:numId w:val="1"/>
        </w:numPr>
        <w:spacing w:line="360" w:lineRule="auto"/>
        <w:ind w:left="0" w:right="1" w:firstLine="0"/>
        <w:jc w:val="both"/>
      </w:pPr>
      <w:r w:rsidRPr="002D1639">
        <w:rPr>
          <w:rFonts w:ascii="Palatino Linotype" w:eastAsia="Palatino Linotype" w:hAnsi="Palatino Linotype" w:cs="Palatino Linotype"/>
        </w:rPr>
        <w:t xml:space="preserve">Para los efectos de esta resolución, es oportuno precisar los alcances jurídicos de la fracción III de la disposición legal transcrita. Así, procede el sobreseimiento del recurso de revisión cuando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w:t>
      </w:r>
    </w:p>
    <w:p w:rsidR="00A206EC" w:rsidRPr="002D1639" w:rsidRDefault="00A206EC">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11" w:name="_heading=h.fupgdu5fe99i" w:colFirst="0" w:colLast="0"/>
      <w:bookmarkEnd w:id="11"/>
    </w:p>
    <w:p w:rsidR="00A206EC" w:rsidRPr="002D1639" w:rsidRDefault="00B4438D">
      <w:pPr>
        <w:numPr>
          <w:ilvl w:val="0"/>
          <w:numId w:val="5"/>
        </w:numPr>
        <w:ind w:left="567" w:right="565" w:firstLine="0"/>
        <w:jc w:val="both"/>
        <w:rPr>
          <w:rFonts w:ascii="Palatino Linotype" w:eastAsia="Palatino Linotype" w:hAnsi="Palatino Linotype" w:cs="Palatino Linotype"/>
        </w:rPr>
      </w:pPr>
      <w:r w:rsidRPr="002D1639">
        <w:rPr>
          <w:rFonts w:ascii="Palatino Linotype" w:eastAsia="Palatino Linotype" w:hAnsi="Palatino Linotype" w:cs="Palatino Linotype"/>
          <w:b/>
          <w:bCs/>
        </w:rPr>
        <w:lastRenderedPageBreak/>
        <w:t>Modifique el acto impugnado:</w:t>
      </w:r>
      <w:r w:rsidRPr="002D1639">
        <w:rPr>
          <w:rFonts w:ascii="Palatino Linotype" w:eastAsia="Palatino Linotype" w:hAnsi="Palatino Linotype" w:cs="Palatino Linotype"/>
        </w:rPr>
        <w:t xml:space="preserve"> Se actualiza cuando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rsidR="00A206EC" w:rsidRPr="002D1639" w:rsidRDefault="00A206EC">
      <w:pPr>
        <w:ind w:left="567" w:right="565"/>
        <w:jc w:val="both"/>
        <w:rPr>
          <w:rFonts w:ascii="Palatino Linotype" w:eastAsia="Palatino Linotype" w:hAnsi="Palatino Linotype" w:cs="Palatino Linotype"/>
        </w:rPr>
      </w:pPr>
    </w:p>
    <w:p w:rsidR="00A206EC" w:rsidRPr="002D1639" w:rsidRDefault="00B4438D">
      <w:pPr>
        <w:numPr>
          <w:ilvl w:val="0"/>
          <w:numId w:val="5"/>
        </w:numPr>
        <w:ind w:left="567" w:right="565" w:firstLine="0"/>
        <w:jc w:val="both"/>
        <w:rPr>
          <w:rFonts w:ascii="Palatino Linotype" w:eastAsia="Palatino Linotype" w:hAnsi="Palatino Linotype" w:cs="Palatino Linotype"/>
        </w:rPr>
      </w:pPr>
      <w:r w:rsidRPr="002D1639">
        <w:rPr>
          <w:rFonts w:ascii="Palatino Linotype" w:eastAsia="Palatino Linotype" w:hAnsi="Palatino Linotype" w:cs="Palatino Linotype"/>
          <w:b/>
          <w:bCs/>
        </w:rPr>
        <w:t>Revoque el acto impugnado:</w:t>
      </w:r>
      <w:r w:rsidRPr="002D1639">
        <w:rPr>
          <w:rFonts w:ascii="Palatino Linotype" w:eastAsia="Palatino Linotype" w:hAnsi="Palatino Linotype" w:cs="Palatino Linotype"/>
        </w:rPr>
        <w:t xml:space="preserve"> En este supuesto,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deja sin efectos la primera respuesta y en su lugar emite otra que satisfaga lo solicitado por el Particular en un primer momento.</w:t>
      </w:r>
    </w:p>
    <w:p w:rsidR="00A206EC" w:rsidRPr="002D1639" w:rsidRDefault="00A206EC">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12" w:name="_heading=h.omj532vijpit" w:colFirst="0" w:colLast="0"/>
      <w:bookmarkEnd w:id="12"/>
    </w:p>
    <w:p w:rsidR="00A206EC" w:rsidRPr="002D1639" w:rsidRDefault="00B4438D">
      <w:pPr>
        <w:numPr>
          <w:ilvl w:val="0"/>
          <w:numId w:val="1"/>
        </w:numPr>
        <w:spacing w:line="360" w:lineRule="auto"/>
        <w:ind w:left="0" w:right="1" w:firstLine="0"/>
        <w:jc w:val="both"/>
      </w:pPr>
      <w:r w:rsidRPr="002D1639">
        <w:rPr>
          <w:rFonts w:ascii="Palatino Linotype" w:eastAsia="Palatino Linotype" w:hAnsi="Palatino Linotype" w:cs="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A206EC" w:rsidRPr="002D1639" w:rsidRDefault="00A206EC">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13" w:name="_heading=h.njvx0k4cp9m5" w:colFirst="0" w:colLast="0"/>
      <w:bookmarkEnd w:id="13"/>
    </w:p>
    <w:p w:rsidR="00A206EC" w:rsidRPr="002D1639" w:rsidRDefault="00B4438D">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bookmarkStart w:id="14" w:name="_heading=h.jvxafcoza8s" w:colFirst="0" w:colLast="0"/>
      <w:bookmarkEnd w:id="14"/>
      <w:r w:rsidRPr="002D1639">
        <w:rPr>
          <w:rFonts w:ascii="Palatino Linotype" w:eastAsia="Palatino Linotype" w:hAnsi="Palatino Linotype" w:cs="Palatino Linotype"/>
        </w:rPr>
        <w:t xml:space="preserve">En el presente caso, el </w:t>
      </w:r>
      <w:r w:rsidRPr="002D1639">
        <w:rPr>
          <w:rFonts w:ascii="Palatino Linotype" w:eastAsia="Palatino Linotype" w:hAnsi="Palatino Linotype" w:cs="Palatino Linotype"/>
          <w:b/>
          <w:bCs/>
        </w:rPr>
        <w:t>RECURRENTE</w:t>
      </w:r>
      <w:r w:rsidRPr="002D1639">
        <w:rPr>
          <w:rFonts w:ascii="Palatino Linotype" w:eastAsia="Palatino Linotype" w:hAnsi="Palatino Linotype" w:cs="Palatino Linotype"/>
        </w:rPr>
        <w:t xml:space="preserve"> solicitó lo siguiente, respecto al tráiler estacionado frente a la gasolinera del Centro de Huehuetoca:</w:t>
      </w:r>
    </w:p>
    <w:p w:rsidR="00A206EC" w:rsidRPr="002D1639" w:rsidRDefault="00B4438D">
      <w:pPr>
        <w:pBdr>
          <w:top w:val="nil"/>
          <w:left w:val="nil"/>
          <w:bottom w:val="nil"/>
          <w:right w:val="nil"/>
          <w:between w:val="nil"/>
        </w:pBdr>
        <w:ind w:left="566" w:right="432"/>
        <w:jc w:val="both"/>
        <w:rPr>
          <w:rFonts w:ascii="Palatino Linotype" w:eastAsia="Palatino Linotype" w:hAnsi="Palatino Linotype" w:cs="Palatino Linotype"/>
          <w:b/>
          <w:bCs/>
          <w:i/>
          <w:iCs/>
        </w:rPr>
      </w:pPr>
      <w:bookmarkStart w:id="15" w:name="_heading=h.72wswiykyua5" w:colFirst="0" w:colLast="0"/>
      <w:bookmarkStart w:id="16" w:name="_heading=h.1j63l6ep8j3n" w:colFirst="0" w:colLast="0"/>
      <w:bookmarkEnd w:id="15"/>
      <w:bookmarkEnd w:id="16"/>
      <w:r w:rsidRPr="002D1639">
        <w:rPr>
          <w:rFonts w:ascii="Palatino Linotype" w:eastAsia="Palatino Linotype" w:hAnsi="Palatino Linotype" w:cs="Palatino Linotype"/>
          <w:b/>
          <w:bCs/>
          <w:i/>
          <w:iCs/>
        </w:rPr>
        <w:t xml:space="preserve">1. ¿Por qué razón dicho tráiler no ha sido removido, inmovilizado o sancionado, a pesar de lo dispuesto en los siguientes artículos del reglamento citado? </w:t>
      </w:r>
    </w:p>
    <w:p w:rsidR="00A206EC" w:rsidRPr="002D1639" w:rsidRDefault="00B4438D">
      <w:pPr>
        <w:pBdr>
          <w:top w:val="nil"/>
          <w:left w:val="nil"/>
          <w:bottom w:val="nil"/>
          <w:right w:val="nil"/>
          <w:between w:val="nil"/>
        </w:pBdr>
        <w:ind w:left="566" w:right="432"/>
        <w:jc w:val="both"/>
        <w:rPr>
          <w:rFonts w:ascii="Palatino Linotype" w:eastAsia="Palatino Linotype" w:hAnsi="Palatino Linotype" w:cs="Palatino Linotype"/>
          <w:b/>
          <w:bCs/>
          <w:i/>
          <w:iCs/>
        </w:rPr>
      </w:pPr>
      <w:bookmarkStart w:id="17" w:name="_heading=h.uff0dma9zqd" w:colFirst="0" w:colLast="0"/>
      <w:bookmarkEnd w:id="17"/>
      <w:r w:rsidRPr="002D1639">
        <w:rPr>
          <w:rFonts w:ascii="Palatino Linotype" w:eastAsia="Palatino Linotype" w:hAnsi="Palatino Linotype" w:cs="Palatino Linotype"/>
          <w:b/>
          <w:bCs/>
          <w:i/>
          <w:iCs/>
        </w:rPr>
        <w:t xml:space="preserve">2. ¿Qué autoridad municipal tiene conocimiento de este caso, y por qué no se ha iniciado el procedimiento correspondiente conforme a los artículos 10, 13 y 15 del reglamento? </w:t>
      </w:r>
    </w:p>
    <w:p w:rsidR="00A206EC" w:rsidRPr="002D1639" w:rsidRDefault="00B4438D">
      <w:pPr>
        <w:pBdr>
          <w:top w:val="nil"/>
          <w:left w:val="nil"/>
          <w:bottom w:val="nil"/>
          <w:right w:val="nil"/>
          <w:between w:val="nil"/>
        </w:pBdr>
        <w:ind w:left="566" w:right="432"/>
        <w:jc w:val="both"/>
        <w:rPr>
          <w:rFonts w:ascii="Palatino Linotype" w:eastAsia="Palatino Linotype" w:hAnsi="Palatino Linotype" w:cs="Palatino Linotype"/>
          <w:b/>
          <w:bCs/>
          <w:i/>
          <w:iCs/>
        </w:rPr>
      </w:pPr>
      <w:bookmarkStart w:id="18" w:name="_heading=h.8cxkevurindn" w:colFirst="0" w:colLast="0"/>
      <w:bookmarkEnd w:id="18"/>
      <w:r w:rsidRPr="002D1639">
        <w:rPr>
          <w:rFonts w:ascii="Palatino Linotype" w:eastAsia="Palatino Linotype" w:hAnsi="Palatino Linotype" w:cs="Palatino Linotype"/>
          <w:b/>
          <w:bCs/>
          <w:i/>
          <w:iCs/>
        </w:rPr>
        <w:t xml:space="preserve">3. ¿Existen reportes, denuncias o solicitudes ciudadanas registradas respecto a este tráiler? En caso afirmativo, solicito copia o número de folio de dichas denuncias. </w:t>
      </w:r>
    </w:p>
    <w:p w:rsidR="00A206EC" w:rsidRPr="002D1639" w:rsidRDefault="00B4438D">
      <w:pPr>
        <w:pBdr>
          <w:top w:val="nil"/>
          <w:left w:val="nil"/>
          <w:bottom w:val="nil"/>
          <w:right w:val="nil"/>
          <w:between w:val="nil"/>
        </w:pBdr>
        <w:ind w:left="566" w:right="432"/>
        <w:jc w:val="both"/>
        <w:rPr>
          <w:rFonts w:ascii="Palatino Linotype" w:eastAsia="Palatino Linotype" w:hAnsi="Palatino Linotype" w:cs="Palatino Linotype"/>
          <w:b/>
          <w:bCs/>
          <w:i/>
          <w:iCs/>
        </w:rPr>
      </w:pPr>
      <w:bookmarkStart w:id="19" w:name="_heading=h.gtioix42444n" w:colFirst="0" w:colLast="0"/>
      <w:bookmarkEnd w:id="19"/>
      <w:r w:rsidRPr="002D1639">
        <w:rPr>
          <w:rFonts w:ascii="Palatino Linotype" w:eastAsia="Palatino Linotype" w:hAnsi="Palatino Linotype" w:cs="Palatino Linotype"/>
          <w:b/>
          <w:bCs/>
          <w:i/>
          <w:iCs/>
        </w:rPr>
        <w:t>4. ¿Cuál es el criterio, fundamento o causa por la cual no se ha ordenado el retiro con grúa o la inmovilización del vehículo, a pesar de su evidente incumplimiento a la norma?</w:t>
      </w:r>
    </w:p>
    <w:p w:rsidR="00A206EC" w:rsidRPr="002D1639" w:rsidRDefault="00A206EC">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20" w:name="_heading=h.uvettsxaetod" w:colFirst="0" w:colLast="0"/>
      <w:bookmarkEnd w:id="20"/>
    </w:p>
    <w:p w:rsidR="00A206EC" w:rsidRPr="002D1639" w:rsidRDefault="00A206EC">
      <w:pPr>
        <w:pBdr>
          <w:top w:val="nil"/>
          <w:left w:val="nil"/>
          <w:bottom w:val="nil"/>
          <w:right w:val="nil"/>
          <w:between w:val="nil"/>
        </w:pBdr>
        <w:spacing w:line="360" w:lineRule="auto"/>
        <w:ind w:left="502" w:right="1"/>
        <w:jc w:val="both"/>
        <w:rPr>
          <w:rFonts w:ascii="Palatino Linotype" w:eastAsia="Palatino Linotype" w:hAnsi="Palatino Linotype" w:cs="Palatino Linotype"/>
        </w:rPr>
      </w:pPr>
      <w:bookmarkStart w:id="21" w:name="_heading=h.mmgdg8vyhspp" w:colFirst="0" w:colLast="0"/>
      <w:bookmarkEnd w:id="21"/>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lastRenderedPageBreak/>
        <w:t xml:space="preserve">En respuesta, el </w:t>
      </w:r>
      <w:r w:rsidRPr="002D1639">
        <w:rPr>
          <w:rFonts w:ascii="Palatino Linotype" w:eastAsia="Palatino Linotype" w:hAnsi="Palatino Linotype" w:cs="Palatino Linotype"/>
          <w:b/>
          <w:bCs/>
          <w:color w:val="000000"/>
        </w:rPr>
        <w:t>SUJETO OBLIGADO</w:t>
      </w:r>
      <w:r w:rsidRPr="002D1639">
        <w:rPr>
          <w:rFonts w:ascii="Palatino Linotype" w:eastAsia="Palatino Linotype" w:hAnsi="Palatino Linotype" w:cs="Palatino Linotype"/>
          <w:color w:val="000000"/>
        </w:rPr>
        <w:t xml:space="preserve"> </w:t>
      </w:r>
      <w:r w:rsidRPr="002D1639">
        <w:rPr>
          <w:rFonts w:ascii="Palatino Linotype" w:eastAsia="Palatino Linotype" w:hAnsi="Palatino Linotype" w:cs="Palatino Linotype"/>
        </w:rPr>
        <w:t>por medio del Coordinador de Movilidad, emitió respuesta a cada punto planteado por el Solicitante, en los siguientes términos:</w:t>
      </w:r>
    </w:p>
    <w:p w:rsidR="00A206EC" w:rsidRPr="002D1639" w:rsidRDefault="00B4438D">
      <w:pPr>
        <w:pBdr>
          <w:top w:val="nil"/>
          <w:left w:val="nil"/>
          <w:bottom w:val="nil"/>
          <w:right w:val="nil"/>
          <w:between w:val="nil"/>
        </w:pBdr>
        <w:spacing w:line="360" w:lineRule="auto"/>
        <w:ind w:right="-141"/>
        <w:jc w:val="center"/>
        <w:rPr>
          <w:rFonts w:ascii="Palatino Linotype" w:eastAsia="Palatino Linotype" w:hAnsi="Palatino Linotype" w:cs="Palatino Linotype"/>
        </w:rPr>
      </w:pPr>
      <w:r w:rsidRPr="002D1639">
        <w:rPr>
          <w:rFonts w:ascii="Palatino Linotype" w:eastAsia="Palatino Linotype" w:hAnsi="Palatino Linotype" w:cs="Palatino Linotype"/>
          <w:noProof/>
          <w:lang w:val="es-MX"/>
        </w:rPr>
        <w:drawing>
          <wp:inline distT="114300" distB="114300" distL="114300" distR="114300">
            <wp:extent cx="4689158" cy="404748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89158" cy="4047483"/>
                    </a:xfrm>
                    <a:prstGeom prst="rect">
                      <a:avLst/>
                    </a:prstGeom>
                    <a:ln/>
                  </pic:spPr>
                </pic:pic>
              </a:graphicData>
            </a:graphic>
          </wp:inline>
        </w:drawing>
      </w:r>
    </w:p>
    <w:p w:rsidR="00A206EC" w:rsidRPr="002D1639" w:rsidRDefault="00A206EC">
      <w:pPr>
        <w:pBdr>
          <w:top w:val="nil"/>
          <w:left w:val="nil"/>
          <w:bottom w:val="nil"/>
          <w:right w:val="nil"/>
          <w:between w:val="nil"/>
        </w:pBdr>
        <w:spacing w:line="360" w:lineRule="auto"/>
        <w:ind w:right="-141"/>
        <w:jc w:val="both"/>
        <w:rPr>
          <w:rFonts w:ascii="Palatino Linotype" w:eastAsia="Palatino Linotype" w:hAnsi="Palatino Linotype" w:cs="Palatino Linotype"/>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Inconforme con la respuesta, la parte</w:t>
      </w:r>
      <w:r w:rsidRPr="002D1639">
        <w:rPr>
          <w:rFonts w:ascii="Palatino Linotype" w:eastAsia="Palatino Linotype" w:hAnsi="Palatino Linotype" w:cs="Palatino Linotype"/>
          <w:b/>
          <w:bCs/>
          <w:color w:val="000000"/>
        </w:rPr>
        <w:t xml:space="preserve"> RECURRENTE </w:t>
      </w:r>
      <w:r w:rsidRPr="002D1639">
        <w:rPr>
          <w:rFonts w:ascii="Palatino Linotype" w:eastAsia="Palatino Linotype" w:hAnsi="Palatino Linotype" w:cs="Palatino Linotype"/>
          <w:color w:val="000000"/>
        </w:rPr>
        <w:t xml:space="preserve">refirió </w:t>
      </w:r>
      <w:r w:rsidRPr="002D1639">
        <w:rPr>
          <w:rFonts w:ascii="Palatino Linotype" w:eastAsia="Palatino Linotype" w:hAnsi="Palatino Linotype" w:cs="Palatino Linotype"/>
        </w:rPr>
        <w:t>la entrega de información</w:t>
      </w:r>
      <w:r w:rsidRPr="002D1639">
        <w:rPr>
          <w:rFonts w:ascii="Palatino Linotype" w:eastAsia="Palatino Linotype" w:hAnsi="Palatino Linotype" w:cs="Palatino Linotype"/>
          <w:highlight w:val="white"/>
        </w:rPr>
        <w:t xml:space="preserve"> incompleta.</w:t>
      </w:r>
    </w:p>
    <w:p w:rsidR="00A206EC" w:rsidRPr="002D1639" w:rsidRDefault="00A206EC">
      <w:pPr>
        <w:pBdr>
          <w:top w:val="nil"/>
          <w:left w:val="nil"/>
          <w:bottom w:val="nil"/>
          <w:right w:val="nil"/>
          <w:between w:val="nil"/>
        </w:pBdr>
        <w:spacing w:line="360" w:lineRule="auto"/>
        <w:ind w:left="502" w:right="-141"/>
        <w:jc w:val="both"/>
        <w:rPr>
          <w:rFonts w:ascii="Palatino Linotype" w:eastAsia="Palatino Linotype" w:hAnsi="Palatino Linotype" w:cs="Palatino Linotype"/>
          <w:highlight w:val="white"/>
        </w:rPr>
      </w:pPr>
    </w:p>
    <w:p w:rsidR="00A206EC" w:rsidRPr="002D1639" w:rsidRDefault="00B4438D">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highlight w:val="white"/>
        </w:rPr>
        <w:t xml:space="preserve">Así, mediante un acto jurídico posterior como lo es el informe justificado, el </w:t>
      </w:r>
      <w:r w:rsidRPr="002D1639">
        <w:rPr>
          <w:rFonts w:ascii="Palatino Linotype" w:eastAsia="Palatino Linotype" w:hAnsi="Palatino Linotype" w:cs="Palatino Linotype"/>
          <w:b/>
          <w:bCs/>
          <w:color w:val="000000"/>
          <w:highlight w:val="white"/>
        </w:rPr>
        <w:t>SUJETO OBLIGADO</w:t>
      </w:r>
      <w:r w:rsidRPr="002D1639">
        <w:rPr>
          <w:rFonts w:ascii="Palatino Linotype" w:eastAsia="Palatino Linotype" w:hAnsi="Palatino Linotype" w:cs="Palatino Linotype"/>
          <w:color w:val="000000"/>
          <w:highlight w:val="white"/>
        </w:rPr>
        <w:t xml:space="preserve"> por medio del Coordinador de Movilidad, </w:t>
      </w:r>
      <w:r w:rsidRPr="002D1639">
        <w:rPr>
          <w:rFonts w:ascii="Palatino Linotype" w:eastAsia="Palatino Linotype" w:hAnsi="Palatino Linotype" w:cs="Palatino Linotype"/>
          <w:b/>
          <w:bCs/>
          <w:highlight w:val="white"/>
        </w:rPr>
        <w:t xml:space="preserve">informó que se daría inicio al procedimiento de remoción del vehículo identificado con las siguientes características: Góndola color rojo. Ubicación actual: Sobre Av. </w:t>
      </w:r>
      <w:r w:rsidR="00C56A4E" w:rsidRPr="002D1639">
        <w:rPr>
          <w:rFonts w:ascii="Palatino Linotype" w:eastAsia="Palatino Linotype" w:hAnsi="Palatino Linotype" w:cs="Palatino Linotype"/>
          <w:b/>
          <w:bCs/>
          <w:highlight w:val="white"/>
        </w:rPr>
        <w:t>J</w:t>
      </w:r>
      <w:r w:rsidR="00C56A4E" w:rsidRPr="002D1639">
        <w:rPr>
          <w:rFonts w:ascii="Palatino Linotype" w:eastAsia="Palatino Linotype" w:hAnsi="Palatino Linotype" w:cs="Palatino Linotype"/>
          <w:b/>
          <w:bCs/>
        </w:rPr>
        <w:t>uárez</w:t>
      </w:r>
      <w:r w:rsidRPr="002D1639">
        <w:rPr>
          <w:rFonts w:ascii="Palatino Linotype" w:eastAsia="Palatino Linotype" w:hAnsi="Palatino Linotype" w:cs="Palatino Linotype"/>
          <w:b/>
          <w:bCs/>
        </w:rPr>
        <w:t xml:space="preserve"> frente a la gasolinera vieja.</w:t>
      </w:r>
      <w:r w:rsidRPr="002D1639">
        <w:rPr>
          <w:rFonts w:ascii="Palatino Linotype" w:eastAsia="Palatino Linotype" w:hAnsi="Palatino Linotype" w:cs="Palatino Linotype"/>
        </w:rPr>
        <w:t xml:space="preserve"> </w:t>
      </w:r>
      <w:r w:rsidRPr="002D1639">
        <w:rPr>
          <w:rFonts w:ascii="Palatino Linotype" w:eastAsia="Palatino Linotype" w:hAnsi="Palatino Linotype" w:cs="Palatino Linotype"/>
        </w:rPr>
        <w:lastRenderedPageBreak/>
        <w:t>Asimismo, señaló que cualquier información adicional que se requiera sobre el estatus del procedimiento puede acudir a la Coordinación de Movilidad del Ayuntamiento de Huehuetoca.</w:t>
      </w:r>
    </w:p>
    <w:p w:rsidR="00A206EC" w:rsidRPr="002D1639" w:rsidRDefault="00A206EC">
      <w:pPr>
        <w:pBdr>
          <w:top w:val="nil"/>
          <w:left w:val="nil"/>
          <w:bottom w:val="nil"/>
          <w:right w:val="nil"/>
          <w:between w:val="nil"/>
        </w:pBdr>
        <w:spacing w:line="360" w:lineRule="auto"/>
        <w:ind w:right="-141"/>
        <w:jc w:val="both"/>
        <w:rPr>
          <w:rFonts w:ascii="Palatino Linotype" w:eastAsia="Palatino Linotype" w:hAnsi="Palatino Linotype" w:cs="Palatino Linotype"/>
          <w:color w:val="000000"/>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rPr>
        <w:t xml:space="preserve">Al respecto, cabe </w:t>
      </w:r>
      <w:r w:rsidRPr="002D1639">
        <w:rPr>
          <w:rFonts w:ascii="Palatino Linotype" w:eastAsia="Palatino Linotype" w:hAnsi="Palatino Linotype" w:cs="Palatino Linotype"/>
          <w:color w:val="000000"/>
        </w:rPr>
        <w:t>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2D1639">
        <w:rPr>
          <w:rFonts w:ascii="Palatino Linotype" w:eastAsia="Palatino Linotype" w:hAnsi="Palatino Linotype" w:cs="Palatino Linotype"/>
          <w:color w:val="000000"/>
          <w:vertAlign w:val="superscript"/>
        </w:rPr>
        <w:footnoteReference w:id="1"/>
      </w:r>
      <w:r w:rsidRPr="002D1639">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2D1639">
        <w:rPr>
          <w:rFonts w:ascii="Palatino Linotype" w:eastAsia="Palatino Linotype" w:hAnsi="Palatino Linotype" w:cs="Palatino Linotype"/>
          <w:b/>
          <w:bCs/>
          <w:color w:val="000000"/>
        </w:rPr>
        <w:t xml:space="preserve"> </w:t>
      </w:r>
      <w:r w:rsidRPr="002D1639">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2D1639">
        <w:rPr>
          <w:rFonts w:ascii="Palatino Linotype" w:eastAsia="Palatino Linotype" w:hAnsi="Palatino Linotype" w:cs="Palatino Linotype"/>
          <w:color w:val="000000"/>
          <w:vertAlign w:val="superscript"/>
        </w:rPr>
        <w:footnoteReference w:id="2"/>
      </w:r>
      <w:r w:rsidRPr="002D1639">
        <w:rPr>
          <w:rFonts w:ascii="Palatino Linotype" w:eastAsia="Palatino Linotype" w:hAnsi="Palatino Linotype" w:cs="Palatino Linotype"/>
          <w:color w:val="000000"/>
        </w:rPr>
        <w:t>.</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color w:val="000000"/>
        </w:rPr>
        <w:lastRenderedPageBreak/>
        <w:t>De conformidad con lo dispuesto en la Ley de Transparencia y Acceso a la Información Pública del Estado de México y Municipios, las Unidades de Transparencia tendrán, entre sus atribuciones, las siguientes:</w:t>
      </w:r>
    </w:p>
    <w:p w:rsidR="00A206EC" w:rsidRPr="002D1639" w:rsidRDefault="00B4438D">
      <w:pPr>
        <w:numPr>
          <w:ilvl w:val="1"/>
          <w:numId w:val="2"/>
        </w:numPr>
        <w:pBdr>
          <w:top w:val="nil"/>
          <w:left w:val="nil"/>
          <w:bottom w:val="nil"/>
          <w:right w:val="nil"/>
          <w:between w:val="nil"/>
        </w:pBdr>
        <w:spacing w:before="240"/>
        <w:ind w:left="709" w:right="616" w:hanging="142"/>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Recibir, tramitar y dar respuesta a las solicitudes de acceso a la información;</w:t>
      </w:r>
    </w:p>
    <w:p w:rsidR="00A206EC" w:rsidRPr="002D1639" w:rsidRDefault="00B4438D">
      <w:pPr>
        <w:numPr>
          <w:ilvl w:val="1"/>
          <w:numId w:val="2"/>
        </w:numPr>
        <w:pBdr>
          <w:top w:val="nil"/>
          <w:left w:val="nil"/>
          <w:bottom w:val="nil"/>
          <w:right w:val="nil"/>
          <w:between w:val="nil"/>
        </w:pBdr>
        <w:ind w:left="709" w:right="616" w:hanging="142"/>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A206EC" w:rsidRPr="002D1639" w:rsidRDefault="00B4438D">
      <w:pPr>
        <w:numPr>
          <w:ilvl w:val="1"/>
          <w:numId w:val="2"/>
        </w:numPr>
        <w:pBdr>
          <w:top w:val="nil"/>
          <w:left w:val="nil"/>
          <w:bottom w:val="nil"/>
          <w:right w:val="nil"/>
          <w:between w:val="nil"/>
        </w:pBdr>
        <w:ind w:left="709" w:right="616" w:hanging="142"/>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 xml:space="preserve">Entregar, en su caso, a los particulares la información solicitada; y </w:t>
      </w:r>
    </w:p>
    <w:p w:rsidR="00A206EC" w:rsidRPr="002D1639" w:rsidRDefault="00B4438D">
      <w:pPr>
        <w:numPr>
          <w:ilvl w:val="1"/>
          <w:numId w:val="2"/>
        </w:numPr>
        <w:pBdr>
          <w:top w:val="nil"/>
          <w:left w:val="nil"/>
          <w:bottom w:val="nil"/>
          <w:right w:val="nil"/>
          <w:between w:val="nil"/>
        </w:pBdr>
        <w:spacing w:after="240"/>
        <w:ind w:left="709" w:right="616" w:hanging="142"/>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Efectuar las notificaciones a los solicitantes.</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2D1639">
        <w:rPr>
          <w:rFonts w:ascii="Palatino Linotype" w:eastAsia="Palatino Linotype" w:hAnsi="Palatino Linotype" w:cs="Palatino Linotype"/>
          <w:b/>
          <w:bCs/>
          <w:color w:val="000000"/>
        </w:rPr>
        <w:t xml:space="preserve">SUJETO OBLIGADO </w:t>
      </w:r>
      <w:r w:rsidRPr="002D1639">
        <w:rPr>
          <w:rFonts w:ascii="Palatino Linotype" w:eastAsia="Palatino Linotype" w:hAnsi="Palatino Linotype" w:cs="Palatino Linotype"/>
          <w:color w:val="000000"/>
        </w:rPr>
        <w:t>a propuesta del responsable de la Unidad de Transparencia</w:t>
      </w:r>
      <w:r w:rsidRPr="002D1639">
        <w:rPr>
          <w:rFonts w:ascii="Palatino Linotype" w:eastAsia="Palatino Linotype" w:hAnsi="Palatino Linotype" w:cs="Palatino Linotype"/>
          <w:color w:val="000000"/>
          <w:vertAlign w:val="superscript"/>
        </w:rPr>
        <w:footnoteReference w:id="3"/>
      </w:r>
      <w:r w:rsidRPr="002D1639">
        <w:rPr>
          <w:rFonts w:ascii="Palatino Linotype" w:eastAsia="Palatino Linotype" w:hAnsi="Palatino Linotype" w:cs="Palatino Linotype"/>
          <w:color w:val="000000"/>
        </w:rPr>
        <w:t xml:space="preserve"> y tendrán, entre sus atribuciones, las siguientes</w:t>
      </w:r>
      <w:r w:rsidRPr="002D1639">
        <w:rPr>
          <w:rFonts w:ascii="Palatino Linotype" w:eastAsia="Palatino Linotype" w:hAnsi="Palatino Linotype" w:cs="Palatino Linotype"/>
          <w:color w:val="000000"/>
          <w:vertAlign w:val="superscript"/>
        </w:rPr>
        <w:footnoteReference w:id="4"/>
      </w:r>
      <w:r w:rsidRPr="002D1639">
        <w:rPr>
          <w:rFonts w:ascii="Palatino Linotype" w:eastAsia="Palatino Linotype" w:hAnsi="Palatino Linotype" w:cs="Palatino Linotype"/>
          <w:color w:val="000000"/>
        </w:rPr>
        <w:t>:</w:t>
      </w:r>
    </w:p>
    <w:p w:rsidR="00A206EC" w:rsidRPr="002D1639" w:rsidRDefault="00B4438D">
      <w:pPr>
        <w:numPr>
          <w:ilvl w:val="1"/>
          <w:numId w:val="3"/>
        </w:numPr>
        <w:pBdr>
          <w:top w:val="nil"/>
          <w:left w:val="nil"/>
          <w:bottom w:val="nil"/>
          <w:right w:val="nil"/>
          <w:between w:val="nil"/>
        </w:pBdr>
        <w:spacing w:before="240"/>
        <w:ind w:left="709" w:right="565" w:hanging="142"/>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Localizar la información que le solicite la Unidad de Transparencia; y</w:t>
      </w:r>
    </w:p>
    <w:p w:rsidR="00A206EC" w:rsidRPr="002D1639" w:rsidRDefault="00B4438D">
      <w:pPr>
        <w:numPr>
          <w:ilvl w:val="1"/>
          <w:numId w:val="3"/>
        </w:numPr>
        <w:pBdr>
          <w:top w:val="nil"/>
          <w:left w:val="nil"/>
          <w:bottom w:val="nil"/>
          <w:right w:val="nil"/>
          <w:between w:val="nil"/>
        </w:pBdr>
        <w:spacing w:after="240"/>
        <w:ind w:left="709" w:right="565" w:hanging="142"/>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Proporcionar la información que obre en los archivos y que le sea solicitada por la Unidad de Transparencia.</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color w:val="000000"/>
        </w:rPr>
        <w:t xml:space="preserve">De tal manera que cada una de las áreas administrativas del </w:t>
      </w:r>
      <w:r w:rsidRPr="002D1639">
        <w:rPr>
          <w:rFonts w:ascii="Palatino Linotype" w:eastAsia="Palatino Linotype" w:hAnsi="Palatino Linotype" w:cs="Palatino Linotype"/>
          <w:b/>
          <w:bCs/>
          <w:color w:val="000000"/>
        </w:rPr>
        <w:t>SUJETO OBLIGADO</w:t>
      </w:r>
      <w:r w:rsidRPr="002D1639">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w:t>
      </w:r>
      <w:r w:rsidRPr="002D1639">
        <w:rPr>
          <w:rFonts w:ascii="Palatino Linotype" w:eastAsia="Palatino Linotype" w:hAnsi="Palatino Linotype" w:cs="Palatino Linotype"/>
          <w:color w:val="000000"/>
        </w:rPr>
        <w:lastRenderedPageBreak/>
        <w:t>proporcionar la información que se requiera a través de las solicitudes de acceso a la información.</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A206EC" w:rsidRPr="002D1639" w:rsidRDefault="00B4438D">
      <w:pPr>
        <w:pBdr>
          <w:top w:val="nil"/>
          <w:left w:val="nil"/>
          <w:bottom w:val="nil"/>
          <w:right w:val="nil"/>
          <w:between w:val="nil"/>
        </w:pBdr>
        <w:tabs>
          <w:tab w:val="left" w:pos="426"/>
        </w:tabs>
        <w:spacing w:before="240"/>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b/>
          <w:bCs/>
          <w:i/>
          <w:iCs/>
          <w:color w:val="000000"/>
        </w:rPr>
        <w:t>“Artículo 53</w:t>
      </w:r>
      <w:r w:rsidRPr="002D1639">
        <w:rPr>
          <w:rFonts w:ascii="Palatino Linotype" w:eastAsia="Palatino Linotype" w:hAnsi="Palatino Linotype" w:cs="Palatino Linotype"/>
          <w:i/>
          <w:iCs/>
          <w:color w:val="000000"/>
        </w:rPr>
        <w:t xml:space="preserve">. Las Unidades de Transparencia tendrán las siguientes funciones: </w:t>
      </w:r>
    </w:p>
    <w:p w:rsidR="00A206EC" w:rsidRPr="002D1639" w:rsidRDefault="00A206EC">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b/>
          <w:bCs/>
          <w:i/>
          <w:iCs/>
          <w:color w:val="000000"/>
        </w:rPr>
      </w:pPr>
      <w:r w:rsidRPr="002D1639">
        <w:rPr>
          <w:rFonts w:ascii="Palatino Linotype" w:eastAsia="Palatino Linotype" w:hAnsi="Palatino Linotype" w:cs="Palatino Linotype"/>
          <w:b/>
          <w:bCs/>
          <w:i/>
          <w:iCs/>
          <w:color w:val="000000"/>
        </w:rPr>
        <w:t xml:space="preserve">II. Recibir, tramitar y dar respuesta a las solicitudes de acceso a la información;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b/>
          <w:bCs/>
          <w:i/>
          <w:iCs/>
          <w:color w:val="000000"/>
        </w:rPr>
      </w:pPr>
      <w:r w:rsidRPr="002D1639">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V. Entregar, en su caso, a los particulares la información solicitada;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VI. Efectuar las notificaciones a los solicitantes;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b/>
          <w:bCs/>
          <w:i/>
          <w:iCs/>
          <w:color w:val="000000"/>
        </w:rPr>
      </w:pPr>
      <w:r w:rsidRPr="002D1639">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X. Presentar ante el Comité, el proyecto de clasificación de información;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lastRenderedPageBreak/>
        <w:t xml:space="preserve">XI. Promover e implementar políticas de transparencia proactiva procurando su accesibilidad;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XII. Fomentar la transparencia y accesibilidad al interior del sujeto obligado; </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A206EC" w:rsidRPr="002D1639" w:rsidRDefault="00B4438D">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A206EC" w:rsidRPr="002D1639" w:rsidRDefault="00B4438D">
      <w:pPr>
        <w:pBdr>
          <w:top w:val="nil"/>
          <w:left w:val="nil"/>
          <w:bottom w:val="nil"/>
          <w:right w:val="nil"/>
          <w:between w:val="nil"/>
        </w:pBdr>
        <w:tabs>
          <w:tab w:val="left" w:pos="426"/>
        </w:tabs>
        <w:spacing w:after="240"/>
        <w:ind w:left="567" w:right="61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color w:val="000000"/>
        </w:rPr>
        <w:t xml:space="preserve">De lo expuesto y con relación a lo solicitado, se tiene que, la Unidad de Transparencia es la encargada de </w:t>
      </w:r>
      <w:r w:rsidRPr="002D1639">
        <w:rPr>
          <w:rFonts w:ascii="Palatino Linotype" w:eastAsia="Palatino Linotype" w:hAnsi="Palatino Linotype" w:cs="Palatino Linotype"/>
        </w:rPr>
        <w:t>recibir, tramitar y dar respuesta a las solicitudes de acceso a la información</w:t>
      </w:r>
      <w:r w:rsidRPr="002D1639">
        <w:rPr>
          <w:rFonts w:ascii="Palatino Linotype" w:eastAsia="Palatino Linotype" w:hAnsi="Palatino Linotype" w:cs="Palatino Linotype"/>
          <w:color w:val="000000"/>
        </w:rPr>
        <w:t>.</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rPr>
        <w:t xml:space="preserve">En este sentido, se reitera que existió un pronunciamiento por parte del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a través del </w:t>
      </w:r>
      <w:r w:rsidRPr="002D1639">
        <w:rPr>
          <w:rFonts w:ascii="Palatino Linotype" w:eastAsia="Palatino Linotype" w:hAnsi="Palatino Linotype" w:cs="Palatino Linotype"/>
          <w:b/>
          <w:bCs/>
        </w:rPr>
        <w:t>Coordinador de Movilidad.</w:t>
      </w:r>
    </w:p>
    <w:p w:rsidR="00A206EC" w:rsidRPr="002D1639" w:rsidRDefault="00A206EC">
      <w:pPr>
        <w:spacing w:line="360" w:lineRule="auto"/>
        <w:ind w:right="1"/>
        <w:jc w:val="both"/>
        <w:rPr>
          <w:rFonts w:ascii="Palatino Linotype" w:eastAsia="Palatino Linotype" w:hAnsi="Palatino Linotype" w:cs="Palatino Linotype"/>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rPr>
      </w:pPr>
      <w:r w:rsidRPr="002D1639">
        <w:rPr>
          <w:rFonts w:ascii="Palatino Linotype" w:eastAsia="Palatino Linotype" w:hAnsi="Palatino Linotype" w:cs="Palatino Linotype"/>
        </w:rPr>
        <w:t>En consecuencia,</w:t>
      </w:r>
      <w:r w:rsidRPr="002D1639">
        <w:rPr>
          <w:rFonts w:ascii="Palatino Linotype" w:eastAsia="Palatino Linotype" w:hAnsi="Palatino Linotype" w:cs="Palatino Linotype"/>
          <w:b/>
          <w:bCs/>
        </w:rPr>
        <w:t xml:space="preserve"> </w:t>
      </w:r>
      <w:r w:rsidRPr="002D1639">
        <w:rPr>
          <w:rFonts w:ascii="Palatino Linotype" w:eastAsia="Palatino Linotype" w:hAnsi="Palatino Linotype" w:cs="Palatino Linotype"/>
          <w:color w:val="000000"/>
        </w:rPr>
        <w:t xml:space="preserve">se presume que, </w:t>
      </w:r>
      <w:r w:rsidRPr="002D1639">
        <w:rPr>
          <w:rFonts w:ascii="Palatino Linotype" w:eastAsia="Palatino Linotype" w:hAnsi="Palatino Linotype" w:cs="Palatino Linotype"/>
          <w:b/>
          <w:bCs/>
        </w:rPr>
        <w:t>al haber existido un pronunciamiento por parte del SUJETO OBLIGADO y modificar la respuesta a través del informe justificado,</w:t>
      </w:r>
      <w:r w:rsidRPr="002D1639">
        <w:rPr>
          <w:rFonts w:ascii="Palatino Linotype" w:eastAsia="Palatino Linotype" w:hAnsi="Palatino Linotype" w:cs="Palatino Linotype"/>
        </w:rPr>
        <w:t xml:space="preserve"> </w:t>
      </w:r>
      <w:r w:rsidRPr="002D1639">
        <w:rPr>
          <w:rFonts w:ascii="Palatino Linotype" w:eastAsia="Palatino Linotype" w:hAnsi="Palatino Linotype" w:cs="Palatino Linotype"/>
          <w:b/>
          <w:bCs/>
        </w:rPr>
        <w:t>asimismo,</w:t>
      </w:r>
      <w:r w:rsidRPr="002D1639">
        <w:rPr>
          <w:rFonts w:ascii="Palatino Linotype" w:eastAsia="Palatino Linotype" w:hAnsi="Palatino Linotype" w:cs="Palatino Linotype"/>
        </w:rPr>
        <w:t xml:space="preserve"> </w:t>
      </w:r>
      <w:r w:rsidRPr="002D1639">
        <w:rPr>
          <w:rFonts w:ascii="Palatino Linotype" w:eastAsia="Palatino Linotype" w:hAnsi="Palatino Linotype" w:cs="Palatino Linotype"/>
          <w:b/>
          <w:bCs/>
        </w:rPr>
        <w:t>atender el requerimiento del Particular,</w:t>
      </w:r>
      <w:r w:rsidRPr="002D1639">
        <w:rPr>
          <w:rFonts w:ascii="Palatino Linotype" w:eastAsia="Palatino Linotype" w:hAnsi="Palatino Linotype" w:cs="Palatino Linotype"/>
        </w:rPr>
        <w:t xml:space="preserve"> este Instituto no está facultado para </w:t>
      </w:r>
      <w:r w:rsidRPr="002D1639">
        <w:rPr>
          <w:rFonts w:ascii="Palatino Linotype" w:eastAsia="Palatino Linotype" w:hAnsi="Palatino Linotype" w:cs="Palatino Linotype"/>
        </w:rPr>
        <w:lastRenderedPageBreak/>
        <w:t>manifestarse sobre la veracidad, pues no existe precepto legal alguno en la Ley de la materia que lo faculte para que, vía recurso de revisión, pueda pronunciarse al respecto.</w:t>
      </w:r>
    </w:p>
    <w:p w:rsidR="00A206EC" w:rsidRPr="002D1639" w:rsidRDefault="00A206EC">
      <w:pPr>
        <w:ind w:right="1"/>
        <w:rPr>
          <w:rFonts w:ascii="Palatino Linotype" w:eastAsia="Palatino Linotype" w:hAnsi="Palatino Linotype" w:cs="Palatino Linotype"/>
          <w:color w:val="000000"/>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Así, </w:t>
      </w:r>
      <w:r w:rsidRPr="002D1639">
        <w:rPr>
          <w:rFonts w:ascii="Palatino Linotype" w:eastAsia="Palatino Linotype" w:hAnsi="Palatino Linotype" w:cs="Palatino Linotype"/>
        </w:rPr>
        <w:t xml:space="preserve">este Pleno advierte que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w:t>
      </w:r>
      <w:r w:rsidRPr="002D1639">
        <w:rPr>
          <w:rFonts w:ascii="Palatino Linotype" w:eastAsia="Palatino Linotype" w:hAnsi="Palatino Linotype" w:cs="Palatino Linotype"/>
          <w:b/>
          <w:bCs/>
        </w:rPr>
        <w:t xml:space="preserve">modificó </w:t>
      </w:r>
      <w:r w:rsidRPr="002D1639">
        <w:rPr>
          <w:rFonts w:ascii="Palatino Linotype" w:eastAsia="Palatino Linotype" w:hAnsi="Palatino Linotype" w:cs="Palatino Linotype"/>
        </w:rPr>
        <w:t>el acto que le dio origen al recurso de revisión, lo que trae como consecuencia que el mismo quede sin materia, actualizándose de este modo, la hipótesis jurídica contenida en la fracción III del artículo 192 de la Ley de Transparencia Local.</w:t>
      </w:r>
    </w:p>
    <w:p w:rsidR="00A206EC" w:rsidRPr="002D1639" w:rsidRDefault="00A206EC">
      <w:pPr>
        <w:pBdr>
          <w:top w:val="nil"/>
          <w:left w:val="nil"/>
          <w:bottom w:val="nil"/>
          <w:right w:val="nil"/>
          <w:between w:val="nil"/>
        </w:pBdr>
        <w:ind w:right="1"/>
        <w:rPr>
          <w:rFonts w:ascii="Palatino Linotype" w:eastAsia="Palatino Linotype" w:hAnsi="Palatino Linotype" w:cs="Palatino Linotype"/>
          <w:color w:val="000000"/>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como ya fue establecido, se dejan a salvo los derechos de la parte </w:t>
      </w:r>
      <w:r w:rsidRPr="002D1639">
        <w:rPr>
          <w:rFonts w:ascii="Palatino Linotype" w:eastAsia="Palatino Linotype" w:hAnsi="Palatino Linotype" w:cs="Palatino Linotype"/>
          <w:b/>
          <w:bCs/>
        </w:rPr>
        <w:t>RECURRENTE</w:t>
      </w:r>
      <w:r w:rsidRPr="002D1639">
        <w:rPr>
          <w:rFonts w:ascii="Palatino Linotype" w:eastAsia="Palatino Linotype" w:hAnsi="Palatino Linotype" w:cs="Palatino Linotype"/>
        </w:rPr>
        <w:t xml:space="preserve"> para que pueda realizar la solicitud de información ante el Sujeto Obligado correspondiente.</w:t>
      </w:r>
    </w:p>
    <w:p w:rsidR="00A206EC" w:rsidRPr="002D1639" w:rsidRDefault="00A206EC">
      <w:pPr>
        <w:spacing w:line="360" w:lineRule="auto"/>
        <w:ind w:right="1"/>
        <w:jc w:val="both"/>
        <w:rPr>
          <w:rFonts w:ascii="Palatino Linotype" w:eastAsia="Palatino Linotype" w:hAnsi="Palatino Linotype" w:cs="Palatino Linotype"/>
          <w:b/>
          <w:bCs/>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Ahora bien, </w:t>
      </w:r>
      <w:r w:rsidRPr="002D1639">
        <w:rPr>
          <w:rFonts w:ascii="Palatino Linotype" w:eastAsia="Palatino Linotype" w:hAnsi="Palatino Linotype" w:cs="Palatino Linotype"/>
        </w:rPr>
        <w:t>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rsidR="00A206EC" w:rsidRPr="002D1639" w:rsidRDefault="00A206EC">
      <w:pPr>
        <w:spacing w:line="360" w:lineRule="auto"/>
        <w:ind w:right="1"/>
        <w:jc w:val="both"/>
        <w:rPr>
          <w:rFonts w:ascii="Palatino Linotype" w:eastAsia="Palatino Linotype" w:hAnsi="Palatino Linotype" w:cs="Palatino Linotype"/>
          <w:b/>
          <w:bCs/>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De </w:t>
      </w:r>
      <w:r w:rsidRPr="002D1639">
        <w:rPr>
          <w:rFonts w:ascii="Palatino Linotype" w:eastAsia="Palatino Linotype" w:hAnsi="Palatino Linotype" w:cs="Palatino Linotype"/>
        </w:rPr>
        <w:t xml:space="preserve">este modo, cuando el </w:t>
      </w:r>
      <w:r w:rsidRPr="002D1639">
        <w:rPr>
          <w:rFonts w:ascii="Palatino Linotype" w:eastAsia="Palatino Linotype" w:hAnsi="Palatino Linotype" w:cs="Palatino Linotype"/>
          <w:b/>
          <w:bCs/>
        </w:rPr>
        <w:t xml:space="preserve">SUJETO OBLIGADO, </w:t>
      </w:r>
      <w:r w:rsidRPr="002D1639">
        <w:rPr>
          <w:rFonts w:ascii="Palatino Linotype" w:eastAsia="Palatino Linotype" w:hAnsi="Palatino Linotype" w:cs="Palatino Linotype"/>
        </w:rPr>
        <w:t xml:space="preserve">antes de que se dicte resolución definitiva, entrega la información solicitada o completa la información que en un primer momento fue incompleta o no correspondió con lo solicitado; el recurso de revisión que al </w:t>
      </w:r>
      <w:r w:rsidRPr="002D1639">
        <w:rPr>
          <w:rFonts w:ascii="Palatino Linotype" w:eastAsia="Palatino Linotype" w:hAnsi="Palatino Linotype" w:cs="Palatino Linotype"/>
        </w:rPr>
        <w:lastRenderedPageBreak/>
        <w:t xml:space="preserve">efecto se haya interpuesto queda sin materia lo que imposibilita el estudio de fondo de la </w:t>
      </w:r>
      <w:r w:rsidRPr="002D1639">
        <w:rPr>
          <w:rFonts w:ascii="Palatino Linotype" w:eastAsia="Palatino Linotype" w:hAnsi="Palatino Linotype" w:cs="Palatino Linotype"/>
          <w:i/>
          <w:iCs/>
        </w:rPr>
        <w:t>litis</w:t>
      </w:r>
      <w:r w:rsidRPr="002D1639">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A206EC" w:rsidRPr="002D1639" w:rsidRDefault="00A206EC">
      <w:pPr>
        <w:spacing w:line="360" w:lineRule="auto"/>
        <w:ind w:right="1"/>
        <w:jc w:val="both"/>
        <w:rPr>
          <w:rFonts w:ascii="Palatino Linotype" w:eastAsia="Palatino Linotype" w:hAnsi="Palatino Linotype" w:cs="Palatino Linotype"/>
          <w:b/>
          <w:bCs/>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Sirve </w:t>
      </w:r>
      <w:r w:rsidRPr="002D1639">
        <w:rPr>
          <w:rFonts w:ascii="Palatino Linotype" w:eastAsia="Palatino Linotype" w:hAnsi="Palatino Linotype" w:cs="Palatino Linotype"/>
        </w:rPr>
        <w:t>de sustento a lo anterior la siguiente jurisprudencia por contradicción, cuyo rubro, texto y datos de identificación son los siguientes:</w:t>
      </w:r>
    </w:p>
    <w:p w:rsidR="00A206EC" w:rsidRPr="002D1639" w:rsidRDefault="00B4438D">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b/>
          <w:bCs/>
          <w:i/>
          <w:iCs/>
          <w:color w:val="000000"/>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D1639">
        <w:rPr>
          <w:rFonts w:ascii="Palatino Linotype" w:eastAsia="Palatino Linotype" w:hAnsi="Palatino Linotype" w:cs="Palatino Linotype"/>
          <w:i/>
          <w:iCs/>
          <w:color w:val="000000"/>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A206EC" w:rsidRPr="002D1639" w:rsidRDefault="00A206EC">
      <w:pPr>
        <w:spacing w:line="360" w:lineRule="auto"/>
        <w:ind w:right="1"/>
        <w:jc w:val="both"/>
        <w:rPr>
          <w:rFonts w:ascii="Palatino Linotype" w:eastAsia="Palatino Linotype" w:hAnsi="Palatino Linotype" w:cs="Palatino Linotype"/>
          <w:b/>
          <w:bCs/>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La </w:t>
      </w:r>
      <w:r w:rsidRPr="002D1639">
        <w:rPr>
          <w:rFonts w:ascii="Palatino Linotype" w:eastAsia="Palatino Linotype" w:hAnsi="Palatino Linotype" w:cs="Palatino Linotype"/>
        </w:rPr>
        <w:t>anterior jurisprudencia resulta aplicable al presente asunto, en dos aspectos:</w:t>
      </w:r>
    </w:p>
    <w:p w:rsidR="00A206EC" w:rsidRPr="002D1639" w:rsidRDefault="00B4438D">
      <w:pPr>
        <w:numPr>
          <w:ilvl w:val="0"/>
          <w:numId w:val="4"/>
        </w:numPr>
        <w:ind w:left="567" w:right="616" w:firstLine="0"/>
        <w:jc w:val="both"/>
        <w:rPr>
          <w:rFonts w:ascii="Palatino Linotype" w:eastAsia="Palatino Linotype" w:hAnsi="Palatino Linotype" w:cs="Palatino Linotype"/>
        </w:rPr>
      </w:pPr>
      <w:r w:rsidRPr="002D1639">
        <w:rPr>
          <w:rFonts w:ascii="Palatino Linotype" w:eastAsia="Palatino Linotype" w:hAnsi="Palatino Linotype" w:cs="Palatino Linotype"/>
          <w:b/>
          <w:bCs/>
        </w:rPr>
        <w:t>La cesación de los efectos perniciosos del acto de autoridad:</w:t>
      </w:r>
      <w:r w:rsidRPr="002D1639">
        <w:rPr>
          <w:rFonts w:ascii="Palatino Linotype" w:eastAsia="Palatino Linotype" w:hAnsi="Palatino Linotype" w:cs="Palatino Linotype"/>
        </w:rPr>
        <w:t xml:space="preserve"> Al respecto, la Ley de Transparencia contempla la figura jurídica del sobreseimiento cuando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de </w:t>
      </w:r>
      <w:r w:rsidRPr="002D1639">
        <w:rPr>
          <w:rFonts w:ascii="Palatino Linotype" w:eastAsia="Palatino Linotype" w:hAnsi="Palatino Linotype" w:cs="Palatino Linotype"/>
          <w:i/>
          <w:iCs/>
        </w:rPr>
        <w:t>motu proprio</w:t>
      </w:r>
      <w:r w:rsidRPr="002D1639">
        <w:rPr>
          <w:rFonts w:ascii="Palatino Linotype" w:eastAsia="Palatino Linotype" w:hAnsi="Palatino Linotype" w:cs="Palatino Linotype"/>
        </w:rPr>
        <w:t xml:space="preserve"> modifica o revoca de tal manera el acto </w:t>
      </w:r>
      <w:r w:rsidRPr="002D1639">
        <w:rPr>
          <w:rFonts w:ascii="Palatino Linotype" w:eastAsia="Palatino Linotype" w:hAnsi="Palatino Linotype" w:cs="Palatino Linotype"/>
        </w:rPr>
        <w:lastRenderedPageBreak/>
        <w:t>motivo de la impugnación que lo deja sin materia; es decir, cesan los efectos de éste y el derecho de acceso a la información pública se encuentra satisfecho.</w:t>
      </w:r>
    </w:p>
    <w:p w:rsidR="00A206EC" w:rsidRPr="002D1639" w:rsidRDefault="00A206EC">
      <w:pPr>
        <w:ind w:left="567" w:right="616"/>
        <w:rPr>
          <w:rFonts w:ascii="Palatino Linotype" w:eastAsia="Palatino Linotype" w:hAnsi="Palatino Linotype" w:cs="Palatino Linotype"/>
        </w:rPr>
      </w:pPr>
    </w:p>
    <w:p w:rsidR="00A206EC" w:rsidRPr="002D1639" w:rsidRDefault="00B4438D">
      <w:pPr>
        <w:numPr>
          <w:ilvl w:val="0"/>
          <w:numId w:val="4"/>
        </w:numPr>
        <w:ind w:left="567" w:right="616" w:firstLine="0"/>
        <w:jc w:val="both"/>
        <w:rPr>
          <w:rFonts w:ascii="Palatino Linotype" w:eastAsia="Palatino Linotype" w:hAnsi="Palatino Linotype" w:cs="Palatino Linotype"/>
        </w:rPr>
      </w:pPr>
      <w:r w:rsidRPr="002D1639">
        <w:rPr>
          <w:rFonts w:ascii="Palatino Linotype" w:eastAsia="Palatino Linotype" w:hAnsi="Palatino Linotype" w:cs="Palatino Linotype"/>
          <w:b/>
          <w:bCs/>
        </w:rPr>
        <w:t>El momento procesal para modificar el acto impugnado:</w:t>
      </w:r>
      <w:r w:rsidRPr="002D1639">
        <w:rPr>
          <w:rFonts w:ascii="Palatino Linotype" w:eastAsia="Palatino Linotype" w:hAnsi="Palatino Linotype" w:cs="Palatino Linotype"/>
        </w:rPr>
        <w:t xml:space="preserve"> Para que se actualice el sobreseimiento de un recurso de revisión, el </w:t>
      </w:r>
      <w:r w:rsidRPr="002D1639">
        <w:rPr>
          <w:rFonts w:ascii="Palatino Linotype" w:eastAsia="Palatino Linotype" w:hAnsi="Palatino Linotype" w:cs="Palatino Linotype"/>
          <w:b/>
          <w:bCs/>
        </w:rPr>
        <w:t>SUJETO OBLIGADO</w:t>
      </w:r>
      <w:r w:rsidRPr="002D1639">
        <w:rPr>
          <w:rFonts w:ascii="Palatino Linotype" w:eastAsia="Palatino Linotype" w:hAnsi="Palatino Linotype" w:cs="Palatino Linotype"/>
        </w:rPr>
        <w:t xml:space="preserve"> puede entregar o completar la información al momento de rendir su informe de justificación o </w:t>
      </w:r>
      <w:r w:rsidRPr="002D1639">
        <w:rPr>
          <w:rFonts w:ascii="Palatino Linotype" w:eastAsia="Palatino Linotype" w:hAnsi="Palatino Linotype" w:cs="Palatino Linotype"/>
          <w:b/>
          <w:bCs/>
          <w:u w:val="single"/>
        </w:rPr>
        <w:t>posteriormente</w:t>
      </w:r>
      <w:r w:rsidRPr="002D1639">
        <w:rPr>
          <w:rFonts w:ascii="Palatino Linotype" w:eastAsia="Palatino Linotype" w:hAnsi="Palatino Linotype" w:cs="Palatino Linotype"/>
        </w:rPr>
        <w:t xml:space="preserve"> a éste, siempre y cuando el Pleno del Instituto no haya dictado resolución definitiva.</w:t>
      </w:r>
    </w:p>
    <w:p w:rsidR="00A206EC" w:rsidRPr="002D1639" w:rsidRDefault="00A206EC">
      <w:pPr>
        <w:spacing w:line="360" w:lineRule="auto"/>
        <w:ind w:right="1"/>
        <w:jc w:val="both"/>
        <w:rPr>
          <w:rFonts w:ascii="Palatino Linotype" w:eastAsia="Palatino Linotype" w:hAnsi="Palatino Linotype" w:cs="Palatino Linotype"/>
          <w:b/>
          <w:bCs/>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Eduardo Pallares, </w:t>
      </w:r>
      <w:r w:rsidRPr="002D1639">
        <w:rPr>
          <w:rFonts w:ascii="Palatino Linotype" w:eastAsia="Palatino Linotype" w:hAnsi="Palatino Linotype" w:cs="Palatino Linotype"/>
        </w:rPr>
        <w:t xml:space="preserve">en su artículo </w:t>
      </w:r>
      <w:r w:rsidRPr="002D1639">
        <w:rPr>
          <w:rFonts w:ascii="Palatino Linotype" w:eastAsia="Palatino Linotype" w:hAnsi="Palatino Linotype" w:cs="Palatino Linotype"/>
          <w:i/>
          <w:iCs/>
        </w:rPr>
        <w:t>“La caducidad y el sobreseimiento en el amparo”</w:t>
      </w:r>
      <w:r w:rsidRPr="002D1639">
        <w:rPr>
          <w:rFonts w:ascii="Palatino Linotype" w:eastAsia="Palatino Linotype" w:hAnsi="Palatino Linotype" w:cs="Palatino Linotype"/>
        </w:rPr>
        <w:t xml:space="preserve">, cita la definición de Aguilera Paz, aduciendo que se </w:t>
      </w:r>
      <w:r w:rsidRPr="002D1639">
        <w:rPr>
          <w:rFonts w:ascii="Palatino Linotype" w:eastAsia="Palatino Linotype" w:hAnsi="Palatino Linotype" w:cs="Palatino Linotype"/>
          <w:i/>
          <w:iCs/>
        </w:rPr>
        <w:t>“...entiende por sobreseimiento en el tecnicismo forense, el hecho de cesar en el procedimiento o curso de la causa, por no existir méritos bastantes para entrar en un juicio o para entablar la contienda judicial que debe ser objeto del mismo...”</w:t>
      </w:r>
      <w:r w:rsidRPr="002D1639">
        <w:rPr>
          <w:rFonts w:ascii="Palatino Linotype" w:eastAsia="Palatino Linotype" w:hAnsi="Palatino Linotype" w:cs="Palatino Linotype"/>
        </w:rPr>
        <w:t>. Asimismo, señala que existe el sobreseimiento provisional y el definitivo</w:t>
      </w:r>
      <w:r w:rsidRPr="002D1639">
        <w:rPr>
          <w:rFonts w:ascii="Palatino Linotype" w:eastAsia="Palatino Linotype" w:hAnsi="Palatino Linotype" w:cs="Palatino Linotype"/>
          <w:i/>
          <w:iCs/>
        </w:rPr>
        <w:t>: “...el definitivo es una verdadera sentencia que pone fin al juicio, y que una vez dictada, produce cosa juzgada, mientras que el provisorio tiene por efectos suspender la prosecución de la causa...”</w:t>
      </w:r>
    </w:p>
    <w:p w:rsidR="00A206EC" w:rsidRPr="002D1639" w:rsidRDefault="00A206EC">
      <w:pPr>
        <w:spacing w:line="360" w:lineRule="auto"/>
        <w:ind w:right="1"/>
        <w:jc w:val="both"/>
        <w:rPr>
          <w:rFonts w:ascii="Palatino Linotype" w:eastAsia="Palatino Linotype" w:hAnsi="Palatino Linotype" w:cs="Palatino Linotype"/>
          <w:b/>
          <w:bCs/>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Así, </w:t>
      </w:r>
      <w:r w:rsidRPr="002D1639">
        <w:rPr>
          <w:rFonts w:ascii="Palatino Linotype" w:eastAsia="Palatino Linotype" w:hAnsi="Palatino Linotype" w:cs="Palatino Linotype"/>
        </w:rPr>
        <w:t xml:space="preserve">para la doctrina el sobreseimiento provoca que un procedimiento se suspenda o se resuelva en definitiva </w:t>
      </w:r>
      <w:r w:rsidRPr="002D1639">
        <w:rPr>
          <w:rFonts w:ascii="Palatino Linotype" w:eastAsia="Palatino Linotype" w:hAnsi="Palatino Linotype" w:cs="Palatino Linotype"/>
          <w:b/>
          <w:bCs/>
          <w:u w:val="single"/>
        </w:rPr>
        <w:t xml:space="preserve">sin que se entre al estudio de los agravios o motivos de inconformidad. </w:t>
      </w:r>
      <w:r w:rsidRPr="002D1639">
        <w:rPr>
          <w:rFonts w:ascii="Palatino Linotype" w:eastAsia="Palatino Linotype" w:hAnsi="Palatino Linotype" w:cs="Palatino Linotype"/>
        </w:rPr>
        <w:t>Este mismo criterio es compartido por el más alto tribunal del país en múltiples jurisprudencias, por lo que a continuación se agrega una de ellas que sirve como orientador en esta resolución:</w:t>
      </w:r>
    </w:p>
    <w:p w:rsidR="00A206EC" w:rsidRPr="002D1639" w:rsidRDefault="00B4438D">
      <w:pPr>
        <w:ind w:left="567" w:right="565"/>
        <w:jc w:val="both"/>
        <w:rPr>
          <w:rFonts w:ascii="Palatino Linotype" w:eastAsia="Palatino Linotype" w:hAnsi="Palatino Linotype" w:cs="Palatino Linotype"/>
          <w:i/>
          <w:iCs/>
        </w:rPr>
      </w:pPr>
      <w:r w:rsidRPr="002D1639">
        <w:rPr>
          <w:rFonts w:ascii="Palatino Linotype" w:eastAsia="Palatino Linotype" w:hAnsi="Palatino Linotype" w:cs="Palatino Linotype"/>
          <w:b/>
          <w:bCs/>
          <w:i/>
          <w:iCs/>
        </w:rPr>
        <w:t>SOBRESEIMIENTO EN EL JUICIO DE AMPARO DIRECTO. IMPIDE EL ESTUDIO DE LAS VIOLACIONES PROCESALES PLANTEADAS EN LOS CONCEPTOS DE VIOLACIÓN. El sobreseimiento</w:t>
      </w:r>
      <w:r w:rsidRPr="002D1639">
        <w:rPr>
          <w:rFonts w:ascii="Palatino Linotype" w:eastAsia="Palatino Linotype" w:hAnsi="Palatino Linotype" w:cs="Palatino Linotype"/>
          <w:i/>
          <w:iCs/>
        </w:rPr>
        <w:t xml:space="preserve"> en el juicio de amparo directo </w:t>
      </w:r>
      <w:r w:rsidRPr="002D1639">
        <w:rPr>
          <w:rFonts w:ascii="Palatino Linotype" w:eastAsia="Palatino Linotype" w:hAnsi="Palatino Linotype" w:cs="Palatino Linotype"/>
          <w:b/>
          <w:bCs/>
          <w:i/>
          <w:iCs/>
        </w:rPr>
        <w:t>provoca la terminación de la controversia planteada</w:t>
      </w:r>
      <w:r w:rsidRPr="002D1639">
        <w:rPr>
          <w:rFonts w:ascii="Palatino Linotype" w:eastAsia="Palatino Linotype" w:hAnsi="Palatino Linotype" w:cs="Palatino Linotype"/>
          <w:i/>
          <w:iCs/>
        </w:rPr>
        <w:t xml:space="preserve"> por el quejoso en la demanda de amparo</w:t>
      </w:r>
      <w:r w:rsidRPr="002D1639">
        <w:rPr>
          <w:rFonts w:ascii="Palatino Linotype" w:eastAsia="Palatino Linotype" w:hAnsi="Palatino Linotype" w:cs="Palatino Linotype"/>
          <w:b/>
          <w:bCs/>
          <w:i/>
          <w:iCs/>
        </w:rPr>
        <w:t>, sin hacer un pronunciamiento de fondo sobre la legalidad o ilegalidad de la sentencia reclamada</w:t>
      </w:r>
      <w:r w:rsidRPr="002D1639">
        <w:rPr>
          <w:rFonts w:ascii="Palatino Linotype" w:eastAsia="Palatino Linotype" w:hAnsi="Palatino Linotype" w:cs="Palatino Linotype"/>
          <w:i/>
          <w:iCs/>
        </w:rPr>
        <w:t xml:space="preserve">. </w:t>
      </w:r>
      <w:r w:rsidRPr="002D1639">
        <w:rPr>
          <w:rFonts w:ascii="Palatino Linotype" w:eastAsia="Palatino Linotype" w:hAnsi="Palatino Linotype" w:cs="Palatino Linotype"/>
          <w:b/>
          <w:bCs/>
          <w:i/>
          <w:iCs/>
        </w:rPr>
        <w:t xml:space="preserve">Por consiguiente, si al sobreseerse en el </w:t>
      </w:r>
      <w:r w:rsidRPr="002D1639">
        <w:rPr>
          <w:rFonts w:ascii="Palatino Linotype" w:eastAsia="Palatino Linotype" w:hAnsi="Palatino Linotype" w:cs="Palatino Linotype"/>
          <w:b/>
          <w:bCs/>
          <w:i/>
          <w:iCs/>
        </w:rPr>
        <w:lastRenderedPageBreak/>
        <w:t>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D1639">
        <w:rPr>
          <w:rFonts w:ascii="Palatino Linotype" w:eastAsia="Palatino Linotype" w:hAnsi="Palatino Linotype" w:cs="Palatino Linotype"/>
          <w:i/>
          <w:iCs/>
        </w:rPr>
        <w:t>.</w:t>
      </w:r>
    </w:p>
    <w:p w:rsidR="00A206EC" w:rsidRPr="002D1639" w:rsidRDefault="00A206EC">
      <w:pPr>
        <w:spacing w:line="360" w:lineRule="auto"/>
        <w:ind w:right="1"/>
        <w:jc w:val="both"/>
        <w:rPr>
          <w:rFonts w:ascii="Palatino Linotype" w:eastAsia="Palatino Linotype" w:hAnsi="Palatino Linotype" w:cs="Palatino Linotype"/>
          <w:b/>
          <w:bCs/>
        </w:rPr>
      </w:pPr>
    </w:p>
    <w:p w:rsidR="00AD7A7A" w:rsidRPr="002D1639" w:rsidRDefault="00B4438D" w:rsidP="00AD7A7A">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Consecuentemente, </w:t>
      </w:r>
      <w:r w:rsidRPr="002D1639">
        <w:rPr>
          <w:rFonts w:ascii="Palatino Linotype" w:eastAsia="Palatino Linotype" w:hAnsi="Palatino Linotype" w:cs="Palatino Linotype"/>
        </w:rPr>
        <w:t>por lo que hace a los motivos de inconformidad, los mismos devienen inatendibles por actualizarse la figura del sobreseimiento, misma que impide el estudio de los agravios planteados, máxime que se ha dado cumplimiento al derecho de acceso a la información.</w:t>
      </w:r>
    </w:p>
    <w:p w:rsidR="00AD7A7A" w:rsidRPr="002D1639" w:rsidRDefault="00AD7A7A" w:rsidP="00AD7A7A">
      <w:pPr>
        <w:spacing w:line="360" w:lineRule="auto"/>
        <w:ind w:right="1"/>
        <w:jc w:val="both"/>
        <w:rPr>
          <w:rFonts w:ascii="Palatino Linotype" w:eastAsia="Palatino Linotype" w:hAnsi="Palatino Linotype" w:cs="Palatino Linotype"/>
          <w:b/>
          <w:bCs/>
        </w:rPr>
      </w:pPr>
    </w:p>
    <w:p w:rsidR="00AD7A7A" w:rsidRPr="002D1639" w:rsidRDefault="00AD7A7A" w:rsidP="00AD7A7A">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Por </w:t>
      </w:r>
      <w:r w:rsidRPr="002D1639">
        <w:rPr>
          <w:rFonts w:ascii="Palatino Linotype" w:hAnsi="Palatino Linotype"/>
        </w:rPr>
        <w:t xml:space="preserve">último y no menos importante, no pasa desapercibido que el </w:t>
      </w:r>
      <w:r w:rsidRPr="002D1639">
        <w:rPr>
          <w:rFonts w:ascii="Palatino Linotype" w:hAnsi="Palatino Linotype"/>
          <w:b/>
        </w:rPr>
        <w:t>RECURRENTE</w:t>
      </w:r>
      <w:r w:rsidRPr="002D1639">
        <w:rPr>
          <w:rFonts w:ascii="Palatino Linotype" w:hAnsi="Palatino Linotype"/>
        </w:rPr>
        <w:t xml:space="preserve"> a través del escrito de recurso de revisión manifestó lo siguiente: </w:t>
      </w:r>
    </w:p>
    <w:p w:rsidR="00AD7A7A" w:rsidRPr="002D1639" w:rsidRDefault="00AD7A7A" w:rsidP="00AD7A7A">
      <w:pPr>
        <w:pBdr>
          <w:top w:val="nil"/>
          <w:left w:val="nil"/>
          <w:bottom w:val="nil"/>
          <w:right w:val="nil"/>
          <w:between w:val="nil"/>
        </w:pBdr>
        <w:ind w:left="567" w:right="426"/>
        <w:jc w:val="both"/>
        <w:rPr>
          <w:rFonts w:ascii="Palatino Linotype" w:eastAsia="Palatino Linotype" w:hAnsi="Palatino Linotype" w:cs="Palatino Linotype"/>
          <w:i/>
          <w:iCs/>
          <w:color w:val="000000"/>
        </w:rPr>
      </w:pPr>
      <w:r w:rsidRPr="002D1639">
        <w:rPr>
          <w:rFonts w:ascii="Palatino Linotype" w:eastAsia="Palatino Linotype" w:hAnsi="Palatino Linotype" w:cs="Palatino Linotype"/>
          <w:i/>
          <w:color w:val="000000"/>
        </w:rPr>
        <w:t>“</w:t>
      </w:r>
      <w:r w:rsidRPr="002D1639">
        <w:rPr>
          <w:rFonts w:ascii="Palatino Linotype" w:eastAsia="Palatino Linotype" w:hAnsi="Palatino Linotype" w:cs="Palatino Linotype"/>
          <w:i/>
          <w:iCs/>
          <w:color w:val="000000"/>
        </w:rPr>
        <w:t>1</w:t>
      </w:r>
      <w:r w:rsidRPr="002D1639">
        <w:rPr>
          <w:rFonts w:ascii="Palatino Linotype" w:eastAsia="Palatino Linotype" w:hAnsi="Palatino Linotype" w:cs="Palatino Linotype"/>
          <w:i/>
          <w:iCs/>
        </w:rPr>
        <w:t xml:space="preserve">. Incongruencia jurídica: Citan el Bando Municipal en lugar del Reglamento de Movilidad específicamente invocado, lo cual representa un desvío del marco legal aplicable. 2. Falta de respuesta puntual y razonada: No explican claramente por qué no se ha iniciado el procedimiento de retiro o sanción, a pesar de la posible infracción a varios artículos (13 y 15) del Reglamento que tú citas. </w:t>
      </w:r>
      <w:r w:rsidRPr="002D1639">
        <w:rPr>
          <w:rFonts w:ascii="Palatino Linotype" w:eastAsia="Palatino Linotype" w:hAnsi="Palatino Linotype" w:cs="Palatino Linotype"/>
          <w:b/>
          <w:i/>
          <w:iCs/>
        </w:rPr>
        <w:t>Alegan que no hay denuncia, sin verificar si el reporte que tú estás presentando en esta solicitud activa ya ese procedimiento.</w:t>
      </w:r>
      <w:r w:rsidRPr="002D1639">
        <w:rPr>
          <w:rFonts w:ascii="Palatino Linotype" w:eastAsia="Palatino Linotype" w:hAnsi="Palatino Linotype" w:cs="Palatino Linotype"/>
          <w:i/>
          <w:iCs/>
        </w:rPr>
        <w:t xml:space="preserve"> 3. Omisión de documentos: No anexan acta circunstanciada, dictamen, informe técnico, inspección, ni folio de revisión del caso, como exige el principio de máxima publicidad. Esto puede implicar negligencia o inacción de la autoridad competente. 4. Posible violación al derecho de acceso a la información pública: Al no entregar documentos que deban existir conforme a su marco legal, y con base en tus observaciones como ciudadano, se presume una omisión deliberada o falta de debida diligencia.</w:t>
      </w:r>
      <w:r w:rsidRPr="002D1639">
        <w:rPr>
          <w:rFonts w:ascii="Palatino Linotype" w:eastAsia="Palatino Linotype" w:hAnsi="Palatino Linotype" w:cs="Palatino Linotype"/>
          <w:i/>
          <w:iCs/>
          <w:color w:val="000000"/>
        </w:rPr>
        <w:t>” (Sic)</w:t>
      </w:r>
    </w:p>
    <w:p w:rsidR="00AD7A7A" w:rsidRPr="002D1639" w:rsidRDefault="00AD7A7A" w:rsidP="00AD7A7A">
      <w:pPr>
        <w:pBdr>
          <w:top w:val="nil"/>
          <w:left w:val="nil"/>
          <w:bottom w:val="nil"/>
          <w:right w:val="nil"/>
          <w:between w:val="nil"/>
        </w:pBdr>
        <w:ind w:right="616"/>
        <w:jc w:val="both"/>
        <w:rPr>
          <w:rFonts w:ascii="Palatino Linotype" w:eastAsia="Palatino Linotype" w:hAnsi="Palatino Linotype" w:cs="Palatino Linotype"/>
          <w:color w:val="000000"/>
        </w:rPr>
      </w:pPr>
    </w:p>
    <w:p w:rsidR="00AD7A7A" w:rsidRPr="002D1639" w:rsidRDefault="00AD7A7A" w:rsidP="00AD7A7A">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D1639">
        <w:rPr>
          <w:rFonts w:ascii="Palatino Linotype" w:eastAsia="Palatino Linotype" w:hAnsi="Palatino Linotype" w:cs="Palatino Linotype"/>
          <w:color w:val="000000"/>
        </w:rPr>
        <w:t xml:space="preserve">Al respecto, es </w:t>
      </w:r>
      <w:r w:rsidRPr="002D1639">
        <w:rPr>
          <w:rFonts w:ascii="Palatino Linotype" w:hAnsi="Palatino Linotype"/>
        </w:rPr>
        <w:t xml:space="preserve">necesario resaltar que el Derecho de Acceso a la Información no es el medio iniciar denuncias e investigar y en su caso, sancionar delitos, por lo que se le insta </w:t>
      </w:r>
      <w:r w:rsidRPr="002D1639">
        <w:rPr>
          <w:rFonts w:ascii="Palatino Linotype" w:hAnsi="Palatino Linotype"/>
        </w:rPr>
        <w:lastRenderedPageBreak/>
        <w:t xml:space="preserve">al Particular para que, si es su deseo realizar una queja o denuncia en contra del </w:t>
      </w:r>
      <w:r w:rsidRPr="002D1639">
        <w:rPr>
          <w:rFonts w:ascii="Palatino Linotype" w:hAnsi="Palatino Linotype"/>
          <w:b/>
        </w:rPr>
        <w:t>SUJETO OBLIGADO</w:t>
      </w:r>
      <w:r w:rsidRPr="002D1639">
        <w:rPr>
          <w:rFonts w:ascii="Palatino Linotype" w:hAnsi="Palatino Linotype"/>
        </w:rPr>
        <w:t>, acuda a la autoridad competente para tal efecto.</w:t>
      </w:r>
    </w:p>
    <w:p w:rsidR="00A206EC" w:rsidRPr="002D1639" w:rsidRDefault="00A206EC" w:rsidP="00AD7A7A">
      <w:pPr>
        <w:spacing w:line="360" w:lineRule="auto"/>
        <w:ind w:right="1"/>
        <w:jc w:val="both"/>
        <w:rPr>
          <w:rFonts w:ascii="Palatino Linotype" w:eastAsia="Palatino Linotype" w:hAnsi="Palatino Linotype" w:cs="Palatino Linotype"/>
          <w:b/>
          <w:bCs/>
        </w:rPr>
      </w:pPr>
    </w:p>
    <w:p w:rsidR="00A206EC" w:rsidRPr="002D1639" w:rsidRDefault="00B4438D" w:rsidP="00AD7A7A">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000000"/>
        </w:rPr>
        <w:t xml:space="preserve">Bajo </w:t>
      </w:r>
      <w:r w:rsidRPr="002D1639">
        <w:rPr>
          <w:rFonts w:ascii="Palatino Linotype" w:eastAsia="Palatino Linotype" w:hAnsi="Palatino Linotype" w:cs="Palatino Linotype"/>
        </w:rPr>
        <w:t xml:space="preserve">ese tenor y en términos del artículo 186 fracción I este Pleno determina el </w:t>
      </w:r>
      <w:r w:rsidRPr="002D1639">
        <w:rPr>
          <w:rFonts w:ascii="Palatino Linotype" w:eastAsia="Palatino Linotype" w:hAnsi="Palatino Linotype" w:cs="Palatino Linotype"/>
          <w:b/>
          <w:bCs/>
        </w:rPr>
        <w:t xml:space="preserve">SOBRESEIMIENTO </w:t>
      </w:r>
      <w:r w:rsidRPr="002D1639">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w:t>
      </w:r>
    </w:p>
    <w:p w:rsidR="00A206EC" w:rsidRPr="002D1639" w:rsidRDefault="00A206EC">
      <w:pPr>
        <w:rPr>
          <w:rFonts w:ascii="Palatino Linotype" w:eastAsia="Palatino Linotype" w:hAnsi="Palatino Linotype" w:cs="Palatino Linotype"/>
          <w:color w:val="222222"/>
        </w:rPr>
      </w:pPr>
    </w:p>
    <w:p w:rsidR="00A206EC" w:rsidRPr="002D1639" w:rsidRDefault="00B4438D">
      <w:pPr>
        <w:numPr>
          <w:ilvl w:val="0"/>
          <w:numId w:val="1"/>
        </w:numPr>
        <w:spacing w:line="360" w:lineRule="auto"/>
        <w:ind w:left="0" w:right="1" w:firstLine="0"/>
        <w:jc w:val="both"/>
        <w:rPr>
          <w:rFonts w:ascii="Palatino Linotype" w:eastAsia="Palatino Linotype" w:hAnsi="Palatino Linotype" w:cs="Palatino Linotype"/>
          <w:b/>
          <w:bCs/>
        </w:rPr>
      </w:pPr>
      <w:r w:rsidRPr="002D1639">
        <w:rPr>
          <w:rFonts w:ascii="Palatino Linotype" w:eastAsia="Palatino Linotype" w:hAnsi="Palatino Linotype" w:cs="Palatino Linotype"/>
          <w:color w:val="222222"/>
        </w:rPr>
        <w:t xml:space="preserve">Por lo anteriormente expuesto y fundado, este </w:t>
      </w:r>
      <w:r w:rsidRPr="002D1639">
        <w:rPr>
          <w:rFonts w:ascii="Palatino Linotype" w:eastAsia="Palatino Linotype" w:hAnsi="Palatino Linotype" w:cs="Palatino Linotype"/>
          <w:b/>
          <w:bCs/>
          <w:color w:val="222222"/>
        </w:rPr>
        <w:t>ÓRGANO GARANTE</w:t>
      </w:r>
      <w:r w:rsidRPr="002D1639">
        <w:rPr>
          <w:rFonts w:ascii="Palatino Linotype" w:eastAsia="Palatino Linotype" w:hAnsi="Palatino Linotype" w:cs="Palatino Linotype"/>
          <w:color w:val="222222"/>
        </w:rPr>
        <w:t xml:space="preserve"> emite los siguientes:</w:t>
      </w:r>
    </w:p>
    <w:p w:rsidR="00A206EC" w:rsidRPr="002D1639" w:rsidRDefault="00A206EC">
      <w:pPr>
        <w:pBdr>
          <w:top w:val="nil"/>
          <w:left w:val="nil"/>
          <w:bottom w:val="nil"/>
          <w:right w:val="nil"/>
          <w:between w:val="nil"/>
        </w:pBdr>
        <w:tabs>
          <w:tab w:val="left" w:pos="426"/>
        </w:tabs>
        <w:ind w:right="51"/>
        <w:jc w:val="both"/>
        <w:rPr>
          <w:rFonts w:ascii="Palatino Linotype" w:eastAsia="Palatino Linotype" w:hAnsi="Palatino Linotype" w:cs="Palatino Linotype"/>
          <w:color w:val="000000"/>
        </w:rPr>
      </w:pPr>
    </w:p>
    <w:p w:rsidR="00A206EC" w:rsidRPr="002D1639" w:rsidRDefault="00B4438D">
      <w:pPr>
        <w:pStyle w:val="Ttulo1"/>
        <w:spacing w:before="0" w:line="360" w:lineRule="auto"/>
        <w:jc w:val="center"/>
        <w:rPr>
          <w:rFonts w:ascii="Palatino Linotype" w:eastAsia="Palatino Linotype" w:hAnsi="Palatino Linotype" w:cs="Palatino Linotype"/>
          <w:b/>
          <w:bCs/>
          <w:color w:val="000000"/>
          <w:sz w:val="24"/>
          <w:szCs w:val="24"/>
        </w:rPr>
      </w:pPr>
      <w:r w:rsidRPr="002D1639">
        <w:rPr>
          <w:rFonts w:ascii="Palatino Linotype" w:eastAsia="Palatino Linotype" w:hAnsi="Palatino Linotype" w:cs="Palatino Linotype"/>
          <w:b/>
          <w:bCs/>
          <w:color w:val="000000"/>
          <w:sz w:val="24"/>
          <w:szCs w:val="24"/>
        </w:rPr>
        <w:t>R E S O L U T I V O S</w:t>
      </w:r>
    </w:p>
    <w:p w:rsidR="00A206EC" w:rsidRPr="002D1639" w:rsidRDefault="00A206EC">
      <w:pPr>
        <w:rPr>
          <w:rFonts w:ascii="Palatino Linotype" w:eastAsia="Palatino Linotype" w:hAnsi="Palatino Linotype" w:cs="Palatino Linotype"/>
        </w:rPr>
      </w:pPr>
    </w:p>
    <w:p w:rsidR="00A206EC" w:rsidRPr="002D1639" w:rsidRDefault="00B4438D">
      <w:pPr>
        <w:spacing w:line="360" w:lineRule="auto"/>
        <w:jc w:val="both"/>
        <w:rPr>
          <w:rFonts w:ascii="Palatino Linotype" w:eastAsia="Palatino Linotype" w:hAnsi="Palatino Linotype" w:cs="Palatino Linotype"/>
          <w:b/>
          <w:bCs/>
        </w:rPr>
      </w:pPr>
      <w:r w:rsidRPr="002D1639">
        <w:rPr>
          <w:rFonts w:ascii="Palatino Linotype" w:eastAsia="Palatino Linotype" w:hAnsi="Palatino Linotype" w:cs="Palatino Linotype"/>
          <w:b/>
          <w:bCs/>
        </w:rPr>
        <w:t xml:space="preserve">PRIMERO. </w:t>
      </w:r>
      <w:r w:rsidRPr="002D1639">
        <w:rPr>
          <w:rFonts w:ascii="Palatino Linotype" w:eastAsia="Palatino Linotype" w:hAnsi="Palatino Linotype" w:cs="Palatino Linotype"/>
        </w:rPr>
        <w:t xml:space="preserve">Se </w:t>
      </w:r>
      <w:r w:rsidRPr="002D1639">
        <w:rPr>
          <w:rFonts w:ascii="Palatino Linotype" w:eastAsia="Palatino Linotype" w:hAnsi="Palatino Linotype" w:cs="Palatino Linotype"/>
          <w:b/>
          <w:bCs/>
        </w:rPr>
        <w:t>SOBRESEE</w:t>
      </w:r>
      <w:r w:rsidRPr="002D1639">
        <w:rPr>
          <w:rFonts w:ascii="Palatino Linotype" w:eastAsia="Palatino Linotype" w:hAnsi="Palatino Linotype" w:cs="Palatino Linotype"/>
        </w:rPr>
        <w:t xml:space="preserve"> el recurso de revisión número </w:t>
      </w:r>
      <w:r w:rsidRPr="002D1639">
        <w:rPr>
          <w:rFonts w:ascii="Palatino Linotype" w:eastAsia="Palatino Linotype" w:hAnsi="Palatino Linotype" w:cs="Palatino Linotype"/>
          <w:b/>
          <w:bCs/>
        </w:rPr>
        <w:t xml:space="preserve">06828/INFOEM/IP/RR/2025 </w:t>
      </w:r>
      <w:r w:rsidRPr="002D1639">
        <w:rPr>
          <w:rFonts w:ascii="Palatino Linotype" w:eastAsia="Palatino Linotype" w:hAnsi="Palatino Linotype" w:cs="Palatino Linotype"/>
        </w:rPr>
        <w:t>conforme al artículo 192</w:t>
      </w:r>
      <w:r w:rsidR="00C56A4E" w:rsidRPr="002D1639">
        <w:rPr>
          <w:rFonts w:ascii="Palatino Linotype" w:eastAsia="Palatino Linotype" w:hAnsi="Palatino Linotype" w:cs="Palatino Linotype"/>
        </w:rPr>
        <w:t>,</w:t>
      </w:r>
      <w:r w:rsidRPr="002D1639">
        <w:rPr>
          <w:rFonts w:ascii="Palatino Linotype" w:eastAsia="Palatino Linotype" w:hAnsi="Palatino Linotype" w:cs="Palatino Linotype"/>
        </w:rPr>
        <w:t xml:space="preserve"> fracción III</w:t>
      </w:r>
      <w:r w:rsidR="00C56A4E" w:rsidRPr="002D1639">
        <w:rPr>
          <w:rFonts w:ascii="Palatino Linotype" w:eastAsia="Palatino Linotype" w:hAnsi="Palatino Linotype" w:cs="Palatino Linotype"/>
        </w:rPr>
        <w:t>,</w:t>
      </w:r>
      <w:r w:rsidRPr="002D1639">
        <w:rPr>
          <w:rFonts w:ascii="Palatino Linotype" w:eastAsia="Palatino Linotype" w:hAnsi="Palatino Linotype" w:cs="Palatino Linotype"/>
        </w:rPr>
        <w:t xml:space="preserve"> de la Ley de Transparencia y Acceso a la Información Pública del Estado de México y Municipios, porque al </w:t>
      </w:r>
      <w:r w:rsidRPr="002D1639">
        <w:rPr>
          <w:rFonts w:ascii="Palatino Linotype" w:eastAsia="Palatino Linotype" w:hAnsi="Palatino Linotype" w:cs="Palatino Linotype"/>
          <w:b/>
          <w:bCs/>
        </w:rPr>
        <w:t>modificar la respuesta a través del informe justificado y atender lo solicitado</w:t>
      </w:r>
      <w:r w:rsidRPr="002D1639">
        <w:rPr>
          <w:rFonts w:ascii="Palatino Linotype" w:eastAsia="Palatino Linotype" w:hAnsi="Palatino Linotype" w:cs="Palatino Linotype"/>
        </w:rPr>
        <w:t xml:space="preserve">, el recurso de revisión quedó sin materia en términos del Considerando </w:t>
      </w:r>
      <w:r w:rsidRPr="002D1639">
        <w:rPr>
          <w:rFonts w:ascii="Palatino Linotype" w:eastAsia="Palatino Linotype" w:hAnsi="Palatino Linotype" w:cs="Palatino Linotype"/>
          <w:b/>
          <w:bCs/>
        </w:rPr>
        <w:t>TERCERO</w:t>
      </w:r>
      <w:r w:rsidRPr="002D1639">
        <w:rPr>
          <w:rFonts w:ascii="Palatino Linotype" w:eastAsia="Palatino Linotype" w:hAnsi="Palatino Linotype" w:cs="Palatino Linotype"/>
        </w:rPr>
        <w:t xml:space="preserve"> de la presente resolución.</w:t>
      </w:r>
    </w:p>
    <w:p w:rsidR="00A206EC" w:rsidRPr="002D1639" w:rsidRDefault="00A206EC">
      <w:pPr>
        <w:spacing w:line="360" w:lineRule="auto"/>
        <w:jc w:val="both"/>
        <w:rPr>
          <w:rFonts w:ascii="Palatino Linotype" w:eastAsia="Palatino Linotype" w:hAnsi="Palatino Linotype" w:cs="Palatino Linotype"/>
          <w:b/>
          <w:bCs/>
        </w:rPr>
      </w:pPr>
    </w:p>
    <w:p w:rsidR="00A206EC" w:rsidRPr="002D1639" w:rsidRDefault="00B4438D">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2D1639">
        <w:rPr>
          <w:rFonts w:ascii="Palatino Linotype" w:eastAsia="Palatino Linotype" w:hAnsi="Palatino Linotype" w:cs="Palatino Linotype"/>
          <w:b/>
          <w:bCs/>
          <w:color w:val="000000"/>
        </w:rPr>
        <w:t xml:space="preserve">SEGUNDO. </w:t>
      </w:r>
      <w:r w:rsidR="00C56A4E" w:rsidRPr="002D1639">
        <w:rPr>
          <w:rFonts w:ascii="Palatino Linotype" w:eastAsia="Palatino Linotype" w:hAnsi="Palatino Linotype" w:cs="Palatino Linotype"/>
          <w:b/>
          <w:bCs/>
          <w:color w:val="000000"/>
        </w:rPr>
        <w:t>Notifíquese</w:t>
      </w:r>
      <w:r w:rsidRPr="002D1639">
        <w:rPr>
          <w:rFonts w:ascii="Palatino Linotype" w:eastAsia="Palatino Linotype" w:hAnsi="Palatino Linotype" w:cs="Palatino Linotype"/>
          <w:b/>
          <w:bCs/>
          <w:color w:val="000000"/>
        </w:rPr>
        <w:t xml:space="preserve"> </w:t>
      </w:r>
      <w:r w:rsidRPr="002D1639">
        <w:rPr>
          <w:rFonts w:ascii="Palatino Linotype" w:eastAsia="Palatino Linotype" w:hAnsi="Palatino Linotype" w:cs="Palatino Linotype"/>
          <w:color w:val="000000"/>
        </w:rPr>
        <w:t xml:space="preserve">a través del Sistema de Acceso a la Información Mexiquense </w:t>
      </w:r>
      <w:r w:rsidRPr="002D1639">
        <w:rPr>
          <w:rFonts w:ascii="Palatino Linotype" w:eastAsia="Palatino Linotype" w:hAnsi="Palatino Linotype" w:cs="Palatino Linotype"/>
          <w:b/>
          <w:bCs/>
          <w:color w:val="000000"/>
        </w:rPr>
        <w:t xml:space="preserve">(SAIMEX) </w:t>
      </w:r>
      <w:r w:rsidRPr="002D1639">
        <w:rPr>
          <w:rFonts w:ascii="Palatino Linotype" w:eastAsia="Palatino Linotype" w:hAnsi="Palatino Linotype" w:cs="Palatino Linotype"/>
          <w:color w:val="000000"/>
        </w:rPr>
        <w:t>la presente resolución al Titular de la Unidad de Transparencia del</w:t>
      </w:r>
      <w:r w:rsidRPr="002D1639">
        <w:rPr>
          <w:rFonts w:ascii="Palatino Linotype" w:eastAsia="Palatino Linotype" w:hAnsi="Palatino Linotype" w:cs="Palatino Linotype"/>
          <w:b/>
          <w:bCs/>
          <w:color w:val="000000"/>
        </w:rPr>
        <w:t xml:space="preserve"> SUJETO OBLIGADO.</w:t>
      </w:r>
    </w:p>
    <w:p w:rsidR="00A206EC" w:rsidRPr="002D1639" w:rsidRDefault="00A206E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06EC" w:rsidRPr="002D1639" w:rsidRDefault="00B4438D">
      <w:pPr>
        <w:tabs>
          <w:tab w:val="left" w:pos="8080"/>
        </w:tabs>
        <w:spacing w:line="360" w:lineRule="auto"/>
        <w:ind w:right="49"/>
        <w:jc w:val="both"/>
        <w:rPr>
          <w:rFonts w:ascii="Palatino Linotype" w:eastAsia="Palatino Linotype" w:hAnsi="Palatino Linotype" w:cs="Palatino Linotype"/>
          <w:b/>
          <w:bCs/>
        </w:rPr>
      </w:pPr>
      <w:r w:rsidRPr="002D1639">
        <w:rPr>
          <w:rFonts w:ascii="Palatino Linotype" w:eastAsia="Palatino Linotype" w:hAnsi="Palatino Linotype" w:cs="Palatino Linotype"/>
          <w:b/>
          <w:bCs/>
        </w:rPr>
        <w:lastRenderedPageBreak/>
        <w:t xml:space="preserve">TERCERO. Notifíquese </w:t>
      </w:r>
      <w:r w:rsidRPr="002D1639">
        <w:rPr>
          <w:rFonts w:ascii="Palatino Linotype" w:eastAsia="Palatino Linotype" w:hAnsi="Palatino Linotype" w:cs="Palatino Linotype"/>
        </w:rPr>
        <w:t>a</w:t>
      </w:r>
      <w:r w:rsidRPr="002D1639">
        <w:rPr>
          <w:rFonts w:ascii="Palatino Linotype" w:eastAsia="Palatino Linotype" w:hAnsi="Palatino Linotype" w:cs="Palatino Linotype"/>
          <w:b/>
          <w:bCs/>
        </w:rPr>
        <w:t xml:space="preserve"> </w:t>
      </w:r>
      <w:r w:rsidRPr="002D1639">
        <w:rPr>
          <w:rFonts w:ascii="Palatino Linotype" w:eastAsia="Palatino Linotype" w:hAnsi="Palatino Linotype" w:cs="Palatino Linotype"/>
        </w:rPr>
        <w:t xml:space="preserve">la parte </w:t>
      </w:r>
      <w:r w:rsidRPr="002D1639">
        <w:rPr>
          <w:rFonts w:ascii="Palatino Linotype" w:eastAsia="Palatino Linotype" w:hAnsi="Palatino Linotype" w:cs="Palatino Linotype"/>
          <w:b/>
          <w:bCs/>
        </w:rPr>
        <w:t>RECURRENTE</w:t>
      </w:r>
      <w:r w:rsidRPr="002D1639">
        <w:rPr>
          <w:rFonts w:ascii="Palatino Linotype" w:eastAsia="Palatino Linotype" w:hAnsi="Palatino Linotype" w:cs="Palatino Linotype"/>
        </w:rPr>
        <w:t xml:space="preserve"> la presente resolución a través del Sistema de Acceso a la Información Mexiquense </w:t>
      </w:r>
      <w:r w:rsidRPr="002D1639">
        <w:rPr>
          <w:rFonts w:ascii="Palatino Linotype" w:eastAsia="Palatino Linotype" w:hAnsi="Palatino Linotype" w:cs="Palatino Linotype"/>
          <w:b/>
          <w:bCs/>
        </w:rPr>
        <w:t>(SAIMEX).</w:t>
      </w:r>
    </w:p>
    <w:p w:rsidR="00A206EC" w:rsidRPr="002D1639" w:rsidRDefault="00A206EC">
      <w:pPr>
        <w:tabs>
          <w:tab w:val="left" w:pos="8080"/>
        </w:tabs>
        <w:spacing w:line="360" w:lineRule="auto"/>
        <w:ind w:right="49"/>
        <w:jc w:val="both"/>
        <w:rPr>
          <w:rFonts w:ascii="Palatino Linotype" w:eastAsia="Palatino Linotype" w:hAnsi="Palatino Linotype" w:cs="Palatino Linotype"/>
          <w:b/>
          <w:bCs/>
        </w:rPr>
      </w:pPr>
    </w:p>
    <w:p w:rsidR="00A206EC" w:rsidRPr="002D1639" w:rsidRDefault="00B4438D">
      <w:pPr>
        <w:shd w:val="clear" w:color="auto" w:fill="FFFFFF"/>
        <w:spacing w:line="360" w:lineRule="auto"/>
        <w:jc w:val="both"/>
        <w:rPr>
          <w:rFonts w:ascii="Palatino Linotype" w:eastAsia="Palatino Linotype" w:hAnsi="Palatino Linotype" w:cs="Palatino Linotype"/>
        </w:rPr>
      </w:pPr>
      <w:r w:rsidRPr="002D1639">
        <w:rPr>
          <w:rFonts w:ascii="Palatino Linotype" w:eastAsia="Palatino Linotype" w:hAnsi="Palatino Linotype" w:cs="Palatino Linotype"/>
          <w:b/>
          <w:bCs/>
        </w:rPr>
        <w:t xml:space="preserve">CUARTO. </w:t>
      </w:r>
      <w:r w:rsidRPr="002D1639">
        <w:rPr>
          <w:rFonts w:ascii="Palatino Linotype" w:eastAsia="Palatino Linotype" w:hAnsi="Palatino Linotype" w:cs="Palatino Linotype"/>
        </w:rPr>
        <w:t xml:space="preserve">Se hace del conocimiento de la parte </w:t>
      </w:r>
      <w:r w:rsidRPr="002D1639">
        <w:rPr>
          <w:rFonts w:ascii="Palatino Linotype" w:eastAsia="Palatino Linotype" w:hAnsi="Palatino Linotype" w:cs="Palatino Linotype"/>
          <w:b/>
          <w:bCs/>
        </w:rPr>
        <w:t>RECURRENTE</w:t>
      </w:r>
      <w:r w:rsidRPr="002D163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206EC" w:rsidRPr="002D1639" w:rsidRDefault="00A206EC">
      <w:pPr>
        <w:shd w:val="clear" w:color="auto" w:fill="FFFFFF"/>
        <w:jc w:val="both"/>
        <w:rPr>
          <w:rFonts w:ascii="Palatino Linotype" w:eastAsia="Palatino Linotype" w:hAnsi="Palatino Linotype" w:cs="Palatino Linotype"/>
        </w:rPr>
      </w:pPr>
    </w:p>
    <w:p w:rsidR="00C56A4E" w:rsidRPr="002D1639" w:rsidRDefault="00C56A4E" w:rsidP="00C56A4E">
      <w:pPr>
        <w:spacing w:before="240" w:after="240" w:line="360" w:lineRule="auto"/>
        <w:ind w:firstLine="1"/>
        <w:jc w:val="both"/>
        <w:rPr>
          <w:rFonts w:ascii="Palatino Linotype" w:hAnsi="Palatino Linotype"/>
        </w:rPr>
      </w:pPr>
      <w:bookmarkStart w:id="22" w:name="_Hlk99014733"/>
      <w:r w:rsidRPr="002D163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2D1639">
        <w:rPr>
          <w:rFonts w:ascii="Palatino Linotype" w:hAnsi="Palatino Linotype" w:cs="Palatino Linotype"/>
          <w:color w:val="000000" w:themeColor="text1"/>
        </w:rPr>
        <w:t>ALEXIS TAPIA RAMÍREZ.</w:t>
      </w:r>
    </w:p>
    <w:bookmarkEnd w:id="22"/>
    <w:p w:rsidR="00A206EC" w:rsidRPr="002D1639" w:rsidRDefault="00A206E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p w:rsidR="00BB628C" w:rsidRPr="002D1639" w:rsidRDefault="00BB628C">
      <w:pPr>
        <w:spacing w:line="360" w:lineRule="auto"/>
        <w:ind w:right="-992"/>
        <w:rPr>
          <w:rFonts w:ascii="Palatino Linotype" w:eastAsia="Palatino Linotype" w:hAnsi="Palatino Linotype" w:cs="Palatino Linotype"/>
        </w:rPr>
      </w:pPr>
    </w:p>
    <w:sectPr w:rsidR="00BB628C" w:rsidRPr="002D1639" w:rsidSect="002D1639">
      <w:headerReference w:type="even" r:id="rId11"/>
      <w:headerReference w:type="default" r:id="rId12"/>
      <w:footerReference w:type="default" r:id="rId13"/>
      <w:headerReference w:type="first" r:id="rId14"/>
      <w:footerReference w:type="first" r:id="rId15"/>
      <w:pgSz w:w="12240" w:h="15840"/>
      <w:pgMar w:top="2269" w:right="1041"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98F" w:rsidRDefault="0058098F">
      <w:r>
        <w:separator/>
      </w:r>
    </w:p>
  </w:endnote>
  <w:endnote w:type="continuationSeparator" w:id="0">
    <w:p w:rsidR="0058098F" w:rsidRDefault="0058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481D27D-1A48-440F-B1F3-D8D2ECC30097}"/>
    <w:embedBold r:id="rId2" w:fontKey="{D1B4F4E1-7D2B-4B55-A2D4-74CF18493BE0}"/>
    <w:embedItalic r:id="rId3" w:fontKey="{43B68DBF-11E8-44C5-A4EE-2EB7D9CA1947}"/>
    <w:embedBoldItalic r:id="rId4" w:fontKey="{D7F90FFB-CB75-447B-9EFC-DBCC9C4CB72F}"/>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6BFED629-B69B-4A4E-A498-6383B88A7DB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1A3F87B-6EF2-4796-8B7B-A68C4BDA7B1B}"/>
    <w:embedBold r:id="rId7" w:fontKey="{8362612F-B335-4A8A-89F5-B0735BC4A632}"/>
    <w:embedItalic r:id="rId8" w:fontKey="{27208A03-1D32-4F1A-BF49-EF271E96164F}"/>
  </w:font>
  <w:font w:name="Calibri Light">
    <w:panose1 w:val="020F0302020204030204"/>
    <w:charset w:val="00"/>
    <w:family w:val="swiss"/>
    <w:pitch w:val="variable"/>
    <w:sig w:usb0="E4002EFF" w:usb1="C200247B" w:usb2="00000009" w:usb3="00000000" w:csb0="000001FF" w:csb1="00000000"/>
    <w:embedRegular r:id="rId9" w:fontKey="{85D46017-31C2-4436-B220-5198E450CA4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50D76769-25F8-46AF-90AE-8F0F3B2D0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6EC" w:rsidRPr="002D1639" w:rsidRDefault="00B4438D">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2D1639">
      <w:rPr>
        <w:rFonts w:ascii="Palatino Linotype" w:eastAsia="Palatino Linotype" w:hAnsi="Palatino Linotype" w:cs="Palatino Linotype"/>
        <w:b/>
        <w:color w:val="000000"/>
        <w:sz w:val="22"/>
        <w:szCs w:val="20"/>
      </w:rPr>
      <w:t xml:space="preserve">Página </w:t>
    </w:r>
    <w:r w:rsidRPr="002D1639">
      <w:rPr>
        <w:rFonts w:ascii="Palatino Linotype" w:eastAsia="Palatino Linotype" w:hAnsi="Palatino Linotype" w:cs="Palatino Linotype"/>
        <w:b/>
        <w:color w:val="000000"/>
        <w:sz w:val="22"/>
        <w:szCs w:val="20"/>
      </w:rPr>
      <w:fldChar w:fldCharType="begin"/>
    </w:r>
    <w:r w:rsidRPr="002D1639">
      <w:rPr>
        <w:rFonts w:ascii="Palatino Linotype" w:eastAsia="Palatino Linotype" w:hAnsi="Palatino Linotype" w:cs="Palatino Linotype"/>
        <w:b/>
        <w:color w:val="000000"/>
        <w:sz w:val="22"/>
        <w:szCs w:val="20"/>
      </w:rPr>
      <w:instrText>PAGE</w:instrText>
    </w:r>
    <w:r w:rsidRPr="002D1639">
      <w:rPr>
        <w:rFonts w:ascii="Palatino Linotype" w:eastAsia="Palatino Linotype" w:hAnsi="Palatino Linotype" w:cs="Palatino Linotype"/>
        <w:b/>
        <w:color w:val="000000"/>
        <w:sz w:val="22"/>
        <w:szCs w:val="20"/>
      </w:rPr>
      <w:fldChar w:fldCharType="separate"/>
    </w:r>
    <w:r w:rsidR="00F13CBE">
      <w:rPr>
        <w:rFonts w:ascii="Palatino Linotype" w:eastAsia="Palatino Linotype" w:hAnsi="Palatino Linotype" w:cs="Palatino Linotype"/>
        <w:b/>
        <w:noProof/>
        <w:color w:val="000000"/>
        <w:sz w:val="22"/>
        <w:szCs w:val="20"/>
      </w:rPr>
      <w:t>19</w:t>
    </w:r>
    <w:r w:rsidRPr="002D1639">
      <w:rPr>
        <w:rFonts w:ascii="Palatino Linotype" w:eastAsia="Palatino Linotype" w:hAnsi="Palatino Linotype" w:cs="Palatino Linotype"/>
        <w:b/>
        <w:color w:val="000000"/>
        <w:sz w:val="22"/>
        <w:szCs w:val="20"/>
      </w:rPr>
      <w:fldChar w:fldCharType="end"/>
    </w:r>
    <w:r w:rsidRPr="002D1639">
      <w:rPr>
        <w:rFonts w:ascii="Palatino Linotype" w:eastAsia="Palatino Linotype" w:hAnsi="Palatino Linotype" w:cs="Palatino Linotype"/>
        <w:b/>
        <w:color w:val="000000"/>
        <w:sz w:val="22"/>
        <w:szCs w:val="20"/>
      </w:rPr>
      <w:t xml:space="preserve"> de </w:t>
    </w:r>
    <w:r w:rsidRPr="002D1639">
      <w:rPr>
        <w:rFonts w:ascii="Palatino Linotype" w:eastAsia="Palatino Linotype" w:hAnsi="Palatino Linotype" w:cs="Palatino Linotype"/>
        <w:b/>
        <w:color w:val="000000"/>
        <w:sz w:val="22"/>
        <w:szCs w:val="20"/>
      </w:rPr>
      <w:fldChar w:fldCharType="begin"/>
    </w:r>
    <w:r w:rsidRPr="002D1639">
      <w:rPr>
        <w:rFonts w:ascii="Palatino Linotype" w:eastAsia="Palatino Linotype" w:hAnsi="Palatino Linotype" w:cs="Palatino Linotype"/>
        <w:b/>
        <w:color w:val="000000"/>
        <w:sz w:val="22"/>
        <w:szCs w:val="20"/>
      </w:rPr>
      <w:instrText>NUMPAGES</w:instrText>
    </w:r>
    <w:r w:rsidRPr="002D1639">
      <w:rPr>
        <w:rFonts w:ascii="Palatino Linotype" w:eastAsia="Palatino Linotype" w:hAnsi="Palatino Linotype" w:cs="Palatino Linotype"/>
        <w:b/>
        <w:color w:val="000000"/>
        <w:sz w:val="22"/>
        <w:szCs w:val="20"/>
      </w:rPr>
      <w:fldChar w:fldCharType="separate"/>
    </w:r>
    <w:r w:rsidR="00F13CBE">
      <w:rPr>
        <w:rFonts w:ascii="Palatino Linotype" w:eastAsia="Palatino Linotype" w:hAnsi="Palatino Linotype" w:cs="Palatino Linotype"/>
        <w:b/>
        <w:noProof/>
        <w:color w:val="000000"/>
        <w:sz w:val="22"/>
        <w:szCs w:val="20"/>
      </w:rPr>
      <w:t>19</w:t>
    </w:r>
    <w:r w:rsidRPr="002D1639">
      <w:rPr>
        <w:rFonts w:ascii="Palatino Linotype" w:eastAsia="Palatino Linotype" w:hAnsi="Palatino Linotype" w:cs="Palatino Linotype"/>
        <w:b/>
        <w:color w:val="000000"/>
        <w:sz w:val="22"/>
        <w:szCs w:val="20"/>
      </w:rPr>
      <w:fldChar w:fldCharType="end"/>
    </w:r>
  </w:p>
  <w:p w:rsidR="00A206EC" w:rsidRDefault="00A206E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6EC" w:rsidRPr="002D1639" w:rsidRDefault="00B4438D">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0"/>
        <w:szCs w:val="20"/>
      </w:rPr>
    </w:pPr>
    <w:r w:rsidRPr="002D1639">
      <w:rPr>
        <w:rFonts w:ascii="Palatino Linotype" w:eastAsia="Palatino Linotype" w:hAnsi="Palatino Linotype" w:cs="Palatino Linotype"/>
        <w:b/>
        <w:color w:val="000000"/>
        <w:sz w:val="22"/>
        <w:szCs w:val="20"/>
      </w:rPr>
      <w:t xml:space="preserve">Página </w:t>
    </w:r>
    <w:r w:rsidRPr="002D1639">
      <w:rPr>
        <w:rFonts w:ascii="Palatino Linotype" w:eastAsia="Palatino Linotype" w:hAnsi="Palatino Linotype" w:cs="Palatino Linotype"/>
        <w:b/>
        <w:color w:val="000000"/>
        <w:sz w:val="22"/>
        <w:szCs w:val="20"/>
      </w:rPr>
      <w:fldChar w:fldCharType="begin"/>
    </w:r>
    <w:r w:rsidRPr="002D1639">
      <w:rPr>
        <w:rFonts w:ascii="Palatino Linotype" w:eastAsia="Palatino Linotype" w:hAnsi="Palatino Linotype" w:cs="Palatino Linotype"/>
        <w:b/>
        <w:color w:val="000000"/>
        <w:sz w:val="22"/>
        <w:szCs w:val="20"/>
      </w:rPr>
      <w:instrText>PAGE</w:instrText>
    </w:r>
    <w:r w:rsidRPr="002D1639">
      <w:rPr>
        <w:rFonts w:ascii="Palatino Linotype" w:eastAsia="Palatino Linotype" w:hAnsi="Palatino Linotype" w:cs="Palatino Linotype"/>
        <w:b/>
        <w:color w:val="000000"/>
        <w:sz w:val="22"/>
        <w:szCs w:val="20"/>
      </w:rPr>
      <w:fldChar w:fldCharType="separate"/>
    </w:r>
    <w:r w:rsidR="00F13CBE">
      <w:rPr>
        <w:rFonts w:ascii="Palatino Linotype" w:eastAsia="Palatino Linotype" w:hAnsi="Palatino Linotype" w:cs="Palatino Linotype"/>
        <w:b/>
        <w:noProof/>
        <w:color w:val="000000"/>
        <w:sz w:val="22"/>
        <w:szCs w:val="20"/>
      </w:rPr>
      <w:t>1</w:t>
    </w:r>
    <w:r w:rsidRPr="002D1639">
      <w:rPr>
        <w:rFonts w:ascii="Palatino Linotype" w:eastAsia="Palatino Linotype" w:hAnsi="Palatino Linotype" w:cs="Palatino Linotype"/>
        <w:b/>
        <w:color w:val="000000"/>
        <w:sz w:val="22"/>
        <w:szCs w:val="20"/>
      </w:rPr>
      <w:fldChar w:fldCharType="end"/>
    </w:r>
    <w:r w:rsidRPr="002D1639">
      <w:rPr>
        <w:rFonts w:ascii="Palatino Linotype" w:eastAsia="Palatino Linotype" w:hAnsi="Palatino Linotype" w:cs="Palatino Linotype"/>
        <w:b/>
        <w:color w:val="000000"/>
        <w:sz w:val="22"/>
        <w:szCs w:val="20"/>
      </w:rPr>
      <w:t xml:space="preserve"> de </w:t>
    </w:r>
    <w:r w:rsidRPr="002D1639">
      <w:rPr>
        <w:rFonts w:ascii="Palatino Linotype" w:eastAsia="Palatino Linotype" w:hAnsi="Palatino Linotype" w:cs="Palatino Linotype"/>
        <w:b/>
        <w:color w:val="000000"/>
        <w:sz w:val="22"/>
        <w:szCs w:val="20"/>
      </w:rPr>
      <w:fldChar w:fldCharType="begin"/>
    </w:r>
    <w:r w:rsidRPr="002D1639">
      <w:rPr>
        <w:rFonts w:ascii="Palatino Linotype" w:eastAsia="Palatino Linotype" w:hAnsi="Palatino Linotype" w:cs="Palatino Linotype"/>
        <w:b/>
        <w:color w:val="000000"/>
        <w:sz w:val="22"/>
        <w:szCs w:val="20"/>
      </w:rPr>
      <w:instrText>NUMPAGES</w:instrText>
    </w:r>
    <w:r w:rsidRPr="002D1639">
      <w:rPr>
        <w:rFonts w:ascii="Palatino Linotype" w:eastAsia="Palatino Linotype" w:hAnsi="Palatino Linotype" w:cs="Palatino Linotype"/>
        <w:b/>
        <w:color w:val="000000"/>
        <w:sz w:val="22"/>
        <w:szCs w:val="20"/>
      </w:rPr>
      <w:fldChar w:fldCharType="separate"/>
    </w:r>
    <w:r w:rsidR="00F13CBE">
      <w:rPr>
        <w:rFonts w:ascii="Palatino Linotype" w:eastAsia="Palatino Linotype" w:hAnsi="Palatino Linotype" w:cs="Palatino Linotype"/>
        <w:b/>
        <w:noProof/>
        <w:color w:val="000000"/>
        <w:sz w:val="22"/>
        <w:szCs w:val="20"/>
      </w:rPr>
      <w:t>19</w:t>
    </w:r>
    <w:r w:rsidRPr="002D1639">
      <w:rPr>
        <w:rFonts w:ascii="Palatino Linotype" w:eastAsia="Palatino Linotype" w:hAnsi="Palatino Linotype" w:cs="Palatino Linotype"/>
        <w:b/>
        <w:color w:val="000000"/>
        <w:sz w:val="22"/>
        <w:szCs w:val="20"/>
      </w:rPr>
      <w:fldChar w:fldCharType="end"/>
    </w:r>
  </w:p>
  <w:p w:rsidR="00A206EC" w:rsidRDefault="00A206E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98F" w:rsidRDefault="0058098F">
      <w:r>
        <w:separator/>
      </w:r>
    </w:p>
  </w:footnote>
  <w:footnote w:type="continuationSeparator" w:id="0">
    <w:p w:rsidR="0058098F" w:rsidRDefault="0058098F">
      <w:r>
        <w:continuationSeparator/>
      </w:r>
    </w:p>
  </w:footnote>
  <w:footnote w:id="1">
    <w:p w:rsidR="00A206EC" w:rsidRDefault="00B443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2">
    <w:p w:rsidR="00A206EC" w:rsidRDefault="00B443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3">
    <w:p w:rsidR="00A206EC" w:rsidRDefault="00B443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4">
    <w:p w:rsidR="00A206EC" w:rsidRDefault="00B443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6EC" w:rsidRDefault="0058098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945" w:type="dxa"/>
      <w:tblInd w:w="3119" w:type="dxa"/>
      <w:tblLayout w:type="fixed"/>
      <w:tblLook w:val="0400" w:firstRow="0" w:lastRow="0" w:firstColumn="0" w:lastColumn="0" w:noHBand="0" w:noVBand="1"/>
    </w:tblPr>
    <w:tblGrid>
      <w:gridCol w:w="2976"/>
      <w:gridCol w:w="3969"/>
    </w:tblGrid>
    <w:tr w:rsidR="00A206EC" w:rsidTr="002D1639">
      <w:trPr>
        <w:trHeight w:val="227"/>
      </w:trPr>
      <w:tc>
        <w:tcPr>
          <w:tcW w:w="2976" w:type="dxa"/>
          <w:vAlign w:val="center"/>
        </w:tcPr>
        <w:p w:rsidR="00A206EC" w:rsidRPr="002D1639" w:rsidRDefault="00B4438D">
          <w:pPr>
            <w:ind w:right="34"/>
            <w:jc w:val="right"/>
            <w:rPr>
              <w:rFonts w:ascii="Palatino Linotype" w:eastAsia="Palatino Linotype" w:hAnsi="Palatino Linotype" w:cs="Palatino Linotype"/>
              <w:b/>
              <w:bCs/>
              <w:szCs w:val="22"/>
            </w:rPr>
          </w:pPr>
          <w:r w:rsidRPr="002D1639">
            <w:rPr>
              <w:rFonts w:ascii="Palatino Linotype" w:eastAsia="Palatino Linotype" w:hAnsi="Palatino Linotype" w:cs="Palatino Linotype"/>
              <w:b/>
              <w:bCs/>
              <w:szCs w:val="22"/>
            </w:rPr>
            <w:t>Recurso de Revisión:</w:t>
          </w:r>
        </w:p>
      </w:tc>
      <w:tc>
        <w:tcPr>
          <w:tcW w:w="3969" w:type="dxa"/>
          <w:vAlign w:val="center"/>
        </w:tcPr>
        <w:p w:rsidR="00A206EC" w:rsidRPr="002D1639" w:rsidRDefault="00B4438D" w:rsidP="002D163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2D1639">
            <w:rPr>
              <w:rFonts w:ascii="Palatino Linotype" w:eastAsia="Palatino Linotype" w:hAnsi="Palatino Linotype" w:cs="Palatino Linotype"/>
              <w:bCs/>
              <w:color w:val="000000"/>
              <w:szCs w:val="22"/>
            </w:rPr>
            <w:t>0</w:t>
          </w:r>
          <w:r w:rsidRPr="002D1639">
            <w:rPr>
              <w:rFonts w:ascii="Palatino Linotype" w:eastAsia="Palatino Linotype" w:hAnsi="Palatino Linotype" w:cs="Palatino Linotype"/>
              <w:bCs/>
              <w:szCs w:val="22"/>
            </w:rPr>
            <w:t>6828</w:t>
          </w:r>
          <w:r w:rsidRPr="002D1639">
            <w:rPr>
              <w:rFonts w:ascii="Palatino Linotype" w:eastAsia="Palatino Linotype" w:hAnsi="Palatino Linotype" w:cs="Palatino Linotype"/>
              <w:bCs/>
              <w:color w:val="000000"/>
              <w:szCs w:val="22"/>
            </w:rPr>
            <w:t>/INFOEM/IP/RR/2025</w:t>
          </w:r>
        </w:p>
      </w:tc>
    </w:tr>
    <w:tr w:rsidR="00A206EC" w:rsidTr="002D1639">
      <w:trPr>
        <w:trHeight w:val="242"/>
      </w:trPr>
      <w:tc>
        <w:tcPr>
          <w:tcW w:w="2976" w:type="dxa"/>
          <w:vAlign w:val="center"/>
        </w:tcPr>
        <w:p w:rsidR="00A206EC" w:rsidRPr="002D1639" w:rsidRDefault="00B4438D">
          <w:pPr>
            <w:ind w:right="34"/>
            <w:jc w:val="right"/>
            <w:rPr>
              <w:rFonts w:ascii="Palatino Linotype" w:eastAsia="Palatino Linotype" w:hAnsi="Palatino Linotype" w:cs="Palatino Linotype"/>
              <w:b/>
              <w:bCs/>
              <w:szCs w:val="22"/>
            </w:rPr>
          </w:pPr>
          <w:r w:rsidRPr="002D1639">
            <w:rPr>
              <w:rFonts w:ascii="Palatino Linotype" w:eastAsia="Palatino Linotype" w:hAnsi="Palatino Linotype" w:cs="Palatino Linotype"/>
              <w:b/>
              <w:bCs/>
              <w:szCs w:val="22"/>
            </w:rPr>
            <w:t>Sujeto Obligado:</w:t>
          </w:r>
        </w:p>
      </w:tc>
      <w:tc>
        <w:tcPr>
          <w:tcW w:w="3969" w:type="dxa"/>
          <w:vAlign w:val="center"/>
        </w:tcPr>
        <w:p w:rsidR="00A206EC" w:rsidRPr="002D1639" w:rsidRDefault="00B4438D" w:rsidP="002D1639">
          <w:pPr>
            <w:pBdr>
              <w:top w:val="nil"/>
              <w:left w:val="nil"/>
              <w:bottom w:val="nil"/>
              <w:right w:val="nil"/>
              <w:between w:val="nil"/>
            </w:pBdr>
            <w:tabs>
              <w:tab w:val="center" w:pos="4419"/>
              <w:tab w:val="right" w:pos="8838"/>
            </w:tabs>
            <w:ind w:right="212"/>
            <w:rPr>
              <w:rFonts w:ascii="Palatino Linotype" w:eastAsia="Palatino Linotype" w:hAnsi="Palatino Linotype" w:cs="Palatino Linotype"/>
              <w:bCs/>
              <w:color w:val="000000"/>
              <w:szCs w:val="22"/>
            </w:rPr>
          </w:pPr>
          <w:r w:rsidRPr="002D1639">
            <w:rPr>
              <w:rFonts w:ascii="Palatino Linotype" w:eastAsia="Palatino Linotype" w:hAnsi="Palatino Linotype" w:cs="Palatino Linotype"/>
              <w:bCs/>
              <w:szCs w:val="22"/>
            </w:rPr>
            <w:t>Ayuntamiento de Huehuetoca</w:t>
          </w:r>
        </w:p>
      </w:tc>
    </w:tr>
    <w:tr w:rsidR="00A206EC" w:rsidTr="002D1639">
      <w:trPr>
        <w:trHeight w:val="342"/>
      </w:trPr>
      <w:tc>
        <w:tcPr>
          <w:tcW w:w="2976" w:type="dxa"/>
          <w:vAlign w:val="center"/>
        </w:tcPr>
        <w:p w:rsidR="00A206EC" w:rsidRPr="002D1639" w:rsidRDefault="00B4438D">
          <w:pPr>
            <w:ind w:right="34"/>
            <w:jc w:val="right"/>
            <w:rPr>
              <w:rFonts w:ascii="Palatino Linotype" w:eastAsia="Palatino Linotype" w:hAnsi="Palatino Linotype" w:cs="Palatino Linotype"/>
              <w:b/>
              <w:bCs/>
              <w:szCs w:val="22"/>
            </w:rPr>
          </w:pPr>
          <w:r w:rsidRPr="002D1639">
            <w:rPr>
              <w:rFonts w:ascii="Palatino Linotype" w:eastAsia="Palatino Linotype" w:hAnsi="Palatino Linotype" w:cs="Palatino Linotype"/>
              <w:b/>
              <w:bCs/>
              <w:szCs w:val="22"/>
            </w:rPr>
            <w:t>Comisionada Ponente:</w:t>
          </w:r>
        </w:p>
      </w:tc>
      <w:tc>
        <w:tcPr>
          <w:tcW w:w="3969" w:type="dxa"/>
          <w:vAlign w:val="center"/>
        </w:tcPr>
        <w:p w:rsidR="00A206EC" w:rsidRPr="002D1639" w:rsidRDefault="00B4438D" w:rsidP="002D163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2D1639">
            <w:rPr>
              <w:rFonts w:ascii="Palatino Linotype" w:eastAsia="Palatino Linotype" w:hAnsi="Palatino Linotype" w:cs="Palatino Linotype"/>
              <w:bCs/>
              <w:color w:val="000000"/>
              <w:szCs w:val="22"/>
            </w:rPr>
            <w:t>María del Rosario Mejía Ayala</w:t>
          </w:r>
        </w:p>
      </w:tc>
    </w:tr>
  </w:tbl>
  <w:p w:rsidR="00A206EC" w:rsidRDefault="0058098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31.8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660" w:type="dxa"/>
      <w:tblInd w:w="3119" w:type="dxa"/>
      <w:tblLayout w:type="fixed"/>
      <w:tblLook w:val="0400" w:firstRow="0" w:lastRow="0" w:firstColumn="0" w:lastColumn="0" w:noHBand="0" w:noVBand="1"/>
    </w:tblPr>
    <w:tblGrid>
      <w:gridCol w:w="2977"/>
      <w:gridCol w:w="3683"/>
    </w:tblGrid>
    <w:tr w:rsidR="00A206EC" w:rsidTr="002D1639">
      <w:trPr>
        <w:trHeight w:val="227"/>
      </w:trPr>
      <w:tc>
        <w:tcPr>
          <w:tcW w:w="2977" w:type="dxa"/>
          <w:vAlign w:val="center"/>
        </w:tcPr>
        <w:p w:rsidR="00A206EC" w:rsidRPr="002D1639" w:rsidRDefault="00B4438D">
          <w:pPr>
            <w:jc w:val="right"/>
            <w:rPr>
              <w:rFonts w:ascii="Palatino Linotype" w:eastAsia="Palatino Linotype" w:hAnsi="Palatino Linotype" w:cs="Palatino Linotype"/>
              <w:b/>
              <w:bCs/>
            </w:rPr>
          </w:pPr>
          <w:r w:rsidRPr="002D1639">
            <w:rPr>
              <w:rFonts w:ascii="Palatino Linotype" w:eastAsia="Palatino Linotype" w:hAnsi="Palatino Linotype" w:cs="Palatino Linotype"/>
              <w:b/>
              <w:bCs/>
            </w:rPr>
            <w:t>Recurso de Revisión:</w:t>
          </w:r>
        </w:p>
      </w:tc>
      <w:tc>
        <w:tcPr>
          <w:tcW w:w="3683" w:type="dxa"/>
          <w:vAlign w:val="center"/>
        </w:tcPr>
        <w:p w:rsidR="00A206EC" w:rsidRPr="002D1639" w:rsidRDefault="00B4438D">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highlight w:val="white"/>
            </w:rPr>
          </w:pPr>
          <w:r w:rsidRPr="002D1639">
            <w:rPr>
              <w:rFonts w:ascii="Palatino Linotype" w:eastAsia="Palatino Linotype" w:hAnsi="Palatino Linotype" w:cs="Palatino Linotype"/>
              <w:bCs/>
              <w:color w:val="000000"/>
              <w:highlight w:val="white"/>
            </w:rPr>
            <w:t>0</w:t>
          </w:r>
          <w:r w:rsidRPr="002D1639">
            <w:rPr>
              <w:rFonts w:ascii="Palatino Linotype" w:eastAsia="Palatino Linotype" w:hAnsi="Palatino Linotype" w:cs="Palatino Linotype"/>
              <w:bCs/>
              <w:highlight w:val="white"/>
            </w:rPr>
            <w:t>6828</w:t>
          </w:r>
          <w:r w:rsidRPr="002D1639">
            <w:rPr>
              <w:rFonts w:ascii="Palatino Linotype" w:eastAsia="Palatino Linotype" w:hAnsi="Palatino Linotype" w:cs="Palatino Linotype"/>
              <w:bCs/>
              <w:color w:val="000000"/>
              <w:highlight w:val="white"/>
            </w:rPr>
            <w:t>/INFOEM/IP/RR/2025</w:t>
          </w:r>
        </w:p>
      </w:tc>
    </w:tr>
    <w:tr w:rsidR="00A206EC" w:rsidTr="002D1639">
      <w:trPr>
        <w:trHeight w:val="242"/>
      </w:trPr>
      <w:tc>
        <w:tcPr>
          <w:tcW w:w="2977" w:type="dxa"/>
          <w:vAlign w:val="center"/>
        </w:tcPr>
        <w:p w:rsidR="00A206EC" w:rsidRPr="002D1639" w:rsidRDefault="00B4438D">
          <w:pPr>
            <w:jc w:val="right"/>
            <w:rPr>
              <w:rFonts w:ascii="Palatino Linotype" w:eastAsia="Palatino Linotype" w:hAnsi="Palatino Linotype" w:cs="Palatino Linotype"/>
              <w:b/>
              <w:bCs/>
            </w:rPr>
          </w:pPr>
          <w:r w:rsidRPr="002D1639">
            <w:rPr>
              <w:rFonts w:ascii="Palatino Linotype" w:eastAsia="Palatino Linotype" w:hAnsi="Palatino Linotype" w:cs="Palatino Linotype"/>
              <w:b/>
              <w:bCs/>
            </w:rPr>
            <w:t>Recurrente:</w:t>
          </w:r>
        </w:p>
      </w:tc>
      <w:tc>
        <w:tcPr>
          <w:tcW w:w="3683" w:type="dxa"/>
        </w:tcPr>
        <w:p w:rsidR="00A206EC" w:rsidRPr="002D1639" w:rsidRDefault="00F13CBE">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color w:val="000000"/>
              <w:highlight w:val="white"/>
            </w:rPr>
          </w:pPr>
          <w:r>
            <w:rPr>
              <w:rFonts w:ascii="Palatino Linotype" w:eastAsia="Palatino Linotype" w:hAnsi="Palatino Linotype" w:cs="Palatino Linotype"/>
              <w:bCs/>
              <w:highlight w:val="white"/>
            </w:rPr>
            <w:t>XXXX</w:t>
          </w:r>
          <w:r w:rsidR="00B4438D" w:rsidRPr="002D1639">
            <w:rPr>
              <w:rFonts w:ascii="Palatino Linotype" w:eastAsia="Palatino Linotype" w:hAnsi="Palatino Linotype" w:cs="Palatino Linotype"/>
              <w:bCs/>
              <w:highlight w:val="white"/>
            </w:rPr>
            <w:t xml:space="preserve"> </w:t>
          </w:r>
        </w:p>
      </w:tc>
    </w:tr>
    <w:tr w:rsidR="00A206EC" w:rsidTr="002D1639">
      <w:trPr>
        <w:trHeight w:val="342"/>
      </w:trPr>
      <w:tc>
        <w:tcPr>
          <w:tcW w:w="2977" w:type="dxa"/>
          <w:vAlign w:val="center"/>
        </w:tcPr>
        <w:p w:rsidR="00A206EC" w:rsidRPr="002D1639" w:rsidRDefault="00B4438D">
          <w:pPr>
            <w:jc w:val="right"/>
            <w:rPr>
              <w:rFonts w:ascii="Palatino Linotype" w:eastAsia="Palatino Linotype" w:hAnsi="Palatino Linotype" w:cs="Palatino Linotype"/>
              <w:b/>
              <w:bCs/>
            </w:rPr>
          </w:pPr>
          <w:r w:rsidRPr="002D1639">
            <w:rPr>
              <w:rFonts w:ascii="Palatino Linotype" w:eastAsia="Palatino Linotype" w:hAnsi="Palatino Linotype" w:cs="Palatino Linotype"/>
              <w:b/>
              <w:bCs/>
            </w:rPr>
            <w:t>Sujeto Obligado:</w:t>
          </w:r>
        </w:p>
      </w:tc>
      <w:tc>
        <w:tcPr>
          <w:tcW w:w="3683" w:type="dxa"/>
          <w:vAlign w:val="center"/>
        </w:tcPr>
        <w:p w:rsidR="00A206EC" w:rsidRPr="002D1639" w:rsidRDefault="00B4438D">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rPr>
          </w:pPr>
          <w:r w:rsidRPr="002D1639">
            <w:rPr>
              <w:rFonts w:ascii="Palatino Linotype" w:eastAsia="Palatino Linotype" w:hAnsi="Palatino Linotype" w:cs="Palatino Linotype"/>
              <w:bCs/>
            </w:rPr>
            <w:t>Ayuntamiento de Huehuetoca</w:t>
          </w:r>
        </w:p>
      </w:tc>
    </w:tr>
    <w:tr w:rsidR="00A206EC" w:rsidTr="002D1639">
      <w:trPr>
        <w:trHeight w:val="342"/>
      </w:trPr>
      <w:tc>
        <w:tcPr>
          <w:tcW w:w="2977" w:type="dxa"/>
          <w:vAlign w:val="center"/>
        </w:tcPr>
        <w:p w:rsidR="00A206EC" w:rsidRPr="002D1639" w:rsidRDefault="00B4438D">
          <w:pPr>
            <w:jc w:val="right"/>
            <w:rPr>
              <w:rFonts w:ascii="Palatino Linotype" w:eastAsia="Palatino Linotype" w:hAnsi="Palatino Linotype" w:cs="Palatino Linotype"/>
              <w:b/>
              <w:bCs/>
            </w:rPr>
          </w:pPr>
          <w:r w:rsidRPr="002D1639">
            <w:rPr>
              <w:rFonts w:ascii="Palatino Linotype" w:eastAsia="Palatino Linotype" w:hAnsi="Palatino Linotype" w:cs="Palatino Linotype"/>
              <w:b/>
              <w:bCs/>
            </w:rPr>
            <w:t>Comisionada Ponente:</w:t>
          </w:r>
        </w:p>
      </w:tc>
      <w:tc>
        <w:tcPr>
          <w:tcW w:w="3683" w:type="dxa"/>
          <w:vAlign w:val="center"/>
        </w:tcPr>
        <w:p w:rsidR="00A206EC" w:rsidRPr="002D1639" w:rsidRDefault="00B4438D">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2D1639">
            <w:rPr>
              <w:rFonts w:ascii="Palatino Linotype" w:eastAsia="Palatino Linotype" w:hAnsi="Palatino Linotype" w:cs="Palatino Linotype"/>
              <w:bCs/>
              <w:color w:val="000000"/>
            </w:rPr>
            <w:t>María del Rosario Mejía Ayala</w:t>
          </w:r>
        </w:p>
      </w:tc>
    </w:tr>
  </w:tbl>
  <w:p w:rsidR="00A206EC" w:rsidRDefault="0058098F">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44528"/>
    <w:multiLevelType w:val="multilevel"/>
    <w:tmpl w:val="BF12B90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0B0EE7"/>
    <w:multiLevelType w:val="multilevel"/>
    <w:tmpl w:val="B192E0FE"/>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496714"/>
    <w:multiLevelType w:val="multilevel"/>
    <w:tmpl w:val="524CA8DC"/>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3" w15:restartNumberingAfterBreak="0">
    <w:nsid w:val="72F275B9"/>
    <w:multiLevelType w:val="hybridMultilevel"/>
    <w:tmpl w:val="8C32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483663"/>
    <w:multiLevelType w:val="multilevel"/>
    <w:tmpl w:val="5772435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C2617AF"/>
    <w:multiLevelType w:val="multilevel"/>
    <w:tmpl w:val="80407A6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7E736619"/>
    <w:multiLevelType w:val="multilevel"/>
    <w:tmpl w:val="3D16DE90"/>
    <w:lvl w:ilvl="0">
      <w:start w:val="1"/>
      <w:numFmt w:val="decimal"/>
      <w:pStyle w:val="Listaconvietas3"/>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4"/>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EC"/>
    <w:rsid w:val="001D1B57"/>
    <w:rsid w:val="002D1639"/>
    <w:rsid w:val="00312AEE"/>
    <w:rsid w:val="004C1E1E"/>
    <w:rsid w:val="0058098F"/>
    <w:rsid w:val="00996150"/>
    <w:rsid w:val="00A206EC"/>
    <w:rsid w:val="00AD7A7A"/>
    <w:rsid w:val="00B4438D"/>
    <w:rsid w:val="00BB628C"/>
    <w:rsid w:val="00C56A4E"/>
    <w:rsid w:val="00D87647"/>
    <w:rsid w:val="00E413F3"/>
    <w:rsid w:val="00F13C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3FDD0AF-523C-4666-ACFA-17BAE82F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Fundamentos"/>
    <w:link w:val="SinespaciadoCar"/>
    <w:uiPriority w:val="1"/>
    <w:qFormat/>
    <w:rsid w:val="00B90932"/>
  </w:style>
  <w:style w:type="character" w:customStyle="1" w:styleId="SinespaciadoCar">
    <w:name w:val="Sin espaciado Car"/>
    <w:aliases w:val="Francesa Car,INAI Car,Fundamentos Car"/>
    <w:link w:val="Sinespaciado"/>
    <w:uiPriority w:val="1"/>
    <w:qFormat/>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Listaconvietas3">
    <w:name w:val="List Bullet 3"/>
    <w:basedOn w:val="Normal"/>
    <w:uiPriority w:val="99"/>
    <w:unhideWhenUsed/>
    <w:rsid w:val="005301E3"/>
    <w:pPr>
      <w:numPr>
        <w:numId w:val="2"/>
      </w:numPr>
      <w:contextualSpacing/>
    </w:pPr>
    <w:rPr>
      <w:rFonts w:ascii="Times New Roman" w:eastAsia="Times New Roman" w:hAnsi="Times New Roman" w:cs="Times New Roman"/>
      <w:lang w:val="es-MX"/>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styleId="Tablaconcuadrcula">
    <w:name w:val="Table Grid"/>
    <w:basedOn w:val="Tablanormal"/>
    <w:uiPriority w:val="39"/>
    <w:rsid w:val="001F3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188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456771.pag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Y1Y05Q36Kls1j4bi3pn6zN5BA==">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4470</Words>
  <Characters>24587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11</cp:revision>
  <cp:lastPrinted>2026-02-09T17:29:00Z</cp:lastPrinted>
  <dcterms:created xsi:type="dcterms:W3CDTF">2026-01-26T22:40:00Z</dcterms:created>
  <dcterms:modified xsi:type="dcterms:W3CDTF">2026-02-16T17:45:00Z</dcterms:modified>
</cp:coreProperties>
</file>