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10FBB5" w14:textId="41A993D9" w:rsidR="00562A90" w:rsidRPr="00DB09FD" w:rsidRDefault="0062255D">
      <w:pPr>
        <w:spacing w:before="240" w:after="240" w:line="360" w:lineRule="auto"/>
        <w:jc w:val="both"/>
        <w:rPr>
          <w:rFonts w:ascii="Palatino Linotype" w:eastAsia="Palatino Linotype" w:hAnsi="Palatino Linotype" w:cs="Palatino Linotype"/>
          <w:sz w:val="22"/>
          <w:szCs w:val="22"/>
        </w:rPr>
      </w:pPr>
      <w:bookmarkStart w:id="0" w:name="_heading=h.3rdcrjn" w:colFirst="0" w:colLast="0"/>
      <w:bookmarkEnd w:id="0"/>
      <w:r w:rsidRPr="00DB09F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w:t>
      </w:r>
      <w:r w:rsidR="00447DB1" w:rsidRPr="00DB09FD">
        <w:rPr>
          <w:rFonts w:ascii="Palatino Linotype" w:eastAsia="Palatino Linotype" w:hAnsi="Palatino Linotype" w:cs="Palatino Linotype"/>
          <w:sz w:val="22"/>
          <w:szCs w:val="22"/>
        </w:rPr>
        <w:t xml:space="preserve">en Metepec, Estado de México, </w:t>
      </w:r>
      <w:r w:rsidR="00637C6D" w:rsidRPr="00DB09FD">
        <w:rPr>
          <w:rFonts w:ascii="Palatino Linotype" w:eastAsia="Palatino Linotype" w:hAnsi="Palatino Linotype" w:cs="Palatino Linotype"/>
          <w:sz w:val="22"/>
          <w:szCs w:val="22"/>
        </w:rPr>
        <w:t xml:space="preserve">a ocho de abril </w:t>
      </w:r>
      <w:r w:rsidR="00471303" w:rsidRPr="00DB09FD">
        <w:rPr>
          <w:rFonts w:ascii="Palatino Linotype" w:eastAsia="Palatino Linotype" w:hAnsi="Palatino Linotype" w:cs="Palatino Linotype"/>
          <w:sz w:val="22"/>
          <w:szCs w:val="22"/>
        </w:rPr>
        <w:t>de dos mil veintiséis</w:t>
      </w:r>
      <w:r w:rsidRPr="00DB09FD">
        <w:rPr>
          <w:rFonts w:ascii="Palatino Linotype" w:eastAsia="Palatino Linotype" w:hAnsi="Palatino Linotype" w:cs="Palatino Linotype"/>
          <w:sz w:val="22"/>
          <w:szCs w:val="22"/>
        </w:rPr>
        <w:t xml:space="preserve">. </w:t>
      </w:r>
    </w:p>
    <w:p w14:paraId="4795114A" w14:textId="3454DFA7" w:rsidR="00562A90" w:rsidRPr="00DB09FD" w:rsidRDefault="0062255D">
      <w:pPr>
        <w:tabs>
          <w:tab w:val="left" w:pos="5812"/>
        </w:tabs>
        <w:spacing w:before="240" w:after="240" w:line="360" w:lineRule="auto"/>
        <w:jc w:val="both"/>
        <w:rPr>
          <w:rFonts w:ascii="Palatino Linotype" w:eastAsia="Palatino Linotype" w:hAnsi="Palatino Linotype" w:cs="Palatino Linotype"/>
          <w:sz w:val="22"/>
          <w:szCs w:val="22"/>
        </w:rPr>
      </w:pPr>
      <w:bookmarkStart w:id="1" w:name="_heading=h.daj3j2xo6q66" w:colFirst="0" w:colLast="0"/>
      <w:bookmarkEnd w:id="1"/>
      <w:r w:rsidRPr="00DB09FD">
        <w:rPr>
          <w:rFonts w:ascii="Palatino Linotype" w:eastAsia="Palatino Linotype" w:hAnsi="Palatino Linotype" w:cs="Palatino Linotype"/>
          <w:b/>
          <w:sz w:val="22"/>
          <w:szCs w:val="22"/>
        </w:rPr>
        <w:t>VISTO</w:t>
      </w:r>
      <w:r w:rsidR="00637C6D" w:rsidRPr="00DB09FD">
        <w:rPr>
          <w:rFonts w:ascii="Palatino Linotype" w:eastAsia="Palatino Linotype" w:hAnsi="Palatino Linotype" w:cs="Palatino Linotype"/>
          <w:sz w:val="22"/>
          <w:szCs w:val="22"/>
        </w:rPr>
        <w:t>S los</w:t>
      </w:r>
      <w:r w:rsidRPr="00DB09FD">
        <w:rPr>
          <w:rFonts w:ascii="Palatino Linotype" w:eastAsia="Palatino Linotype" w:hAnsi="Palatino Linotype" w:cs="Palatino Linotype"/>
          <w:sz w:val="22"/>
          <w:szCs w:val="22"/>
        </w:rPr>
        <w:t xml:space="preserve"> expediente</w:t>
      </w:r>
      <w:r w:rsidR="00637C6D"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formado</w:t>
      </w:r>
      <w:r w:rsidR="00637C6D"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con motivo de</w:t>
      </w:r>
      <w:r w:rsidR="00637C6D" w:rsidRPr="00DB09FD">
        <w:rPr>
          <w:rFonts w:ascii="Palatino Linotype" w:eastAsia="Palatino Linotype" w:hAnsi="Palatino Linotype" w:cs="Palatino Linotype"/>
          <w:sz w:val="22"/>
          <w:szCs w:val="22"/>
        </w:rPr>
        <w:t xml:space="preserve"> los</w:t>
      </w:r>
      <w:r w:rsidRPr="00DB09FD">
        <w:rPr>
          <w:rFonts w:ascii="Palatino Linotype" w:eastAsia="Palatino Linotype" w:hAnsi="Palatino Linotype" w:cs="Palatino Linotype"/>
          <w:sz w:val="22"/>
          <w:szCs w:val="22"/>
        </w:rPr>
        <w:t xml:space="preserve"> recurso</w:t>
      </w:r>
      <w:r w:rsidR="00637C6D"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de revisión </w:t>
      </w:r>
      <w:r w:rsidR="005833F1" w:rsidRPr="00DB09FD">
        <w:rPr>
          <w:rFonts w:ascii="Palatino Linotype" w:eastAsia="Palatino Linotype" w:hAnsi="Palatino Linotype" w:cs="Palatino Linotype"/>
          <w:b/>
          <w:sz w:val="22"/>
          <w:szCs w:val="22"/>
        </w:rPr>
        <w:t>1</w:t>
      </w:r>
      <w:r w:rsidR="00562C2B" w:rsidRPr="00DB09FD">
        <w:rPr>
          <w:rFonts w:ascii="Palatino Linotype" w:eastAsia="Palatino Linotype" w:hAnsi="Palatino Linotype" w:cs="Palatino Linotype"/>
          <w:b/>
          <w:sz w:val="22"/>
          <w:szCs w:val="22"/>
        </w:rPr>
        <w:t>0494</w:t>
      </w:r>
      <w:r w:rsidR="00337D82" w:rsidRPr="00DB09FD">
        <w:rPr>
          <w:rFonts w:ascii="Palatino Linotype" w:eastAsia="Palatino Linotype" w:hAnsi="Palatino Linotype" w:cs="Palatino Linotype"/>
          <w:b/>
          <w:sz w:val="22"/>
          <w:szCs w:val="22"/>
        </w:rPr>
        <w:t>/INFOEM/IP/RR/2025</w:t>
      </w:r>
      <w:r w:rsidR="00E3232E" w:rsidRPr="00DB09FD">
        <w:rPr>
          <w:rFonts w:ascii="Palatino Linotype" w:eastAsia="Palatino Linotype" w:hAnsi="Palatino Linotype" w:cs="Palatino Linotype"/>
          <w:b/>
          <w:sz w:val="22"/>
          <w:szCs w:val="22"/>
        </w:rPr>
        <w:t xml:space="preserve"> y </w:t>
      </w:r>
      <w:r w:rsidR="00E3232E" w:rsidRPr="00DB09FD">
        <w:rPr>
          <w:rFonts w:ascii="Palatino Linotype" w:hAnsi="Palatino Linotype" w:cs="Palatino Linotype"/>
          <w:b/>
          <w:bCs/>
          <w:sz w:val="22"/>
          <w:szCs w:val="22"/>
        </w:rPr>
        <w:t>10521/INFOEM/IP/RR/2025 acumulados</w:t>
      </w:r>
      <w:r w:rsidRPr="00DB09FD">
        <w:rPr>
          <w:rFonts w:ascii="Palatino Linotype" w:eastAsia="Palatino Linotype" w:hAnsi="Palatino Linotype" w:cs="Palatino Linotype"/>
          <w:sz w:val="22"/>
          <w:szCs w:val="22"/>
        </w:rPr>
        <w:t>, interpuesto</w:t>
      </w:r>
      <w:r w:rsidR="00637C6D"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por</w:t>
      </w:r>
      <w:r w:rsidR="00E046E0" w:rsidRPr="00DB09FD">
        <w:rPr>
          <w:rFonts w:ascii="Palatino Linotype" w:eastAsia="Palatino Linotype" w:hAnsi="Palatino Linotype" w:cs="Palatino Linotype"/>
          <w:b/>
          <w:sz w:val="22"/>
          <w:szCs w:val="22"/>
        </w:rPr>
        <w:t xml:space="preserve"> </w:t>
      </w:r>
      <w:r w:rsidR="00D952BB" w:rsidRPr="00D952BB">
        <w:rPr>
          <w:rFonts w:ascii="Palatino Linotype" w:eastAsia="Palatino Linotype" w:hAnsi="Palatino Linotype" w:cs="Palatino Linotype"/>
          <w:b/>
          <w:sz w:val="22"/>
          <w:szCs w:val="22"/>
        </w:rPr>
        <w:t>XXXXXXXXXXXXXX XXXXXX XX XXXXXX</w:t>
      </w:r>
      <w:r w:rsidRPr="00D952BB">
        <w:rPr>
          <w:rFonts w:ascii="Palatino Linotype" w:eastAsia="Palatino Linotype" w:hAnsi="Palatino Linotype" w:cs="Palatino Linotype"/>
          <w:b/>
          <w:sz w:val="22"/>
          <w:szCs w:val="22"/>
        </w:rPr>
        <w:t>,</w:t>
      </w:r>
      <w:r w:rsidRPr="00DB09FD">
        <w:rPr>
          <w:rFonts w:ascii="Palatino Linotype" w:eastAsia="Palatino Linotype" w:hAnsi="Palatino Linotype" w:cs="Palatino Linotype"/>
          <w:sz w:val="22"/>
          <w:szCs w:val="22"/>
        </w:rPr>
        <w:t xml:space="preserve"> en lo sucesivo</w:t>
      </w:r>
      <w:r w:rsidRPr="00DB09FD">
        <w:rPr>
          <w:rFonts w:ascii="Palatino Linotype" w:eastAsia="Palatino Linotype" w:hAnsi="Palatino Linotype" w:cs="Palatino Linotype"/>
          <w:b/>
          <w:sz w:val="22"/>
          <w:szCs w:val="22"/>
        </w:rPr>
        <w:t xml:space="preserve"> </w:t>
      </w:r>
      <w:r w:rsidRPr="00DB09FD">
        <w:rPr>
          <w:rFonts w:ascii="Palatino Linotype" w:eastAsia="Palatino Linotype" w:hAnsi="Palatino Linotype" w:cs="Palatino Linotype"/>
          <w:sz w:val="22"/>
          <w:szCs w:val="22"/>
        </w:rPr>
        <w:t xml:space="preserve">la parte </w:t>
      </w:r>
      <w:r w:rsidRPr="00DB09FD">
        <w:rPr>
          <w:rFonts w:ascii="Palatino Linotype" w:eastAsia="Palatino Linotype" w:hAnsi="Palatino Linotype" w:cs="Palatino Linotype"/>
          <w:b/>
          <w:sz w:val="22"/>
          <w:szCs w:val="22"/>
        </w:rPr>
        <w:t>Recurrente,</w:t>
      </w:r>
      <w:r w:rsidRPr="00DB09FD">
        <w:rPr>
          <w:rFonts w:ascii="Palatino Linotype" w:eastAsia="Palatino Linotype" w:hAnsi="Palatino Linotype" w:cs="Palatino Linotype"/>
          <w:sz w:val="22"/>
          <w:szCs w:val="22"/>
        </w:rPr>
        <w:t xml:space="preserve"> en contra de la</w:t>
      </w:r>
      <w:r w:rsidR="00E3232E"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respuesta</w:t>
      </w:r>
      <w:r w:rsidR="00E3232E"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a la</w:t>
      </w:r>
      <w:r w:rsidR="00E3232E"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solicitud</w:t>
      </w:r>
      <w:r w:rsidR="00E3232E" w:rsidRPr="00DB09FD">
        <w:rPr>
          <w:rFonts w:ascii="Palatino Linotype" w:eastAsia="Palatino Linotype" w:hAnsi="Palatino Linotype" w:cs="Palatino Linotype"/>
          <w:sz w:val="22"/>
          <w:szCs w:val="22"/>
        </w:rPr>
        <w:t>es</w:t>
      </w:r>
      <w:r w:rsidRPr="00DB09FD">
        <w:rPr>
          <w:rFonts w:ascii="Palatino Linotype" w:eastAsia="Palatino Linotype" w:hAnsi="Palatino Linotype" w:cs="Palatino Linotype"/>
          <w:sz w:val="22"/>
          <w:szCs w:val="22"/>
        </w:rPr>
        <w:t xml:space="preserve"> de información con número de folio</w:t>
      </w:r>
      <w:r w:rsidRPr="00DB09FD">
        <w:rPr>
          <w:rFonts w:ascii="Palatino Linotype" w:eastAsia="Palatino Linotype" w:hAnsi="Palatino Linotype" w:cs="Palatino Linotype"/>
          <w:b/>
          <w:sz w:val="22"/>
          <w:szCs w:val="22"/>
        </w:rPr>
        <w:t xml:space="preserve"> </w:t>
      </w:r>
      <w:r w:rsidR="00562C2B" w:rsidRPr="00DB09FD">
        <w:rPr>
          <w:rFonts w:ascii="Palatino Linotype" w:eastAsia="Palatino Linotype" w:hAnsi="Palatino Linotype" w:cs="Palatino Linotype"/>
          <w:b/>
          <w:sz w:val="22"/>
          <w:szCs w:val="22"/>
        </w:rPr>
        <w:t>00098/DIFIXTAPAL</w:t>
      </w:r>
      <w:r w:rsidR="00E046E0" w:rsidRPr="00DB09FD">
        <w:rPr>
          <w:rFonts w:ascii="Palatino Linotype" w:eastAsia="Palatino Linotype" w:hAnsi="Palatino Linotype" w:cs="Palatino Linotype"/>
          <w:b/>
          <w:sz w:val="22"/>
          <w:szCs w:val="22"/>
        </w:rPr>
        <w:t>/IP/2025</w:t>
      </w:r>
      <w:r w:rsidR="00E3232E" w:rsidRPr="00DB09FD">
        <w:rPr>
          <w:rFonts w:ascii="Palatino Linotype" w:eastAsia="Palatino Linotype" w:hAnsi="Palatino Linotype" w:cs="Palatino Linotype"/>
          <w:b/>
          <w:sz w:val="22"/>
          <w:szCs w:val="22"/>
        </w:rPr>
        <w:t xml:space="preserve"> y 00070/DIFIXTAPAL/IP/2025</w:t>
      </w:r>
      <w:r w:rsidRPr="00DB09FD">
        <w:rPr>
          <w:rFonts w:ascii="Palatino Linotype" w:eastAsia="Palatino Linotype" w:hAnsi="Palatino Linotype" w:cs="Palatino Linotype"/>
          <w:b/>
          <w:sz w:val="22"/>
          <w:szCs w:val="22"/>
        </w:rPr>
        <w:t xml:space="preserve">, </w:t>
      </w:r>
      <w:r w:rsidRPr="00DB09FD">
        <w:rPr>
          <w:rFonts w:ascii="Palatino Linotype" w:eastAsia="Palatino Linotype" w:hAnsi="Palatino Linotype" w:cs="Palatino Linotype"/>
          <w:sz w:val="22"/>
          <w:szCs w:val="22"/>
        </w:rPr>
        <w:t xml:space="preserve">por parte del </w:t>
      </w:r>
      <w:r w:rsidR="00E046E0" w:rsidRPr="00DB09FD">
        <w:rPr>
          <w:rFonts w:ascii="Palatino Linotype" w:eastAsia="Palatino Linotype" w:hAnsi="Palatino Linotype" w:cs="Palatino Linotype"/>
          <w:b/>
          <w:sz w:val="22"/>
          <w:szCs w:val="22"/>
        </w:rPr>
        <w:t xml:space="preserve">Sistema Municipal Para el Desarrollo Integral de la Familia de </w:t>
      </w:r>
      <w:r w:rsidR="00562C2B" w:rsidRPr="00DB09FD">
        <w:rPr>
          <w:rFonts w:ascii="Palatino Linotype" w:eastAsia="Palatino Linotype" w:hAnsi="Palatino Linotype" w:cs="Palatino Linotype"/>
          <w:b/>
          <w:sz w:val="22"/>
          <w:szCs w:val="22"/>
        </w:rPr>
        <w:t>Ixtapaluca</w:t>
      </w:r>
      <w:r w:rsidR="00EF0D72" w:rsidRPr="00DB09FD">
        <w:rPr>
          <w:rFonts w:ascii="Palatino Linotype" w:eastAsia="Palatino Linotype" w:hAnsi="Palatino Linotype" w:cs="Palatino Linotype"/>
          <w:b/>
          <w:sz w:val="22"/>
          <w:szCs w:val="22"/>
        </w:rPr>
        <w:t>,</w:t>
      </w:r>
      <w:r w:rsidRPr="00DB09FD">
        <w:rPr>
          <w:rFonts w:ascii="Palatino Linotype" w:eastAsia="Palatino Linotype" w:hAnsi="Palatino Linotype" w:cs="Palatino Linotype"/>
          <w:b/>
          <w:sz w:val="22"/>
          <w:szCs w:val="22"/>
        </w:rPr>
        <w:t xml:space="preserve"> </w:t>
      </w:r>
      <w:r w:rsidRPr="00DB09FD">
        <w:rPr>
          <w:rFonts w:ascii="Palatino Linotype" w:eastAsia="Palatino Linotype" w:hAnsi="Palatino Linotype" w:cs="Palatino Linotype"/>
          <w:sz w:val="22"/>
          <w:szCs w:val="22"/>
        </w:rPr>
        <w:t xml:space="preserve">en lo sucesivo el </w:t>
      </w:r>
      <w:r w:rsidRPr="00DB09FD">
        <w:rPr>
          <w:rFonts w:ascii="Palatino Linotype" w:eastAsia="Palatino Linotype" w:hAnsi="Palatino Linotype" w:cs="Palatino Linotype"/>
          <w:b/>
          <w:sz w:val="22"/>
          <w:szCs w:val="22"/>
        </w:rPr>
        <w:t xml:space="preserve">Sujeto Obligado, </w:t>
      </w:r>
      <w:r w:rsidRPr="00DB09FD">
        <w:rPr>
          <w:rFonts w:ascii="Palatino Linotype" w:eastAsia="Palatino Linotype" w:hAnsi="Palatino Linotype" w:cs="Palatino Linotype"/>
          <w:sz w:val="22"/>
          <w:szCs w:val="22"/>
        </w:rPr>
        <w:t xml:space="preserve">se procede a dictar la presente resolución con base en los siguientes: </w:t>
      </w:r>
    </w:p>
    <w:p w14:paraId="3CC5291D" w14:textId="77777777" w:rsidR="00562A90" w:rsidRPr="00DB09FD" w:rsidRDefault="0062255D">
      <w:pPr>
        <w:spacing w:before="240" w:after="240" w:line="360" w:lineRule="auto"/>
        <w:jc w:val="center"/>
        <w:rPr>
          <w:rFonts w:ascii="Palatino Linotype" w:eastAsia="Palatino Linotype" w:hAnsi="Palatino Linotype" w:cs="Palatino Linotype"/>
          <w:b/>
          <w:sz w:val="22"/>
          <w:szCs w:val="22"/>
        </w:rPr>
      </w:pPr>
      <w:r w:rsidRPr="00DB09FD">
        <w:rPr>
          <w:rFonts w:ascii="Palatino Linotype" w:eastAsia="Palatino Linotype" w:hAnsi="Palatino Linotype" w:cs="Palatino Linotype"/>
          <w:b/>
          <w:sz w:val="22"/>
          <w:szCs w:val="22"/>
        </w:rPr>
        <w:t>I. A N T E C E D E N T E S</w:t>
      </w:r>
    </w:p>
    <w:p w14:paraId="72C70038" w14:textId="179E09DD" w:rsidR="00562A90" w:rsidRPr="00DB09FD" w:rsidRDefault="0062255D">
      <w:pPr>
        <w:spacing w:before="240" w:after="240" w:line="360" w:lineRule="auto"/>
        <w:jc w:val="both"/>
        <w:rPr>
          <w:rFonts w:ascii="Palatino Linotype" w:eastAsia="Palatino Linotype" w:hAnsi="Palatino Linotype" w:cs="Palatino Linotype"/>
          <w:sz w:val="22"/>
          <w:szCs w:val="22"/>
        </w:rPr>
      </w:pPr>
      <w:bookmarkStart w:id="2" w:name="_heading=h.gjdgxs" w:colFirst="0" w:colLast="0"/>
      <w:bookmarkEnd w:id="2"/>
      <w:r w:rsidRPr="00DB09FD">
        <w:rPr>
          <w:rFonts w:ascii="Palatino Linotype" w:eastAsia="Palatino Linotype" w:hAnsi="Palatino Linotype" w:cs="Palatino Linotype"/>
          <w:b/>
          <w:sz w:val="22"/>
          <w:szCs w:val="22"/>
        </w:rPr>
        <w:t>1. Solicitud</w:t>
      </w:r>
      <w:r w:rsidR="00637C6D" w:rsidRPr="00DB09FD">
        <w:rPr>
          <w:rFonts w:ascii="Palatino Linotype" w:eastAsia="Palatino Linotype" w:hAnsi="Palatino Linotype" w:cs="Palatino Linotype"/>
          <w:b/>
          <w:sz w:val="22"/>
          <w:szCs w:val="22"/>
        </w:rPr>
        <w:t>es</w:t>
      </w:r>
      <w:r w:rsidRPr="00DB09FD">
        <w:rPr>
          <w:rFonts w:ascii="Palatino Linotype" w:eastAsia="Palatino Linotype" w:hAnsi="Palatino Linotype" w:cs="Palatino Linotype"/>
          <w:b/>
          <w:sz w:val="22"/>
          <w:szCs w:val="22"/>
        </w:rPr>
        <w:t xml:space="preserve"> de acceso a la información.</w:t>
      </w:r>
      <w:r w:rsidRPr="00DB09FD">
        <w:rPr>
          <w:rFonts w:ascii="Palatino Linotype" w:eastAsia="Palatino Linotype" w:hAnsi="Palatino Linotype" w:cs="Palatino Linotype"/>
          <w:sz w:val="22"/>
          <w:szCs w:val="22"/>
        </w:rPr>
        <w:t xml:space="preserve"> El </w:t>
      </w:r>
      <w:bookmarkStart w:id="3" w:name="_Hlk212125406"/>
      <w:r w:rsidR="00562C2B" w:rsidRPr="00DB09FD">
        <w:rPr>
          <w:rFonts w:ascii="Palatino Linotype" w:eastAsia="Palatino Linotype" w:hAnsi="Palatino Linotype" w:cs="Palatino Linotype"/>
          <w:b/>
          <w:sz w:val="22"/>
          <w:szCs w:val="22"/>
        </w:rPr>
        <w:t>catorce</w:t>
      </w:r>
      <w:r w:rsidR="00E046E0" w:rsidRPr="00DB09FD">
        <w:rPr>
          <w:rFonts w:ascii="Palatino Linotype" w:eastAsia="Palatino Linotype" w:hAnsi="Palatino Linotype" w:cs="Palatino Linotype"/>
          <w:b/>
          <w:sz w:val="22"/>
          <w:szCs w:val="22"/>
        </w:rPr>
        <w:t xml:space="preserve"> de </w:t>
      </w:r>
      <w:r w:rsidR="00562C2B" w:rsidRPr="00DB09FD">
        <w:rPr>
          <w:rFonts w:ascii="Palatino Linotype" w:eastAsia="Palatino Linotype" w:hAnsi="Palatino Linotype" w:cs="Palatino Linotype"/>
          <w:b/>
          <w:sz w:val="22"/>
          <w:szCs w:val="22"/>
        </w:rPr>
        <w:t>agosto</w:t>
      </w:r>
      <w:r w:rsidR="00E046E0" w:rsidRPr="00DB09FD">
        <w:rPr>
          <w:rFonts w:ascii="Palatino Linotype" w:eastAsia="Palatino Linotype" w:hAnsi="Palatino Linotype" w:cs="Palatino Linotype"/>
          <w:b/>
          <w:sz w:val="22"/>
          <w:szCs w:val="22"/>
        </w:rPr>
        <w:t xml:space="preserve"> </w:t>
      </w:r>
      <w:r w:rsidRPr="00DB09FD">
        <w:rPr>
          <w:rFonts w:ascii="Palatino Linotype" w:eastAsia="Palatino Linotype" w:hAnsi="Palatino Linotype" w:cs="Palatino Linotype"/>
          <w:b/>
          <w:sz w:val="22"/>
          <w:szCs w:val="22"/>
        </w:rPr>
        <w:t>de dos mil veinticinco</w:t>
      </w:r>
      <w:bookmarkEnd w:id="3"/>
      <w:r w:rsidRPr="00DB09FD">
        <w:rPr>
          <w:rFonts w:ascii="Palatino Linotype" w:eastAsia="Palatino Linotype" w:hAnsi="Palatino Linotype" w:cs="Palatino Linotype"/>
          <w:b/>
          <w:sz w:val="22"/>
          <w:szCs w:val="22"/>
        </w:rPr>
        <w:t>,</w:t>
      </w:r>
      <w:r w:rsidRPr="00DB09FD">
        <w:rPr>
          <w:rFonts w:ascii="Palatino Linotype" w:eastAsia="Palatino Linotype" w:hAnsi="Palatino Linotype" w:cs="Palatino Linotype"/>
          <w:sz w:val="22"/>
          <w:szCs w:val="22"/>
        </w:rPr>
        <w:t xml:space="preserve"> la parte </w:t>
      </w:r>
      <w:r w:rsidRPr="00DB09FD">
        <w:rPr>
          <w:rFonts w:ascii="Palatino Linotype" w:eastAsia="Palatino Linotype" w:hAnsi="Palatino Linotype" w:cs="Palatino Linotype"/>
          <w:b/>
          <w:sz w:val="22"/>
          <w:szCs w:val="22"/>
        </w:rPr>
        <w:t xml:space="preserve">Recurrente </w:t>
      </w:r>
      <w:r w:rsidRPr="00DB09FD">
        <w:rPr>
          <w:rFonts w:ascii="Palatino Linotype" w:eastAsia="Palatino Linotype" w:hAnsi="Palatino Linotype" w:cs="Palatino Linotype"/>
          <w:sz w:val="22"/>
          <w:szCs w:val="22"/>
        </w:rPr>
        <w:t>presentó la</w:t>
      </w:r>
      <w:r w:rsidR="007A20B2"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solicitud</w:t>
      </w:r>
      <w:r w:rsidR="007A20B2" w:rsidRPr="00DB09FD">
        <w:rPr>
          <w:rFonts w:ascii="Palatino Linotype" w:eastAsia="Palatino Linotype" w:hAnsi="Palatino Linotype" w:cs="Palatino Linotype"/>
          <w:sz w:val="22"/>
          <w:szCs w:val="22"/>
        </w:rPr>
        <w:t>es</w:t>
      </w:r>
      <w:r w:rsidRPr="00DB09FD">
        <w:rPr>
          <w:rFonts w:ascii="Palatino Linotype" w:eastAsia="Palatino Linotype" w:hAnsi="Palatino Linotype" w:cs="Palatino Linotype"/>
          <w:sz w:val="22"/>
          <w:szCs w:val="22"/>
        </w:rPr>
        <w:t xml:space="preserve"> de acceso a la información pública ante el </w:t>
      </w:r>
      <w:r w:rsidRPr="00DB09FD">
        <w:rPr>
          <w:rFonts w:ascii="Palatino Linotype" w:eastAsia="Palatino Linotype" w:hAnsi="Palatino Linotype" w:cs="Palatino Linotype"/>
          <w:b/>
          <w:sz w:val="22"/>
          <w:szCs w:val="22"/>
        </w:rPr>
        <w:t>Sujeto Obligado</w:t>
      </w:r>
      <w:r w:rsidRPr="00DB09FD">
        <w:rPr>
          <w:rFonts w:ascii="Palatino Linotype" w:eastAsia="Palatino Linotype" w:hAnsi="Palatino Linotype" w:cs="Palatino Linotype"/>
          <w:sz w:val="22"/>
          <w:szCs w:val="22"/>
        </w:rPr>
        <w:t xml:space="preserve">, a través del Sistema de Acceso a la Información Mexiquense, en lo subsecuente el </w:t>
      </w:r>
      <w:r w:rsidRPr="00DB09FD">
        <w:rPr>
          <w:rFonts w:ascii="Palatino Linotype" w:eastAsia="Palatino Linotype" w:hAnsi="Palatino Linotype" w:cs="Palatino Linotype"/>
          <w:b/>
          <w:sz w:val="22"/>
          <w:szCs w:val="22"/>
        </w:rPr>
        <w:t>SAIMEX,</w:t>
      </w:r>
      <w:r w:rsidRPr="00DB09FD">
        <w:rPr>
          <w:rFonts w:ascii="Palatino Linotype" w:eastAsia="Palatino Linotype" w:hAnsi="Palatino Linotype" w:cs="Palatino Linotype"/>
          <w:sz w:val="22"/>
          <w:szCs w:val="22"/>
        </w:rPr>
        <w:t xml:space="preserve"> mediante la cual requirió lo siguiente:</w:t>
      </w:r>
    </w:p>
    <w:p w14:paraId="1DBB1A18" w14:textId="5F212DE7" w:rsidR="001A7CB3" w:rsidRPr="00DB09FD" w:rsidRDefault="001A7CB3">
      <w:pPr>
        <w:spacing w:before="240" w:after="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Solicitud de información con número de folio</w:t>
      </w:r>
      <w:r w:rsidRPr="00DB09FD">
        <w:rPr>
          <w:rFonts w:ascii="Palatino Linotype" w:eastAsia="Palatino Linotype" w:hAnsi="Palatino Linotype" w:cs="Palatino Linotype"/>
          <w:b/>
          <w:sz w:val="22"/>
          <w:szCs w:val="22"/>
        </w:rPr>
        <w:t xml:space="preserve"> 00098/DIFIXTAPAL/IP/2025</w:t>
      </w:r>
    </w:p>
    <w:p w14:paraId="57605782" w14:textId="229EC79B" w:rsidR="00562A90" w:rsidRPr="00DB09FD" w:rsidRDefault="0062255D">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 xml:space="preserve"> “</w:t>
      </w:r>
      <w:r w:rsidR="00562C2B" w:rsidRPr="00DB09FD">
        <w:rPr>
          <w:rFonts w:ascii="Palatino Linotype" w:eastAsia="Palatino Linotype" w:hAnsi="Palatino Linotype" w:cs="Palatino Linotype"/>
          <w:i/>
          <w:sz w:val="22"/>
          <w:szCs w:val="22"/>
        </w:rPr>
        <w:t xml:space="preserve">Documento que dé cuenta de las </w:t>
      </w:r>
      <w:bookmarkStart w:id="4" w:name="_Hlk225422822"/>
      <w:r w:rsidR="00562C2B" w:rsidRPr="00DB09FD">
        <w:rPr>
          <w:rFonts w:ascii="Palatino Linotype" w:eastAsia="Palatino Linotype" w:hAnsi="Palatino Linotype" w:cs="Palatino Linotype"/>
          <w:i/>
          <w:sz w:val="22"/>
          <w:szCs w:val="22"/>
        </w:rPr>
        <w:t xml:space="preserve">conciliaciones bancarias de las cuentas del Sistema DIF Ixtapaluca del </w:t>
      </w:r>
      <w:r w:rsidR="00562C2B" w:rsidRPr="00DB09FD">
        <w:rPr>
          <w:rFonts w:ascii="Palatino Linotype" w:eastAsia="Palatino Linotype" w:hAnsi="Palatino Linotype" w:cs="Palatino Linotype"/>
          <w:b/>
          <w:bCs/>
          <w:i/>
          <w:sz w:val="22"/>
          <w:szCs w:val="22"/>
          <w:u w:val="single"/>
        </w:rPr>
        <w:t>segundo trimestre de 2023</w:t>
      </w:r>
      <w:r w:rsidR="00562C2B" w:rsidRPr="00DB09FD">
        <w:rPr>
          <w:rFonts w:ascii="Palatino Linotype" w:eastAsia="Palatino Linotype" w:hAnsi="Palatino Linotype" w:cs="Palatino Linotype"/>
          <w:i/>
          <w:sz w:val="22"/>
          <w:szCs w:val="22"/>
        </w:rPr>
        <w:t>, con estados de cuenta originales y oficios de validación interna</w:t>
      </w:r>
      <w:bookmarkEnd w:id="4"/>
      <w:r w:rsidR="00562C2B" w:rsidRPr="00DB09FD">
        <w:rPr>
          <w:rFonts w:ascii="Palatino Linotype" w:eastAsia="Palatino Linotype" w:hAnsi="Palatino Linotype" w:cs="Palatino Linotype"/>
          <w:i/>
          <w:sz w:val="22"/>
          <w:szCs w:val="22"/>
        </w:rPr>
        <w:t xml:space="preserve">. </w:t>
      </w:r>
      <w:bookmarkStart w:id="5" w:name="_Hlk225422841"/>
      <w:r w:rsidR="00562C2B" w:rsidRPr="00DB09FD">
        <w:rPr>
          <w:rFonts w:ascii="Palatino Linotype" w:eastAsia="Palatino Linotype" w:hAnsi="Palatino Linotype" w:cs="Palatino Linotype"/>
          <w:i/>
          <w:sz w:val="22"/>
          <w:szCs w:val="22"/>
        </w:rPr>
        <w:t>Documento que dé cuenta del arqueo de caja practicado al cierre del segundo trimestre de 2023 en Tesorería del Sistema DIF Ixtapaluca, con acta firmada por los servidores públicos participantes</w:t>
      </w:r>
      <w:bookmarkEnd w:id="5"/>
      <w:r w:rsidR="00562C2B" w:rsidRPr="00DB09FD">
        <w:rPr>
          <w:rFonts w:ascii="Palatino Linotype" w:eastAsia="Palatino Linotype" w:hAnsi="Palatino Linotype" w:cs="Palatino Linotype"/>
          <w:i/>
          <w:sz w:val="22"/>
          <w:szCs w:val="22"/>
        </w:rPr>
        <w:t xml:space="preserve">. Documento que dé cuenta de los </w:t>
      </w:r>
      <w:bookmarkStart w:id="6" w:name="_Hlk225422852"/>
      <w:r w:rsidR="00562C2B" w:rsidRPr="00DB09FD">
        <w:rPr>
          <w:rFonts w:ascii="Palatino Linotype" w:eastAsia="Palatino Linotype" w:hAnsi="Palatino Linotype" w:cs="Palatino Linotype"/>
          <w:i/>
          <w:sz w:val="22"/>
          <w:szCs w:val="22"/>
        </w:rPr>
        <w:t xml:space="preserve">cheques expedidos y cancelados en el segundo </w:t>
      </w:r>
      <w:r w:rsidR="00562C2B" w:rsidRPr="00DB09FD">
        <w:rPr>
          <w:rFonts w:ascii="Palatino Linotype" w:eastAsia="Palatino Linotype" w:hAnsi="Palatino Linotype" w:cs="Palatino Linotype"/>
          <w:i/>
          <w:sz w:val="22"/>
          <w:szCs w:val="22"/>
        </w:rPr>
        <w:lastRenderedPageBreak/>
        <w:t>trimestre de 2023</w:t>
      </w:r>
      <w:bookmarkEnd w:id="6"/>
      <w:r w:rsidR="00562C2B" w:rsidRPr="00DB09FD">
        <w:rPr>
          <w:rFonts w:ascii="Palatino Linotype" w:eastAsia="Palatino Linotype" w:hAnsi="Palatino Linotype" w:cs="Palatino Linotype"/>
          <w:i/>
          <w:sz w:val="22"/>
          <w:szCs w:val="22"/>
        </w:rPr>
        <w:t>, con justificación documental y copia física de los cheques cancelados, emitido por la Tesorería del Sistema DIF Ixtapaluca</w:t>
      </w:r>
      <w:r w:rsidR="00E046E0" w:rsidRPr="00DB09FD">
        <w:rPr>
          <w:rFonts w:ascii="Palatino Linotype" w:eastAsia="Palatino Linotype" w:hAnsi="Palatino Linotype" w:cs="Palatino Linotype"/>
          <w:i/>
          <w:sz w:val="22"/>
          <w:szCs w:val="22"/>
        </w:rPr>
        <w:t>.</w:t>
      </w:r>
      <w:r w:rsidRPr="00DB09FD">
        <w:rPr>
          <w:rFonts w:ascii="Palatino Linotype" w:eastAsia="Palatino Linotype" w:hAnsi="Palatino Linotype" w:cs="Palatino Linotype"/>
          <w:b/>
          <w:i/>
          <w:sz w:val="22"/>
          <w:szCs w:val="22"/>
        </w:rPr>
        <w:t>”</w:t>
      </w:r>
      <w:r w:rsidRPr="00DB09FD">
        <w:rPr>
          <w:rFonts w:ascii="Palatino Linotype" w:eastAsia="Palatino Linotype" w:hAnsi="Palatino Linotype" w:cs="Palatino Linotype"/>
          <w:i/>
          <w:sz w:val="22"/>
          <w:szCs w:val="22"/>
        </w:rPr>
        <w:t xml:space="preserve"> (sic) </w:t>
      </w:r>
    </w:p>
    <w:p w14:paraId="2D64FB01" w14:textId="34FC472D" w:rsidR="001A7CB3" w:rsidRPr="00DB09FD" w:rsidRDefault="001A7CB3" w:rsidP="001A7CB3">
      <w:pPr>
        <w:spacing w:before="240" w:after="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Solicitud de información con número de folio</w:t>
      </w:r>
      <w:r w:rsidRPr="00DB09FD">
        <w:rPr>
          <w:rFonts w:ascii="Palatino Linotype" w:eastAsia="Palatino Linotype" w:hAnsi="Palatino Linotype" w:cs="Palatino Linotype"/>
          <w:b/>
          <w:sz w:val="22"/>
          <w:szCs w:val="22"/>
        </w:rPr>
        <w:t xml:space="preserve"> 00070/DIFIXTAPAL/IP/2025</w:t>
      </w:r>
    </w:p>
    <w:p w14:paraId="247070B0" w14:textId="7ECE7995" w:rsidR="007A20B2" w:rsidRPr="00DB09FD" w:rsidRDefault="007A20B2">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 xml:space="preserve">“Documento que dé cuenta de las conciliaciones bancarias de las cuentas del Sistema DIF Ixtapaluca de </w:t>
      </w:r>
      <w:r w:rsidRPr="00DB09FD">
        <w:rPr>
          <w:rFonts w:ascii="Palatino Linotype" w:eastAsia="Palatino Linotype" w:hAnsi="Palatino Linotype" w:cs="Palatino Linotype"/>
          <w:b/>
          <w:bCs/>
          <w:i/>
          <w:sz w:val="22"/>
          <w:szCs w:val="22"/>
          <w:u w:val="single"/>
        </w:rPr>
        <w:t>enero 2022</w:t>
      </w:r>
      <w:r w:rsidRPr="00DB09FD">
        <w:rPr>
          <w:rFonts w:ascii="Palatino Linotype" w:eastAsia="Palatino Linotype" w:hAnsi="Palatino Linotype" w:cs="Palatino Linotype"/>
          <w:i/>
          <w:sz w:val="22"/>
          <w:szCs w:val="22"/>
        </w:rPr>
        <w:t>, con estados de cuenta originales y oficios de validación interna. Documento que dé cuenta del arqueo de caja practicado el 31 de enero de 2022 en Tesorería del Sistema DIF Ixtapaluca, con acta firmada por los servidores públicos participantes. Documento que dé cuenta de los cheques expedidos y cancelados en enero 2022, con justificación documental y copia física de los cheques cancelados, emitido por la Tesorería del Sistema DIF Ixtapaluca.</w:t>
      </w:r>
      <w:r w:rsidRPr="00DB09FD">
        <w:rPr>
          <w:rFonts w:ascii="Palatino Linotype" w:eastAsia="Palatino Linotype" w:hAnsi="Palatino Linotype" w:cs="Palatino Linotype"/>
          <w:b/>
          <w:i/>
          <w:sz w:val="22"/>
          <w:szCs w:val="22"/>
        </w:rPr>
        <w:t>”</w:t>
      </w:r>
      <w:r w:rsidRPr="00DB09FD">
        <w:rPr>
          <w:rFonts w:ascii="Palatino Linotype" w:eastAsia="Palatino Linotype" w:hAnsi="Palatino Linotype" w:cs="Palatino Linotype"/>
          <w:i/>
          <w:sz w:val="22"/>
          <w:szCs w:val="22"/>
        </w:rPr>
        <w:t xml:space="preserve"> (sic)</w:t>
      </w:r>
    </w:p>
    <w:p w14:paraId="6759C1B0" w14:textId="46B6522D" w:rsidR="00562A90" w:rsidRPr="00DB09FD" w:rsidRDefault="0062255D">
      <w:pPr>
        <w:spacing w:before="240" w:after="240" w:line="360" w:lineRule="auto"/>
        <w:jc w:val="both"/>
        <w:rPr>
          <w:rFonts w:ascii="Palatino Linotype" w:eastAsia="Palatino Linotype" w:hAnsi="Palatino Linotype" w:cs="Palatino Linotype"/>
          <w:sz w:val="22"/>
          <w:szCs w:val="22"/>
        </w:rPr>
      </w:pPr>
      <w:bookmarkStart w:id="7" w:name="_heading=h.3dy6vkm" w:colFirst="0" w:colLast="0"/>
      <w:bookmarkEnd w:id="7"/>
      <w:r w:rsidRPr="00DB09FD">
        <w:rPr>
          <w:rFonts w:ascii="Palatino Linotype" w:eastAsia="Palatino Linotype" w:hAnsi="Palatino Linotype" w:cs="Palatino Linotype"/>
          <w:b/>
          <w:sz w:val="22"/>
          <w:szCs w:val="22"/>
        </w:rPr>
        <w:t>2.</w:t>
      </w:r>
      <w:r w:rsidR="00F6238C" w:rsidRPr="00DB09FD">
        <w:rPr>
          <w:rFonts w:ascii="Palatino Linotype" w:eastAsia="Palatino Linotype" w:hAnsi="Palatino Linotype" w:cs="Palatino Linotype"/>
          <w:b/>
          <w:sz w:val="22"/>
          <w:szCs w:val="22"/>
        </w:rPr>
        <w:t xml:space="preserve"> </w:t>
      </w:r>
      <w:r w:rsidRPr="00DB09FD">
        <w:rPr>
          <w:rFonts w:ascii="Palatino Linotype" w:eastAsia="Palatino Linotype" w:hAnsi="Palatino Linotype" w:cs="Palatino Linotype"/>
          <w:b/>
          <w:sz w:val="22"/>
          <w:szCs w:val="22"/>
        </w:rPr>
        <w:t xml:space="preserve">Respuesta. </w:t>
      </w:r>
      <w:r w:rsidRPr="00DB09FD">
        <w:rPr>
          <w:rFonts w:ascii="Palatino Linotype" w:eastAsia="Palatino Linotype" w:hAnsi="Palatino Linotype" w:cs="Palatino Linotype"/>
          <w:sz w:val="22"/>
          <w:szCs w:val="22"/>
        </w:rPr>
        <w:t xml:space="preserve">El </w:t>
      </w:r>
      <w:r w:rsidR="000C390C" w:rsidRPr="00DB09FD">
        <w:rPr>
          <w:rFonts w:ascii="Palatino Linotype" w:eastAsia="Palatino Linotype" w:hAnsi="Palatino Linotype" w:cs="Palatino Linotype"/>
          <w:b/>
          <w:sz w:val="22"/>
          <w:szCs w:val="22"/>
        </w:rPr>
        <w:t>cuatro de septiembre</w:t>
      </w:r>
      <w:r w:rsidR="00C65EA4" w:rsidRPr="00DB09FD">
        <w:rPr>
          <w:rFonts w:ascii="Palatino Linotype" w:eastAsia="Palatino Linotype" w:hAnsi="Palatino Linotype" w:cs="Palatino Linotype"/>
          <w:b/>
          <w:sz w:val="22"/>
          <w:szCs w:val="22"/>
        </w:rPr>
        <w:t xml:space="preserve"> de </w:t>
      </w:r>
      <w:r w:rsidRPr="00DB09FD">
        <w:rPr>
          <w:rFonts w:ascii="Palatino Linotype" w:eastAsia="Palatino Linotype" w:hAnsi="Palatino Linotype" w:cs="Palatino Linotype"/>
          <w:b/>
          <w:sz w:val="22"/>
          <w:szCs w:val="22"/>
        </w:rPr>
        <w:t>dos mil veinticinco,</w:t>
      </w:r>
      <w:r w:rsidRPr="00DB09FD">
        <w:rPr>
          <w:rFonts w:ascii="Palatino Linotype" w:eastAsia="Palatino Linotype" w:hAnsi="Palatino Linotype" w:cs="Palatino Linotype"/>
          <w:sz w:val="22"/>
          <w:szCs w:val="22"/>
        </w:rPr>
        <w:t xml:space="preserve"> el </w:t>
      </w:r>
      <w:r w:rsidRPr="00DB09FD">
        <w:rPr>
          <w:rFonts w:ascii="Palatino Linotype" w:eastAsia="Palatino Linotype" w:hAnsi="Palatino Linotype" w:cs="Palatino Linotype"/>
          <w:b/>
          <w:sz w:val="22"/>
          <w:szCs w:val="22"/>
        </w:rPr>
        <w:t xml:space="preserve">Sujeto Obligado </w:t>
      </w:r>
      <w:r w:rsidRPr="00DB09FD">
        <w:rPr>
          <w:rFonts w:ascii="Palatino Linotype" w:eastAsia="Palatino Linotype" w:hAnsi="Palatino Linotype" w:cs="Palatino Linotype"/>
          <w:sz w:val="22"/>
          <w:szCs w:val="22"/>
        </w:rPr>
        <w:t>envió su</w:t>
      </w:r>
      <w:r w:rsidR="001A7CB3"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respuesta</w:t>
      </w:r>
      <w:r w:rsidR="001A7CB3"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a la</w:t>
      </w:r>
      <w:r w:rsidR="001A7CB3"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solicitud</w:t>
      </w:r>
      <w:r w:rsidR="001A7CB3" w:rsidRPr="00DB09FD">
        <w:rPr>
          <w:rFonts w:ascii="Palatino Linotype" w:eastAsia="Palatino Linotype" w:hAnsi="Palatino Linotype" w:cs="Palatino Linotype"/>
          <w:sz w:val="22"/>
          <w:szCs w:val="22"/>
        </w:rPr>
        <w:t>es</w:t>
      </w:r>
      <w:r w:rsidRPr="00DB09FD">
        <w:rPr>
          <w:rFonts w:ascii="Palatino Linotype" w:eastAsia="Palatino Linotype" w:hAnsi="Palatino Linotype" w:cs="Palatino Linotype"/>
          <w:sz w:val="22"/>
          <w:szCs w:val="22"/>
        </w:rPr>
        <w:t xml:space="preserve"> de acceso a la información a través del SAIMEX, sustancialmente en los términos siguientes:   </w:t>
      </w:r>
    </w:p>
    <w:p w14:paraId="796878F1" w14:textId="497E4D9E" w:rsidR="00562A90" w:rsidRPr="00DB09FD" w:rsidRDefault="0062255D">
      <w:pPr>
        <w:spacing w:before="240" w:after="24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w:t>
      </w:r>
      <w:r w:rsidR="000C390C" w:rsidRPr="00DB09FD">
        <w:rPr>
          <w:rFonts w:ascii="Palatino Linotype" w:eastAsia="Palatino Linotype" w:hAnsi="Palatino Linotype" w:cs="Palatino Linotype"/>
          <w:i/>
          <w:sz w:val="22"/>
          <w:szCs w:val="22"/>
        </w:rPr>
        <w:t>Este Sujeto Obligado, denominado como Sistema Municipal para el Desarrollo integral de la Familia lxtapaluca, realizo el procedimiento correspondiente para tramitar su solicitud de información con el área correspondiente, por lo cual le hago llegar el oficio, emitido por la misma, en el que se da contestación a su solicitud de información; dando cumplimiento al articulo 53, fracción ! y IV de la Ley de Transparencia y Acceso a la Información Pública del Estado de México y Municipios</w:t>
      </w:r>
      <w:r w:rsidR="00337D82" w:rsidRPr="00DB09FD">
        <w:rPr>
          <w:rFonts w:ascii="Palatino Linotype" w:eastAsia="Palatino Linotype" w:hAnsi="Palatino Linotype" w:cs="Palatino Linotype"/>
          <w:i/>
          <w:sz w:val="22"/>
          <w:szCs w:val="22"/>
        </w:rPr>
        <w:t>.</w:t>
      </w:r>
      <w:r w:rsidRPr="00DB09FD">
        <w:rPr>
          <w:rFonts w:ascii="Palatino Linotype" w:eastAsia="Palatino Linotype" w:hAnsi="Palatino Linotype" w:cs="Palatino Linotype"/>
          <w:i/>
          <w:sz w:val="22"/>
          <w:szCs w:val="22"/>
        </w:rPr>
        <w:t>..” (sic)</w:t>
      </w:r>
    </w:p>
    <w:p w14:paraId="396A98A7" w14:textId="77777777" w:rsidR="00990686" w:rsidRPr="00DB09FD" w:rsidRDefault="0062255D" w:rsidP="00BF1755">
      <w:pPr>
        <w:spacing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El Sujeto Obligado adjuntó</w:t>
      </w:r>
      <w:r w:rsidR="004315B9" w:rsidRPr="00DB09FD">
        <w:rPr>
          <w:rFonts w:ascii="Palatino Linotype" w:eastAsia="Palatino Linotype" w:hAnsi="Palatino Linotype" w:cs="Palatino Linotype"/>
          <w:sz w:val="22"/>
          <w:szCs w:val="22"/>
        </w:rPr>
        <w:t xml:space="preserve"> </w:t>
      </w:r>
      <w:r w:rsidR="00990686" w:rsidRPr="00DB09FD">
        <w:rPr>
          <w:rFonts w:ascii="Palatino Linotype" w:eastAsia="Palatino Linotype" w:hAnsi="Palatino Linotype" w:cs="Palatino Linotype"/>
          <w:sz w:val="22"/>
          <w:szCs w:val="22"/>
        </w:rPr>
        <w:t xml:space="preserve">los siguientes documentos: </w:t>
      </w:r>
    </w:p>
    <w:p w14:paraId="47B291E3" w14:textId="77777777" w:rsidR="00990686" w:rsidRPr="00DB09FD" w:rsidRDefault="00990686" w:rsidP="00BF1755">
      <w:pPr>
        <w:spacing w:line="360" w:lineRule="auto"/>
        <w:jc w:val="both"/>
        <w:rPr>
          <w:rFonts w:ascii="Palatino Linotype" w:eastAsia="Palatino Linotype" w:hAnsi="Palatino Linotype" w:cs="Palatino Linotype"/>
          <w:sz w:val="22"/>
          <w:szCs w:val="22"/>
        </w:rPr>
      </w:pPr>
    </w:p>
    <w:p w14:paraId="2FF34759" w14:textId="6B93406C" w:rsidR="00990686" w:rsidRPr="00DB09FD" w:rsidRDefault="00990686" w:rsidP="00BF1755">
      <w:pPr>
        <w:pStyle w:val="Prrafodelista"/>
        <w:numPr>
          <w:ilvl w:val="0"/>
          <w:numId w:val="12"/>
        </w:numPr>
        <w:spacing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E</w:t>
      </w:r>
      <w:r w:rsidR="00BF1755" w:rsidRPr="00DB09FD">
        <w:rPr>
          <w:rFonts w:ascii="Palatino Linotype" w:eastAsia="Palatino Linotype" w:hAnsi="Palatino Linotype" w:cs="Palatino Linotype"/>
          <w:sz w:val="22"/>
          <w:szCs w:val="22"/>
        </w:rPr>
        <w:t>l</w:t>
      </w:r>
      <w:r w:rsidR="00C65EA4" w:rsidRPr="00DB09FD">
        <w:rPr>
          <w:rFonts w:ascii="Palatino Linotype" w:eastAsia="Palatino Linotype" w:hAnsi="Palatino Linotype" w:cs="Palatino Linotype"/>
          <w:sz w:val="22"/>
          <w:szCs w:val="22"/>
        </w:rPr>
        <w:t xml:space="preserve"> </w:t>
      </w:r>
      <w:r w:rsidR="004315B9" w:rsidRPr="00DB09FD">
        <w:rPr>
          <w:rFonts w:ascii="Palatino Linotype" w:eastAsia="Palatino Linotype" w:hAnsi="Palatino Linotype" w:cs="Palatino Linotype"/>
          <w:sz w:val="22"/>
          <w:szCs w:val="22"/>
        </w:rPr>
        <w:t>ofi</w:t>
      </w:r>
      <w:r w:rsidR="00BF1755" w:rsidRPr="00DB09FD">
        <w:rPr>
          <w:rFonts w:ascii="Palatino Linotype" w:eastAsia="Palatino Linotype" w:hAnsi="Palatino Linotype" w:cs="Palatino Linotype"/>
          <w:sz w:val="22"/>
          <w:szCs w:val="22"/>
        </w:rPr>
        <w:t>cio mediante el cual</w:t>
      </w:r>
      <w:r w:rsidR="000C390C" w:rsidRPr="00DB09FD">
        <w:rPr>
          <w:rFonts w:ascii="Palatino Linotype" w:eastAsia="Palatino Linotype" w:hAnsi="Palatino Linotype" w:cs="Palatino Linotype"/>
          <w:sz w:val="22"/>
          <w:szCs w:val="22"/>
        </w:rPr>
        <w:t xml:space="preserve"> el Tesorero del </w:t>
      </w:r>
      <w:r w:rsidR="00F91E7B" w:rsidRPr="00DB09FD">
        <w:rPr>
          <w:rFonts w:ascii="Palatino Linotype" w:eastAsia="Palatino Linotype" w:hAnsi="Palatino Linotype" w:cs="Palatino Linotype"/>
          <w:sz w:val="22"/>
          <w:szCs w:val="22"/>
        </w:rPr>
        <w:t>SMDIF Ixtapaluca</w:t>
      </w:r>
      <w:r w:rsidR="000C390C" w:rsidRPr="00DB09FD">
        <w:rPr>
          <w:rFonts w:ascii="Palatino Linotype" w:eastAsia="Palatino Linotype" w:hAnsi="Palatino Linotype" w:cs="Palatino Linotype"/>
          <w:sz w:val="22"/>
          <w:szCs w:val="22"/>
        </w:rPr>
        <w:t xml:space="preserve"> </w:t>
      </w:r>
      <w:r w:rsidR="00BF1755" w:rsidRPr="00DB09FD">
        <w:rPr>
          <w:rFonts w:ascii="Palatino Linotype" w:eastAsia="Palatino Linotype" w:hAnsi="Palatino Linotype" w:cs="Palatino Linotype"/>
          <w:sz w:val="22"/>
          <w:szCs w:val="22"/>
        </w:rPr>
        <w:t>manifestó</w:t>
      </w:r>
      <w:r w:rsidR="004315B9" w:rsidRPr="00DB09FD">
        <w:rPr>
          <w:rFonts w:ascii="Palatino Linotype" w:eastAsia="Palatino Linotype" w:hAnsi="Palatino Linotype" w:cs="Palatino Linotype"/>
          <w:sz w:val="22"/>
          <w:szCs w:val="22"/>
        </w:rPr>
        <w:t xml:space="preserve"> </w:t>
      </w:r>
      <w:r w:rsidR="00BF1755" w:rsidRPr="00DB09FD">
        <w:rPr>
          <w:rFonts w:ascii="Palatino Linotype" w:eastAsia="Palatino Linotype" w:hAnsi="Palatino Linotype" w:cs="Palatino Linotype"/>
          <w:sz w:val="22"/>
          <w:szCs w:val="22"/>
        </w:rPr>
        <w:t xml:space="preserve">que, de requerir dicha información tendrá que cubrir el costo correspondiente mismo que se establece en el Art. 73 fracción I y II del Código Financiero del Estado de México y Municipios vigente. </w:t>
      </w:r>
      <w:r w:rsidRPr="00DB09FD">
        <w:rPr>
          <w:rFonts w:ascii="Palatino Linotype" w:eastAsia="Palatino Linotype" w:hAnsi="Palatino Linotype" w:cs="Palatino Linotype"/>
          <w:sz w:val="22"/>
          <w:szCs w:val="22"/>
        </w:rPr>
        <w:t>Asimismo,</w:t>
      </w:r>
      <w:r w:rsidR="00A94F3C" w:rsidRPr="00DB09FD">
        <w:rPr>
          <w:rFonts w:ascii="Palatino Linotype" w:eastAsia="Palatino Linotype" w:hAnsi="Palatino Linotype" w:cs="Palatino Linotype"/>
          <w:sz w:val="22"/>
          <w:szCs w:val="22"/>
        </w:rPr>
        <w:t xml:space="preserve"> se advierte que adjunta diversa información que no se relaciona con la solicitud, en la que se advierte se dejaron datos personales que </w:t>
      </w:r>
      <w:r w:rsidR="00A94F3C" w:rsidRPr="00DB09FD">
        <w:rPr>
          <w:rFonts w:ascii="Palatino Linotype" w:eastAsia="Palatino Linotype" w:hAnsi="Palatino Linotype" w:cs="Palatino Linotype"/>
          <w:sz w:val="22"/>
          <w:szCs w:val="22"/>
        </w:rPr>
        <w:lastRenderedPageBreak/>
        <w:t xml:space="preserve">debieron ser clasificados, tales como, de manera </w:t>
      </w:r>
      <w:r w:rsidRPr="00DB09FD">
        <w:rPr>
          <w:rFonts w:ascii="Palatino Linotype" w:eastAsia="Palatino Linotype" w:hAnsi="Palatino Linotype" w:cs="Palatino Linotype"/>
          <w:sz w:val="22"/>
          <w:szCs w:val="22"/>
        </w:rPr>
        <w:t>enunciativa, la</w:t>
      </w:r>
      <w:r w:rsidR="00A94F3C" w:rsidRPr="00DB09FD">
        <w:rPr>
          <w:rFonts w:ascii="Palatino Linotype" w:eastAsia="Palatino Linotype" w:hAnsi="Palatino Linotype" w:cs="Palatino Linotype"/>
          <w:sz w:val="22"/>
          <w:szCs w:val="22"/>
        </w:rPr>
        <w:t xml:space="preserve"> clave CURP de un servidor público</w:t>
      </w:r>
      <w:r w:rsidRPr="00DB09FD">
        <w:rPr>
          <w:rFonts w:ascii="Palatino Linotype" w:eastAsia="Palatino Linotype" w:hAnsi="Palatino Linotype" w:cs="Palatino Linotype"/>
          <w:sz w:val="22"/>
          <w:szCs w:val="22"/>
        </w:rPr>
        <w:t xml:space="preserve">. </w:t>
      </w:r>
    </w:p>
    <w:p w14:paraId="70E67C6A" w14:textId="19E98DD8" w:rsidR="00990686" w:rsidRPr="00DB09FD" w:rsidRDefault="00990686" w:rsidP="00BF1755">
      <w:pPr>
        <w:pStyle w:val="Prrafodelista"/>
        <w:numPr>
          <w:ilvl w:val="0"/>
          <w:numId w:val="12"/>
        </w:numPr>
        <w:spacing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 xml:space="preserve">Oficio mediante el cual el Titular de la Unidad de Transparencia remite la respuesta del servidor público habilitado. </w:t>
      </w:r>
    </w:p>
    <w:p w14:paraId="15D280BF" w14:textId="35897357" w:rsidR="00562A90" w:rsidRPr="00DB09FD" w:rsidRDefault="0062255D">
      <w:pPr>
        <w:spacing w:before="240" w:after="240" w:line="360" w:lineRule="auto"/>
        <w:ind w:right="49"/>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b/>
          <w:sz w:val="22"/>
          <w:szCs w:val="22"/>
        </w:rPr>
        <w:t>3. Interposición de</w:t>
      </w:r>
      <w:r w:rsidR="00637C6D" w:rsidRPr="00DB09FD">
        <w:rPr>
          <w:rFonts w:ascii="Palatino Linotype" w:eastAsia="Palatino Linotype" w:hAnsi="Palatino Linotype" w:cs="Palatino Linotype"/>
          <w:b/>
          <w:sz w:val="22"/>
          <w:szCs w:val="22"/>
        </w:rPr>
        <w:t xml:space="preserve"> los </w:t>
      </w:r>
      <w:r w:rsidRPr="00DB09FD">
        <w:rPr>
          <w:rFonts w:ascii="Palatino Linotype" w:eastAsia="Palatino Linotype" w:hAnsi="Palatino Linotype" w:cs="Palatino Linotype"/>
          <w:b/>
          <w:sz w:val="22"/>
          <w:szCs w:val="22"/>
        </w:rPr>
        <w:t>recurso</w:t>
      </w:r>
      <w:r w:rsidR="00637C6D" w:rsidRPr="00DB09FD">
        <w:rPr>
          <w:rFonts w:ascii="Palatino Linotype" w:eastAsia="Palatino Linotype" w:hAnsi="Palatino Linotype" w:cs="Palatino Linotype"/>
          <w:b/>
          <w:sz w:val="22"/>
          <w:szCs w:val="22"/>
        </w:rPr>
        <w:t>s</w:t>
      </w:r>
      <w:r w:rsidRPr="00DB09FD">
        <w:rPr>
          <w:rFonts w:ascii="Palatino Linotype" w:eastAsia="Palatino Linotype" w:hAnsi="Palatino Linotype" w:cs="Palatino Linotype"/>
          <w:b/>
          <w:sz w:val="22"/>
          <w:szCs w:val="22"/>
        </w:rPr>
        <w:t xml:space="preserve"> de revisión. </w:t>
      </w:r>
      <w:r w:rsidRPr="00DB09FD">
        <w:rPr>
          <w:rFonts w:ascii="Palatino Linotype" w:eastAsia="Palatino Linotype" w:hAnsi="Palatino Linotype" w:cs="Palatino Linotype"/>
          <w:sz w:val="22"/>
          <w:szCs w:val="22"/>
        </w:rPr>
        <w:t>Inconforme con los términos de la</w:t>
      </w:r>
      <w:r w:rsidR="001A7CB3"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respuesta</w:t>
      </w:r>
      <w:r w:rsidR="001A7CB3"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emitida</w:t>
      </w:r>
      <w:r w:rsidR="001A7CB3"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por parte del </w:t>
      </w:r>
      <w:r w:rsidRPr="00DB09FD">
        <w:rPr>
          <w:rFonts w:ascii="Palatino Linotype" w:eastAsia="Palatino Linotype" w:hAnsi="Palatino Linotype" w:cs="Palatino Linotype"/>
          <w:b/>
          <w:sz w:val="22"/>
          <w:szCs w:val="22"/>
        </w:rPr>
        <w:t>Sujeto Obligado</w:t>
      </w:r>
      <w:r w:rsidRPr="00DB09FD">
        <w:rPr>
          <w:rFonts w:ascii="Palatino Linotype" w:eastAsia="Palatino Linotype" w:hAnsi="Palatino Linotype" w:cs="Palatino Linotype"/>
          <w:sz w:val="22"/>
          <w:szCs w:val="22"/>
        </w:rPr>
        <w:t xml:space="preserve">, el </w:t>
      </w:r>
      <w:r w:rsidR="00637C6D" w:rsidRPr="00DB09FD">
        <w:rPr>
          <w:rFonts w:ascii="Palatino Linotype" w:eastAsia="Palatino Linotype" w:hAnsi="Palatino Linotype" w:cs="Palatino Linotype"/>
          <w:b/>
          <w:sz w:val="22"/>
          <w:szCs w:val="22"/>
        </w:rPr>
        <w:t>seis</w:t>
      </w:r>
      <w:r w:rsidR="00BF1755" w:rsidRPr="00DB09FD">
        <w:rPr>
          <w:rFonts w:ascii="Palatino Linotype" w:eastAsia="Palatino Linotype" w:hAnsi="Palatino Linotype" w:cs="Palatino Linotype"/>
          <w:b/>
          <w:sz w:val="22"/>
          <w:szCs w:val="22"/>
        </w:rPr>
        <w:t xml:space="preserve"> de septiembre</w:t>
      </w:r>
      <w:r w:rsidR="00C65EA4" w:rsidRPr="00DB09FD">
        <w:rPr>
          <w:rFonts w:ascii="Palatino Linotype" w:eastAsia="Palatino Linotype" w:hAnsi="Palatino Linotype" w:cs="Palatino Linotype"/>
          <w:b/>
          <w:sz w:val="22"/>
          <w:szCs w:val="22"/>
        </w:rPr>
        <w:t xml:space="preserve"> de</w:t>
      </w:r>
      <w:r w:rsidRPr="00DB09FD">
        <w:rPr>
          <w:rFonts w:ascii="Palatino Linotype" w:eastAsia="Palatino Linotype" w:hAnsi="Palatino Linotype" w:cs="Palatino Linotype"/>
          <w:b/>
          <w:sz w:val="22"/>
          <w:szCs w:val="22"/>
        </w:rPr>
        <w:t xml:space="preserve"> dos mil veinticinco,</w:t>
      </w:r>
      <w:r w:rsidRPr="00DB09FD">
        <w:rPr>
          <w:rFonts w:ascii="Palatino Linotype" w:eastAsia="Palatino Linotype" w:hAnsi="Palatino Linotype" w:cs="Palatino Linotype"/>
          <w:sz w:val="22"/>
          <w:szCs w:val="22"/>
        </w:rPr>
        <w:t xml:space="preserve"> la parte </w:t>
      </w:r>
      <w:r w:rsidRPr="00DB09FD">
        <w:rPr>
          <w:rFonts w:ascii="Palatino Linotype" w:eastAsia="Palatino Linotype" w:hAnsi="Palatino Linotype" w:cs="Palatino Linotype"/>
          <w:b/>
          <w:sz w:val="22"/>
          <w:szCs w:val="22"/>
        </w:rPr>
        <w:t>Recurrente</w:t>
      </w:r>
      <w:r w:rsidR="001A7CB3" w:rsidRPr="00DB09FD">
        <w:rPr>
          <w:rFonts w:ascii="Palatino Linotype" w:eastAsia="Palatino Linotype" w:hAnsi="Palatino Linotype" w:cs="Palatino Linotype"/>
          <w:sz w:val="22"/>
          <w:szCs w:val="22"/>
        </w:rPr>
        <w:t xml:space="preserve"> interpuso los</w:t>
      </w:r>
      <w:r w:rsidRPr="00DB09FD">
        <w:rPr>
          <w:rFonts w:ascii="Palatino Linotype" w:eastAsia="Palatino Linotype" w:hAnsi="Palatino Linotype" w:cs="Palatino Linotype"/>
          <w:sz w:val="22"/>
          <w:szCs w:val="22"/>
        </w:rPr>
        <w:t xml:space="preserve"> recurso</w:t>
      </w:r>
      <w:r w:rsidR="001A7CB3"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de revisión a través de </w:t>
      </w:r>
      <w:r w:rsidRPr="00DB09FD">
        <w:rPr>
          <w:rFonts w:ascii="Palatino Linotype" w:eastAsia="Palatino Linotype" w:hAnsi="Palatino Linotype" w:cs="Palatino Linotype"/>
          <w:b/>
          <w:sz w:val="22"/>
          <w:szCs w:val="22"/>
        </w:rPr>
        <w:t xml:space="preserve">SAIMEX, </w:t>
      </w:r>
      <w:r w:rsidR="00637C6D" w:rsidRPr="00DB09FD">
        <w:rPr>
          <w:rFonts w:ascii="Palatino Linotype" w:eastAsia="Palatino Linotype" w:hAnsi="Palatino Linotype" w:cs="Palatino Linotype"/>
          <w:b/>
          <w:sz w:val="22"/>
          <w:szCs w:val="22"/>
        </w:rPr>
        <w:t xml:space="preserve">mismos que al ser presentados en día inhábil se tuvieron por registrados el ocho de septiembre de dos mil veinticinco, </w:t>
      </w:r>
      <w:r w:rsidRPr="00DB09FD">
        <w:rPr>
          <w:rFonts w:ascii="Palatino Linotype" w:eastAsia="Palatino Linotype" w:hAnsi="Palatino Linotype" w:cs="Palatino Linotype"/>
          <w:sz w:val="22"/>
          <w:szCs w:val="22"/>
        </w:rPr>
        <w:t>en donde se manifestó de la siguiente manera:</w:t>
      </w:r>
    </w:p>
    <w:p w14:paraId="192E11EB" w14:textId="1772238A" w:rsidR="001A7CB3" w:rsidRPr="00DB09FD" w:rsidRDefault="001A7CB3">
      <w:pPr>
        <w:spacing w:before="240" w:after="240" w:line="360" w:lineRule="auto"/>
        <w:ind w:right="49"/>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b/>
          <w:sz w:val="22"/>
          <w:szCs w:val="22"/>
        </w:rPr>
        <w:t>10494/INFOEM/IP/RR/2025</w:t>
      </w:r>
    </w:p>
    <w:p w14:paraId="47A1D1F7" w14:textId="77777777" w:rsidR="00562A90" w:rsidRPr="00DB09FD" w:rsidRDefault="0062255D">
      <w:pPr>
        <w:spacing w:before="240" w:after="240" w:line="360" w:lineRule="auto"/>
        <w:ind w:right="49"/>
        <w:jc w:val="both"/>
        <w:rPr>
          <w:rFonts w:ascii="Palatino Linotype" w:eastAsia="Palatino Linotype" w:hAnsi="Palatino Linotype" w:cs="Palatino Linotype"/>
          <w:b/>
          <w:sz w:val="22"/>
          <w:szCs w:val="22"/>
        </w:rPr>
      </w:pPr>
      <w:r w:rsidRPr="00DB09FD">
        <w:rPr>
          <w:rFonts w:ascii="Palatino Linotype" w:eastAsia="Palatino Linotype" w:hAnsi="Palatino Linotype" w:cs="Palatino Linotype"/>
          <w:b/>
          <w:sz w:val="22"/>
          <w:szCs w:val="22"/>
        </w:rPr>
        <w:t xml:space="preserve">Acto impugnado: </w:t>
      </w:r>
    </w:p>
    <w:p w14:paraId="2600BB83" w14:textId="4C08752A" w:rsidR="00562A90" w:rsidRPr="00DB09FD" w:rsidRDefault="0062255D" w:rsidP="002D01B9">
      <w:pPr>
        <w:ind w:left="851" w:right="900"/>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w:t>
      </w:r>
      <w:r w:rsidR="00BF1755" w:rsidRPr="00DB09FD">
        <w:rPr>
          <w:rFonts w:ascii="Palatino Linotype" w:eastAsia="Palatino Linotype" w:hAnsi="Palatino Linotype" w:cs="Palatino Linotype"/>
          <w:i/>
          <w:sz w:val="22"/>
          <w:szCs w:val="22"/>
        </w:rPr>
        <w:t xml:space="preserve">Se me </w:t>
      </w:r>
      <w:r w:rsidR="00BF1755" w:rsidRPr="00DB09FD">
        <w:rPr>
          <w:rFonts w:ascii="Palatino Linotype" w:eastAsia="Palatino Linotype" w:hAnsi="Palatino Linotype" w:cs="Palatino Linotype"/>
          <w:b/>
          <w:bCs/>
          <w:i/>
          <w:sz w:val="22"/>
          <w:szCs w:val="22"/>
          <w:u w:val="single"/>
        </w:rPr>
        <w:t>solicita de manera indebida la realización de un pago</w:t>
      </w:r>
      <w:r w:rsidR="00BF1755" w:rsidRPr="00DB09FD">
        <w:rPr>
          <w:rFonts w:ascii="Palatino Linotype" w:eastAsia="Palatino Linotype" w:hAnsi="Palatino Linotype" w:cs="Palatino Linotype"/>
          <w:i/>
          <w:sz w:val="22"/>
          <w:szCs w:val="22"/>
        </w:rPr>
        <w:t xml:space="preserve"> como condición para la entrega de la información requerida, circunstancia que resulta sumamente preocupante, ya que se presta a prácticas que podrían interpretarse como un intento de extorsión y un obstáculo directo al ejercicio de mi derecho de acceso a la información. De igual forma, el DIF ha incurrido en conductas que comprometen gravemente la protección de datos personales, exponiendo información sensible de manera irresponsable y sin los debidos cuidados que garanticen la privacidad de las personas. Por otro lado, la institución ha aplicado de manera arbitraria la acumulación de solicitudes, a pesar de que en múltiples ocasiones solicité expresamente que cada una fuera atendida de manera independiente, con lo cual se vulnera el sentido y alcance de mis peticiones al generar confusión y dilación en el acceso a la información solicitada. Aunado a lo anterior, la información que se entrega carece de claridad, es ambigua, incompleta y en algunos casos contradictoria, lo que imposibilita verificar su autenticidad y limita de manera significativa la utilidad práctica de los datos proporcionados. En consecuencia, se advierte un patrón de conductas por parte del DIF que no solo entorpecen la transparencia institucional, sino que también deterioran la confianza ciudadana al recurrir a mecanismos que desvirtúan la esencia del derecho de acceso a la información pública.</w:t>
      </w:r>
      <w:r w:rsidRPr="00DB09FD">
        <w:rPr>
          <w:rFonts w:ascii="Palatino Linotype" w:eastAsia="Palatino Linotype" w:hAnsi="Palatino Linotype" w:cs="Palatino Linotype"/>
          <w:i/>
          <w:sz w:val="22"/>
          <w:szCs w:val="22"/>
        </w:rPr>
        <w:t>” (sic)</w:t>
      </w:r>
    </w:p>
    <w:p w14:paraId="7B83A379" w14:textId="77777777" w:rsidR="00BF1755" w:rsidRPr="00DB09FD" w:rsidRDefault="00BF1755" w:rsidP="002D01B9">
      <w:pPr>
        <w:ind w:left="851" w:right="900"/>
        <w:jc w:val="both"/>
        <w:rPr>
          <w:rFonts w:ascii="Palatino Linotype" w:eastAsia="Palatino Linotype" w:hAnsi="Palatino Linotype" w:cs="Palatino Linotype"/>
          <w:i/>
          <w:sz w:val="22"/>
          <w:szCs w:val="22"/>
        </w:rPr>
      </w:pPr>
    </w:p>
    <w:p w14:paraId="05264EB6" w14:textId="77777777" w:rsidR="00562A90" w:rsidRPr="00DB09FD" w:rsidRDefault="0062255D">
      <w:pPr>
        <w:spacing w:line="360" w:lineRule="auto"/>
        <w:jc w:val="both"/>
        <w:rPr>
          <w:rFonts w:ascii="Palatino Linotype" w:eastAsia="Palatino Linotype" w:hAnsi="Palatino Linotype" w:cs="Palatino Linotype"/>
          <w:sz w:val="22"/>
          <w:szCs w:val="22"/>
        </w:rPr>
      </w:pPr>
      <w:bookmarkStart w:id="8" w:name="_heading=h.30j0zll" w:colFirst="0" w:colLast="0"/>
      <w:bookmarkEnd w:id="8"/>
      <w:r w:rsidRPr="00DB09FD">
        <w:rPr>
          <w:rFonts w:ascii="Palatino Linotype" w:eastAsia="Palatino Linotype" w:hAnsi="Palatino Linotype" w:cs="Palatino Linotype"/>
          <w:b/>
          <w:sz w:val="22"/>
          <w:szCs w:val="22"/>
        </w:rPr>
        <w:t>Y, Razones o motivos de inconformidad</w:t>
      </w:r>
      <w:r w:rsidRPr="00DB09FD">
        <w:rPr>
          <w:rFonts w:ascii="Palatino Linotype" w:eastAsia="Palatino Linotype" w:hAnsi="Palatino Linotype" w:cs="Palatino Linotype"/>
          <w:sz w:val="22"/>
          <w:szCs w:val="22"/>
        </w:rPr>
        <w:t>:</w:t>
      </w:r>
    </w:p>
    <w:p w14:paraId="29A63F7C" w14:textId="3EB18292" w:rsidR="00562A90" w:rsidRPr="00DB09FD" w:rsidRDefault="0062255D">
      <w:pPr>
        <w:tabs>
          <w:tab w:val="left" w:pos="2745"/>
        </w:tabs>
        <w:spacing w:before="240" w:after="240"/>
        <w:ind w:left="851" w:right="900"/>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w:t>
      </w:r>
      <w:r w:rsidR="004132DD" w:rsidRPr="00DB09FD">
        <w:rPr>
          <w:rFonts w:ascii="Palatino Linotype" w:eastAsia="Palatino Linotype" w:hAnsi="Palatino Linotype" w:cs="Palatino Linotype"/>
          <w:i/>
          <w:sz w:val="22"/>
          <w:szCs w:val="22"/>
        </w:rPr>
        <w:t>Se me solicita de manera indebida la realización de un pago como condición para la entrega de la información requerida, circunstancia que resulta sumamente preocupante, ya que se presta a prácticas que podrían interpretarse como un intento de extorsión y un obstáculo directo al ejercicio de mi derecho de acceso a la información. De igual forma, el DIF ha incurrido en conductas que comprometen gravemente la protección de datos personales, exponiendo información sensible de manera irresponsable y sin los debidos cuidados que garanticen la privacidad de las personas. Por otro lado, la institución ha aplicado de manera arbitraria la acumulación de solicitudes, a pesar de que en múltiples ocasiones solicité expresamente que cada una fuera atendida de manera independiente, con lo cual se vulnera el sentido y alcance de mis peticiones al generar confusión y dilación en el acceso a la información solicitada. Aunado a lo anterior, la información que se entrega carece de claridad, es ambigua, incompleta y en algunos casos contradictoria, lo que imposibilita verificar su autenticidad y limita de manera significativa la utilidad práctica de los datos proporcionados. En consecuencia, se advierte un patrón de conductas por parte del DIF que no solo entorpecen la transparencia institucional, sino que también deterioran la confianza ciudadana al recurrir a mecanismos que desvirtúan la esencia del derecho de acceso a la información pública.”</w:t>
      </w:r>
      <w:r w:rsidRPr="00DB09FD">
        <w:rPr>
          <w:rFonts w:ascii="Palatino Linotype" w:eastAsia="Palatino Linotype" w:hAnsi="Palatino Linotype" w:cs="Palatino Linotype"/>
          <w:i/>
          <w:sz w:val="22"/>
          <w:szCs w:val="22"/>
        </w:rPr>
        <w:t xml:space="preserve"> (sic)</w:t>
      </w:r>
    </w:p>
    <w:p w14:paraId="66BB38F3" w14:textId="799ECBF1" w:rsidR="001A7CB3" w:rsidRPr="00DB09FD" w:rsidRDefault="001A7CB3">
      <w:pPr>
        <w:spacing w:line="360" w:lineRule="auto"/>
        <w:jc w:val="both"/>
        <w:rPr>
          <w:rFonts w:ascii="Palatino Linotype" w:hAnsi="Palatino Linotype" w:cs="Palatino Linotype"/>
          <w:b/>
          <w:bCs/>
          <w:sz w:val="22"/>
          <w:szCs w:val="22"/>
        </w:rPr>
      </w:pPr>
      <w:r w:rsidRPr="00DB09FD">
        <w:rPr>
          <w:rFonts w:ascii="Palatino Linotype" w:hAnsi="Palatino Linotype" w:cs="Palatino Linotype"/>
          <w:b/>
          <w:bCs/>
          <w:sz w:val="22"/>
          <w:szCs w:val="22"/>
        </w:rPr>
        <w:t>10521/INFOEM/IP/RR/2025</w:t>
      </w:r>
    </w:p>
    <w:p w14:paraId="728B8480" w14:textId="249FB366" w:rsidR="001A7CB3" w:rsidRPr="00DB09FD" w:rsidRDefault="001A7CB3" w:rsidP="001A7CB3">
      <w:pPr>
        <w:ind w:left="851" w:right="900"/>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w:t>
      </w:r>
      <w:r w:rsidRPr="00DB09FD">
        <w:rPr>
          <w:rFonts w:ascii="Palatino Linotype" w:eastAsia="Palatino Linotype" w:hAnsi="Palatino Linotype" w:cs="Palatino Linotype"/>
          <w:b/>
          <w:bCs/>
          <w:i/>
          <w:sz w:val="22"/>
          <w:szCs w:val="22"/>
          <w:u w:val="single"/>
        </w:rPr>
        <w:t>El DIF no solo exige pagos indebidos para entregar información</w:t>
      </w:r>
      <w:r w:rsidRPr="00DB09FD">
        <w:rPr>
          <w:rFonts w:ascii="Palatino Linotype" w:eastAsia="Palatino Linotype" w:hAnsi="Palatino Linotype" w:cs="Palatino Linotype"/>
          <w:i/>
          <w:sz w:val="22"/>
          <w:szCs w:val="22"/>
        </w:rPr>
        <w:t xml:space="preserve"> —acto que se configura como una práctica claramente extorsiva— sino que además vulnera datos personales, acumula solicitudes de manera arbitraria, evade contestar de fondo y entrega documentos sin sello, sin firma y sin acuse de recibido, lo que anula toda formalidad y genera absoluta desconfianza en el trámite. Para colmo, únicamente remite tres formatos vacíos que no atienden lo solicitado, lo cual constituye una negativa encubierta y deliberada. Estas conductas no son errores, son acciones dolosas y sistemáticas encaminadas a obstruir el acceso a la información, manipular los procedimientos y mantener la opacidad institucional. Por lo anterior, resulta indispensable que se impongan sanciones ejemplares y multas al DIF por su reiterado incumplimiento y su actuar doloso, pues lo aquí descrito no es casual ni aislado, sino un modus operandi para burlar la transparencia y dañar la confianza ciudadana.” (sic)</w:t>
      </w:r>
    </w:p>
    <w:p w14:paraId="1DB20BC6" w14:textId="77777777" w:rsidR="001A7CB3" w:rsidRPr="00DB09FD" w:rsidRDefault="001A7CB3" w:rsidP="001A7CB3">
      <w:pPr>
        <w:ind w:left="851" w:right="900"/>
        <w:jc w:val="both"/>
        <w:rPr>
          <w:rFonts w:ascii="Palatino Linotype" w:eastAsia="Palatino Linotype" w:hAnsi="Palatino Linotype" w:cs="Palatino Linotype"/>
          <w:i/>
          <w:sz w:val="22"/>
          <w:szCs w:val="22"/>
        </w:rPr>
      </w:pPr>
    </w:p>
    <w:p w14:paraId="314C0390" w14:textId="77777777" w:rsidR="001A7CB3" w:rsidRPr="00DB09FD" w:rsidRDefault="001A7CB3" w:rsidP="001A7CB3">
      <w:pPr>
        <w:spacing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b/>
          <w:sz w:val="22"/>
          <w:szCs w:val="22"/>
        </w:rPr>
        <w:t>Y, Razones o motivos de inconformidad</w:t>
      </w:r>
      <w:r w:rsidRPr="00DB09FD">
        <w:rPr>
          <w:rFonts w:ascii="Palatino Linotype" w:eastAsia="Palatino Linotype" w:hAnsi="Palatino Linotype" w:cs="Palatino Linotype"/>
          <w:sz w:val="22"/>
          <w:szCs w:val="22"/>
        </w:rPr>
        <w:t>:</w:t>
      </w:r>
    </w:p>
    <w:p w14:paraId="3784B84A" w14:textId="03B80CC5" w:rsidR="001A7CB3" w:rsidRPr="00DB09FD" w:rsidRDefault="001A7CB3" w:rsidP="00637C6D">
      <w:pPr>
        <w:spacing w:line="276" w:lineRule="auto"/>
        <w:ind w:left="851" w:right="900"/>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“El DIF no solo exige pagos indebidos para entregar información —acto que se configura como una práctica claramente extorsiva— sino que además vulnera datos personales, acumula solicitudes de manera arbitraria, evade contestar de fondo y entrega documentos sin sello, sin firma y sin acuse de recibido, lo que anula toda formalidad y genera absoluta desconfianza en el trámite. Para colmo, únicamente remite tres formatos vacíos que no atienden lo solicitado, lo cual constituye una negativa encubierta y deliberada. Estas conductas no son errores, son acciones dolosas y sistemáticas encaminadas a obstruir el acceso a la información, manipular los procedimientos y mantener la opacidad institucional. Por lo anterior, resulta indispensable que se impongan sanciones ejemplares y multas al DIF por su reiterado incumplimiento y su actuar doloso, pues lo aquí descrito no es casual ni aislado, sino un modus operandi para burlar la transparencia y dañar la confianza ciudadana.</w:t>
      </w:r>
      <w:r w:rsidR="00432E3F" w:rsidRPr="00DB09FD">
        <w:rPr>
          <w:rFonts w:ascii="Palatino Linotype" w:eastAsia="Palatino Linotype" w:hAnsi="Palatino Linotype" w:cs="Palatino Linotype"/>
          <w:i/>
          <w:sz w:val="22"/>
          <w:szCs w:val="22"/>
        </w:rPr>
        <w:t>” (sic)</w:t>
      </w:r>
    </w:p>
    <w:p w14:paraId="2BBF3CD8" w14:textId="77777777" w:rsidR="001A7CB3" w:rsidRPr="00DB09FD" w:rsidRDefault="001A7CB3">
      <w:pPr>
        <w:spacing w:line="360" w:lineRule="auto"/>
        <w:jc w:val="both"/>
        <w:rPr>
          <w:rFonts w:ascii="Palatino Linotype" w:eastAsia="Palatino Linotype" w:hAnsi="Palatino Linotype" w:cs="Palatino Linotype"/>
          <w:i/>
          <w:sz w:val="22"/>
          <w:szCs w:val="22"/>
        </w:rPr>
      </w:pPr>
    </w:p>
    <w:p w14:paraId="69DE47B2" w14:textId="5F95FD72" w:rsidR="00562A90" w:rsidRPr="00DB09FD" w:rsidRDefault="0062255D">
      <w:pPr>
        <w:spacing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b/>
          <w:sz w:val="22"/>
          <w:szCs w:val="22"/>
        </w:rPr>
        <w:t xml:space="preserve">4. Turno. </w:t>
      </w:r>
      <w:r w:rsidR="00637C6D" w:rsidRPr="00DB09FD">
        <w:rPr>
          <w:rFonts w:ascii="Palatino Linotype" w:hAnsi="Palatino Linotype"/>
          <w:b/>
          <w:bCs/>
          <w:sz w:val="22"/>
          <w:szCs w:val="22"/>
        </w:rPr>
        <w:t>Turno.</w:t>
      </w:r>
      <w:r w:rsidR="00637C6D" w:rsidRPr="00DB09FD">
        <w:rPr>
          <w:rFonts w:ascii="Palatino Linotype" w:hAnsi="Palatino Linotype"/>
          <w:sz w:val="22"/>
          <w:szCs w:val="22"/>
        </w:rPr>
        <w:t xml:space="preserve"> De conformidad con el artículo 185 fracción I de la Ley Transparencia y Acceso a la Información Pública, el Recurso de Revisión </w:t>
      </w:r>
      <w:r w:rsidR="00637C6D" w:rsidRPr="00DB09FD">
        <w:rPr>
          <w:rFonts w:ascii="Palatino Linotype" w:hAnsi="Palatino Linotype"/>
          <w:b/>
          <w:bCs/>
          <w:sz w:val="22"/>
          <w:szCs w:val="22"/>
        </w:rPr>
        <w:t>10494/INFOEM/IP/RR/2025 y fue</w:t>
      </w:r>
      <w:r w:rsidR="00637C6D" w:rsidRPr="00DB09FD">
        <w:rPr>
          <w:rFonts w:ascii="Palatino Linotype" w:hAnsi="Palatino Linotype"/>
          <w:sz w:val="22"/>
          <w:szCs w:val="22"/>
        </w:rPr>
        <w:t xml:space="preserve"> turnado a la Ponencia de la Comisionada Guadalupe Ramírez Peña; y el Recurso de Revisión </w:t>
      </w:r>
      <w:r w:rsidR="00637C6D" w:rsidRPr="00DB09FD">
        <w:rPr>
          <w:rFonts w:ascii="Palatino Linotype" w:hAnsi="Palatino Linotype"/>
          <w:b/>
          <w:bCs/>
          <w:sz w:val="22"/>
          <w:szCs w:val="22"/>
        </w:rPr>
        <w:t>10521/INFOEM/IP/RR/2025 a</w:t>
      </w:r>
      <w:r w:rsidR="00637C6D" w:rsidRPr="00DB09FD">
        <w:rPr>
          <w:rFonts w:ascii="Palatino Linotype" w:hAnsi="Palatino Linotype"/>
          <w:sz w:val="22"/>
          <w:szCs w:val="22"/>
        </w:rPr>
        <w:t xml:space="preserve"> la Ponencia del Comisionado Luis Gustavo Parra Noriega. </w:t>
      </w:r>
    </w:p>
    <w:p w14:paraId="0F7154BA" w14:textId="68A1EA64" w:rsidR="00562A90" w:rsidRPr="00DB09FD" w:rsidRDefault="0062255D">
      <w:pPr>
        <w:spacing w:before="240" w:after="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b/>
          <w:sz w:val="22"/>
          <w:szCs w:val="22"/>
        </w:rPr>
        <w:t>5. Admisión del Recurso de revisión.</w:t>
      </w:r>
      <w:r w:rsidRPr="00DB09FD">
        <w:rPr>
          <w:rFonts w:ascii="Palatino Linotype" w:eastAsia="Palatino Linotype" w:hAnsi="Palatino Linotype" w:cs="Palatino Linotype"/>
          <w:sz w:val="22"/>
          <w:szCs w:val="22"/>
        </w:rPr>
        <w:t xml:space="preserve"> El</w:t>
      </w:r>
      <w:r w:rsidRPr="00DB09FD">
        <w:rPr>
          <w:rFonts w:ascii="Palatino Linotype" w:eastAsia="Palatino Linotype" w:hAnsi="Palatino Linotype" w:cs="Palatino Linotype"/>
          <w:b/>
          <w:sz w:val="22"/>
          <w:szCs w:val="22"/>
        </w:rPr>
        <w:t xml:space="preserve"> </w:t>
      </w:r>
      <w:r w:rsidR="004132DD" w:rsidRPr="00DB09FD">
        <w:rPr>
          <w:rFonts w:ascii="Palatino Linotype" w:eastAsia="Palatino Linotype" w:hAnsi="Palatino Linotype" w:cs="Palatino Linotype"/>
          <w:b/>
          <w:sz w:val="22"/>
          <w:szCs w:val="22"/>
        </w:rPr>
        <w:t xml:space="preserve">once </w:t>
      </w:r>
      <w:r w:rsidR="00A127F7" w:rsidRPr="00DB09FD">
        <w:rPr>
          <w:rFonts w:ascii="Palatino Linotype" w:eastAsia="Palatino Linotype" w:hAnsi="Palatino Linotype" w:cs="Palatino Linotype"/>
          <w:b/>
          <w:sz w:val="22"/>
          <w:szCs w:val="22"/>
        </w:rPr>
        <w:t xml:space="preserve">de </w:t>
      </w:r>
      <w:r w:rsidR="004132DD" w:rsidRPr="00DB09FD">
        <w:rPr>
          <w:rFonts w:ascii="Palatino Linotype" w:eastAsia="Palatino Linotype" w:hAnsi="Palatino Linotype" w:cs="Palatino Linotype"/>
          <w:b/>
          <w:sz w:val="22"/>
          <w:szCs w:val="22"/>
        </w:rPr>
        <w:t>septiem</w:t>
      </w:r>
      <w:r w:rsidR="00A127F7" w:rsidRPr="00DB09FD">
        <w:rPr>
          <w:rFonts w:ascii="Palatino Linotype" w:eastAsia="Palatino Linotype" w:hAnsi="Palatino Linotype" w:cs="Palatino Linotype"/>
          <w:b/>
          <w:sz w:val="22"/>
          <w:szCs w:val="22"/>
        </w:rPr>
        <w:t>bre</w:t>
      </w:r>
      <w:r w:rsidR="009702EC" w:rsidRPr="00DB09FD">
        <w:rPr>
          <w:rFonts w:ascii="Palatino Linotype" w:eastAsia="Palatino Linotype" w:hAnsi="Palatino Linotype" w:cs="Palatino Linotype"/>
          <w:b/>
          <w:sz w:val="22"/>
          <w:szCs w:val="22"/>
        </w:rPr>
        <w:t xml:space="preserve"> </w:t>
      </w:r>
      <w:r w:rsidRPr="00DB09FD">
        <w:rPr>
          <w:rFonts w:ascii="Palatino Linotype" w:eastAsia="Palatino Linotype" w:hAnsi="Palatino Linotype" w:cs="Palatino Linotype"/>
          <w:b/>
          <w:sz w:val="22"/>
          <w:szCs w:val="22"/>
        </w:rPr>
        <w:t xml:space="preserve">de dos mil veinticinco, </w:t>
      </w:r>
      <w:r w:rsidRPr="00DB09FD">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DB09FD">
        <w:rPr>
          <w:rFonts w:ascii="Palatino Linotype" w:eastAsia="Palatino Linotype" w:hAnsi="Palatino Linotype" w:cs="Palatino Linotype"/>
          <w:b/>
          <w:sz w:val="22"/>
          <w:szCs w:val="22"/>
        </w:rPr>
        <w:t xml:space="preserve">Sujeto Obligado </w:t>
      </w:r>
      <w:r w:rsidRPr="00DB09FD">
        <w:rPr>
          <w:rFonts w:ascii="Palatino Linotype" w:eastAsia="Palatino Linotype" w:hAnsi="Palatino Linotype" w:cs="Palatino Linotype"/>
          <w:sz w:val="22"/>
          <w:szCs w:val="22"/>
        </w:rPr>
        <w:t>presentara su informe justificado.</w:t>
      </w:r>
    </w:p>
    <w:p w14:paraId="467E4CA0" w14:textId="608D80EE" w:rsidR="00D00363" w:rsidRPr="00DB09FD" w:rsidRDefault="0062255D" w:rsidP="00D00363">
      <w:pPr>
        <w:widowControl w:val="0"/>
        <w:spacing w:line="360" w:lineRule="auto"/>
        <w:ind w:right="49"/>
        <w:jc w:val="both"/>
        <w:rPr>
          <w:rFonts w:ascii="Palatino Linotype" w:eastAsia="Palatino Linotype" w:hAnsi="Palatino Linotype" w:cs="Palatino Linotype"/>
          <w:sz w:val="22"/>
          <w:szCs w:val="22"/>
        </w:rPr>
      </w:pPr>
      <w:bookmarkStart w:id="9" w:name="_heading=h.2s8eyo1" w:colFirst="0" w:colLast="0"/>
      <w:bookmarkEnd w:id="9"/>
      <w:r w:rsidRPr="00DB09FD">
        <w:rPr>
          <w:rFonts w:ascii="Palatino Linotype" w:eastAsia="Palatino Linotype" w:hAnsi="Palatino Linotype" w:cs="Palatino Linotype"/>
          <w:b/>
          <w:sz w:val="22"/>
          <w:szCs w:val="22"/>
        </w:rPr>
        <w:t>6. Manifestaciones</w:t>
      </w:r>
      <w:r w:rsidRPr="00DB09FD">
        <w:rPr>
          <w:rFonts w:ascii="Palatino Linotype" w:eastAsia="Palatino Linotype" w:hAnsi="Palatino Linotype" w:cs="Palatino Linotype"/>
          <w:sz w:val="22"/>
          <w:szCs w:val="22"/>
        </w:rPr>
        <w:t xml:space="preserve">. </w:t>
      </w:r>
      <w:r w:rsidR="00D00363" w:rsidRPr="00DB09FD">
        <w:rPr>
          <w:rFonts w:ascii="Palatino Linotype" w:eastAsia="Palatino Linotype" w:hAnsi="Palatino Linotype" w:cs="Palatino Linotype"/>
          <w:sz w:val="22"/>
          <w:szCs w:val="22"/>
        </w:rPr>
        <w:t>De constancias de</w:t>
      </w:r>
      <w:r w:rsidR="00E3232E" w:rsidRPr="00DB09FD">
        <w:rPr>
          <w:rFonts w:ascii="Palatino Linotype" w:eastAsia="Palatino Linotype" w:hAnsi="Palatino Linotype" w:cs="Palatino Linotype"/>
          <w:sz w:val="22"/>
          <w:szCs w:val="22"/>
        </w:rPr>
        <w:t xml:space="preserve"> </w:t>
      </w:r>
      <w:r w:rsidR="00D00363" w:rsidRPr="00DB09FD">
        <w:rPr>
          <w:rFonts w:ascii="Palatino Linotype" w:eastAsia="Palatino Linotype" w:hAnsi="Palatino Linotype" w:cs="Palatino Linotype"/>
          <w:sz w:val="22"/>
          <w:szCs w:val="22"/>
        </w:rPr>
        <w:t>l</w:t>
      </w:r>
      <w:r w:rsidR="00E3232E" w:rsidRPr="00DB09FD">
        <w:rPr>
          <w:rFonts w:ascii="Palatino Linotype" w:eastAsia="Palatino Linotype" w:hAnsi="Palatino Linotype" w:cs="Palatino Linotype"/>
          <w:sz w:val="22"/>
          <w:szCs w:val="22"/>
        </w:rPr>
        <w:t>os</w:t>
      </w:r>
      <w:r w:rsidR="00D00363" w:rsidRPr="00DB09FD">
        <w:rPr>
          <w:rFonts w:ascii="Palatino Linotype" w:eastAsia="Palatino Linotype" w:hAnsi="Palatino Linotype" w:cs="Palatino Linotype"/>
          <w:sz w:val="22"/>
          <w:szCs w:val="22"/>
        </w:rPr>
        <w:t xml:space="preserve"> expediente</w:t>
      </w:r>
      <w:r w:rsidR="00E3232E" w:rsidRPr="00DB09FD">
        <w:rPr>
          <w:rFonts w:ascii="Palatino Linotype" w:eastAsia="Palatino Linotype" w:hAnsi="Palatino Linotype" w:cs="Palatino Linotype"/>
          <w:sz w:val="22"/>
          <w:szCs w:val="22"/>
        </w:rPr>
        <w:t>s</w:t>
      </w:r>
      <w:r w:rsidR="00D00363" w:rsidRPr="00DB09FD">
        <w:rPr>
          <w:rFonts w:ascii="Palatino Linotype" w:eastAsia="Palatino Linotype" w:hAnsi="Palatino Linotype" w:cs="Palatino Linotype"/>
          <w:sz w:val="22"/>
          <w:szCs w:val="22"/>
        </w:rPr>
        <w:t xml:space="preserve"> electrónico</w:t>
      </w:r>
      <w:r w:rsidR="00E3232E" w:rsidRPr="00DB09FD">
        <w:rPr>
          <w:rFonts w:ascii="Palatino Linotype" w:eastAsia="Palatino Linotype" w:hAnsi="Palatino Linotype" w:cs="Palatino Linotype"/>
          <w:sz w:val="22"/>
          <w:szCs w:val="22"/>
        </w:rPr>
        <w:t>s</w:t>
      </w:r>
      <w:r w:rsidR="00D00363" w:rsidRPr="00DB09FD">
        <w:rPr>
          <w:rFonts w:ascii="Palatino Linotype" w:eastAsia="Palatino Linotype" w:hAnsi="Palatino Linotype" w:cs="Palatino Linotype"/>
          <w:sz w:val="22"/>
          <w:szCs w:val="22"/>
        </w:rPr>
        <w:t xml:space="preserve"> del SAIMEX, se observa</w:t>
      </w:r>
      <w:r w:rsidR="00637C6D" w:rsidRPr="00DB09FD">
        <w:rPr>
          <w:rFonts w:ascii="Palatino Linotype" w:eastAsia="Palatino Linotype" w:hAnsi="Palatino Linotype" w:cs="Palatino Linotype"/>
          <w:sz w:val="22"/>
          <w:szCs w:val="22"/>
        </w:rPr>
        <w:t xml:space="preserve"> que el Sujeto Obligado</w:t>
      </w:r>
      <w:r w:rsidR="009F7108" w:rsidRPr="00DB09FD">
        <w:rPr>
          <w:rFonts w:ascii="Palatino Linotype" w:eastAsia="Palatino Linotype" w:hAnsi="Palatino Linotype" w:cs="Palatino Linotype"/>
          <w:sz w:val="22"/>
          <w:szCs w:val="22"/>
        </w:rPr>
        <w:t xml:space="preserve"> en fechas, veintisiete de enero, doce y trece de febrero de dos mil veintiséis, </w:t>
      </w:r>
      <w:r w:rsidR="00637C6D" w:rsidRPr="00DB09FD">
        <w:rPr>
          <w:rFonts w:ascii="Palatino Linotype" w:eastAsia="Palatino Linotype" w:hAnsi="Palatino Linotype" w:cs="Palatino Linotype"/>
          <w:sz w:val="22"/>
          <w:szCs w:val="22"/>
        </w:rPr>
        <w:t xml:space="preserve">refirió lo siguiente: </w:t>
      </w:r>
    </w:p>
    <w:p w14:paraId="1AE3038E" w14:textId="120C258C" w:rsidR="00637C6D" w:rsidRPr="00DB09FD" w:rsidRDefault="00637C6D" w:rsidP="00D00363">
      <w:pPr>
        <w:widowControl w:val="0"/>
        <w:spacing w:line="360" w:lineRule="auto"/>
        <w:ind w:right="49"/>
        <w:jc w:val="both"/>
        <w:rPr>
          <w:rFonts w:ascii="Palatino Linotype" w:eastAsia="Palatino Linotype" w:hAnsi="Palatino Linotype" w:cs="Palatino Linotype"/>
          <w:sz w:val="22"/>
          <w:szCs w:val="22"/>
        </w:rPr>
      </w:pPr>
    </w:p>
    <w:p w14:paraId="77091FDB" w14:textId="75CA35D2" w:rsidR="00637C6D" w:rsidRPr="00DB09FD" w:rsidRDefault="00637C6D" w:rsidP="00D00363">
      <w:pPr>
        <w:widowControl w:val="0"/>
        <w:spacing w:line="360" w:lineRule="auto"/>
        <w:ind w:right="49"/>
        <w:jc w:val="both"/>
        <w:rPr>
          <w:rFonts w:ascii="Palatino Linotype" w:eastAsia="Palatino Linotype" w:hAnsi="Palatino Linotype" w:cs="Palatino Linotype"/>
          <w:b/>
          <w:bCs/>
          <w:sz w:val="22"/>
          <w:szCs w:val="22"/>
        </w:rPr>
      </w:pPr>
      <w:r w:rsidRPr="00DB09FD">
        <w:rPr>
          <w:rFonts w:ascii="Palatino Linotype" w:eastAsia="Palatino Linotype" w:hAnsi="Palatino Linotype" w:cs="Palatino Linotype"/>
          <w:b/>
          <w:bCs/>
          <w:sz w:val="22"/>
          <w:szCs w:val="22"/>
        </w:rPr>
        <w:tab/>
        <w:t xml:space="preserve">10494/INFOEM/IP/RR/2025. </w:t>
      </w:r>
    </w:p>
    <w:p w14:paraId="697FB5E5" w14:textId="77777777" w:rsidR="00AE6220" w:rsidRPr="00DB09FD" w:rsidRDefault="00AE6220" w:rsidP="00D00363">
      <w:pPr>
        <w:widowControl w:val="0"/>
        <w:spacing w:line="360" w:lineRule="auto"/>
        <w:ind w:right="49"/>
        <w:jc w:val="both"/>
        <w:rPr>
          <w:rFonts w:ascii="Palatino Linotype" w:eastAsia="Palatino Linotype" w:hAnsi="Palatino Linotype" w:cs="Palatino Linotype"/>
          <w:b/>
          <w:bCs/>
          <w:sz w:val="22"/>
          <w:szCs w:val="22"/>
        </w:rPr>
      </w:pPr>
    </w:p>
    <w:p w14:paraId="17CC4751" w14:textId="48FF3277" w:rsidR="00637C6D" w:rsidRPr="00DB09FD" w:rsidRDefault="00637C6D" w:rsidP="0085325B">
      <w:pPr>
        <w:widowControl w:val="0"/>
        <w:spacing w:line="360" w:lineRule="auto"/>
        <w:ind w:right="49"/>
        <w:jc w:val="both"/>
        <w:rPr>
          <w:rFonts w:ascii="Palatino Linotype" w:eastAsia="Palatino Linotype" w:hAnsi="Palatino Linotype" w:cs="Palatino Linotype"/>
          <w:i/>
          <w:iCs/>
          <w:sz w:val="22"/>
          <w:szCs w:val="22"/>
        </w:rPr>
      </w:pPr>
      <w:r w:rsidRPr="00DB09FD">
        <w:rPr>
          <w:rFonts w:ascii="Palatino Linotype" w:eastAsia="Palatino Linotype" w:hAnsi="Palatino Linotype" w:cs="Palatino Linotype"/>
          <w:b/>
          <w:bCs/>
          <w:i/>
          <w:iCs/>
          <w:sz w:val="22"/>
          <w:szCs w:val="22"/>
        </w:rPr>
        <w:t xml:space="preserve">RESPUESTA 98.pdf. </w:t>
      </w:r>
      <w:r w:rsidR="0085325B" w:rsidRPr="00DB09FD">
        <w:rPr>
          <w:rFonts w:ascii="Palatino Linotype" w:eastAsia="Palatino Linotype" w:hAnsi="Palatino Linotype" w:cs="Palatino Linotype"/>
          <w:i/>
          <w:iCs/>
          <w:sz w:val="22"/>
          <w:szCs w:val="22"/>
        </w:rPr>
        <w:t xml:space="preserve">El titular de la Unidad de Transparencia refiere que se hace entrega de las conciliaciones bancarias correspondientes a los meses de abril, mayo y junio de 2023. dichos documentos incluyen los estados de cuenta bancarios que sirven de base para su integración, por lo que se refiere a la copia de cheques emitidos y cancelados y su justificación, ratifica su respuesta respecto a que se hará entrega de esta información una vez que cubra el costo de la elaboración de versiones públicas. Asimismo, señala que no se localizó arqueo de caja toda vez que no se encontraron obligados normativamente a elaborarlos. </w:t>
      </w:r>
    </w:p>
    <w:p w14:paraId="454B0D23" w14:textId="77777777" w:rsidR="0085325B" w:rsidRPr="00DB09FD" w:rsidRDefault="0085325B" w:rsidP="00D00363">
      <w:pPr>
        <w:widowControl w:val="0"/>
        <w:spacing w:line="360" w:lineRule="auto"/>
        <w:ind w:right="49"/>
        <w:jc w:val="both"/>
        <w:rPr>
          <w:rFonts w:ascii="Palatino Linotype" w:eastAsia="Palatino Linotype" w:hAnsi="Palatino Linotype" w:cs="Palatino Linotype"/>
          <w:b/>
          <w:bCs/>
          <w:i/>
          <w:iCs/>
          <w:sz w:val="22"/>
          <w:szCs w:val="22"/>
        </w:rPr>
      </w:pPr>
    </w:p>
    <w:p w14:paraId="056CA6D4" w14:textId="6F77B109" w:rsidR="004132DD" w:rsidRPr="00DB09FD" w:rsidRDefault="0085325B" w:rsidP="00D00363">
      <w:pPr>
        <w:widowControl w:val="0"/>
        <w:spacing w:line="360" w:lineRule="auto"/>
        <w:ind w:right="49"/>
        <w:jc w:val="both"/>
        <w:rPr>
          <w:rFonts w:ascii="Palatino Linotype" w:eastAsia="Palatino Linotype" w:hAnsi="Palatino Linotype" w:cs="Palatino Linotype"/>
          <w:i/>
          <w:iCs/>
          <w:sz w:val="22"/>
          <w:szCs w:val="22"/>
        </w:rPr>
      </w:pPr>
      <w:r w:rsidRPr="00DB09FD">
        <w:rPr>
          <w:rFonts w:ascii="Palatino Linotype" w:eastAsia="Palatino Linotype" w:hAnsi="Palatino Linotype" w:cs="Palatino Linotype"/>
          <w:b/>
          <w:bCs/>
          <w:i/>
          <w:iCs/>
          <w:sz w:val="22"/>
          <w:szCs w:val="22"/>
        </w:rPr>
        <w:t xml:space="preserve">RDEE30152023.pdf. Se </w:t>
      </w:r>
      <w:r w:rsidRPr="00DB09FD">
        <w:rPr>
          <w:rFonts w:ascii="Palatino Linotype" w:eastAsia="Palatino Linotype" w:hAnsi="Palatino Linotype" w:cs="Palatino Linotype"/>
          <w:i/>
          <w:iCs/>
          <w:sz w:val="22"/>
          <w:szCs w:val="22"/>
        </w:rPr>
        <w:t xml:space="preserve">adjunta únicamente un reporte de deuda y aportaciones con entidades externas con corte al 31 de diciembre de 2023, información que no corresponde con lo solicitado. </w:t>
      </w:r>
    </w:p>
    <w:p w14:paraId="7313689B" w14:textId="77777777" w:rsidR="0085325B" w:rsidRPr="00DB09FD" w:rsidRDefault="0085325B" w:rsidP="00D00363">
      <w:pPr>
        <w:widowControl w:val="0"/>
        <w:spacing w:line="360" w:lineRule="auto"/>
        <w:ind w:right="49"/>
        <w:jc w:val="both"/>
        <w:rPr>
          <w:rFonts w:ascii="Palatino Linotype" w:eastAsia="Palatino Linotype" w:hAnsi="Palatino Linotype" w:cs="Palatino Linotype"/>
          <w:sz w:val="22"/>
          <w:szCs w:val="22"/>
        </w:rPr>
      </w:pPr>
    </w:p>
    <w:p w14:paraId="46670F93" w14:textId="77527B4E" w:rsidR="00E3232E" w:rsidRPr="00DB09FD" w:rsidRDefault="0085325B" w:rsidP="0085325B">
      <w:pPr>
        <w:pStyle w:val="Prrafodelista"/>
        <w:widowControl w:val="0"/>
        <w:numPr>
          <w:ilvl w:val="0"/>
          <w:numId w:val="10"/>
        </w:numPr>
        <w:spacing w:line="360" w:lineRule="auto"/>
        <w:ind w:right="49"/>
        <w:jc w:val="both"/>
        <w:rPr>
          <w:rFonts w:ascii="Palatino Linotype" w:eastAsia="Palatino Linotype" w:hAnsi="Palatino Linotype" w:cs="Palatino Linotype"/>
          <w:b/>
          <w:bCs/>
          <w:sz w:val="22"/>
          <w:szCs w:val="22"/>
        </w:rPr>
      </w:pPr>
      <w:r w:rsidRPr="00DB09FD">
        <w:rPr>
          <w:rFonts w:ascii="Palatino Linotype" w:eastAsia="Palatino Linotype" w:hAnsi="Palatino Linotype" w:cs="Palatino Linotype"/>
          <w:b/>
          <w:bCs/>
          <w:sz w:val="22"/>
          <w:szCs w:val="22"/>
        </w:rPr>
        <w:t>10521/INFOEM/IP/RR/2025.</w:t>
      </w:r>
    </w:p>
    <w:p w14:paraId="79DA9777" w14:textId="77777777" w:rsidR="0085325B" w:rsidRPr="00DB09FD" w:rsidRDefault="0085325B" w:rsidP="0085325B">
      <w:pPr>
        <w:widowControl w:val="0"/>
        <w:spacing w:line="360" w:lineRule="auto"/>
        <w:ind w:right="49"/>
        <w:jc w:val="both"/>
        <w:rPr>
          <w:rFonts w:ascii="Palatino Linotype" w:eastAsia="Palatino Linotype" w:hAnsi="Palatino Linotype" w:cs="Palatino Linotype"/>
          <w:b/>
          <w:bCs/>
          <w:i/>
          <w:iCs/>
          <w:sz w:val="22"/>
          <w:szCs w:val="22"/>
        </w:rPr>
      </w:pPr>
    </w:p>
    <w:p w14:paraId="32ED3DF1" w14:textId="7F491B02" w:rsidR="0085325B" w:rsidRPr="00DB09FD" w:rsidRDefault="0085325B" w:rsidP="0085325B">
      <w:pPr>
        <w:widowControl w:val="0"/>
        <w:spacing w:line="360" w:lineRule="auto"/>
        <w:ind w:right="49"/>
        <w:jc w:val="both"/>
        <w:rPr>
          <w:rFonts w:ascii="Palatino Linotype" w:eastAsia="Palatino Linotype" w:hAnsi="Palatino Linotype" w:cs="Palatino Linotype"/>
          <w:i/>
          <w:iCs/>
          <w:sz w:val="22"/>
          <w:szCs w:val="22"/>
        </w:rPr>
      </w:pPr>
      <w:r w:rsidRPr="00DB09FD">
        <w:rPr>
          <w:rFonts w:ascii="Palatino Linotype" w:eastAsia="Palatino Linotype" w:hAnsi="Palatino Linotype" w:cs="Palatino Linotype"/>
          <w:b/>
          <w:bCs/>
          <w:i/>
          <w:iCs/>
          <w:sz w:val="22"/>
          <w:szCs w:val="22"/>
        </w:rPr>
        <w:t xml:space="preserve">RESPUESTA 70.pdf. </w:t>
      </w:r>
      <w:r w:rsidRPr="00DB09FD">
        <w:rPr>
          <w:rFonts w:ascii="Palatino Linotype" w:eastAsia="Palatino Linotype" w:hAnsi="Palatino Linotype" w:cs="Palatino Linotype"/>
          <w:i/>
          <w:iCs/>
          <w:sz w:val="22"/>
          <w:szCs w:val="22"/>
        </w:rPr>
        <w:t>el titular de la unidad de transparencia refiere que se hace del conocimiento del particular que, tras realizar las gestiones administrativas ante la tesorería de este organismo, la información solicitada se encuentra disponible para su entrega y consulta. no obstante, debido a que la documentación integra un volumen aproximado de más de 2000 fojas, se presenta una imposibilidad técnica para adjuntar la totalidad de los archivos digitalizados a través de esta plataforma, dado que el peso de los mismos excede los límites permitidos por el sistema.</w:t>
      </w:r>
    </w:p>
    <w:p w14:paraId="329E0CA5" w14:textId="7457E596" w:rsidR="009F7108" w:rsidRPr="00DB09FD" w:rsidRDefault="009F7108" w:rsidP="0085325B">
      <w:pPr>
        <w:widowControl w:val="0"/>
        <w:spacing w:line="360" w:lineRule="auto"/>
        <w:ind w:right="49"/>
        <w:jc w:val="both"/>
        <w:rPr>
          <w:rFonts w:ascii="Palatino Linotype" w:eastAsia="Palatino Linotype" w:hAnsi="Palatino Linotype" w:cs="Palatino Linotype"/>
          <w:i/>
          <w:iCs/>
          <w:sz w:val="22"/>
          <w:szCs w:val="22"/>
        </w:rPr>
      </w:pPr>
    </w:p>
    <w:p w14:paraId="6B0FAEEA" w14:textId="39CFEF5E" w:rsidR="009F7108" w:rsidRPr="00DB09FD" w:rsidRDefault="009F7108" w:rsidP="0085325B">
      <w:pPr>
        <w:widowControl w:val="0"/>
        <w:spacing w:line="360" w:lineRule="auto"/>
        <w:ind w:right="49"/>
        <w:jc w:val="both"/>
        <w:rPr>
          <w:rFonts w:ascii="Palatino Linotype" w:eastAsia="Palatino Linotype" w:hAnsi="Palatino Linotype" w:cs="Palatino Linotype"/>
          <w:i/>
          <w:iCs/>
          <w:sz w:val="22"/>
          <w:szCs w:val="22"/>
        </w:rPr>
      </w:pPr>
      <w:r w:rsidRPr="00DB09FD">
        <w:rPr>
          <w:rFonts w:ascii="Palatino Linotype" w:eastAsia="Palatino Linotype" w:hAnsi="Palatino Linotype" w:cs="Palatino Linotype"/>
          <w:b/>
          <w:bCs/>
          <w:i/>
          <w:iCs/>
          <w:sz w:val="22"/>
          <w:szCs w:val="22"/>
        </w:rPr>
        <w:t xml:space="preserve">RESPUESTA 70 2.pdf. </w:t>
      </w:r>
      <w:r w:rsidRPr="00DB09FD">
        <w:rPr>
          <w:rFonts w:ascii="Palatino Linotype" w:eastAsia="Palatino Linotype" w:hAnsi="Palatino Linotype" w:cs="Palatino Linotype"/>
          <w:i/>
          <w:iCs/>
          <w:sz w:val="22"/>
          <w:szCs w:val="22"/>
        </w:rPr>
        <w:t xml:space="preserve">El titular de la unidad de transparencia refiere que </w:t>
      </w:r>
      <w:r w:rsidRPr="00DB09FD">
        <w:rPr>
          <w:rFonts w:ascii="Palatino Linotype" w:hAnsi="Palatino Linotype"/>
          <w:i/>
          <w:iCs/>
          <w:sz w:val="22"/>
          <w:szCs w:val="22"/>
        </w:rPr>
        <w:t>se hace entrega de la documentación que da cuenta de las conciliaciones bancarias correspondientes al mes de enero de 2022.</w:t>
      </w:r>
      <w:r w:rsidRPr="00DB09FD">
        <w:rPr>
          <w:rFonts w:ascii="Palatino Linotype" w:eastAsia="Palatino Linotype" w:hAnsi="Palatino Linotype" w:cs="Palatino Linotype"/>
          <w:i/>
          <w:iCs/>
          <w:sz w:val="22"/>
          <w:szCs w:val="22"/>
        </w:rPr>
        <w:t xml:space="preserve"> por lo que se refiere a la copia de cheques emitidos y cancelados y su justificación, ratifica su respuesta respecto a que se hará entrega de esta información una vez que cubra el costo de la elaboración de versiones públicas. asimismo, señala que no se localizó arqueo de caja. </w:t>
      </w:r>
    </w:p>
    <w:p w14:paraId="791EBEB7" w14:textId="2B875CF5" w:rsidR="009F7108" w:rsidRPr="00DB09FD" w:rsidRDefault="009F7108" w:rsidP="0085325B">
      <w:pPr>
        <w:widowControl w:val="0"/>
        <w:spacing w:line="360" w:lineRule="auto"/>
        <w:ind w:right="49"/>
        <w:jc w:val="both"/>
        <w:rPr>
          <w:rFonts w:ascii="Palatino Linotype" w:eastAsia="Palatino Linotype" w:hAnsi="Palatino Linotype" w:cs="Palatino Linotype"/>
          <w:b/>
          <w:bCs/>
          <w:i/>
          <w:iCs/>
          <w:sz w:val="22"/>
          <w:szCs w:val="22"/>
        </w:rPr>
      </w:pPr>
    </w:p>
    <w:p w14:paraId="2E90CCED" w14:textId="3FCDAC73" w:rsidR="009F7108" w:rsidRPr="00DB09FD" w:rsidRDefault="009F7108" w:rsidP="009F7108">
      <w:pPr>
        <w:widowControl w:val="0"/>
        <w:spacing w:line="360" w:lineRule="auto"/>
        <w:ind w:right="49"/>
        <w:jc w:val="both"/>
        <w:rPr>
          <w:rFonts w:ascii="Palatino Linotype" w:eastAsia="Palatino Linotype" w:hAnsi="Palatino Linotype" w:cs="Palatino Linotype"/>
          <w:i/>
          <w:iCs/>
          <w:sz w:val="22"/>
          <w:szCs w:val="22"/>
        </w:rPr>
      </w:pPr>
      <w:r w:rsidRPr="00DB09FD">
        <w:rPr>
          <w:rFonts w:ascii="Palatino Linotype" w:eastAsia="Palatino Linotype" w:hAnsi="Palatino Linotype" w:cs="Palatino Linotype"/>
          <w:b/>
          <w:bCs/>
          <w:i/>
          <w:iCs/>
          <w:sz w:val="22"/>
          <w:szCs w:val="22"/>
        </w:rPr>
        <w:t>REPORTE DE DEUDA Y APORTACIONES CON ENTIDADES EXTERNAS.pdf</w:t>
      </w:r>
      <w:r w:rsidRPr="00DB09FD">
        <w:rPr>
          <w:rFonts w:ascii="Palatino Linotype" w:eastAsia="Palatino Linotype" w:hAnsi="Palatino Linotype" w:cs="Palatino Linotype"/>
          <w:i/>
          <w:iCs/>
          <w:sz w:val="22"/>
          <w:szCs w:val="22"/>
        </w:rPr>
        <w:t xml:space="preserve">. </w:t>
      </w:r>
      <w:r w:rsidRPr="00DB09FD">
        <w:rPr>
          <w:rFonts w:ascii="Palatino Linotype" w:eastAsia="Palatino Linotype" w:hAnsi="Palatino Linotype" w:cs="Palatino Linotype"/>
          <w:b/>
          <w:bCs/>
          <w:i/>
          <w:iCs/>
          <w:sz w:val="22"/>
          <w:szCs w:val="22"/>
        </w:rPr>
        <w:t xml:space="preserve">Se </w:t>
      </w:r>
      <w:r w:rsidRPr="00DB09FD">
        <w:rPr>
          <w:rFonts w:ascii="Palatino Linotype" w:eastAsia="Palatino Linotype" w:hAnsi="Palatino Linotype" w:cs="Palatino Linotype"/>
          <w:i/>
          <w:iCs/>
          <w:sz w:val="22"/>
          <w:szCs w:val="22"/>
        </w:rPr>
        <w:t xml:space="preserve">adjunta únicamente un reporte de deuda y aportaciones con entidades externas con corte al 31 de diciembre de 2022, información que no corresponde con lo solicitado. </w:t>
      </w:r>
    </w:p>
    <w:p w14:paraId="0305DAD4" w14:textId="0412760B" w:rsidR="009F7108" w:rsidRPr="00DB09FD" w:rsidRDefault="009F7108" w:rsidP="0085325B">
      <w:pPr>
        <w:widowControl w:val="0"/>
        <w:spacing w:line="360" w:lineRule="auto"/>
        <w:ind w:right="49"/>
        <w:jc w:val="both"/>
        <w:rPr>
          <w:rFonts w:ascii="Palatino Linotype" w:eastAsia="Palatino Linotype" w:hAnsi="Palatino Linotype" w:cs="Palatino Linotype"/>
          <w:i/>
          <w:iCs/>
          <w:sz w:val="22"/>
          <w:szCs w:val="22"/>
        </w:rPr>
      </w:pPr>
    </w:p>
    <w:p w14:paraId="37B2F6E3" w14:textId="2FF984C6" w:rsidR="009F7108" w:rsidRPr="00DB09FD" w:rsidRDefault="009F7108" w:rsidP="009F7108">
      <w:pPr>
        <w:widowControl w:val="0"/>
        <w:spacing w:line="360" w:lineRule="auto"/>
        <w:ind w:right="49"/>
        <w:jc w:val="both"/>
        <w:rPr>
          <w:rFonts w:ascii="Palatino Linotype" w:eastAsia="Palatino Linotype" w:hAnsi="Palatino Linotype" w:cs="Palatino Linotype"/>
          <w:i/>
          <w:iCs/>
          <w:sz w:val="22"/>
          <w:szCs w:val="22"/>
        </w:rPr>
      </w:pPr>
      <w:r w:rsidRPr="00DB09FD">
        <w:rPr>
          <w:rFonts w:ascii="Palatino Linotype" w:eastAsia="Palatino Linotype" w:hAnsi="Palatino Linotype" w:cs="Palatino Linotype"/>
          <w:b/>
          <w:bCs/>
          <w:i/>
          <w:iCs/>
          <w:sz w:val="22"/>
          <w:szCs w:val="22"/>
        </w:rPr>
        <w:t>CONCILIACION DE LA DEUDA Y APORTACIONES CON ENTIDADES EXTERNAS (1).pdf</w:t>
      </w:r>
      <w:r w:rsidRPr="00DB09FD">
        <w:rPr>
          <w:rFonts w:ascii="Palatino Linotype" w:eastAsia="Palatino Linotype" w:hAnsi="Palatino Linotype" w:cs="Palatino Linotype"/>
          <w:i/>
          <w:iCs/>
          <w:sz w:val="22"/>
          <w:szCs w:val="22"/>
        </w:rPr>
        <w:t xml:space="preserve">.  </w:t>
      </w:r>
      <w:r w:rsidRPr="00DB09FD">
        <w:rPr>
          <w:rFonts w:ascii="Palatino Linotype" w:eastAsia="Palatino Linotype" w:hAnsi="Palatino Linotype" w:cs="Palatino Linotype"/>
          <w:b/>
          <w:bCs/>
          <w:i/>
          <w:iCs/>
          <w:sz w:val="22"/>
          <w:szCs w:val="22"/>
        </w:rPr>
        <w:t xml:space="preserve">Se </w:t>
      </w:r>
      <w:r w:rsidRPr="00DB09FD">
        <w:rPr>
          <w:rFonts w:ascii="Palatino Linotype" w:eastAsia="Palatino Linotype" w:hAnsi="Palatino Linotype" w:cs="Palatino Linotype"/>
          <w:i/>
          <w:iCs/>
          <w:sz w:val="22"/>
          <w:szCs w:val="22"/>
        </w:rPr>
        <w:t xml:space="preserve">adjunta únicamente la conciliación de deuda y aportaciones con entidades externas con corte al 31 de diciembre de 2022, información que no corresponde con lo solicitado. </w:t>
      </w:r>
    </w:p>
    <w:p w14:paraId="62345829" w14:textId="67B64285" w:rsidR="0085325B" w:rsidRPr="00DB09FD" w:rsidRDefault="0085325B" w:rsidP="0085325B">
      <w:pPr>
        <w:widowControl w:val="0"/>
        <w:spacing w:line="360" w:lineRule="auto"/>
        <w:ind w:right="49"/>
        <w:jc w:val="both"/>
        <w:rPr>
          <w:rFonts w:ascii="Palatino Linotype" w:eastAsia="Palatino Linotype" w:hAnsi="Palatino Linotype" w:cs="Palatino Linotype"/>
          <w:i/>
          <w:iCs/>
          <w:sz w:val="22"/>
          <w:szCs w:val="22"/>
        </w:rPr>
      </w:pPr>
    </w:p>
    <w:p w14:paraId="2ADFDB74" w14:textId="7657B031" w:rsidR="0085325B" w:rsidRPr="00DB09FD" w:rsidRDefault="009F7108" w:rsidP="0085325B">
      <w:pPr>
        <w:widowControl w:val="0"/>
        <w:spacing w:line="360" w:lineRule="auto"/>
        <w:ind w:right="49"/>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 xml:space="preserve">Documentos que se hicieron del conocimiento de la parte </w:t>
      </w:r>
      <w:r w:rsidRPr="00DB09FD">
        <w:rPr>
          <w:rFonts w:ascii="Palatino Linotype" w:eastAsia="Palatino Linotype" w:hAnsi="Palatino Linotype" w:cs="Palatino Linotype"/>
          <w:b/>
          <w:sz w:val="22"/>
          <w:szCs w:val="22"/>
        </w:rPr>
        <w:t xml:space="preserve">Recurrente, en fecha veintitrés de marzo de dos mil veintiséis, siendo </w:t>
      </w:r>
      <w:r w:rsidRPr="00DB09FD">
        <w:rPr>
          <w:rFonts w:ascii="Palatino Linotype" w:eastAsia="Palatino Linotype" w:hAnsi="Palatino Linotype" w:cs="Palatino Linotype"/>
          <w:sz w:val="22"/>
          <w:szCs w:val="22"/>
        </w:rPr>
        <w:t xml:space="preserve">omisa en hacer valer manifestaciones o rendir alegatos que conforme a derecho resultaran procedentes. </w:t>
      </w:r>
    </w:p>
    <w:p w14:paraId="1D0F3F9D" w14:textId="6D082E98" w:rsidR="009F7108" w:rsidRPr="00DB09FD" w:rsidRDefault="009F7108" w:rsidP="0085325B">
      <w:pPr>
        <w:widowControl w:val="0"/>
        <w:spacing w:line="360" w:lineRule="auto"/>
        <w:ind w:right="49"/>
        <w:jc w:val="both"/>
        <w:rPr>
          <w:rFonts w:ascii="Palatino Linotype" w:eastAsia="Palatino Linotype" w:hAnsi="Palatino Linotype" w:cs="Palatino Linotype"/>
          <w:sz w:val="22"/>
          <w:szCs w:val="22"/>
        </w:rPr>
      </w:pPr>
    </w:p>
    <w:p w14:paraId="1D8E4C58" w14:textId="177A81F8" w:rsidR="009F7108" w:rsidRPr="00DB09FD" w:rsidRDefault="009F7108" w:rsidP="009F7108">
      <w:pPr>
        <w:pStyle w:val="NormalWeb"/>
        <w:spacing w:before="0" w:beforeAutospacing="0" w:after="0" w:afterAutospacing="0" w:line="360" w:lineRule="auto"/>
        <w:jc w:val="both"/>
        <w:textAlignment w:val="baseline"/>
        <w:rPr>
          <w:rFonts w:ascii="Palatino Linotype" w:hAnsi="Palatino Linotype"/>
          <w:sz w:val="22"/>
          <w:szCs w:val="22"/>
        </w:rPr>
      </w:pPr>
      <w:r w:rsidRPr="00DB09FD">
        <w:rPr>
          <w:rFonts w:ascii="Palatino Linotype" w:hAnsi="Palatino Linotype"/>
          <w:b/>
          <w:bCs/>
          <w:sz w:val="22"/>
          <w:szCs w:val="22"/>
        </w:rPr>
        <w:t xml:space="preserve">7. Acumulación de los recursos de revisión. </w:t>
      </w:r>
      <w:r w:rsidRPr="00DB09FD">
        <w:rPr>
          <w:rFonts w:ascii="Palatino Linotype" w:hAnsi="Palatino Linotype"/>
          <w:sz w:val="22"/>
          <w:szCs w:val="22"/>
        </w:rPr>
        <w:t xml:space="preserve">Al respecto cabe señalar, que en fecha </w:t>
      </w:r>
      <w:r w:rsidRPr="00DB09FD">
        <w:rPr>
          <w:rFonts w:ascii="Palatino Linotype" w:hAnsi="Palatino Linotype"/>
          <w:b/>
          <w:bCs/>
          <w:sz w:val="22"/>
          <w:szCs w:val="22"/>
        </w:rPr>
        <w:t>veintitrés de marzo de dos mil veintiséis,</w:t>
      </w:r>
      <w:r w:rsidRPr="00DB09FD">
        <w:rPr>
          <w:rFonts w:ascii="Palatino Linotype" w:hAnsi="Palatino Linotype"/>
          <w:sz w:val="22"/>
          <w:szCs w:val="22"/>
        </w:rPr>
        <w:t xml:space="preserve"> se le notificó a las partes que por acuerdo de fecha </w:t>
      </w:r>
      <w:r w:rsidRPr="00DB09FD">
        <w:rPr>
          <w:rFonts w:ascii="Palatino Linotype" w:hAnsi="Palatino Linotype"/>
          <w:b/>
          <w:bCs/>
          <w:sz w:val="22"/>
          <w:szCs w:val="22"/>
        </w:rPr>
        <w:t>diecinueve de septiembre de dos mil veinticinco,</w:t>
      </w:r>
      <w:r w:rsidRPr="00DB09FD">
        <w:rPr>
          <w:rFonts w:ascii="Palatino Linotype" w:hAnsi="Palatino Linotype"/>
          <w:sz w:val="22"/>
          <w:szCs w:val="22"/>
        </w:rPr>
        <w:t xml:space="preserve"> se ordenó la acumulación de los expedientes citados, a efecto de que la </w:t>
      </w:r>
      <w:r w:rsidRPr="00DB09FD">
        <w:rPr>
          <w:rFonts w:ascii="Palatino Linotype" w:hAnsi="Palatino Linotype"/>
          <w:b/>
          <w:bCs/>
          <w:sz w:val="22"/>
          <w:szCs w:val="22"/>
        </w:rPr>
        <w:t xml:space="preserve">Comisionada Guadalupe Ramírez Peña </w:t>
      </w:r>
      <w:r w:rsidRPr="00DB09FD">
        <w:rPr>
          <w:rFonts w:ascii="Palatino Linotype" w:hAnsi="Palatino Linotype"/>
          <w:sz w:val="22"/>
          <w:szCs w:val="22"/>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77139CF7" w14:textId="77777777" w:rsidR="009F7108" w:rsidRPr="00DB09FD" w:rsidRDefault="009F7108" w:rsidP="009F7108">
      <w:pPr>
        <w:rPr>
          <w:rFonts w:ascii="Palatino Linotype" w:hAnsi="Palatino Linotype"/>
          <w:sz w:val="22"/>
          <w:szCs w:val="22"/>
        </w:rPr>
      </w:pPr>
    </w:p>
    <w:p w14:paraId="46799722" w14:textId="77777777" w:rsidR="009F7108" w:rsidRPr="00DB09FD" w:rsidRDefault="009F7108" w:rsidP="009F7108">
      <w:pPr>
        <w:pStyle w:val="NormalWeb"/>
        <w:spacing w:before="0" w:beforeAutospacing="0" w:after="0" w:afterAutospacing="0"/>
        <w:ind w:left="851" w:right="902"/>
        <w:jc w:val="both"/>
        <w:rPr>
          <w:rFonts w:ascii="Palatino Linotype" w:hAnsi="Palatino Linotype"/>
          <w:sz w:val="22"/>
          <w:szCs w:val="22"/>
        </w:rPr>
      </w:pPr>
      <w:r w:rsidRPr="00DB09FD">
        <w:rPr>
          <w:rFonts w:ascii="Palatino Linotype" w:hAnsi="Palatino Linotype"/>
          <w:b/>
          <w:bCs/>
          <w:i/>
          <w:iCs/>
          <w:sz w:val="22"/>
          <w:szCs w:val="22"/>
        </w:rPr>
        <w:t>Código de Procedimientos Administrativos del Estado de México</w:t>
      </w:r>
    </w:p>
    <w:p w14:paraId="41A7C04E" w14:textId="77777777" w:rsidR="009F7108" w:rsidRPr="00DB09FD" w:rsidRDefault="009F7108" w:rsidP="009F7108">
      <w:pPr>
        <w:pStyle w:val="NormalWeb"/>
        <w:spacing w:before="0" w:beforeAutospacing="0" w:after="0" w:afterAutospacing="0"/>
        <w:ind w:left="851" w:right="902"/>
        <w:jc w:val="both"/>
        <w:rPr>
          <w:rFonts w:ascii="Palatino Linotype" w:hAnsi="Palatino Linotype"/>
          <w:sz w:val="22"/>
          <w:szCs w:val="22"/>
        </w:rPr>
      </w:pPr>
      <w:r w:rsidRPr="00DB09FD">
        <w:rPr>
          <w:rFonts w:ascii="Palatino Linotype" w:hAnsi="Palatino Linotype"/>
          <w:b/>
          <w:bCs/>
          <w:i/>
          <w:iCs/>
          <w:sz w:val="22"/>
          <w:szCs w:val="22"/>
        </w:rPr>
        <w:t>“Artículo 18.-</w:t>
      </w:r>
      <w:r w:rsidRPr="00DB09FD">
        <w:rPr>
          <w:rFonts w:ascii="Palatino Linotype" w:hAnsi="Palatino Linotype"/>
          <w:i/>
          <w:iCs/>
          <w:sz w:val="22"/>
          <w:szCs w:val="22"/>
        </w:rPr>
        <w:t xml:space="preserve"> </w:t>
      </w:r>
      <w:r w:rsidRPr="00DB09FD">
        <w:rPr>
          <w:rFonts w:ascii="Palatino Linotype" w:hAnsi="Palatino Linotype"/>
          <w:b/>
          <w:bCs/>
          <w:i/>
          <w:iCs/>
          <w:sz w:val="22"/>
          <w:szCs w:val="22"/>
        </w:rPr>
        <w:t>La autoridad administrativa o el Tribunal acordarán la acumulación de los expedientes del procedimiento y proceso administrativo que ante ellos se sigan, de oficio</w:t>
      </w:r>
      <w:r w:rsidRPr="00DB09FD">
        <w:rPr>
          <w:rFonts w:ascii="Palatino Linotype" w:hAnsi="Palatino Linotype"/>
          <w:i/>
          <w:iCs/>
          <w:sz w:val="22"/>
          <w:szCs w:val="22"/>
        </w:rPr>
        <w:t xml:space="preserve"> o a petición de parte, </w:t>
      </w:r>
      <w:r w:rsidRPr="00DB09FD">
        <w:rPr>
          <w:rFonts w:ascii="Palatino Linotype" w:hAnsi="Palatino Linotype"/>
          <w:b/>
          <w:bCs/>
          <w:i/>
          <w:iCs/>
          <w:sz w:val="22"/>
          <w:szCs w:val="22"/>
        </w:rPr>
        <w:t>cuando las partes</w:t>
      </w:r>
      <w:r w:rsidRPr="00DB09FD">
        <w:rPr>
          <w:rFonts w:ascii="Palatino Linotype" w:hAnsi="Palatino Linotype"/>
          <w:i/>
          <w:iCs/>
          <w:sz w:val="22"/>
          <w:szCs w:val="22"/>
        </w:rPr>
        <w:t xml:space="preserve"> o los actos administrativos sean iguales, se trate de actos conexos o </w:t>
      </w:r>
      <w:r w:rsidRPr="00DB09FD">
        <w:rPr>
          <w:rFonts w:ascii="Palatino Linotype" w:hAnsi="Palatino Linotype"/>
          <w:b/>
          <w:bCs/>
          <w:i/>
          <w:iCs/>
          <w:sz w:val="22"/>
          <w:szCs w:val="22"/>
        </w:rPr>
        <w:t>resulte conveniente el trámite unificado de los asuntos, para evitar la emisión de resoluciones contradictorias</w:t>
      </w:r>
      <w:r w:rsidRPr="00DB09FD">
        <w:rPr>
          <w:rFonts w:ascii="Palatino Linotype" w:hAnsi="Palatino Linotype"/>
          <w:i/>
          <w:iCs/>
          <w:sz w:val="22"/>
          <w:szCs w:val="22"/>
        </w:rPr>
        <w:t>. La misma regla se aplicará, en lo conducente, para la separación de los expedientes.”</w:t>
      </w:r>
    </w:p>
    <w:p w14:paraId="5B8938B7" w14:textId="77777777" w:rsidR="009F7108" w:rsidRPr="00DB09FD" w:rsidRDefault="009F7108" w:rsidP="009F7108">
      <w:pPr>
        <w:pStyle w:val="NormalWeb"/>
        <w:spacing w:before="0" w:beforeAutospacing="0" w:after="0" w:afterAutospacing="0"/>
        <w:ind w:left="851" w:right="902"/>
        <w:jc w:val="both"/>
        <w:rPr>
          <w:rFonts w:ascii="Palatino Linotype" w:hAnsi="Palatino Linotype"/>
          <w:sz w:val="22"/>
          <w:szCs w:val="22"/>
        </w:rPr>
      </w:pPr>
      <w:r w:rsidRPr="00DB09FD">
        <w:rPr>
          <w:rFonts w:ascii="Palatino Linotype" w:hAnsi="Palatino Linotype"/>
          <w:b/>
          <w:bCs/>
          <w:i/>
          <w:iCs/>
          <w:sz w:val="22"/>
          <w:szCs w:val="22"/>
        </w:rPr>
        <w:t>Ley de Transparencia y Acceso a la Información Pública del Estado de México y Municipios</w:t>
      </w:r>
    </w:p>
    <w:p w14:paraId="3A51B027" w14:textId="77777777" w:rsidR="009F7108" w:rsidRPr="00DB09FD" w:rsidRDefault="009F7108" w:rsidP="009F7108">
      <w:pPr>
        <w:pStyle w:val="NormalWeb"/>
        <w:spacing w:before="0" w:beforeAutospacing="0" w:after="0" w:afterAutospacing="0"/>
        <w:ind w:left="851" w:right="902"/>
        <w:jc w:val="both"/>
        <w:rPr>
          <w:rFonts w:ascii="Palatino Linotype" w:hAnsi="Palatino Linotype"/>
          <w:sz w:val="22"/>
          <w:szCs w:val="22"/>
        </w:rPr>
      </w:pPr>
      <w:r w:rsidRPr="00DB09FD">
        <w:rPr>
          <w:rFonts w:ascii="Palatino Linotype" w:hAnsi="Palatino Linotype"/>
          <w:b/>
          <w:bCs/>
          <w:i/>
          <w:iCs/>
          <w:sz w:val="22"/>
          <w:szCs w:val="22"/>
        </w:rPr>
        <w:t>“Artículo 195.-</w:t>
      </w:r>
      <w:r w:rsidRPr="00DB09FD">
        <w:rPr>
          <w:rFonts w:ascii="Palatino Linotype" w:hAnsi="Palatino Linotype"/>
          <w:i/>
          <w:iCs/>
          <w:sz w:val="22"/>
          <w:szCs w:val="22"/>
        </w:rPr>
        <w:t xml:space="preserve"> En la tramitación del recurso de revisión se aplicará supletoriamente las disposiciones contenidas en el Código de Procedimientos Administrativos del Estado de México.”</w:t>
      </w:r>
    </w:p>
    <w:p w14:paraId="6ADFA2AE" w14:textId="77777777" w:rsidR="009F7108" w:rsidRPr="00DB09FD" w:rsidRDefault="009F7108" w:rsidP="009F7108">
      <w:pPr>
        <w:rPr>
          <w:rFonts w:ascii="Palatino Linotype" w:hAnsi="Palatino Linotype"/>
          <w:sz w:val="22"/>
          <w:szCs w:val="22"/>
        </w:rPr>
      </w:pPr>
    </w:p>
    <w:p w14:paraId="2070D73D" w14:textId="77777777" w:rsidR="009F7108" w:rsidRPr="00DB09FD" w:rsidRDefault="009F7108" w:rsidP="009F7108">
      <w:pPr>
        <w:pStyle w:val="NormalWeb"/>
        <w:spacing w:before="0" w:beforeAutospacing="0" w:after="0" w:afterAutospacing="0" w:line="360" w:lineRule="auto"/>
        <w:ind w:right="49"/>
        <w:jc w:val="both"/>
        <w:rPr>
          <w:rFonts w:ascii="Palatino Linotype" w:hAnsi="Palatino Linotype"/>
          <w:sz w:val="22"/>
          <w:szCs w:val="22"/>
        </w:rPr>
      </w:pPr>
      <w:r w:rsidRPr="00DB09FD">
        <w:rPr>
          <w:rFonts w:ascii="Palatino Linotype" w:hAnsi="Palatino Linotype"/>
          <w:sz w:val="22"/>
          <w:szCs w:val="22"/>
        </w:rPr>
        <w:t xml:space="preserve">Durante la sustanciación de los medios de impugnación citados se advirtió que los mismos fueron interpuestos por la misma parte </w:t>
      </w:r>
      <w:r w:rsidRPr="00DB09FD">
        <w:rPr>
          <w:rFonts w:ascii="Palatino Linotype" w:hAnsi="Palatino Linotype"/>
          <w:b/>
          <w:bCs/>
          <w:sz w:val="22"/>
          <w:szCs w:val="22"/>
        </w:rPr>
        <w:t>Recurrente</w:t>
      </w:r>
      <w:r w:rsidRPr="00DB09FD">
        <w:rPr>
          <w:rFonts w:ascii="Palatino Linotype" w:hAnsi="Palatino Linotype"/>
          <w:sz w:val="22"/>
          <w:szCs w:val="22"/>
        </w:rPr>
        <w:t xml:space="preserve"> ante el mismo </w:t>
      </w:r>
      <w:r w:rsidRPr="00DB09FD">
        <w:rPr>
          <w:rFonts w:ascii="Palatino Linotype" w:hAnsi="Palatino Linotype"/>
          <w:b/>
          <w:bCs/>
          <w:sz w:val="22"/>
          <w:szCs w:val="22"/>
        </w:rPr>
        <w:t>Sujeto Obligado</w:t>
      </w:r>
      <w:r w:rsidRPr="00DB09FD">
        <w:rPr>
          <w:rFonts w:ascii="Palatino Linotype" w:hAnsi="Palatino Linotype"/>
          <w:sz w:val="22"/>
          <w:szCs w:val="22"/>
        </w:rPr>
        <w:t>, razón por la cual, la Comisionada Ponente consideró que resultaba conveniente su acumulación a efecto de que formulara y presentara el proyecto de resolución correspondiente.</w:t>
      </w:r>
    </w:p>
    <w:p w14:paraId="65256B0E" w14:textId="2B69897A" w:rsidR="00D57BFA" w:rsidRPr="00DB09FD" w:rsidRDefault="009F7108" w:rsidP="00D57BFA">
      <w:pPr>
        <w:widowControl w:val="0"/>
        <w:spacing w:before="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b/>
          <w:bCs/>
          <w:sz w:val="22"/>
          <w:szCs w:val="22"/>
        </w:rPr>
        <w:t>8</w:t>
      </w:r>
      <w:r w:rsidR="00D57BFA" w:rsidRPr="00DB09FD">
        <w:rPr>
          <w:rFonts w:ascii="Palatino Linotype" w:eastAsia="Palatino Linotype" w:hAnsi="Palatino Linotype" w:cs="Palatino Linotype"/>
          <w:b/>
          <w:bCs/>
          <w:sz w:val="22"/>
          <w:szCs w:val="22"/>
        </w:rPr>
        <w:t>. Ampliación del término para resolver</w:t>
      </w:r>
      <w:r w:rsidR="00D57BFA" w:rsidRPr="00DB09FD">
        <w:rPr>
          <w:rFonts w:ascii="Palatino Linotype" w:eastAsia="Palatino Linotype" w:hAnsi="Palatino Linotype" w:cs="Palatino Linotype"/>
          <w:sz w:val="22"/>
          <w:szCs w:val="22"/>
        </w:rPr>
        <w:t xml:space="preserve">. El </w:t>
      </w:r>
      <w:r w:rsidR="00F81C23" w:rsidRPr="00DB09FD">
        <w:rPr>
          <w:rFonts w:ascii="Palatino Linotype" w:eastAsia="Palatino Linotype" w:hAnsi="Palatino Linotype" w:cs="Palatino Linotype"/>
          <w:b/>
          <w:bCs/>
          <w:sz w:val="22"/>
          <w:szCs w:val="22"/>
        </w:rPr>
        <w:t>veintitrés</w:t>
      </w:r>
      <w:r w:rsidR="00A32CD1" w:rsidRPr="00DB09FD">
        <w:rPr>
          <w:rFonts w:ascii="Palatino Linotype" w:eastAsia="Palatino Linotype" w:hAnsi="Palatino Linotype" w:cs="Palatino Linotype"/>
          <w:b/>
          <w:bCs/>
          <w:sz w:val="22"/>
          <w:szCs w:val="22"/>
        </w:rPr>
        <w:t xml:space="preserve"> </w:t>
      </w:r>
      <w:r w:rsidR="00F81C23" w:rsidRPr="00DB09FD">
        <w:rPr>
          <w:rFonts w:ascii="Palatino Linotype" w:eastAsia="Palatino Linotype" w:hAnsi="Palatino Linotype" w:cs="Palatino Linotype"/>
          <w:b/>
          <w:bCs/>
          <w:sz w:val="22"/>
          <w:szCs w:val="22"/>
        </w:rPr>
        <w:t>de marzo de dos mil veintiséis</w:t>
      </w:r>
      <w:r w:rsidR="00D57BFA" w:rsidRPr="00DB09FD">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w:t>
      </w:r>
      <w:r w:rsidR="00471303" w:rsidRPr="00DB09FD">
        <w:rPr>
          <w:rFonts w:ascii="Palatino Linotype" w:eastAsia="Palatino Linotype" w:hAnsi="Palatino Linotype" w:cs="Palatino Linotype"/>
          <w:sz w:val="22"/>
          <w:szCs w:val="22"/>
        </w:rPr>
        <w:t xml:space="preserve">l Estado de México y Municipios, cuyo acuerdo fue notificado el </w:t>
      </w:r>
      <w:r w:rsidR="00F81C23" w:rsidRPr="00DB09FD">
        <w:rPr>
          <w:rFonts w:ascii="Palatino Linotype" w:eastAsia="Palatino Linotype" w:hAnsi="Palatino Linotype" w:cs="Palatino Linotype"/>
          <w:sz w:val="22"/>
          <w:szCs w:val="22"/>
        </w:rPr>
        <w:t>once de septiem</w:t>
      </w:r>
      <w:r w:rsidR="00471303" w:rsidRPr="00DB09FD">
        <w:rPr>
          <w:rFonts w:ascii="Palatino Linotype" w:eastAsia="Palatino Linotype" w:hAnsi="Palatino Linotype" w:cs="Palatino Linotype"/>
          <w:sz w:val="22"/>
          <w:szCs w:val="22"/>
        </w:rPr>
        <w:t xml:space="preserve">bre de dos mil veinticinco. </w:t>
      </w:r>
    </w:p>
    <w:p w14:paraId="6788F0DE" w14:textId="77777777" w:rsidR="00D57BFA" w:rsidRPr="00DB09FD" w:rsidRDefault="00D57BFA" w:rsidP="00D57BFA">
      <w:pPr>
        <w:widowControl w:val="0"/>
        <w:spacing w:before="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B8D6D5D" w14:textId="77777777" w:rsidR="00D57BFA" w:rsidRPr="00DB09FD" w:rsidRDefault="00D57BFA" w:rsidP="00D57BFA">
      <w:pPr>
        <w:widowControl w:val="0"/>
        <w:spacing w:before="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BA92DCD" w14:textId="77777777" w:rsidR="00D57BFA" w:rsidRPr="00DB09FD" w:rsidRDefault="00D57BFA" w:rsidP="00D57BFA">
      <w:pPr>
        <w:widowControl w:val="0"/>
        <w:spacing w:before="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44EE0F9" w14:textId="77777777" w:rsidR="00D57BFA" w:rsidRPr="00DB09FD" w:rsidRDefault="00D57BFA" w:rsidP="00D57BFA">
      <w:pPr>
        <w:widowControl w:val="0"/>
        <w:spacing w:before="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1197F95" w14:textId="77777777" w:rsidR="00D57BFA" w:rsidRPr="00DB09FD" w:rsidRDefault="00D57BFA" w:rsidP="00D57BFA">
      <w:pPr>
        <w:widowControl w:val="0"/>
        <w:spacing w:before="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5A4049C6" w14:textId="77777777" w:rsidR="00D57BFA" w:rsidRPr="00DB09FD" w:rsidRDefault="00D57BFA" w:rsidP="00A32CD1">
      <w:pPr>
        <w:widowControl w:val="0"/>
        <w:numPr>
          <w:ilvl w:val="0"/>
          <w:numId w:val="9"/>
        </w:numPr>
        <w:tabs>
          <w:tab w:val="left" w:pos="851"/>
        </w:tabs>
        <w:spacing w:before="240" w:line="360" w:lineRule="auto"/>
        <w:ind w:left="567" w:firstLine="0"/>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6F5B182E" w14:textId="77777777" w:rsidR="00D57BFA" w:rsidRPr="00DB09FD" w:rsidRDefault="00D57BFA" w:rsidP="00A32CD1">
      <w:pPr>
        <w:widowControl w:val="0"/>
        <w:numPr>
          <w:ilvl w:val="0"/>
          <w:numId w:val="9"/>
        </w:numPr>
        <w:tabs>
          <w:tab w:val="left" w:pos="851"/>
        </w:tabs>
        <w:spacing w:before="240" w:line="360" w:lineRule="auto"/>
        <w:ind w:left="567" w:firstLine="0"/>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Actividad Procesal del interesado. Acciones u omisiones del interesado.</w:t>
      </w:r>
    </w:p>
    <w:p w14:paraId="14BB8218" w14:textId="77777777" w:rsidR="00D57BFA" w:rsidRPr="00DB09FD" w:rsidRDefault="00D57BFA" w:rsidP="00A32CD1">
      <w:pPr>
        <w:widowControl w:val="0"/>
        <w:numPr>
          <w:ilvl w:val="0"/>
          <w:numId w:val="9"/>
        </w:numPr>
        <w:tabs>
          <w:tab w:val="left" w:pos="851"/>
        </w:tabs>
        <w:spacing w:before="240" w:line="360" w:lineRule="auto"/>
        <w:ind w:left="567" w:firstLine="0"/>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787A7D0D" w14:textId="77777777" w:rsidR="00D57BFA" w:rsidRPr="00DB09FD" w:rsidRDefault="00D57BFA" w:rsidP="00A32CD1">
      <w:pPr>
        <w:widowControl w:val="0"/>
        <w:tabs>
          <w:tab w:val="left" w:pos="851"/>
        </w:tabs>
        <w:spacing w:before="240" w:line="360" w:lineRule="auto"/>
        <w:ind w:left="567"/>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0E1C4D9E" w14:textId="77777777" w:rsidR="00D57BFA" w:rsidRPr="00DB09FD" w:rsidRDefault="00D57BFA" w:rsidP="00D57BFA">
      <w:pPr>
        <w:widowControl w:val="0"/>
        <w:spacing w:before="240" w:line="360" w:lineRule="auto"/>
        <w:jc w:val="both"/>
        <w:rPr>
          <w:rFonts w:ascii="Palatino Linotype" w:eastAsia="Palatino Linotype" w:hAnsi="Palatino Linotype" w:cs="Palatino Linotype"/>
          <w:bCs/>
          <w:sz w:val="22"/>
          <w:szCs w:val="22"/>
        </w:rPr>
      </w:pPr>
      <w:r w:rsidRPr="00DB09FD">
        <w:rPr>
          <w:rFonts w:ascii="Palatino Linotype" w:eastAsia="Palatino Linotype" w:hAnsi="Palatino Linotype" w:cs="Palatino Linotype"/>
          <w:bCs/>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EDA5D78" w14:textId="77777777" w:rsidR="00D57BFA" w:rsidRPr="00DB09FD" w:rsidRDefault="00D57BFA" w:rsidP="00D57BFA">
      <w:pPr>
        <w:widowControl w:val="0"/>
        <w:spacing w:before="240" w:line="360" w:lineRule="auto"/>
        <w:jc w:val="both"/>
        <w:rPr>
          <w:rFonts w:ascii="Palatino Linotype" w:eastAsia="Palatino Linotype" w:hAnsi="Palatino Linotype" w:cs="Palatino Linotype"/>
          <w:bCs/>
          <w:sz w:val="22"/>
          <w:szCs w:val="22"/>
        </w:rPr>
      </w:pPr>
      <w:r w:rsidRPr="00DB09FD">
        <w:rPr>
          <w:rFonts w:ascii="Palatino Linotype" w:eastAsia="Palatino Linotype" w:hAnsi="Palatino Linotype" w:cs="Palatino Linotype"/>
          <w:bCs/>
          <w:sz w:val="22"/>
          <w:szCs w:val="22"/>
        </w:rPr>
        <w:t xml:space="preserve">Argumento que encuentra sustento en la jurisprudencia P./J. 32/92 emitida por el Pleno de la Suprema Corte de Justicia de la Nación de rubro </w:t>
      </w:r>
      <w:r w:rsidRPr="00DB09FD">
        <w:rPr>
          <w:rFonts w:ascii="Palatino Linotype" w:eastAsia="Palatino Linotype" w:hAnsi="Palatino Linotype" w:cs="Palatino Linotype"/>
          <w:bCs/>
          <w:i/>
          <w:sz w:val="22"/>
          <w:szCs w:val="22"/>
        </w:rPr>
        <w:t>“TÉRMINOS PROCESALES. PARA DETERMINAR SI UN FUNCIONARIO JUDICIAL ACTUÓ INDEBIDAMENTE POR NO RESPETARLOS SE DEBE ATENDER AL PRESUPUESTO QUE CONSIDERÓ EL LEGISLADOR AL FIJARLOS Y LAS CARACTERÍSTICAS DEL CASO.”</w:t>
      </w:r>
      <w:r w:rsidRPr="00DB09FD">
        <w:rPr>
          <w:rFonts w:ascii="Palatino Linotype" w:eastAsia="Palatino Linotype" w:hAnsi="Palatino Linotype" w:cs="Palatino Linotype"/>
          <w:bCs/>
          <w:sz w:val="22"/>
          <w:szCs w:val="22"/>
        </w:rPr>
        <w:t>, visible en la Gaceta del Seminario Judicial de la Federación con el registro digital 205635.</w:t>
      </w:r>
    </w:p>
    <w:p w14:paraId="4A40B1D7" w14:textId="77777777" w:rsidR="00D57BFA" w:rsidRPr="00DB09FD" w:rsidRDefault="00D57BFA" w:rsidP="00D57BFA">
      <w:pPr>
        <w:widowControl w:val="0"/>
        <w:spacing w:before="240" w:line="360" w:lineRule="auto"/>
        <w:jc w:val="both"/>
        <w:rPr>
          <w:rFonts w:ascii="Palatino Linotype" w:eastAsia="Palatino Linotype" w:hAnsi="Palatino Linotype" w:cs="Palatino Linotype"/>
          <w:bCs/>
          <w:sz w:val="22"/>
          <w:szCs w:val="22"/>
        </w:rPr>
      </w:pPr>
      <w:r w:rsidRPr="00DB09FD">
        <w:rPr>
          <w:rFonts w:ascii="Palatino Linotype" w:eastAsia="Palatino Linotype" w:hAnsi="Palatino Linotype" w:cs="Palatino Linotype"/>
          <w:bCs/>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EF358A7" w14:textId="77777777" w:rsidR="00D57BFA" w:rsidRPr="00DB09FD" w:rsidRDefault="00D57BFA" w:rsidP="00D57BFA">
      <w:pPr>
        <w:widowControl w:val="0"/>
        <w:spacing w:before="240" w:line="360" w:lineRule="auto"/>
        <w:jc w:val="both"/>
        <w:rPr>
          <w:rFonts w:ascii="Palatino Linotype" w:eastAsia="Palatino Linotype" w:hAnsi="Palatino Linotype" w:cs="Palatino Linotype"/>
          <w:bCs/>
          <w:sz w:val="22"/>
          <w:szCs w:val="22"/>
        </w:rPr>
      </w:pPr>
      <w:r w:rsidRPr="00DB09FD">
        <w:rPr>
          <w:rFonts w:ascii="Palatino Linotype" w:eastAsia="Palatino Linotype" w:hAnsi="Palatino Linotype" w:cs="Palatino Linotype"/>
          <w:bCs/>
          <w:sz w:val="22"/>
          <w:szCs w:val="22"/>
        </w:rPr>
        <w:t>Al respecto, también son de considerar los criterios sostenidos por el Cuarto Tribunal Colegiado en Materia Administrativa del Primer Circuito, cuyos rubros y datos de identificación son los siguientes:</w:t>
      </w:r>
    </w:p>
    <w:p w14:paraId="489CC673" w14:textId="77777777" w:rsidR="00D57BFA" w:rsidRPr="00DB09FD" w:rsidRDefault="00D57BFA" w:rsidP="00A32CD1">
      <w:pPr>
        <w:widowControl w:val="0"/>
        <w:spacing w:before="240"/>
        <w:ind w:left="851" w:right="900"/>
        <w:jc w:val="both"/>
        <w:rPr>
          <w:rFonts w:ascii="Palatino Linotype" w:eastAsia="Palatino Linotype" w:hAnsi="Palatino Linotype" w:cs="Palatino Linotype"/>
          <w:bCs/>
          <w:sz w:val="22"/>
          <w:szCs w:val="22"/>
        </w:rPr>
      </w:pPr>
      <w:r w:rsidRPr="00DB09FD">
        <w:rPr>
          <w:rFonts w:ascii="Palatino Linotype" w:eastAsia="Palatino Linotype" w:hAnsi="Palatino Linotype" w:cs="Palatino Linotype"/>
          <w:bCs/>
          <w:sz w:val="22"/>
          <w:szCs w:val="22"/>
        </w:rPr>
        <w:t xml:space="preserve"> </w:t>
      </w:r>
      <w:r w:rsidRPr="00DB09FD">
        <w:rPr>
          <w:rFonts w:ascii="Palatino Linotype" w:eastAsia="Palatino Linotype" w:hAnsi="Palatino Linotype" w:cs="Palatino Linotype"/>
          <w:bCs/>
          <w:i/>
          <w:sz w:val="22"/>
          <w:szCs w:val="22"/>
        </w:rPr>
        <w:t>“</w:t>
      </w:r>
      <w:r w:rsidRPr="00DB09FD">
        <w:rPr>
          <w:rFonts w:ascii="Palatino Linotype" w:eastAsia="Palatino Linotype" w:hAnsi="Palatino Linotype" w:cs="Palatino Linotype"/>
          <w:b/>
          <w:i/>
          <w:sz w:val="22"/>
          <w:szCs w:val="22"/>
        </w:rPr>
        <w:t>PLAZO RAZONABLE PARA RESOLVER. DIMENSIÓN Y EFECTOS DE ESTE CONCEPTO CUANDO SE ADUCE EXCESIVA CARGA DE TRABAJO.”</w:t>
      </w:r>
      <w:r w:rsidRPr="00DB09FD">
        <w:rPr>
          <w:rFonts w:ascii="Palatino Linotype" w:eastAsia="Palatino Linotype" w:hAnsi="Palatino Linotype" w:cs="Palatino Linotype"/>
          <w:bCs/>
          <w:sz w:val="22"/>
          <w:szCs w:val="22"/>
        </w:rPr>
        <w:t xml:space="preserve"> consultable en el Seminario Judicial de la Federación y su gaceta, con el registro digital 2002351.</w:t>
      </w:r>
    </w:p>
    <w:p w14:paraId="41760411" w14:textId="77777777" w:rsidR="00D57BFA" w:rsidRPr="00DB09FD" w:rsidRDefault="00D57BFA" w:rsidP="00A32CD1">
      <w:pPr>
        <w:widowControl w:val="0"/>
        <w:spacing w:before="240"/>
        <w:ind w:left="851" w:right="900"/>
        <w:jc w:val="both"/>
        <w:rPr>
          <w:rFonts w:ascii="Palatino Linotype" w:eastAsia="Palatino Linotype" w:hAnsi="Palatino Linotype" w:cs="Palatino Linotype"/>
          <w:bCs/>
          <w:sz w:val="22"/>
          <w:szCs w:val="22"/>
        </w:rPr>
      </w:pPr>
      <w:r w:rsidRPr="00DB09FD">
        <w:rPr>
          <w:rFonts w:ascii="Palatino Linotype" w:eastAsia="Palatino Linotype" w:hAnsi="Palatino Linotype" w:cs="Palatino Linotype"/>
          <w:bCs/>
          <w:i/>
          <w:sz w:val="22"/>
          <w:szCs w:val="22"/>
        </w:rPr>
        <w:t>“</w:t>
      </w:r>
      <w:r w:rsidRPr="00DB09FD">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DB09FD">
        <w:rPr>
          <w:rFonts w:ascii="Palatino Linotype" w:eastAsia="Palatino Linotype" w:hAnsi="Palatino Linotype" w:cs="Palatino Linotype"/>
          <w:bCs/>
          <w:i/>
          <w:sz w:val="22"/>
          <w:szCs w:val="22"/>
        </w:rPr>
        <w:t>.”</w:t>
      </w:r>
      <w:r w:rsidRPr="00DB09FD">
        <w:rPr>
          <w:rFonts w:ascii="Palatino Linotype" w:eastAsia="Palatino Linotype" w:hAnsi="Palatino Linotype" w:cs="Palatino Linotype"/>
          <w:bCs/>
          <w:sz w:val="22"/>
          <w:szCs w:val="22"/>
        </w:rPr>
        <w:t>, visible en el Seminario Judicial de la Federación y su gaceta, con el registro digital 2002350.</w:t>
      </w:r>
    </w:p>
    <w:p w14:paraId="6786D54B" w14:textId="0ACBC598" w:rsidR="00D57BFA" w:rsidRPr="00DB09FD" w:rsidRDefault="00D57BFA" w:rsidP="00D57BFA">
      <w:pPr>
        <w:widowControl w:val="0"/>
        <w:spacing w:before="240" w:line="360" w:lineRule="auto"/>
        <w:jc w:val="both"/>
        <w:rPr>
          <w:rFonts w:ascii="Palatino Linotype" w:eastAsia="Palatino Linotype" w:hAnsi="Palatino Linotype" w:cs="Palatino Linotype"/>
          <w:bCs/>
          <w:sz w:val="22"/>
          <w:szCs w:val="22"/>
        </w:rPr>
      </w:pPr>
      <w:r w:rsidRPr="00DB09FD">
        <w:rPr>
          <w:rFonts w:ascii="Palatino Linotype" w:eastAsia="Palatino Linotype" w:hAnsi="Palatino Linotype" w:cs="Palatino Linotype"/>
          <w:bCs/>
          <w:sz w:val="22"/>
          <w:szCs w:val="22"/>
        </w:rPr>
        <w:t>Por ello, este Organismo Garante comprometido con la tutela de los derechos humanos confiados, señala que este exceso del plazo legal para resolver el presente asunto, resulta de carácter excepcional.</w:t>
      </w:r>
    </w:p>
    <w:p w14:paraId="22F4020D" w14:textId="09C70CB3" w:rsidR="009F7108" w:rsidRPr="00DB09FD" w:rsidRDefault="009F7108" w:rsidP="009F7108">
      <w:pPr>
        <w:widowControl w:val="0"/>
        <w:spacing w:before="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b/>
          <w:sz w:val="22"/>
          <w:szCs w:val="22"/>
        </w:rPr>
        <w:t xml:space="preserve">9. Cierre de instrucción. </w:t>
      </w:r>
      <w:r w:rsidRPr="00DB09FD">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00D840DA" w:rsidRPr="00DB09FD">
        <w:rPr>
          <w:rFonts w:ascii="Palatino Linotype" w:eastAsia="Palatino Linotype" w:hAnsi="Palatino Linotype" w:cs="Palatino Linotype"/>
          <w:b/>
          <w:bCs/>
          <w:sz w:val="22"/>
          <w:szCs w:val="22"/>
        </w:rPr>
        <w:t xml:space="preserve">ocho de abril </w:t>
      </w:r>
      <w:r w:rsidRPr="00DB09FD">
        <w:rPr>
          <w:rFonts w:ascii="Palatino Linotype" w:eastAsia="Palatino Linotype" w:hAnsi="Palatino Linotype" w:cs="Palatino Linotype"/>
          <w:b/>
          <w:bCs/>
          <w:sz w:val="22"/>
          <w:szCs w:val="22"/>
        </w:rPr>
        <w:t xml:space="preserve">de dos mil </w:t>
      </w:r>
      <w:r w:rsidR="00A94F3C" w:rsidRPr="00DB09FD">
        <w:rPr>
          <w:rFonts w:ascii="Palatino Linotype" w:eastAsia="Palatino Linotype" w:hAnsi="Palatino Linotype" w:cs="Palatino Linotype"/>
          <w:b/>
          <w:bCs/>
          <w:sz w:val="22"/>
          <w:szCs w:val="22"/>
        </w:rPr>
        <w:t>veintiséis</w:t>
      </w:r>
      <w:r w:rsidRPr="00DB09FD">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r w:rsidR="00990686" w:rsidRPr="00DB09FD">
        <w:rPr>
          <w:rFonts w:ascii="Palatino Linotype" w:eastAsia="Palatino Linotype" w:hAnsi="Palatino Linotype" w:cs="Palatino Linotype"/>
          <w:sz w:val="22"/>
          <w:szCs w:val="22"/>
        </w:rPr>
        <w:t xml:space="preserve">. </w:t>
      </w:r>
    </w:p>
    <w:p w14:paraId="7B0FA1BD" w14:textId="77777777" w:rsidR="00562A90" w:rsidRPr="00DB09FD" w:rsidRDefault="0062255D">
      <w:pPr>
        <w:spacing w:before="240" w:after="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343EE953" w14:textId="77777777" w:rsidR="00D840DA" w:rsidRPr="00DB09FD" w:rsidRDefault="00D840DA">
      <w:pPr>
        <w:spacing w:before="240" w:after="240" w:line="360" w:lineRule="auto"/>
        <w:jc w:val="both"/>
        <w:rPr>
          <w:rFonts w:ascii="Palatino Linotype" w:eastAsia="Palatino Linotype" w:hAnsi="Palatino Linotype" w:cs="Palatino Linotype"/>
          <w:sz w:val="22"/>
          <w:szCs w:val="22"/>
        </w:rPr>
      </w:pPr>
    </w:p>
    <w:p w14:paraId="6C89D4C4" w14:textId="77777777" w:rsidR="00D840DA" w:rsidRPr="00DB09FD" w:rsidRDefault="00D840DA">
      <w:pPr>
        <w:spacing w:before="240" w:after="240" w:line="360" w:lineRule="auto"/>
        <w:jc w:val="both"/>
        <w:rPr>
          <w:rFonts w:ascii="Palatino Linotype" w:eastAsia="Palatino Linotype" w:hAnsi="Palatino Linotype" w:cs="Palatino Linotype"/>
          <w:sz w:val="22"/>
          <w:szCs w:val="22"/>
        </w:rPr>
      </w:pPr>
    </w:p>
    <w:p w14:paraId="21BCBDF5" w14:textId="77777777" w:rsidR="00562A90" w:rsidRPr="00DB09FD" w:rsidRDefault="0062255D">
      <w:pPr>
        <w:widowControl w:val="0"/>
        <w:spacing w:before="240" w:after="240" w:line="360" w:lineRule="auto"/>
        <w:jc w:val="center"/>
        <w:rPr>
          <w:rFonts w:ascii="Palatino Linotype" w:eastAsia="Palatino Linotype" w:hAnsi="Palatino Linotype" w:cs="Palatino Linotype"/>
          <w:b/>
          <w:sz w:val="22"/>
          <w:szCs w:val="22"/>
        </w:rPr>
      </w:pPr>
      <w:r w:rsidRPr="00DB09FD">
        <w:rPr>
          <w:rFonts w:ascii="Palatino Linotype" w:eastAsia="Palatino Linotype" w:hAnsi="Palatino Linotype" w:cs="Palatino Linotype"/>
          <w:b/>
          <w:sz w:val="22"/>
          <w:szCs w:val="22"/>
        </w:rPr>
        <w:t>II. C O N S I D E R A N D O S</w:t>
      </w:r>
    </w:p>
    <w:p w14:paraId="60D021DD" w14:textId="060F6A17" w:rsidR="00562A90" w:rsidRPr="00DB09FD" w:rsidRDefault="0062255D">
      <w:pPr>
        <w:spacing w:before="240" w:after="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b/>
          <w:sz w:val="22"/>
          <w:szCs w:val="22"/>
        </w:rPr>
        <w:t>Primero. Competencia.</w:t>
      </w:r>
      <w:r w:rsidRPr="00DB09FD">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w:t>
      </w:r>
      <w:r w:rsidR="00A94F3C" w:rsidRPr="00DB09FD">
        <w:rPr>
          <w:rFonts w:ascii="Palatino Linotype" w:eastAsia="Palatino Linotype" w:hAnsi="Palatino Linotype" w:cs="Palatino Linotype"/>
          <w:sz w:val="22"/>
          <w:szCs w:val="22"/>
        </w:rPr>
        <w:t>los presentes recursos</w:t>
      </w:r>
      <w:r w:rsidRPr="00DB09FD">
        <w:rPr>
          <w:rFonts w:ascii="Palatino Linotype" w:eastAsia="Palatino Linotype" w:hAnsi="Palatino Linotype" w:cs="Palatino Linotype"/>
          <w:sz w:val="22"/>
          <w:szCs w:val="22"/>
        </w:rPr>
        <w:t xml:space="preserve"> de revisión interpuesto</w:t>
      </w:r>
      <w:r w:rsidR="00A94F3C"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por la parte recurrente, conforme a lo dispuesto en los artículos 6, apartado A de la Constitución Política de los Estados Unidos Mexicanos; </w:t>
      </w:r>
      <w:r w:rsidR="005D5DC9" w:rsidRPr="00DB09FD">
        <w:rPr>
          <w:rFonts w:ascii="Palatino Linotype" w:eastAsia="Palatino Linotype" w:hAnsi="Palatino Linotype" w:cs="Palatino Linotype"/>
          <w:sz w:val="22"/>
          <w:szCs w:val="22"/>
        </w:rPr>
        <w:t>5</w:t>
      </w:r>
      <w:r w:rsidR="000E700F" w:rsidRPr="00DB09FD">
        <w:rPr>
          <w:rFonts w:ascii="Palatino Linotype" w:eastAsia="Palatino Linotype" w:hAnsi="Palatino Linotype" w:cs="Palatino Linotype"/>
          <w:sz w:val="22"/>
          <w:szCs w:val="22"/>
        </w:rPr>
        <w:t>,</w:t>
      </w:r>
      <w:r w:rsidR="005D5DC9" w:rsidRPr="00DB09FD">
        <w:rPr>
          <w:rFonts w:ascii="Palatino Linotype" w:eastAsia="Palatino Linotype" w:hAnsi="Palatino Linotype" w:cs="Palatino Linotype"/>
          <w:sz w:val="22"/>
          <w:szCs w:val="22"/>
        </w:rPr>
        <w:t xml:space="preserve"> párrafos </w:t>
      </w:r>
      <w:r w:rsidR="000E700F" w:rsidRPr="00DB09FD">
        <w:rPr>
          <w:rFonts w:ascii="Palatino Linotype" w:eastAsia="Palatino Linotype" w:hAnsi="Palatino Linotype" w:cs="Palatino Linotype"/>
          <w:sz w:val="22"/>
          <w:szCs w:val="22"/>
        </w:rPr>
        <w:t>cuadragésimo cuarto, cuadragésimo quinto cuadragésimo sexto,</w:t>
      </w:r>
      <w:r w:rsidR="005D5DC9" w:rsidRPr="00DB09FD">
        <w:rPr>
          <w:rFonts w:ascii="Palatino Linotype" w:eastAsia="Palatino Linotype" w:hAnsi="Palatino Linotype" w:cs="Palatino Linotype"/>
          <w:sz w:val="22"/>
          <w:szCs w:val="22"/>
        </w:rPr>
        <w:t xml:space="preserve"> fracciones IV y V de la Constitución Política del Estado Libre y Soberano de México; Transitorio Cuarto, párrafo segundo del Decreto número 198 de la “LXII” Legislatura del Estado de México;</w:t>
      </w:r>
      <w:r w:rsidRPr="00DB09FD">
        <w:rPr>
          <w:rFonts w:ascii="Palatino Linotype" w:eastAsia="Palatino Linotype" w:hAnsi="Palatino Linotype" w:cs="Palatino Linotype"/>
          <w:sz w:val="22"/>
          <w:szCs w:val="22"/>
        </w:rPr>
        <w:t xml:space="preserve"> 2, fracción II; 29, 36 fracciones I y II; 176, 178, 181, 185, fracción I, 186 y 188 de la Ley Transparencia y Acceso a la Información Pública del Estado de México y Municipios; 9, fracciones I</w:t>
      </w:r>
      <w:r w:rsidR="00A94F3C" w:rsidRPr="00DB09FD">
        <w:rPr>
          <w:rFonts w:ascii="Palatino Linotype" w:eastAsia="Palatino Linotype" w:hAnsi="Palatino Linotype" w:cs="Palatino Linotype"/>
          <w:sz w:val="22"/>
          <w:szCs w:val="22"/>
        </w:rPr>
        <w:t xml:space="preserve">, </w:t>
      </w:r>
      <w:r w:rsidRPr="00DB09FD">
        <w:rPr>
          <w:rFonts w:ascii="Palatino Linotype" w:eastAsia="Palatino Linotype" w:hAnsi="Palatino Linotype" w:cs="Palatino Linotype"/>
          <w:sz w:val="22"/>
          <w:szCs w:val="22"/>
        </w:rPr>
        <w:t>XXIII</w:t>
      </w:r>
      <w:r w:rsidR="00A94F3C" w:rsidRPr="00DB09FD">
        <w:rPr>
          <w:rFonts w:ascii="Palatino Linotype" w:eastAsia="Palatino Linotype" w:hAnsi="Palatino Linotype" w:cs="Palatino Linotype"/>
          <w:sz w:val="22"/>
          <w:szCs w:val="22"/>
        </w:rPr>
        <w:t>, XXIV</w:t>
      </w:r>
      <w:r w:rsidRPr="00DB09FD">
        <w:rPr>
          <w:rFonts w:ascii="Palatino Linotype" w:eastAsia="Palatino Linotype" w:hAnsi="Palatino Linotype" w:cs="Palatino Linotype"/>
          <w:sz w:val="22"/>
          <w:szCs w:val="22"/>
        </w:rPr>
        <w:t xml:space="preserve"> y 11 del Reglamento Interior del Instituto de Transparencia, Acceso a la Información Pública y Protección de Datos Personales del Estado de México y Municipios.</w:t>
      </w:r>
    </w:p>
    <w:p w14:paraId="2BB00E87" w14:textId="1816DCF1" w:rsidR="00562A90" w:rsidRPr="00DB09FD" w:rsidRDefault="0062255D">
      <w:pPr>
        <w:spacing w:before="240" w:after="240" w:line="360" w:lineRule="auto"/>
        <w:jc w:val="both"/>
        <w:rPr>
          <w:rFonts w:ascii="Palatino Linotype" w:eastAsia="Palatino Linotype" w:hAnsi="Palatino Linotype" w:cs="Palatino Linotype"/>
          <w:sz w:val="22"/>
          <w:szCs w:val="22"/>
        </w:rPr>
      </w:pPr>
      <w:bookmarkStart w:id="10" w:name="_heading=h.tyjcwt" w:colFirst="0" w:colLast="0"/>
      <w:bookmarkEnd w:id="10"/>
      <w:r w:rsidRPr="00DB09FD">
        <w:rPr>
          <w:rFonts w:ascii="Palatino Linotype" w:eastAsia="Palatino Linotype" w:hAnsi="Palatino Linotype" w:cs="Palatino Linotype"/>
          <w:b/>
          <w:sz w:val="22"/>
          <w:szCs w:val="22"/>
        </w:rPr>
        <w:t>Segundo. Oportunidad y Procedibilidad del Recurso de Revisión</w:t>
      </w:r>
      <w:r w:rsidRPr="00DB09FD">
        <w:rPr>
          <w:rFonts w:ascii="Palatino Linotype" w:eastAsia="Palatino Linotype" w:hAnsi="Palatino Linotype" w:cs="Palatino Linotype"/>
          <w:sz w:val="22"/>
          <w:szCs w:val="22"/>
        </w:rPr>
        <w:t>. Previo al estudio del fondo del asunto, se procede a analizar los requisitos de oportunidad y procedibilidad que debe</w:t>
      </w:r>
      <w:r w:rsidR="00432E3F" w:rsidRPr="00DB09FD">
        <w:rPr>
          <w:rFonts w:ascii="Palatino Linotype" w:eastAsia="Palatino Linotype" w:hAnsi="Palatino Linotype" w:cs="Palatino Linotype"/>
          <w:sz w:val="22"/>
          <w:szCs w:val="22"/>
        </w:rPr>
        <w:t>n reunir los</w:t>
      </w:r>
      <w:r w:rsidRPr="00DB09FD">
        <w:rPr>
          <w:rFonts w:ascii="Palatino Linotype" w:eastAsia="Palatino Linotype" w:hAnsi="Palatino Linotype" w:cs="Palatino Linotype"/>
          <w:sz w:val="22"/>
          <w:szCs w:val="22"/>
        </w:rPr>
        <w:t xml:space="preserve"> recurso</w:t>
      </w:r>
      <w:r w:rsidR="00432E3F"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de revisión interpuesto</w:t>
      </w:r>
      <w:r w:rsidR="00432E3F"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previstos en los artículos 178 y 180 de la Ley de Transparencia y Acceso a la Información Pública del Estado de México y Municipios.</w:t>
      </w:r>
    </w:p>
    <w:p w14:paraId="1C2A1275" w14:textId="7B47F75C" w:rsidR="00562A90" w:rsidRPr="00DB09FD" w:rsidRDefault="00432E3F">
      <w:pPr>
        <w:spacing w:before="240" w:after="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Los</w:t>
      </w:r>
      <w:r w:rsidR="0062255D" w:rsidRPr="00DB09FD">
        <w:rPr>
          <w:rFonts w:ascii="Palatino Linotype" w:eastAsia="Palatino Linotype" w:hAnsi="Palatino Linotype" w:cs="Palatino Linotype"/>
          <w:sz w:val="22"/>
          <w:szCs w:val="22"/>
        </w:rPr>
        <w:t xml:space="preserve"> recurso</w:t>
      </w:r>
      <w:r w:rsidRPr="00DB09FD">
        <w:rPr>
          <w:rFonts w:ascii="Palatino Linotype" w:eastAsia="Palatino Linotype" w:hAnsi="Palatino Linotype" w:cs="Palatino Linotype"/>
          <w:sz w:val="22"/>
          <w:szCs w:val="22"/>
        </w:rPr>
        <w:t>s</w:t>
      </w:r>
      <w:r w:rsidR="0062255D" w:rsidRPr="00DB09FD">
        <w:rPr>
          <w:rFonts w:ascii="Palatino Linotype" w:eastAsia="Palatino Linotype" w:hAnsi="Palatino Linotype" w:cs="Palatino Linotype"/>
          <w:sz w:val="22"/>
          <w:szCs w:val="22"/>
        </w:rPr>
        <w:t xml:space="preserve"> de revisión fue</w:t>
      </w:r>
      <w:r w:rsidRPr="00DB09FD">
        <w:rPr>
          <w:rFonts w:ascii="Palatino Linotype" w:eastAsia="Palatino Linotype" w:hAnsi="Palatino Linotype" w:cs="Palatino Linotype"/>
          <w:sz w:val="22"/>
          <w:szCs w:val="22"/>
        </w:rPr>
        <w:t>ron</w:t>
      </w:r>
      <w:r w:rsidR="0062255D" w:rsidRPr="00DB09FD">
        <w:rPr>
          <w:rFonts w:ascii="Palatino Linotype" w:eastAsia="Palatino Linotype" w:hAnsi="Palatino Linotype" w:cs="Palatino Linotype"/>
          <w:sz w:val="22"/>
          <w:szCs w:val="22"/>
        </w:rPr>
        <w:t xml:space="preserve"> interpuesto</w:t>
      </w:r>
      <w:r w:rsidRPr="00DB09FD">
        <w:rPr>
          <w:rFonts w:ascii="Palatino Linotype" w:eastAsia="Palatino Linotype" w:hAnsi="Palatino Linotype" w:cs="Palatino Linotype"/>
          <w:sz w:val="22"/>
          <w:szCs w:val="22"/>
        </w:rPr>
        <w:t>s</w:t>
      </w:r>
      <w:r w:rsidR="0062255D" w:rsidRPr="00DB09FD">
        <w:rPr>
          <w:rFonts w:ascii="Palatino Linotype" w:eastAsia="Palatino Linotype" w:hAnsi="Palatino Linotype" w:cs="Palatino Linotype"/>
          <w:sz w:val="22"/>
          <w:szCs w:val="22"/>
        </w:rPr>
        <w:t xml:space="preserve"> dentro del plazo de quince días hábiles, previsto en el artículo 178 de la Ley de Transparencia y Acceso a la Información Pública del Estado de México y Municipios, toda vez que el </w:t>
      </w:r>
      <w:r w:rsidR="0062255D" w:rsidRPr="00DB09FD">
        <w:rPr>
          <w:rFonts w:ascii="Palatino Linotype" w:eastAsia="Palatino Linotype" w:hAnsi="Palatino Linotype" w:cs="Palatino Linotype"/>
          <w:b/>
          <w:sz w:val="22"/>
          <w:szCs w:val="22"/>
        </w:rPr>
        <w:t xml:space="preserve">Sujeto Obligado </w:t>
      </w:r>
      <w:r w:rsidR="0062255D" w:rsidRPr="00DB09FD">
        <w:rPr>
          <w:rFonts w:ascii="Palatino Linotype" w:eastAsia="Palatino Linotype" w:hAnsi="Palatino Linotype" w:cs="Palatino Linotype"/>
          <w:sz w:val="22"/>
          <w:szCs w:val="22"/>
        </w:rPr>
        <w:t>remitió la</w:t>
      </w:r>
      <w:r w:rsidRPr="00DB09FD">
        <w:rPr>
          <w:rFonts w:ascii="Palatino Linotype" w:eastAsia="Palatino Linotype" w:hAnsi="Palatino Linotype" w:cs="Palatino Linotype"/>
          <w:sz w:val="22"/>
          <w:szCs w:val="22"/>
        </w:rPr>
        <w:t>s</w:t>
      </w:r>
      <w:r w:rsidR="0062255D" w:rsidRPr="00DB09FD">
        <w:rPr>
          <w:rFonts w:ascii="Palatino Linotype" w:eastAsia="Palatino Linotype" w:hAnsi="Palatino Linotype" w:cs="Palatino Linotype"/>
          <w:sz w:val="22"/>
          <w:szCs w:val="22"/>
        </w:rPr>
        <w:t xml:space="preserve"> respuesta</w:t>
      </w:r>
      <w:r w:rsidRPr="00DB09FD">
        <w:rPr>
          <w:rFonts w:ascii="Palatino Linotype" w:eastAsia="Palatino Linotype" w:hAnsi="Palatino Linotype" w:cs="Palatino Linotype"/>
          <w:sz w:val="22"/>
          <w:szCs w:val="22"/>
        </w:rPr>
        <w:t>s</w:t>
      </w:r>
      <w:r w:rsidR="0062255D" w:rsidRPr="00DB09FD">
        <w:rPr>
          <w:rFonts w:ascii="Palatino Linotype" w:eastAsia="Palatino Linotype" w:hAnsi="Palatino Linotype" w:cs="Palatino Linotype"/>
          <w:sz w:val="22"/>
          <w:szCs w:val="22"/>
        </w:rPr>
        <w:t xml:space="preserve"> a la</w:t>
      </w:r>
      <w:r w:rsidRPr="00DB09FD">
        <w:rPr>
          <w:rFonts w:ascii="Palatino Linotype" w:eastAsia="Palatino Linotype" w:hAnsi="Palatino Linotype" w:cs="Palatino Linotype"/>
          <w:sz w:val="22"/>
          <w:szCs w:val="22"/>
        </w:rPr>
        <w:t>s</w:t>
      </w:r>
      <w:r w:rsidR="0062255D" w:rsidRPr="00DB09FD">
        <w:rPr>
          <w:rFonts w:ascii="Palatino Linotype" w:eastAsia="Palatino Linotype" w:hAnsi="Palatino Linotype" w:cs="Palatino Linotype"/>
          <w:sz w:val="22"/>
          <w:szCs w:val="22"/>
        </w:rPr>
        <w:t xml:space="preserve"> solicitud</w:t>
      </w:r>
      <w:r w:rsidRPr="00DB09FD">
        <w:rPr>
          <w:rFonts w:ascii="Palatino Linotype" w:eastAsia="Palatino Linotype" w:hAnsi="Palatino Linotype" w:cs="Palatino Linotype"/>
          <w:sz w:val="22"/>
          <w:szCs w:val="22"/>
        </w:rPr>
        <w:t>es</w:t>
      </w:r>
      <w:r w:rsidR="0062255D" w:rsidRPr="00DB09FD">
        <w:rPr>
          <w:rFonts w:ascii="Palatino Linotype" w:eastAsia="Palatino Linotype" w:hAnsi="Palatino Linotype" w:cs="Palatino Linotype"/>
          <w:sz w:val="22"/>
          <w:szCs w:val="22"/>
        </w:rPr>
        <w:t xml:space="preserve"> de información el día </w:t>
      </w:r>
      <w:r w:rsidR="004E5D54" w:rsidRPr="00DB09FD">
        <w:rPr>
          <w:rFonts w:ascii="Palatino Linotype" w:eastAsia="Palatino Linotype" w:hAnsi="Palatino Linotype" w:cs="Palatino Linotype"/>
          <w:b/>
          <w:sz w:val="22"/>
          <w:szCs w:val="22"/>
        </w:rPr>
        <w:t>cuatro de septiem</w:t>
      </w:r>
      <w:r w:rsidR="00D57BFA" w:rsidRPr="00DB09FD">
        <w:rPr>
          <w:rFonts w:ascii="Palatino Linotype" w:eastAsia="Palatino Linotype" w:hAnsi="Palatino Linotype" w:cs="Palatino Linotype"/>
          <w:b/>
          <w:sz w:val="22"/>
          <w:szCs w:val="22"/>
        </w:rPr>
        <w:t>bre</w:t>
      </w:r>
      <w:r w:rsidR="00AF72B6" w:rsidRPr="00DB09FD">
        <w:rPr>
          <w:rFonts w:ascii="Palatino Linotype" w:eastAsia="Palatino Linotype" w:hAnsi="Palatino Linotype" w:cs="Palatino Linotype"/>
          <w:b/>
          <w:sz w:val="22"/>
          <w:szCs w:val="22"/>
        </w:rPr>
        <w:t xml:space="preserve"> de dos mil veinticinco</w:t>
      </w:r>
      <w:r w:rsidR="0062255D" w:rsidRPr="00DB09FD">
        <w:rPr>
          <w:rFonts w:ascii="Palatino Linotype" w:eastAsia="Palatino Linotype" w:hAnsi="Palatino Linotype" w:cs="Palatino Linotype"/>
          <w:b/>
          <w:sz w:val="22"/>
          <w:szCs w:val="22"/>
        </w:rPr>
        <w:t xml:space="preserve">, </w:t>
      </w:r>
      <w:r w:rsidRPr="00DB09FD">
        <w:rPr>
          <w:rFonts w:ascii="Palatino Linotype" w:eastAsia="Palatino Linotype" w:hAnsi="Palatino Linotype" w:cs="Palatino Linotype"/>
          <w:sz w:val="22"/>
          <w:szCs w:val="22"/>
        </w:rPr>
        <w:t>mientras que los</w:t>
      </w:r>
      <w:r w:rsidR="0062255D" w:rsidRPr="00DB09FD">
        <w:rPr>
          <w:rFonts w:ascii="Palatino Linotype" w:eastAsia="Palatino Linotype" w:hAnsi="Palatino Linotype" w:cs="Palatino Linotype"/>
          <w:sz w:val="22"/>
          <w:szCs w:val="22"/>
        </w:rPr>
        <w:t xml:space="preserve"> recurso</w:t>
      </w:r>
      <w:r w:rsidRPr="00DB09FD">
        <w:rPr>
          <w:rFonts w:ascii="Palatino Linotype" w:eastAsia="Palatino Linotype" w:hAnsi="Palatino Linotype" w:cs="Palatino Linotype"/>
          <w:sz w:val="22"/>
          <w:szCs w:val="22"/>
        </w:rPr>
        <w:t>s</w:t>
      </w:r>
      <w:r w:rsidR="0062255D" w:rsidRPr="00DB09FD">
        <w:rPr>
          <w:rFonts w:ascii="Palatino Linotype" w:eastAsia="Palatino Linotype" w:hAnsi="Palatino Linotype" w:cs="Palatino Linotype"/>
          <w:sz w:val="22"/>
          <w:szCs w:val="22"/>
        </w:rPr>
        <w:t xml:space="preserve"> de revisión interpuesto</w:t>
      </w:r>
      <w:r w:rsidRPr="00DB09FD">
        <w:rPr>
          <w:rFonts w:ascii="Palatino Linotype" w:eastAsia="Palatino Linotype" w:hAnsi="Palatino Linotype" w:cs="Palatino Linotype"/>
          <w:sz w:val="22"/>
          <w:szCs w:val="22"/>
        </w:rPr>
        <w:t>s</w:t>
      </w:r>
      <w:r w:rsidR="0062255D" w:rsidRPr="00DB09FD">
        <w:rPr>
          <w:rFonts w:ascii="Palatino Linotype" w:eastAsia="Palatino Linotype" w:hAnsi="Palatino Linotype" w:cs="Palatino Linotype"/>
          <w:sz w:val="22"/>
          <w:szCs w:val="22"/>
        </w:rPr>
        <w:t xml:space="preserve"> por la parte </w:t>
      </w:r>
      <w:r w:rsidR="0062255D" w:rsidRPr="00DB09FD">
        <w:rPr>
          <w:rFonts w:ascii="Palatino Linotype" w:eastAsia="Palatino Linotype" w:hAnsi="Palatino Linotype" w:cs="Palatino Linotype"/>
          <w:b/>
          <w:sz w:val="22"/>
          <w:szCs w:val="22"/>
        </w:rPr>
        <w:t xml:space="preserve">Recurrente, </w:t>
      </w:r>
      <w:r w:rsidRPr="00DB09FD">
        <w:rPr>
          <w:rFonts w:ascii="Palatino Linotype" w:eastAsia="Palatino Linotype" w:hAnsi="Palatino Linotype" w:cs="Palatino Linotype"/>
          <w:sz w:val="22"/>
          <w:szCs w:val="22"/>
        </w:rPr>
        <w:t>se tuvieron</w:t>
      </w:r>
      <w:r w:rsidR="0062255D" w:rsidRPr="00DB09FD">
        <w:rPr>
          <w:rFonts w:ascii="Palatino Linotype" w:eastAsia="Palatino Linotype" w:hAnsi="Palatino Linotype" w:cs="Palatino Linotype"/>
          <w:sz w:val="22"/>
          <w:szCs w:val="22"/>
        </w:rPr>
        <w:t xml:space="preserve"> por presentado</w:t>
      </w:r>
      <w:r w:rsidRPr="00DB09FD">
        <w:rPr>
          <w:rFonts w:ascii="Palatino Linotype" w:eastAsia="Palatino Linotype" w:hAnsi="Palatino Linotype" w:cs="Palatino Linotype"/>
          <w:sz w:val="22"/>
          <w:szCs w:val="22"/>
        </w:rPr>
        <w:t>s</w:t>
      </w:r>
      <w:r w:rsidR="0062255D" w:rsidRPr="00DB09FD">
        <w:rPr>
          <w:rFonts w:ascii="Palatino Linotype" w:eastAsia="Palatino Linotype" w:hAnsi="Palatino Linotype" w:cs="Palatino Linotype"/>
          <w:sz w:val="22"/>
          <w:szCs w:val="22"/>
        </w:rPr>
        <w:t xml:space="preserve"> el día</w:t>
      </w:r>
      <w:r w:rsidR="009E66E4" w:rsidRPr="00DB09FD">
        <w:rPr>
          <w:rFonts w:ascii="Palatino Linotype" w:eastAsia="Palatino Linotype" w:hAnsi="Palatino Linotype" w:cs="Palatino Linotype"/>
          <w:b/>
          <w:sz w:val="22"/>
          <w:szCs w:val="22"/>
        </w:rPr>
        <w:t xml:space="preserve"> </w:t>
      </w:r>
      <w:r w:rsidR="004E5D54" w:rsidRPr="00DB09FD">
        <w:rPr>
          <w:rFonts w:ascii="Palatino Linotype" w:eastAsia="Palatino Linotype" w:hAnsi="Palatino Linotype" w:cs="Palatino Linotype"/>
          <w:b/>
          <w:sz w:val="22"/>
          <w:szCs w:val="22"/>
        </w:rPr>
        <w:t>ocho de septiem</w:t>
      </w:r>
      <w:r w:rsidR="00D57BFA" w:rsidRPr="00DB09FD">
        <w:rPr>
          <w:rFonts w:ascii="Palatino Linotype" w:eastAsia="Palatino Linotype" w:hAnsi="Palatino Linotype" w:cs="Palatino Linotype"/>
          <w:b/>
          <w:sz w:val="22"/>
          <w:szCs w:val="22"/>
        </w:rPr>
        <w:t>bre</w:t>
      </w:r>
      <w:r w:rsidR="00AF72B6" w:rsidRPr="00DB09FD">
        <w:rPr>
          <w:rFonts w:ascii="Palatino Linotype" w:eastAsia="Palatino Linotype" w:hAnsi="Palatino Linotype" w:cs="Palatino Linotype"/>
          <w:b/>
          <w:sz w:val="22"/>
          <w:szCs w:val="22"/>
        </w:rPr>
        <w:t xml:space="preserve"> de dos mil veinticinco</w:t>
      </w:r>
      <w:r w:rsidR="0062255D" w:rsidRPr="00DB09FD">
        <w:rPr>
          <w:rFonts w:ascii="Palatino Linotype" w:eastAsia="Palatino Linotype" w:hAnsi="Palatino Linotype" w:cs="Palatino Linotype"/>
          <w:b/>
          <w:sz w:val="22"/>
          <w:szCs w:val="22"/>
        </w:rPr>
        <w:t xml:space="preserve">, </w:t>
      </w:r>
      <w:r w:rsidR="0062255D" w:rsidRPr="00DB09FD">
        <w:rPr>
          <w:rFonts w:ascii="Palatino Linotype" w:eastAsia="Palatino Linotype" w:hAnsi="Palatino Linotype" w:cs="Palatino Linotype"/>
          <w:sz w:val="22"/>
          <w:szCs w:val="22"/>
        </w:rPr>
        <w:t>esto es</w:t>
      </w:r>
      <w:r w:rsidR="00AF72B6" w:rsidRPr="00DB09FD">
        <w:rPr>
          <w:rFonts w:ascii="Palatino Linotype" w:eastAsia="Palatino Linotype" w:hAnsi="Palatino Linotype" w:cs="Palatino Linotype"/>
          <w:sz w:val="22"/>
          <w:szCs w:val="22"/>
        </w:rPr>
        <w:t xml:space="preserve">, </w:t>
      </w:r>
      <w:r w:rsidR="00A047B9" w:rsidRPr="00DB09FD">
        <w:rPr>
          <w:rFonts w:ascii="Palatino Linotype" w:eastAsia="Palatino Linotype" w:hAnsi="Palatino Linotype" w:cs="Palatino Linotype"/>
          <w:sz w:val="22"/>
          <w:szCs w:val="22"/>
        </w:rPr>
        <w:t>al segundo</w:t>
      </w:r>
      <w:r w:rsidR="00D57BFA" w:rsidRPr="00DB09FD">
        <w:rPr>
          <w:rFonts w:ascii="Palatino Linotype" w:eastAsia="Palatino Linotype" w:hAnsi="Palatino Linotype" w:cs="Palatino Linotype"/>
          <w:sz w:val="22"/>
          <w:szCs w:val="22"/>
        </w:rPr>
        <w:t xml:space="preserve"> día hábil posterior</w:t>
      </w:r>
      <w:r w:rsidR="0062255D" w:rsidRPr="00DB09FD">
        <w:rPr>
          <w:rFonts w:ascii="Palatino Linotype" w:eastAsia="Palatino Linotype" w:hAnsi="Palatino Linotype" w:cs="Palatino Linotype"/>
          <w:sz w:val="22"/>
          <w:szCs w:val="22"/>
        </w:rPr>
        <w:t xml:space="preserve">. En </w:t>
      </w:r>
      <w:r w:rsidRPr="00DB09FD">
        <w:rPr>
          <w:rFonts w:ascii="Palatino Linotype" w:eastAsia="Palatino Linotype" w:hAnsi="Palatino Linotype" w:cs="Palatino Linotype"/>
          <w:sz w:val="22"/>
          <w:szCs w:val="22"/>
        </w:rPr>
        <w:t>este sentido, se concluye que los</w:t>
      </w:r>
      <w:r w:rsidR="0062255D" w:rsidRPr="00DB09FD">
        <w:rPr>
          <w:rFonts w:ascii="Palatino Linotype" w:eastAsia="Palatino Linotype" w:hAnsi="Palatino Linotype" w:cs="Palatino Linotype"/>
          <w:sz w:val="22"/>
          <w:szCs w:val="22"/>
        </w:rPr>
        <w:t xml:space="preserve"> presente</w:t>
      </w:r>
      <w:r w:rsidRPr="00DB09FD">
        <w:rPr>
          <w:rFonts w:ascii="Palatino Linotype" w:eastAsia="Palatino Linotype" w:hAnsi="Palatino Linotype" w:cs="Palatino Linotype"/>
          <w:sz w:val="22"/>
          <w:szCs w:val="22"/>
        </w:rPr>
        <w:t>s</w:t>
      </w:r>
      <w:r w:rsidR="0062255D" w:rsidRPr="00DB09FD">
        <w:rPr>
          <w:rFonts w:ascii="Palatino Linotype" w:eastAsia="Palatino Linotype" w:hAnsi="Palatino Linotype" w:cs="Palatino Linotype"/>
          <w:sz w:val="22"/>
          <w:szCs w:val="22"/>
        </w:rPr>
        <w:t xml:space="preserve"> recurso</w:t>
      </w:r>
      <w:r w:rsidRPr="00DB09FD">
        <w:rPr>
          <w:rFonts w:ascii="Palatino Linotype" w:eastAsia="Palatino Linotype" w:hAnsi="Palatino Linotype" w:cs="Palatino Linotype"/>
          <w:sz w:val="22"/>
          <w:szCs w:val="22"/>
        </w:rPr>
        <w:t>s</w:t>
      </w:r>
      <w:r w:rsidR="0062255D" w:rsidRPr="00DB09FD">
        <w:rPr>
          <w:rFonts w:ascii="Palatino Linotype" w:eastAsia="Palatino Linotype" w:hAnsi="Palatino Linotype" w:cs="Palatino Linotype"/>
          <w:sz w:val="22"/>
          <w:szCs w:val="22"/>
        </w:rPr>
        <w:t xml:space="preserve"> de revisión se encuentra</w:t>
      </w:r>
      <w:r w:rsidRPr="00DB09FD">
        <w:rPr>
          <w:rFonts w:ascii="Palatino Linotype" w:eastAsia="Palatino Linotype" w:hAnsi="Palatino Linotype" w:cs="Palatino Linotype"/>
          <w:sz w:val="22"/>
          <w:szCs w:val="22"/>
        </w:rPr>
        <w:t>n</w:t>
      </w:r>
      <w:r w:rsidR="0062255D" w:rsidRPr="00DB09FD">
        <w:rPr>
          <w:rFonts w:ascii="Palatino Linotype" w:eastAsia="Palatino Linotype" w:hAnsi="Palatino Linotype" w:cs="Palatino Linotype"/>
          <w:sz w:val="22"/>
          <w:szCs w:val="22"/>
        </w:rPr>
        <w:t xml:space="preserve"> dentro de los márgenes temporales previstos en las disposiciones legales referidas.</w:t>
      </w:r>
    </w:p>
    <w:p w14:paraId="7D3E9518" w14:textId="1865AF40" w:rsidR="00077C62" w:rsidRPr="00DB09FD" w:rsidRDefault="00077C62" w:rsidP="00077C62">
      <w:pPr>
        <w:spacing w:before="240" w:after="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Además, por cuanto hace a la procedibilidad de</w:t>
      </w:r>
      <w:r w:rsidR="00432E3F" w:rsidRPr="00DB09FD">
        <w:rPr>
          <w:rFonts w:ascii="Palatino Linotype" w:eastAsia="Palatino Linotype" w:hAnsi="Palatino Linotype" w:cs="Palatino Linotype"/>
          <w:sz w:val="22"/>
          <w:szCs w:val="22"/>
        </w:rPr>
        <w:t xml:space="preserve"> </w:t>
      </w:r>
      <w:r w:rsidRPr="00DB09FD">
        <w:rPr>
          <w:rFonts w:ascii="Palatino Linotype" w:eastAsia="Palatino Linotype" w:hAnsi="Palatino Linotype" w:cs="Palatino Linotype"/>
          <w:sz w:val="22"/>
          <w:szCs w:val="22"/>
        </w:rPr>
        <w:t>l</w:t>
      </w:r>
      <w:r w:rsidR="00432E3F" w:rsidRPr="00DB09FD">
        <w:rPr>
          <w:rFonts w:ascii="Palatino Linotype" w:eastAsia="Palatino Linotype" w:hAnsi="Palatino Linotype" w:cs="Palatino Linotype"/>
          <w:sz w:val="22"/>
          <w:szCs w:val="22"/>
        </w:rPr>
        <w:t>os</w:t>
      </w:r>
      <w:r w:rsidRPr="00DB09FD">
        <w:rPr>
          <w:rFonts w:ascii="Palatino Linotype" w:eastAsia="Palatino Linotype" w:hAnsi="Palatino Linotype" w:cs="Palatino Linotype"/>
          <w:sz w:val="22"/>
          <w:szCs w:val="22"/>
        </w:rPr>
        <w:t xml:space="preserve"> recurso</w:t>
      </w:r>
      <w:r w:rsidR="00432E3F"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de revisión, es de suma importancia señalar que la parte</w:t>
      </w:r>
      <w:r w:rsidRPr="00DB09FD">
        <w:rPr>
          <w:rFonts w:ascii="Palatino Linotype" w:eastAsia="Palatino Linotype" w:hAnsi="Palatino Linotype" w:cs="Palatino Linotype"/>
          <w:b/>
          <w:sz w:val="22"/>
          <w:szCs w:val="22"/>
        </w:rPr>
        <w:t xml:space="preserve"> Recurrente</w:t>
      </w:r>
      <w:r w:rsidR="00432E3F" w:rsidRPr="00DB09FD">
        <w:rPr>
          <w:rFonts w:ascii="Palatino Linotype" w:eastAsia="Palatino Linotype" w:hAnsi="Palatino Linotype" w:cs="Palatino Linotype"/>
          <w:sz w:val="22"/>
          <w:szCs w:val="22"/>
        </w:rPr>
        <w:t xml:space="preserve">, </w:t>
      </w:r>
      <w:r w:rsidRPr="00DB09FD">
        <w:rPr>
          <w:rFonts w:ascii="Palatino Linotype" w:eastAsia="Palatino Linotype" w:hAnsi="Palatino Linotype" w:cs="Palatino Linotype"/>
          <w:sz w:val="22"/>
          <w:szCs w:val="22"/>
        </w:rPr>
        <w:t xml:space="preserve">señaló </w:t>
      </w:r>
      <w:r w:rsidRPr="00DB09FD">
        <w:rPr>
          <w:rFonts w:ascii="Palatino Linotype" w:eastAsia="Palatino Linotype" w:hAnsi="Palatino Linotype" w:cs="Palatino Linotype"/>
          <w:b/>
          <w:sz w:val="22"/>
          <w:szCs w:val="22"/>
        </w:rPr>
        <w:t>seudónimo,</w:t>
      </w:r>
      <w:r w:rsidRPr="00DB09FD">
        <w:rPr>
          <w:rFonts w:ascii="Palatino Linotype" w:eastAsia="Palatino Linotype" w:hAnsi="Palatino Linotype" w:cs="Palatino Linotype"/>
          <w:sz w:val="22"/>
          <w:szCs w:val="22"/>
        </w:rPr>
        <w:t xml:space="preserve">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4EAB1E7" w14:textId="77777777" w:rsidR="00077C62" w:rsidRPr="00DB09FD" w:rsidRDefault="00077C62" w:rsidP="00077C62">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w:t>
      </w:r>
      <w:r w:rsidRPr="00DB09FD">
        <w:rPr>
          <w:rFonts w:ascii="Palatino Linotype" w:eastAsia="Palatino Linotype" w:hAnsi="Palatino Linotype" w:cs="Palatino Linotype"/>
          <w:b/>
          <w:i/>
          <w:sz w:val="22"/>
          <w:szCs w:val="22"/>
        </w:rPr>
        <w:t>Las solicitudes anónimas</w:t>
      </w:r>
      <w:r w:rsidRPr="00DB09FD">
        <w:rPr>
          <w:rFonts w:ascii="Palatino Linotype" w:eastAsia="Palatino Linotype" w:hAnsi="Palatino Linotype" w:cs="Palatino Linotype"/>
          <w:i/>
          <w:sz w:val="22"/>
          <w:szCs w:val="22"/>
        </w:rPr>
        <w:t xml:space="preserve">, con nombre incompleto o </w:t>
      </w:r>
      <w:r w:rsidRPr="00DB09FD">
        <w:rPr>
          <w:rFonts w:ascii="Palatino Linotype" w:eastAsia="Palatino Linotype" w:hAnsi="Palatino Linotype" w:cs="Palatino Linotype"/>
          <w:b/>
          <w:i/>
          <w:sz w:val="22"/>
          <w:szCs w:val="22"/>
        </w:rPr>
        <w:t>seudónimo</w:t>
      </w:r>
      <w:r w:rsidRPr="00DB09FD">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14:paraId="1AB7D23F" w14:textId="54790ADE" w:rsidR="00077C62" w:rsidRPr="00DB09FD" w:rsidRDefault="00077C62" w:rsidP="00077C62">
      <w:pPr>
        <w:spacing w:before="240" w:after="240" w:line="360" w:lineRule="auto"/>
        <w:jc w:val="both"/>
        <w:rPr>
          <w:rFonts w:ascii="Palatino Linotype" w:eastAsia="Palatino Linotype" w:hAnsi="Palatino Linotype" w:cs="Palatino Linotype"/>
          <w:b/>
          <w:sz w:val="22"/>
          <w:szCs w:val="22"/>
        </w:rPr>
      </w:pPr>
      <w:r w:rsidRPr="00DB09FD">
        <w:rPr>
          <w:rFonts w:ascii="Palatino Linotype" w:eastAsia="Palatino Linotype" w:hAnsi="Palatino Linotype" w:cs="Palatino Linotype"/>
          <w:sz w:val="22"/>
          <w:szCs w:val="22"/>
        </w:rPr>
        <w:t>De acuerdo al análisis efectuado se advierte que resulta procedente la interposición de</w:t>
      </w:r>
      <w:r w:rsidR="00432E3F" w:rsidRPr="00DB09FD">
        <w:rPr>
          <w:rFonts w:ascii="Palatino Linotype" w:eastAsia="Palatino Linotype" w:hAnsi="Palatino Linotype" w:cs="Palatino Linotype"/>
          <w:sz w:val="22"/>
          <w:szCs w:val="22"/>
        </w:rPr>
        <w:t xml:space="preserve"> </w:t>
      </w:r>
      <w:r w:rsidRPr="00DB09FD">
        <w:rPr>
          <w:rFonts w:ascii="Palatino Linotype" w:eastAsia="Palatino Linotype" w:hAnsi="Palatino Linotype" w:cs="Palatino Linotype"/>
          <w:sz w:val="22"/>
          <w:szCs w:val="22"/>
        </w:rPr>
        <w:t>l</w:t>
      </w:r>
      <w:r w:rsidR="00432E3F" w:rsidRPr="00DB09FD">
        <w:rPr>
          <w:rFonts w:ascii="Palatino Linotype" w:eastAsia="Palatino Linotype" w:hAnsi="Palatino Linotype" w:cs="Palatino Linotype"/>
          <w:sz w:val="22"/>
          <w:szCs w:val="22"/>
        </w:rPr>
        <w:t>os</w:t>
      </w:r>
      <w:r w:rsidRPr="00DB09FD">
        <w:rPr>
          <w:rFonts w:ascii="Palatino Linotype" w:eastAsia="Palatino Linotype" w:hAnsi="Palatino Linotype" w:cs="Palatino Linotype"/>
          <w:sz w:val="22"/>
          <w:szCs w:val="22"/>
        </w:rPr>
        <w:t xml:space="preserve"> recurso</w:t>
      </w:r>
      <w:r w:rsidR="00432E3F"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y se concluye la acreditación plena de todos y cada uno de los elementos formales exigidos por el artículo 180 de la Ley de Transparencia y Acceso a la Información Pública del Estado de México y Municipios en vigor, en atención a que fue</w:t>
      </w:r>
      <w:r w:rsidR="00432E3F" w:rsidRPr="00DB09FD">
        <w:rPr>
          <w:rFonts w:ascii="Palatino Linotype" w:eastAsia="Palatino Linotype" w:hAnsi="Palatino Linotype" w:cs="Palatino Linotype"/>
          <w:sz w:val="22"/>
          <w:szCs w:val="22"/>
        </w:rPr>
        <w:t>ron</w:t>
      </w:r>
      <w:r w:rsidRPr="00DB09FD">
        <w:rPr>
          <w:rFonts w:ascii="Palatino Linotype" w:eastAsia="Palatino Linotype" w:hAnsi="Palatino Linotype" w:cs="Palatino Linotype"/>
          <w:sz w:val="22"/>
          <w:szCs w:val="22"/>
        </w:rPr>
        <w:t xml:space="preserve"> presentado</w:t>
      </w:r>
      <w:r w:rsidR="00432E3F"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mediante el formato visible en el</w:t>
      </w:r>
      <w:r w:rsidRPr="00DB09FD">
        <w:rPr>
          <w:rFonts w:ascii="Palatino Linotype" w:eastAsia="Palatino Linotype" w:hAnsi="Palatino Linotype" w:cs="Palatino Linotype"/>
          <w:b/>
          <w:sz w:val="22"/>
          <w:szCs w:val="22"/>
        </w:rPr>
        <w:t xml:space="preserve"> SAIMEX.</w:t>
      </w:r>
    </w:p>
    <w:p w14:paraId="190980DF" w14:textId="269B8C2A" w:rsidR="00077C62" w:rsidRPr="00DB09FD" w:rsidRDefault="00077C62" w:rsidP="00077C62">
      <w:pPr>
        <w:spacing w:before="240" w:after="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Finalmente, se advierte que resulta procedente la interposición de</w:t>
      </w:r>
      <w:r w:rsidR="00432E3F" w:rsidRPr="00DB09FD">
        <w:rPr>
          <w:rFonts w:ascii="Palatino Linotype" w:eastAsia="Palatino Linotype" w:hAnsi="Palatino Linotype" w:cs="Palatino Linotype"/>
          <w:sz w:val="22"/>
          <w:szCs w:val="22"/>
        </w:rPr>
        <w:t xml:space="preserve"> </w:t>
      </w:r>
      <w:r w:rsidRPr="00DB09FD">
        <w:rPr>
          <w:rFonts w:ascii="Palatino Linotype" w:eastAsia="Palatino Linotype" w:hAnsi="Palatino Linotype" w:cs="Palatino Linotype"/>
          <w:sz w:val="22"/>
          <w:szCs w:val="22"/>
        </w:rPr>
        <w:t>l</w:t>
      </w:r>
      <w:r w:rsidR="00432E3F" w:rsidRPr="00DB09FD">
        <w:rPr>
          <w:rFonts w:ascii="Palatino Linotype" w:eastAsia="Palatino Linotype" w:hAnsi="Palatino Linotype" w:cs="Palatino Linotype"/>
          <w:sz w:val="22"/>
          <w:szCs w:val="22"/>
        </w:rPr>
        <w:t>os</w:t>
      </w:r>
      <w:r w:rsidRPr="00DB09FD">
        <w:rPr>
          <w:rFonts w:ascii="Palatino Linotype" w:eastAsia="Palatino Linotype" w:hAnsi="Palatino Linotype" w:cs="Palatino Linotype"/>
          <w:sz w:val="22"/>
          <w:szCs w:val="22"/>
        </w:rPr>
        <w:t xml:space="preserve"> recurso</w:t>
      </w:r>
      <w:r w:rsidR="00432E3F"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según lo manifestado por la parte </w:t>
      </w:r>
      <w:r w:rsidRPr="00DB09FD">
        <w:rPr>
          <w:rFonts w:ascii="Palatino Linotype" w:eastAsia="Palatino Linotype" w:hAnsi="Palatino Linotype" w:cs="Palatino Linotype"/>
          <w:b/>
          <w:bCs/>
          <w:sz w:val="22"/>
          <w:szCs w:val="22"/>
        </w:rPr>
        <w:t>Recurrente</w:t>
      </w:r>
      <w:r w:rsidRPr="00DB09FD">
        <w:rPr>
          <w:rFonts w:ascii="Palatino Linotype" w:eastAsia="Palatino Linotype" w:hAnsi="Palatino Linotype" w:cs="Palatino Linotype"/>
          <w:sz w:val="22"/>
          <w:szCs w:val="22"/>
        </w:rPr>
        <w:t xml:space="preserve"> en sus motivos de inconformidad, de acuerdo al artículo 179, fracción X del ordenamiento legal citado, que a la letra dice: </w:t>
      </w:r>
    </w:p>
    <w:p w14:paraId="39AB3B04" w14:textId="77777777" w:rsidR="00562A90" w:rsidRPr="00DB09FD" w:rsidRDefault="0062255D" w:rsidP="00AF51BA">
      <w:pPr>
        <w:tabs>
          <w:tab w:val="left" w:pos="7938"/>
        </w:tabs>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w:t>
      </w:r>
      <w:r w:rsidRPr="00DB09FD">
        <w:rPr>
          <w:rFonts w:ascii="Palatino Linotype" w:eastAsia="Palatino Linotype" w:hAnsi="Palatino Linotype" w:cs="Palatino Linotype"/>
          <w:b/>
          <w:i/>
          <w:sz w:val="22"/>
          <w:szCs w:val="22"/>
        </w:rPr>
        <w:t>Artículo 179.</w:t>
      </w:r>
      <w:r w:rsidRPr="00DB09FD">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903CA76" w14:textId="77777777" w:rsidR="00562A90" w:rsidRPr="00DB09FD" w:rsidRDefault="0062255D" w:rsidP="00AF51BA">
      <w:pPr>
        <w:tabs>
          <w:tab w:val="left" w:pos="7938"/>
        </w:tabs>
        <w:spacing w:before="120" w:after="120"/>
        <w:ind w:left="851" w:right="900"/>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w:t>
      </w:r>
    </w:p>
    <w:p w14:paraId="217B120C" w14:textId="019D1E19" w:rsidR="00562A90" w:rsidRPr="00DB09FD" w:rsidRDefault="00077C62" w:rsidP="00AF51BA">
      <w:pPr>
        <w:tabs>
          <w:tab w:val="left" w:pos="7938"/>
        </w:tabs>
        <w:spacing w:before="120" w:after="120"/>
        <w:ind w:left="851" w:right="900"/>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bCs/>
          <w:i/>
          <w:sz w:val="22"/>
          <w:szCs w:val="22"/>
        </w:rPr>
        <w:t>X</w:t>
      </w:r>
      <w:r w:rsidRPr="00DB09FD">
        <w:rPr>
          <w:rFonts w:ascii="Palatino Linotype" w:eastAsia="Palatino Linotype" w:hAnsi="Palatino Linotype" w:cs="Palatino Linotype"/>
          <w:i/>
          <w:sz w:val="22"/>
          <w:szCs w:val="22"/>
        </w:rPr>
        <w:t>. Los costos o tiempos de entrega de la información</w:t>
      </w:r>
      <w:r w:rsidR="0062255D" w:rsidRPr="00DB09FD">
        <w:rPr>
          <w:rFonts w:ascii="Palatino Linotype" w:eastAsia="Palatino Linotype" w:hAnsi="Palatino Linotype" w:cs="Palatino Linotype"/>
          <w:i/>
          <w:sz w:val="22"/>
          <w:szCs w:val="22"/>
        </w:rPr>
        <w:t>;”</w:t>
      </w:r>
    </w:p>
    <w:p w14:paraId="09700F89" w14:textId="77777777" w:rsidR="00562A90" w:rsidRPr="00DB09FD" w:rsidRDefault="0062255D">
      <w:pPr>
        <w:spacing w:before="240" w:after="240" w:line="360" w:lineRule="auto"/>
        <w:jc w:val="both"/>
        <w:rPr>
          <w:rFonts w:ascii="Palatino Linotype" w:eastAsia="Palatino Linotype" w:hAnsi="Palatino Linotype" w:cs="Palatino Linotype"/>
          <w:b/>
          <w:sz w:val="22"/>
          <w:szCs w:val="22"/>
        </w:rPr>
      </w:pPr>
      <w:r w:rsidRPr="00DB09FD">
        <w:rPr>
          <w:rFonts w:ascii="Palatino Linotype" w:eastAsia="Palatino Linotype" w:hAnsi="Palatino Linotype" w:cs="Palatino Linotype"/>
          <w:b/>
          <w:sz w:val="22"/>
          <w:szCs w:val="22"/>
        </w:rPr>
        <w:t xml:space="preserve">Tercero. Materia de la revisión. </w:t>
      </w:r>
      <w:r w:rsidRPr="00DB09FD">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DB09FD">
        <w:rPr>
          <w:rFonts w:ascii="Palatino Linotype" w:eastAsia="Palatino Linotype" w:hAnsi="Palatino Linotype" w:cs="Palatino Linotype"/>
          <w:b/>
          <w:sz w:val="22"/>
          <w:szCs w:val="22"/>
        </w:rPr>
        <w:t xml:space="preserve">verificar si la información proporcionada por el Sujeto Obligado es adecuada y suficiente para satisfacer el derecho de acceso a la información pública </w:t>
      </w:r>
      <w:r w:rsidRPr="00DB09FD">
        <w:rPr>
          <w:rFonts w:ascii="Palatino Linotype" w:eastAsia="Palatino Linotype" w:hAnsi="Palatino Linotype" w:cs="Palatino Linotype"/>
          <w:sz w:val="22"/>
          <w:szCs w:val="22"/>
        </w:rPr>
        <w:t xml:space="preserve">de la parte </w:t>
      </w:r>
      <w:r w:rsidRPr="00DB09FD">
        <w:rPr>
          <w:rFonts w:ascii="Palatino Linotype" w:eastAsia="Palatino Linotype" w:hAnsi="Palatino Linotype" w:cs="Palatino Linotype"/>
          <w:b/>
          <w:sz w:val="22"/>
          <w:szCs w:val="22"/>
        </w:rPr>
        <w:t>Recurrente</w:t>
      </w:r>
      <w:r w:rsidRPr="00DB09FD">
        <w:rPr>
          <w:rFonts w:ascii="Palatino Linotype" w:eastAsia="Palatino Linotype" w:hAnsi="Palatino Linotype" w:cs="Palatino Linotype"/>
          <w:sz w:val="22"/>
          <w:szCs w:val="22"/>
        </w:rPr>
        <w:t>, o en su defecto, en caso de ser procedente, ordenar la entrega de información.</w:t>
      </w:r>
    </w:p>
    <w:p w14:paraId="2B109E96" w14:textId="77777777" w:rsidR="00562A90" w:rsidRPr="00DB09FD" w:rsidRDefault="0062255D">
      <w:pPr>
        <w:spacing w:before="240" w:after="240" w:line="360" w:lineRule="auto"/>
        <w:jc w:val="both"/>
        <w:rPr>
          <w:rFonts w:ascii="Palatino Linotype" w:eastAsia="Palatino Linotype" w:hAnsi="Palatino Linotype" w:cs="Palatino Linotype"/>
          <w:sz w:val="22"/>
          <w:szCs w:val="22"/>
        </w:rPr>
      </w:pPr>
      <w:bookmarkStart w:id="11" w:name="_heading=h.2et92p0" w:colFirst="0" w:colLast="0"/>
      <w:bookmarkEnd w:id="11"/>
      <w:r w:rsidRPr="00DB09FD">
        <w:rPr>
          <w:rFonts w:ascii="Palatino Linotype" w:eastAsia="Palatino Linotype" w:hAnsi="Palatino Linotype" w:cs="Palatino Linotype"/>
          <w:b/>
          <w:sz w:val="22"/>
          <w:szCs w:val="22"/>
        </w:rPr>
        <w:t xml:space="preserve">Cuarto. Estudio del asunto. </w:t>
      </w:r>
      <w:r w:rsidRPr="00DB09FD">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7A0B397" w14:textId="77777777" w:rsidR="00562A90" w:rsidRPr="00DB09FD" w:rsidRDefault="0062255D">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w:t>
      </w:r>
      <w:r w:rsidRPr="00DB09FD">
        <w:rPr>
          <w:rFonts w:ascii="Palatino Linotype" w:eastAsia="Palatino Linotype" w:hAnsi="Palatino Linotype" w:cs="Palatino Linotype"/>
          <w:b/>
          <w:i/>
          <w:sz w:val="22"/>
          <w:szCs w:val="22"/>
        </w:rPr>
        <w:t>Artículo 4</w:t>
      </w:r>
      <w:r w:rsidRPr="00DB09F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B166C31" w14:textId="77777777" w:rsidR="00562A90" w:rsidRPr="00DB09FD" w:rsidRDefault="0062255D">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DB09F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6416075" w14:textId="77777777" w:rsidR="00562A90" w:rsidRPr="00DB09FD" w:rsidRDefault="0062255D">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DB09FD">
        <w:rPr>
          <w:rFonts w:ascii="Palatino Linotype" w:eastAsia="Palatino Linotype" w:hAnsi="Palatino Linotype" w:cs="Palatino Linotype"/>
          <w:i/>
          <w:sz w:val="22"/>
          <w:szCs w:val="22"/>
        </w:rPr>
        <w:t>.”</w:t>
      </w:r>
    </w:p>
    <w:p w14:paraId="651E1502" w14:textId="77777777" w:rsidR="00562A90" w:rsidRPr="00DB09FD" w:rsidRDefault="0062255D">
      <w:pPr>
        <w:spacing w:before="240" w:after="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E18E9E2" w14:textId="77777777" w:rsidR="00562A90" w:rsidRPr="00DB09FD" w:rsidRDefault="0062255D">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“Artículo 12.-</w:t>
      </w:r>
      <w:r w:rsidRPr="00DB09F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CD15C1E" w14:textId="77777777" w:rsidR="00562A90" w:rsidRPr="00DB09FD" w:rsidRDefault="0062255D">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DB09FD">
        <w:rPr>
          <w:rFonts w:ascii="Palatino Linotype" w:eastAsia="Palatino Linotype" w:hAnsi="Palatino Linotype" w:cs="Palatino Linotype"/>
          <w:i/>
          <w:sz w:val="22"/>
          <w:szCs w:val="22"/>
        </w:rPr>
        <w:t xml:space="preserve">. </w:t>
      </w:r>
      <w:r w:rsidRPr="00DB09FD">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76C7BCA4" w14:textId="77777777" w:rsidR="00562A90" w:rsidRPr="00DB09FD" w:rsidRDefault="0062255D">
      <w:pPr>
        <w:spacing w:before="240" w:after="240" w:line="360" w:lineRule="auto"/>
        <w:ind w:right="-93"/>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679CE64C" w14:textId="77777777" w:rsidR="00562A90" w:rsidRPr="00DB09FD" w:rsidRDefault="0062255D">
      <w:pPr>
        <w:spacing w:before="240" w:after="240" w:line="360" w:lineRule="auto"/>
        <w:jc w:val="both"/>
        <w:rPr>
          <w:rFonts w:ascii="Palatino Linotype" w:eastAsia="Palatino Linotype" w:hAnsi="Palatino Linotype" w:cs="Palatino Linotype"/>
          <w:b/>
          <w:sz w:val="22"/>
          <w:szCs w:val="22"/>
        </w:rPr>
      </w:pPr>
      <w:r w:rsidRPr="00DB09FD">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DB09FD">
        <w:rPr>
          <w:rFonts w:ascii="Palatino Linotype" w:eastAsia="Palatino Linotype" w:hAnsi="Palatino Linotype" w:cs="Palatino Linotype"/>
          <w:b/>
          <w:sz w:val="22"/>
          <w:szCs w:val="22"/>
        </w:rPr>
        <w:t xml:space="preserve"> </w:t>
      </w:r>
    </w:p>
    <w:p w14:paraId="093BE23B" w14:textId="77777777" w:rsidR="00562A90" w:rsidRPr="00DB09FD" w:rsidRDefault="0062255D">
      <w:pPr>
        <w:spacing w:before="120" w:after="120"/>
        <w:ind w:left="1134"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 xml:space="preserve"> “</w:t>
      </w:r>
      <w:r w:rsidRPr="00DB09FD">
        <w:rPr>
          <w:rFonts w:ascii="Palatino Linotype" w:eastAsia="Palatino Linotype" w:hAnsi="Palatino Linotype" w:cs="Palatino Linotype"/>
          <w:b/>
          <w:i/>
          <w:sz w:val="22"/>
          <w:szCs w:val="22"/>
        </w:rPr>
        <w:t>No existe obligación de elaborar documentos ad hoc para atender las solicitudes de acceso a la información.</w:t>
      </w:r>
      <w:r w:rsidRPr="00DB09FD">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962A522" w14:textId="1000FB40" w:rsidR="00562A90" w:rsidRPr="00DB09FD" w:rsidRDefault="0062255D">
      <w:pPr>
        <w:spacing w:before="120" w:after="12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865EFEE" w14:textId="77777777" w:rsidR="00562A90" w:rsidRPr="00DB09FD" w:rsidRDefault="0062255D">
      <w:pPr>
        <w:spacing w:before="120" w:after="12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9B24A7D" w14:textId="77777777" w:rsidR="00562A90" w:rsidRPr="00DB09FD" w:rsidRDefault="0062255D" w:rsidP="00AF51BA">
      <w:pPr>
        <w:tabs>
          <w:tab w:val="left" w:pos="993"/>
        </w:tabs>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w:t>
      </w:r>
      <w:r w:rsidRPr="00DB09FD">
        <w:rPr>
          <w:rFonts w:ascii="Palatino Linotype" w:eastAsia="Palatino Linotype" w:hAnsi="Palatino Linotype" w:cs="Palatino Linotype"/>
          <w:b/>
          <w:i/>
          <w:sz w:val="22"/>
          <w:szCs w:val="22"/>
        </w:rPr>
        <w:t xml:space="preserve">Artículo 3. </w:t>
      </w:r>
      <w:r w:rsidRPr="00DB09FD">
        <w:rPr>
          <w:rFonts w:ascii="Palatino Linotype" w:eastAsia="Palatino Linotype" w:hAnsi="Palatino Linotype" w:cs="Palatino Linotype"/>
          <w:i/>
          <w:sz w:val="22"/>
          <w:szCs w:val="22"/>
        </w:rPr>
        <w:t>Para los efectos de la presente Ley se entenderá por:</w:t>
      </w:r>
    </w:p>
    <w:p w14:paraId="07E06CC3" w14:textId="77777777" w:rsidR="00562A90" w:rsidRPr="00DB09FD" w:rsidRDefault="0062255D" w:rsidP="00AF51BA">
      <w:pPr>
        <w:tabs>
          <w:tab w:val="left" w:pos="993"/>
        </w:tabs>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w:t>
      </w:r>
    </w:p>
    <w:p w14:paraId="47B93607" w14:textId="77777777" w:rsidR="00562A90" w:rsidRPr="00DB09FD" w:rsidRDefault="0062255D" w:rsidP="00AF51BA">
      <w:pPr>
        <w:tabs>
          <w:tab w:val="left" w:pos="993"/>
        </w:tabs>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XI. Documento:</w:t>
      </w:r>
      <w:r w:rsidRPr="00DB09FD">
        <w:rPr>
          <w:rFonts w:ascii="Palatino Linotype" w:eastAsia="Palatino Linotype" w:hAnsi="Palatino Linotype" w:cs="Palatino Linotype"/>
          <w:i/>
          <w:sz w:val="22"/>
          <w:szCs w:val="22"/>
        </w:rPr>
        <w:t xml:space="preserve"> Los expedientes, reportes, estudios, actas</w:t>
      </w:r>
      <w:r w:rsidRPr="00DB09FD">
        <w:rPr>
          <w:rFonts w:ascii="Palatino Linotype" w:eastAsia="Palatino Linotype" w:hAnsi="Palatino Linotype" w:cs="Palatino Linotype"/>
          <w:b/>
          <w:i/>
          <w:sz w:val="22"/>
          <w:szCs w:val="22"/>
        </w:rPr>
        <w:t>,</w:t>
      </w:r>
      <w:r w:rsidRPr="00DB09FD">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75A856F" w14:textId="77777777" w:rsidR="00562A90" w:rsidRPr="00DB09FD" w:rsidRDefault="0062255D">
      <w:pPr>
        <w:spacing w:before="240" w:after="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6BDB376" w14:textId="77777777" w:rsidR="00562A90" w:rsidRPr="00DB09FD" w:rsidRDefault="0062255D" w:rsidP="00AF72B6">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sz w:val="22"/>
          <w:szCs w:val="22"/>
        </w:rPr>
        <w:t>“</w:t>
      </w:r>
      <w:r w:rsidRPr="00DB09FD">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DB09F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69AA24A" w14:textId="77777777" w:rsidR="00562A90" w:rsidRPr="00DB09FD" w:rsidRDefault="0062255D" w:rsidP="00AF72B6">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550C45B" w14:textId="77777777" w:rsidR="00562A90" w:rsidRPr="00DB09FD" w:rsidRDefault="0062255D" w:rsidP="00AF72B6">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68997DE" w14:textId="77777777" w:rsidR="00562A90" w:rsidRPr="00DB09FD" w:rsidRDefault="0062255D" w:rsidP="00AF72B6">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1794246D" w14:textId="77777777" w:rsidR="00562A90" w:rsidRPr="00DB09FD" w:rsidRDefault="0062255D" w:rsidP="00AF72B6">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294617FB" w14:textId="77777777" w:rsidR="00562A90" w:rsidRPr="00DB09FD" w:rsidRDefault="0062255D">
      <w:pPr>
        <w:spacing w:before="240" w:after="240" w:line="360" w:lineRule="auto"/>
        <w:ind w:right="51"/>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112BC5F" w14:textId="6AED6107" w:rsidR="00562A90" w:rsidRPr="00DB09FD" w:rsidRDefault="0062255D">
      <w:pPr>
        <w:spacing w:before="240" w:after="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En el mismo tenor, los artículos 6, apartado A, fracción I, de la Constitución Política de los Estados Unidos Mexicanos y 5,</w:t>
      </w:r>
      <w:r w:rsidR="00CB6CDB" w:rsidRPr="00DB09FD">
        <w:rPr>
          <w:rFonts w:ascii="Palatino Linotype" w:eastAsia="Palatino Linotype" w:hAnsi="Palatino Linotype" w:cs="Palatino Linotype"/>
          <w:sz w:val="22"/>
          <w:szCs w:val="22"/>
        </w:rPr>
        <w:t xml:space="preserve"> párrafo cuadragésimo sexto,</w:t>
      </w:r>
      <w:r w:rsidRPr="00DB09FD">
        <w:rPr>
          <w:rFonts w:ascii="Palatino Linotype" w:eastAsia="Palatino Linotype" w:hAnsi="Palatino Linotype" w:cs="Palatino Linotype"/>
          <w:sz w:val="22"/>
          <w:szCs w:val="22"/>
        </w:rPr>
        <w:t xml:space="preserve">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3924D1ED" w14:textId="624FE6F3" w:rsidR="00562A90" w:rsidRPr="00DB09FD" w:rsidRDefault="0062255D">
      <w:pPr>
        <w:spacing w:before="240" w:after="240" w:line="360" w:lineRule="auto"/>
        <w:ind w:right="51"/>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Ahora bien, del análisis de la</w:t>
      </w:r>
      <w:r w:rsidR="006B59E0"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solicitud</w:t>
      </w:r>
      <w:r w:rsidR="006B59E0" w:rsidRPr="00DB09FD">
        <w:rPr>
          <w:rFonts w:ascii="Palatino Linotype" w:eastAsia="Palatino Linotype" w:hAnsi="Palatino Linotype" w:cs="Palatino Linotype"/>
          <w:sz w:val="22"/>
          <w:szCs w:val="22"/>
        </w:rPr>
        <w:t>es</w:t>
      </w:r>
      <w:r w:rsidRPr="00DB09FD">
        <w:rPr>
          <w:rFonts w:ascii="Palatino Linotype" w:eastAsia="Palatino Linotype" w:hAnsi="Palatino Linotype" w:cs="Palatino Linotype"/>
          <w:sz w:val="22"/>
          <w:szCs w:val="22"/>
        </w:rPr>
        <w:t xml:space="preserve"> de información, motivo de</w:t>
      </w:r>
      <w:r w:rsidR="006B59E0" w:rsidRPr="00DB09FD">
        <w:rPr>
          <w:rFonts w:ascii="Palatino Linotype" w:eastAsia="Palatino Linotype" w:hAnsi="Palatino Linotype" w:cs="Palatino Linotype"/>
          <w:sz w:val="22"/>
          <w:szCs w:val="22"/>
        </w:rPr>
        <w:t xml:space="preserve"> </w:t>
      </w:r>
      <w:r w:rsidRPr="00DB09FD">
        <w:rPr>
          <w:rFonts w:ascii="Palatino Linotype" w:eastAsia="Palatino Linotype" w:hAnsi="Palatino Linotype" w:cs="Palatino Linotype"/>
          <w:sz w:val="22"/>
          <w:szCs w:val="22"/>
        </w:rPr>
        <w:t>l</w:t>
      </w:r>
      <w:r w:rsidR="006B59E0" w:rsidRPr="00DB09FD">
        <w:rPr>
          <w:rFonts w:ascii="Palatino Linotype" w:eastAsia="Palatino Linotype" w:hAnsi="Palatino Linotype" w:cs="Palatino Linotype"/>
          <w:sz w:val="22"/>
          <w:szCs w:val="22"/>
        </w:rPr>
        <w:t>os</w:t>
      </w:r>
      <w:r w:rsidRPr="00DB09FD">
        <w:rPr>
          <w:rFonts w:ascii="Palatino Linotype" w:eastAsia="Palatino Linotype" w:hAnsi="Palatino Linotype" w:cs="Palatino Linotype"/>
          <w:sz w:val="22"/>
          <w:szCs w:val="22"/>
        </w:rPr>
        <w:t xml:space="preserve"> recurso</w:t>
      </w:r>
      <w:r w:rsidR="006B59E0"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de revisión que ahora se resuelve</w:t>
      </w:r>
      <w:r w:rsidR="006B59E0" w:rsidRPr="00DB09FD">
        <w:rPr>
          <w:rFonts w:ascii="Palatino Linotype" w:eastAsia="Palatino Linotype" w:hAnsi="Palatino Linotype" w:cs="Palatino Linotype"/>
          <w:sz w:val="22"/>
          <w:szCs w:val="22"/>
        </w:rPr>
        <w:t>n</w:t>
      </w:r>
      <w:r w:rsidRPr="00DB09FD">
        <w:rPr>
          <w:rFonts w:ascii="Palatino Linotype" w:eastAsia="Palatino Linotype" w:hAnsi="Palatino Linotype" w:cs="Palatino Linotype"/>
          <w:sz w:val="22"/>
          <w:szCs w:val="22"/>
        </w:rPr>
        <w:t xml:space="preserve">, se advierte que la parte </w:t>
      </w:r>
      <w:r w:rsidRPr="00DB09FD">
        <w:rPr>
          <w:rFonts w:ascii="Palatino Linotype" w:eastAsia="Palatino Linotype" w:hAnsi="Palatino Linotype" w:cs="Palatino Linotype"/>
          <w:b/>
          <w:sz w:val="22"/>
          <w:szCs w:val="22"/>
        </w:rPr>
        <w:t>Recurrente</w:t>
      </w:r>
      <w:r w:rsidRPr="00DB09FD">
        <w:rPr>
          <w:rFonts w:ascii="Palatino Linotype" w:eastAsia="Palatino Linotype" w:hAnsi="Palatino Linotype" w:cs="Palatino Linotype"/>
          <w:sz w:val="22"/>
          <w:szCs w:val="22"/>
        </w:rPr>
        <w:t xml:space="preserve"> requirió al </w:t>
      </w:r>
      <w:r w:rsidRPr="00DB09FD">
        <w:rPr>
          <w:rFonts w:ascii="Palatino Linotype" w:eastAsia="Palatino Linotype" w:hAnsi="Palatino Linotype" w:cs="Palatino Linotype"/>
          <w:b/>
          <w:sz w:val="22"/>
          <w:szCs w:val="22"/>
        </w:rPr>
        <w:t xml:space="preserve">Sujeto Obligado </w:t>
      </w:r>
      <w:r w:rsidRPr="00DB09FD">
        <w:rPr>
          <w:rFonts w:ascii="Palatino Linotype" w:eastAsia="Palatino Linotype" w:hAnsi="Palatino Linotype" w:cs="Palatino Linotype"/>
          <w:sz w:val="22"/>
          <w:szCs w:val="22"/>
        </w:rPr>
        <w:t>le proporcione, información consistente en lo siguiente:</w:t>
      </w:r>
    </w:p>
    <w:p w14:paraId="779A19BD" w14:textId="6DDA5A99" w:rsidR="006B59E0" w:rsidRPr="00DB09FD" w:rsidRDefault="006B59E0">
      <w:pPr>
        <w:spacing w:before="240" w:after="240" w:line="360" w:lineRule="auto"/>
        <w:ind w:right="51"/>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b/>
          <w:sz w:val="22"/>
          <w:szCs w:val="22"/>
        </w:rPr>
        <w:t>00098/DIFIXTAPAL/IP/2025</w:t>
      </w:r>
    </w:p>
    <w:p w14:paraId="42757B11" w14:textId="420AA0EF" w:rsidR="00A047B9" w:rsidRPr="00DB09FD" w:rsidRDefault="00A047B9" w:rsidP="00A047B9">
      <w:pPr>
        <w:spacing w:before="240" w:after="240" w:line="360" w:lineRule="auto"/>
        <w:ind w:left="426" w:right="616"/>
        <w:jc w:val="both"/>
        <w:rPr>
          <w:rFonts w:ascii="Palatino Linotype" w:eastAsia="Palatino Linotype" w:hAnsi="Palatino Linotype" w:cs="Palatino Linotype"/>
          <w:sz w:val="22"/>
          <w:szCs w:val="22"/>
        </w:rPr>
      </w:pPr>
      <w:bookmarkStart w:id="12" w:name="_Hlk225422987"/>
      <w:r w:rsidRPr="00DB09FD">
        <w:rPr>
          <w:rFonts w:ascii="Palatino Linotype" w:eastAsia="Palatino Linotype" w:hAnsi="Palatino Linotype" w:cs="Palatino Linotype"/>
          <w:sz w:val="22"/>
          <w:szCs w:val="22"/>
        </w:rPr>
        <w:t xml:space="preserve">1. </w:t>
      </w:r>
      <w:r w:rsidR="00A94F3C" w:rsidRPr="00DB09FD">
        <w:rPr>
          <w:rFonts w:ascii="Palatino Linotype" w:eastAsia="Palatino Linotype" w:hAnsi="Palatino Linotype" w:cs="Palatino Linotype"/>
          <w:sz w:val="22"/>
          <w:szCs w:val="22"/>
        </w:rPr>
        <w:t>C</w:t>
      </w:r>
      <w:r w:rsidRPr="00DB09FD">
        <w:rPr>
          <w:rFonts w:ascii="Palatino Linotype" w:eastAsia="Palatino Linotype" w:hAnsi="Palatino Linotype" w:cs="Palatino Linotype"/>
          <w:sz w:val="22"/>
          <w:szCs w:val="22"/>
        </w:rPr>
        <w:t xml:space="preserve">onciliaciones bancarias de las cuentas del Sistema DIF Ixtapaluca del segundo trimestre de 2023, con estados de cuenta originales y oficios de validación interna. </w:t>
      </w:r>
    </w:p>
    <w:p w14:paraId="68A7E2AF" w14:textId="6EF7BBCE" w:rsidR="00A047B9" w:rsidRPr="00DB09FD" w:rsidRDefault="00A047B9" w:rsidP="00A047B9">
      <w:pPr>
        <w:spacing w:before="240" w:after="240" w:line="360" w:lineRule="auto"/>
        <w:ind w:left="426" w:right="616"/>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2</w:t>
      </w:r>
      <w:r w:rsidR="00A94F3C" w:rsidRPr="00DB09FD">
        <w:rPr>
          <w:rFonts w:ascii="Palatino Linotype" w:eastAsia="Palatino Linotype" w:hAnsi="Palatino Linotype" w:cs="Palatino Linotype"/>
          <w:sz w:val="22"/>
          <w:szCs w:val="22"/>
        </w:rPr>
        <w:t xml:space="preserve"> A</w:t>
      </w:r>
      <w:r w:rsidRPr="00DB09FD">
        <w:rPr>
          <w:rFonts w:ascii="Palatino Linotype" w:eastAsia="Palatino Linotype" w:hAnsi="Palatino Linotype" w:cs="Palatino Linotype"/>
          <w:sz w:val="22"/>
          <w:szCs w:val="22"/>
        </w:rPr>
        <w:t xml:space="preserve">rqueo de caja practicado al cierre del segundo trimestre de 2023 en Tesorería del Sistema DIF Ixtapaluca, con acta firmada por los servidores públicos participantes. </w:t>
      </w:r>
    </w:p>
    <w:p w14:paraId="5663855A" w14:textId="77986601" w:rsidR="00A047B9" w:rsidRPr="00DB09FD" w:rsidRDefault="00A047B9" w:rsidP="00A94F3C">
      <w:pPr>
        <w:spacing w:before="240" w:after="240" w:line="360" w:lineRule="auto"/>
        <w:ind w:left="426" w:right="616"/>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 xml:space="preserve">3. </w:t>
      </w:r>
      <w:r w:rsidR="00A94F3C" w:rsidRPr="00DB09FD">
        <w:rPr>
          <w:rFonts w:ascii="Palatino Linotype" w:eastAsia="Palatino Linotype" w:hAnsi="Palatino Linotype" w:cs="Palatino Linotype"/>
          <w:sz w:val="22"/>
          <w:szCs w:val="22"/>
        </w:rPr>
        <w:t>C</w:t>
      </w:r>
      <w:r w:rsidRPr="00DB09FD">
        <w:rPr>
          <w:rFonts w:ascii="Palatino Linotype" w:eastAsia="Palatino Linotype" w:hAnsi="Palatino Linotype" w:cs="Palatino Linotype"/>
          <w:sz w:val="22"/>
          <w:szCs w:val="22"/>
        </w:rPr>
        <w:t>heques expedidos y cancelados en el segundo trimestre de 2023, con justificación documental</w:t>
      </w:r>
      <w:r w:rsidR="00A94F3C" w:rsidRPr="00DB09FD">
        <w:rPr>
          <w:rFonts w:ascii="Palatino Linotype" w:eastAsia="Palatino Linotype" w:hAnsi="Palatino Linotype" w:cs="Palatino Linotype"/>
          <w:sz w:val="22"/>
          <w:szCs w:val="22"/>
        </w:rPr>
        <w:t xml:space="preserve">. </w:t>
      </w:r>
    </w:p>
    <w:p w14:paraId="15F71F49" w14:textId="77492113" w:rsidR="006B59E0" w:rsidRPr="00DB09FD" w:rsidRDefault="006B59E0" w:rsidP="006B59E0">
      <w:pPr>
        <w:spacing w:before="240" w:after="240" w:line="360" w:lineRule="auto"/>
        <w:ind w:right="616"/>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b/>
          <w:sz w:val="22"/>
          <w:szCs w:val="22"/>
        </w:rPr>
        <w:t>00070/DIFIXTAPAL/IP/2025</w:t>
      </w:r>
    </w:p>
    <w:p w14:paraId="7192314F" w14:textId="578F01FA" w:rsidR="006B59E0" w:rsidRPr="00DB09FD" w:rsidRDefault="006B59E0" w:rsidP="00A047B9">
      <w:pPr>
        <w:spacing w:before="240" w:after="240" w:line="360" w:lineRule="auto"/>
        <w:ind w:left="426" w:right="616"/>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 xml:space="preserve">1. </w:t>
      </w:r>
      <w:r w:rsidR="00A94F3C" w:rsidRPr="00DB09FD">
        <w:rPr>
          <w:rFonts w:ascii="Palatino Linotype" w:eastAsia="Palatino Linotype" w:hAnsi="Palatino Linotype" w:cs="Palatino Linotype"/>
          <w:sz w:val="22"/>
          <w:szCs w:val="22"/>
        </w:rPr>
        <w:t>C</w:t>
      </w:r>
      <w:r w:rsidRPr="00DB09FD">
        <w:rPr>
          <w:rFonts w:ascii="Palatino Linotype" w:eastAsia="Palatino Linotype" w:hAnsi="Palatino Linotype" w:cs="Palatino Linotype"/>
          <w:sz w:val="22"/>
          <w:szCs w:val="22"/>
        </w:rPr>
        <w:t xml:space="preserve">onciliaciones bancarias de las cuentas del Sistema DIF Ixtapaluca de enero 2022, con estados de cuenta originales y oficios de validación interna. </w:t>
      </w:r>
    </w:p>
    <w:p w14:paraId="1F802D3B" w14:textId="0C99C52A" w:rsidR="006B59E0" w:rsidRPr="00DB09FD" w:rsidRDefault="006B59E0" w:rsidP="00A047B9">
      <w:pPr>
        <w:spacing w:before="240" w:after="240" w:line="360" w:lineRule="auto"/>
        <w:ind w:left="426" w:right="616"/>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 xml:space="preserve">2. </w:t>
      </w:r>
      <w:r w:rsidR="00A94F3C" w:rsidRPr="00DB09FD">
        <w:rPr>
          <w:rFonts w:ascii="Palatino Linotype" w:eastAsia="Palatino Linotype" w:hAnsi="Palatino Linotype" w:cs="Palatino Linotype"/>
          <w:sz w:val="22"/>
          <w:szCs w:val="22"/>
        </w:rPr>
        <w:t>A</w:t>
      </w:r>
      <w:r w:rsidRPr="00DB09FD">
        <w:rPr>
          <w:rFonts w:ascii="Palatino Linotype" w:eastAsia="Palatino Linotype" w:hAnsi="Palatino Linotype" w:cs="Palatino Linotype"/>
          <w:sz w:val="22"/>
          <w:szCs w:val="22"/>
        </w:rPr>
        <w:t xml:space="preserve">rqueo de caja practicado el 31 de enero de 2022 en Tesorería del Sistema DIF Ixtapaluca, con acta firmada por los servidores públicos participantes. </w:t>
      </w:r>
    </w:p>
    <w:p w14:paraId="48BFE0F8" w14:textId="2CE5E827" w:rsidR="006B59E0" w:rsidRPr="00DB09FD" w:rsidRDefault="006B59E0" w:rsidP="00A047B9">
      <w:pPr>
        <w:spacing w:before="240" w:after="240" w:line="360" w:lineRule="auto"/>
        <w:ind w:left="426" w:right="616"/>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 xml:space="preserve">3. </w:t>
      </w:r>
      <w:r w:rsidR="00A94F3C" w:rsidRPr="00DB09FD">
        <w:rPr>
          <w:rFonts w:ascii="Palatino Linotype" w:eastAsia="Palatino Linotype" w:hAnsi="Palatino Linotype" w:cs="Palatino Linotype"/>
          <w:sz w:val="22"/>
          <w:szCs w:val="22"/>
        </w:rPr>
        <w:t>C</w:t>
      </w:r>
      <w:r w:rsidRPr="00DB09FD">
        <w:rPr>
          <w:rFonts w:ascii="Palatino Linotype" w:eastAsia="Palatino Linotype" w:hAnsi="Palatino Linotype" w:cs="Palatino Linotype"/>
          <w:sz w:val="22"/>
          <w:szCs w:val="22"/>
        </w:rPr>
        <w:t>heques expedidos y cancelados en enero 2022, con justificación documental, emitido por la Tesorería del Sistema DIF Ixtapaluca.</w:t>
      </w:r>
    </w:p>
    <w:bookmarkEnd w:id="12"/>
    <w:p w14:paraId="4E311224" w14:textId="5137D11D" w:rsidR="00052C54" w:rsidRPr="00DB09FD" w:rsidRDefault="00044464" w:rsidP="00052C54">
      <w:pPr>
        <w:spacing w:before="240" w:after="240" w:line="360" w:lineRule="auto"/>
        <w:ind w:right="49"/>
        <w:jc w:val="both"/>
        <w:rPr>
          <w:rFonts w:ascii="Palatino Linotype" w:hAnsi="Palatino Linotype"/>
          <w:b/>
          <w:sz w:val="22"/>
          <w:szCs w:val="22"/>
        </w:rPr>
      </w:pPr>
      <w:r w:rsidRPr="00DB09FD">
        <w:rPr>
          <w:rFonts w:ascii="Palatino Linotype" w:eastAsia="Palatino Linotype" w:hAnsi="Palatino Linotype" w:cs="Palatino Linotype"/>
          <w:sz w:val="22"/>
          <w:szCs w:val="22"/>
        </w:rPr>
        <w:t>En respuesta a l</w:t>
      </w:r>
      <w:r w:rsidR="00594299" w:rsidRPr="00DB09FD">
        <w:rPr>
          <w:rFonts w:ascii="Palatino Linotype" w:eastAsia="Palatino Linotype" w:hAnsi="Palatino Linotype" w:cs="Palatino Linotype"/>
          <w:sz w:val="22"/>
          <w:szCs w:val="22"/>
        </w:rPr>
        <w:t>a</w:t>
      </w:r>
      <w:r w:rsidR="006B59E0" w:rsidRPr="00DB09FD">
        <w:rPr>
          <w:rFonts w:ascii="Palatino Linotype" w:eastAsia="Palatino Linotype" w:hAnsi="Palatino Linotype" w:cs="Palatino Linotype"/>
          <w:sz w:val="22"/>
          <w:szCs w:val="22"/>
        </w:rPr>
        <w:t>s</w:t>
      </w:r>
      <w:r w:rsidR="00594299" w:rsidRPr="00DB09FD">
        <w:rPr>
          <w:rFonts w:ascii="Palatino Linotype" w:eastAsia="Palatino Linotype" w:hAnsi="Palatino Linotype" w:cs="Palatino Linotype"/>
          <w:sz w:val="22"/>
          <w:szCs w:val="22"/>
        </w:rPr>
        <w:t xml:space="preserve"> solicitud</w:t>
      </w:r>
      <w:r w:rsidR="006B59E0" w:rsidRPr="00DB09FD">
        <w:rPr>
          <w:rFonts w:ascii="Palatino Linotype" w:eastAsia="Palatino Linotype" w:hAnsi="Palatino Linotype" w:cs="Palatino Linotype"/>
          <w:sz w:val="22"/>
          <w:szCs w:val="22"/>
        </w:rPr>
        <w:t>es</w:t>
      </w:r>
      <w:r w:rsidR="00594299" w:rsidRPr="00DB09FD">
        <w:rPr>
          <w:rFonts w:ascii="Palatino Linotype" w:eastAsia="Palatino Linotype" w:hAnsi="Palatino Linotype" w:cs="Palatino Linotype"/>
          <w:sz w:val="22"/>
          <w:szCs w:val="22"/>
        </w:rPr>
        <w:t>, por conducto de la Tesorería</w:t>
      </w:r>
      <w:r w:rsidR="004315B9" w:rsidRPr="00DB09FD">
        <w:rPr>
          <w:rFonts w:ascii="Palatino Linotype" w:eastAsia="Palatino Linotype" w:hAnsi="Palatino Linotype" w:cs="Palatino Linotype"/>
          <w:sz w:val="22"/>
          <w:szCs w:val="22"/>
        </w:rPr>
        <w:t xml:space="preserve">, </w:t>
      </w:r>
      <w:r w:rsidR="00594299" w:rsidRPr="00DB09FD">
        <w:rPr>
          <w:rFonts w:ascii="Palatino Linotype" w:hAnsi="Palatino Linotype"/>
          <w:sz w:val="22"/>
          <w:szCs w:val="22"/>
        </w:rPr>
        <w:t xml:space="preserve">el </w:t>
      </w:r>
      <w:r w:rsidR="00594299" w:rsidRPr="00DB09FD">
        <w:rPr>
          <w:rFonts w:ascii="Palatino Linotype" w:hAnsi="Palatino Linotype"/>
          <w:b/>
          <w:sz w:val="22"/>
          <w:szCs w:val="22"/>
        </w:rPr>
        <w:t xml:space="preserve">Sujeto Obligado </w:t>
      </w:r>
      <w:r w:rsidR="00A047B9" w:rsidRPr="00DB09FD">
        <w:rPr>
          <w:rFonts w:ascii="Palatino Linotype" w:hAnsi="Palatino Linotype"/>
          <w:b/>
          <w:sz w:val="22"/>
          <w:szCs w:val="22"/>
        </w:rPr>
        <w:t xml:space="preserve">manifestó </w:t>
      </w:r>
      <w:r w:rsidR="00052C54" w:rsidRPr="00DB09FD">
        <w:rPr>
          <w:rFonts w:ascii="Palatino Linotype" w:eastAsia="Palatino Linotype" w:hAnsi="Palatino Linotype" w:cs="Palatino Linotype"/>
          <w:sz w:val="22"/>
          <w:szCs w:val="22"/>
        </w:rPr>
        <w:t xml:space="preserve">que la entrega de la información se realizaría una vez que se cubriera el costo de reproducción respectivo, en términos del </w:t>
      </w:r>
      <w:r w:rsidR="0022418B" w:rsidRPr="00DB09FD">
        <w:rPr>
          <w:rFonts w:ascii="Palatino Linotype" w:eastAsia="Palatino Linotype" w:hAnsi="Palatino Linotype" w:cs="Palatino Linotype"/>
          <w:sz w:val="22"/>
          <w:szCs w:val="22"/>
        </w:rPr>
        <w:t>artículo</w:t>
      </w:r>
      <w:r w:rsidR="00052C54" w:rsidRPr="00DB09FD">
        <w:rPr>
          <w:rFonts w:ascii="Palatino Linotype" w:eastAsia="Palatino Linotype" w:hAnsi="Palatino Linotype" w:cs="Palatino Linotype"/>
          <w:sz w:val="22"/>
          <w:szCs w:val="22"/>
        </w:rPr>
        <w:t xml:space="preserve"> 17 de la Ley de transparencia y acceso en la información pública del Estado de México y Municipios.</w:t>
      </w:r>
    </w:p>
    <w:p w14:paraId="4E553512" w14:textId="565C930C" w:rsidR="00594299" w:rsidRPr="00DB09FD" w:rsidRDefault="00163A18" w:rsidP="003D2176">
      <w:pPr>
        <w:spacing w:before="240" w:after="240" w:line="360" w:lineRule="auto"/>
        <w:ind w:right="49"/>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Sin embargo, al no estar conforme con los términos de la</w:t>
      </w:r>
      <w:r w:rsidR="006B59E0"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respuesta</w:t>
      </w:r>
      <w:r w:rsidR="006B59E0"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proporcionada</w:t>
      </w:r>
      <w:r w:rsidR="006B59E0"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en primera instancia, la parte </w:t>
      </w:r>
      <w:r w:rsidRPr="00DB09FD">
        <w:rPr>
          <w:rFonts w:ascii="Palatino Linotype" w:eastAsia="Palatino Linotype" w:hAnsi="Palatino Linotype" w:cs="Palatino Linotype"/>
          <w:b/>
          <w:bCs/>
          <w:sz w:val="22"/>
          <w:szCs w:val="22"/>
        </w:rPr>
        <w:t xml:space="preserve">Recurrente </w:t>
      </w:r>
      <w:r w:rsidR="006B59E0" w:rsidRPr="00DB09FD">
        <w:rPr>
          <w:rFonts w:ascii="Palatino Linotype" w:eastAsia="Palatino Linotype" w:hAnsi="Palatino Linotype" w:cs="Palatino Linotype"/>
          <w:sz w:val="22"/>
          <w:szCs w:val="22"/>
        </w:rPr>
        <w:t>interpuso los</w:t>
      </w:r>
      <w:r w:rsidRPr="00DB09FD">
        <w:rPr>
          <w:rFonts w:ascii="Palatino Linotype" w:eastAsia="Palatino Linotype" w:hAnsi="Palatino Linotype" w:cs="Palatino Linotype"/>
          <w:sz w:val="22"/>
          <w:szCs w:val="22"/>
        </w:rPr>
        <w:t xml:space="preserve"> recurso</w:t>
      </w:r>
      <w:r w:rsidR="006B59E0"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de revisión que nos ocupa</w:t>
      </w:r>
      <w:r w:rsidR="006B59E0" w:rsidRPr="00DB09FD">
        <w:rPr>
          <w:rFonts w:ascii="Palatino Linotype" w:eastAsia="Palatino Linotype" w:hAnsi="Palatino Linotype" w:cs="Palatino Linotype"/>
          <w:sz w:val="22"/>
          <w:szCs w:val="22"/>
        </w:rPr>
        <w:t>n</w:t>
      </w:r>
      <w:r w:rsidR="00DE37DD" w:rsidRPr="00DB09FD">
        <w:rPr>
          <w:rFonts w:ascii="Palatino Linotype" w:eastAsia="Palatino Linotype" w:hAnsi="Palatino Linotype" w:cs="Palatino Linotype"/>
          <w:sz w:val="22"/>
          <w:szCs w:val="22"/>
        </w:rPr>
        <w:t>, en los</w:t>
      </w:r>
      <w:r w:rsidRPr="00DB09FD">
        <w:rPr>
          <w:rFonts w:ascii="Palatino Linotype" w:eastAsia="Palatino Linotype" w:hAnsi="Palatino Linotype" w:cs="Palatino Linotype"/>
          <w:sz w:val="22"/>
          <w:szCs w:val="22"/>
        </w:rPr>
        <w:t xml:space="preserve"> que</w:t>
      </w:r>
      <w:r w:rsidR="002D01B9" w:rsidRPr="00DB09FD">
        <w:rPr>
          <w:rFonts w:ascii="Palatino Linotype" w:eastAsia="Palatino Linotype" w:hAnsi="Palatino Linotype" w:cs="Palatino Linotype"/>
          <w:sz w:val="22"/>
          <w:szCs w:val="22"/>
        </w:rPr>
        <w:t xml:space="preserve"> alegó que el </w:t>
      </w:r>
      <w:r w:rsidR="002D01B9" w:rsidRPr="00DB09FD">
        <w:rPr>
          <w:rFonts w:ascii="Palatino Linotype" w:eastAsia="Palatino Linotype" w:hAnsi="Palatino Linotype" w:cs="Palatino Linotype"/>
          <w:b/>
          <w:bCs/>
          <w:sz w:val="22"/>
          <w:szCs w:val="22"/>
        </w:rPr>
        <w:t>Sujeto Obligado</w:t>
      </w:r>
      <w:r w:rsidR="002D01B9" w:rsidRPr="00DB09FD">
        <w:rPr>
          <w:rFonts w:ascii="Palatino Linotype" w:eastAsia="Palatino Linotype" w:hAnsi="Palatino Linotype" w:cs="Palatino Linotype"/>
          <w:sz w:val="22"/>
          <w:szCs w:val="22"/>
        </w:rPr>
        <w:t xml:space="preserve"> se negó a dar la información </w:t>
      </w:r>
      <w:r w:rsidR="00990686" w:rsidRPr="00DB09FD">
        <w:rPr>
          <w:rFonts w:ascii="Palatino Linotype" w:eastAsia="Palatino Linotype" w:hAnsi="Palatino Linotype" w:cs="Palatino Linotype"/>
          <w:sz w:val="22"/>
          <w:szCs w:val="22"/>
        </w:rPr>
        <w:t>en la modalidad solicitada</w:t>
      </w:r>
      <w:r w:rsidR="002D01B9" w:rsidRPr="00DB09FD">
        <w:rPr>
          <w:rFonts w:ascii="Palatino Linotype" w:eastAsia="Palatino Linotype" w:hAnsi="Palatino Linotype" w:cs="Palatino Linotype"/>
          <w:sz w:val="22"/>
          <w:szCs w:val="22"/>
        </w:rPr>
        <w:t>.</w:t>
      </w:r>
      <w:r w:rsidRPr="00DB09FD">
        <w:rPr>
          <w:rFonts w:ascii="Palatino Linotype" w:eastAsia="Palatino Linotype" w:hAnsi="Palatino Linotype" w:cs="Palatino Linotype"/>
          <w:sz w:val="22"/>
          <w:szCs w:val="22"/>
        </w:rPr>
        <w:t xml:space="preserve"> </w:t>
      </w:r>
    </w:p>
    <w:p w14:paraId="6BA4E167" w14:textId="57DC6F3C" w:rsidR="007561CE" w:rsidRPr="00DB09FD" w:rsidRDefault="007561CE" w:rsidP="007561CE">
      <w:pPr>
        <w:spacing w:before="240" w:after="240" w:line="360" w:lineRule="auto"/>
        <w:ind w:right="49"/>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 xml:space="preserve">En la etapa de manifestaciones el </w:t>
      </w:r>
      <w:r w:rsidRPr="00DB09FD">
        <w:rPr>
          <w:rFonts w:ascii="Palatino Linotype" w:eastAsia="Palatino Linotype" w:hAnsi="Palatino Linotype" w:cs="Palatino Linotype"/>
          <w:b/>
          <w:sz w:val="22"/>
          <w:szCs w:val="22"/>
        </w:rPr>
        <w:t xml:space="preserve">Sujeto Obligado </w:t>
      </w:r>
      <w:r w:rsidR="008E41D7" w:rsidRPr="00DB09FD">
        <w:rPr>
          <w:rFonts w:ascii="Palatino Linotype" w:eastAsia="Palatino Linotype" w:hAnsi="Palatino Linotype" w:cs="Palatino Linotype"/>
          <w:sz w:val="22"/>
          <w:szCs w:val="22"/>
        </w:rPr>
        <w:t>rindió</w:t>
      </w:r>
      <w:r w:rsidRPr="00DB09FD">
        <w:rPr>
          <w:rFonts w:ascii="Palatino Linotype" w:eastAsia="Palatino Linotype" w:hAnsi="Palatino Linotype" w:cs="Palatino Linotype"/>
          <w:sz w:val="22"/>
          <w:szCs w:val="22"/>
        </w:rPr>
        <w:t xml:space="preserve"> su</w:t>
      </w:r>
      <w:r w:rsidR="00DE37DD"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informe</w:t>
      </w:r>
      <w:r w:rsidR="00DE37DD"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justificado</w:t>
      </w:r>
      <w:r w:rsidR="00DE37DD" w:rsidRPr="00DB09FD">
        <w:rPr>
          <w:rFonts w:ascii="Palatino Linotype" w:eastAsia="Palatino Linotype" w:hAnsi="Palatino Linotype" w:cs="Palatino Linotype"/>
          <w:sz w:val="22"/>
          <w:szCs w:val="22"/>
        </w:rPr>
        <w:t>s</w:t>
      </w:r>
      <w:r w:rsidR="00BF0BAB" w:rsidRPr="00DB09FD">
        <w:rPr>
          <w:rFonts w:ascii="Palatino Linotype" w:eastAsia="Palatino Linotype" w:hAnsi="Palatino Linotype" w:cs="Palatino Linotype"/>
          <w:sz w:val="22"/>
          <w:szCs w:val="22"/>
        </w:rPr>
        <w:t xml:space="preserve"> ratificando en parte su respuesta, remitiendo información que no corresponde con lo solicitada y señalando que no cuenta en sus archivos con los arqueos de caja solicitados, tal como se describió en los antecedentes. La</w:t>
      </w:r>
      <w:r w:rsidRPr="00DB09FD">
        <w:rPr>
          <w:rFonts w:ascii="Palatino Linotype" w:eastAsia="Palatino Linotype" w:hAnsi="Palatino Linotype" w:cs="Palatino Linotype"/>
          <w:sz w:val="22"/>
          <w:szCs w:val="22"/>
        </w:rPr>
        <w:t xml:space="preserve"> parte </w:t>
      </w:r>
      <w:r w:rsidRPr="00DB09FD">
        <w:rPr>
          <w:rFonts w:ascii="Palatino Linotype" w:eastAsia="Palatino Linotype" w:hAnsi="Palatino Linotype" w:cs="Palatino Linotype"/>
          <w:b/>
          <w:sz w:val="22"/>
          <w:szCs w:val="22"/>
        </w:rPr>
        <w:t xml:space="preserve">Recurrente </w:t>
      </w:r>
      <w:r w:rsidRPr="00DB09FD">
        <w:rPr>
          <w:rFonts w:ascii="Palatino Linotype" w:eastAsia="Palatino Linotype" w:hAnsi="Palatino Linotype" w:cs="Palatino Linotype"/>
          <w:sz w:val="22"/>
          <w:szCs w:val="22"/>
        </w:rPr>
        <w:t>fue omisa en hacer valer manifestaciones o rendir alegatos que conforme a derecho resultaran procedentes</w:t>
      </w:r>
      <w:r w:rsidR="00BF0BAB" w:rsidRPr="00DB09FD">
        <w:rPr>
          <w:rFonts w:ascii="Palatino Linotype" w:eastAsia="Palatino Linotype" w:hAnsi="Palatino Linotype" w:cs="Palatino Linotype"/>
          <w:sz w:val="22"/>
          <w:szCs w:val="22"/>
        </w:rPr>
        <w:t>.</w:t>
      </w:r>
    </w:p>
    <w:p w14:paraId="0F0AB30E" w14:textId="77777777" w:rsidR="002D01B9" w:rsidRPr="00DB09FD" w:rsidRDefault="002D01B9" w:rsidP="002D01B9">
      <w:pPr>
        <w:spacing w:before="280" w:after="28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 xml:space="preserve">Una vez establecidas las posturas de las partes, se procede al análisis de los requerimientos de información, así como la información proporcionada por el </w:t>
      </w:r>
      <w:r w:rsidRPr="00DB09FD">
        <w:rPr>
          <w:rFonts w:ascii="Palatino Linotype" w:eastAsia="Palatino Linotype" w:hAnsi="Palatino Linotype" w:cs="Palatino Linotype"/>
          <w:b/>
          <w:sz w:val="22"/>
          <w:szCs w:val="22"/>
        </w:rPr>
        <w:t xml:space="preserve">Sujeto Obligado, </w:t>
      </w:r>
      <w:r w:rsidRPr="00DB09FD">
        <w:rPr>
          <w:rFonts w:ascii="Palatino Linotype" w:eastAsia="Palatino Linotype" w:hAnsi="Palatino Linotype" w:cs="Palatino Linotype"/>
          <w:sz w:val="22"/>
          <w:szCs w:val="22"/>
        </w:rPr>
        <w:t xml:space="preserve">en contraposición con el motivo de inconformidad alegado por la parte </w:t>
      </w:r>
      <w:r w:rsidRPr="00DB09FD">
        <w:rPr>
          <w:rFonts w:ascii="Palatino Linotype" w:eastAsia="Palatino Linotype" w:hAnsi="Palatino Linotype" w:cs="Palatino Linotype"/>
          <w:b/>
          <w:sz w:val="22"/>
          <w:szCs w:val="22"/>
        </w:rPr>
        <w:t xml:space="preserve">Recurrente, </w:t>
      </w:r>
      <w:r w:rsidRPr="00DB09FD">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2883CC4C" w14:textId="1EF73F5B" w:rsidR="002D01B9" w:rsidRPr="00DB09FD" w:rsidRDefault="002D01B9" w:rsidP="002D01B9">
      <w:pPr>
        <w:spacing w:before="240" w:after="240" w:line="360" w:lineRule="auto"/>
        <w:ind w:right="49"/>
        <w:jc w:val="both"/>
        <w:rPr>
          <w:rFonts w:ascii="Palatino Linotype" w:eastAsia="Palatino Linotype" w:hAnsi="Palatino Linotype" w:cs="Palatino Linotype"/>
          <w:sz w:val="22"/>
          <w:szCs w:val="22"/>
        </w:rPr>
      </w:pPr>
      <w:bookmarkStart w:id="13" w:name="_Hlk206576918"/>
      <w:r w:rsidRPr="00DB09FD">
        <w:rPr>
          <w:rFonts w:ascii="Palatino Linotype" w:eastAsia="Palatino Linotype" w:hAnsi="Palatino Linotype" w:cs="Palatino Linotype"/>
          <w:sz w:val="22"/>
          <w:szCs w:val="22"/>
        </w:rPr>
        <w:t>En esta tesitura, de</w:t>
      </w:r>
      <w:r w:rsidR="00223B2E" w:rsidRPr="00DB09FD">
        <w:rPr>
          <w:rFonts w:ascii="Palatino Linotype" w:eastAsia="Palatino Linotype" w:hAnsi="Palatino Linotype" w:cs="Palatino Linotype"/>
          <w:sz w:val="22"/>
          <w:szCs w:val="22"/>
        </w:rPr>
        <w:t xml:space="preserve"> las constancias que integran los</w:t>
      </w:r>
      <w:r w:rsidRPr="00DB09FD">
        <w:rPr>
          <w:rFonts w:ascii="Palatino Linotype" w:eastAsia="Palatino Linotype" w:hAnsi="Palatino Linotype" w:cs="Palatino Linotype"/>
          <w:sz w:val="22"/>
          <w:szCs w:val="22"/>
        </w:rPr>
        <w:t xml:space="preserve"> expediente</w:t>
      </w:r>
      <w:r w:rsidR="00223B2E"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electrónico</w:t>
      </w:r>
      <w:r w:rsidR="00223B2E"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relacionado</w:t>
      </w:r>
      <w:r w:rsidR="00223B2E" w:rsidRPr="00DB09FD">
        <w:rPr>
          <w:rFonts w:ascii="Palatino Linotype" w:eastAsia="Palatino Linotype" w:hAnsi="Palatino Linotype" w:cs="Palatino Linotype"/>
          <w:sz w:val="22"/>
          <w:szCs w:val="22"/>
        </w:rPr>
        <w:t>s con los</w:t>
      </w:r>
      <w:r w:rsidRPr="00DB09FD">
        <w:rPr>
          <w:rFonts w:ascii="Palatino Linotype" w:eastAsia="Palatino Linotype" w:hAnsi="Palatino Linotype" w:cs="Palatino Linotype"/>
          <w:sz w:val="22"/>
          <w:szCs w:val="22"/>
        </w:rPr>
        <w:t xml:space="preserve"> recurso</w:t>
      </w:r>
      <w:r w:rsidR="00223B2E"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de revisión materia de estudio, se colige que </w:t>
      </w:r>
      <w:r w:rsidRPr="00DB09FD">
        <w:rPr>
          <w:rFonts w:ascii="Palatino Linotype" w:eastAsia="Palatino Linotype" w:hAnsi="Palatino Linotype" w:cs="Palatino Linotype"/>
          <w:b/>
          <w:sz w:val="22"/>
          <w:szCs w:val="22"/>
        </w:rPr>
        <w:t>el Sujeto Obligado</w:t>
      </w:r>
      <w:r w:rsidRPr="00DB09FD">
        <w:rPr>
          <w:rFonts w:ascii="Palatino Linotype" w:eastAsia="Palatino Linotype" w:hAnsi="Palatino Linotype" w:cs="Palatino Linotype"/>
          <w:sz w:val="22"/>
          <w:szCs w:val="22"/>
        </w:rPr>
        <w:t xml:space="preserve"> no niega la competencia para conocer de la información solicitada, sino por el contrario, con la</w:t>
      </w:r>
      <w:r w:rsidR="00223B2E"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respuesta</w:t>
      </w:r>
      <w:r w:rsidR="00223B2E"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pronunciada</w:t>
      </w:r>
      <w:r w:rsidR="00223B2E"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asevera que es competente para conocer de la</w:t>
      </w:r>
      <w:r w:rsidR="00223B2E"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solicitud</w:t>
      </w:r>
      <w:r w:rsidR="00223B2E" w:rsidRPr="00DB09FD">
        <w:rPr>
          <w:rFonts w:ascii="Palatino Linotype" w:eastAsia="Palatino Linotype" w:hAnsi="Palatino Linotype" w:cs="Palatino Linotype"/>
          <w:sz w:val="22"/>
          <w:szCs w:val="22"/>
        </w:rPr>
        <w:t>es</w:t>
      </w:r>
      <w:r w:rsidRPr="00DB09FD">
        <w:rPr>
          <w:rFonts w:ascii="Palatino Linotype" w:eastAsia="Palatino Linotype" w:hAnsi="Palatino Linotype" w:cs="Palatino Linotype"/>
          <w:sz w:val="22"/>
          <w:szCs w:val="22"/>
        </w:rPr>
        <w:t xml:space="preserve"> de información</w:t>
      </w:r>
      <w:r w:rsidRPr="00DB09FD">
        <w:rPr>
          <w:rFonts w:ascii="Palatino Linotype" w:eastAsia="Palatino Linotype" w:hAnsi="Palatino Linotype" w:cs="Palatino Linotype"/>
          <w:i/>
          <w:sz w:val="22"/>
          <w:szCs w:val="22"/>
        </w:rPr>
        <w:t xml:space="preserve">, </w:t>
      </w:r>
      <w:r w:rsidRPr="00DB09FD">
        <w:rPr>
          <w:rFonts w:ascii="Palatino Linotype" w:eastAsia="Palatino Linotype" w:hAnsi="Palatino Linotype" w:cs="Palatino Linotype"/>
          <w:sz w:val="22"/>
          <w:szCs w:val="22"/>
        </w:rPr>
        <w:t xml:space="preserve">lo anterior es así, ya que el estudio enunciado tiene por objeto determinar si </w:t>
      </w:r>
      <w:r w:rsidRPr="00DB09FD">
        <w:rPr>
          <w:rFonts w:ascii="Palatino Linotype" w:hAnsi="Palatino Linotype"/>
          <w:sz w:val="22"/>
          <w:szCs w:val="22"/>
        </w:rPr>
        <w:t>los</w:t>
      </w:r>
      <w:r w:rsidRPr="00DB09FD">
        <w:rPr>
          <w:rFonts w:ascii="Palatino Linotype" w:eastAsia="Palatino Linotype" w:hAnsi="Palatino Linotype" w:cs="Palatino Linotype"/>
          <w:sz w:val="22"/>
          <w:szCs w:val="22"/>
        </w:rPr>
        <w:t xml:space="preserve"> Sujeto</w:t>
      </w:r>
      <w:r w:rsidRPr="00DB09FD">
        <w:rPr>
          <w:rFonts w:ascii="Palatino Linotype" w:hAnsi="Palatino Linotype"/>
          <w:sz w:val="22"/>
          <w:szCs w:val="22"/>
        </w:rPr>
        <w:t>s</w:t>
      </w:r>
      <w:r w:rsidRPr="00DB09FD">
        <w:rPr>
          <w:rFonts w:ascii="Palatino Linotype" w:eastAsia="Palatino Linotype" w:hAnsi="Palatino Linotype" w:cs="Palatino Linotype"/>
          <w:sz w:val="22"/>
          <w:szCs w:val="22"/>
        </w:rPr>
        <w:t xml:space="preserve"> Obligado</w:t>
      </w:r>
      <w:r w:rsidRPr="00DB09FD">
        <w:rPr>
          <w:rFonts w:ascii="Palatino Linotype" w:hAnsi="Palatino Linotype"/>
          <w:sz w:val="22"/>
          <w:szCs w:val="22"/>
        </w:rPr>
        <w:t>s</w:t>
      </w:r>
      <w:r w:rsidRPr="00DB09FD">
        <w:rPr>
          <w:rFonts w:ascii="Palatino Linotype" w:eastAsia="Palatino Linotype" w:hAnsi="Palatino Linotype" w:cs="Palatino Linotype"/>
          <w:sz w:val="22"/>
          <w:szCs w:val="22"/>
        </w:rPr>
        <w:t xml:space="preserve"> generan, poseen o administran  la información solicitada, sin embargo, en aquellos casos en que </w:t>
      </w:r>
      <w:r w:rsidRPr="00DB09FD">
        <w:rPr>
          <w:rFonts w:ascii="Palatino Linotype" w:hAnsi="Palatino Linotype"/>
          <w:sz w:val="22"/>
          <w:szCs w:val="22"/>
        </w:rPr>
        <w:t>e</w:t>
      </w:r>
      <w:r w:rsidRPr="00DB09FD">
        <w:rPr>
          <w:rFonts w:ascii="Palatino Linotype" w:eastAsia="Palatino Linotype" w:hAnsi="Palatino Linotype" w:cs="Palatino Linotype"/>
          <w:sz w:val="22"/>
          <w:szCs w:val="22"/>
        </w:rPr>
        <w:t>st</w:t>
      </w:r>
      <w:r w:rsidRPr="00DB09FD">
        <w:rPr>
          <w:rFonts w:ascii="Palatino Linotype" w:hAnsi="Palatino Linotype"/>
          <w:sz w:val="22"/>
          <w:szCs w:val="22"/>
        </w:rPr>
        <w:t xml:space="preserve">os </w:t>
      </w:r>
      <w:r w:rsidRPr="00DB09FD">
        <w:rPr>
          <w:rFonts w:ascii="Palatino Linotype" w:eastAsia="Palatino Linotype" w:hAnsi="Palatino Linotype" w:cs="Palatino Linotype"/>
          <w:sz w:val="22"/>
          <w:szCs w:val="22"/>
        </w:rPr>
        <w:t>ha</w:t>
      </w:r>
      <w:r w:rsidRPr="00DB09FD">
        <w:rPr>
          <w:rFonts w:ascii="Palatino Linotype" w:hAnsi="Palatino Linotype"/>
          <w:sz w:val="22"/>
          <w:szCs w:val="22"/>
        </w:rPr>
        <w:t>n</w:t>
      </w:r>
      <w:r w:rsidRPr="00DB09FD">
        <w:rPr>
          <w:rFonts w:ascii="Palatino Linotype" w:eastAsia="Palatino Linotype" w:hAnsi="Palatino Linotype" w:cs="Palatino Linotype"/>
          <w:sz w:val="22"/>
          <w:szCs w:val="22"/>
        </w:rPr>
        <w:t xml:space="preserve"> asumido </w:t>
      </w:r>
      <w:r w:rsidRPr="00DB09FD">
        <w:rPr>
          <w:rFonts w:ascii="Palatino Linotype" w:eastAsia="Palatino Linotype" w:hAnsi="Palatino Linotype" w:cs="Palatino Linotype"/>
          <w:b/>
          <w:sz w:val="22"/>
          <w:szCs w:val="22"/>
        </w:rPr>
        <w:t>la competencia</w:t>
      </w:r>
      <w:r w:rsidRPr="00DB09FD">
        <w:rPr>
          <w:rFonts w:ascii="Palatino Linotype" w:eastAsia="Palatino Linotype" w:hAnsi="Palatino Linotype" w:cs="Palatino Linotype"/>
          <w:sz w:val="22"/>
          <w:szCs w:val="22"/>
        </w:rPr>
        <w:t xml:space="preserve">, sería ocioso y a nada práctico nos conduciría su estudio, ya que, se insiste, el ente obligado </w:t>
      </w:r>
      <w:r w:rsidRPr="00DB09FD">
        <w:rPr>
          <w:rFonts w:ascii="Palatino Linotype" w:eastAsia="Palatino Linotype" w:hAnsi="Palatino Linotype" w:cs="Palatino Linotype"/>
          <w:b/>
          <w:sz w:val="22"/>
          <w:szCs w:val="22"/>
          <w:u w:val="single"/>
        </w:rPr>
        <w:t>asumió la competencia referida</w:t>
      </w:r>
      <w:r w:rsidRPr="00DB09FD">
        <w:rPr>
          <w:rFonts w:ascii="Palatino Linotype" w:eastAsia="Palatino Linotype" w:hAnsi="Palatino Linotype" w:cs="Palatino Linotype"/>
          <w:sz w:val="22"/>
          <w:szCs w:val="22"/>
        </w:rPr>
        <w:t>, motivo por el cual se actualiza el supuesto previsto en el artículo 12 de la legislación aplicable en la materia, citado con antelación.</w:t>
      </w:r>
    </w:p>
    <w:p w14:paraId="63413987" w14:textId="66893EDD" w:rsidR="002D01B9" w:rsidRPr="00DB09FD" w:rsidRDefault="002D01B9" w:rsidP="002D01B9">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 xml:space="preserve">Asimismo, es imprescindible mencionar que el </w:t>
      </w:r>
      <w:r w:rsidRPr="00DB09FD">
        <w:rPr>
          <w:rFonts w:ascii="Palatino Linotype" w:eastAsia="Palatino Linotype" w:hAnsi="Palatino Linotype" w:cs="Palatino Linotype"/>
          <w:b/>
          <w:sz w:val="22"/>
          <w:szCs w:val="22"/>
        </w:rPr>
        <w:t xml:space="preserve">Sujeto Obligado, </w:t>
      </w:r>
      <w:r w:rsidRPr="00DB09FD">
        <w:rPr>
          <w:rFonts w:ascii="Palatino Linotype" w:eastAsia="Palatino Linotype" w:hAnsi="Palatino Linotype" w:cs="Palatino Linotype"/>
          <w:sz w:val="22"/>
          <w:szCs w:val="22"/>
        </w:rPr>
        <w:t xml:space="preserve">por conducto de la Tesorería, como </w:t>
      </w:r>
      <w:r w:rsidR="00A254F7" w:rsidRPr="00DB09FD">
        <w:rPr>
          <w:rFonts w:ascii="Palatino Linotype" w:eastAsia="Palatino Linotype" w:hAnsi="Palatino Linotype" w:cs="Palatino Linotype"/>
          <w:sz w:val="22"/>
          <w:szCs w:val="22"/>
        </w:rPr>
        <w:t>área responsable</w:t>
      </w:r>
      <w:r w:rsidRPr="00DB09FD">
        <w:rPr>
          <w:rFonts w:ascii="Palatino Linotype" w:eastAsia="Palatino Linotype" w:hAnsi="Palatino Linotype" w:cs="Palatino Linotype"/>
          <w:sz w:val="22"/>
          <w:szCs w:val="22"/>
        </w:rPr>
        <w:t xml:space="preserve"> del presupuesto del Sistema Municipal, y de la administración de los recursos que conforman el patrimonio del organismo y de llevar los libros y registros contables, financieros y administrativos de los </w:t>
      </w:r>
      <w:r w:rsidR="00A254F7" w:rsidRPr="00DB09FD">
        <w:rPr>
          <w:rFonts w:ascii="Palatino Linotype" w:eastAsia="Palatino Linotype" w:hAnsi="Palatino Linotype" w:cs="Palatino Linotype"/>
          <w:sz w:val="22"/>
          <w:szCs w:val="22"/>
        </w:rPr>
        <w:t>ingresos, egresos e inventarios, asumió</w:t>
      </w:r>
      <w:r w:rsidRPr="00DB09FD">
        <w:rPr>
          <w:rFonts w:ascii="Palatino Linotype" w:eastAsia="Palatino Linotype" w:hAnsi="Palatino Linotype" w:cs="Palatino Linotype"/>
          <w:sz w:val="22"/>
          <w:szCs w:val="22"/>
        </w:rPr>
        <w:t xml:space="preserve"> la existencia de la información peticionada, tan es así que solicit</w:t>
      </w:r>
      <w:r w:rsidR="00A254F7" w:rsidRPr="00DB09FD">
        <w:rPr>
          <w:rFonts w:ascii="Palatino Linotype" w:eastAsia="Palatino Linotype" w:hAnsi="Palatino Linotype" w:cs="Palatino Linotype"/>
          <w:sz w:val="22"/>
          <w:szCs w:val="22"/>
        </w:rPr>
        <w:t>ó</w:t>
      </w:r>
      <w:r w:rsidRPr="00DB09FD">
        <w:rPr>
          <w:rFonts w:ascii="Palatino Linotype" w:eastAsia="Palatino Linotype" w:hAnsi="Palatino Linotype" w:cs="Palatino Linotype"/>
          <w:sz w:val="22"/>
          <w:szCs w:val="22"/>
        </w:rPr>
        <w:t xml:space="preserve"> a la persona solicitante realizar el pago de derechos correspondientes a efecto de entregar información, en consecuencia, se asume que cuentan con la información y por ende se obvia el análisis de las atribuciones del </w:t>
      </w:r>
      <w:r w:rsidRPr="00DB09FD">
        <w:rPr>
          <w:rFonts w:ascii="Palatino Linotype" w:eastAsia="Palatino Linotype" w:hAnsi="Palatino Linotype" w:cs="Palatino Linotype"/>
          <w:b/>
          <w:sz w:val="22"/>
          <w:szCs w:val="22"/>
        </w:rPr>
        <w:t>Sujeto Obligado</w:t>
      </w:r>
      <w:r w:rsidRPr="00DB09FD">
        <w:rPr>
          <w:rFonts w:ascii="Palatino Linotype" w:eastAsia="Palatino Linotype" w:hAnsi="Palatino Linotype" w:cs="Palatino Linotype"/>
          <w:sz w:val="22"/>
          <w:szCs w:val="22"/>
        </w:rPr>
        <w:t xml:space="preserve"> para contar con la misma.</w:t>
      </w:r>
    </w:p>
    <w:p w14:paraId="5848D98A" w14:textId="1D609277" w:rsidR="002D01B9" w:rsidRPr="00DB09FD" w:rsidRDefault="002D01B9" w:rsidP="002D01B9">
      <w:pPr>
        <w:spacing w:before="240" w:after="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 xml:space="preserve">En segundo término, resulta indispensable consultar </w:t>
      </w:r>
      <w:r w:rsidR="007A20B2" w:rsidRPr="00DB09FD">
        <w:rPr>
          <w:rFonts w:ascii="Palatino Linotype" w:eastAsia="Palatino Linotype" w:hAnsi="Palatino Linotype" w:cs="Palatino Linotype"/>
          <w:sz w:val="22"/>
          <w:szCs w:val="22"/>
        </w:rPr>
        <w:t>los</w:t>
      </w:r>
      <w:r w:rsidRPr="00DB09FD">
        <w:rPr>
          <w:rFonts w:ascii="Palatino Linotype" w:eastAsia="Palatino Linotype" w:hAnsi="Palatino Linotype" w:cs="Palatino Linotype"/>
          <w:sz w:val="22"/>
          <w:szCs w:val="22"/>
        </w:rPr>
        <w:t xml:space="preserve"> formato</w:t>
      </w:r>
      <w:r w:rsidR="007A20B2"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de</w:t>
      </w:r>
      <w:r w:rsidR="003D107E" w:rsidRPr="00DB09FD">
        <w:rPr>
          <w:rFonts w:ascii="Palatino Linotype" w:eastAsia="Palatino Linotype" w:hAnsi="Palatino Linotype" w:cs="Palatino Linotype"/>
          <w:sz w:val="22"/>
          <w:szCs w:val="22"/>
        </w:rPr>
        <w:t xml:space="preserve"> las</w:t>
      </w:r>
      <w:r w:rsidRPr="00DB09FD">
        <w:rPr>
          <w:rFonts w:ascii="Palatino Linotype" w:eastAsia="Palatino Linotype" w:hAnsi="Palatino Linotype" w:cs="Palatino Linotype"/>
          <w:sz w:val="22"/>
          <w:szCs w:val="22"/>
        </w:rPr>
        <w:t xml:space="preserve"> solicitud</w:t>
      </w:r>
      <w:r w:rsidR="003D107E" w:rsidRPr="00DB09FD">
        <w:rPr>
          <w:rFonts w:ascii="Palatino Linotype" w:eastAsia="Palatino Linotype" w:hAnsi="Palatino Linotype" w:cs="Palatino Linotype"/>
          <w:sz w:val="22"/>
          <w:szCs w:val="22"/>
        </w:rPr>
        <w:t>es</w:t>
      </w:r>
      <w:r w:rsidRPr="00DB09FD">
        <w:rPr>
          <w:rFonts w:ascii="Palatino Linotype" w:eastAsia="Palatino Linotype" w:hAnsi="Palatino Linotype" w:cs="Palatino Linotype"/>
          <w:sz w:val="22"/>
          <w:szCs w:val="22"/>
        </w:rPr>
        <w:t xml:space="preserve"> de acceso a la información pública para determinar la modalidad a través de la cual se eligió la entrega de la información por parte de la persona solicitante, por lo que en el expediente electrónico se halló lo siguiente:</w:t>
      </w:r>
    </w:p>
    <w:p w14:paraId="327C4CA8" w14:textId="43A50565" w:rsidR="00F42ED7" w:rsidRPr="00DB09FD" w:rsidRDefault="00F42ED7" w:rsidP="002D01B9">
      <w:pPr>
        <w:spacing w:before="240" w:after="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noProof/>
          <w:sz w:val="22"/>
          <w:szCs w:val="22"/>
        </w:rPr>
        <w:drawing>
          <wp:inline distT="0" distB="0" distL="0" distR="0" wp14:anchorId="2CCCC4FD" wp14:editId="5B99EAAA">
            <wp:extent cx="5612130" cy="214185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141855"/>
                    </a:xfrm>
                    <a:prstGeom prst="rect">
                      <a:avLst/>
                    </a:prstGeom>
                  </pic:spPr>
                </pic:pic>
              </a:graphicData>
            </a:graphic>
          </wp:inline>
        </w:drawing>
      </w:r>
    </w:p>
    <w:p w14:paraId="521B4CA1" w14:textId="44B02634" w:rsidR="007A20B2" w:rsidRPr="00DB09FD" w:rsidRDefault="007A20B2" w:rsidP="002D01B9">
      <w:pPr>
        <w:spacing w:before="240" w:after="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noProof/>
          <w:sz w:val="22"/>
          <w:szCs w:val="22"/>
        </w:rPr>
        <w:drawing>
          <wp:inline distT="0" distB="0" distL="0" distR="0" wp14:anchorId="34B6805E" wp14:editId="04AA5387">
            <wp:extent cx="5612130" cy="20828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082800"/>
                    </a:xfrm>
                    <a:prstGeom prst="rect">
                      <a:avLst/>
                    </a:prstGeom>
                  </pic:spPr>
                </pic:pic>
              </a:graphicData>
            </a:graphic>
          </wp:inline>
        </w:drawing>
      </w:r>
    </w:p>
    <w:p w14:paraId="75215C77" w14:textId="77280CE3" w:rsidR="002D01B9" w:rsidRPr="00DB09FD" w:rsidRDefault="002D01B9" w:rsidP="002D01B9">
      <w:pPr>
        <w:spacing w:before="240" w:after="240" w:line="360" w:lineRule="auto"/>
        <w:jc w:val="both"/>
        <w:rPr>
          <w:rFonts w:ascii="Palatino Linotype" w:hAnsi="Palatino Linotype"/>
          <w:sz w:val="22"/>
          <w:szCs w:val="22"/>
        </w:rPr>
      </w:pPr>
      <w:r w:rsidRPr="00DB09FD">
        <w:rPr>
          <w:rFonts w:ascii="Palatino Linotype" w:eastAsia="Palatino Linotype" w:hAnsi="Palatino Linotype" w:cs="Palatino Linotype"/>
          <w:sz w:val="22"/>
          <w:szCs w:val="22"/>
        </w:rPr>
        <w:t>Como se puede observar de la</w:t>
      </w:r>
      <w:r w:rsidR="007A20B2"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w:t>
      </w:r>
      <w:r w:rsidR="007A20B2" w:rsidRPr="00DB09FD">
        <w:rPr>
          <w:rFonts w:ascii="Palatino Linotype" w:eastAsia="Palatino Linotype" w:hAnsi="Palatino Linotype" w:cs="Palatino Linotype"/>
          <w:sz w:val="22"/>
          <w:szCs w:val="22"/>
        </w:rPr>
        <w:t>imágenes</w:t>
      </w:r>
      <w:r w:rsidRPr="00DB09FD">
        <w:rPr>
          <w:rFonts w:ascii="Palatino Linotype" w:eastAsia="Palatino Linotype" w:hAnsi="Palatino Linotype" w:cs="Palatino Linotype"/>
          <w:sz w:val="22"/>
          <w:szCs w:val="22"/>
        </w:rPr>
        <w:t xml:space="preserve"> inserta</w:t>
      </w:r>
      <w:r w:rsidR="007A20B2"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la persona solicitante requirió la entrega del soporte documental </w:t>
      </w:r>
      <w:r w:rsidRPr="00DB09FD">
        <w:rPr>
          <w:rFonts w:ascii="Palatino Linotype" w:hAnsi="Palatino Linotype"/>
          <w:sz w:val="22"/>
          <w:szCs w:val="22"/>
        </w:rPr>
        <w:t xml:space="preserve">información a través del sistema SAIMEX, </w:t>
      </w:r>
      <w:r w:rsidRPr="00DB09FD">
        <w:rPr>
          <w:rFonts w:ascii="Palatino Linotype" w:eastAsia="Palatino Linotype" w:hAnsi="Palatino Linotype" w:cs="Palatino Linotype"/>
          <w:sz w:val="22"/>
          <w:szCs w:val="22"/>
        </w:rPr>
        <w:t xml:space="preserve">por lo tanto, es evidente que </w:t>
      </w:r>
      <w:r w:rsidRPr="00DB09FD">
        <w:rPr>
          <w:rFonts w:ascii="Palatino Linotype" w:hAnsi="Palatino Linotype"/>
          <w:sz w:val="22"/>
          <w:szCs w:val="22"/>
        </w:rPr>
        <w:t xml:space="preserve">las razones o motivos de inconformidad alegados devienen fundados en razón de que no le fue proporcionada la información que requirió, a pesar de haber reconocido el </w:t>
      </w:r>
      <w:r w:rsidRPr="00DB09FD">
        <w:rPr>
          <w:rFonts w:ascii="Palatino Linotype" w:eastAsia="Palatino Linotype" w:hAnsi="Palatino Linotype" w:cs="Palatino Linotype"/>
          <w:b/>
          <w:sz w:val="22"/>
          <w:szCs w:val="22"/>
        </w:rPr>
        <w:t>Sujeto Obligado</w:t>
      </w:r>
      <w:r w:rsidRPr="00DB09FD">
        <w:rPr>
          <w:rFonts w:ascii="Palatino Linotype" w:hAnsi="Palatino Linotype"/>
          <w:sz w:val="22"/>
          <w:szCs w:val="22"/>
        </w:rPr>
        <w:t>, de manera expresa, que cuenta con ella, por tal motivo el Derecho de acceso no pude tenerse por colmado, toda vez que se condicionó la entrega de dicha información a la realización de un pago.</w:t>
      </w:r>
    </w:p>
    <w:p w14:paraId="1BE5378B" w14:textId="77777777" w:rsidR="002D01B9" w:rsidRPr="00DB09FD" w:rsidRDefault="002D01B9" w:rsidP="002D01B9">
      <w:pPr>
        <w:spacing w:before="240" w:after="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Atento a lo anterior, es oportuno referir que la Ley de Transparencia y Acceso a la Información Pública del Estado de México y Municipios, en el artículo 155 fracción V, dispone que para presentar solicitud de acceso a la información se deberá atender lo dispuesto en el mismo, resaltando que deberá indicarse la modalidad en la que prefiere se otorgue la información, la cual podrá ser verbal, siempre y cuando sea para fines de orientación, mediante consulta directa, mediante la expedición de copias simples o certificadas o la reproducción en cualquier otro medio, incluidos los electrónicos, que en el caso, en la entidad, el Órgano Garante determinó en el formato de solicitud, que podría ser SAIMEX, CD-Rom (con costo), copias simples (con costo), copias certificadas (con costo), consulta directa (sin costo), o bien, cualquier otro que determine el particular.</w:t>
      </w:r>
    </w:p>
    <w:p w14:paraId="4390A224" w14:textId="77777777" w:rsidR="002D01B9" w:rsidRPr="00DB09FD" w:rsidRDefault="002D01B9" w:rsidP="002D01B9">
      <w:pPr>
        <w:spacing w:before="240" w:after="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Por su parte, el artículo 164 de la Ley de Transparencia y Acceso a la Información Pública del Estado de México y Municipios, establece lo que es de la literalidad siguiente:</w:t>
      </w:r>
    </w:p>
    <w:p w14:paraId="1EA92655" w14:textId="77777777" w:rsidR="002D01B9" w:rsidRPr="00DB09FD" w:rsidRDefault="002D01B9" w:rsidP="002D01B9">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 xml:space="preserve"> “</w:t>
      </w:r>
      <w:r w:rsidRPr="00DB09FD">
        <w:rPr>
          <w:rFonts w:ascii="Palatino Linotype" w:eastAsia="Palatino Linotype" w:hAnsi="Palatino Linotype" w:cs="Palatino Linotype"/>
          <w:b/>
          <w:i/>
          <w:sz w:val="22"/>
          <w:szCs w:val="22"/>
        </w:rPr>
        <w:t>Artículo 164</w:t>
      </w:r>
      <w:r w:rsidRPr="00DB09FD">
        <w:rPr>
          <w:rFonts w:ascii="Palatino Linotype" w:eastAsia="Palatino Linotype" w:hAnsi="Palatino Linotype" w:cs="Palatino Linotype"/>
          <w:i/>
          <w:sz w:val="22"/>
          <w:szCs w:val="22"/>
        </w:rPr>
        <w:t xml:space="preserve">. </w:t>
      </w:r>
      <w:r w:rsidRPr="00DB09FD">
        <w:rPr>
          <w:rFonts w:ascii="Palatino Linotype" w:eastAsia="Palatino Linotype" w:hAnsi="Palatino Linotype" w:cs="Palatino Linotype"/>
          <w:b/>
          <w:i/>
          <w:sz w:val="22"/>
          <w:szCs w:val="22"/>
        </w:rPr>
        <w:t>El acceso se dará en la modalidad de entrega y, en su caso, de envío elegidos por el solicitante</w:t>
      </w:r>
      <w:r w:rsidRPr="00DB09FD">
        <w:rPr>
          <w:rFonts w:ascii="Palatino Linotype" w:eastAsia="Palatino Linotype" w:hAnsi="Palatino Linotype" w:cs="Palatino Linotype"/>
          <w:i/>
          <w:sz w:val="22"/>
          <w:szCs w:val="22"/>
        </w:rPr>
        <w:t>. Cuando la información no pueda entregarse o enviarse en la modalidad solicitada, el sujeto obligado deberá ofrecer otra u otras modalidades de entrega.</w:t>
      </w:r>
    </w:p>
    <w:p w14:paraId="5A3049E4" w14:textId="77777777" w:rsidR="002D01B9" w:rsidRPr="00DB09FD" w:rsidRDefault="002D01B9" w:rsidP="002D01B9">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En cualquier caso, se deberá fundar y motivar la necesidad de ofrecer otras modalidades.”</w:t>
      </w:r>
    </w:p>
    <w:p w14:paraId="098FA6D1" w14:textId="090960F6" w:rsidR="002D01B9" w:rsidRPr="00DB09FD" w:rsidRDefault="002D01B9" w:rsidP="002D01B9">
      <w:pPr>
        <w:spacing w:before="240" w:after="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De modo, que el acceso a la información debe darse en la modalidad de entrega elegida por la persona solicitante, y sólo para los casos en que se encuentren impedidos los Sujetos Obligados podrán ofrecer otra u otras modalidades debiendo fundar y motivar adecuadamente el cambio de modalidad en la entrega de la información.</w:t>
      </w:r>
    </w:p>
    <w:p w14:paraId="66FF647C" w14:textId="77777777" w:rsidR="002D01B9" w:rsidRPr="00DB09FD" w:rsidRDefault="002D01B9" w:rsidP="002D01B9">
      <w:pPr>
        <w:spacing w:before="240" w:after="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 xml:space="preserve">En los mismos términos, el artículo 16 de la Constitución Política de los Estados Unidos Mexicanos, exige que todo acto de autoridad debe de estar debidamente fundado y motivado, en el que se exprese el precepto legal aplicable al caso, además de señalarse las circunstancias, razones particulares o causas inmediatas que se hayan tenido en cuenta para la emisión del acto. </w:t>
      </w:r>
    </w:p>
    <w:p w14:paraId="6EBECA9A" w14:textId="77777777" w:rsidR="002D01B9" w:rsidRPr="00DB09FD" w:rsidRDefault="002D01B9" w:rsidP="002D01B9">
      <w:pPr>
        <w:spacing w:before="240" w:after="240" w:line="360" w:lineRule="auto"/>
        <w:jc w:val="both"/>
        <w:rPr>
          <w:rFonts w:ascii="Palatino Linotype" w:hAnsi="Palatino Linotype"/>
          <w:sz w:val="22"/>
          <w:szCs w:val="22"/>
        </w:rPr>
      </w:pPr>
      <w:r w:rsidRPr="00DB09FD">
        <w:rPr>
          <w:rFonts w:ascii="Palatino Linotype" w:hAnsi="Palatino Linotype"/>
          <w:sz w:val="22"/>
          <w:szCs w:val="22"/>
        </w:rPr>
        <w:t>Asimismo, debemos partir de la premisa de que el ejercicio del derecho de acceso a la información, conlleva la observancia de  principios rectores que consisten en las bases, fundamentos o los parámetros fundamentales que permitan el ejercicio de la garantía que posee toda persona para atraerse de información, informar y ser informada, estableciéndose de manera genérica, los principios de acceso universal, de máxima publicidad, de</w:t>
      </w:r>
      <w:r w:rsidRPr="00DB09FD">
        <w:rPr>
          <w:rFonts w:ascii="Palatino Linotype" w:hAnsi="Palatino Linotype"/>
          <w:b/>
          <w:i/>
          <w:sz w:val="22"/>
          <w:szCs w:val="22"/>
        </w:rPr>
        <w:t xml:space="preserve"> gratuidad</w:t>
      </w:r>
      <w:r w:rsidRPr="00DB09FD">
        <w:rPr>
          <w:rFonts w:ascii="Palatino Linotype" w:hAnsi="Palatino Linotype"/>
          <w:sz w:val="22"/>
          <w:szCs w:val="22"/>
        </w:rPr>
        <w:t>, de certeza, de celeridad, de objetividad,  entre otros.</w:t>
      </w:r>
    </w:p>
    <w:p w14:paraId="286F62D1" w14:textId="77777777" w:rsidR="002D01B9" w:rsidRPr="00DB09FD" w:rsidRDefault="002D01B9" w:rsidP="002D01B9">
      <w:pPr>
        <w:spacing w:before="240" w:after="240" w:line="360" w:lineRule="auto"/>
        <w:jc w:val="both"/>
        <w:rPr>
          <w:rFonts w:ascii="Palatino Linotype" w:hAnsi="Palatino Linotype"/>
          <w:sz w:val="22"/>
          <w:szCs w:val="22"/>
        </w:rPr>
      </w:pPr>
      <w:r w:rsidRPr="00DB09FD">
        <w:rPr>
          <w:rFonts w:ascii="Palatino Linotype" w:hAnsi="Palatino Linotype"/>
          <w:sz w:val="22"/>
          <w:szCs w:val="22"/>
        </w:rPr>
        <w:t>Así, a través del principio de gratuidad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w:t>
      </w:r>
    </w:p>
    <w:p w14:paraId="542EC2EB" w14:textId="77777777" w:rsidR="002D01B9" w:rsidRPr="00DB09FD" w:rsidRDefault="002D01B9" w:rsidP="002D01B9">
      <w:pPr>
        <w:spacing w:before="240" w:after="240" w:line="360" w:lineRule="auto"/>
        <w:jc w:val="both"/>
        <w:rPr>
          <w:rFonts w:ascii="Palatino Linotype" w:hAnsi="Palatino Linotype" w:cs="Arial"/>
          <w:sz w:val="22"/>
          <w:szCs w:val="22"/>
          <w:lang w:val="es-ES_tradnl"/>
        </w:rPr>
      </w:pPr>
      <w:r w:rsidRPr="00DB09FD">
        <w:rPr>
          <w:rFonts w:ascii="Palatino Linotype" w:hAnsi="Palatino Linotype"/>
          <w:sz w:val="22"/>
          <w:szCs w:val="22"/>
        </w:rPr>
        <w:t xml:space="preserve">En razón de este principio, se instituye que la consulta de documentos o información en el sitio donde se encontrare no tendrá costo alguno; asimismo, los costos por obtener información no podrán ser superiores a la suma del costo de los materiales utilizados para la </w:t>
      </w:r>
      <w:r w:rsidRPr="00DB09FD">
        <w:rPr>
          <w:rFonts w:ascii="Palatino Linotype" w:hAnsi="Palatino Linotype"/>
          <w:b/>
          <w:i/>
          <w:sz w:val="22"/>
          <w:szCs w:val="22"/>
        </w:rPr>
        <w:t xml:space="preserve">reproducción </w:t>
      </w:r>
      <w:r w:rsidRPr="00DB09FD">
        <w:rPr>
          <w:rFonts w:ascii="Palatino Linotype" w:hAnsi="Palatino Linotype"/>
          <w:sz w:val="22"/>
          <w:szCs w:val="22"/>
        </w:rPr>
        <w:t xml:space="preserve">de la información, y en su caso del costo de </w:t>
      </w:r>
      <w:r w:rsidRPr="00DB09FD">
        <w:rPr>
          <w:rFonts w:ascii="Palatino Linotype" w:hAnsi="Palatino Linotype"/>
          <w:b/>
          <w:i/>
          <w:sz w:val="22"/>
          <w:szCs w:val="22"/>
        </w:rPr>
        <w:t>envío</w:t>
      </w:r>
      <w:r w:rsidRPr="00DB09FD">
        <w:rPr>
          <w:rFonts w:ascii="Palatino Linotype" w:hAnsi="Palatino Linotype"/>
          <w:sz w:val="22"/>
          <w:szCs w:val="22"/>
        </w:rPr>
        <w:t>, finalmente, conlleva implícitamente un esfuerzo por parte de los Sujetos Obligados para reducir los costos de entrega de la información.</w:t>
      </w:r>
    </w:p>
    <w:p w14:paraId="20F886CB" w14:textId="77777777" w:rsidR="002D01B9" w:rsidRPr="00DB09FD" w:rsidRDefault="002D01B9" w:rsidP="002D01B9">
      <w:pPr>
        <w:spacing w:before="240" w:after="240" w:line="360" w:lineRule="auto"/>
        <w:jc w:val="both"/>
        <w:rPr>
          <w:rFonts w:ascii="Palatino Linotype" w:hAnsi="Palatino Linotype" w:cs="Arial"/>
          <w:sz w:val="22"/>
          <w:szCs w:val="22"/>
        </w:rPr>
      </w:pPr>
      <w:r w:rsidRPr="00DB09FD">
        <w:rPr>
          <w:rFonts w:ascii="Palatino Linotype" w:hAnsi="Palatino Linotype"/>
          <w:sz w:val="22"/>
          <w:szCs w:val="22"/>
        </w:rPr>
        <w:t xml:space="preserve">Atento a lo anterior, nuestra Carta Magna, así como la Constitución Política de nuestro Estado, contemplan el ejercicio del derecho de acceso a la información bajo el principio de gratuidad, </w:t>
      </w:r>
      <w:r w:rsidRPr="00DB09FD">
        <w:rPr>
          <w:rFonts w:ascii="Palatino Linotype" w:hAnsi="Palatino Linotype" w:cs="Arial"/>
          <w:sz w:val="22"/>
          <w:szCs w:val="22"/>
        </w:rPr>
        <w:t>garantizando la protección a un derecho fundamental que tienen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14:paraId="7957CFEB" w14:textId="77777777" w:rsidR="002D01B9" w:rsidRPr="00DB09FD" w:rsidRDefault="002D01B9" w:rsidP="002D01B9">
      <w:pPr>
        <w:spacing w:before="240" w:after="240" w:line="360" w:lineRule="auto"/>
        <w:jc w:val="both"/>
        <w:rPr>
          <w:rFonts w:ascii="Palatino Linotype" w:hAnsi="Palatino Linotype" w:cs="Arial"/>
          <w:sz w:val="22"/>
          <w:szCs w:val="22"/>
        </w:rPr>
      </w:pPr>
      <w:r w:rsidRPr="00DB09FD">
        <w:rPr>
          <w:rFonts w:ascii="Palatino Linotype" w:hAnsi="Palatino Linotype"/>
          <w:sz w:val="22"/>
          <w:szCs w:val="22"/>
        </w:rPr>
        <w:t xml:space="preserve">Por otra parte, la Ley </w:t>
      </w:r>
      <w:r w:rsidRPr="00DB09FD">
        <w:rPr>
          <w:rFonts w:ascii="Palatino Linotype" w:hAnsi="Palatino Linotype" w:cs="Arial"/>
          <w:sz w:val="22"/>
          <w:szCs w:val="22"/>
        </w:rPr>
        <w:t xml:space="preserve">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w:t>
      </w:r>
      <w:r w:rsidRPr="00DB09FD">
        <w:rPr>
          <w:rFonts w:ascii="Palatino Linotype" w:hAnsi="Palatino Linotype" w:cs="Arial"/>
          <w:b/>
          <w:i/>
          <w:sz w:val="22"/>
          <w:szCs w:val="22"/>
        </w:rPr>
        <w:t>gratuitos</w:t>
      </w:r>
      <w:r w:rsidRPr="00DB09FD">
        <w:rPr>
          <w:rFonts w:ascii="Palatino Linotype" w:hAnsi="Palatino Linotype" w:cs="Arial"/>
          <w:b/>
          <w:sz w:val="22"/>
          <w:szCs w:val="22"/>
        </w:rPr>
        <w:t xml:space="preserve">, </w:t>
      </w:r>
      <w:r w:rsidRPr="00DB09FD">
        <w:rPr>
          <w:rFonts w:ascii="Palatino Linotype" w:hAnsi="Palatino Linotype" w:cs="Arial"/>
          <w:sz w:val="22"/>
          <w:szCs w:val="22"/>
        </w:rPr>
        <w:t xml:space="preserve"> refiere en los artículos 17 y 150, que la búsqueda y acceso a la información es gratuita y </w:t>
      </w:r>
      <w:r w:rsidRPr="00DB09FD">
        <w:rPr>
          <w:rFonts w:ascii="Palatino Linotype" w:hAnsi="Palatino Linotype" w:cs="Arial"/>
          <w:b/>
          <w:i/>
          <w:sz w:val="22"/>
          <w:szCs w:val="22"/>
        </w:rPr>
        <w:t>sólo se cubrirá en su caso, los gastos de reproducción</w:t>
      </w:r>
      <w:r w:rsidRPr="00DB09FD">
        <w:rPr>
          <w:rFonts w:ascii="Palatino Linotype" w:hAnsi="Palatino Linotype" w:cs="Arial"/>
          <w:sz w:val="22"/>
          <w:szCs w:val="22"/>
        </w:rPr>
        <w:t xml:space="preserve">, </w:t>
      </w:r>
      <w:r w:rsidRPr="00DB09FD">
        <w:rPr>
          <w:rFonts w:ascii="Palatino Linotype" w:hAnsi="Palatino Linotype" w:cs="Arial"/>
          <w:b/>
          <w:i/>
          <w:sz w:val="22"/>
          <w:szCs w:val="22"/>
          <w:u w:val="single"/>
        </w:rPr>
        <w:t>por la modalidad de entrega solicitada</w:t>
      </w:r>
      <w:r w:rsidRPr="00DB09FD">
        <w:rPr>
          <w:rFonts w:ascii="Palatino Linotype" w:hAnsi="Palatino Linotype" w:cs="Arial"/>
          <w:sz w:val="22"/>
          <w:szCs w:val="22"/>
          <w:u w:val="single"/>
        </w:rPr>
        <w:t xml:space="preserve">, </w:t>
      </w:r>
      <w:r w:rsidRPr="00DB09FD">
        <w:rPr>
          <w:rFonts w:ascii="Palatino Linotype" w:hAnsi="Palatino Linotype" w:cs="Arial"/>
          <w:b/>
          <w:i/>
          <w:sz w:val="22"/>
          <w:szCs w:val="22"/>
          <w:u w:val="single"/>
        </w:rPr>
        <w:t>o por el envió</w:t>
      </w:r>
      <w:r w:rsidRPr="00DB09FD">
        <w:rPr>
          <w:rFonts w:ascii="Palatino Linotype" w:hAnsi="Palatino Linotype" w:cs="Arial"/>
          <w:sz w:val="22"/>
          <w:szCs w:val="22"/>
          <w:u w:val="single"/>
        </w:rPr>
        <w:t xml:space="preserve"> </w:t>
      </w:r>
      <w:r w:rsidRPr="00DB09FD">
        <w:rPr>
          <w:rFonts w:ascii="Palatino Linotype" w:hAnsi="Palatino Linotype" w:cs="Arial"/>
          <w:sz w:val="22"/>
          <w:szCs w:val="22"/>
        </w:rPr>
        <w:t xml:space="preserve">de conformidad con los derechos, productos y aprovechamientos establecidos en la legislación aplicable, en razón de que el procedimiento de acceso a la información es la garantía primaria del derecho en cuestión y </w:t>
      </w:r>
      <w:r w:rsidRPr="00DB09FD">
        <w:rPr>
          <w:rFonts w:ascii="Palatino Linotype" w:hAnsi="Palatino Linotype" w:cs="Arial"/>
          <w:i/>
          <w:sz w:val="22"/>
          <w:szCs w:val="22"/>
        </w:rPr>
        <w:t>se rige por los principios de simplicidad, rapidez, gratuidad,</w:t>
      </w:r>
      <w:r w:rsidRPr="00DB09FD">
        <w:rPr>
          <w:rFonts w:ascii="Palatino Linotype" w:hAnsi="Palatino Linotype" w:cs="Arial"/>
          <w:sz w:val="22"/>
          <w:szCs w:val="22"/>
        </w:rPr>
        <w:t xml:space="preserve"> auxilio y orientación a los particulares, en virtud de que constituye el primer paso para integrar activamente a la ciudadanía en la acción gubernamental, toda vez que con la información proporcionada por medio de las políticas de transparencia, los ciudadanos son participes de las acciones realizadas por los entes públicos, lo que favorece la rendición de cuentas.</w:t>
      </w:r>
    </w:p>
    <w:p w14:paraId="38D050B9" w14:textId="77777777" w:rsidR="002D01B9" w:rsidRPr="00DB09FD" w:rsidRDefault="002D01B9" w:rsidP="002D01B9">
      <w:pPr>
        <w:spacing w:before="240" w:after="240" w:line="360" w:lineRule="auto"/>
        <w:jc w:val="both"/>
        <w:rPr>
          <w:rFonts w:ascii="Palatino Linotype" w:hAnsi="Palatino Linotype" w:cs="Arial"/>
          <w:sz w:val="22"/>
          <w:szCs w:val="22"/>
        </w:rPr>
      </w:pPr>
      <w:r w:rsidRPr="00DB09FD">
        <w:rPr>
          <w:rFonts w:ascii="Palatino Linotype" w:hAnsi="Palatino Linotype" w:cs="Arial"/>
          <w:sz w:val="22"/>
          <w:szCs w:val="22"/>
        </w:rPr>
        <w:t xml:space="preserve">En este tenor, por regla general la entrega de la información que se solicite en ejercicio del derecho de acceso a la información pública, deberá ser en congruencia con el principio de gratuidad y solamente en casos excepcionales se procederá al cobro para la entrega de la información, lo cual ocurrirá  </w:t>
      </w:r>
      <w:r w:rsidRPr="00DB09FD">
        <w:rPr>
          <w:rFonts w:ascii="Palatino Linotype" w:hAnsi="Palatino Linotype" w:cs="Arial"/>
          <w:b/>
          <w:i/>
          <w:sz w:val="22"/>
          <w:szCs w:val="22"/>
        </w:rPr>
        <w:t>en caso de que se tenga que generar un gasto por la reproducción, por el envío, o por la modalidad de entrega solicitada,</w:t>
      </w:r>
      <w:r w:rsidRPr="00DB09FD">
        <w:rPr>
          <w:rFonts w:ascii="Palatino Linotype" w:hAnsi="Palatino Linotype" w:cs="Arial"/>
          <w:sz w:val="22"/>
          <w:szCs w:val="22"/>
        </w:rPr>
        <w:t xml:space="preserve"> supuestos que encuadran con lo  establecido en los artículos 9 fracción III, 17, 165, 174, 175 de la Ley de Acceso a la Información Pública del Estado de México y Municipios, así como el artículo 4.22 de su Reglamento.</w:t>
      </w:r>
    </w:p>
    <w:p w14:paraId="2AB5A7D8" w14:textId="77777777" w:rsidR="002D01B9" w:rsidRPr="00DB09FD" w:rsidRDefault="002D01B9" w:rsidP="002D01B9">
      <w:pPr>
        <w:spacing w:before="240" w:after="240" w:line="360" w:lineRule="auto"/>
        <w:jc w:val="both"/>
        <w:rPr>
          <w:rFonts w:ascii="Palatino Linotype" w:hAnsi="Palatino Linotype" w:cs="Arial"/>
          <w:sz w:val="22"/>
          <w:szCs w:val="22"/>
        </w:rPr>
      </w:pPr>
      <w:r w:rsidRPr="00DB09FD">
        <w:rPr>
          <w:rFonts w:ascii="Palatino Linotype" w:hAnsi="Palatino Linotype" w:cs="Arial"/>
          <w:sz w:val="22"/>
          <w:szCs w:val="22"/>
        </w:rPr>
        <w:t xml:space="preserve">No obstante, en el caso concreto, dichos preceptos son interpretados en perjuicio de la solicitante, como se explica enseguida, para lo cual es necesario hacer referencia a los mismos en su parte conducente: </w:t>
      </w:r>
    </w:p>
    <w:p w14:paraId="15F4CCC2" w14:textId="77777777" w:rsidR="002D01B9" w:rsidRPr="00DB09FD" w:rsidRDefault="002D01B9" w:rsidP="002D01B9">
      <w:pPr>
        <w:spacing w:before="120" w:after="120"/>
        <w:ind w:left="851" w:right="902"/>
        <w:jc w:val="both"/>
        <w:rPr>
          <w:rFonts w:ascii="Palatino Linotype" w:eastAsiaTheme="minorEastAsia" w:hAnsi="Palatino Linotype" w:cs="Arial"/>
          <w:i/>
          <w:sz w:val="22"/>
          <w:szCs w:val="22"/>
        </w:rPr>
      </w:pPr>
      <w:r w:rsidRPr="00DB09FD">
        <w:rPr>
          <w:rFonts w:ascii="Palatino Linotype" w:eastAsiaTheme="minorEastAsia" w:hAnsi="Palatino Linotype" w:cs="Arial"/>
          <w:b/>
          <w:bCs/>
          <w:i/>
          <w:sz w:val="22"/>
          <w:szCs w:val="22"/>
        </w:rPr>
        <w:t xml:space="preserve">“Artículo 9. </w:t>
      </w:r>
      <w:r w:rsidRPr="00DB09FD">
        <w:rPr>
          <w:rFonts w:ascii="Palatino Linotype" w:eastAsiaTheme="minorEastAsia" w:hAnsi="Palatino Linotype" w:cs="Arial"/>
          <w:i/>
          <w:sz w:val="22"/>
          <w:szCs w:val="22"/>
        </w:rPr>
        <w:t>El Instituto deberá regir su funcionamiento de acuerdo a los siguientes principios:</w:t>
      </w:r>
    </w:p>
    <w:p w14:paraId="6B5FE64C" w14:textId="77777777" w:rsidR="002D01B9" w:rsidRPr="00DB09FD" w:rsidRDefault="002D01B9" w:rsidP="002D01B9">
      <w:pPr>
        <w:autoSpaceDE w:val="0"/>
        <w:autoSpaceDN w:val="0"/>
        <w:adjustRightInd w:val="0"/>
        <w:spacing w:before="120" w:after="120"/>
        <w:ind w:left="851" w:right="902"/>
        <w:jc w:val="both"/>
        <w:rPr>
          <w:rFonts w:ascii="Palatino Linotype" w:eastAsiaTheme="minorEastAsia" w:hAnsi="Palatino Linotype" w:cs="Arial"/>
          <w:b/>
          <w:bCs/>
          <w:i/>
          <w:sz w:val="22"/>
          <w:szCs w:val="22"/>
        </w:rPr>
      </w:pPr>
      <w:r w:rsidRPr="00DB09FD">
        <w:rPr>
          <w:rFonts w:ascii="Palatino Linotype" w:eastAsiaTheme="minorEastAsia" w:hAnsi="Palatino Linotype" w:cs="Arial"/>
          <w:b/>
          <w:bCs/>
          <w:i/>
          <w:sz w:val="22"/>
          <w:szCs w:val="22"/>
        </w:rPr>
        <w:t>...</w:t>
      </w:r>
    </w:p>
    <w:p w14:paraId="5912D7CF" w14:textId="77777777" w:rsidR="002D01B9" w:rsidRPr="00DB09FD" w:rsidRDefault="002D01B9" w:rsidP="002D01B9">
      <w:pPr>
        <w:autoSpaceDE w:val="0"/>
        <w:autoSpaceDN w:val="0"/>
        <w:adjustRightInd w:val="0"/>
        <w:spacing w:before="120" w:after="120"/>
        <w:ind w:left="851" w:right="902"/>
        <w:jc w:val="both"/>
        <w:rPr>
          <w:rFonts w:ascii="Palatino Linotype" w:eastAsiaTheme="minorEastAsia" w:hAnsi="Palatino Linotype" w:cs="Arial"/>
          <w:i/>
          <w:sz w:val="22"/>
          <w:szCs w:val="22"/>
        </w:rPr>
      </w:pPr>
      <w:r w:rsidRPr="00DB09FD">
        <w:rPr>
          <w:rFonts w:ascii="Palatino Linotype" w:eastAsiaTheme="minorEastAsia" w:hAnsi="Palatino Linotype" w:cs="Arial"/>
          <w:b/>
          <w:bCs/>
          <w:i/>
          <w:sz w:val="22"/>
          <w:szCs w:val="22"/>
        </w:rPr>
        <w:t xml:space="preserve">III. Gratuidad: </w:t>
      </w:r>
      <w:r w:rsidRPr="00DB09FD">
        <w:rPr>
          <w:rFonts w:ascii="Palatino Linotype" w:eastAsiaTheme="minorEastAsia" w:hAnsi="Palatino Linotype" w:cs="Arial"/>
          <w:i/>
          <w:sz w:val="22"/>
          <w:szCs w:val="22"/>
        </w:rPr>
        <w:t xml:space="preserve">Consiste en que el acceso a la información pública no genera costo alguno para los solicitantes, </w:t>
      </w:r>
      <w:r w:rsidRPr="00DB09FD">
        <w:rPr>
          <w:rFonts w:ascii="Palatino Linotype" w:eastAsiaTheme="minorEastAsia" w:hAnsi="Palatino Linotype" w:cs="Arial"/>
          <w:b/>
          <w:i/>
          <w:sz w:val="22"/>
          <w:szCs w:val="22"/>
        </w:rPr>
        <w:t xml:space="preserve">sólo podrá requerirse el cobro correspondiente a la modalidad de reproducción y entrega solicitada </w:t>
      </w:r>
      <w:r w:rsidRPr="00DB09FD">
        <w:rPr>
          <w:rFonts w:ascii="Palatino Linotype" w:eastAsiaTheme="minorEastAsia" w:hAnsi="Palatino Linotype" w:cs="Arial"/>
          <w:i/>
          <w:sz w:val="22"/>
          <w:szCs w:val="22"/>
        </w:rPr>
        <w:t>conforme a lo establecido en la presente Ley y demás disposiciones jurídicas aplicables;</w:t>
      </w:r>
    </w:p>
    <w:p w14:paraId="42EE171C" w14:textId="77777777" w:rsidR="002D01B9" w:rsidRPr="00DB09FD" w:rsidRDefault="002D01B9" w:rsidP="002D01B9">
      <w:pPr>
        <w:autoSpaceDE w:val="0"/>
        <w:autoSpaceDN w:val="0"/>
        <w:adjustRightInd w:val="0"/>
        <w:spacing w:before="120" w:after="120"/>
        <w:ind w:left="851" w:right="902"/>
        <w:jc w:val="both"/>
        <w:rPr>
          <w:rFonts w:ascii="Palatino Linotype" w:eastAsiaTheme="minorEastAsia" w:hAnsi="Palatino Linotype" w:cs="Arial"/>
          <w:i/>
          <w:sz w:val="22"/>
          <w:szCs w:val="22"/>
        </w:rPr>
      </w:pPr>
      <w:r w:rsidRPr="00DB09FD">
        <w:rPr>
          <w:rFonts w:ascii="Palatino Linotype" w:eastAsiaTheme="minorEastAsia" w:hAnsi="Palatino Linotype" w:cs="Arial"/>
          <w:i/>
          <w:sz w:val="22"/>
          <w:szCs w:val="22"/>
        </w:rPr>
        <w:t>(…)</w:t>
      </w:r>
    </w:p>
    <w:p w14:paraId="42F97120" w14:textId="77777777" w:rsidR="002D01B9" w:rsidRPr="00DB09FD" w:rsidRDefault="002D01B9" w:rsidP="002D01B9">
      <w:pPr>
        <w:autoSpaceDE w:val="0"/>
        <w:autoSpaceDN w:val="0"/>
        <w:adjustRightInd w:val="0"/>
        <w:spacing w:before="120" w:after="120"/>
        <w:ind w:left="851" w:right="902"/>
        <w:jc w:val="both"/>
        <w:rPr>
          <w:rFonts w:ascii="Palatino Linotype" w:eastAsiaTheme="minorEastAsia" w:hAnsi="Palatino Linotype" w:cs="Arial"/>
          <w:i/>
          <w:sz w:val="22"/>
          <w:szCs w:val="22"/>
        </w:rPr>
      </w:pPr>
      <w:r w:rsidRPr="00DB09FD">
        <w:rPr>
          <w:rFonts w:ascii="Palatino Linotype" w:eastAsiaTheme="minorEastAsia" w:hAnsi="Palatino Linotype" w:cs="Arial"/>
          <w:b/>
          <w:bCs/>
          <w:i/>
          <w:sz w:val="22"/>
          <w:szCs w:val="22"/>
        </w:rPr>
        <w:t xml:space="preserve">Artículo 17. </w:t>
      </w:r>
      <w:r w:rsidRPr="00DB09FD">
        <w:rPr>
          <w:rFonts w:ascii="Palatino Linotype" w:eastAsiaTheme="minorEastAsia" w:hAnsi="Palatino Linotype" w:cs="Arial"/>
          <w:i/>
          <w:sz w:val="22"/>
          <w:szCs w:val="22"/>
        </w:rPr>
        <w:t xml:space="preserve">La búsqueda y acceso a la información es gratuita y </w:t>
      </w:r>
      <w:r w:rsidRPr="00DB09FD">
        <w:rPr>
          <w:rFonts w:ascii="Palatino Linotype" w:eastAsiaTheme="minorEastAsia" w:hAnsi="Palatino Linotype" w:cs="Arial"/>
          <w:b/>
          <w:i/>
          <w:sz w:val="22"/>
          <w:szCs w:val="22"/>
        </w:rPr>
        <w:t>solo se cubrirán los gastos de reproducción, o por la modalidad de entrega solicitada</w:t>
      </w:r>
      <w:r w:rsidRPr="00DB09FD">
        <w:rPr>
          <w:rFonts w:ascii="Palatino Linotype" w:eastAsiaTheme="minorEastAsia" w:hAnsi="Palatino Linotype" w:cs="Arial"/>
          <w:i/>
          <w:sz w:val="22"/>
          <w:szCs w:val="22"/>
        </w:rPr>
        <w:t xml:space="preserve">, </w:t>
      </w:r>
      <w:r w:rsidRPr="00DB09FD">
        <w:rPr>
          <w:rFonts w:ascii="Palatino Linotype" w:eastAsiaTheme="minorEastAsia" w:hAnsi="Palatino Linotype" w:cs="Arial"/>
          <w:b/>
          <w:i/>
          <w:sz w:val="22"/>
          <w:szCs w:val="22"/>
        </w:rPr>
        <w:t>así como por el envío</w:t>
      </w:r>
      <w:r w:rsidRPr="00DB09FD">
        <w:rPr>
          <w:rFonts w:ascii="Palatino Linotype" w:eastAsiaTheme="minorEastAsia" w:hAnsi="Palatino Linotype" w:cs="Arial"/>
          <w:i/>
          <w:sz w:val="22"/>
          <w:szCs w:val="22"/>
        </w:rPr>
        <w:t>, que en su caso se genere, de conformidad con los derechos, productos y aprovechamientos establecidos en la legislación aplicable, sin que exceda de los límites establecidos en la presente Ley.</w:t>
      </w:r>
    </w:p>
    <w:p w14:paraId="7675BE4D" w14:textId="77777777" w:rsidR="002D01B9" w:rsidRPr="00DB09FD" w:rsidRDefault="002D01B9" w:rsidP="002D01B9">
      <w:pPr>
        <w:autoSpaceDE w:val="0"/>
        <w:autoSpaceDN w:val="0"/>
        <w:adjustRightInd w:val="0"/>
        <w:spacing w:before="120" w:after="120"/>
        <w:ind w:left="851" w:right="902"/>
        <w:jc w:val="both"/>
        <w:rPr>
          <w:rFonts w:ascii="Palatino Linotype" w:eastAsiaTheme="minorEastAsia" w:hAnsi="Palatino Linotype" w:cs="Arial"/>
          <w:i/>
          <w:sz w:val="22"/>
          <w:szCs w:val="22"/>
        </w:rPr>
      </w:pPr>
      <w:r w:rsidRPr="00DB09FD">
        <w:rPr>
          <w:rFonts w:ascii="Palatino Linotype" w:eastAsiaTheme="minorEastAsia" w:hAnsi="Palatino Linotype" w:cs="Arial"/>
          <w:i/>
          <w:sz w:val="22"/>
          <w:szCs w:val="22"/>
        </w:rPr>
        <w:t>(…)</w:t>
      </w:r>
    </w:p>
    <w:p w14:paraId="1E127C79" w14:textId="77777777" w:rsidR="002D01B9" w:rsidRPr="00DB09FD" w:rsidRDefault="002D01B9" w:rsidP="002D01B9">
      <w:pPr>
        <w:autoSpaceDE w:val="0"/>
        <w:autoSpaceDN w:val="0"/>
        <w:adjustRightInd w:val="0"/>
        <w:spacing w:before="120" w:after="120"/>
        <w:ind w:left="851" w:right="902"/>
        <w:jc w:val="both"/>
        <w:rPr>
          <w:rFonts w:ascii="Palatino Linotype" w:eastAsiaTheme="minorEastAsia" w:hAnsi="Palatino Linotype" w:cs="Arial"/>
          <w:i/>
          <w:sz w:val="22"/>
          <w:szCs w:val="22"/>
        </w:rPr>
      </w:pPr>
      <w:r w:rsidRPr="00DB09FD">
        <w:rPr>
          <w:rFonts w:ascii="Palatino Linotype" w:eastAsiaTheme="minorEastAsia" w:hAnsi="Palatino Linotype" w:cs="Arial"/>
          <w:b/>
          <w:bCs/>
          <w:i/>
          <w:sz w:val="22"/>
          <w:szCs w:val="22"/>
        </w:rPr>
        <w:t>Artículo 165. …</w:t>
      </w:r>
    </w:p>
    <w:p w14:paraId="463DE208" w14:textId="77777777" w:rsidR="002D01B9" w:rsidRPr="00DB09FD" w:rsidRDefault="002D01B9" w:rsidP="002D01B9">
      <w:pPr>
        <w:autoSpaceDE w:val="0"/>
        <w:autoSpaceDN w:val="0"/>
        <w:adjustRightInd w:val="0"/>
        <w:spacing w:before="120" w:after="120"/>
        <w:ind w:left="851" w:right="902"/>
        <w:jc w:val="both"/>
        <w:rPr>
          <w:rFonts w:ascii="Palatino Linotype" w:eastAsiaTheme="minorEastAsia" w:hAnsi="Palatino Linotype" w:cs="Arial"/>
          <w:i/>
          <w:sz w:val="22"/>
          <w:szCs w:val="22"/>
        </w:rPr>
      </w:pPr>
      <w:r w:rsidRPr="00DB09FD">
        <w:rPr>
          <w:rFonts w:ascii="Palatino Linotype" w:eastAsiaTheme="minorEastAsia" w:hAnsi="Palatino Linotype" w:cs="Arial"/>
          <w:i/>
          <w:sz w:val="22"/>
          <w:szCs w:val="22"/>
        </w:rPr>
        <w:t xml:space="preserve">La información que se entregue en versión pública, </w:t>
      </w:r>
      <w:r w:rsidRPr="00DB09FD">
        <w:rPr>
          <w:rFonts w:ascii="Palatino Linotype" w:eastAsiaTheme="minorEastAsia" w:hAnsi="Palatino Linotype" w:cs="Arial"/>
          <w:b/>
          <w:i/>
          <w:sz w:val="22"/>
          <w:szCs w:val="22"/>
        </w:rPr>
        <w:t xml:space="preserve">cuya modalidad de reproducción o envío tenga un costo, </w:t>
      </w:r>
      <w:r w:rsidRPr="00DB09FD">
        <w:rPr>
          <w:rFonts w:ascii="Palatino Linotype" w:eastAsiaTheme="minorEastAsia" w:hAnsi="Palatino Linotype" w:cs="Arial"/>
          <w:i/>
          <w:sz w:val="22"/>
          <w:szCs w:val="22"/>
        </w:rPr>
        <w:t>procederá una vez que se acredite el pago respectivo. No puede entenderse como reproducción la elaboración de la misma.</w:t>
      </w:r>
    </w:p>
    <w:p w14:paraId="4F152FF6" w14:textId="77777777" w:rsidR="002D01B9" w:rsidRPr="00DB09FD" w:rsidRDefault="002D01B9" w:rsidP="002D01B9">
      <w:pPr>
        <w:autoSpaceDE w:val="0"/>
        <w:autoSpaceDN w:val="0"/>
        <w:adjustRightInd w:val="0"/>
        <w:spacing w:before="120" w:after="120"/>
        <w:ind w:left="851" w:right="902"/>
        <w:jc w:val="both"/>
        <w:rPr>
          <w:rFonts w:ascii="Palatino Linotype" w:eastAsiaTheme="minorEastAsia" w:hAnsi="Palatino Linotype" w:cs="Arial"/>
          <w:i/>
          <w:sz w:val="22"/>
          <w:szCs w:val="22"/>
        </w:rPr>
      </w:pPr>
      <w:r w:rsidRPr="00DB09FD">
        <w:rPr>
          <w:rFonts w:ascii="Palatino Linotype" w:eastAsiaTheme="minorEastAsia" w:hAnsi="Palatino Linotype" w:cs="Arial"/>
          <w:i/>
          <w:sz w:val="22"/>
          <w:szCs w:val="22"/>
        </w:rPr>
        <w:t>(…)</w:t>
      </w:r>
    </w:p>
    <w:p w14:paraId="7ADDCF26" w14:textId="77777777" w:rsidR="002D01B9" w:rsidRPr="00DB09FD" w:rsidRDefault="002D01B9" w:rsidP="002D01B9">
      <w:pPr>
        <w:autoSpaceDE w:val="0"/>
        <w:autoSpaceDN w:val="0"/>
        <w:adjustRightInd w:val="0"/>
        <w:spacing w:before="120" w:after="120"/>
        <w:ind w:left="851" w:right="902"/>
        <w:jc w:val="both"/>
        <w:rPr>
          <w:rFonts w:ascii="Palatino Linotype" w:hAnsi="Palatino Linotype" w:cs="Arial"/>
          <w:bCs/>
          <w:i/>
          <w:sz w:val="22"/>
          <w:szCs w:val="22"/>
        </w:rPr>
      </w:pPr>
      <w:r w:rsidRPr="00DB09FD">
        <w:rPr>
          <w:rFonts w:ascii="Palatino Linotype" w:hAnsi="Palatino Linotype" w:cs="Arial"/>
          <w:b/>
          <w:bCs/>
          <w:i/>
          <w:sz w:val="22"/>
          <w:szCs w:val="22"/>
        </w:rPr>
        <w:t xml:space="preserve"> Artículo 174. En caso de existir costos para obtener la información</w:t>
      </w:r>
      <w:r w:rsidRPr="00DB09FD">
        <w:rPr>
          <w:rFonts w:ascii="Palatino Linotype" w:hAnsi="Palatino Linotype" w:cs="Arial"/>
          <w:bCs/>
          <w:i/>
          <w:sz w:val="22"/>
          <w:szCs w:val="22"/>
        </w:rPr>
        <w:t xml:space="preserve"> deberán cubrirse de manera previa a la entrega y </w:t>
      </w:r>
      <w:r w:rsidRPr="00DB09FD">
        <w:rPr>
          <w:rFonts w:ascii="Palatino Linotype" w:hAnsi="Palatino Linotype" w:cs="Arial"/>
          <w:b/>
          <w:bCs/>
          <w:i/>
          <w:sz w:val="22"/>
          <w:szCs w:val="22"/>
        </w:rPr>
        <w:t>no podrán ser superiores a la suma de</w:t>
      </w:r>
      <w:r w:rsidRPr="00DB09FD">
        <w:rPr>
          <w:rFonts w:ascii="Palatino Linotype" w:hAnsi="Palatino Linotype" w:cs="Arial"/>
          <w:bCs/>
          <w:i/>
          <w:sz w:val="22"/>
          <w:szCs w:val="22"/>
        </w:rPr>
        <w:t>:</w:t>
      </w:r>
    </w:p>
    <w:p w14:paraId="60F3BE45" w14:textId="77777777" w:rsidR="002D01B9" w:rsidRPr="00DB09FD" w:rsidRDefault="002D01B9" w:rsidP="002D01B9">
      <w:pPr>
        <w:autoSpaceDE w:val="0"/>
        <w:autoSpaceDN w:val="0"/>
        <w:adjustRightInd w:val="0"/>
        <w:spacing w:before="120" w:after="120"/>
        <w:ind w:left="851" w:right="902"/>
        <w:jc w:val="both"/>
        <w:rPr>
          <w:rFonts w:ascii="Palatino Linotype" w:hAnsi="Palatino Linotype" w:cs="Arial"/>
          <w:bCs/>
          <w:i/>
          <w:sz w:val="22"/>
          <w:szCs w:val="22"/>
        </w:rPr>
      </w:pPr>
      <w:r w:rsidRPr="00DB09FD">
        <w:rPr>
          <w:rFonts w:ascii="Palatino Linotype" w:hAnsi="Palatino Linotype" w:cs="Arial"/>
          <w:b/>
          <w:bCs/>
          <w:i/>
          <w:sz w:val="22"/>
          <w:szCs w:val="22"/>
        </w:rPr>
        <w:t>I.</w:t>
      </w:r>
      <w:r w:rsidRPr="00DB09FD">
        <w:rPr>
          <w:rFonts w:ascii="Palatino Linotype" w:hAnsi="Palatino Linotype" w:cs="Arial"/>
          <w:bCs/>
          <w:i/>
          <w:sz w:val="22"/>
          <w:szCs w:val="22"/>
        </w:rPr>
        <w:t xml:space="preserve"> </w:t>
      </w:r>
      <w:r w:rsidRPr="00DB09FD">
        <w:rPr>
          <w:rFonts w:ascii="Palatino Linotype" w:hAnsi="Palatino Linotype" w:cs="Arial"/>
          <w:b/>
          <w:bCs/>
          <w:i/>
          <w:sz w:val="22"/>
          <w:szCs w:val="22"/>
        </w:rPr>
        <w:t>El costo de los materiales utilizados en la reproducción</w:t>
      </w:r>
      <w:r w:rsidRPr="00DB09FD">
        <w:rPr>
          <w:rFonts w:ascii="Palatino Linotype" w:hAnsi="Palatino Linotype" w:cs="Arial"/>
          <w:bCs/>
          <w:i/>
          <w:sz w:val="22"/>
          <w:szCs w:val="22"/>
        </w:rPr>
        <w:t xml:space="preserve"> de la información;</w:t>
      </w:r>
    </w:p>
    <w:p w14:paraId="01D74406" w14:textId="77777777" w:rsidR="002D01B9" w:rsidRPr="00DB09FD" w:rsidRDefault="002D01B9" w:rsidP="002D01B9">
      <w:pPr>
        <w:autoSpaceDE w:val="0"/>
        <w:autoSpaceDN w:val="0"/>
        <w:adjustRightInd w:val="0"/>
        <w:spacing w:before="120" w:after="120"/>
        <w:ind w:left="851" w:right="902"/>
        <w:jc w:val="both"/>
        <w:rPr>
          <w:rFonts w:ascii="Palatino Linotype" w:hAnsi="Palatino Linotype" w:cs="Arial"/>
          <w:bCs/>
          <w:i/>
          <w:sz w:val="22"/>
          <w:szCs w:val="22"/>
        </w:rPr>
      </w:pPr>
      <w:r w:rsidRPr="00DB09FD">
        <w:rPr>
          <w:rFonts w:ascii="Palatino Linotype" w:hAnsi="Palatino Linotype" w:cs="Arial"/>
          <w:b/>
          <w:bCs/>
          <w:i/>
          <w:sz w:val="22"/>
          <w:szCs w:val="22"/>
        </w:rPr>
        <w:t>II.</w:t>
      </w:r>
      <w:r w:rsidRPr="00DB09FD">
        <w:rPr>
          <w:rFonts w:ascii="Palatino Linotype" w:hAnsi="Palatino Linotype" w:cs="Arial"/>
          <w:bCs/>
          <w:i/>
          <w:sz w:val="22"/>
          <w:szCs w:val="22"/>
        </w:rPr>
        <w:t xml:space="preserve"> </w:t>
      </w:r>
      <w:r w:rsidRPr="00DB09FD">
        <w:rPr>
          <w:rFonts w:ascii="Palatino Linotype" w:hAnsi="Palatino Linotype" w:cs="Arial"/>
          <w:b/>
          <w:bCs/>
          <w:i/>
          <w:sz w:val="22"/>
          <w:szCs w:val="22"/>
        </w:rPr>
        <w:t>El costo de envío</w:t>
      </w:r>
      <w:r w:rsidRPr="00DB09FD">
        <w:rPr>
          <w:rFonts w:ascii="Palatino Linotype" w:hAnsi="Palatino Linotype" w:cs="Arial"/>
          <w:bCs/>
          <w:i/>
          <w:sz w:val="22"/>
          <w:szCs w:val="22"/>
        </w:rPr>
        <w:t>, en su caso; y</w:t>
      </w:r>
    </w:p>
    <w:p w14:paraId="3A593D52" w14:textId="77777777" w:rsidR="002D01B9" w:rsidRPr="00DB09FD" w:rsidRDefault="002D01B9" w:rsidP="002D01B9">
      <w:pPr>
        <w:autoSpaceDE w:val="0"/>
        <w:autoSpaceDN w:val="0"/>
        <w:adjustRightInd w:val="0"/>
        <w:spacing w:before="120" w:after="120"/>
        <w:ind w:left="851" w:right="902"/>
        <w:jc w:val="both"/>
        <w:rPr>
          <w:rFonts w:ascii="Palatino Linotype" w:hAnsi="Palatino Linotype" w:cs="Arial"/>
          <w:bCs/>
          <w:i/>
          <w:sz w:val="22"/>
          <w:szCs w:val="22"/>
        </w:rPr>
      </w:pPr>
      <w:r w:rsidRPr="00DB09FD">
        <w:rPr>
          <w:rFonts w:ascii="Palatino Linotype" w:hAnsi="Palatino Linotype" w:cs="Arial"/>
          <w:b/>
          <w:bCs/>
          <w:i/>
          <w:sz w:val="22"/>
          <w:szCs w:val="22"/>
        </w:rPr>
        <w:t>III.</w:t>
      </w:r>
      <w:r w:rsidRPr="00DB09FD">
        <w:rPr>
          <w:rFonts w:ascii="Palatino Linotype" w:hAnsi="Palatino Linotype" w:cs="Arial"/>
          <w:bCs/>
          <w:i/>
          <w:sz w:val="22"/>
          <w:szCs w:val="22"/>
        </w:rPr>
        <w:t xml:space="preserve"> </w:t>
      </w:r>
      <w:r w:rsidRPr="00DB09FD">
        <w:rPr>
          <w:rFonts w:ascii="Palatino Linotype" w:hAnsi="Palatino Linotype" w:cs="Arial"/>
          <w:b/>
          <w:bCs/>
          <w:i/>
          <w:sz w:val="22"/>
          <w:szCs w:val="22"/>
        </w:rPr>
        <w:t>El pago de la certificación de los documentos</w:t>
      </w:r>
      <w:r w:rsidRPr="00DB09FD">
        <w:rPr>
          <w:rFonts w:ascii="Palatino Linotype" w:hAnsi="Palatino Linotype" w:cs="Arial"/>
          <w:bCs/>
          <w:i/>
          <w:sz w:val="22"/>
          <w:szCs w:val="22"/>
        </w:rPr>
        <w:t>, cuando proceda.</w:t>
      </w:r>
    </w:p>
    <w:p w14:paraId="0C9253E7" w14:textId="77777777" w:rsidR="002D01B9" w:rsidRPr="00DB09FD" w:rsidRDefault="002D01B9" w:rsidP="002D01B9">
      <w:pPr>
        <w:spacing w:before="120" w:after="120"/>
        <w:ind w:left="851" w:right="902"/>
        <w:jc w:val="both"/>
        <w:rPr>
          <w:rFonts w:ascii="Palatino Linotype" w:hAnsi="Palatino Linotype" w:cs="Arial"/>
          <w:i/>
          <w:sz w:val="22"/>
          <w:szCs w:val="22"/>
        </w:rPr>
      </w:pPr>
      <w:r w:rsidRPr="00DB09FD">
        <w:rPr>
          <w:rFonts w:ascii="Palatino Linotype" w:hAnsi="Palatino Linotype" w:cs="Arial"/>
          <w:bCs/>
          <w:i/>
          <w:sz w:val="22"/>
          <w:szCs w:val="22"/>
        </w:rPr>
        <w:t xml:space="preserve">Las cuotas de los derechos aplicables deberán establecerse, en su caso, en el </w:t>
      </w:r>
      <w:r w:rsidRPr="00DB09FD">
        <w:rPr>
          <w:rFonts w:ascii="Palatino Linotype" w:hAnsi="Palatino Linotype" w:cs="Arial"/>
          <w:b/>
          <w:bCs/>
          <w:i/>
          <w:sz w:val="22"/>
          <w:szCs w:val="22"/>
        </w:rPr>
        <w:t>Código Financiero del Estado de México y Municipios</w:t>
      </w:r>
      <w:r w:rsidRPr="00DB09FD">
        <w:rPr>
          <w:rFonts w:ascii="Palatino Linotype" w:hAnsi="Palatino Linotype" w:cs="Arial"/>
          <w:bCs/>
          <w:i/>
          <w:sz w:val="22"/>
          <w:szCs w:val="22"/>
        </w:rPr>
        <w:t xml:space="preserve"> y demás disposiciones jurídicas aplicables, las cuales se publicarán en los sitios de internet de los sujetos obligados…”</w:t>
      </w:r>
      <w:r w:rsidRPr="00DB09FD">
        <w:rPr>
          <w:rFonts w:ascii="Palatino Linotype" w:hAnsi="Palatino Linotype" w:cs="Arial"/>
          <w:i/>
          <w:sz w:val="22"/>
          <w:szCs w:val="22"/>
        </w:rPr>
        <w:t xml:space="preserve"> </w:t>
      </w:r>
    </w:p>
    <w:p w14:paraId="64A9789E" w14:textId="77777777" w:rsidR="002D01B9" w:rsidRPr="00DB09FD" w:rsidRDefault="002D01B9" w:rsidP="002D01B9">
      <w:pPr>
        <w:autoSpaceDE w:val="0"/>
        <w:autoSpaceDN w:val="0"/>
        <w:adjustRightInd w:val="0"/>
        <w:spacing w:before="120" w:after="120"/>
        <w:ind w:left="851" w:right="902"/>
        <w:jc w:val="both"/>
        <w:rPr>
          <w:rFonts w:ascii="Palatino Linotype" w:eastAsiaTheme="minorEastAsia" w:hAnsi="Palatino Linotype" w:cs="Arial"/>
          <w:bCs/>
          <w:i/>
          <w:sz w:val="22"/>
          <w:szCs w:val="22"/>
        </w:rPr>
      </w:pPr>
      <w:r w:rsidRPr="00DB09FD">
        <w:rPr>
          <w:rFonts w:ascii="Palatino Linotype" w:eastAsiaTheme="minorEastAsia" w:hAnsi="Palatino Linotype" w:cs="Arial"/>
          <w:bCs/>
          <w:i/>
          <w:sz w:val="22"/>
          <w:szCs w:val="22"/>
        </w:rPr>
        <w:t>(...)</w:t>
      </w:r>
    </w:p>
    <w:p w14:paraId="54852BF9" w14:textId="77777777" w:rsidR="002D01B9" w:rsidRPr="00DB09FD" w:rsidRDefault="002D01B9" w:rsidP="002D01B9">
      <w:pPr>
        <w:autoSpaceDE w:val="0"/>
        <w:autoSpaceDN w:val="0"/>
        <w:adjustRightInd w:val="0"/>
        <w:spacing w:before="120" w:after="120"/>
        <w:ind w:left="851" w:right="902"/>
        <w:jc w:val="both"/>
        <w:rPr>
          <w:rFonts w:ascii="Palatino Linotype" w:eastAsiaTheme="minorEastAsia" w:hAnsi="Palatino Linotype" w:cs="Arial"/>
          <w:i/>
          <w:sz w:val="22"/>
          <w:szCs w:val="22"/>
        </w:rPr>
      </w:pPr>
      <w:r w:rsidRPr="00DB09FD">
        <w:rPr>
          <w:rFonts w:ascii="Palatino Linotype" w:eastAsiaTheme="minorEastAsia" w:hAnsi="Palatino Linotype" w:cs="Arial"/>
          <w:b/>
          <w:bCs/>
          <w:i/>
          <w:sz w:val="22"/>
          <w:szCs w:val="22"/>
        </w:rPr>
        <w:t xml:space="preserve">Artículo 175. </w:t>
      </w:r>
      <w:r w:rsidRPr="00DB09FD">
        <w:rPr>
          <w:rFonts w:ascii="Palatino Linotype" w:eastAsiaTheme="minorEastAsia" w:hAnsi="Palatino Linotype" w:cs="Arial"/>
          <w:i/>
          <w:sz w:val="22"/>
          <w:szCs w:val="22"/>
        </w:rPr>
        <w:t>…</w:t>
      </w:r>
    </w:p>
    <w:p w14:paraId="13F4E2DA" w14:textId="77777777" w:rsidR="002D01B9" w:rsidRPr="00DB09FD" w:rsidRDefault="002D01B9" w:rsidP="002D01B9">
      <w:pPr>
        <w:autoSpaceDE w:val="0"/>
        <w:autoSpaceDN w:val="0"/>
        <w:adjustRightInd w:val="0"/>
        <w:spacing w:before="120" w:after="120"/>
        <w:ind w:left="851" w:right="902"/>
        <w:jc w:val="both"/>
        <w:rPr>
          <w:rFonts w:ascii="Palatino Linotype" w:eastAsiaTheme="minorEastAsia" w:hAnsi="Palatino Linotype" w:cs="Arial"/>
          <w:i/>
          <w:sz w:val="22"/>
          <w:szCs w:val="22"/>
        </w:rPr>
      </w:pPr>
      <w:r w:rsidRPr="00DB09FD">
        <w:rPr>
          <w:rFonts w:ascii="Palatino Linotype" w:eastAsiaTheme="minorEastAsia" w:hAnsi="Palatino Linotype" w:cs="Arial"/>
          <w:i/>
          <w:sz w:val="22"/>
          <w:szCs w:val="22"/>
        </w:rPr>
        <w:t>En ningún caso, el pago de derechos deberá exceder el</w:t>
      </w:r>
      <w:r w:rsidRPr="00DB09FD">
        <w:rPr>
          <w:rFonts w:ascii="Palatino Linotype" w:eastAsiaTheme="minorEastAsia" w:hAnsi="Palatino Linotype" w:cs="Arial"/>
          <w:b/>
          <w:i/>
          <w:sz w:val="22"/>
          <w:szCs w:val="22"/>
        </w:rPr>
        <w:t xml:space="preserve"> costo de reproducción de la información en el material solicitado</w:t>
      </w:r>
      <w:r w:rsidRPr="00DB09FD">
        <w:rPr>
          <w:rFonts w:ascii="Palatino Linotype" w:eastAsiaTheme="minorEastAsia" w:hAnsi="Palatino Linotype" w:cs="Arial"/>
          <w:i/>
          <w:sz w:val="22"/>
          <w:szCs w:val="22"/>
        </w:rPr>
        <w:t>.”</w:t>
      </w:r>
    </w:p>
    <w:p w14:paraId="34AF6E2F" w14:textId="77777777" w:rsidR="002D01B9" w:rsidRPr="00DB09FD" w:rsidRDefault="002D01B9" w:rsidP="002D01B9">
      <w:pPr>
        <w:autoSpaceDE w:val="0"/>
        <w:autoSpaceDN w:val="0"/>
        <w:adjustRightInd w:val="0"/>
        <w:spacing w:before="120" w:after="120"/>
        <w:ind w:left="851" w:right="902"/>
        <w:jc w:val="both"/>
        <w:rPr>
          <w:rFonts w:ascii="Palatino Linotype" w:eastAsiaTheme="minorEastAsia" w:hAnsi="Palatino Linotype" w:cs="Arial"/>
          <w:i/>
          <w:sz w:val="22"/>
          <w:szCs w:val="22"/>
        </w:rPr>
      </w:pPr>
      <w:r w:rsidRPr="00DB09FD">
        <w:rPr>
          <w:rFonts w:ascii="Palatino Linotype" w:eastAsiaTheme="minorEastAsia" w:hAnsi="Palatino Linotype" w:cs="Arial"/>
          <w:i/>
          <w:sz w:val="22"/>
          <w:szCs w:val="22"/>
        </w:rPr>
        <w:t>“</w:t>
      </w:r>
      <w:r w:rsidRPr="00DB09FD">
        <w:rPr>
          <w:rFonts w:ascii="Palatino Linotype" w:eastAsiaTheme="minorEastAsia" w:hAnsi="Palatino Linotype" w:cs="Arial"/>
          <w:b/>
          <w:i/>
          <w:sz w:val="22"/>
          <w:szCs w:val="22"/>
        </w:rPr>
        <w:t>Artículo 4.22</w:t>
      </w:r>
      <w:r w:rsidRPr="00DB09FD">
        <w:rPr>
          <w:rFonts w:ascii="Palatino Linotype" w:eastAsiaTheme="minorEastAsia" w:hAnsi="Palatino Linotype" w:cs="Arial"/>
          <w:i/>
          <w:sz w:val="22"/>
          <w:szCs w:val="22"/>
        </w:rPr>
        <w:t>.- Cuando los solicitantes requieran de los sujetos obligados la expedición de copias simples, certificadas o en cualquier otro medio físico que contenga la información solicitada, y que pueda ser reproducida por tener los elementos necesarios para ello, o bien, que por disposiciones legales aplicables puedan ser materia de su reproducción, deberán acreditar previamente el pago por concepto de derechos, productos o aprovechamientos establecidos en el Código Financiero del Estado de México y Municipios, y demás normatividad aplicable. Los términos y plazos para que los sujetos obligados cumplan con las obligaciones correspondientes, se contarán a partir del día en que se acredite debidamente el pago, ante las unidades de información.”</w:t>
      </w:r>
    </w:p>
    <w:p w14:paraId="4922C243" w14:textId="3B2A1E32" w:rsidR="002D01B9" w:rsidRPr="00DB09FD" w:rsidRDefault="002D01B9" w:rsidP="002D01B9">
      <w:pPr>
        <w:spacing w:before="240" w:after="240" w:line="360" w:lineRule="auto"/>
        <w:jc w:val="both"/>
        <w:rPr>
          <w:rFonts w:ascii="Palatino Linotype" w:eastAsia="Palatino Linotype" w:hAnsi="Palatino Linotype" w:cs="Palatino Linotype"/>
          <w:sz w:val="22"/>
          <w:szCs w:val="22"/>
        </w:rPr>
      </w:pPr>
      <w:r w:rsidRPr="00DB09FD">
        <w:rPr>
          <w:rFonts w:ascii="Palatino Linotype" w:hAnsi="Palatino Linotype"/>
          <w:sz w:val="22"/>
          <w:szCs w:val="22"/>
        </w:rPr>
        <w:t xml:space="preserve">En efecto, de los preceptos citados se desprende que </w:t>
      </w:r>
      <w:r w:rsidR="006D30C4" w:rsidRPr="00DB09FD">
        <w:rPr>
          <w:rFonts w:ascii="Palatino Linotype" w:hAnsi="Palatino Linotype"/>
          <w:sz w:val="22"/>
          <w:szCs w:val="22"/>
        </w:rPr>
        <w:t xml:space="preserve">la </w:t>
      </w:r>
      <w:r w:rsidRPr="00DB09FD">
        <w:rPr>
          <w:rFonts w:ascii="Palatino Linotype" w:hAnsi="Palatino Linotype"/>
          <w:sz w:val="22"/>
          <w:szCs w:val="22"/>
        </w:rPr>
        <w:t>Ley de la Materia estableció el cobró de derechos para la entrega de la información, con el objeto de que se cubran los costos de los materiales utilizados en la reproducción de la in</w:t>
      </w:r>
      <w:r w:rsidR="006D30C4" w:rsidRPr="00DB09FD">
        <w:rPr>
          <w:rFonts w:ascii="Palatino Linotype" w:hAnsi="Palatino Linotype"/>
          <w:sz w:val="22"/>
          <w:szCs w:val="22"/>
        </w:rPr>
        <w:t>formación, el costo por el envío</w:t>
      </w:r>
      <w:r w:rsidRPr="00DB09FD">
        <w:rPr>
          <w:rFonts w:ascii="Palatino Linotype" w:hAnsi="Palatino Linotype"/>
          <w:sz w:val="22"/>
          <w:szCs w:val="22"/>
        </w:rPr>
        <w:t xml:space="preserve"> de la misma o el pago por la certificación, </w:t>
      </w:r>
      <w:r w:rsidRPr="00DB09FD">
        <w:rPr>
          <w:rFonts w:ascii="Palatino Linotype" w:eastAsia="Palatino Linotype" w:hAnsi="Palatino Linotype" w:cs="Palatino Linotype"/>
          <w:sz w:val="22"/>
          <w:szCs w:val="22"/>
        </w:rPr>
        <w:t xml:space="preserve">sin embargo, en el caso que nos ocupa, no se estima que se actualice alguno de los supuestos previstos en la norma, toda vez que la persona solicitante requirió la información a través del sistema SAIMEX, por lo tanto no se le está requiriendo al </w:t>
      </w:r>
      <w:r w:rsidRPr="00DB09FD">
        <w:rPr>
          <w:rFonts w:ascii="Palatino Linotype" w:eastAsia="Palatino Linotype" w:hAnsi="Palatino Linotype" w:cs="Palatino Linotype"/>
          <w:b/>
          <w:sz w:val="22"/>
          <w:szCs w:val="22"/>
        </w:rPr>
        <w:t>Sujeto Obligado</w:t>
      </w:r>
      <w:r w:rsidRPr="00DB09FD">
        <w:rPr>
          <w:rFonts w:ascii="Palatino Linotype" w:eastAsia="Palatino Linotype" w:hAnsi="Palatino Linotype" w:cs="Palatino Linotype"/>
          <w:sz w:val="22"/>
          <w:szCs w:val="22"/>
        </w:rPr>
        <w:t xml:space="preserve"> que expida copias certificadas o que reproduzca la información que ya asumió poseer, en cualquier otro medio físico, sino que proporcione la información de manera electrónica, en otras palabras, con la finalidad de satisfacer la solicitud, </w:t>
      </w:r>
      <w:r w:rsidRPr="00DB09FD">
        <w:rPr>
          <w:rFonts w:ascii="Palatino Linotype" w:eastAsia="Palatino Linotype" w:hAnsi="Palatino Linotype" w:cs="Palatino Linotype"/>
          <w:b/>
          <w:sz w:val="22"/>
          <w:szCs w:val="22"/>
        </w:rPr>
        <w:t>no es necesario que el Sujeto Obligado realice una reproducción física de la información que conserva en sus archivos,</w:t>
      </w:r>
      <w:r w:rsidRPr="00DB09FD">
        <w:rPr>
          <w:rFonts w:ascii="Palatino Linotype" w:eastAsia="Palatino Linotype" w:hAnsi="Palatino Linotype" w:cs="Palatino Linotype"/>
          <w:sz w:val="22"/>
          <w:szCs w:val="22"/>
        </w:rPr>
        <w:t xml:space="preserve"> más bien implicaría realizar una digitalización o escaneo de aquellos documentos que por su naturaleza pudieran encontrarse en medio físico.</w:t>
      </w:r>
    </w:p>
    <w:p w14:paraId="55835F3A" w14:textId="4F6371D7" w:rsidR="002D01B9" w:rsidRPr="00DB09FD" w:rsidRDefault="002D01B9" w:rsidP="002D01B9">
      <w:pPr>
        <w:spacing w:before="240" w:after="240" w:line="360" w:lineRule="auto"/>
        <w:jc w:val="both"/>
        <w:rPr>
          <w:rFonts w:ascii="Palatino Linotype" w:eastAsia="Palatino Linotype" w:hAnsi="Palatino Linotype" w:cs="Palatino Linotype"/>
          <w:sz w:val="22"/>
          <w:szCs w:val="22"/>
        </w:rPr>
      </w:pPr>
      <w:bookmarkStart w:id="14" w:name="_Hlk206577537"/>
      <w:bookmarkStart w:id="15" w:name="_Hlk206577608"/>
      <w:r w:rsidRPr="00DB09FD">
        <w:rPr>
          <w:rFonts w:ascii="Palatino Linotype" w:eastAsia="Palatino Linotype" w:hAnsi="Palatino Linotype" w:cs="Palatino Linotype"/>
          <w:sz w:val="22"/>
          <w:szCs w:val="22"/>
        </w:rPr>
        <w:t xml:space="preserve">Además, es necesario resaltar que </w:t>
      </w:r>
      <w:bookmarkEnd w:id="14"/>
      <w:r w:rsidRPr="00DB09FD">
        <w:rPr>
          <w:rFonts w:ascii="Palatino Linotype" w:eastAsia="Palatino Linotype" w:hAnsi="Palatino Linotype" w:cs="Palatino Linotype"/>
          <w:b/>
          <w:sz w:val="22"/>
          <w:szCs w:val="22"/>
          <w:u w:val="single"/>
        </w:rPr>
        <w:t>la digitalización o escaneo de la información, no conlleva la utilización de materiales que generen un costo</w:t>
      </w:r>
      <w:r w:rsidRPr="00DB09FD">
        <w:rPr>
          <w:rFonts w:ascii="Palatino Linotype" w:eastAsia="Palatino Linotype" w:hAnsi="Palatino Linotype" w:cs="Palatino Linotype"/>
          <w:sz w:val="22"/>
          <w:szCs w:val="22"/>
        </w:rPr>
        <w:t>, como podría serlo por ejemplo hojas de papel para la emisión de copias; de igual manera, tampoco se actualiza el cobro por certificación, ya que la parte solicitante no requirió la entrega en dicha modalidad, así tampoco</w:t>
      </w:r>
      <w:r w:rsidR="006D30C4" w:rsidRPr="00DB09FD">
        <w:rPr>
          <w:rFonts w:ascii="Palatino Linotype" w:eastAsia="Palatino Linotype" w:hAnsi="Palatino Linotype" w:cs="Palatino Linotype"/>
          <w:sz w:val="22"/>
          <w:szCs w:val="22"/>
        </w:rPr>
        <w:t xml:space="preserve"> se genera un gasto por el envío</w:t>
      </w:r>
      <w:r w:rsidRPr="00DB09FD">
        <w:rPr>
          <w:rFonts w:ascii="Palatino Linotype" w:eastAsia="Palatino Linotype" w:hAnsi="Palatino Linotype" w:cs="Palatino Linotype"/>
          <w:sz w:val="22"/>
          <w:szCs w:val="22"/>
        </w:rPr>
        <w:t xml:space="preserve"> de la información, ya que una de la finalidades de la utilización del sistema SAIMEX es evitar la generación de gastos tanto para los solicitantes como para los Sujetos Obligados, pues se trata de un sistema electrónico que para acceder al mismo no necesita recurso alguno, sino solamente la conexión a un sistema de internet, por ello, </w:t>
      </w:r>
      <w:r w:rsidRPr="00DB09FD">
        <w:rPr>
          <w:rFonts w:ascii="Palatino Linotype" w:eastAsia="Palatino Linotype" w:hAnsi="Palatino Linotype" w:cs="Palatino Linotype"/>
          <w:b/>
          <w:sz w:val="22"/>
          <w:szCs w:val="22"/>
          <w:u w:val="single"/>
        </w:rPr>
        <w:t>en materia de transparencia no es procedente el pago de derechos por concepto de escaneo o digitalización</w:t>
      </w:r>
      <w:r w:rsidRPr="00DB09FD">
        <w:rPr>
          <w:rFonts w:ascii="Palatino Linotype" w:eastAsia="Palatino Linotype" w:hAnsi="Palatino Linotype" w:cs="Palatino Linotype"/>
          <w:sz w:val="22"/>
          <w:szCs w:val="22"/>
        </w:rPr>
        <w:t>, pues se asume que los Sujetos Obligados cuenten con los medios para realizar dichas acciones sin costo alguno.</w:t>
      </w:r>
    </w:p>
    <w:bookmarkEnd w:id="15"/>
    <w:p w14:paraId="2BE91A93" w14:textId="77777777" w:rsidR="002D01B9" w:rsidRPr="00DB09FD" w:rsidRDefault="002D01B9" w:rsidP="002D01B9">
      <w:pPr>
        <w:spacing w:before="280" w:after="28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 xml:space="preserve">Aunado a lo anterior, la exposición de motivos de la Ley de Transparencia y Acceso a la Información Pública del Estado de México y Municipios señala que se adoptará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que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no podrán tener </w:t>
      </w:r>
      <w:r w:rsidRPr="00DB09FD">
        <w:rPr>
          <w:rFonts w:ascii="Palatino Linotype" w:eastAsia="Palatino Linotype" w:hAnsi="Palatino Linotype" w:cs="Palatino Linotype"/>
          <w:b/>
          <w:i/>
          <w:sz w:val="22"/>
          <w:szCs w:val="22"/>
        </w:rPr>
        <w:t>ningún costo</w:t>
      </w:r>
      <w:r w:rsidRPr="00DB09FD">
        <w:rPr>
          <w:rFonts w:ascii="Palatino Linotype" w:eastAsia="Palatino Linotype" w:hAnsi="Palatino Linotype" w:cs="Palatino Linotype"/>
          <w:i/>
          <w:sz w:val="22"/>
          <w:szCs w:val="22"/>
        </w:rPr>
        <w:t>,</w:t>
      </w:r>
      <w:r w:rsidRPr="00DB09FD">
        <w:rPr>
          <w:rFonts w:ascii="Palatino Linotype" w:eastAsia="Palatino Linotype" w:hAnsi="Palatino Linotype" w:cs="Palatino Linotype"/>
          <w:sz w:val="22"/>
          <w:szCs w:val="22"/>
        </w:rPr>
        <w:t xml:space="preserve"> incluyendo aquella que se hubiera digitalizado previamente por cualquier motivo, y aún menos en aquellos casos en que la modalidad de entrega sea por medio de la plataforma o vía electrónica.</w:t>
      </w:r>
    </w:p>
    <w:p w14:paraId="28AD3F76" w14:textId="77777777" w:rsidR="002D01B9" w:rsidRPr="00DB09FD" w:rsidRDefault="002D01B9" w:rsidP="002D01B9">
      <w:pPr>
        <w:spacing w:before="280" w:after="28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 xml:space="preserve">Por lo que no existe presupuesto jurídico que autorice al </w:t>
      </w:r>
      <w:r w:rsidRPr="00DB09FD">
        <w:rPr>
          <w:rFonts w:ascii="Palatino Linotype" w:eastAsia="Palatino Linotype" w:hAnsi="Palatino Linotype" w:cs="Palatino Linotype"/>
          <w:b/>
          <w:sz w:val="22"/>
          <w:szCs w:val="22"/>
        </w:rPr>
        <w:t>Sujeto Obligado</w:t>
      </w:r>
      <w:r w:rsidRPr="00DB09FD">
        <w:rPr>
          <w:rFonts w:ascii="Palatino Linotype" w:eastAsia="Palatino Linotype" w:hAnsi="Palatino Linotype" w:cs="Palatino Linotype"/>
          <w:sz w:val="22"/>
          <w:szCs w:val="22"/>
        </w:rPr>
        <w:t xml:space="preserve"> a requerir un pago para entregar la información vía SAIMEX, debido a que dicho sistema fue creado para facilitar el registro y atención de las solicitudes de información, y es su obligación trasladar la información de un soporte físico a uno electrónico y cuidar que los medios electrónicos o impresos en los que conste tanto información pública, como confidencial y reservada se entreguen en versión pública en los casos que eso resulte necesario.</w:t>
      </w:r>
    </w:p>
    <w:p w14:paraId="19686557" w14:textId="77777777" w:rsidR="002D01B9" w:rsidRPr="00DB09FD" w:rsidRDefault="002D01B9" w:rsidP="002D01B9">
      <w:pPr>
        <w:spacing w:before="280" w:after="28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Pensar lo contrario, sería tanto como reconocer que la utilización del sistema SAIMEX,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cierta información no existe la obligación de tenerla digitalizada.</w:t>
      </w:r>
    </w:p>
    <w:p w14:paraId="55047B6B" w14:textId="77777777" w:rsidR="002D01B9" w:rsidRPr="00DB09FD" w:rsidRDefault="002D01B9" w:rsidP="002D01B9">
      <w:pPr>
        <w:spacing w:before="240" w:after="240" w:line="360" w:lineRule="auto"/>
        <w:ind w:right="51"/>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 xml:space="preserve">En el presente caso, dado que no se está solicitando la reproducción de la información a través de copias simples o certificadas, o el envío a través de una modalidad que genere gastos, sino que se solicita la información de manera digital a través del SAIMEX, se estima que no es procedente el cobro que pretende el </w:t>
      </w:r>
      <w:r w:rsidRPr="00DB09FD">
        <w:rPr>
          <w:rFonts w:ascii="Palatino Linotype" w:eastAsia="Palatino Linotype" w:hAnsi="Palatino Linotype" w:cs="Palatino Linotype"/>
          <w:b/>
          <w:sz w:val="22"/>
          <w:szCs w:val="22"/>
        </w:rPr>
        <w:t>Sujeto Obligado</w:t>
      </w:r>
      <w:r w:rsidRPr="00DB09FD">
        <w:rPr>
          <w:rFonts w:ascii="Palatino Linotype" w:eastAsia="Palatino Linotype" w:hAnsi="Palatino Linotype" w:cs="Palatino Linotype"/>
          <w:sz w:val="22"/>
          <w:szCs w:val="22"/>
        </w:rPr>
        <w:t>, pues se insiste, la entrega de información a través de referido sistema no conlleva el uso de materiales, como pudieran ser hojas para expedir copias simples o certificadas, así como tampoco gastos de envío.</w:t>
      </w:r>
    </w:p>
    <w:p w14:paraId="27FF9648" w14:textId="5BAAE2B9" w:rsidR="002D01B9" w:rsidRPr="00DB09FD" w:rsidRDefault="002D01B9" w:rsidP="002D01B9">
      <w:pPr>
        <w:spacing w:before="240" w:after="240" w:line="360" w:lineRule="auto"/>
        <w:ind w:right="51"/>
        <w:jc w:val="both"/>
        <w:rPr>
          <w:rFonts w:ascii="Palatino Linotype" w:eastAsia="Palatino Linotype" w:hAnsi="Palatino Linotype" w:cs="Palatino Linotype"/>
          <w:b/>
          <w:sz w:val="22"/>
          <w:szCs w:val="22"/>
          <w:u w:val="single"/>
        </w:rPr>
      </w:pPr>
      <w:r w:rsidRPr="00DB09FD">
        <w:rPr>
          <w:rFonts w:ascii="Palatino Linotype" w:eastAsia="Palatino Linotype" w:hAnsi="Palatino Linotype" w:cs="Palatino Linotype"/>
          <w:sz w:val="22"/>
          <w:szCs w:val="22"/>
        </w:rPr>
        <w:t xml:space="preserve">Sin perder de vista que durante la sustanciación del recurso de revisión el </w:t>
      </w:r>
      <w:r w:rsidRPr="00DB09FD">
        <w:rPr>
          <w:rFonts w:ascii="Palatino Linotype" w:eastAsia="Palatino Linotype" w:hAnsi="Palatino Linotype" w:cs="Palatino Linotype"/>
          <w:b/>
          <w:sz w:val="22"/>
          <w:szCs w:val="22"/>
        </w:rPr>
        <w:t>Sujeto Obligado</w:t>
      </w:r>
      <w:r w:rsidRPr="00DB09FD">
        <w:rPr>
          <w:rFonts w:ascii="Palatino Linotype" w:eastAsia="Palatino Linotype" w:hAnsi="Palatino Linotype" w:cs="Palatino Linotype"/>
          <w:sz w:val="22"/>
          <w:szCs w:val="22"/>
        </w:rPr>
        <w:t xml:space="preserve">, </w:t>
      </w:r>
      <w:r w:rsidRPr="00DB09FD">
        <w:rPr>
          <w:rFonts w:ascii="Palatino Linotype" w:eastAsia="Palatino Linotype" w:hAnsi="Palatino Linotype" w:cs="Palatino Linotype"/>
          <w:b/>
          <w:sz w:val="22"/>
          <w:szCs w:val="22"/>
        </w:rPr>
        <w:t>en ningún momento alego o manifestó alguna imposibilidad para entregar la información requerida a través de la modalidad solicitada derivado de la capacidad técnica, administrativa y/o humana del área competente, o bien la capacidad técnica del sistema SAIMEX</w:t>
      </w:r>
      <w:r w:rsidRPr="00DB09FD">
        <w:rPr>
          <w:rFonts w:ascii="Palatino Linotype" w:eastAsia="Palatino Linotype" w:hAnsi="Palatino Linotype" w:cs="Palatino Linotype"/>
          <w:sz w:val="22"/>
          <w:szCs w:val="22"/>
        </w:rPr>
        <w:t>, sino que</w:t>
      </w:r>
      <w:r w:rsidR="0081008D" w:rsidRPr="00DB09FD">
        <w:rPr>
          <w:rFonts w:ascii="Palatino Linotype" w:eastAsia="Palatino Linotype" w:hAnsi="Palatino Linotype" w:cs="Palatino Linotype"/>
          <w:sz w:val="22"/>
          <w:szCs w:val="22"/>
        </w:rPr>
        <w:t>,</w:t>
      </w:r>
      <w:r w:rsidRPr="00DB09FD">
        <w:rPr>
          <w:rFonts w:ascii="Palatino Linotype" w:eastAsia="Palatino Linotype" w:hAnsi="Palatino Linotype" w:cs="Palatino Linotype"/>
          <w:sz w:val="22"/>
          <w:szCs w:val="22"/>
        </w:rPr>
        <w:t xml:space="preserve"> por cuenta propia, y </w:t>
      </w:r>
      <w:r w:rsidRPr="00DB09FD">
        <w:rPr>
          <w:rFonts w:ascii="Palatino Linotype" w:eastAsia="Palatino Linotype" w:hAnsi="Palatino Linotype" w:cs="Palatino Linotype"/>
          <w:b/>
          <w:sz w:val="22"/>
          <w:szCs w:val="22"/>
          <w:u w:val="single"/>
        </w:rPr>
        <w:t>de manera injustificada requirió un pago par</w:t>
      </w:r>
      <w:r w:rsidR="0022418B" w:rsidRPr="00DB09FD">
        <w:rPr>
          <w:rFonts w:ascii="Palatino Linotype" w:eastAsia="Palatino Linotype" w:hAnsi="Palatino Linotype" w:cs="Palatino Linotype"/>
          <w:b/>
          <w:sz w:val="22"/>
          <w:szCs w:val="22"/>
          <w:u w:val="single"/>
        </w:rPr>
        <w:t>a hacer entregar la información.</w:t>
      </w:r>
    </w:p>
    <w:p w14:paraId="28DF555C" w14:textId="6A96B59A" w:rsidR="0035743E" w:rsidRPr="00DB09FD" w:rsidRDefault="0035743E" w:rsidP="00AE6220">
      <w:pPr>
        <w:spacing w:before="240" w:after="240" w:line="360" w:lineRule="auto"/>
        <w:ind w:right="51"/>
        <w:jc w:val="both"/>
        <w:rPr>
          <w:rFonts w:ascii="Palatino Linotype" w:hAnsi="Palatino Linotype"/>
          <w:sz w:val="22"/>
          <w:szCs w:val="22"/>
        </w:rPr>
      </w:pPr>
      <w:r w:rsidRPr="00DB09FD">
        <w:rPr>
          <w:rFonts w:ascii="Palatino Linotype" w:eastAsia="Palatino Linotype" w:hAnsi="Palatino Linotype" w:cs="Palatino Linotype"/>
          <w:b/>
          <w:sz w:val="22"/>
          <w:szCs w:val="22"/>
          <w:u w:val="single"/>
        </w:rPr>
        <w:t xml:space="preserve">Por el contrario, si bien pretendió justificar el cambio de modalidad señalando en el </w:t>
      </w:r>
      <w:r w:rsidR="00AE6220" w:rsidRPr="00DB09FD">
        <w:rPr>
          <w:rFonts w:ascii="Palatino Linotype" w:eastAsia="Palatino Linotype" w:hAnsi="Palatino Linotype" w:cs="Palatino Linotype"/>
          <w:b/>
          <w:sz w:val="22"/>
          <w:szCs w:val="22"/>
          <w:u w:val="single"/>
        </w:rPr>
        <w:t xml:space="preserve">informe justificado del </w:t>
      </w:r>
      <w:r w:rsidRPr="00DB09FD">
        <w:rPr>
          <w:rFonts w:ascii="Palatino Linotype" w:eastAsia="Palatino Linotype" w:hAnsi="Palatino Linotype" w:cs="Palatino Linotype"/>
          <w:b/>
          <w:sz w:val="22"/>
          <w:szCs w:val="22"/>
          <w:u w:val="single"/>
        </w:rPr>
        <w:t xml:space="preserve">recurso </w:t>
      </w:r>
      <w:r w:rsidR="00AE6220" w:rsidRPr="00DB09FD">
        <w:rPr>
          <w:rFonts w:ascii="Palatino Linotype" w:eastAsia="Palatino Linotype" w:hAnsi="Palatino Linotype" w:cs="Palatino Linotype"/>
          <w:b/>
          <w:bCs/>
          <w:sz w:val="22"/>
          <w:szCs w:val="22"/>
        </w:rPr>
        <w:t>10521/INFOEM/IP/RR/2025, q</w:t>
      </w:r>
      <w:r w:rsidRPr="00DB09FD">
        <w:rPr>
          <w:rFonts w:ascii="Palatino Linotype" w:eastAsia="Palatino Linotype" w:hAnsi="Palatino Linotype" w:cs="Palatino Linotype"/>
          <w:b/>
          <w:sz w:val="22"/>
          <w:szCs w:val="22"/>
          <w:u w:val="single"/>
        </w:rPr>
        <w:t xml:space="preserve">ue la información asciende a más de 2000 fojas, es de mencionar </w:t>
      </w:r>
      <w:r w:rsidR="00AE6220" w:rsidRPr="00DB09FD">
        <w:rPr>
          <w:rFonts w:ascii="Palatino Linotype" w:eastAsia="Palatino Linotype" w:hAnsi="Palatino Linotype" w:cs="Palatino Linotype"/>
          <w:b/>
          <w:sz w:val="22"/>
          <w:szCs w:val="22"/>
          <w:u w:val="single"/>
        </w:rPr>
        <w:t xml:space="preserve">al Sujeto Obligado que el </w:t>
      </w:r>
      <w:r w:rsidRPr="00DB09FD">
        <w:rPr>
          <w:rFonts w:ascii="Palatino Linotype" w:hAnsi="Palatino Linotype"/>
          <w:sz w:val="22"/>
          <w:szCs w:val="22"/>
        </w:rPr>
        <w:t xml:space="preserve">sistema SAIMEX, soporta </w:t>
      </w:r>
      <w:r w:rsidR="00AE6220" w:rsidRPr="00DB09FD">
        <w:rPr>
          <w:rFonts w:ascii="Palatino Linotype" w:hAnsi="Palatino Linotype"/>
          <w:sz w:val="22"/>
          <w:szCs w:val="22"/>
        </w:rPr>
        <w:t xml:space="preserve">un aproximado de </w:t>
      </w:r>
      <w:r w:rsidRPr="00DB09FD">
        <w:rPr>
          <w:rFonts w:ascii="Palatino Linotype" w:hAnsi="Palatino Linotype"/>
          <w:sz w:val="22"/>
          <w:szCs w:val="22"/>
        </w:rPr>
        <w:t xml:space="preserve"> 8,000 hojas que equivalen a 500Mb, como lo ha hecho saber la Dirección General de Informática de este Instituto en diversas solicitudes de reportes de incidencia, derivado de la sustanciación de diversos recursos de revisión, como se ejemplifica a continuación para mejor referencia:</w:t>
      </w:r>
    </w:p>
    <w:p w14:paraId="1ADA6F22" w14:textId="3E8D0D0E" w:rsidR="0035743E" w:rsidRPr="00DB09FD" w:rsidRDefault="0035743E" w:rsidP="0035743E">
      <w:pPr>
        <w:pStyle w:val="NormalWeb"/>
        <w:spacing w:before="0" w:beforeAutospacing="0" w:after="160" w:afterAutospacing="0"/>
        <w:jc w:val="center"/>
        <w:rPr>
          <w:rFonts w:ascii="Palatino Linotype" w:hAnsi="Palatino Linotype"/>
          <w:sz w:val="22"/>
          <w:szCs w:val="22"/>
        </w:rPr>
      </w:pPr>
    </w:p>
    <w:p w14:paraId="443AAAF3" w14:textId="1B4561DA" w:rsidR="0035743E" w:rsidRPr="00DB09FD" w:rsidRDefault="0035743E" w:rsidP="0035743E">
      <w:pPr>
        <w:pStyle w:val="NormalWeb"/>
        <w:spacing w:before="0" w:beforeAutospacing="0" w:after="160" w:afterAutospacing="0"/>
        <w:jc w:val="center"/>
        <w:rPr>
          <w:rFonts w:ascii="Palatino Linotype" w:hAnsi="Palatino Linotype"/>
          <w:sz w:val="22"/>
          <w:szCs w:val="22"/>
        </w:rPr>
      </w:pPr>
      <w:r w:rsidRPr="00DB09FD">
        <w:rPr>
          <w:rFonts w:ascii="Palatino Linotype" w:hAnsi="Palatino Linotype"/>
          <w:noProof/>
          <w:sz w:val="22"/>
          <w:szCs w:val="22"/>
        </w:rPr>
        <w:drawing>
          <wp:inline distT="0" distB="0" distL="0" distR="0" wp14:anchorId="4FC7B60C" wp14:editId="5B56E600">
            <wp:extent cx="5257800" cy="118110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1"/>
                    <a:srcRect l="42262" t="48063" r="11234" b="39046"/>
                    <a:stretch/>
                  </pic:blipFill>
                  <pic:spPr bwMode="auto">
                    <a:xfrm>
                      <a:off x="0" y="0"/>
                      <a:ext cx="5260094" cy="1181615"/>
                    </a:xfrm>
                    <a:prstGeom prst="rect">
                      <a:avLst/>
                    </a:prstGeom>
                    <a:ln>
                      <a:noFill/>
                    </a:ln>
                    <a:extLst>
                      <a:ext uri="{53640926-AAD7-44D8-BBD7-CCE9431645EC}">
                        <a14:shadowObscured xmlns:a14="http://schemas.microsoft.com/office/drawing/2010/main"/>
                      </a:ext>
                    </a:extLst>
                  </pic:spPr>
                </pic:pic>
              </a:graphicData>
            </a:graphic>
          </wp:inline>
        </w:drawing>
      </w:r>
    </w:p>
    <w:p w14:paraId="48E6347B" w14:textId="7CB6C53D" w:rsidR="0035743E" w:rsidRPr="00DB09FD" w:rsidRDefault="0035743E" w:rsidP="00FD1713">
      <w:pPr>
        <w:pStyle w:val="NormalWeb"/>
        <w:spacing w:before="0" w:beforeAutospacing="0" w:after="160" w:afterAutospacing="0" w:line="360" w:lineRule="auto"/>
        <w:jc w:val="both"/>
        <w:rPr>
          <w:rFonts w:ascii="Palatino Linotype" w:hAnsi="Palatino Linotype"/>
          <w:sz w:val="22"/>
          <w:szCs w:val="22"/>
        </w:rPr>
      </w:pPr>
      <w:r w:rsidRPr="00DB09FD">
        <w:rPr>
          <w:rFonts w:ascii="Palatino Linotype" w:hAnsi="Palatino Linotype"/>
          <w:sz w:val="22"/>
          <w:szCs w:val="22"/>
        </w:rPr>
        <w:t xml:space="preserve">En atención </w:t>
      </w:r>
      <w:r w:rsidR="00AE6220" w:rsidRPr="00DB09FD">
        <w:rPr>
          <w:rFonts w:ascii="Palatino Linotype" w:hAnsi="Palatino Linotype"/>
          <w:sz w:val="22"/>
          <w:szCs w:val="22"/>
        </w:rPr>
        <w:t xml:space="preserve">a la naturaleza de la información e incluso la cantidad de información reportada por el sujeto obligado a través del informe justificado se concluye </w:t>
      </w:r>
      <w:r w:rsidRPr="00DB09FD">
        <w:rPr>
          <w:rFonts w:ascii="Palatino Linotype" w:hAnsi="Palatino Linotype"/>
          <w:sz w:val="22"/>
          <w:szCs w:val="22"/>
        </w:rPr>
        <w:t xml:space="preserve">que </w:t>
      </w:r>
      <w:r w:rsidR="00AE6220" w:rsidRPr="00DB09FD">
        <w:rPr>
          <w:rFonts w:ascii="Palatino Linotype" w:hAnsi="Palatino Linotype"/>
          <w:sz w:val="22"/>
          <w:szCs w:val="22"/>
        </w:rPr>
        <w:t xml:space="preserve">la información puede ser cargada </w:t>
      </w:r>
      <w:r w:rsidRPr="00DB09FD">
        <w:rPr>
          <w:rFonts w:ascii="Palatino Linotype" w:hAnsi="Palatino Linotype"/>
          <w:sz w:val="22"/>
          <w:szCs w:val="22"/>
        </w:rPr>
        <w:t>en el SAIMEX</w:t>
      </w:r>
      <w:r w:rsidR="00FD1713" w:rsidRPr="00DB09FD">
        <w:rPr>
          <w:rFonts w:ascii="Palatino Linotype" w:hAnsi="Palatino Linotype"/>
          <w:sz w:val="22"/>
          <w:szCs w:val="22"/>
        </w:rPr>
        <w:t xml:space="preserve">. </w:t>
      </w:r>
    </w:p>
    <w:p w14:paraId="6ADF572E" w14:textId="044F3991" w:rsidR="002E1AFB" w:rsidRPr="00DB09FD" w:rsidRDefault="00FD1713" w:rsidP="00FD1713">
      <w:pPr>
        <w:spacing w:before="240" w:after="240" w:line="360" w:lineRule="auto"/>
        <w:ind w:right="51"/>
        <w:jc w:val="both"/>
        <w:rPr>
          <w:rFonts w:ascii="Palatino Linotype" w:hAnsi="Palatino Linotype" w:cs="Tahoma"/>
          <w:bCs/>
          <w:iCs/>
          <w:sz w:val="22"/>
          <w:szCs w:val="22"/>
        </w:rPr>
      </w:pPr>
      <w:r w:rsidRPr="00DB09FD">
        <w:rPr>
          <w:rFonts w:ascii="Palatino Linotype" w:hAnsi="Palatino Linotype" w:cs="Tahoma"/>
          <w:bCs/>
          <w:iCs/>
          <w:sz w:val="22"/>
          <w:szCs w:val="22"/>
        </w:rPr>
        <w:t>A mayor abundamiento</w:t>
      </w:r>
      <w:r w:rsidR="002E1AFB" w:rsidRPr="00DB09FD">
        <w:rPr>
          <w:rFonts w:ascii="Palatino Linotype" w:hAnsi="Palatino Linotype" w:cs="Tahoma"/>
          <w:bCs/>
          <w:iCs/>
          <w:sz w:val="22"/>
          <w:szCs w:val="22"/>
        </w:rPr>
        <w:t>, es de señalar que conforme a los Lineamientos para la Integración del Informe Trimestral de los Sujetos de Fiscalización Municipales para los ejercicios fiscales dos mil veintidós y dos mil veintitrés, establecen que las pólizas de cheque, ingresos, egresos son entregadas, de manera digital, tal como se muestra a continuación:</w:t>
      </w:r>
    </w:p>
    <w:p w14:paraId="1BE08BE6" w14:textId="152061A5" w:rsidR="002E1AFB" w:rsidRPr="00DB09FD" w:rsidRDefault="002E1AFB" w:rsidP="002E1AFB">
      <w:pPr>
        <w:spacing w:line="360" w:lineRule="auto"/>
        <w:contextualSpacing/>
        <w:jc w:val="both"/>
        <w:rPr>
          <w:rFonts w:ascii="Palatino Linotype" w:hAnsi="Palatino Linotype" w:cs="Tahoma"/>
          <w:bCs/>
          <w:iCs/>
          <w:sz w:val="22"/>
          <w:szCs w:val="22"/>
        </w:rPr>
      </w:pPr>
    </w:p>
    <w:p w14:paraId="1063A46A" w14:textId="77777777" w:rsidR="002E1AFB" w:rsidRPr="00DB09FD" w:rsidRDefault="002E1AFB" w:rsidP="002E1AFB">
      <w:pPr>
        <w:spacing w:line="360" w:lineRule="auto"/>
        <w:contextualSpacing/>
        <w:jc w:val="both"/>
        <w:rPr>
          <w:rFonts w:ascii="Palatino Linotype" w:hAnsi="Palatino Linotype" w:cs="Tahoma"/>
          <w:bCs/>
          <w:iCs/>
          <w:sz w:val="22"/>
          <w:szCs w:val="22"/>
          <w:lang w:val="es-ES_tradnl"/>
        </w:rPr>
      </w:pPr>
      <w:r w:rsidRPr="00DB09FD">
        <w:rPr>
          <w:rFonts w:ascii="Palatino Linotype" w:hAnsi="Palatino Linotype" w:cs="Tahoma"/>
          <w:bCs/>
          <w:iCs/>
          <w:noProof/>
          <w:sz w:val="22"/>
          <w:szCs w:val="22"/>
        </w:rPr>
        <w:drawing>
          <wp:inline distT="0" distB="0" distL="0" distR="0" wp14:anchorId="550F4155" wp14:editId="454A3F08">
            <wp:extent cx="5602605" cy="883920"/>
            <wp:effectExtent l="0" t="0" r="0" b="0"/>
            <wp:docPr id="75852320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2605" cy="883920"/>
                    </a:xfrm>
                    <a:prstGeom prst="rect">
                      <a:avLst/>
                    </a:prstGeom>
                    <a:noFill/>
                  </pic:spPr>
                </pic:pic>
              </a:graphicData>
            </a:graphic>
          </wp:inline>
        </w:drawing>
      </w:r>
    </w:p>
    <w:p w14:paraId="630C51DD" w14:textId="77777777" w:rsidR="002E1AFB" w:rsidRPr="00DB09FD" w:rsidRDefault="002E1AFB" w:rsidP="002E1AFB">
      <w:pPr>
        <w:spacing w:line="360" w:lineRule="auto"/>
        <w:contextualSpacing/>
        <w:jc w:val="both"/>
        <w:rPr>
          <w:rFonts w:ascii="Palatino Linotype" w:hAnsi="Palatino Linotype" w:cs="Tahoma"/>
          <w:bCs/>
          <w:iCs/>
          <w:sz w:val="22"/>
          <w:szCs w:val="22"/>
        </w:rPr>
      </w:pPr>
    </w:p>
    <w:p w14:paraId="7DF3EF5A" w14:textId="43746325" w:rsidR="002E1AFB" w:rsidRPr="00DB09FD" w:rsidRDefault="002E1AFB" w:rsidP="002E1AFB">
      <w:pPr>
        <w:spacing w:line="360" w:lineRule="auto"/>
        <w:contextualSpacing/>
        <w:jc w:val="both"/>
        <w:rPr>
          <w:rFonts w:ascii="Palatino Linotype" w:hAnsi="Palatino Linotype" w:cs="Tahoma"/>
          <w:bCs/>
          <w:iCs/>
          <w:sz w:val="22"/>
          <w:szCs w:val="22"/>
        </w:rPr>
      </w:pPr>
      <w:r w:rsidRPr="00DB09FD">
        <w:rPr>
          <w:rFonts w:ascii="Palatino Linotype" w:hAnsi="Palatino Linotype" w:cs="Tahoma"/>
          <w:bCs/>
          <w:iCs/>
          <w:sz w:val="22"/>
          <w:szCs w:val="22"/>
        </w:rPr>
        <w:t xml:space="preserve">Como se logra observar, gran parte de la información, debe de obran en los archivos del Sujeto Obligado de manera digital, al ser entregados de esta manera al Órgano Superior de Fiscalización del Estado de México; por lo que, se considera que en el presente caso </w:t>
      </w:r>
      <w:r w:rsidRPr="00DB09FD">
        <w:rPr>
          <w:rFonts w:ascii="Palatino Linotype" w:hAnsi="Palatino Linotype" w:cs="Tahoma"/>
          <w:b/>
          <w:bCs/>
          <w:iCs/>
          <w:sz w:val="22"/>
          <w:szCs w:val="22"/>
        </w:rPr>
        <w:t>no procede un cobro por la generación de copias simples o certificadas</w:t>
      </w:r>
      <w:r w:rsidRPr="00DB09FD">
        <w:rPr>
          <w:rFonts w:ascii="Palatino Linotype" w:hAnsi="Palatino Linotype" w:cs="Tahoma"/>
          <w:bCs/>
          <w:iCs/>
          <w:sz w:val="22"/>
          <w:szCs w:val="22"/>
        </w:rPr>
        <w:t>, toda vez que no implica la utilización de materiales, tales como papel o tinta, sino únicamente la utilización de un equipo tecnológico para llevar a cabo la digitalización y testado de la misma.</w:t>
      </w:r>
    </w:p>
    <w:p w14:paraId="13351CE7" w14:textId="3EA43A39" w:rsidR="002D01B9" w:rsidRPr="00DB09FD" w:rsidRDefault="002D01B9" w:rsidP="0081008D">
      <w:pPr>
        <w:tabs>
          <w:tab w:val="left" w:pos="7545"/>
        </w:tabs>
        <w:spacing w:before="240" w:after="240" w:line="360" w:lineRule="auto"/>
        <w:jc w:val="both"/>
        <w:rPr>
          <w:rFonts w:ascii="Palatino Linotype" w:hAnsi="Palatino Linotype" w:cs="Arial"/>
          <w:sz w:val="22"/>
          <w:szCs w:val="22"/>
        </w:rPr>
      </w:pPr>
      <w:bookmarkStart w:id="16" w:name="_Hlk206576942"/>
      <w:bookmarkEnd w:id="13"/>
      <w:r w:rsidRPr="00DB09FD">
        <w:rPr>
          <w:rFonts w:ascii="Palatino Linotype" w:eastAsia="Palatino Linotype" w:hAnsi="Palatino Linotype" w:cs="Palatino Linotype"/>
          <w:sz w:val="22"/>
          <w:szCs w:val="22"/>
        </w:rPr>
        <w:t>Bajo tales argumentos,</w:t>
      </w:r>
      <w:r w:rsidRPr="00DB09FD">
        <w:rPr>
          <w:rFonts w:ascii="Palatino Linotype" w:hAnsi="Palatino Linotype"/>
          <w:sz w:val="22"/>
          <w:szCs w:val="22"/>
        </w:rPr>
        <w:t xml:space="preserve"> la entreg</w:t>
      </w:r>
      <w:r w:rsidR="00EA03B2" w:rsidRPr="00DB09FD">
        <w:rPr>
          <w:rFonts w:ascii="Palatino Linotype" w:hAnsi="Palatino Linotype"/>
          <w:sz w:val="22"/>
          <w:szCs w:val="22"/>
        </w:rPr>
        <w:t>a de la información solicitada</w:t>
      </w:r>
      <w:r w:rsidR="0081008D" w:rsidRPr="00DB09FD">
        <w:rPr>
          <w:rFonts w:ascii="Palatino Linotype" w:eastAsia="Palatino Linotype" w:hAnsi="Palatino Linotype" w:cs="Palatino Linotype"/>
          <w:sz w:val="22"/>
          <w:szCs w:val="22"/>
        </w:rPr>
        <w:t xml:space="preserve">, </w:t>
      </w:r>
      <w:r w:rsidRPr="00DB09FD">
        <w:rPr>
          <w:rFonts w:ascii="Palatino Linotype" w:hAnsi="Palatino Linotype"/>
          <w:sz w:val="22"/>
          <w:szCs w:val="22"/>
        </w:rPr>
        <w:t xml:space="preserve">debe realizarse </w:t>
      </w:r>
      <w:r w:rsidRPr="00DB09FD">
        <w:rPr>
          <w:rFonts w:ascii="Palatino Linotype" w:hAnsi="Palatino Linotype" w:cs="Arial"/>
          <w:sz w:val="22"/>
          <w:szCs w:val="22"/>
        </w:rPr>
        <w:t>mediante el sistema SAIMEX, sin cos</w:t>
      </w:r>
      <w:r w:rsidR="00EA03B2" w:rsidRPr="00DB09FD">
        <w:rPr>
          <w:rFonts w:ascii="Palatino Linotype" w:hAnsi="Palatino Linotype" w:cs="Arial"/>
          <w:sz w:val="22"/>
          <w:szCs w:val="22"/>
        </w:rPr>
        <w:t>to para la persona solicitante.</w:t>
      </w:r>
    </w:p>
    <w:p w14:paraId="6E53A1CC" w14:textId="7F46B24E" w:rsidR="002E1AFB" w:rsidRPr="00DB09FD" w:rsidRDefault="002E1AFB" w:rsidP="002E1AFB">
      <w:pPr>
        <w:tabs>
          <w:tab w:val="left" w:pos="7545"/>
        </w:tabs>
        <w:spacing w:before="240" w:after="240" w:line="360" w:lineRule="auto"/>
        <w:jc w:val="both"/>
        <w:rPr>
          <w:rFonts w:ascii="Palatino Linotype" w:hAnsi="Palatino Linotype" w:cs="Arial"/>
          <w:sz w:val="22"/>
          <w:szCs w:val="22"/>
        </w:rPr>
      </w:pPr>
      <w:r w:rsidRPr="00DB09FD">
        <w:rPr>
          <w:rFonts w:ascii="Palatino Linotype" w:hAnsi="Palatino Linotype" w:cs="Arial"/>
          <w:sz w:val="22"/>
          <w:szCs w:val="22"/>
        </w:rPr>
        <w:t>Ahora bien, por lo que hace a la información remitida mediante informe justificado, se advierte que la misma no corresponde con lo solicitado, pues remitió</w:t>
      </w:r>
      <w:r w:rsidR="00153CE3" w:rsidRPr="00DB09FD">
        <w:rPr>
          <w:rFonts w:ascii="Palatino Linotype" w:hAnsi="Palatino Linotype" w:cs="Arial"/>
          <w:sz w:val="22"/>
          <w:szCs w:val="22"/>
        </w:rPr>
        <w:t xml:space="preserve"> </w:t>
      </w:r>
      <w:r w:rsidR="00153CE3" w:rsidRPr="00DB09FD">
        <w:rPr>
          <w:rFonts w:ascii="Palatino Linotype" w:eastAsia="Palatino Linotype" w:hAnsi="Palatino Linotype" w:cs="Palatino Linotype"/>
          <w:sz w:val="22"/>
          <w:szCs w:val="22"/>
        </w:rPr>
        <w:t>el reporte de deuda y aportaciones con entidades externas con corte al 31 de diciembre de 2023, reporte de deuda y aportaciones con entidades externas con corte al 31 de diciembre de 2022, conciliación de deuda y aportaciones con entidades externas con corte al 31 de diciembre de 2022, tal como se advierte a continuación</w:t>
      </w:r>
      <w:r w:rsidRPr="00DB09FD">
        <w:rPr>
          <w:rFonts w:ascii="Palatino Linotype" w:hAnsi="Palatino Linotype" w:cs="Arial"/>
          <w:sz w:val="22"/>
          <w:szCs w:val="22"/>
        </w:rPr>
        <w:t xml:space="preserve">: </w:t>
      </w:r>
    </w:p>
    <w:p w14:paraId="6854DAAA" w14:textId="77777777" w:rsidR="002E1AFB" w:rsidRPr="00DB09FD" w:rsidRDefault="002E1AFB" w:rsidP="002E1AFB">
      <w:pPr>
        <w:tabs>
          <w:tab w:val="left" w:pos="7545"/>
        </w:tabs>
        <w:spacing w:before="240" w:after="240" w:line="360" w:lineRule="auto"/>
        <w:jc w:val="both"/>
        <w:rPr>
          <w:rFonts w:ascii="Palatino Linotype" w:hAnsi="Palatino Linotype"/>
          <w:sz w:val="22"/>
          <w:szCs w:val="22"/>
        </w:rPr>
      </w:pPr>
    </w:p>
    <w:p w14:paraId="3D5A65FD" w14:textId="7B51AC9A" w:rsidR="00BF0BAB" w:rsidRPr="00DB09FD" w:rsidRDefault="002E1AFB" w:rsidP="0081008D">
      <w:pPr>
        <w:tabs>
          <w:tab w:val="left" w:pos="7545"/>
        </w:tabs>
        <w:spacing w:before="240" w:after="240" w:line="360" w:lineRule="auto"/>
        <w:jc w:val="both"/>
        <w:rPr>
          <w:rFonts w:ascii="Palatino Linotype" w:hAnsi="Palatino Linotype" w:cs="Arial"/>
          <w:sz w:val="22"/>
          <w:szCs w:val="22"/>
        </w:rPr>
      </w:pPr>
      <w:r w:rsidRPr="00DB09FD">
        <w:rPr>
          <w:rFonts w:ascii="Palatino Linotype" w:hAnsi="Palatino Linotype" w:cs="Arial"/>
          <w:noProof/>
          <w:sz w:val="22"/>
          <w:szCs w:val="22"/>
        </w:rPr>
        <w:drawing>
          <wp:inline distT="0" distB="0" distL="0" distR="0" wp14:anchorId="0B05923A" wp14:editId="66E1765C">
            <wp:extent cx="5611905" cy="457200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7677" cy="4576703"/>
                    </a:xfrm>
                    <a:prstGeom prst="rect">
                      <a:avLst/>
                    </a:prstGeom>
                  </pic:spPr>
                </pic:pic>
              </a:graphicData>
            </a:graphic>
          </wp:inline>
        </w:drawing>
      </w:r>
    </w:p>
    <w:p w14:paraId="075798D8" w14:textId="0FD91520" w:rsidR="00FD779C" w:rsidRPr="00DB09FD" w:rsidRDefault="00FD779C" w:rsidP="0081008D">
      <w:pPr>
        <w:tabs>
          <w:tab w:val="left" w:pos="7545"/>
        </w:tabs>
        <w:spacing w:before="240" w:after="240" w:line="360" w:lineRule="auto"/>
        <w:jc w:val="both"/>
        <w:rPr>
          <w:rFonts w:ascii="Palatino Linotype" w:hAnsi="Palatino Linotype" w:cs="Arial"/>
          <w:sz w:val="22"/>
          <w:szCs w:val="22"/>
        </w:rPr>
      </w:pPr>
      <w:r w:rsidRPr="00DB09FD">
        <w:rPr>
          <w:rFonts w:ascii="Palatino Linotype" w:hAnsi="Palatino Linotype" w:cs="Arial"/>
          <w:noProof/>
          <w:sz w:val="22"/>
          <w:szCs w:val="22"/>
        </w:rPr>
        <w:drawing>
          <wp:inline distT="0" distB="0" distL="0" distR="0" wp14:anchorId="6D7BEA92" wp14:editId="5589D6ED">
            <wp:extent cx="5612130" cy="592772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5927725"/>
                    </a:xfrm>
                    <a:prstGeom prst="rect">
                      <a:avLst/>
                    </a:prstGeom>
                  </pic:spPr>
                </pic:pic>
              </a:graphicData>
            </a:graphic>
          </wp:inline>
        </w:drawing>
      </w:r>
    </w:p>
    <w:p w14:paraId="160C1CF5" w14:textId="190D0BA0" w:rsidR="00153CE3" w:rsidRPr="00DB09FD" w:rsidRDefault="00153CE3" w:rsidP="0081008D">
      <w:pPr>
        <w:tabs>
          <w:tab w:val="left" w:pos="7545"/>
        </w:tabs>
        <w:spacing w:before="240" w:after="240" w:line="360" w:lineRule="auto"/>
        <w:jc w:val="both"/>
        <w:rPr>
          <w:rFonts w:ascii="Palatino Linotype" w:hAnsi="Palatino Linotype" w:cs="Arial"/>
          <w:sz w:val="22"/>
          <w:szCs w:val="22"/>
        </w:rPr>
      </w:pPr>
      <w:r w:rsidRPr="00DB09FD">
        <w:rPr>
          <w:rFonts w:ascii="Palatino Linotype" w:hAnsi="Palatino Linotype" w:cs="Arial"/>
          <w:noProof/>
          <w:sz w:val="22"/>
          <w:szCs w:val="22"/>
        </w:rPr>
        <w:drawing>
          <wp:inline distT="0" distB="0" distL="0" distR="0" wp14:anchorId="2483B84B" wp14:editId="448C4BDC">
            <wp:extent cx="5612130" cy="600964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6009640"/>
                    </a:xfrm>
                    <a:prstGeom prst="rect">
                      <a:avLst/>
                    </a:prstGeom>
                  </pic:spPr>
                </pic:pic>
              </a:graphicData>
            </a:graphic>
          </wp:inline>
        </w:drawing>
      </w:r>
    </w:p>
    <w:p w14:paraId="7975D3F5" w14:textId="77777777" w:rsidR="00FD1713" w:rsidRPr="00DB09FD" w:rsidRDefault="00153CE3" w:rsidP="00BF0BAB">
      <w:pPr>
        <w:pBdr>
          <w:top w:val="nil"/>
          <w:left w:val="nil"/>
          <w:bottom w:val="nil"/>
          <w:right w:val="nil"/>
          <w:between w:val="nil"/>
        </w:pBdr>
        <w:spacing w:line="360" w:lineRule="auto"/>
        <w:contextualSpacing/>
        <w:jc w:val="both"/>
        <w:rPr>
          <w:rFonts w:ascii="Palatino Linotype" w:hAnsi="Palatino Linotype"/>
          <w:sz w:val="22"/>
          <w:szCs w:val="22"/>
        </w:rPr>
      </w:pPr>
      <w:r w:rsidRPr="00DB09FD">
        <w:rPr>
          <w:rFonts w:ascii="Palatino Linotype" w:hAnsi="Palatino Linotype"/>
          <w:sz w:val="22"/>
          <w:szCs w:val="22"/>
        </w:rPr>
        <w:t xml:space="preserve">No obstante, la información solicitada </w:t>
      </w:r>
      <w:r w:rsidR="00FD1713" w:rsidRPr="00DB09FD">
        <w:rPr>
          <w:rFonts w:ascii="Palatino Linotype" w:hAnsi="Palatino Linotype"/>
          <w:sz w:val="22"/>
          <w:szCs w:val="22"/>
        </w:rPr>
        <w:t xml:space="preserve">consiste en: </w:t>
      </w:r>
    </w:p>
    <w:p w14:paraId="231C7A13" w14:textId="77777777" w:rsidR="00FD1713" w:rsidRPr="00DB09FD" w:rsidRDefault="00FD1713" w:rsidP="00BF0BAB">
      <w:pPr>
        <w:pBdr>
          <w:top w:val="nil"/>
          <w:left w:val="nil"/>
          <w:bottom w:val="nil"/>
          <w:right w:val="nil"/>
          <w:between w:val="nil"/>
        </w:pBdr>
        <w:spacing w:line="360" w:lineRule="auto"/>
        <w:contextualSpacing/>
        <w:jc w:val="both"/>
        <w:rPr>
          <w:rFonts w:ascii="Palatino Linotype" w:hAnsi="Palatino Linotype"/>
          <w:sz w:val="22"/>
          <w:szCs w:val="22"/>
        </w:rPr>
      </w:pPr>
    </w:p>
    <w:p w14:paraId="6A1D436A" w14:textId="0A70DA20" w:rsidR="00BF0BAB" w:rsidRPr="00DB09FD" w:rsidRDefault="00BF0BAB" w:rsidP="00BF0BAB">
      <w:pPr>
        <w:pBdr>
          <w:top w:val="nil"/>
          <w:left w:val="nil"/>
          <w:bottom w:val="nil"/>
          <w:right w:val="nil"/>
          <w:between w:val="nil"/>
        </w:pBdr>
        <w:spacing w:line="360" w:lineRule="auto"/>
        <w:contextualSpacing/>
        <w:jc w:val="both"/>
        <w:rPr>
          <w:rFonts w:ascii="Palatino Linotype" w:hAnsi="Palatino Linotype"/>
          <w:sz w:val="22"/>
          <w:szCs w:val="22"/>
        </w:rPr>
      </w:pPr>
      <w:r w:rsidRPr="00DB09FD">
        <w:rPr>
          <w:rFonts w:ascii="Palatino Linotype" w:hAnsi="Palatino Linotype"/>
          <w:sz w:val="22"/>
          <w:szCs w:val="22"/>
        </w:rPr>
        <w:t>Cheque</w:t>
      </w:r>
      <w:r w:rsidR="001A541D" w:rsidRPr="00DB09FD">
        <w:rPr>
          <w:rFonts w:ascii="Palatino Linotype" w:hAnsi="Palatino Linotype"/>
          <w:sz w:val="22"/>
          <w:szCs w:val="22"/>
        </w:rPr>
        <w:t>s</w:t>
      </w:r>
      <w:r w:rsidR="00153CE3" w:rsidRPr="00DB09FD">
        <w:rPr>
          <w:rFonts w:ascii="Palatino Linotype" w:hAnsi="Palatino Linotype"/>
          <w:sz w:val="22"/>
          <w:szCs w:val="22"/>
        </w:rPr>
        <w:t>, mism</w:t>
      </w:r>
      <w:r w:rsidR="001A541D" w:rsidRPr="00DB09FD">
        <w:rPr>
          <w:rFonts w:ascii="Palatino Linotype" w:hAnsi="Palatino Linotype"/>
          <w:sz w:val="22"/>
          <w:szCs w:val="22"/>
        </w:rPr>
        <w:t>os</w:t>
      </w:r>
      <w:r w:rsidR="00153CE3" w:rsidRPr="00DB09FD">
        <w:rPr>
          <w:rFonts w:ascii="Palatino Linotype" w:hAnsi="Palatino Linotype"/>
          <w:sz w:val="22"/>
          <w:szCs w:val="22"/>
        </w:rPr>
        <w:t xml:space="preserve"> que</w:t>
      </w:r>
      <w:r w:rsidR="001A541D" w:rsidRPr="00DB09FD">
        <w:rPr>
          <w:rFonts w:ascii="Palatino Linotype" w:hAnsi="Palatino Linotype"/>
          <w:sz w:val="22"/>
          <w:szCs w:val="22"/>
        </w:rPr>
        <w:t xml:space="preserve"> son acompañados a las pólizas de cheque</w:t>
      </w:r>
      <w:r w:rsidR="00153CE3" w:rsidRPr="00DB09FD">
        <w:rPr>
          <w:rFonts w:ascii="Palatino Linotype" w:hAnsi="Palatino Linotype"/>
          <w:sz w:val="22"/>
          <w:szCs w:val="22"/>
        </w:rPr>
        <w:t xml:space="preserve"> son un</w:t>
      </w:r>
      <w:r w:rsidRPr="00DB09FD">
        <w:rPr>
          <w:rFonts w:ascii="Palatino Linotype" w:hAnsi="Palatino Linotype"/>
          <w:sz w:val="22"/>
          <w:szCs w:val="22"/>
        </w:rPr>
        <w:t xml:space="preserve"> tipo de póliza que se utiliza en caso de erogaciones realizadas a través de un cheque, la cual debe tener el formato siguiente; </w:t>
      </w:r>
    </w:p>
    <w:p w14:paraId="7FB0210E" w14:textId="77777777" w:rsidR="00BF0BAB" w:rsidRPr="00DB09FD" w:rsidRDefault="00BF0BAB" w:rsidP="00BF0BAB">
      <w:pPr>
        <w:pBdr>
          <w:top w:val="nil"/>
          <w:left w:val="nil"/>
          <w:bottom w:val="nil"/>
          <w:right w:val="nil"/>
          <w:between w:val="nil"/>
        </w:pBdr>
        <w:contextualSpacing/>
        <w:jc w:val="center"/>
        <w:rPr>
          <w:rFonts w:ascii="Palatino Linotype" w:hAnsi="Palatino Linotype"/>
          <w:sz w:val="22"/>
          <w:szCs w:val="22"/>
        </w:rPr>
      </w:pPr>
      <w:r w:rsidRPr="00DB09FD">
        <w:rPr>
          <w:rFonts w:ascii="Palatino Linotype" w:hAnsi="Palatino Linotype"/>
          <w:noProof/>
          <w:sz w:val="22"/>
          <w:szCs w:val="22"/>
        </w:rPr>
        <w:drawing>
          <wp:inline distT="0" distB="0" distL="0" distR="0" wp14:anchorId="37FD5EB9" wp14:editId="0E27A9B0">
            <wp:extent cx="4744093" cy="2491740"/>
            <wp:effectExtent l="0" t="0" r="0" b="3810"/>
            <wp:docPr id="180564095"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64095" name="Imagen 1" descr="Interfaz de usuario gráfica, Texto, Aplicación&#10;&#10;Descripción generada automáticamente"/>
                    <pic:cNvPicPr/>
                  </pic:nvPicPr>
                  <pic:blipFill>
                    <a:blip r:embed="rId16"/>
                    <a:stretch>
                      <a:fillRect/>
                    </a:stretch>
                  </pic:blipFill>
                  <pic:spPr>
                    <a:xfrm>
                      <a:off x="0" y="0"/>
                      <a:ext cx="4748924" cy="2494277"/>
                    </a:xfrm>
                    <a:prstGeom prst="rect">
                      <a:avLst/>
                    </a:prstGeom>
                  </pic:spPr>
                </pic:pic>
              </a:graphicData>
            </a:graphic>
          </wp:inline>
        </w:drawing>
      </w:r>
    </w:p>
    <w:p w14:paraId="22F11757" w14:textId="77777777" w:rsidR="00BF0BAB" w:rsidRPr="00DB09FD" w:rsidRDefault="00BF0BAB" w:rsidP="00BF0BAB">
      <w:pPr>
        <w:pBdr>
          <w:top w:val="nil"/>
          <w:left w:val="nil"/>
          <w:bottom w:val="nil"/>
          <w:right w:val="nil"/>
          <w:between w:val="nil"/>
        </w:pBdr>
        <w:contextualSpacing/>
        <w:rPr>
          <w:rFonts w:ascii="Palatino Linotype" w:hAnsi="Palatino Linotype"/>
          <w:sz w:val="22"/>
          <w:szCs w:val="22"/>
        </w:rPr>
      </w:pPr>
    </w:p>
    <w:p w14:paraId="161924D2" w14:textId="1683EBCB" w:rsidR="00BF0BAB" w:rsidRPr="00DB09FD" w:rsidRDefault="00BF0BAB" w:rsidP="00BF0BAB">
      <w:pPr>
        <w:pBdr>
          <w:top w:val="nil"/>
          <w:left w:val="nil"/>
          <w:bottom w:val="nil"/>
          <w:right w:val="nil"/>
          <w:between w:val="nil"/>
        </w:pBdr>
        <w:spacing w:line="360" w:lineRule="auto"/>
        <w:contextualSpacing/>
        <w:jc w:val="both"/>
        <w:rPr>
          <w:rFonts w:ascii="Palatino Linotype" w:hAnsi="Palatino Linotype"/>
          <w:sz w:val="22"/>
          <w:szCs w:val="22"/>
        </w:rPr>
      </w:pPr>
      <w:r w:rsidRPr="00DB09FD">
        <w:rPr>
          <w:rFonts w:ascii="Palatino Linotype" w:hAnsi="Palatino Linotype"/>
          <w:sz w:val="22"/>
          <w:szCs w:val="22"/>
        </w:rPr>
        <w:t>Las “</w:t>
      </w:r>
      <w:r w:rsidRPr="00DB09FD">
        <w:rPr>
          <w:rFonts w:ascii="Palatino Linotype" w:hAnsi="Palatino Linotype"/>
          <w:b/>
          <w:bCs/>
          <w:sz w:val="22"/>
          <w:szCs w:val="22"/>
          <w:u w:val="single"/>
        </w:rPr>
        <w:t>Pólizas de Cheques con los documentos comprobatorios</w:t>
      </w:r>
      <w:r w:rsidRPr="00DB09FD">
        <w:rPr>
          <w:rFonts w:ascii="Palatino Linotype" w:hAnsi="Palatino Linotype"/>
          <w:sz w:val="22"/>
          <w:szCs w:val="22"/>
        </w:rPr>
        <w:t xml:space="preserve">” se deben de presentar en formato TIFF considerando las siguientes especificaciones: </w:t>
      </w:r>
    </w:p>
    <w:p w14:paraId="5DF989C2" w14:textId="77777777" w:rsidR="00FD1713" w:rsidRPr="00DB09FD" w:rsidRDefault="00FD1713" w:rsidP="00BF0BAB">
      <w:pPr>
        <w:pBdr>
          <w:top w:val="nil"/>
          <w:left w:val="nil"/>
          <w:bottom w:val="nil"/>
          <w:right w:val="nil"/>
          <w:between w:val="nil"/>
        </w:pBdr>
        <w:spacing w:line="360" w:lineRule="auto"/>
        <w:contextualSpacing/>
        <w:jc w:val="both"/>
        <w:rPr>
          <w:rFonts w:ascii="Palatino Linotype" w:hAnsi="Palatino Linotype"/>
          <w:sz w:val="22"/>
          <w:szCs w:val="22"/>
        </w:rPr>
      </w:pPr>
    </w:p>
    <w:p w14:paraId="5DA65950" w14:textId="77777777" w:rsidR="00BF0BAB" w:rsidRPr="00DB09FD" w:rsidRDefault="00BF0BAB" w:rsidP="00BF0BAB">
      <w:pPr>
        <w:pStyle w:val="Prrafodelista"/>
        <w:numPr>
          <w:ilvl w:val="0"/>
          <w:numId w:val="16"/>
        </w:numPr>
        <w:pBdr>
          <w:top w:val="nil"/>
          <w:left w:val="nil"/>
          <w:bottom w:val="nil"/>
          <w:right w:val="nil"/>
          <w:between w:val="nil"/>
        </w:pBdr>
        <w:spacing w:line="360" w:lineRule="auto"/>
        <w:jc w:val="both"/>
        <w:rPr>
          <w:rFonts w:ascii="Palatino Linotype" w:hAnsi="Palatino Linotype"/>
          <w:i/>
          <w:iCs/>
          <w:sz w:val="22"/>
          <w:szCs w:val="22"/>
        </w:rPr>
      </w:pPr>
      <w:r w:rsidRPr="00DB09FD">
        <w:rPr>
          <w:rFonts w:ascii="Palatino Linotype" w:hAnsi="Palatino Linotype"/>
          <w:b/>
          <w:bCs/>
          <w:i/>
          <w:iCs/>
          <w:sz w:val="22"/>
          <w:szCs w:val="22"/>
        </w:rPr>
        <w:t>NP</w:t>
      </w:r>
      <w:r w:rsidRPr="00DB09FD">
        <w:rPr>
          <w:rFonts w:ascii="Palatino Linotype" w:hAnsi="Palatino Linotype"/>
          <w:i/>
          <w:iCs/>
          <w:sz w:val="22"/>
          <w:szCs w:val="22"/>
        </w:rPr>
        <w:t xml:space="preserve">: Número progresivo de los movimientos contables. </w:t>
      </w:r>
    </w:p>
    <w:p w14:paraId="65775E7B" w14:textId="77777777" w:rsidR="00BF0BAB" w:rsidRPr="00DB09FD" w:rsidRDefault="00BF0BAB" w:rsidP="00BF0BAB">
      <w:pPr>
        <w:pStyle w:val="Prrafodelista"/>
        <w:numPr>
          <w:ilvl w:val="0"/>
          <w:numId w:val="16"/>
        </w:numPr>
        <w:pBdr>
          <w:top w:val="nil"/>
          <w:left w:val="nil"/>
          <w:bottom w:val="nil"/>
          <w:right w:val="nil"/>
          <w:between w:val="nil"/>
        </w:pBdr>
        <w:spacing w:line="360" w:lineRule="auto"/>
        <w:jc w:val="both"/>
        <w:rPr>
          <w:rFonts w:ascii="Palatino Linotype" w:hAnsi="Palatino Linotype"/>
          <w:i/>
          <w:iCs/>
          <w:sz w:val="22"/>
          <w:szCs w:val="22"/>
        </w:rPr>
      </w:pPr>
      <w:r w:rsidRPr="00DB09FD">
        <w:rPr>
          <w:rFonts w:ascii="Palatino Linotype" w:hAnsi="Palatino Linotype"/>
          <w:b/>
          <w:bCs/>
          <w:i/>
          <w:iCs/>
          <w:sz w:val="22"/>
          <w:szCs w:val="22"/>
        </w:rPr>
        <w:t>Cta</w:t>
      </w:r>
      <w:r w:rsidRPr="00DB09FD">
        <w:rPr>
          <w:rFonts w:ascii="Palatino Linotype" w:hAnsi="Palatino Linotype"/>
          <w:i/>
          <w:iCs/>
          <w:sz w:val="22"/>
          <w:szCs w:val="22"/>
        </w:rPr>
        <w:t>: Cuenta contable al primer nivel de acuerdo a la Lista de Cuentas Específico Municipal del Manual Único de Contabilidad Gubernamental para las Dependencias y Entidades Públicas del Gobierno y Municipios del Estado de México.</w:t>
      </w:r>
    </w:p>
    <w:p w14:paraId="07751A8B" w14:textId="77777777" w:rsidR="00BF0BAB" w:rsidRPr="00DB09FD" w:rsidRDefault="00BF0BAB" w:rsidP="00BF0BAB">
      <w:pPr>
        <w:pStyle w:val="Prrafodelista"/>
        <w:numPr>
          <w:ilvl w:val="0"/>
          <w:numId w:val="16"/>
        </w:numPr>
        <w:pBdr>
          <w:top w:val="nil"/>
          <w:left w:val="nil"/>
          <w:bottom w:val="nil"/>
          <w:right w:val="nil"/>
          <w:between w:val="nil"/>
        </w:pBdr>
        <w:spacing w:line="360" w:lineRule="auto"/>
        <w:jc w:val="both"/>
        <w:rPr>
          <w:rFonts w:ascii="Palatino Linotype" w:hAnsi="Palatino Linotype"/>
          <w:i/>
          <w:iCs/>
          <w:sz w:val="22"/>
          <w:szCs w:val="22"/>
        </w:rPr>
      </w:pPr>
      <w:r w:rsidRPr="00DB09FD">
        <w:rPr>
          <w:rFonts w:ascii="Palatino Linotype" w:hAnsi="Palatino Linotype"/>
          <w:i/>
          <w:iCs/>
          <w:sz w:val="22"/>
          <w:szCs w:val="22"/>
        </w:rPr>
        <w:t xml:space="preserve"> </w:t>
      </w:r>
      <w:r w:rsidRPr="00DB09FD">
        <w:rPr>
          <w:rFonts w:ascii="Palatino Linotype" w:hAnsi="Palatino Linotype"/>
          <w:b/>
          <w:bCs/>
          <w:i/>
          <w:iCs/>
          <w:sz w:val="22"/>
          <w:szCs w:val="22"/>
        </w:rPr>
        <w:t>Scta</w:t>
      </w:r>
      <w:r w:rsidRPr="00DB09FD">
        <w:rPr>
          <w:rFonts w:ascii="Palatino Linotype" w:hAnsi="Palatino Linotype"/>
          <w:i/>
          <w:iCs/>
          <w:sz w:val="22"/>
          <w:szCs w:val="22"/>
        </w:rPr>
        <w:t>: Cuenta contable al segundo nivel de acuerdo a la Lista de Cuentas Específico Municipal del Manual Único de Contabilidad Gubernamental para las Dependencias y Entidades Públicas del Gobierno y Municipios del Estado de México.</w:t>
      </w:r>
    </w:p>
    <w:p w14:paraId="2856770F" w14:textId="77777777" w:rsidR="00BF0BAB" w:rsidRPr="00DB09FD" w:rsidRDefault="00BF0BAB" w:rsidP="00BF0BAB">
      <w:pPr>
        <w:pStyle w:val="Prrafodelista"/>
        <w:numPr>
          <w:ilvl w:val="0"/>
          <w:numId w:val="16"/>
        </w:numPr>
        <w:pBdr>
          <w:top w:val="nil"/>
          <w:left w:val="nil"/>
          <w:bottom w:val="nil"/>
          <w:right w:val="nil"/>
          <w:between w:val="nil"/>
        </w:pBdr>
        <w:spacing w:line="360" w:lineRule="auto"/>
        <w:jc w:val="both"/>
        <w:rPr>
          <w:rFonts w:ascii="Palatino Linotype" w:hAnsi="Palatino Linotype"/>
          <w:i/>
          <w:iCs/>
          <w:sz w:val="22"/>
          <w:szCs w:val="22"/>
        </w:rPr>
      </w:pPr>
      <w:r w:rsidRPr="00DB09FD">
        <w:rPr>
          <w:rFonts w:ascii="Palatino Linotype" w:hAnsi="Palatino Linotype"/>
          <w:b/>
          <w:bCs/>
          <w:i/>
          <w:iCs/>
          <w:sz w:val="22"/>
          <w:szCs w:val="22"/>
        </w:rPr>
        <w:t>Sscta:</w:t>
      </w:r>
      <w:r w:rsidRPr="00DB09FD">
        <w:rPr>
          <w:rFonts w:ascii="Palatino Linotype" w:hAnsi="Palatino Linotype"/>
          <w:i/>
          <w:iCs/>
          <w:sz w:val="22"/>
          <w:szCs w:val="22"/>
        </w:rPr>
        <w:t xml:space="preserve"> Cuenta contable al tercer nivel de acuerdo a la Lista de Cuentas Específico Municipal del Manual Único de Contabilidad Gubernamental para las Dependencias y Entidades Públicas del Gobierno y Municipios del Estado de México. </w:t>
      </w:r>
    </w:p>
    <w:p w14:paraId="744857BF" w14:textId="77777777" w:rsidR="00BF0BAB" w:rsidRPr="00DB09FD" w:rsidRDefault="00BF0BAB" w:rsidP="00BF0BAB">
      <w:pPr>
        <w:pStyle w:val="Prrafodelista"/>
        <w:numPr>
          <w:ilvl w:val="0"/>
          <w:numId w:val="16"/>
        </w:numPr>
        <w:pBdr>
          <w:top w:val="nil"/>
          <w:left w:val="nil"/>
          <w:bottom w:val="nil"/>
          <w:right w:val="nil"/>
          <w:between w:val="nil"/>
        </w:pBdr>
        <w:spacing w:line="360" w:lineRule="auto"/>
        <w:jc w:val="both"/>
        <w:rPr>
          <w:rFonts w:ascii="Palatino Linotype" w:hAnsi="Palatino Linotype"/>
          <w:i/>
          <w:iCs/>
          <w:sz w:val="22"/>
          <w:szCs w:val="22"/>
        </w:rPr>
      </w:pPr>
      <w:r w:rsidRPr="00DB09FD">
        <w:rPr>
          <w:rFonts w:ascii="Palatino Linotype" w:hAnsi="Palatino Linotype"/>
          <w:i/>
          <w:iCs/>
          <w:sz w:val="22"/>
          <w:szCs w:val="22"/>
        </w:rPr>
        <w:t xml:space="preserve"> </w:t>
      </w:r>
      <w:r w:rsidRPr="00DB09FD">
        <w:rPr>
          <w:rFonts w:ascii="Palatino Linotype" w:hAnsi="Palatino Linotype"/>
          <w:b/>
          <w:bCs/>
          <w:i/>
          <w:iCs/>
          <w:sz w:val="22"/>
          <w:szCs w:val="22"/>
        </w:rPr>
        <w:t>Ssscta</w:t>
      </w:r>
      <w:r w:rsidRPr="00DB09FD">
        <w:rPr>
          <w:rFonts w:ascii="Palatino Linotype" w:hAnsi="Palatino Linotype"/>
          <w:i/>
          <w:iCs/>
          <w:sz w:val="22"/>
          <w:szCs w:val="22"/>
        </w:rPr>
        <w:t xml:space="preserve">: Cuenta contable al cuarto nivel de acuerdo a la Lista de Cuentas Específico Municipal del Manual Único de Contabilidad Gubernamental para las Dependencias y Entidades Públicas del Gobierno y Municipios del Estado de México. </w:t>
      </w:r>
    </w:p>
    <w:p w14:paraId="44200D65" w14:textId="77777777" w:rsidR="00BF0BAB" w:rsidRPr="00DB09FD" w:rsidRDefault="00BF0BAB" w:rsidP="00BF0BAB">
      <w:pPr>
        <w:pStyle w:val="Prrafodelista"/>
        <w:numPr>
          <w:ilvl w:val="0"/>
          <w:numId w:val="16"/>
        </w:numPr>
        <w:pBdr>
          <w:top w:val="nil"/>
          <w:left w:val="nil"/>
          <w:bottom w:val="nil"/>
          <w:right w:val="nil"/>
          <w:between w:val="nil"/>
        </w:pBdr>
        <w:spacing w:line="360" w:lineRule="auto"/>
        <w:jc w:val="both"/>
        <w:rPr>
          <w:rFonts w:ascii="Palatino Linotype" w:hAnsi="Palatino Linotype"/>
          <w:i/>
          <w:iCs/>
          <w:sz w:val="22"/>
          <w:szCs w:val="22"/>
        </w:rPr>
      </w:pPr>
      <w:r w:rsidRPr="00DB09FD">
        <w:rPr>
          <w:rFonts w:ascii="Palatino Linotype" w:hAnsi="Palatino Linotype"/>
          <w:b/>
          <w:bCs/>
          <w:i/>
          <w:iCs/>
          <w:sz w:val="22"/>
          <w:szCs w:val="22"/>
        </w:rPr>
        <w:t>Sssscta:</w:t>
      </w:r>
      <w:r w:rsidRPr="00DB09FD">
        <w:rPr>
          <w:rFonts w:ascii="Palatino Linotype" w:hAnsi="Palatino Linotype"/>
          <w:i/>
          <w:iCs/>
          <w:sz w:val="22"/>
          <w:szCs w:val="22"/>
        </w:rPr>
        <w:t xml:space="preserve"> Cuenta contable al quinto nivel de acuerdo a la Lista de Cuentas Específico Municipal del Manual Único de Contabilidad Gubernamental para las Dependencias y Entidades Públicas del Gobierno y Municipios del Estado de México. </w:t>
      </w:r>
    </w:p>
    <w:p w14:paraId="783174A6" w14:textId="77777777" w:rsidR="00BF0BAB" w:rsidRPr="00DB09FD" w:rsidRDefault="00BF0BAB" w:rsidP="00BF0BAB">
      <w:pPr>
        <w:pStyle w:val="Prrafodelista"/>
        <w:numPr>
          <w:ilvl w:val="0"/>
          <w:numId w:val="16"/>
        </w:numPr>
        <w:pBdr>
          <w:top w:val="nil"/>
          <w:left w:val="nil"/>
          <w:bottom w:val="nil"/>
          <w:right w:val="nil"/>
          <w:between w:val="nil"/>
        </w:pBdr>
        <w:spacing w:line="360" w:lineRule="auto"/>
        <w:jc w:val="both"/>
        <w:rPr>
          <w:rFonts w:ascii="Palatino Linotype" w:hAnsi="Palatino Linotype"/>
          <w:i/>
          <w:iCs/>
          <w:sz w:val="22"/>
          <w:szCs w:val="22"/>
        </w:rPr>
      </w:pPr>
      <w:r w:rsidRPr="00DB09FD">
        <w:rPr>
          <w:rFonts w:ascii="Palatino Linotype" w:hAnsi="Palatino Linotype"/>
          <w:b/>
          <w:bCs/>
          <w:i/>
          <w:iCs/>
          <w:sz w:val="22"/>
          <w:szCs w:val="22"/>
        </w:rPr>
        <w:t>Ref</w:t>
      </w:r>
      <w:r w:rsidRPr="00DB09FD">
        <w:rPr>
          <w:rFonts w:ascii="Palatino Linotype" w:hAnsi="Palatino Linotype"/>
          <w:i/>
          <w:iCs/>
          <w:sz w:val="22"/>
          <w:szCs w:val="22"/>
        </w:rPr>
        <w:t xml:space="preserve">: Las pólizas hacen referencia al documento en el que se registran las distintas operaciones contables, por ejemplo: CH-12. </w:t>
      </w:r>
    </w:p>
    <w:p w14:paraId="03F12888" w14:textId="77777777" w:rsidR="00BF0BAB" w:rsidRPr="00DB09FD" w:rsidRDefault="00BF0BAB" w:rsidP="00BF0BAB">
      <w:pPr>
        <w:pStyle w:val="Prrafodelista"/>
        <w:numPr>
          <w:ilvl w:val="0"/>
          <w:numId w:val="16"/>
        </w:numPr>
        <w:pBdr>
          <w:top w:val="nil"/>
          <w:left w:val="nil"/>
          <w:bottom w:val="nil"/>
          <w:right w:val="nil"/>
          <w:between w:val="nil"/>
        </w:pBdr>
        <w:spacing w:line="360" w:lineRule="auto"/>
        <w:jc w:val="both"/>
        <w:rPr>
          <w:rFonts w:ascii="Palatino Linotype" w:hAnsi="Palatino Linotype"/>
          <w:i/>
          <w:iCs/>
          <w:sz w:val="22"/>
          <w:szCs w:val="22"/>
        </w:rPr>
      </w:pPr>
      <w:r w:rsidRPr="00DB09FD">
        <w:rPr>
          <w:rFonts w:ascii="Palatino Linotype" w:hAnsi="Palatino Linotype"/>
          <w:b/>
          <w:bCs/>
          <w:i/>
          <w:iCs/>
          <w:sz w:val="22"/>
          <w:szCs w:val="22"/>
        </w:rPr>
        <w:t>Concepto</w:t>
      </w:r>
      <w:r w:rsidRPr="00DB09FD">
        <w:rPr>
          <w:rFonts w:ascii="Palatino Linotype" w:hAnsi="Palatino Linotype"/>
          <w:i/>
          <w:iCs/>
          <w:sz w:val="22"/>
          <w:szCs w:val="22"/>
        </w:rPr>
        <w:t>: Anotar de acuerdo al Manual Único de Contabilidad Gubernamental para las Dependencias y Entidades Públicas del Gobierno y Municipios del Estado de México, a su registro contable y presupuestal: el nombre del concepto del clasificador por objeto del gasto y el nombre del beneficiario o proveedor completo, el nombre de la descripción de la lista de cuentas y el nombre del concepto de la lista de Lista de Cuentas Específico Municipal, nombre de la institución bancaria, número de cuenta bancaria, número de cheque y fondo.</w:t>
      </w:r>
    </w:p>
    <w:p w14:paraId="5BEB662D" w14:textId="77777777" w:rsidR="00BF0BAB" w:rsidRPr="00DB09FD" w:rsidRDefault="00BF0BAB" w:rsidP="00BF0BAB">
      <w:pPr>
        <w:pStyle w:val="Prrafodelista"/>
        <w:numPr>
          <w:ilvl w:val="0"/>
          <w:numId w:val="16"/>
        </w:numPr>
        <w:pBdr>
          <w:top w:val="nil"/>
          <w:left w:val="nil"/>
          <w:bottom w:val="nil"/>
          <w:right w:val="nil"/>
          <w:between w:val="nil"/>
        </w:pBdr>
        <w:spacing w:line="360" w:lineRule="auto"/>
        <w:jc w:val="both"/>
        <w:rPr>
          <w:rFonts w:ascii="Palatino Linotype" w:hAnsi="Palatino Linotype"/>
          <w:i/>
          <w:iCs/>
          <w:sz w:val="22"/>
          <w:szCs w:val="22"/>
        </w:rPr>
      </w:pPr>
      <w:r w:rsidRPr="00DB09FD">
        <w:rPr>
          <w:rFonts w:ascii="Palatino Linotype" w:hAnsi="Palatino Linotype"/>
          <w:b/>
          <w:bCs/>
          <w:i/>
          <w:iCs/>
          <w:sz w:val="22"/>
          <w:szCs w:val="22"/>
        </w:rPr>
        <w:t>Debe:</w:t>
      </w:r>
      <w:r w:rsidRPr="00DB09FD">
        <w:rPr>
          <w:rFonts w:ascii="Palatino Linotype" w:hAnsi="Palatino Linotype"/>
          <w:i/>
          <w:iCs/>
          <w:sz w:val="22"/>
          <w:szCs w:val="22"/>
        </w:rPr>
        <w:t xml:space="preserve"> Importe total de los cargos contables correspondientes de cada una de las cuentas contables. </w:t>
      </w:r>
    </w:p>
    <w:p w14:paraId="6A2B2DE0" w14:textId="77777777" w:rsidR="00BF0BAB" w:rsidRPr="00DB09FD" w:rsidRDefault="00BF0BAB" w:rsidP="00BF0BAB">
      <w:pPr>
        <w:pStyle w:val="Prrafodelista"/>
        <w:numPr>
          <w:ilvl w:val="0"/>
          <w:numId w:val="16"/>
        </w:numPr>
        <w:pBdr>
          <w:top w:val="nil"/>
          <w:left w:val="nil"/>
          <w:bottom w:val="nil"/>
          <w:right w:val="nil"/>
          <w:between w:val="nil"/>
        </w:pBdr>
        <w:spacing w:line="360" w:lineRule="auto"/>
        <w:jc w:val="both"/>
        <w:rPr>
          <w:rFonts w:ascii="Palatino Linotype" w:hAnsi="Palatino Linotype"/>
          <w:i/>
          <w:iCs/>
          <w:sz w:val="22"/>
          <w:szCs w:val="22"/>
        </w:rPr>
      </w:pPr>
      <w:r w:rsidRPr="00DB09FD">
        <w:rPr>
          <w:rFonts w:ascii="Palatino Linotype" w:hAnsi="Palatino Linotype"/>
          <w:i/>
          <w:iCs/>
          <w:sz w:val="22"/>
          <w:szCs w:val="22"/>
        </w:rPr>
        <w:t xml:space="preserve"> </w:t>
      </w:r>
      <w:r w:rsidRPr="00DB09FD">
        <w:rPr>
          <w:rFonts w:ascii="Palatino Linotype" w:hAnsi="Palatino Linotype"/>
          <w:b/>
          <w:bCs/>
          <w:i/>
          <w:iCs/>
          <w:sz w:val="22"/>
          <w:szCs w:val="22"/>
        </w:rPr>
        <w:t>Haber</w:t>
      </w:r>
      <w:r w:rsidRPr="00DB09FD">
        <w:rPr>
          <w:rFonts w:ascii="Palatino Linotype" w:hAnsi="Palatino Linotype"/>
          <w:i/>
          <w:iCs/>
          <w:sz w:val="22"/>
          <w:szCs w:val="22"/>
        </w:rPr>
        <w:t xml:space="preserve">: Importe total de los abonos contables correspondientes de cada una de las cuentas contables. </w:t>
      </w:r>
    </w:p>
    <w:p w14:paraId="2FB3AF7B" w14:textId="77777777" w:rsidR="00BF0BAB" w:rsidRPr="00DB09FD" w:rsidRDefault="00BF0BAB" w:rsidP="00BF0BAB">
      <w:pPr>
        <w:pStyle w:val="Prrafodelista"/>
        <w:numPr>
          <w:ilvl w:val="0"/>
          <w:numId w:val="16"/>
        </w:numPr>
        <w:pBdr>
          <w:top w:val="nil"/>
          <w:left w:val="nil"/>
          <w:bottom w:val="nil"/>
          <w:right w:val="nil"/>
          <w:between w:val="nil"/>
        </w:pBdr>
        <w:spacing w:line="360" w:lineRule="auto"/>
        <w:jc w:val="both"/>
        <w:rPr>
          <w:rFonts w:ascii="Palatino Linotype" w:hAnsi="Palatino Linotype"/>
          <w:i/>
          <w:iCs/>
          <w:sz w:val="22"/>
          <w:szCs w:val="22"/>
        </w:rPr>
      </w:pPr>
      <w:r w:rsidRPr="00DB09FD">
        <w:rPr>
          <w:rFonts w:ascii="Palatino Linotype" w:hAnsi="Palatino Linotype"/>
          <w:i/>
          <w:iCs/>
          <w:sz w:val="22"/>
          <w:szCs w:val="22"/>
        </w:rPr>
        <w:t xml:space="preserve"> </w:t>
      </w:r>
      <w:r w:rsidRPr="00DB09FD">
        <w:rPr>
          <w:rFonts w:ascii="Palatino Linotype" w:hAnsi="Palatino Linotype"/>
          <w:b/>
          <w:bCs/>
          <w:i/>
          <w:iCs/>
          <w:sz w:val="22"/>
          <w:szCs w:val="22"/>
        </w:rPr>
        <w:t>Saldo Total de la Póliza</w:t>
      </w:r>
      <w:r w:rsidRPr="00DB09FD">
        <w:rPr>
          <w:rFonts w:ascii="Palatino Linotype" w:hAnsi="Palatino Linotype"/>
          <w:i/>
          <w:iCs/>
          <w:sz w:val="22"/>
          <w:szCs w:val="22"/>
        </w:rPr>
        <w:t xml:space="preserve">: Suma de los importes registrados en cada una de las columnas del debe y haber. </w:t>
      </w:r>
    </w:p>
    <w:p w14:paraId="1B5FBE01" w14:textId="77777777" w:rsidR="00BF0BAB" w:rsidRPr="00DB09FD" w:rsidRDefault="00BF0BAB" w:rsidP="00BF0BAB">
      <w:pPr>
        <w:pStyle w:val="Prrafodelista"/>
        <w:numPr>
          <w:ilvl w:val="0"/>
          <w:numId w:val="16"/>
        </w:numPr>
        <w:pBdr>
          <w:top w:val="nil"/>
          <w:left w:val="nil"/>
          <w:bottom w:val="nil"/>
          <w:right w:val="nil"/>
          <w:between w:val="nil"/>
        </w:pBdr>
        <w:spacing w:line="360" w:lineRule="auto"/>
        <w:jc w:val="both"/>
        <w:rPr>
          <w:rFonts w:ascii="Palatino Linotype" w:hAnsi="Palatino Linotype"/>
          <w:i/>
          <w:iCs/>
          <w:sz w:val="22"/>
          <w:szCs w:val="22"/>
        </w:rPr>
      </w:pPr>
      <w:r w:rsidRPr="00DB09FD">
        <w:rPr>
          <w:rFonts w:ascii="Palatino Linotype" w:hAnsi="Palatino Linotype"/>
          <w:b/>
          <w:bCs/>
          <w:i/>
          <w:iCs/>
          <w:sz w:val="22"/>
          <w:szCs w:val="22"/>
        </w:rPr>
        <w:t>Descripción</w:t>
      </w:r>
      <w:r w:rsidRPr="00DB09FD">
        <w:rPr>
          <w:rFonts w:ascii="Palatino Linotype" w:hAnsi="Palatino Linotype"/>
          <w:i/>
          <w:iCs/>
          <w:sz w:val="22"/>
          <w:szCs w:val="22"/>
        </w:rPr>
        <w:t xml:space="preserve">: De manera breve y específica anotar el hecho que generó el asiento contable. </w:t>
      </w:r>
    </w:p>
    <w:p w14:paraId="4308E84E" w14:textId="77777777" w:rsidR="00BF0BAB" w:rsidRPr="00DB09FD" w:rsidRDefault="00BF0BAB" w:rsidP="00BF0BAB">
      <w:pPr>
        <w:pBdr>
          <w:top w:val="nil"/>
          <w:left w:val="nil"/>
          <w:bottom w:val="nil"/>
          <w:right w:val="nil"/>
          <w:between w:val="nil"/>
        </w:pBdr>
        <w:spacing w:line="360" w:lineRule="auto"/>
        <w:jc w:val="both"/>
        <w:rPr>
          <w:rFonts w:ascii="Palatino Linotype" w:hAnsi="Palatino Linotype"/>
          <w:i/>
          <w:iCs/>
          <w:sz w:val="22"/>
          <w:szCs w:val="22"/>
        </w:rPr>
      </w:pPr>
    </w:p>
    <w:p w14:paraId="47C4DE2A" w14:textId="77777777" w:rsidR="00BF0BAB" w:rsidRPr="00DB09FD" w:rsidRDefault="00BF0BAB" w:rsidP="00BF0BAB">
      <w:pPr>
        <w:pBdr>
          <w:top w:val="nil"/>
          <w:left w:val="nil"/>
          <w:bottom w:val="nil"/>
          <w:right w:val="nil"/>
          <w:between w:val="nil"/>
        </w:pBdr>
        <w:spacing w:line="360" w:lineRule="auto"/>
        <w:ind w:left="708"/>
        <w:contextualSpacing/>
        <w:jc w:val="both"/>
        <w:rPr>
          <w:rFonts w:ascii="Palatino Linotype" w:hAnsi="Palatino Linotype"/>
          <w:i/>
          <w:iCs/>
          <w:sz w:val="22"/>
          <w:szCs w:val="22"/>
        </w:rPr>
      </w:pPr>
      <w:r w:rsidRPr="00DB09FD">
        <w:rPr>
          <w:rFonts w:ascii="Palatino Linotype" w:hAnsi="Palatino Linotype"/>
          <w:i/>
          <w:iCs/>
          <w:sz w:val="22"/>
          <w:szCs w:val="22"/>
        </w:rPr>
        <w:t xml:space="preserve">La información de pólizas se presenta de manera física a través de CD junto con el Oficio de Presentación, el CD debe de tener la etiqueta con los datos de identificación de la Entidad, especificando la información que se presenta y la certificación correspondiente </w:t>
      </w:r>
    </w:p>
    <w:p w14:paraId="668BC553" w14:textId="77777777" w:rsidR="00BF0BAB" w:rsidRPr="00DB09FD" w:rsidRDefault="00BF0BAB" w:rsidP="00BF0BAB">
      <w:pPr>
        <w:pBdr>
          <w:top w:val="nil"/>
          <w:left w:val="nil"/>
          <w:bottom w:val="nil"/>
          <w:right w:val="nil"/>
          <w:between w:val="nil"/>
        </w:pBdr>
        <w:contextualSpacing/>
        <w:rPr>
          <w:rFonts w:ascii="Palatino Linotype" w:hAnsi="Palatino Linotype"/>
          <w:sz w:val="22"/>
          <w:szCs w:val="22"/>
        </w:rPr>
      </w:pPr>
    </w:p>
    <w:p w14:paraId="1B1DF9B7" w14:textId="77777777" w:rsidR="00BF0BAB" w:rsidRPr="00DB09FD" w:rsidRDefault="00BF0BAB" w:rsidP="00BF0BAB">
      <w:pPr>
        <w:ind w:right="822"/>
        <w:rPr>
          <w:rFonts w:ascii="Palatino Linotype" w:hAnsi="Palatino Linotype" w:cs="Arial"/>
          <w:i/>
          <w:sz w:val="22"/>
          <w:szCs w:val="22"/>
        </w:rPr>
      </w:pPr>
    </w:p>
    <w:p w14:paraId="70CB6FCA" w14:textId="056E4752" w:rsidR="00FD1713" w:rsidRPr="00DB09FD" w:rsidRDefault="00FD1713" w:rsidP="00FD1713">
      <w:pPr>
        <w:pStyle w:val="Prrafodelista"/>
        <w:numPr>
          <w:ilvl w:val="0"/>
          <w:numId w:val="10"/>
        </w:numPr>
        <w:spacing w:line="360" w:lineRule="auto"/>
        <w:ind w:right="-93"/>
        <w:jc w:val="both"/>
        <w:rPr>
          <w:rFonts w:ascii="Palatino Linotype" w:hAnsi="Palatino Linotype" w:cs="Tahoma"/>
          <w:b/>
          <w:sz w:val="22"/>
          <w:szCs w:val="22"/>
        </w:rPr>
      </w:pPr>
      <w:r w:rsidRPr="00DB09FD">
        <w:rPr>
          <w:rFonts w:ascii="Palatino Linotype" w:hAnsi="Palatino Linotype" w:cs="Tahoma"/>
          <w:b/>
          <w:sz w:val="22"/>
          <w:szCs w:val="22"/>
        </w:rPr>
        <w:t xml:space="preserve">Arqueo de caja </w:t>
      </w:r>
    </w:p>
    <w:p w14:paraId="1A6D12B4" w14:textId="77777777" w:rsidR="00FD1713" w:rsidRPr="00DB09FD" w:rsidRDefault="00FD1713" w:rsidP="00BF0BAB">
      <w:pPr>
        <w:spacing w:line="360" w:lineRule="auto"/>
        <w:ind w:right="-93"/>
        <w:jc w:val="both"/>
        <w:rPr>
          <w:rFonts w:ascii="Palatino Linotype" w:hAnsi="Palatino Linotype" w:cs="Tahoma"/>
          <w:bCs/>
          <w:sz w:val="22"/>
          <w:szCs w:val="22"/>
        </w:rPr>
      </w:pPr>
    </w:p>
    <w:p w14:paraId="046F7D44" w14:textId="68A100C8" w:rsidR="00FD1713" w:rsidRPr="00DB09FD" w:rsidRDefault="00FD1713" w:rsidP="00BF0BAB">
      <w:pPr>
        <w:spacing w:line="360" w:lineRule="auto"/>
        <w:ind w:right="-93"/>
        <w:jc w:val="both"/>
        <w:rPr>
          <w:rFonts w:ascii="Palatino Linotype" w:hAnsi="Palatino Linotype"/>
          <w:sz w:val="22"/>
          <w:szCs w:val="22"/>
        </w:rPr>
      </w:pPr>
      <w:r w:rsidRPr="00DB09FD">
        <w:rPr>
          <w:rFonts w:ascii="Palatino Linotype" w:hAnsi="Palatino Linotype" w:cs="Tahoma"/>
          <w:bCs/>
          <w:sz w:val="22"/>
          <w:szCs w:val="22"/>
        </w:rPr>
        <w:t>En lo que corresponde a este punto,</w:t>
      </w:r>
      <w:r w:rsidR="00153CE3" w:rsidRPr="00DB09FD">
        <w:rPr>
          <w:rFonts w:ascii="Palatino Linotype" w:hAnsi="Palatino Linotype" w:cs="Tahoma"/>
          <w:bCs/>
          <w:sz w:val="22"/>
          <w:szCs w:val="22"/>
        </w:rPr>
        <w:t xml:space="preserve"> si bien</w:t>
      </w:r>
      <w:r w:rsidRPr="00DB09FD">
        <w:rPr>
          <w:rFonts w:ascii="Palatino Linotype" w:hAnsi="Palatino Linotype" w:cs="Tahoma"/>
          <w:bCs/>
          <w:sz w:val="22"/>
          <w:szCs w:val="22"/>
        </w:rPr>
        <w:t>, el sujeto obligado</w:t>
      </w:r>
      <w:r w:rsidR="00153CE3" w:rsidRPr="00DB09FD">
        <w:rPr>
          <w:rFonts w:ascii="Palatino Linotype" w:hAnsi="Palatino Linotype" w:cs="Tahoma"/>
          <w:bCs/>
          <w:sz w:val="22"/>
          <w:szCs w:val="22"/>
        </w:rPr>
        <w:t xml:space="preserve"> señala que no fue localizado al no estar normativamente obligado, es de mencionar que </w:t>
      </w:r>
      <w:r w:rsidRPr="00DB09FD">
        <w:rPr>
          <w:rFonts w:ascii="Palatino Linotype" w:hAnsi="Palatino Linotype" w:cs="Tahoma"/>
          <w:bCs/>
          <w:sz w:val="22"/>
          <w:szCs w:val="22"/>
        </w:rPr>
        <w:t xml:space="preserve">el </w:t>
      </w:r>
      <w:r w:rsidRPr="00DB09FD">
        <w:rPr>
          <w:rFonts w:ascii="Palatino Linotype" w:hAnsi="Palatino Linotype"/>
          <w:i/>
          <w:iCs/>
          <w:sz w:val="22"/>
          <w:szCs w:val="22"/>
        </w:rPr>
        <w:t xml:space="preserve">Manual Único de Contabilidad Gubernamental para las Dependencias y Entidades Públicas del Gobierno y Municipios del Estado de México </w:t>
      </w:r>
      <w:r w:rsidRPr="00DB09FD">
        <w:rPr>
          <w:rFonts w:ascii="Palatino Linotype" w:hAnsi="Palatino Linotype"/>
          <w:sz w:val="22"/>
          <w:szCs w:val="22"/>
        </w:rPr>
        <w:t xml:space="preserve">contempla dentro del instructivo de manejo de cuentas la elaboración de dicho documento, tal como se advierte a continuación: </w:t>
      </w:r>
    </w:p>
    <w:p w14:paraId="661C8352" w14:textId="5287245A" w:rsidR="00FD1713" w:rsidRPr="00DB09FD" w:rsidRDefault="00FD1713" w:rsidP="00BF0BAB">
      <w:pPr>
        <w:spacing w:line="360" w:lineRule="auto"/>
        <w:ind w:right="-93"/>
        <w:jc w:val="both"/>
        <w:rPr>
          <w:rFonts w:ascii="Palatino Linotype" w:hAnsi="Palatino Linotype" w:cs="Tahoma"/>
          <w:bCs/>
          <w:sz w:val="22"/>
          <w:szCs w:val="22"/>
        </w:rPr>
      </w:pPr>
      <w:r w:rsidRPr="00DB09FD">
        <w:rPr>
          <w:rFonts w:ascii="Palatino Linotype" w:hAnsi="Palatino Linotype" w:cs="Tahoma"/>
          <w:bCs/>
          <w:noProof/>
          <w:sz w:val="22"/>
          <w:szCs w:val="22"/>
        </w:rPr>
        <w:drawing>
          <wp:inline distT="0" distB="0" distL="0" distR="0" wp14:anchorId="329B953E" wp14:editId="6E7505B2">
            <wp:extent cx="5629275" cy="3305175"/>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719" b="12287"/>
                    <a:stretch/>
                  </pic:blipFill>
                  <pic:spPr bwMode="auto">
                    <a:xfrm>
                      <a:off x="0" y="0"/>
                      <a:ext cx="5636031" cy="3309142"/>
                    </a:xfrm>
                    <a:prstGeom prst="rect">
                      <a:avLst/>
                    </a:prstGeom>
                    <a:ln>
                      <a:noFill/>
                    </a:ln>
                    <a:extLst>
                      <a:ext uri="{53640926-AAD7-44D8-BBD7-CCE9431645EC}">
                        <a14:shadowObscured xmlns:a14="http://schemas.microsoft.com/office/drawing/2010/main"/>
                      </a:ext>
                    </a:extLst>
                  </pic:spPr>
                </pic:pic>
              </a:graphicData>
            </a:graphic>
          </wp:inline>
        </w:drawing>
      </w:r>
    </w:p>
    <w:p w14:paraId="49288D9E" w14:textId="37019392" w:rsidR="00BF0BAB" w:rsidRPr="00DB09FD" w:rsidRDefault="00FD1713" w:rsidP="00BF0BAB">
      <w:pPr>
        <w:spacing w:line="360" w:lineRule="auto"/>
        <w:ind w:right="-93"/>
        <w:jc w:val="both"/>
        <w:rPr>
          <w:rFonts w:ascii="Palatino Linotype" w:hAnsi="Palatino Linotype" w:cs="Tahoma"/>
          <w:bCs/>
          <w:sz w:val="22"/>
          <w:szCs w:val="22"/>
        </w:rPr>
      </w:pPr>
      <w:r w:rsidRPr="00DB09FD">
        <w:rPr>
          <w:rFonts w:ascii="Palatino Linotype" w:hAnsi="Palatino Linotype" w:cs="Tahoma"/>
          <w:bCs/>
          <w:sz w:val="22"/>
          <w:szCs w:val="22"/>
        </w:rPr>
        <w:t>De igual forma, de manera enunciativa el documento</w:t>
      </w:r>
      <w:r w:rsidR="00BF0BAB" w:rsidRPr="00DB09FD">
        <w:rPr>
          <w:rFonts w:ascii="Palatino Linotype" w:hAnsi="Palatino Linotype" w:cs="Tahoma"/>
          <w:bCs/>
          <w:sz w:val="22"/>
          <w:szCs w:val="22"/>
        </w:rPr>
        <w:t xml:space="preserve"> que puede dar cuenta de lo requerido es el "Diario de Ingresos" tiene como propósito primordial documentar las operaciones diarias relacionadas con los ingresos de la entidad. Este registro sistemático permite un control detallado de las entradas monetarias, </w:t>
      </w:r>
      <w:r w:rsidR="00BF0BAB" w:rsidRPr="00DB09FD">
        <w:rPr>
          <w:rFonts w:ascii="Palatino Linotype" w:hAnsi="Palatino Linotype" w:cs="Tahoma"/>
          <w:b/>
          <w:bCs/>
          <w:sz w:val="22"/>
          <w:szCs w:val="22"/>
        </w:rPr>
        <w:t>facilitando así la supervisión y auditoría de las misma</w:t>
      </w:r>
      <w:r w:rsidR="00BF0BAB" w:rsidRPr="00DB09FD">
        <w:rPr>
          <w:rFonts w:ascii="Palatino Linotype" w:hAnsi="Palatino Linotype" w:cs="Tahoma"/>
          <w:bCs/>
          <w:sz w:val="22"/>
          <w:szCs w:val="22"/>
        </w:rPr>
        <w:t>s, utilizar este documento, se garantiza no solo la integridad y exactitud de la información presentada, sino también la confianza en los procesos administrativos de la entidad.</w:t>
      </w:r>
    </w:p>
    <w:p w14:paraId="33CDC389" w14:textId="77777777" w:rsidR="00BF0BAB" w:rsidRPr="00DB09FD" w:rsidRDefault="00BF0BAB" w:rsidP="00BF0BAB">
      <w:pPr>
        <w:spacing w:line="360" w:lineRule="auto"/>
        <w:ind w:right="-93"/>
        <w:jc w:val="both"/>
        <w:rPr>
          <w:rFonts w:ascii="Palatino Linotype" w:hAnsi="Palatino Linotype" w:cs="Tahoma"/>
          <w:bCs/>
          <w:sz w:val="22"/>
          <w:szCs w:val="22"/>
        </w:rPr>
      </w:pPr>
    </w:p>
    <w:p w14:paraId="77D33023" w14:textId="77777777" w:rsidR="00BF0BAB" w:rsidRPr="00DB09FD" w:rsidRDefault="00BF0BAB" w:rsidP="00BF0BAB">
      <w:pPr>
        <w:spacing w:line="360" w:lineRule="auto"/>
        <w:ind w:right="-93"/>
        <w:jc w:val="both"/>
        <w:rPr>
          <w:rFonts w:ascii="Palatino Linotype" w:hAnsi="Palatino Linotype" w:cs="Tahoma"/>
          <w:bCs/>
          <w:sz w:val="22"/>
          <w:szCs w:val="22"/>
        </w:rPr>
      </w:pPr>
      <w:r w:rsidRPr="00DB09FD">
        <w:rPr>
          <w:rFonts w:ascii="Palatino Linotype" w:hAnsi="Palatino Linotype" w:cs="Tahoma"/>
          <w:bCs/>
          <w:sz w:val="22"/>
          <w:szCs w:val="22"/>
        </w:rPr>
        <w:t xml:space="preserve">Entonces el Diario de Ingresos no solo cumple con la función de registro, sino que también facilita la elaboración de los informes trimestrales requeridos por las normativas municipales. </w:t>
      </w:r>
      <w:r w:rsidRPr="00DB09FD">
        <w:rPr>
          <w:rFonts w:ascii="Palatino Linotype" w:hAnsi="Palatino Linotype" w:cs="Tahoma"/>
          <w:b/>
          <w:bCs/>
          <w:sz w:val="22"/>
          <w:szCs w:val="22"/>
        </w:rPr>
        <w:t xml:space="preserve">Al detallar cada entrada de recursos, permite una revisión exhaustiva de los movimientos financieros, lo que contribuye a la claridad y transparencia en la gestión de los fondos públicos. </w:t>
      </w:r>
      <w:r w:rsidRPr="00DB09FD">
        <w:rPr>
          <w:rFonts w:ascii="Palatino Linotype" w:hAnsi="Palatino Linotype" w:cs="Tahoma"/>
          <w:bCs/>
          <w:sz w:val="22"/>
          <w:szCs w:val="22"/>
        </w:rPr>
        <w:t>Además, es importante resaltar que este documento está alineado con los criterios establecidos en el "Informe Trimestral Municipal", los cuales han sido diseñados para garantizar una adecuada rendición de cuentas. La adopción de este formato estandarizado permite que los datos financieros sean comparables y consistentes a lo largo del tiempo, facilitando así la evaluación de la situación económica de la entidad por parte de los órganos de control y la ciudadanía en general.</w:t>
      </w:r>
    </w:p>
    <w:p w14:paraId="7BEAB8F4" w14:textId="77777777" w:rsidR="00BF0BAB" w:rsidRPr="00DB09FD" w:rsidRDefault="00BF0BAB" w:rsidP="00BF0BAB">
      <w:pPr>
        <w:spacing w:line="360" w:lineRule="auto"/>
        <w:ind w:right="-93"/>
        <w:jc w:val="both"/>
        <w:rPr>
          <w:rFonts w:ascii="Palatino Linotype" w:hAnsi="Palatino Linotype" w:cs="Tahoma"/>
          <w:b/>
          <w:bCs/>
          <w:sz w:val="22"/>
          <w:szCs w:val="22"/>
        </w:rPr>
      </w:pPr>
    </w:p>
    <w:p w14:paraId="76C66DC9" w14:textId="77777777" w:rsidR="00BF0BAB" w:rsidRPr="00DB09FD" w:rsidRDefault="00BF0BAB" w:rsidP="00BF0BAB">
      <w:pPr>
        <w:spacing w:line="360" w:lineRule="auto"/>
        <w:ind w:right="-93"/>
        <w:jc w:val="both"/>
        <w:rPr>
          <w:rFonts w:ascii="Palatino Linotype" w:hAnsi="Palatino Linotype" w:cs="Tahoma"/>
          <w:bCs/>
          <w:sz w:val="22"/>
          <w:szCs w:val="22"/>
        </w:rPr>
      </w:pPr>
      <w:r w:rsidRPr="00DB09FD">
        <w:rPr>
          <w:rFonts w:ascii="Palatino Linotype" w:hAnsi="Palatino Linotype" w:cs="Tahoma"/>
          <w:bCs/>
          <w:sz w:val="22"/>
          <w:szCs w:val="22"/>
        </w:rPr>
        <w:t>En este sentido, la implementación del "</w:t>
      </w:r>
      <w:r w:rsidRPr="00DB09FD">
        <w:rPr>
          <w:rFonts w:ascii="Palatino Linotype" w:hAnsi="Palatino Linotype" w:cs="Tahoma"/>
          <w:bCs/>
          <w:i/>
          <w:sz w:val="22"/>
          <w:szCs w:val="22"/>
        </w:rPr>
        <w:t>Diario de Ingresos</w:t>
      </w:r>
      <w:r w:rsidRPr="00DB09FD">
        <w:rPr>
          <w:rFonts w:ascii="Palatino Linotype" w:hAnsi="Palatino Linotype" w:cs="Tahoma"/>
          <w:bCs/>
          <w:sz w:val="22"/>
          <w:szCs w:val="22"/>
        </w:rPr>
        <w:t xml:space="preserve">" responde a la necesidad de una administración financiera responsable, en la que cada operación sea debidamente registrada y clasificada. </w:t>
      </w:r>
    </w:p>
    <w:p w14:paraId="356EAFAE" w14:textId="77777777" w:rsidR="00BF0BAB" w:rsidRPr="00DB09FD" w:rsidRDefault="00BF0BAB" w:rsidP="00BF0BAB">
      <w:pPr>
        <w:spacing w:line="360" w:lineRule="auto"/>
        <w:ind w:right="-93"/>
        <w:jc w:val="center"/>
        <w:rPr>
          <w:rFonts w:ascii="Palatino Linotype" w:hAnsi="Palatino Linotype" w:cs="Tahoma"/>
          <w:bCs/>
          <w:sz w:val="22"/>
          <w:szCs w:val="22"/>
        </w:rPr>
      </w:pPr>
      <w:r w:rsidRPr="00DB09FD">
        <w:rPr>
          <w:rFonts w:ascii="Palatino Linotype" w:hAnsi="Palatino Linotype" w:cs="Tahoma"/>
          <w:bCs/>
          <w:noProof/>
          <w:sz w:val="22"/>
          <w:szCs w:val="22"/>
        </w:rPr>
        <w:drawing>
          <wp:inline distT="0" distB="0" distL="0" distR="0" wp14:anchorId="22A58D8C" wp14:editId="4433E7B6">
            <wp:extent cx="3296678" cy="2491077"/>
            <wp:effectExtent l="0" t="0" r="0" b="5080"/>
            <wp:docPr id="75636708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4030" cy="2496632"/>
                    </a:xfrm>
                    <a:prstGeom prst="rect">
                      <a:avLst/>
                    </a:prstGeom>
                    <a:noFill/>
                    <a:ln>
                      <a:noFill/>
                    </a:ln>
                  </pic:spPr>
                </pic:pic>
              </a:graphicData>
            </a:graphic>
          </wp:inline>
        </w:drawing>
      </w:r>
    </w:p>
    <w:p w14:paraId="72568332" w14:textId="77777777" w:rsidR="00BF0BAB" w:rsidRPr="00DB09FD" w:rsidRDefault="00BF0BAB" w:rsidP="00BF0BAB">
      <w:pPr>
        <w:spacing w:line="360" w:lineRule="auto"/>
        <w:ind w:right="-93"/>
        <w:jc w:val="both"/>
        <w:rPr>
          <w:rFonts w:ascii="Palatino Linotype" w:hAnsi="Palatino Linotype" w:cs="Tahoma"/>
          <w:bCs/>
          <w:sz w:val="22"/>
          <w:szCs w:val="22"/>
        </w:rPr>
      </w:pPr>
    </w:p>
    <w:p w14:paraId="7BF3FEF6" w14:textId="258A6225" w:rsidR="00BF0BAB" w:rsidRPr="00DB09FD" w:rsidRDefault="00BF0BAB" w:rsidP="00BF0BAB">
      <w:pPr>
        <w:spacing w:line="360" w:lineRule="auto"/>
        <w:ind w:right="-93"/>
        <w:jc w:val="both"/>
        <w:rPr>
          <w:rFonts w:ascii="Palatino Linotype" w:hAnsi="Palatino Linotype" w:cs="Tahoma"/>
          <w:bCs/>
          <w:sz w:val="22"/>
          <w:szCs w:val="22"/>
        </w:rPr>
      </w:pPr>
      <w:r w:rsidRPr="00DB09FD">
        <w:rPr>
          <w:rFonts w:ascii="Palatino Linotype" w:hAnsi="Palatino Linotype" w:cs="Tahoma"/>
          <w:bCs/>
          <w:sz w:val="22"/>
          <w:szCs w:val="22"/>
        </w:rPr>
        <w:t>Los informes trimestrales, junto con el "</w:t>
      </w:r>
      <w:r w:rsidRPr="00DB09FD">
        <w:rPr>
          <w:rFonts w:ascii="Palatino Linotype" w:hAnsi="Palatino Linotype" w:cs="Tahoma"/>
          <w:bCs/>
          <w:i/>
          <w:sz w:val="22"/>
          <w:szCs w:val="22"/>
        </w:rPr>
        <w:t>Diario de Ingresos</w:t>
      </w:r>
      <w:r w:rsidRPr="00DB09FD">
        <w:rPr>
          <w:rFonts w:ascii="Palatino Linotype" w:hAnsi="Palatino Linotype" w:cs="Tahoma"/>
          <w:bCs/>
          <w:sz w:val="22"/>
          <w:szCs w:val="22"/>
        </w:rPr>
        <w:t>", permiten una evaluación precisa y continua del manejo de los ingresos. Estos documentos son esenciales para que el Órgano Superior de Fiscalización del Estado de México pueda realizar una supervisión efectiva, asegurando que los fondos se utilicen de manera adecuada y conforme a los principios de eficiencia y legalidad.</w:t>
      </w:r>
    </w:p>
    <w:p w14:paraId="48E3E9ED" w14:textId="6A9203AF" w:rsidR="00FD1713" w:rsidRPr="00DB09FD" w:rsidRDefault="00FD1713" w:rsidP="00BF0BAB">
      <w:pPr>
        <w:spacing w:line="360" w:lineRule="auto"/>
        <w:ind w:right="-93"/>
        <w:jc w:val="both"/>
        <w:rPr>
          <w:rFonts w:ascii="Palatino Linotype" w:hAnsi="Palatino Linotype" w:cs="Tahoma"/>
          <w:b/>
          <w:sz w:val="22"/>
          <w:szCs w:val="22"/>
        </w:rPr>
      </w:pPr>
    </w:p>
    <w:p w14:paraId="7EA44190" w14:textId="076BD308" w:rsidR="00FD1713" w:rsidRPr="00DB09FD" w:rsidRDefault="00FD1713" w:rsidP="00FD1713">
      <w:pPr>
        <w:pStyle w:val="Prrafodelista"/>
        <w:numPr>
          <w:ilvl w:val="0"/>
          <w:numId w:val="10"/>
        </w:numPr>
        <w:spacing w:line="360" w:lineRule="auto"/>
        <w:ind w:right="-93"/>
        <w:jc w:val="both"/>
        <w:rPr>
          <w:rFonts w:ascii="Palatino Linotype" w:hAnsi="Palatino Linotype" w:cs="Tahoma"/>
          <w:b/>
          <w:sz w:val="22"/>
          <w:szCs w:val="22"/>
        </w:rPr>
      </w:pPr>
      <w:r w:rsidRPr="00DB09FD">
        <w:rPr>
          <w:rFonts w:ascii="Palatino Linotype" w:hAnsi="Palatino Linotype" w:cs="Tahoma"/>
          <w:b/>
          <w:sz w:val="22"/>
          <w:szCs w:val="22"/>
        </w:rPr>
        <w:t>Conciliaciones bancarias y sus estados de cuenta</w:t>
      </w:r>
    </w:p>
    <w:p w14:paraId="4E8B9C4B" w14:textId="77777777" w:rsidR="00FD1713" w:rsidRPr="00DB09FD" w:rsidRDefault="00FD1713" w:rsidP="00FD1713">
      <w:pPr>
        <w:pStyle w:val="Prrafodelista"/>
        <w:spacing w:line="360" w:lineRule="auto"/>
        <w:ind w:right="-93"/>
        <w:jc w:val="both"/>
        <w:rPr>
          <w:rFonts w:ascii="Palatino Linotype" w:hAnsi="Palatino Linotype" w:cs="Tahoma"/>
          <w:bCs/>
          <w:sz w:val="22"/>
          <w:szCs w:val="22"/>
        </w:rPr>
      </w:pPr>
    </w:p>
    <w:p w14:paraId="7E3F9980" w14:textId="1573E6DE" w:rsidR="00D73DD0" w:rsidRPr="00DB09FD" w:rsidRDefault="00FD1713" w:rsidP="00D73DD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B09FD">
        <w:rPr>
          <w:rFonts w:ascii="Palatino Linotype" w:hAnsi="Palatino Linotype" w:cs="Tahoma"/>
          <w:bCs/>
          <w:sz w:val="22"/>
          <w:szCs w:val="22"/>
        </w:rPr>
        <w:t>E</w:t>
      </w:r>
      <w:r w:rsidR="00153CE3" w:rsidRPr="00DB09FD">
        <w:rPr>
          <w:rFonts w:ascii="Palatino Linotype" w:hAnsi="Palatino Linotype" w:cs="Tahoma"/>
          <w:bCs/>
          <w:sz w:val="22"/>
          <w:szCs w:val="22"/>
        </w:rPr>
        <w:t xml:space="preserve">s de mencionar que </w:t>
      </w:r>
      <w:r w:rsidR="00D73DD0" w:rsidRPr="00DB09FD">
        <w:rPr>
          <w:rFonts w:ascii="Palatino Linotype" w:hAnsi="Palatino Linotype" w:cs="Tahoma"/>
          <w:bCs/>
          <w:sz w:val="22"/>
          <w:szCs w:val="22"/>
        </w:rPr>
        <w:t xml:space="preserve">el </w:t>
      </w:r>
      <w:r w:rsidR="00D73DD0" w:rsidRPr="00DB09FD">
        <w:rPr>
          <w:rFonts w:ascii="Palatino Linotype" w:eastAsia="Palatino Linotype" w:hAnsi="Palatino Linotype" w:cs="Palatino Linotype"/>
          <w:sz w:val="22"/>
          <w:szCs w:val="22"/>
        </w:rPr>
        <w:t xml:space="preserve"> </w:t>
      </w:r>
      <w:r w:rsidR="00D73DD0" w:rsidRPr="00DB09FD">
        <w:rPr>
          <w:rFonts w:ascii="Palatino Linotype" w:eastAsia="Palatino Linotype" w:hAnsi="Palatino Linotype" w:cs="Palatino Linotype"/>
          <w:b/>
          <w:sz w:val="22"/>
          <w:szCs w:val="22"/>
          <w:u w:val="single"/>
        </w:rPr>
        <w:t>Manual Único de Contabilidad Gubernamental para los Entes Públicos del Gobierno y Municipios del Estado de México</w:t>
      </w:r>
      <w:r w:rsidR="00D73DD0" w:rsidRPr="00DB09FD">
        <w:rPr>
          <w:rFonts w:ascii="Palatino Linotype" w:eastAsia="Palatino Linotype" w:hAnsi="Palatino Linotype" w:cs="Palatino Linotype"/>
          <w:sz w:val="22"/>
          <w:szCs w:val="22"/>
        </w:rPr>
        <w:t>, el cual reúne en un solo documento todos los elementos del Sistema Contable, además de ofrecer las herramientas y métodos necesarios para registrar correctamente las operaciones financieras y aporta los elementos necesarios que les permitan contabilizar sus operaciones al establecer los criterios en materia de Contabilidad Gubernamental, y constituye una herramienta básica para el registro de las operaciones que otorgan consistencia en la presentación de los resultados del ejercicio y facilita su interpretación, proporcionando las bases para consolidar bajo criterios uniformes y homogéneos la información contable, definen como conciliación a la vinculación del Estado de Actividades y el ejercicio del presupuesto tanto de ingresos como de egresos se hacen en el momento contable del devengado, por lo que resulta conveniente utilizar este momento contable para llevar a cabo la conciliación entre los conceptos contables y presupuestarios. Que para efectos de rendición de cuentas, fiscalización y transparencia resulta oportuno realizar una conciliación entre el resultado contable y el resultado presupuestario.</w:t>
      </w:r>
    </w:p>
    <w:p w14:paraId="3157A2A3" w14:textId="0A070376" w:rsidR="00D73DD0" w:rsidRPr="00DB09FD" w:rsidRDefault="00D73DD0" w:rsidP="00D73DD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024E731" w14:textId="3213305C" w:rsidR="00D73DD0" w:rsidRPr="00DB09FD" w:rsidRDefault="00D73DD0" w:rsidP="00D73DD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 xml:space="preserve">Dentro de las políticas de registro de dicho Manual se establece la relativa a los Bancos, misma que representa el monto de efectivo disponible propiedad del ente público, en instituciones financieras; mensualmente la unidad de Contabilidad del Departamento de Administración y Finanzas deberá efectuar las conciliaciones bancarias para cada una de las cuentas corrientes habilitadas, procedimiento destinado a determinar los saldos efectivos de acuerdo a los registros de control de fondos y señala que el proceso de conciliación, se deberá verificar lo siguiente: </w:t>
      </w:r>
    </w:p>
    <w:p w14:paraId="25331A02" w14:textId="347982E0" w:rsidR="00D73DD0" w:rsidRPr="00DB09FD" w:rsidRDefault="00D73DD0" w:rsidP="00D73DD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49E99CA" w14:textId="2B1129F6" w:rsidR="00D73DD0" w:rsidRPr="00DB09FD" w:rsidRDefault="00D73DD0" w:rsidP="00D73DD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noProof/>
          <w:sz w:val="22"/>
          <w:szCs w:val="22"/>
        </w:rPr>
        <w:drawing>
          <wp:inline distT="0" distB="0" distL="0" distR="0" wp14:anchorId="4C839AC8" wp14:editId="26D5ECC6">
            <wp:extent cx="5612130" cy="97853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978535"/>
                    </a:xfrm>
                    <a:prstGeom prst="rect">
                      <a:avLst/>
                    </a:prstGeom>
                  </pic:spPr>
                </pic:pic>
              </a:graphicData>
            </a:graphic>
          </wp:inline>
        </w:drawing>
      </w:r>
    </w:p>
    <w:p w14:paraId="45CFD135" w14:textId="043309CF" w:rsidR="00D73DD0" w:rsidRPr="00DB09FD" w:rsidRDefault="00D73DD0" w:rsidP="00D73DD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noProof/>
          <w:sz w:val="22"/>
          <w:szCs w:val="22"/>
        </w:rPr>
        <w:drawing>
          <wp:inline distT="0" distB="0" distL="0" distR="0" wp14:anchorId="350BF1FD" wp14:editId="7C4BC65F">
            <wp:extent cx="5612130" cy="99758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997585"/>
                    </a:xfrm>
                    <a:prstGeom prst="rect">
                      <a:avLst/>
                    </a:prstGeom>
                  </pic:spPr>
                </pic:pic>
              </a:graphicData>
            </a:graphic>
          </wp:inline>
        </w:drawing>
      </w:r>
    </w:p>
    <w:p w14:paraId="4C3AE1A9" w14:textId="09B17589" w:rsidR="00153CE3" w:rsidRPr="00DB09FD" w:rsidRDefault="0035743E" w:rsidP="00153CE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 xml:space="preserve">Ahora bien, no se omite comentar que las </w:t>
      </w:r>
      <w:r w:rsidR="00153CE3" w:rsidRPr="00DB09FD">
        <w:rPr>
          <w:rFonts w:ascii="Palatino Linotype" w:eastAsia="Palatino Linotype" w:hAnsi="Palatino Linotype" w:cs="Palatino Linotype"/>
          <w:sz w:val="22"/>
          <w:szCs w:val="22"/>
        </w:rPr>
        <w:t>cuentas de instituciones pública, son considerados como información pública, pues su difusión favorece la rendición de cuentas al transparentar la forma en que se administrar los recursos públicos; situación que se robustece con el Criterio orientador 11/17, del entonces Instituto Nacional de Transparencia, Acceso a la Información y Protección de Datos Personales, que a la letra precisa:</w:t>
      </w:r>
    </w:p>
    <w:p w14:paraId="09EFF387" w14:textId="77777777" w:rsidR="00153CE3" w:rsidRPr="00DB09FD" w:rsidRDefault="00153CE3" w:rsidP="00153CE3">
      <w:pPr>
        <w:spacing w:line="360" w:lineRule="auto"/>
        <w:jc w:val="both"/>
        <w:rPr>
          <w:rFonts w:ascii="Palatino Linotype" w:eastAsia="Palatino Linotype" w:hAnsi="Palatino Linotype" w:cs="Palatino Linotype"/>
          <w:sz w:val="22"/>
          <w:szCs w:val="22"/>
        </w:rPr>
      </w:pPr>
    </w:p>
    <w:p w14:paraId="555E416E" w14:textId="77777777" w:rsidR="00153CE3" w:rsidRPr="00DB09FD" w:rsidRDefault="00153CE3" w:rsidP="00153CE3">
      <w:pPr>
        <w:tabs>
          <w:tab w:val="left" w:pos="7938"/>
        </w:tabs>
        <w:spacing w:line="276" w:lineRule="auto"/>
        <w:ind w:left="851" w:right="708"/>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w:t>
      </w:r>
      <w:r w:rsidRPr="00DB09FD">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DB09FD">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1C010C6E" w14:textId="77777777" w:rsidR="00153CE3" w:rsidRPr="00DB09FD" w:rsidRDefault="00153CE3" w:rsidP="00153CE3">
      <w:pPr>
        <w:spacing w:line="360" w:lineRule="auto"/>
        <w:jc w:val="both"/>
        <w:rPr>
          <w:rFonts w:ascii="Palatino Linotype" w:eastAsia="Palatino Linotype" w:hAnsi="Palatino Linotype" w:cs="Palatino Linotype"/>
          <w:sz w:val="22"/>
          <w:szCs w:val="22"/>
        </w:rPr>
      </w:pPr>
    </w:p>
    <w:p w14:paraId="101B9C4C" w14:textId="765EF4FC" w:rsidR="00153CE3" w:rsidRPr="00DB09FD" w:rsidRDefault="0035743E" w:rsidP="00894EA3">
      <w:pPr>
        <w:tabs>
          <w:tab w:val="left" w:pos="7095"/>
        </w:tabs>
        <w:spacing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 xml:space="preserve">Por lo que procede su entrega, de ser el caso en versión pública. </w:t>
      </w:r>
      <w:r w:rsidR="006132C8" w:rsidRPr="00DB09FD">
        <w:rPr>
          <w:rFonts w:ascii="Palatino Linotype" w:eastAsia="Palatino Linotype" w:hAnsi="Palatino Linotype" w:cs="Palatino Linotype"/>
          <w:sz w:val="22"/>
          <w:szCs w:val="22"/>
        </w:rPr>
        <w:tab/>
      </w:r>
    </w:p>
    <w:p w14:paraId="33E95791" w14:textId="77777777" w:rsidR="00894EA3" w:rsidRPr="00DB09FD" w:rsidRDefault="00894EA3" w:rsidP="00894EA3">
      <w:pPr>
        <w:tabs>
          <w:tab w:val="left" w:pos="7095"/>
        </w:tabs>
        <w:spacing w:line="360" w:lineRule="auto"/>
        <w:jc w:val="both"/>
        <w:rPr>
          <w:rFonts w:ascii="Palatino Linotype" w:eastAsia="Palatino Linotype" w:hAnsi="Palatino Linotype" w:cs="Palatino Linotype"/>
          <w:sz w:val="22"/>
          <w:szCs w:val="22"/>
        </w:rPr>
      </w:pPr>
    </w:p>
    <w:p w14:paraId="31F6DCDF" w14:textId="3FD1DCAC" w:rsidR="00894EA3" w:rsidRPr="00DB09FD" w:rsidRDefault="00894EA3" w:rsidP="00894EA3">
      <w:pPr>
        <w:pStyle w:val="NormalWeb"/>
        <w:spacing w:before="0" w:beforeAutospacing="0" w:after="0" w:afterAutospacing="0" w:line="360" w:lineRule="auto"/>
        <w:jc w:val="both"/>
        <w:rPr>
          <w:rFonts w:ascii="Palatino Linotype" w:hAnsi="Palatino Linotype"/>
          <w:sz w:val="22"/>
          <w:szCs w:val="22"/>
        </w:rPr>
      </w:pPr>
      <w:r w:rsidRPr="00DB09FD">
        <w:rPr>
          <w:rFonts w:ascii="Palatino Linotype" w:hAnsi="Palatino Linotype"/>
          <w:sz w:val="22"/>
          <w:szCs w:val="22"/>
        </w:rPr>
        <w:t>Finalmente, no pasa por desapercibido que, en algunos documentos entregados en respuesta, no fueron testados datos de índole confidencial como lo es, de manera enunciativa más no limitativa la CURP de un servidor público, el cual actualiza el supuesto de clasificación previsto en el artículo 143, fracción I de la Ley de Transparencia y Acceso a la Información Pública del Estado de México y Municipios.</w:t>
      </w:r>
    </w:p>
    <w:p w14:paraId="668413A0" w14:textId="77777777" w:rsidR="00894EA3" w:rsidRPr="00DB09FD" w:rsidRDefault="00894EA3" w:rsidP="00894EA3">
      <w:pPr>
        <w:spacing w:line="360" w:lineRule="auto"/>
        <w:rPr>
          <w:rFonts w:ascii="Palatino Linotype" w:hAnsi="Palatino Linotype"/>
          <w:sz w:val="22"/>
          <w:szCs w:val="22"/>
        </w:rPr>
      </w:pPr>
    </w:p>
    <w:p w14:paraId="73F1DF4D" w14:textId="77777777" w:rsidR="00894EA3" w:rsidRPr="00DB09FD" w:rsidRDefault="00894EA3" w:rsidP="00894EA3">
      <w:pPr>
        <w:pStyle w:val="NormalWeb"/>
        <w:spacing w:before="0" w:beforeAutospacing="0" w:after="0" w:afterAutospacing="0" w:line="360" w:lineRule="auto"/>
        <w:ind w:right="51"/>
        <w:jc w:val="both"/>
        <w:rPr>
          <w:rFonts w:ascii="Palatino Linotype" w:hAnsi="Palatino Linotype"/>
          <w:sz w:val="22"/>
          <w:szCs w:val="22"/>
        </w:rPr>
      </w:pPr>
      <w:r w:rsidRPr="00DB09FD">
        <w:rPr>
          <w:rFonts w:ascii="Palatino Linotype" w:hAnsi="Palatino Linotype"/>
          <w:sz w:val="22"/>
          <w:szCs w:val="22"/>
        </w:rPr>
        <w:t>Situación la anterior, por la que, de tratarse de datos personales de índole confidencial; resulta procedente girar oficio al Titular de la Dirección General de Protección de Datos Personales, en atención al artículo 82, fracción XXVII de la Ley de Protección de Datos Personales del Estado de México y Municipios, para efectos de que en ejercicio de sus atribuciones determine lo conducente.</w:t>
      </w:r>
    </w:p>
    <w:p w14:paraId="30A68D1A" w14:textId="77777777" w:rsidR="006132C8" w:rsidRPr="00DB09FD" w:rsidRDefault="006132C8" w:rsidP="006132C8">
      <w:pPr>
        <w:spacing w:before="240" w:after="240" w:line="360" w:lineRule="auto"/>
        <w:ind w:right="51"/>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b/>
          <w:sz w:val="22"/>
          <w:szCs w:val="22"/>
        </w:rPr>
        <w:t xml:space="preserve">Quinto. Versión Pública. </w:t>
      </w:r>
      <w:r w:rsidRPr="00DB09FD">
        <w:rPr>
          <w:rFonts w:ascii="Palatino Linotype" w:eastAsia="Palatino Linotype" w:hAnsi="Palatino Linotype" w:cs="Palatino Linotype"/>
          <w:sz w:val="22"/>
          <w:szCs w:val="22"/>
        </w:rPr>
        <w:t>Como fue debidamente apuntado, el </w:t>
      </w:r>
      <w:r w:rsidRPr="00DB09FD">
        <w:rPr>
          <w:rFonts w:ascii="Palatino Linotype" w:eastAsia="Palatino Linotype" w:hAnsi="Palatino Linotype" w:cs="Palatino Linotype"/>
          <w:b/>
          <w:sz w:val="22"/>
          <w:szCs w:val="22"/>
        </w:rPr>
        <w:t>Sujeto Obligado</w:t>
      </w:r>
      <w:r w:rsidRPr="00DB09FD">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007FD8BE" w14:textId="77777777" w:rsidR="006132C8" w:rsidRPr="00DB09FD" w:rsidRDefault="006132C8" w:rsidP="006132C8">
      <w:pPr>
        <w:spacing w:before="240" w:after="240" w:line="360" w:lineRule="auto"/>
        <w:ind w:right="49"/>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43AAB0A3" w14:textId="77777777" w:rsidR="006132C8" w:rsidRPr="00DB09FD" w:rsidRDefault="006132C8" w:rsidP="006132C8">
      <w:pPr>
        <w:spacing w:before="240" w:after="240" w:line="360" w:lineRule="auto"/>
        <w:ind w:right="49"/>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06473F3A" w14:textId="77777777" w:rsidR="006132C8" w:rsidRPr="00DB09FD" w:rsidRDefault="006132C8" w:rsidP="006132C8">
      <w:pPr>
        <w:spacing w:before="240" w:after="240" w:line="360" w:lineRule="auto"/>
        <w:ind w:right="49"/>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establecen:</w:t>
      </w:r>
    </w:p>
    <w:p w14:paraId="7651431F" w14:textId="77777777" w:rsidR="006132C8" w:rsidRPr="00DB09FD" w:rsidRDefault="006132C8" w:rsidP="006132C8">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sz w:val="22"/>
          <w:szCs w:val="22"/>
        </w:rPr>
        <w:t> </w:t>
      </w:r>
      <w:r w:rsidRPr="00DB09FD">
        <w:rPr>
          <w:rFonts w:ascii="Palatino Linotype" w:eastAsia="Palatino Linotype" w:hAnsi="Palatino Linotype" w:cs="Palatino Linotype"/>
          <w:i/>
          <w:sz w:val="22"/>
          <w:szCs w:val="22"/>
        </w:rPr>
        <w:t>“</w:t>
      </w:r>
      <w:r w:rsidRPr="00DB09FD">
        <w:rPr>
          <w:rFonts w:ascii="Palatino Linotype" w:eastAsia="Palatino Linotype" w:hAnsi="Palatino Linotype" w:cs="Palatino Linotype"/>
          <w:b/>
          <w:i/>
          <w:sz w:val="22"/>
          <w:szCs w:val="22"/>
        </w:rPr>
        <w:t>Artículo 3.</w:t>
      </w:r>
      <w:r w:rsidRPr="00DB09FD">
        <w:rPr>
          <w:rFonts w:ascii="Palatino Linotype" w:eastAsia="Palatino Linotype" w:hAnsi="Palatino Linotype" w:cs="Palatino Linotype"/>
          <w:i/>
          <w:sz w:val="22"/>
          <w:szCs w:val="22"/>
        </w:rPr>
        <w:t xml:space="preserve"> Para los efectos de la presente Ley se entenderá por:</w:t>
      </w:r>
    </w:p>
    <w:p w14:paraId="2688FF2A" w14:textId="77777777" w:rsidR="006132C8" w:rsidRPr="00DB09FD" w:rsidRDefault="006132C8" w:rsidP="006132C8">
      <w:pPr>
        <w:tabs>
          <w:tab w:val="left" w:pos="1276"/>
        </w:tabs>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w:t>
      </w:r>
    </w:p>
    <w:p w14:paraId="70B1AE52" w14:textId="77777777" w:rsidR="006132C8" w:rsidRPr="00DB09FD" w:rsidRDefault="006132C8" w:rsidP="006132C8">
      <w:pPr>
        <w:tabs>
          <w:tab w:val="left" w:pos="1276"/>
        </w:tabs>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IX. Datos personales</w:t>
      </w:r>
      <w:r w:rsidRPr="00DB09FD">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6B79653D" w14:textId="77777777" w:rsidR="006132C8" w:rsidRPr="00DB09FD" w:rsidRDefault="006132C8" w:rsidP="006132C8">
      <w:pPr>
        <w:tabs>
          <w:tab w:val="left" w:pos="1276"/>
        </w:tabs>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w:t>
      </w:r>
    </w:p>
    <w:p w14:paraId="2B2DD344" w14:textId="77777777" w:rsidR="006132C8" w:rsidRPr="00DB09FD" w:rsidRDefault="006132C8" w:rsidP="006132C8">
      <w:pPr>
        <w:tabs>
          <w:tab w:val="left" w:pos="1276"/>
        </w:tabs>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XX. Información clasificada</w:t>
      </w:r>
      <w:r w:rsidRPr="00DB09FD">
        <w:rPr>
          <w:rFonts w:ascii="Palatino Linotype" w:eastAsia="Palatino Linotype" w:hAnsi="Palatino Linotype" w:cs="Palatino Linotype"/>
          <w:i/>
          <w:sz w:val="22"/>
          <w:szCs w:val="22"/>
        </w:rPr>
        <w:t>: Aquella considerada por la presente Ley como reservada o confidencial;</w:t>
      </w:r>
    </w:p>
    <w:p w14:paraId="180EA628" w14:textId="77777777" w:rsidR="006132C8" w:rsidRPr="00DB09FD" w:rsidRDefault="006132C8" w:rsidP="006132C8">
      <w:pPr>
        <w:tabs>
          <w:tab w:val="left" w:pos="1276"/>
        </w:tabs>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XXI. Información confidencial</w:t>
      </w:r>
      <w:r w:rsidRPr="00DB09FD">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50906D4" w14:textId="77777777" w:rsidR="006132C8" w:rsidRPr="00DB09FD" w:rsidRDefault="006132C8" w:rsidP="006132C8">
      <w:pPr>
        <w:tabs>
          <w:tab w:val="left" w:pos="1276"/>
        </w:tabs>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w:t>
      </w:r>
    </w:p>
    <w:p w14:paraId="4657B2A1" w14:textId="77777777" w:rsidR="006132C8" w:rsidRPr="00DB09FD" w:rsidRDefault="006132C8" w:rsidP="006132C8">
      <w:pPr>
        <w:tabs>
          <w:tab w:val="left" w:pos="1276"/>
        </w:tabs>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XXXII. Protección de Datos Personales</w:t>
      </w:r>
      <w:r w:rsidRPr="00DB09FD">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2D6CAC7F" w14:textId="77777777" w:rsidR="006132C8" w:rsidRPr="00DB09FD" w:rsidRDefault="006132C8" w:rsidP="006132C8">
      <w:pPr>
        <w:tabs>
          <w:tab w:val="left" w:pos="1276"/>
        </w:tabs>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w:t>
      </w:r>
    </w:p>
    <w:p w14:paraId="3D224E17" w14:textId="77777777" w:rsidR="006132C8" w:rsidRPr="00DB09FD" w:rsidRDefault="006132C8" w:rsidP="006132C8">
      <w:pPr>
        <w:tabs>
          <w:tab w:val="left" w:pos="1276"/>
        </w:tabs>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XLV. Versión pública</w:t>
      </w:r>
      <w:r w:rsidRPr="00DB09FD">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681AACE8" w14:textId="77777777" w:rsidR="006132C8" w:rsidRPr="00DB09FD" w:rsidRDefault="006132C8" w:rsidP="006132C8">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 Artículo 6</w:t>
      </w:r>
      <w:r w:rsidRPr="00DB09FD">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2683757" w14:textId="77777777" w:rsidR="006132C8" w:rsidRPr="00DB09FD" w:rsidRDefault="006132C8" w:rsidP="006132C8">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w:t>
      </w:r>
    </w:p>
    <w:p w14:paraId="531FF67F" w14:textId="77777777" w:rsidR="006132C8" w:rsidRPr="00DB09FD" w:rsidRDefault="006132C8" w:rsidP="006132C8">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Artículo 91.</w:t>
      </w:r>
      <w:r w:rsidRPr="00DB09FD">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DB09FD">
        <w:rPr>
          <w:rFonts w:ascii="Palatino Linotype" w:eastAsia="Palatino Linotype" w:hAnsi="Palatino Linotype" w:cs="Palatino Linotype"/>
          <w:i/>
          <w:sz w:val="22"/>
          <w:szCs w:val="22"/>
        </w:rPr>
        <w:br/>
        <w:t>…</w:t>
      </w:r>
    </w:p>
    <w:p w14:paraId="0C404393" w14:textId="77777777" w:rsidR="006132C8" w:rsidRPr="00DB09FD" w:rsidRDefault="006132C8" w:rsidP="006132C8">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Artículo 132.</w:t>
      </w:r>
      <w:r w:rsidRPr="00DB09FD">
        <w:rPr>
          <w:rFonts w:ascii="Palatino Linotype" w:eastAsia="Palatino Linotype" w:hAnsi="Palatino Linotype" w:cs="Palatino Linotype"/>
          <w:i/>
          <w:sz w:val="22"/>
          <w:szCs w:val="22"/>
        </w:rPr>
        <w:t xml:space="preserve"> La clasificación de la información se llevará a cabo en el momento en que:</w:t>
      </w:r>
    </w:p>
    <w:p w14:paraId="186D254A" w14:textId="77777777" w:rsidR="006132C8" w:rsidRPr="00DB09FD" w:rsidRDefault="006132C8" w:rsidP="006132C8">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I</w:t>
      </w:r>
      <w:r w:rsidRPr="00DB09FD">
        <w:rPr>
          <w:rFonts w:ascii="Palatino Linotype" w:eastAsia="Palatino Linotype" w:hAnsi="Palatino Linotype" w:cs="Palatino Linotype"/>
          <w:i/>
          <w:sz w:val="22"/>
          <w:szCs w:val="22"/>
        </w:rPr>
        <w:t>. Se reciba una solicitud de acceso a la información;</w:t>
      </w:r>
    </w:p>
    <w:p w14:paraId="2E3C34EB" w14:textId="77777777" w:rsidR="006132C8" w:rsidRPr="00DB09FD" w:rsidRDefault="006132C8" w:rsidP="006132C8">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II.</w:t>
      </w:r>
      <w:r w:rsidRPr="00DB09FD">
        <w:rPr>
          <w:rFonts w:ascii="Palatino Linotype" w:eastAsia="Palatino Linotype" w:hAnsi="Palatino Linotype" w:cs="Palatino Linotype"/>
          <w:i/>
          <w:sz w:val="22"/>
          <w:szCs w:val="22"/>
        </w:rPr>
        <w:t xml:space="preserve"> Se determine mediante resolución de autoridad competente; o</w:t>
      </w:r>
    </w:p>
    <w:p w14:paraId="56C6D537" w14:textId="77777777" w:rsidR="006132C8" w:rsidRPr="00DB09FD" w:rsidRDefault="006132C8" w:rsidP="006132C8">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III.</w:t>
      </w:r>
      <w:r w:rsidRPr="00DB09FD">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24EE8183" w14:textId="77777777" w:rsidR="006132C8" w:rsidRPr="00DB09FD" w:rsidRDefault="006132C8" w:rsidP="006132C8">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w:t>
      </w:r>
    </w:p>
    <w:p w14:paraId="6CEB52F5" w14:textId="77777777" w:rsidR="006132C8" w:rsidRPr="00DB09FD" w:rsidRDefault="006132C8" w:rsidP="006132C8">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Artículo 137.</w:t>
      </w:r>
      <w:r w:rsidRPr="00DB09FD">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ADA6F13" w14:textId="77777777" w:rsidR="006132C8" w:rsidRPr="00DB09FD" w:rsidRDefault="006132C8" w:rsidP="006132C8">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 Artículo 143.</w:t>
      </w:r>
      <w:r w:rsidRPr="00DB09FD">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48E3FF4C" w14:textId="77777777" w:rsidR="006132C8" w:rsidRPr="00DB09FD" w:rsidRDefault="006132C8" w:rsidP="006132C8">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I.</w:t>
      </w:r>
      <w:r w:rsidRPr="00DB09FD">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DC5E6D1" w14:textId="77777777" w:rsidR="006132C8" w:rsidRPr="00DB09FD" w:rsidRDefault="006132C8" w:rsidP="006132C8">
      <w:pPr>
        <w:spacing w:before="240" w:after="240" w:line="360" w:lineRule="auto"/>
        <w:ind w:right="50"/>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DB09FD">
        <w:rPr>
          <w:rFonts w:ascii="Palatino Linotype" w:eastAsia="Palatino Linotype" w:hAnsi="Palatino Linotype" w:cs="Palatino Linotype"/>
          <w:b/>
          <w:sz w:val="22"/>
          <w:szCs w:val="22"/>
        </w:rPr>
        <w:t>Sujeto Obligado</w:t>
      </w:r>
      <w:r w:rsidRPr="00DB09FD">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5C34C275" w14:textId="77777777" w:rsidR="006132C8" w:rsidRPr="00DB09FD" w:rsidRDefault="006132C8" w:rsidP="006132C8">
      <w:pPr>
        <w:spacing w:before="240" w:after="240" w:line="360" w:lineRule="auto"/>
        <w:ind w:right="50"/>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F14D6F2" w14:textId="77777777" w:rsidR="006132C8" w:rsidRPr="00DB09FD" w:rsidRDefault="006132C8" w:rsidP="006132C8">
      <w:pPr>
        <w:spacing w:before="240" w:after="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De esta manera, la información que se ordena pudiera contener, entre otros datos, información de los predios colindantes, es decir, de los predios contiguos o que limitan con determinado bien inmueble; como lo es de manera enunciativa, más no limitativa, el nombre de los propietarios.</w:t>
      </w:r>
    </w:p>
    <w:p w14:paraId="0D86F6F5" w14:textId="77777777" w:rsidR="006132C8" w:rsidRPr="00DB09FD" w:rsidRDefault="006132C8" w:rsidP="006132C8">
      <w:pPr>
        <w:spacing w:before="240" w:after="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En tal sentido, para el caso de que los documentos mediante los cuales se dará cumplimiento a la presente resolución contengan el nombre de personas físicas identificadas o identificables, en su carácter de propietarias de predios colindantes con bienes inmuebles de las instituciones públicas, así como de los bienes de dominio público, dicho dato deberá ser clasificado como confidencial.</w:t>
      </w:r>
    </w:p>
    <w:p w14:paraId="0DBCBDFE" w14:textId="77777777" w:rsidR="006132C8" w:rsidRPr="00DB09FD" w:rsidRDefault="006132C8" w:rsidP="006132C8">
      <w:pPr>
        <w:spacing w:before="240" w:after="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Al respecto, es conveniente señalar que el nombre de una persona física, al ser uno de los atributos de la personalidad y la manifestación principal del derecho subjetivo a la identidad, es un dato personal que, por regla general, debe considerarse como un dato confidencial en términos del artículo 143, fracción I de la Ley de Transparencia y Acceso a la Información Pública del Estado de México y Municipios, cuando esta no se desempeña en la función pública, o bien, no celebra actos en el ámbito del derecho público, ya que por sí solo es un dato que identifica a su titular o lo hace identificable, por lo que con su publicidad se vulneraría su ámbito de privacidad.</w:t>
      </w:r>
    </w:p>
    <w:p w14:paraId="1CD17A77" w14:textId="77777777" w:rsidR="006132C8" w:rsidRPr="00DB09FD" w:rsidRDefault="006132C8" w:rsidP="006132C8">
      <w:pPr>
        <w:spacing w:before="240" w:after="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Asimismo, cabe señalar que las medidas y colindancias de los bienes inmuebles, en sí, no corren la misma suerte que el nombre de sus propietarios, toda vez que la finalidad de dichos datos, basados generalmente en los puntos cardinales, consiste únicamente en delimitar el área de determinado predio, esto es, su extensión y límites o linderos, respecto de los predios contiguos o adyacentes al mismo, por lo que no son propiamente datos personales susceptibles de ser clasificados de conformidad con las leyes de la materia.</w:t>
      </w:r>
    </w:p>
    <w:p w14:paraId="2B53DBC2" w14:textId="77777777" w:rsidR="006132C8" w:rsidRPr="00DB09FD" w:rsidRDefault="006132C8" w:rsidP="006132C8">
      <w:pPr>
        <w:spacing w:before="240" w:after="240" w:line="360" w:lineRule="auto"/>
        <w:ind w:right="50"/>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4B22619D" w14:textId="77777777" w:rsidR="006132C8" w:rsidRPr="00DB09FD" w:rsidRDefault="006132C8" w:rsidP="006132C8">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“Artículo 49.</w:t>
      </w:r>
      <w:r w:rsidRPr="00DB09FD">
        <w:rPr>
          <w:rFonts w:ascii="Palatino Linotype" w:eastAsia="Palatino Linotype" w:hAnsi="Palatino Linotype" w:cs="Palatino Linotype"/>
          <w:i/>
          <w:sz w:val="22"/>
          <w:szCs w:val="22"/>
        </w:rPr>
        <w:t xml:space="preserve"> </w:t>
      </w:r>
      <w:r w:rsidRPr="00DB09FD">
        <w:rPr>
          <w:rFonts w:ascii="Palatino Linotype" w:eastAsia="Palatino Linotype" w:hAnsi="Palatino Linotype" w:cs="Palatino Linotype"/>
          <w:b/>
          <w:i/>
          <w:sz w:val="22"/>
          <w:szCs w:val="22"/>
        </w:rPr>
        <w:t>Los Comités de Transparencia</w:t>
      </w:r>
      <w:r w:rsidRPr="00DB09FD">
        <w:rPr>
          <w:rFonts w:ascii="Palatino Linotype" w:eastAsia="Palatino Linotype" w:hAnsi="Palatino Linotype" w:cs="Palatino Linotype"/>
          <w:i/>
          <w:sz w:val="22"/>
          <w:szCs w:val="22"/>
        </w:rPr>
        <w:t xml:space="preserve"> tendrán las siguientes atribuciones:</w:t>
      </w:r>
    </w:p>
    <w:p w14:paraId="0107B076" w14:textId="77777777" w:rsidR="006132C8" w:rsidRPr="00DB09FD" w:rsidRDefault="006132C8" w:rsidP="006132C8">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VIII. Aprobar, modificar o revocar la clasificación de la información</w:t>
      </w:r>
      <w:r w:rsidRPr="00DB09FD">
        <w:rPr>
          <w:rFonts w:ascii="Palatino Linotype" w:eastAsia="Palatino Linotype" w:hAnsi="Palatino Linotype" w:cs="Palatino Linotype"/>
          <w:i/>
          <w:sz w:val="22"/>
          <w:szCs w:val="22"/>
        </w:rPr>
        <w:t>…”</w:t>
      </w:r>
    </w:p>
    <w:p w14:paraId="1F094BFA" w14:textId="77777777" w:rsidR="006132C8" w:rsidRPr="00DB09FD" w:rsidRDefault="006132C8" w:rsidP="006132C8">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w:t>
      </w:r>
      <w:r w:rsidRPr="00DB09FD">
        <w:rPr>
          <w:rFonts w:ascii="Palatino Linotype" w:eastAsia="Palatino Linotype" w:hAnsi="Palatino Linotype" w:cs="Palatino Linotype"/>
          <w:b/>
          <w:i/>
          <w:sz w:val="22"/>
          <w:szCs w:val="22"/>
        </w:rPr>
        <w:t>Artículo 53.</w:t>
      </w:r>
      <w:r w:rsidRPr="00DB09FD">
        <w:rPr>
          <w:rFonts w:ascii="Palatino Linotype" w:eastAsia="Palatino Linotype" w:hAnsi="Palatino Linotype" w:cs="Palatino Linotype"/>
          <w:i/>
          <w:sz w:val="22"/>
          <w:szCs w:val="22"/>
        </w:rPr>
        <w:t xml:space="preserve"> Las </w:t>
      </w:r>
      <w:r w:rsidRPr="00DB09FD">
        <w:rPr>
          <w:rFonts w:ascii="Palatino Linotype" w:eastAsia="Palatino Linotype" w:hAnsi="Palatino Linotype" w:cs="Palatino Linotype"/>
          <w:b/>
          <w:i/>
          <w:sz w:val="22"/>
          <w:szCs w:val="22"/>
        </w:rPr>
        <w:t>Unidades de Transparencia</w:t>
      </w:r>
      <w:r w:rsidRPr="00DB09FD">
        <w:rPr>
          <w:rFonts w:ascii="Palatino Linotype" w:eastAsia="Palatino Linotype" w:hAnsi="Palatino Linotype" w:cs="Palatino Linotype"/>
          <w:i/>
          <w:sz w:val="22"/>
          <w:szCs w:val="22"/>
        </w:rPr>
        <w:t xml:space="preserve"> tendrán las siguientes </w:t>
      </w:r>
      <w:r w:rsidRPr="00DB09FD">
        <w:rPr>
          <w:rFonts w:ascii="Palatino Linotype" w:eastAsia="Palatino Linotype" w:hAnsi="Palatino Linotype" w:cs="Palatino Linotype"/>
          <w:b/>
          <w:i/>
          <w:sz w:val="22"/>
          <w:szCs w:val="22"/>
        </w:rPr>
        <w:t>funciones</w:t>
      </w:r>
      <w:r w:rsidRPr="00DB09FD">
        <w:rPr>
          <w:rFonts w:ascii="Palatino Linotype" w:eastAsia="Palatino Linotype" w:hAnsi="Palatino Linotype" w:cs="Palatino Linotype"/>
          <w:i/>
          <w:sz w:val="22"/>
          <w:szCs w:val="22"/>
        </w:rPr>
        <w:t>:</w:t>
      </w:r>
    </w:p>
    <w:p w14:paraId="42B476A2" w14:textId="77777777" w:rsidR="006132C8" w:rsidRPr="00DB09FD" w:rsidRDefault="006132C8" w:rsidP="006132C8">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X. Presentar ante el Comité, el proyecto de clasificación de información</w:t>
      </w:r>
      <w:r w:rsidRPr="00DB09FD">
        <w:rPr>
          <w:rFonts w:ascii="Palatino Linotype" w:eastAsia="Palatino Linotype" w:hAnsi="Palatino Linotype" w:cs="Palatino Linotype"/>
          <w:i/>
          <w:sz w:val="22"/>
          <w:szCs w:val="22"/>
        </w:rPr>
        <w:t xml:space="preserve">…” </w:t>
      </w:r>
    </w:p>
    <w:p w14:paraId="20380EC4" w14:textId="77777777" w:rsidR="006132C8" w:rsidRPr="00DB09FD" w:rsidRDefault="006132C8" w:rsidP="006132C8">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“Artículo 59.</w:t>
      </w:r>
      <w:r w:rsidRPr="00DB09FD">
        <w:rPr>
          <w:rFonts w:ascii="Palatino Linotype" w:eastAsia="Palatino Linotype" w:hAnsi="Palatino Linotype" w:cs="Palatino Linotype"/>
          <w:i/>
          <w:sz w:val="22"/>
          <w:szCs w:val="22"/>
        </w:rPr>
        <w:t xml:space="preserve"> Los </w:t>
      </w:r>
      <w:r w:rsidRPr="00DB09FD">
        <w:rPr>
          <w:rFonts w:ascii="Palatino Linotype" w:eastAsia="Palatino Linotype" w:hAnsi="Palatino Linotype" w:cs="Palatino Linotype"/>
          <w:b/>
          <w:i/>
          <w:sz w:val="22"/>
          <w:szCs w:val="22"/>
        </w:rPr>
        <w:t>servidores públicos habilitados</w:t>
      </w:r>
      <w:r w:rsidRPr="00DB09FD">
        <w:rPr>
          <w:rFonts w:ascii="Palatino Linotype" w:eastAsia="Palatino Linotype" w:hAnsi="Palatino Linotype" w:cs="Palatino Linotype"/>
          <w:i/>
          <w:sz w:val="22"/>
          <w:szCs w:val="22"/>
        </w:rPr>
        <w:t xml:space="preserve"> tendrán las </w:t>
      </w:r>
      <w:r w:rsidRPr="00DB09FD">
        <w:rPr>
          <w:rFonts w:ascii="Palatino Linotype" w:eastAsia="Palatino Linotype" w:hAnsi="Palatino Linotype" w:cs="Palatino Linotype"/>
          <w:b/>
          <w:i/>
          <w:sz w:val="22"/>
          <w:szCs w:val="22"/>
        </w:rPr>
        <w:t>funciones</w:t>
      </w:r>
      <w:r w:rsidRPr="00DB09FD">
        <w:rPr>
          <w:rFonts w:ascii="Palatino Linotype" w:eastAsia="Palatino Linotype" w:hAnsi="Palatino Linotype" w:cs="Palatino Linotype"/>
          <w:i/>
          <w:sz w:val="22"/>
          <w:szCs w:val="22"/>
        </w:rPr>
        <w:t xml:space="preserve"> siguientes:</w:t>
      </w:r>
    </w:p>
    <w:p w14:paraId="219B3232" w14:textId="77777777" w:rsidR="006132C8" w:rsidRPr="00DB09FD" w:rsidRDefault="006132C8" w:rsidP="006132C8">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DB09FD">
        <w:rPr>
          <w:rFonts w:ascii="Palatino Linotype" w:eastAsia="Palatino Linotype" w:hAnsi="Palatino Linotype" w:cs="Palatino Linotype"/>
          <w:i/>
          <w:sz w:val="22"/>
          <w:szCs w:val="22"/>
        </w:rPr>
        <w:t>, la cual tendrá los fundamentos y argumentos en que se basa dicha propuesta…”</w:t>
      </w:r>
    </w:p>
    <w:p w14:paraId="59E17C75" w14:textId="77777777" w:rsidR="006132C8" w:rsidRPr="00DB09FD" w:rsidRDefault="006132C8" w:rsidP="006132C8">
      <w:pPr>
        <w:spacing w:before="240" w:after="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A707B9B" w14:textId="77777777" w:rsidR="006132C8" w:rsidRPr="00DB09FD" w:rsidRDefault="006132C8" w:rsidP="006132C8">
      <w:pPr>
        <w:spacing w:before="240" w:after="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0842C0C1" w14:textId="77777777" w:rsidR="006132C8" w:rsidRPr="00DB09FD" w:rsidRDefault="006132C8" w:rsidP="006132C8">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w:t>
      </w:r>
      <w:r w:rsidRPr="00DB09FD">
        <w:rPr>
          <w:rFonts w:ascii="Palatino Linotype" w:eastAsia="Palatino Linotype" w:hAnsi="Palatino Linotype" w:cs="Palatino Linotype"/>
          <w:b/>
          <w:i/>
          <w:sz w:val="22"/>
          <w:szCs w:val="22"/>
        </w:rPr>
        <w:t>Artículo 149.</w:t>
      </w:r>
      <w:r w:rsidRPr="00DB09FD">
        <w:rPr>
          <w:rFonts w:ascii="Palatino Linotype" w:eastAsia="Palatino Linotype" w:hAnsi="Palatino Linotype" w:cs="Palatino Linotype"/>
          <w:i/>
          <w:sz w:val="22"/>
          <w:szCs w:val="22"/>
        </w:rPr>
        <w:t xml:space="preserve"> El </w:t>
      </w:r>
      <w:r w:rsidRPr="00DB09FD">
        <w:rPr>
          <w:rFonts w:ascii="Palatino Linotype" w:eastAsia="Palatino Linotype" w:hAnsi="Palatino Linotype" w:cs="Palatino Linotype"/>
          <w:b/>
          <w:i/>
          <w:sz w:val="22"/>
          <w:szCs w:val="22"/>
        </w:rPr>
        <w:t>acuerdo que clasifique la información como confidencial</w:t>
      </w:r>
      <w:r w:rsidRPr="00DB09FD">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03E95E9E" w14:textId="77777777" w:rsidR="006132C8" w:rsidRPr="00DB09FD" w:rsidRDefault="006132C8" w:rsidP="006132C8">
      <w:pPr>
        <w:spacing w:before="240" w:after="240" w:line="360" w:lineRule="auto"/>
        <w:ind w:right="51"/>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 xml:space="preserve">Es decir, el </w:t>
      </w:r>
      <w:r w:rsidRPr="00DB09FD">
        <w:rPr>
          <w:rFonts w:ascii="Palatino Linotype" w:eastAsia="Palatino Linotype" w:hAnsi="Palatino Linotype" w:cs="Palatino Linotype"/>
          <w:b/>
          <w:sz w:val="22"/>
          <w:szCs w:val="22"/>
        </w:rPr>
        <w:t>Sujeto Obligado</w:t>
      </w:r>
      <w:r w:rsidRPr="00DB09FD">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2ADF9736" w14:textId="77777777" w:rsidR="006132C8" w:rsidRPr="00DB09FD" w:rsidRDefault="006132C8" w:rsidP="006132C8">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DB09FD">
        <w:rPr>
          <w:rFonts w:ascii="Palatino Linotype" w:eastAsia="Palatino Linotype" w:hAnsi="Palatino Linotype" w:cs="Palatino Linotype"/>
          <w:b/>
          <w:sz w:val="22"/>
          <w:szCs w:val="22"/>
        </w:rPr>
        <w:t>Sujeto Obligado</w:t>
      </w:r>
      <w:r w:rsidRPr="00DB09FD">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5EB8B4DA" w14:textId="77777777" w:rsidR="006132C8" w:rsidRPr="00DB09FD" w:rsidRDefault="006132C8" w:rsidP="006132C8">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 xml:space="preserve"> “Quincuagésimo. </w:t>
      </w:r>
      <w:r w:rsidRPr="00DB09FD">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EFEFEE9" w14:textId="77777777" w:rsidR="006132C8" w:rsidRPr="00DB09FD" w:rsidRDefault="006132C8" w:rsidP="006132C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 xml:space="preserve">Quincuagésimo primero. </w:t>
      </w:r>
      <w:r w:rsidRPr="00DB09FD">
        <w:rPr>
          <w:rFonts w:ascii="Palatino Linotype" w:eastAsia="Palatino Linotype" w:hAnsi="Palatino Linotype" w:cs="Palatino Linotype"/>
          <w:i/>
          <w:sz w:val="22"/>
          <w:szCs w:val="22"/>
        </w:rPr>
        <w:t xml:space="preserve">Toda acta del Comité de Transparencia deberá contener: </w:t>
      </w:r>
    </w:p>
    <w:p w14:paraId="47862A2E" w14:textId="77777777" w:rsidR="006132C8" w:rsidRPr="00DB09FD" w:rsidRDefault="006132C8" w:rsidP="006132C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I.</w:t>
      </w:r>
      <w:r w:rsidRPr="00DB09FD">
        <w:rPr>
          <w:rFonts w:ascii="Palatino Linotype" w:eastAsia="Palatino Linotype" w:hAnsi="Palatino Linotype" w:cs="Palatino Linotype"/>
          <w:i/>
          <w:sz w:val="22"/>
          <w:szCs w:val="22"/>
        </w:rPr>
        <w:t xml:space="preserve"> El número de sesión y fecha; </w:t>
      </w:r>
    </w:p>
    <w:p w14:paraId="010CF22B" w14:textId="77777777" w:rsidR="006132C8" w:rsidRPr="00DB09FD" w:rsidRDefault="006132C8" w:rsidP="006132C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II</w:t>
      </w:r>
      <w:r w:rsidRPr="00DB09FD">
        <w:rPr>
          <w:rFonts w:ascii="Palatino Linotype" w:eastAsia="Palatino Linotype" w:hAnsi="Palatino Linotype" w:cs="Palatino Linotype"/>
          <w:i/>
          <w:sz w:val="22"/>
          <w:szCs w:val="22"/>
        </w:rPr>
        <w:t xml:space="preserve">. El nombre del área que solicitó la clasificación de información; </w:t>
      </w:r>
    </w:p>
    <w:p w14:paraId="68B30BB9" w14:textId="77777777" w:rsidR="006132C8" w:rsidRPr="00DB09FD" w:rsidRDefault="006132C8" w:rsidP="006132C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III</w:t>
      </w:r>
      <w:r w:rsidRPr="00DB09FD">
        <w:rPr>
          <w:rFonts w:ascii="Palatino Linotype" w:eastAsia="Palatino Linotype" w:hAnsi="Palatino Linotype" w:cs="Palatino Linotype"/>
          <w:i/>
          <w:sz w:val="22"/>
          <w:szCs w:val="22"/>
        </w:rPr>
        <w:t xml:space="preserve">. La fundamentación legal y motivación correspondiente; </w:t>
      </w:r>
    </w:p>
    <w:p w14:paraId="37D5A993" w14:textId="77777777" w:rsidR="006132C8" w:rsidRPr="00DB09FD" w:rsidRDefault="006132C8" w:rsidP="006132C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IV</w:t>
      </w:r>
      <w:r w:rsidRPr="00DB09FD">
        <w:rPr>
          <w:rFonts w:ascii="Palatino Linotype" w:eastAsia="Palatino Linotype" w:hAnsi="Palatino Linotype" w:cs="Palatino Linotype"/>
          <w:i/>
          <w:sz w:val="22"/>
          <w:szCs w:val="22"/>
        </w:rPr>
        <w:t xml:space="preserve">. La resolución o resoluciones aprobadas; y </w:t>
      </w:r>
    </w:p>
    <w:p w14:paraId="1AD74AE4" w14:textId="77777777" w:rsidR="006132C8" w:rsidRPr="00DB09FD" w:rsidRDefault="006132C8" w:rsidP="006132C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V</w:t>
      </w:r>
      <w:r w:rsidRPr="00DB09FD">
        <w:rPr>
          <w:rFonts w:ascii="Palatino Linotype" w:eastAsia="Palatino Linotype" w:hAnsi="Palatino Linotype" w:cs="Palatino Linotype"/>
          <w:i/>
          <w:sz w:val="22"/>
          <w:szCs w:val="22"/>
        </w:rPr>
        <w:t xml:space="preserve">. La rúbrica o firma digital de cada integrante del Comité de Transparencia. </w:t>
      </w:r>
    </w:p>
    <w:p w14:paraId="5060C22D" w14:textId="77777777" w:rsidR="006132C8" w:rsidRPr="00DB09FD" w:rsidRDefault="006132C8" w:rsidP="006132C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2B061EC7" w14:textId="77777777" w:rsidR="006132C8" w:rsidRPr="00DB09FD" w:rsidRDefault="006132C8" w:rsidP="006132C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I.</w:t>
      </w:r>
      <w:r w:rsidRPr="00DB09FD">
        <w:rPr>
          <w:rFonts w:ascii="Palatino Linotype" w:eastAsia="Palatino Linotype" w:hAnsi="Palatino Linotype" w:cs="Palatino Linotype"/>
          <w:i/>
          <w:sz w:val="22"/>
          <w:szCs w:val="22"/>
        </w:rPr>
        <w:t xml:space="preserve"> Los motivos y razonamientos que sustenten la confirmación o modificación de la prueba de daño;</w:t>
      </w:r>
    </w:p>
    <w:p w14:paraId="24D77762" w14:textId="77777777" w:rsidR="006132C8" w:rsidRPr="00DB09FD" w:rsidRDefault="006132C8" w:rsidP="006132C8">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DB09FD">
        <w:rPr>
          <w:rFonts w:ascii="Palatino Linotype" w:eastAsia="Palatino Linotype" w:hAnsi="Palatino Linotype" w:cs="Palatino Linotype"/>
          <w:b/>
          <w:i/>
          <w:sz w:val="22"/>
          <w:szCs w:val="22"/>
        </w:rPr>
        <w:t>II</w:t>
      </w:r>
      <w:r w:rsidRPr="00DB09FD">
        <w:rPr>
          <w:rFonts w:ascii="Palatino Linotype" w:eastAsia="Palatino Linotype" w:hAnsi="Palatino Linotype" w:cs="Palatino Linotype"/>
          <w:i/>
          <w:sz w:val="22"/>
          <w:szCs w:val="22"/>
        </w:rPr>
        <w:t>. Descripción de las partes o secciones reservadas, en caso de clasificación parcial</w:t>
      </w:r>
      <w:r w:rsidRPr="00DB09FD">
        <w:rPr>
          <w:rFonts w:ascii="Palatino Linotype" w:eastAsia="Palatino Linotype" w:hAnsi="Palatino Linotype" w:cs="Palatino Linotype"/>
          <w:b/>
          <w:i/>
          <w:sz w:val="22"/>
          <w:szCs w:val="22"/>
        </w:rPr>
        <w:t xml:space="preserve">; </w:t>
      </w:r>
    </w:p>
    <w:p w14:paraId="790BC231" w14:textId="77777777" w:rsidR="006132C8" w:rsidRPr="00DB09FD" w:rsidRDefault="006132C8" w:rsidP="006132C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III.</w:t>
      </w:r>
      <w:r w:rsidRPr="00DB09FD">
        <w:rPr>
          <w:rFonts w:ascii="Palatino Linotype" w:eastAsia="Palatino Linotype" w:hAnsi="Palatino Linotype" w:cs="Palatino Linotype"/>
          <w:i/>
          <w:sz w:val="22"/>
          <w:szCs w:val="22"/>
        </w:rPr>
        <w:t xml:space="preserve"> El periodo por el que mantendrá su clasificación y fecha de expiración; y </w:t>
      </w:r>
    </w:p>
    <w:p w14:paraId="5325B89A" w14:textId="77777777" w:rsidR="006132C8" w:rsidRPr="00DB09FD" w:rsidRDefault="006132C8" w:rsidP="006132C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IV.</w:t>
      </w:r>
      <w:r w:rsidRPr="00DB09FD">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6927CDE0" w14:textId="77777777" w:rsidR="006132C8" w:rsidRPr="00DB09FD" w:rsidRDefault="006132C8" w:rsidP="006132C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711F3BA" w14:textId="77777777" w:rsidR="006132C8" w:rsidRPr="00DB09FD" w:rsidRDefault="006132C8" w:rsidP="006132C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6BFE8E2" w14:textId="77777777" w:rsidR="006132C8" w:rsidRPr="00DB09FD" w:rsidRDefault="006132C8" w:rsidP="006132C8">
      <w:pPr>
        <w:spacing w:before="240" w:after="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Asimismo, 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4B55F66D" w14:textId="77777777" w:rsidR="006132C8" w:rsidRPr="00DB09FD" w:rsidRDefault="006132C8" w:rsidP="006132C8">
      <w:pPr>
        <w:spacing w:before="120" w:after="120"/>
        <w:ind w:left="851" w:right="900"/>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w:t>
      </w:r>
      <w:r w:rsidRPr="00DB09FD">
        <w:rPr>
          <w:rFonts w:ascii="Palatino Linotype" w:eastAsia="Palatino Linotype" w:hAnsi="Palatino Linotype" w:cs="Palatino Linotype"/>
          <w:b/>
          <w:i/>
          <w:sz w:val="22"/>
          <w:szCs w:val="22"/>
        </w:rPr>
        <w:t>Quincuagésimo segundo</w:t>
      </w:r>
      <w:r w:rsidRPr="00DB09FD">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BDB82A6" w14:textId="77777777" w:rsidR="006132C8" w:rsidRPr="00DB09FD" w:rsidRDefault="006132C8" w:rsidP="006132C8">
      <w:pPr>
        <w:spacing w:before="120" w:after="120"/>
        <w:ind w:left="851" w:right="900"/>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6F2FE5FB" w14:textId="77777777" w:rsidR="006132C8" w:rsidRPr="00DB09FD" w:rsidRDefault="006132C8" w:rsidP="006132C8">
      <w:pPr>
        <w:spacing w:before="120" w:after="120"/>
        <w:ind w:left="851" w:right="900"/>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I.</w:t>
      </w:r>
      <w:r w:rsidRPr="00DB09FD">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1B96B98F" w14:textId="77777777" w:rsidR="006132C8" w:rsidRPr="00DB09FD" w:rsidRDefault="006132C8" w:rsidP="006132C8">
      <w:pPr>
        <w:spacing w:before="120" w:after="120"/>
        <w:ind w:left="851" w:right="900"/>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II.</w:t>
      </w:r>
      <w:r w:rsidRPr="00DB09FD">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005961AB" w14:textId="77777777" w:rsidR="006132C8" w:rsidRPr="00DB09FD" w:rsidRDefault="006132C8" w:rsidP="006132C8">
      <w:pPr>
        <w:spacing w:before="120" w:after="120"/>
        <w:ind w:left="851" w:right="900"/>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III.</w:t>
      </w:r>
      <w:r w:rsidRPr="00DB09FD">
        <w:rPr>
          <w:rFonts w:ascii="Palatino Linotype" w:eastAsia="Palatino Linotype" w:hAnsi="Palatino Linotype" w:cs="Palatino Linotype"/>
          <w:i/>
          <w:sz w:val="22"/>
          <w:szCs w:val="22"/>
        </w:rPr>
        <w:t xml:space="preserve"> Señalar las personas o instancias autorizadas a acceder a la información clasificada.</w:t>
      </w:r>
    </w:p>
    <w:p w14:paraId="000491E0" w14:textId="77777777" w:rsidR="006132C8" w:rsidRPr="00DB09FD" w:rsidRDefault="006132C8" w:rsidP="006132C8">
      <w:pPr>
        <w:spacing w:before="120" w:after="120"/>
        <w:ind w:left="851" w:right="900"/>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4A5CED0E" w14:textId="77777777" w:rsidR="006132C8" w:rsidRPr="00DB09FD" w:rsidRDefault="006132C8" w:rsidP="006132C8">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w:t>
      </w:r>
    </w:p>
    <w:p w14:paraId="69FF2084" w14:textId="77777777" w:rsidR="006132C8" w:rsidRPr="00DB09FD" w:rsidRDefault="006132C8" w:rsidP="006132C8">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DB09FD">
        <w:rPr>
          <w:rFonts w:ascii="Palatino Linotype" w:eastAsia="Palatino Linotype" w:hAnsi="Palatino Linotype" w:cs="Palatino Linotype"/>
          <w:b/>
          <w:i/>
          <w:sz w:val="22"/>
          <w:szCs w:val="22"/>
        </w:rPr>
        <w:t xml:space="preserve">Quincuagésimo cuarto. </w:t>
      </w:r>
      <w:r w:rsidRPr="00DB09FD">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DB09FD">
        <w:rPr>
          <w:rFonts w:ascii="Palatino Linotype" w:eastAsia="Palatino Linotype" w:hAnsi="Palatino Linotype" w:cs="Palatino Linotype"/>
          <w:b/>
          <w:i/>
          <w:sz w:val="22"/>
          <w:szCs w:val="22"/>
        </w:rPr>
        <w:t xml:space="preserve"> </w:t>
      </w:r>
    </w:p>
    <w:p w14:paraId="7B8F57F8" w14:textId="77777777" w:rsidR="006132C8" w:rsidRPr="00DB09FD" w:rsidRDefault="006132C8" w:rsidP="006132C8">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 xml:space="preserve">Quincuagésimo quinto. </w:t>
      </w:r>
      <w:r w:rsidRPr="00DB09FD">
        <w:rPr>
          <w:rFonts w:ascii="Palatino Linotype" w:eastAsia="Palatino Linotype" w:hAnsi="Palatino Linotype" w:cs="Palatino Linotype"/>
          <w:i/>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52EB423" w14:textId="77777777" w:rsidR="006132C8" w:rsidRPr="00DB09FD" w:rsidRDefault="006132C8" w:rsidP="006132C8">
      <w:pPr>
        <w:spacing w:before="120" w:after="120"/>
        <w:ind w:left="851" w:right="902"/>
        <w:jc w:val="both"/>
        <w:rPr>
          <w:rFonts w:ascii="Palatino Linotype" w:eastAsia="Palatino Linotype" w:hAnsi="Palatino Linotype" w:cs="Palatino Linotype"/>
          <w:b/>
          <w:i/>
          <w:sz w:val="22"/>
          <w:szCs w:val="22"/>
        </w:rPr>
      </w:pPr>
      <w:r w:rsidRPr="00DB09FD">
        <w:rPr>
          <w:rFonts w:ascii="Palatino Linotype" w:eastAsia="Palatino Linotype" w:hAnsi="Palatino Linotype" w:cs="Palatino Linotype"/>
          <w:b/>
          <w:i/>
          <w:sz w:val="22"/>
          <w:szCs w:val="22"/>
        </w:rPr>
        <w:t>...</w:t>
      </w:r>
    </w:p>
    <w:p w14:paraId="2BC1840C" w14:textId="77777777" w:rsidR="006132C8" w:rsidRPr="00DB09FD" w:rsidRDefault="006132C8" w:rsidP="006132C8">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Quincuagésimo séptimo</w:t>
      </w:r>
      <w:r w:rsidRPr="00DB09FD">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9F39853" w14:textId="77777777" w:rsidR="006132C8" w:rsidRPr="00DB09FD" w:rsidRDefault="006132C8" w:rsidP="006132C8">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I</w:t>
      </w:r>
      <w:r w:rsidRPr="00DB09FD">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51278B6E" w14:textId="77777777" w:rsidR="006132C8" w:rsidRPr="00DB09FD" w:rsidRDefault="006132C8" w:rsidP="006132C8">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II.</w:t>
      </w:r>
      <w:r w:rsidRPr="00DB09FD">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751CEEA6" w14:textId="77777777" w:rsidR="006132C8" w:rsidRPr="00DB09FD" w:rsidRDefault="006132C8" w:rsidP="006132C8">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III</w:t>
      </w:r>
      <w:r w:rsidRPr="00DB09FD">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71FC4186" w14:textId="77777777" w:rsidR="006132C8" w:rsidRPr="00DB09FD" w:rsidRDefault="006132C8" w:rsidP="006132C8">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756AAF2F" w14:textId="77777777" w:rsidR="006132C8" w:rsidRPr="00DB09FD" w:rsidRDefault="006132C8" w:rsidP="006132C8">
      <w:pPr>
        <w:spacing w:before="120" w:after="120"/>
        <w:ind w:left="851" w:right="902"/>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b/>
          <w:i/>
          <w:sz w:val="22"/>
          <w:szCs w:val="22"/>
        </w:rPr>
        <w:t>Quincuagésimo octavo</w:t>
      </w:r>
      <w:r w:rsidRPr="00DB09FD">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bookmarkEnd w:id="16"/>
    <w:p w14:paraId="77A28E1A" w14:textId="77777777" w:rsidR="002D01B9" w:rsidRPr="00DB09FD" w:rsidRDefault="002D01B9" w:rsidP="002D01B9">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 xml:space="preserve">De lo hasta aquí expuesto, se concluye que los motivos de inconformidad de la parte </w:t>
      </w:r>
      <w:r w:rsidRPr="00DB09FD">
        <w:rPr>
          <w:rFonts w:ascii="Palatino Linotype" w:eastAsia="Palatino Linotype" w:hAnsi="Palatino Linotype" w:cs="Palatino Linotype"/>
          <w:b/>
          <w:sz w:val="22"/>
          <w:szCs w:val="22"/>
        </w:rPr>
        <w:t xml:space="preserve">Recurrente </w:t>
      </w:r>
      <w:r w:rsidRPr="00DB09FD">
        <w:rPr>
          <w:rFonts w:ascii="Palatino Linotype" w:eastAsia="Palatino Linotype" w:hAnsi="Palatino Linotype" w:cs="Palatino Linotype"/>
          <w:sz w:val="22"/>
          <w:szCs w:val="22"/>
        </w:rPr>
        <w:t xml:space="preserve">devienen fundados, siendo procedente </w:t>
      </w:r>
      <w:r w:rsidRPr="00DB09FD">
        <w:rPr>
          <w:rFonts w:ascii="Palatino Linotype" w:eastAsia="Palatino Linotype" w:hAnsi="Palatino Linotype" w:cs="Palatino Linotype"/>
          <w:i/>
          <w:sz w:val="22"/>
          <w:szCs w:val="22"/>
        </w:rPr>
        <w:t xml:space="preserve">Revocar </w:t>
      </w:r>
      <w:r w:rsidRPr="00DB09FD">
        <w:rPr>
          <w:rFonts w:ascii="Palatino Linotype" w:eastAsia="Palatino Linotype" w:hAnsi="Palatino Linotype" w:cs="Palatino Linotype"/>
          <w:sz w:val="22"/>
          <w:szCs w:val="22"/>
        </w:rPr>
        <w:t xml:space="preserve">la respuesta proporcionada por el </w:t>
      </w:r>
      <w:r w:rsidRPr="00DB09FD">
        <w:rPr>
          <w:rFonts w:ascii="Palatino Linotype" w:eastAsia="Palatino Linotype" w:hAnsi="Palatino Linotype" w:cs="Palatino Linotype"/>
          <w:b/>
          <w:sz w:val="22"/>
          <w:szCs w:val="22"/>
        </w:rPr>
        <w:t xml:space="preserve">Sujeto Obligado </w:t>
      </w:r>
      <w:r w:rsidRPr="00DB09FD">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378EF624" w14:textId="3930BF0D" w:rsidR="00193AE1" w:rsidRPr="00DB09FD" w:rsidRDefault="00193AE1" w:rsidP="00193AE1">
      <w:pPr>
        <w:spacing w:before="240" w:after="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 xml:space="preserve">Así, con fundamento en lo prescrito en los artículos </w:t>
      </w:r>
      <w:r w:rsidR="005D5DC9" w:rsidRPr="00DB09FD">
        <w:rPr>
          <w:rFonts w:ascii="Palatino Linotype" w:eastAsia="Palatino Linotype" w:hAnsi="Palatino Linotype" w:cs="Palatino Linotype"/>
          <w:sz w:val="22"/>
          <w:szCs w:val="22"/>
        </w:rPr>
        <w:t xml:space="preserve">5 párrafos </w:t>
      </w:r>
      <w:r w:rsidR="000E700F" w:rsidRPr="00DB09FD">
        <w:rPr>
          <w:rFonts w:ascii="Palatino Linotype" w:eastAsia="Palatino Linotype" w:hAnsi="Palatino Linotype" w:cs="Palatino Linotype"/>
          <w:sz w:val="22"/>
          <w:szCs w:val="22"/>
        </w:rPr>
        <w:t xml:space="preserve">cuadragésimo cuarto, cuadragésimo quinto cuadragésimo sexto, de la </w:t>
      </w:r>
      <w:r w:rsidR="005D5DC9" w:rsidRPr="00DB09FD">
        <w:rPr>
          <w:rFonts w:ascii="Palatino Linotype" w:eastAsia="Palatino Linotype" w:hAnsi="Palatino Linotype" w:cs="Palatino Linotype"/>
          <w:sz w:val="22"/>
          <w:szCs w:val="22"/>
        </w:rPr>
        <w:t>Constitución Política del Estado Libre y Soberano de México; Transitorio Cuarto, párrafo segundo del Decreto número 198 de la “LXII” Legislatura del Estado de México;</w:t>
      </w:r>
      <w:r w:rsidRPr="00DB09FD">
        <w:rPr>
          <w:rFonts w:ascii="Palatino Linotype" w:eastAsia="Palatino Linotype" w:hAnsi="Palatino Linotype" w:cs="Palatino Linotype"/>
          <w:sz w:val="22"/>
          <w:szCs w:val="22"/>
        </w:rPr>
        <w:t xml:space="preserve"> 2, fracción II; 29, 36 fracciones I y II; 176, 178, 181, 185 y 186 fracción II de la Ley de Transparencia y Acceso a la Información Pública del Estado de México y Municipios, este Pleno:</w:t>
      </w:r>
    </w:p>
    <w:p w14:paraId="0285A7B6" w14:textId="77777777" w:rsidR="00193AE1" w:rsidRPr="00DB09FD" w:rsidRDefault="00193AE1" w:rsidP="00193AE1">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DB09FD">
        <w:rPr>
          <w:rFonts w:ascii="Palatino Linotype" w:eastAsia="Palatino Linotype" w:hAnsi="Palatino Linotype" w:cs="Palatino Linotype"/>
          <w:b/>
          <w:sz w:val="22"/>
          <w:szCs w:val="22"/>
        </w:rPr>
        <w:t>III. R E S U E L V E</w:t>
      </w:r>
    </w:p>
    <w:p w14:paraId="5C7FA26B" w14:textId="4E4770D9" w:rsidR="00193AE1" w:rsidRPr="00DB09FD" w:rsidRDefault="00193AE1" w:rsidP="00193AE1">
      <w:pPr>
        <w:spacing w:before="240" w:after="240" w:line="360" w:lineRule="auto"/>
        <w:jc w:val="both"/>
        <w:rPr>
          <w:rFonts w:ascii="Palatino Linotype" w:eastAsia="Palatino Linotype" w:hAnsi="Palatino Linotype" w:cs="Palatino Linotype"/>
          <w:sz w:val="22"/>
          <w:szCs w:val="22"/>
        </w:rPr>
      </w:pPr>
      <w:bookmarkStart w:id="17" w:name="_heading=h.26in1rg" w:colFirst="0" w:colLast="0"/>
      <w:bookmarkEnd w:id="17"/>
      <w:r w:rsidRPr="00DB09FD">
        <w:rPr>
          <w:rFonts w:ascii="Palatino Linotype" w:eastAsia="Palatino Linotype" w:hAnsi="Palatino Linotype" w:cs="Palatino Linotype"/>
          <w:b/>
          <w:sz w:val="22"/>
          <w:szCs w:val="22"/>
        </w:rPr>
        <w:t xml:space="preserve">Primero. </w:t>
      </w:r>
      <w:r w:rsidRPr="00DB09FD">
        <w:rPr>
          <w:rFonts w:ascii="Palatino Linotype" w:eastAsia="Palatino Linotype" w:hAnsi="Palatino Linotype" w:cs="Palatino Linotype"/>
          <w:sz w:val="22"/>
          <w:szCs w:val="22"/>
        </w:rPr>
        <w:t>Resultan</w:t>
      </w:r>
      <w:r w:rsidRPr="00DB09FD">
        <w:rPr>
          <w:rFonts w:ascii="Palatino Linotype" w:eastAsia="Palatino Linotype" w:hAnsi="Palatino Linotype" w:cs="Palatino Linotype"/>
          <w:b/>
          <w:sz w:val="22"/>
          <w:szCs w:val="22"/>
        </w:rPr>
        <w:t xml:space="preserve"> fundadas</w:t>
      </w:r>
      <w:r w:rsidRPr="00DB09FD">
        <w:rPr>
          <w:rFonts w:ascii="Palatino Linotype" w:eastAsia="Palatino Linotype" w:hAnsi="Palatino Linotype" w:cs="Palatino Linotype"/>
          <w:sz w:val="22"/>
          <w:szCs w:val="22"/>
        </w:rPr>
        <w:t xml:space="preserve"> las razones o motivos de inconformidad hechos valer por la parte</w:t>
      </w:r>
      <w:r w:rsidRPr="00DB09FD">
        <w:rPr>
          <w:rFonts w:ascii="Palatino Linotype" w:eastAsia="Palatino Linotype" w:hAnsi="Palatino Linotype" w:cs="Palatino Linotype"/>
          <w:b/>
          <w:sz w:val="22"/>
          <w:szCs w:val="22"/>
        </w:rPr>
        <w:t xml:space="preserve"> Recurrente</w:t>
      </w:r>
      <w:r w:rsidR="00C27EBD" w:rsidRPr="00DB09FD">
        <w:rPr>
          <w:rFonts w:ascii="Palatino Linotype" w:eastAsia="Palatino Linotype" w:hAnsi="Palatino Linotype" w:cs="Palatino Linotype"/>
          <w:sz w:val="22"/>
          <w:szCs w:val="22"/>
        </w:rPr>
        <w:t xml:space="preserve"> en los</w:t>
      </w:r>
      <w:r w:rsidRPr="00DB09FD">
        <w:rPr>
          <w:rFonts w:ascii="Palatino Linotype" w:eastAsia="Palatino Linotype" w:hAnsi="Palatino Linotype" w:cs="Palatino Linotype"/>
          <w:sz w:val="22"/>
          <w:szCs w:val="22"/>
        </w:rPr>
        <w:t xml:space="preserve"> recurso</w:t>
      </w:r>
      <w:r w:rsidR="00C27EBD"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de revisión </w:t>
      </w:r>
      <w:r w:rsidR="00C27EBD" w:rsidRPr="00DB09FD">
        <w:rPr>
          <w:rFonts w:ascii="Palatino Linotype" w:eastAsia="Palatino Linotype" w:hAnsi="Palatino Linotype" w:cs="Palatino Linotype"/>
          <w:b/>
          <w:sz w:val="22"/>
          <w:szCs w:val="22"/>
        </w:rPr>
        <w:t xml:space="preserve">10494/INFOEM/IP/RR/2025 y </w:t>
      </w:r>
      <w:r w:rsidR="00C27EBD" w:rsidRPr="00DB09FD">
        <w:rPr>
          <w:rFonts w:ascii="Palatino Linotype" w:hAnsi="Palatino Linotype" w:cs="Palatino Linotype"/>
          <w:b/>
          <w:bCs/>
          <w:sz w:val="22"/>
          <w:szCs w:val="22"/>
        </w:rPr>
        <w:t>10521/INFOEM/IP/RR/2025 acumulados</w:t>
      </w:r>
      <w:r w:rsidRPr="00DB09FD">
        <w:rPr>
          <w:rFonts w:ascii="Palatino Linotype" w:eastAsia="Palatino Linotype" w:hAnsi="Palatino Linotype" w:cs="Palatino Linotype"/>
          <w:sz w:val="22"/>
          <w:szCs w:val="22"/>
        </w:rPr>
        <w:t xml:space="preserve">; por lo que, en términos del </w:t>
      </w:r>
      <w:r w:rsidRPr="00DB09FD">
        <w:rPr>
          <w:rFonts w:ascii="Palatino Linotype" w:eastAsia="Palatino Linotype" w:hAnsi="Palatino Linotype" w:cs="Palatino Linotype"/>
          <w:b/>
          <w:sz w:val="22"/>
          <w:szCs w:val="22"/>
        </w:rPr>
        <w:t>Considerando</w:t>
      </w:r>
      <w:r w:rsidRPr="00DB09FD">
        <w:rPr>
          <w:rFonts w:ascii="Palatino Linotype" w:eastAsia="Palatino Linotype" w:hAnsi="Palatino Linotype" w:cs="Palatino Linotype"/>
          <w:sz w:val="22"/>
          <w:szCs w:val="22"/>
        </w:rPr>
        <w:t xml:space="preserve"> </w:t>
      </w:r>
      <w:r w:rsidRPr="00DB09FD">
        <w:rPr>
          <w:rFonts w:ascii="Palatino Linotype" w:eastAsia="Palatino Linotype" w:hAnsi="Palatino Linotype" w:cs="Palatino Linotype"/>
          <w:b/>
          <w:sz w:val="22"/>
          <w:szCs w:val="22"/>
        </w:rPr>
        <w:t xml:space="preserve">Cuarto </w:t>
      </w:r>
      <w:r w:rsidRPr="00DB09FD">
        <w:rPr>
          <w:rFonts w:ascii="Palatino Linotype" w:eastAsia="Palatino Linotype" w:hAnsi="Palatino Linotype" w:cs="Palatino Linotype"/>
          <w:sz w:val="22"/>
          <w:szCs w:val="22"/>
        </w:rPr>
        <w:t xml:space="preserve">de esta resolución, se </w:t>
      </w:r>
      <w:r w:rsidR="00DF4FB7" w:rsidRPr="00DB09FD">
        <w:rPr>
          <w:rFonts w:ascii="Palatino Linotype" w:eastAsia="Palatino Linotype" w:hAnsi="Palatino Linotype" w:cs="Palatino Linotype"/>
          <w:b/>
          <w:sz w:val="22"/>
          <w:szCs w:val="22"/>
        </w:rPr>
        <w:t>Revoca</w:t>
      </w:r>
      <w:r w:rsidRPr="00DB09FD">
        <w:rPr>
          <w:rFonts w:ascii="Palatino Linotype" w:eastAsia="Palatino Linotype" w:hAnsi="Palatino Linotype" w:cs="Palatino Linotype"/>
          <w:b/>
          <w:sz w:val="22"/>
          <w:szCs w:val="22"/>
        </w:rPr>
        <w:t xml:space="preserve"> </w:t>
      </w:r>
      <w:r w:rsidRPr="00DB09FD">
        <w:rPr>
          <w:rFonts w:ascii="Palatino Linotype" w:eastAsia="Palatino Linotype" w:hAnsi="Palatino Linotype" w:cs="Palatino Linotype"/>
          <w:sz w:val="22"/>
          <w:szCs w:val="22"/>
        </w:rPr>
        <w:t xml:space="preserve">la respuesta emitida por el </w:t>
      </w:r>
      <w:r w:rsidRPr="00DB09FD">
        <w:rPr>
          <w:rFonts w:ascii="Palatino Linotype" w:eastAsia="Palatino Linotype" w:hAnsi="Palatino Linotype" w:cs="Palatino Linotype"/>
          <w:b/>
          <w:sz w:val="22"/>
          <w:szCs w:val="22"/>
        </w:rPr>
        <w:t xml:space="preserve">Sujeto Obligado. </w:t>
      </w:r>
    </w:p>
    <w:p w14:paraId="492822D7" w14:textId="34BBEE3B" w:rsidR="00F964BA" w:rsidRPr="00DB09FD" w:rsidRDefault="00193AE1" w:rsidP="00C27EBD">
      <w:pPr>
        <w:spacing w:before="240" w:after="240" w:line="360" w:lineRule="auto"/>
        <w:ind w:right="51"/>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b/>
          <w:sz w:val="22"/>
          <w:szCs w:val="22"/>
        </w:rPr>
        <w:t xml:space="preserve">Segundo. </w:t>
      </w:r>
      <w:r w:rsidRPr="00DB09FD">
        <w:rPr>
          <w:rFonts w:ascii="Palatino Linotype" w:eastAsia="Palatino Linotype" w:hAnsi="Palatino Linotype" w:cs="Palatino Linotype"/>
          <w:sz w:val="22"/>
          <w:szCs w:val="22"/>
        </w:rPr>
        <w:t xml:space="preserve">Se </w:t>
      </w:r>
      <w:r w:rsidRPr="00DB09FD">
        <w:rPr>
          <w:rFonts w:ascii="Palatino Linotype" w:eastAsia="Palatino Linotype" w:hAnsi="Palatino Linotype" w:cs="Palatino Linotype"/>
          <w:b/>
          <w:sz w:val="22"/>
          <w:szCs w:val="22"/>
        </w:rPr>
        <w:t>Ordena</w:t>
      </w:r>
      <w:r w:rsidRPr="00DB09FD">
        <w:rPr>
          <w:rFonts w:ascii="Palatino Linotype" w:eastAsia="Palatino Linotype" w:hAnsi="Palatino Linotype" w:cs="Palatino Linotype"/>
          <w:sz w:val="22"/>
          <w:szCs w:val="22"/>
        </w:rPr>
        <w:t xml:space="preserve"> al </w:t>
      </w:r>
      <w:r w:rsidRPr="00DB09FD">
        <w:rPr>
          <w:rFonts w:ascii="Palatino Linotype" w:eastAsia="Palatino Linotype" w:hAnsi="Palatino Linotype" w:cs="Palatino Linotype"/>
          <w:b/>
          <w:sz w:val="22"/>
          <w:szCs w:val="22"/>
        </w:rPr>
        <w:t>Sujeto Obligado</w:t>
      </w:r>
      <w:r w:rsidRPr="00DB09FD">
        <w:rPr>
          <w:rFonts w:ascii="Palatino Linotype" w:eastAsia="Palatino Linotype" w:hAnsi="Palatino Linotype" w:cs="Palatino Linotype"/>
          <w:sz w:val="22"/>
          <w:szCs w:val="22"/>
        </w:rPr>
        <w:t>, en términos de</w:t>
      </w:r>
      <w:r w:rsidR="00DF4FB7" w:rsidRPr="00DB09FD">
        <w:rPr>
          <w:rFonts w:ascii="Palatino Linotype" w:eastAsia="Palatino Linotype" w:hAnsi="Palatino Linotype" w:cs="Palatino Linotype"/>
          <w:sz w:val="22"/>
          <w:szCs w:val="22"/>
        </w:rPr>
        <w:t xml:space="preserve"> </w:t>
      </w:r>
      <w:r w:rsidR="00252EAE" w:rsidRPr="00DB09FD">
        <w:rPr>
          <w:rFonts w:ascii="Palatino Linotype" w:eastAsia="Palatino Linotype" w:hAnsi="Palatino Linotype" w:cs="Palatino Linotype"/>
          <w:sz w:val="22"/>
          <w:szCs w:val="22"/>
        </w:rPr>
        <w:t>l</w:t>
      </w:r>
      <w:r w:rsidR="00DF4FB7" w:rsidRPr="00DB09FD">
        <w:rPr>
          <w:rFonts w:ascii="Palatino Linotype" w:eastAsia="Palatino Linotype" w:hAnsi="Palatino Linotype" w:cs="Palatino Linotype"/>
          <w:sz w:val="22"/>
          <w:szCs w:val="22"/>
        </w:rPr>
        <w:t>os</w:t>
      </w:r>
      <w:r w:rsidR="00252EAE" w:rsidRPr="00DB09FD">
        <w:rPr>
          <w:rFonts w:ascii="Palatino Linotype" w:eastAsia="Palatino Linotype" w:hAnsi="Palatino Linotype" w:cs="Palatino Linotype"/>
          <w:sz w:val="22"/>
          <w:szCs w:val="22"/>
        </w:rPr>
        <w:t xml:space="preserve"> </w:t>
      </w:r>
      <w:r w:rsidRPr="00DB09FD">
        <w:rPr>
          <w:rFonts w:ascii="Palatino Linotype" w:eastAsia="Palatino Linotype" w:hAnsi="Palatino Linotype" w:cs="Palatino Linotype"/>
          <w:sz w:val="22"/>
          <w:szCs w:val="22"/>
        </w:rPr>
        <w:t>Considerando</w:t>
      </w:r>
      <w:r w:rsidR="00DF4FB7" w:rsidRPr="00DB09FD">
        <w:rPr>
          <w:rFonts w:ascii="Palatino Linotype" w:eastAsia="Palatino Linotype" w:hAnsi="Palatino Linotype" w:cs="Palatino Linotype"/>
          <w:sz w:val="22"/>
          <w:szCs w:val="22"/>
        </w:rPr>
        <w:t>s</w:t>
      </w:r>
      <w:r w:rsidRPr="00DB09FD">
        <w:rPr>
          <w:rFonts w:ascii="Palatino Linotype" w:eastAsia="Palatino Linotype" w:hAnsi="Palatino Linotype" w:cs="Palatino Linotype"/>
          <w:sz w:val="22"/>
          <w:szCs w:val="22"/>
        </w:rPr>
        <w:t xml:space="preserve"> </w:t>
      </w:r>
      <w:r w:rsidRPr="00DB09FD">
        <w:rPr>
          <w:rFonts w:ascii="Palatino Linotype" w:eastAsia="Palatino Linotype" w:hAnsi="Palatino Linotype" w:cs="Palatino Linotype"/>
          <w:b/>
          <w:sz w:val="22"/>
          <w:szCs w:val="22"/>
        </w:rPr>
        <w:t xml:space="preserve">Cuarto </w:t>
      </w:r>
      <w:r w:rsidR="00DF4FB7" w:rsidRPr="00DB09FD">
        <w:rPr>
          <w:rFonts w:ascii="Palatino Linotype" w:eastAsia="Palatino Linotype" w:hAnsi="Palatino Linotype" w:cs="Palatino Linotype"/>
          <w:bCs/>
          <w:sz w:val="22"/>
          <w:szCs w:val="22"/>
        </w:rPr>
        <w:t xml:space="preserve">y </w:t>
      </w:r>
      <w:r w:rsidR="00DF4FB7" w:rsidRPr="00DB09FD">
        <w:rPr>
          <w:rFonts w:ascii="Palatino Linotype" w:eastAsia="Palatino Linotype" w:hAnsi="Palatino Linotype" w:cs="Palatino Linotype"/>
          <w:b/>
          <w:sz w:val="22"/>
          <w:szCs w:val="22"/>
        </w:rPr>
        <w:t xml:space="preserve">Quinto </w:t>
      </w:r>
      <w:r w:rsidRPr="00DB09FD">
        <w:rPr>
          <w:rFonts w:ascii="Palatino Linotype" w:eastAsia="Palatino Linotype" w:hAnsi="Palatino Linotype" w:cs="Palatino Linotype"/>
          <w:sz w:val="22"/>
          <w:szCs w:val="22"/>
        </w:rPr>
        <w:t xml:space="preserve">de esta resolución, haga entrega, </w:t>
      </w:r>
      <w:r w:rsidR="001A60C5" w:rsidRPr="00DB09FD">
        <w:rPr>
          <w:rFonts w:ascii="Palatino Linotype" w:eastAsia="Palatino Linotype" w:hAnsi="Palatino Linotype" w:cs="Palatino Linotype"/>
          <w:sz w:val="22"/>
          <w:szCs w:val="22"/>
        </w:rPr>
        <w:t xml:space="preserve">vía </w:t>
      </w:r>
      <w:r w:rsidR="001A60C5" w:rsidRPr="00DB09FD">
        <w:rPr>
          <w:rFonts w:ascii="Palatino Linotype" w:eastAsia="Palatino Linotype" w:hAnsi="Palatino Linotype" w:cs="Palatino Linotype"/>
          <w:b/>
          <w:sz w:val="22"/>
          <w:szCs w:val="22"/>
        </w:rPr>
        <w:t>SAIMEX</w:t>
      </w:r>
      <w:r w:rsidR="001A60C5" w:rsidRPr="00DB09FD">
        <w:rPr>
          <w:rFonts w:ascii="Palatino Linotype" w:eastAsia="Palatino Linotype" w:hAnsi="Palatino Linotype" w:cs="Palatino Linotype"/>
          <w:sz w:val="22"/>
          <w:szCs w:val="22"/>
        </w:rPr>
        <w:t>,</w:t>
      </w:r>
      <w:r w:rsidR="00DF4FB7" w:rsidRPr="00DB09FD">
        <w:rPr>
          <w:rFonts w:ascii="Palatino Linotype" w:eastAsia="Palatino Linotype" w:hAnsi="Palatino Linotype" w:cs="Palatino Linotype"/>
          <w:sz w:val="22"/>
          <w:szCs w:val="22"/>
        </w:rPr>
        <w:t xml:space="preserve"> en versión pública de ser </w:t>
      </w:r>
      <w:r w:rsidR="00F964BA" w:rsidRPr="00DB09FD">
        <w:rPr>
          <w:rFonts w:ascii="Palatino Linotype" w:eastAsia="Palatino Linotype" w:hAnsi="Palatino Linotype" w:cs="Palatino Linotype"/>
          <w:sz w:val="22"/>
          <w:szCs w:val="22"/>
        </w:rPr>
        <w:t xml:space="preserve">procedente, de </w:t>
      </w:r>
      <w:r w:rsidR="001A541D" w:rsidRPr="00DB09FD">
        <w:rPr>
          <w:rFonts w:ascii="Palatino Linotype" w:eastAsia="Palatino Linotype" w:hAnsi="Palatino Linotype" w:cs="Palatino Linotype"/>
          <w:sz w:val="22"/>
          <w:szCs w:val="22"/>
        </w:rPr>
        <w:t>los documentos</w:t>
      </w:r>
      <w:r w:rsidR="00A92F6D" w:rsidRPr="00DB09FD">
        <w:rPr>
          <w:rFonts w:ascii="Palatino Linotype" w:eastAsia="Palatino Linotype" w:hAnsi="Palatino Linotype" w:cs="Palatino Linotype"/>
          <w:sz w:val="22"/>
          <w:szCs w:val="22"/>
        </w:rPr>
        <w:t xml:space="preserve"> donde conste lo</w:t>
      </w:r>
      <w:r w:rsidR="00F964BA" w:rsidRPr="00DB09FD">
        <w:rPr>
          <w:rFonts w:ascii="Palatino Linotype" w:eastAsia="Palatino Linotype" w:hAnsi="Palatino Linotype" w:cs="Palatino Linotype"/>
          <w:sz w:val="22"/>
          <w:szCs w:val="22"/>
        </w:rPr>
        <w:t xml:space="preserve"> siguiente:</w:t>
      </w:r>
    </w:p>
    <w:p w14:paraId="553F3533" w14:textId="5B97CC93" w:rsidR="006132C8" w:rsidRPr="00DB09FD" w:rsidRDefault="00A92F6D" w:rsidP="006132C8">
      <w:pPr>
        <w:pStyle w:val="Prrafodelista"/>
        <w:numPr>
          <w:ilvl w:val="0"/>
          <w:numId w:val="17"/>
        </w:numPr>
        <w:spacing w:line="360" w:lineRule="auto"/>
        <w:contextualSpacing w:val="0"/>
        <w:jc w:val="both"/>
        <w:rPr>
          <w:rFonts w:ascii="Palatino Linotype" w:hAnsi="Palatino Linotype" w:cs="Palatino Linotype"/>
          <w:sz w:val="22"/>
          <w:szCs w:val="22"/>
          <w:lang w:val="es-ES_tradnl"/>
        </w:rPr>
      </w:pPr>
      <w:r w:rsidRPr="00DB09FD">
        <w:rPr>
          <w:rFonts w:ascii="Palatino Linotype" w:hAnsi="Palatino Linotype"/>
          <w:sz w:val="22"/>
          <w:szCs w:val="22"/>
        </w:rPr>
        <w:t>C</w:t>
      </w:r>
      <w:r w:rsidR="006132C8" w:rsidRPr="00DB09FD">
        <w:rPr>
          <w:rFonts w:ascii="Palatino Linotype" w:hAnsi="Palatino Linotype"/>
          <w:sz w:val="22"/>
          <w:szCs w:val="22"/>
        </w:rPr>
        <w:t>heque</w:t>
      </w:r>
      <w:r w:rsidR="001A541D" w:rsidRPr="00DB09FD">
        <w:rPr>
          <w:rFonts w:ascii="Palatino Linotype" w:hAnsi="Palatino Linotype"/>
          <w:sz w:val="22"/>
          <w:szCs w:val="22"/>
        </w:rPr>
        <w:t>s</w:t>
      </w:r>
      <w:r w:rsidR="006132C8" w:rsidRPr="00DB09FD">
        <w:rPr>
          <w:rFonts w:ascii="Palatino Linotype" w:hAnsi="Palatino Linotype"/>
          <w:sz w:val="22"/>
          <w:szCs w:val="22"/>
        </w:rPr>
        <w:t xml:space="preserve"> (emitidos y cancelados)</w:t>
      </w:r>
      <w:r w:rsidRPr="00DB09FD">
        <w:rPr>
          <w:rFonts w:ascii="Palatino Linotype" w:hAnsi="Palatino Linotype"/>
          <w:sz w:val="22"/>
          <w:szCs w:val="22"/>
        </w:rPr>
        <w:t>, con su respectiva justificación documental</w:t>
      </w:r>
      <w:r w:rsidR="006132C8" w:rsidRPr="00DB09FD">
        <w:rPr>
          <w:rFonts w:ascii="Palatino Linotype" w:hAnsi="Palatino Linotype"/>
          <w:sz w:val="22"/>
          <w:szCs w:val="22"/>
        </w:rPr>
        <w:t xml:space="preserve">; </w:t>
      </w:r>
    </w:p>
    <w:p w14:paraId="74E8B82C" w14:textId="77777777" w:rsidR="006132C8" w:rsidRPr="00DB09FD" w:rsidRDefault="006132C8" w:rsidP="006132C8">
      <w:pPr>
        <w:pStyle w:val="Prrafodelista"/>
        <w:numPr>
          <w:ilvl w:val="0"/>
          <w:numId w:val="13"/>
        </w:numPr>
        <w:spacing w:line="360" w:lineRule="auto"/>
        <w:contextualSpacing w:val="0"/>
        <w:jc w:val="both"/>
        <w:rPr>
          <w:rFonts w:ascii="Palatino Linotype" w:hAnsi="Palatino Linotype" w:cs="Palatino Linotype"/>
          <w:sz w:val="22"/>
          <w:szCs w:val="22"/>
          <w:lang w:val="es-ES_tradnl"/>
        </w:rPr>
      </w:pPr>
      <w:r w:rsidRPr="00DB09FD">
        <w:rPr>
          <w:rFonts w:ascii="Palatino Linotype" w:hAnsi="Palatino Linotype"/>
          <w:sz w:val="22"/>
          <w:szCs w:val="22"/>
        </w:rPr>
        <w:t>Del mes de enero de 2022</w:t>
      </w:r>
    </w:p>
    <w:p w14:paraId="1EEE573D" w14:textId="77777777" w:rsidR="006132C8" w:rsidRPr="00DB09FD" w:rsidRDefault="006132C8" w:rsidP="006132C8">
      <w:pPr>
        <w:pStyle w:val="Prrafodelista"/>
        <w:numPr>
          <w:ilvl w:val="0"/>
          <w:numId w:val="13"/>
        </w:numPr>
        <w:spacing w:line="360" w:lineRule="auto"/>
        <w:contextualSpacing w:val="0"/>
        <w:jc w:val="both"/>
        <w:rPr>
          <w:rFonts w:ascii="Palatino Linotype" w:hAnsi="Palatino Linotype" w:cs="Palatino Linotype"/>
          <w:sz w:val="22"/>
          <w:szCs w:val="22"/>
          <w:lang w:val="es-ES_tradnl"/>
        </w:rPr>
      </w:pPr>
      <w:r w:rsidRPr="00DB09FD">
        <w:rPr>
          <w:rFonts w:ascii="Palatino Linotype" w:hAnsi="Palatino Linotype"/>
          <w:sz w:val="22"/>
          <w:szCs w:val="22"/>
        </w:rPr>
        <w:t xml:space="preserve">De los meses de abril, mayo y junio 2023  </w:t>
      </w:r>
    </w:p>
    <w:p w14:paraId="38957E53" w14:textId="77777777" w:rsidR="006132C8" w:rsidRPr="00DB09FD" w:rsidRDefault="006132C8" w:rsidP="006132C8">
      <w:pPr>
        <w:pStyle w:val="Prrafodelista"/>
        <w:spacing w:line="360" w:lineRule="auto"/>
        <w:ind w:left="2160"/>
        <w:jc w:val="both"/>
        <w:rPr>
          <w:rFonts w:ascii="Palatino Linotype" w:hAnsi="Palatino Linotype" w:cs="Palatino Linotype"/>
          <w:sz w:val="22"/>
          <w:szCs w:val="22"/>
          <w:lang w:val="es-ES_tradnl"/>
        </w:rPr>
      </w:pPr>
    </w:p>
    <w:p w14:paraId="5A1C14B6" w14:textId="77777777" w:rsidR="006132C8" w:rsidRPr="00DB09FD" w:rsidRDefault="006132C8" w:rsidP="006132C8">
      <w:pPr>
        <w:pStyle w:val="Prrafodelista"/>
        <w:numPr>
          <w:ilvl w:val="0"/>
          <w:numId w:val="17"/>
        </w:numPr>
        <w:spacing w:line="360" w:lineRule="auto"/>
        <w:contextualSpacing w:val="0"/>
        <w:jc w:val="both"/>
        <w:rPr>
          <w:rFonts w:ascii="Palatino Linotype" w:hAnsi="Palatino Linotype" w:cs="Palatino Linotype"/>
          <w:sz w:val="22"/>
          <w:szCs w:val="22"/>
          <w:lang w:val="es-ES_tradnl"/>
        </w:rPr>
      </w:pPr>
      <w:r w:rsidRPr="00DB09FD">
        <w:rPr>
          <w:rFonts w:ascii="Palatino Linotype" w:hAnsi="Palatino Linotype"/>
          <w:sz w:val="22"/>
          <w:szCs w:val="22"/>
        </w:rPr>
        <w:t>Conciliaciones bancarias acompañadas de los respectivos estados de cuenta y oficios de validación interna de los siguientes periodos;</w:t>
      </w:r>
    </w:p>
    <w:p w14:paraId="02536CCD" w14:textId="77777777" w:rsidR="006132C8" w:rsidRPr="00DB09FD" w:rsidRDefault="006132C8" w:rsidP="006132C8">
      <w:pPr>
        <w:pStyle w:val="Prrafodelista"/>
        <w:numPr>
          <w:ilvl w:val="0"/>
          <w:numId w:val="14"/>
        </w:numPr>
        <w:spacing w:line="360" w:lineRule="auto"/>
        <w:contextualSpacing w:val="0"/>
        <w:jc w:val="both"/>
        <w:rPr>
          <w:rFonts w:ascii="Palatino Linotype" w:hAnsi="Palatino Linotype" w:cs="Palatino Linotype"/>
          <w:sz w:val="22"/>
          <w:szCs w:val="22"/>
          <w:lang w:val="es-ES_tradnl"/>
        </w:rPr>
      </w:pPr>
      <w:r w:rsidRPr="00DB09FD">
        <w:rPr>
          <w:rFonts w:ascii="Palatino Linotype" w:hAnsi="Palatino Linotype"/>
          <w:sz w:val="22"/>
          <w:szCs w:val="22"/>
        </w:rPr>
        <w:t>Del mes de enero de 2022</w:t>
      </w:r>
    </w:p>
    <w:p w14:paraId="5581B06A" w14:textId="77777777" w:rsidR="006132C8" w:rsidRPr="00DB09FD" w:rsidRDefault="006132C8" w:rsidP="006132C8">
      <w:pPr>
        <w:pStyle w:val="Prrafodelista"/>
        <w:numPr>
          <w:ilvl w:val="0"/>
          <w:numId w:val="14"/>
        </w:numPr>
        <w:spacing w:line="360" w:lineRule="auto"/>
        <w:contextualSpacing w:val="0"/>
        <w:jc w:val="both"/>
        <w:rPr>
          <w:rFonts w:ascii="Palatino Linotype" w:hAnsi="Palatino Linotype" w:cs="Palatino Linotype"/>
          <w:sz w:val="22"/>
          <w:szCs w:val="22"/>
          <w:lang w:val="es-ES_tradnl"/>
        </w:rPr>
      </w:pPr>
      <w:r w:rsidRPr="00DB09FD">
        <w:rPr>
          <w:rFonts w:ascii="Palatino Linotype" w:hAnsi="Palatino Linotype"/>
          <w:sz w:val="22"/>
          <w:szCs w:val="22"/>
        </w:rPr>
        <w:t xml:space="preserve">De los meses de abril, mayo y junio 2023  </w:t>
      </w:r>
    </w:p>
    <w:p w14:paraId="24DCC2B4" w14:textId="77777777" w:rsidR="00A92F6D" w:rsidRPr="00DB09FD" w:rsidRDefault="00A92F6D" w:rsidP="00A92F6D">
      <w:pPr>
        <w:pStyle w:val="Prrafodelista"/>
        <w:spacing w:line="360" w:lineRule="auto"/>
        <w:ind w:left="1440"/>
        <w:contextualSpacing w:val="0"/>
        <w:jc w:val="both"/>
        <w:rPr>
          <w:rFonts w:ascii="Palatino Linotype" w:hAnsi="Palatino Linotype" w:cs="Palatino Linotype"/>
          <w:sz w:val="22"/>
          <w:szCs w:val="22"/>
          <w:lang w:val="es-ES_tradnl"/>
        </w:rPr>
      </w:pPr>
    </w:p>
    <w:p w14:paraId="6C01A650" w14:textId="6D2DC7DC" w:rsidR="006132C8" w:rsidRPr="00DB09FD" w:rsidRDefault="006132C8" w:rsidP="006132C8">
      <w:pPr>
        <w:pStyle w:val="Prrafodelista"/>
        <w:numPr>
          <w:ilvl w:val="0"/>
          <w:numId w:val="17"/>
        </w:numPr>
        <w:spacing w:line="360" w:lineRule="auto"/>
        <w:contextualSpacing w:val="0"/>
        <w:jc w:val="both"/>
        <w:rPr>
          <w:rFonts w:ascii="Palatino Linotype" w:hAnsi="Palatino Linotype" w:cs="Palatino Linotype"/>
          <w:sz w:val="22"/>
          <w:szCs w:val="22"/>
          <w:lang w:val="es-ES_tradnl"/>
        </w:rPr>
      </w:pPr>
      <w:r w:rsidRPr="00DB09FD">
        <w:rPr>
          <w:rFonts w:ascii="Palatino Linotype" w:hAnsi="Palatino Linotype"/>
          <w:sz w:val="22"/>
          <w:szCs w:val="22"/>
        </w:rPr>
        <w:t>Documento que dé cuenta del arqueo de caja practicado, con acta firmada por los servidores públicos participantes de los siguientes periodos;</w:t>
      </w:r>
    </w:p>
    <w:p w14:paraId="16563AA2" w14:textId="77777777" w:rsidR="006132C8" w:rsidRPr="00DB09FD" w:rsidRDefault="006132C8" w:rsidP="006132C8">
      <w:pPr>
        <w:pStyle w:val="Prrafodelista"/>
        <w:numPr>
          <w:ilvl w:val="0"/>
          <w:numId w:val="15"/>
        </w:numPr>
        <w:spacing w:line="360" w:lineRule="auto"/>
        <w:contextualSpacing w:val="0"/>
        <w:jc w:val="both"/>
        <w:rPr>
          <w:rFonts w:ascii="Palatino Linotype" w:hAnsi="Palatino Linotype" w:cs="Palatino Linotype"/>
          <w:sz w:val="22"/>
          <w:szCs w:val="22"/>
          <w:lang w:val="es-ES_tradnl"/>
        </w:rPr>
      </w:pPr>
      <w:r w:rsidRPr="00DB09FD">
        <w:rPr>
          <w:rFonts w:ascii="Palatino Linotype" w:hAnsi="Palatino Linotype"/>
          <w:sz w:val="22"/>
          <w:szCs w:val="22"/>
        </w:rPr>
        <w:t xml:space="preserve">Del día 31 de enero de 2022 </w:t>
      </w:r>
    </w:p>
    <w:p w14:paraId="140D172F" w14:textId="3AD08980" w:rsidR="006132C8" w:rsidRPr="00DB09FD" w:rsidRDefault="006132C8" w:rsidP="00A92F6D">
      <w:pPr>
        <w:pStyle w:val="Prrafodelista"/>
        <w:numPr>
          <w:ilvl w:val="0"/>
          <w:numId w:val="14"/>
        </w:numPr>
        <w:spacing w:line="360" w:lineRule="auto"/>
        <w:contextualSpacing w:val="0"/>
        <w:jc w:val="both"/>
        <w:rPr>
          <w:rFonts w:ascii="Palatino Linotype" w:hAnsi="Palatino Linotype" w:cs="Palatino Linotype"/>
          <w:sz w:val="22"/>
          <w:szCs w:val="22"/>
          <w:lang w:val="es-ES_tradnl"/>
        </w:rPr>
      </w:pPr>
      <w:r w:rsidRPr="00DB09FD">
        <w:rPr>
          <w:rFonts w:ascii="Palatino Linotype" w:hAnsi="Palatino Linotype"/>
          <w:sz w:val="22"/>
          <w:szCs w:val="22"/>
        </w:rPr>
        <w:t xml:space="preserve"> De los meses de abril, mayo y junio 2023  </w:t>
      </w:r>
    </w:p>
    <w:p w14:paraId="75AD678E" w14:textId="48F5AD7B" w:rsidR="00E5266D" w:rsidRPr="00DB09FD" w:rsidRDefault="00E5266D" w:rsidP="00C27EBD">
      <w:pPr>
        <w:spacing w:before="240" w:after="240" w:line="360" w:lineRule="auto"/>
        <w:ind w:right="49"/>
        <w:jc w:val="both"/>
        <w:rPr>
          <w:rFonts w:ascii="Palatino Linotype" w:eastAsia="Palatino Linotype" w:hAnsi="Palatino Linotype" w:cs="Palatino Linotype"/>
          <w:i/>
          <w:sz w:val="22"/>
          <w:szCs w:val="22"/>
        </w:rPr>
      </w:pPr>
      <w:r w:rsidRPr="00DB09FD">
        <w:rPr>
          <w:rFonts w:ascii="Palatino Linotype" w:eastAsia="Palatino Linotype" w:hAnsi="Palatino Linotype" w:cs="Palatino Linotype"/>
          <w:i/>
          <w:sz w:val="22"/>
          <w:szCs w:val="22"/>
        </w:rPr>
        <w:t>Para la entrega de información en versión pública, se deberá emitir el Acuerdo del Comité de Transparencia de acuerdo con la Ley de Transparencia y Acceso a la Información Pública del Estado de México y Municipios, en el que funde y motive las razones sobre los datos que se supriman</w:t>
      </w:r>
      <w:r w:rsidR="00DF4FB7" w:rsidRPr="00DB09FD">
        <w:rPr>
          <w:rFonts w:ascii="Palatino Linotype" w:eastAsia="Palatino Linotype" w:hAnsi="Palatino Linotype" w:cs="Palatino Linotype"/>
          <w:i/>
          <w:sz w:val="22"/>
          <w:szCs w:val="22"/>
        </w:rPr>
        <w:t xml:space="preserve"> o eliminen</w:t>
      </w:r>
      <w:r w:rsidRPr="00DB09FD">
        <w:rPr>
          <w:rFonts w:ascii="Palatino Linotype" w:eastAsia="Palatino Linotype" w:hAnsi="Palatino Linotype" w:cs="Palatino Linotype"/>
          <w:i/>
          <w:sz w:val="22"/>
          <w:szCs w:val="22"/>
        </w:rPr>
        <w:t>, mismo que también hará de conocimiento de</w:t>
      </w:r>
      <w:r w:rsidR="00DF4FB7" w:rsidRPr="00DB09FD">
        <w:rPr>
          <w:rFonts w:ascii="Palatino Linotype" w:eastAsia="Palatino Linotype" w:hAnsi="Palatino Linotype" w:cs="Palatino Linotype"/>
          <w:i/>
          <w:sz w:val="22"/>
          <w:szCs w:val="22"/>
        </w:rPr>
        <w:t xml:space="preserve"> </w:t>
      </w:r>
      <w:r w:rsidRPr="00DB09FD">
        <w:rPr>
          <w:rFonts w:ascii="Palatino Linotype" w:eastAsia="Palatino Linotype" w:hAnsi="Palatino Linotype" w:cs="Palatino Linotype"/>
          <w:i/>
          <w:sz w:val="22"/>
          <w:szCs w:val="22"/>
        </w:rPr>
        <w:t>l</w:t>
      </w:r>
      <w:r w:rsidR="00DF4FB7" w:rsidRPr="00DB09FD">
        <w:rPr>
          <w:rFonts w:ascii="Palatino Linotype" w:eastAsia="Palatino Linotype" w:hAnsi="Palatino Linotype" w:cs="Palatino Linotype"/>
          <w:i/>
          <w:sz w:val="22"/>
          <w:szCs w:val="22"/>
        </w:rPr>
        <w:t xml:space="preserve">a parte </w:t>
      </w:r>
      <w:r w:rsidR="00DF4FB7" w:rsidRPr="00DB09FD">
        <w:rPr>
          <w:rFonts w:ascii="Palatino Linotype" w:eastAsia="Palatino Linotype" w:hAnsi="Palatino Linotype" w:cs="Palatino Linotype"/>
          <w:b/>
          <w:bCs/>
          <w:i/>
          <w:sz w:val="22"/>
          <w:szCs w:val="22"/>
        </w:rPr>
        <w:t>Recurrente.</w:t>
      </w:r>
    </w:p>
    <w:p w14:paraId="6B12F0AC" w14:textId="77777777" w:rsidR="00193AE1" w:rsidRPr="00DB09FD" w:rsidRDefault="00193AE1" w:rsidP="001A541D">
      <w:pPr>
        <w:spacing w:before="240" w:after="240" w:line="360" w:lineRule="auto"/>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b/>
          <w:sz w:val="22"/>
          <w:szCs w:val="22"/>
        </w:rPr>
        <w:t xml:space="preserve">Tercero. Notifíquese, </w:t>
      </w:r>
      <w:r w:rsidRPr="00DB09FD">
        <w:rPr>
          <w:rFonts w:ascii="Palatino Linotype" w:eastAsia="Palatino Linotype" w:hAnsi="Palatino Linotype" w:cs="Palatino Linotype"/>
          <w:sz w:val="22"/>
          <w:szCs w:val="22"/>
        </w:rPr>
        <w:t xml:space="preserve">vía </w:t>
      </w:r>
      <w:r w:rsidRPr="00DB09FD">
        <w:rPr>
          <w:rFonts w:ascii="Palatino Linotype" w:eastAsia="Palatino Linotype" w:hAnsi="Palatino Linotype" w:cs="Palatino Linotype"/>
          <w:b/>
          <w:sz w:val="22"/>
          <w:szCs w:val="22"/>
        </w:rPr>
        <w:t>SAIMEX</w:t>
      </w:r>
      <w:r w:rsidRPr="00DB09FD">
        <w:rPr>
          <w:rFonts w:ascii="Palatino Linotype" w:eastAsia="Palatino Linotype" w:hAnsi="Palatino Linotype" w:cs="Palatino Linotype"/>
          <w:sz w:val="22"/>
          <w:szCs w:val="22"/>
        </w:rPr>
        <w:t xml:space="preserve">, al Titular de la Unidad de Transparencia del </w:t>
      </w:r>
      <w:r w:rsidRPr="00DB09FD">
        <w:rPr>
          <w:rFonts w:ascii="Palatino Linotype" w:eastAsia="Palatino Linotype" w:hAnsi="Palatino Linotype" w:cs="Palatino Linotype"/>
          <w:b/>
          <w:sz w:val="22"/>
          <w:szCs w:val="22"/>
        </w:rPr>
        <w:t>Sujeto Obligado,</w:t>
      </w:r>
      <w:r w:rsidRPr="00DB09FD">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7F223DA" w14:textId="77777777" w:rsidR="001A541D" w:rsidRPr="00DB09FD" w:rsidRDefault="001A541D" w:rsidP="001A541D">
      <w:pPr>
        <w:pStyle w:val="NormalWeb"/>
        <w:spacing w:before="0" w:beforeAutospacing="0" w:after="0" w:afterAutospacing="0" w:line="360" w:lineRule="auto"/>
        <w:ind w:right="49"/>
        <w:jc w:val="both"/>
        <w:rPr>
          <w:rFonts w:ascii="Palatino Linotype" w:hAnsi="Palatino Linotype"/>
          <w:sz w:val="22"/>
          <w:szCs w:val="22"/>
        </w:rPr>
      </w:pPr>
      <w:bookmarkStart w:id="18" w:name="_heading=h.lnxbz9" w:colFirst="0" w:colLast="0"/>
      <w:bookmarkEnd w:id="18"/>
      <w:r w:rsidRPr="00DB09FD">
        <w:rPr>
          <w:rFonts w:ascii="Palatino Linotype" w:hAnsi="Palatino Linotype"/>
          <w:b/>
          <w:bCs/>
          <w:sz w:val="22"/>
          <w:szCs w:val="22"/>
        </w:rPr>
        <w:t>Cuarto.</w:t>
      </w:r>
      <w:r w:rsidRPr="00DB09FD">
        <w:rPr>
          <w:rFonts w:ascii="Palatino Linotype" w:hAnsi="Palatino Linotype"/>
          <w:sz w:val="22"/>
          <w:szCs w:val="22"/>
        </w:rPr>
        <w:t xml:space="preserve"> </w:t>
      </w:r>
      <w:r w:rsidRPr="00DB09FD">
        <w:rPr>
          <w:rFonts w:ascii="Palatino Linotype" w:hAnsi="Palatino Linotype"/>
          <w:b/>
          <w:bCs/>
          <w:sz w:val="22"/>
          <w:szCs w:val="22"/>
        </w:rPr>
        <w:t xml:space="preserve">Notifíquese, </w:t>
      </w:r>
      <w:r w:rsidRPr="00DB09FD">
        <w:rPr>
          <w:rFonts w:ascii="Palatino Linotype" w:hAnsi="Palatino Linotype"/>
          <w:sz w:val="22"/>
          <w:szCs w:val="22"/>
        </w:rPr>
        <w:t xml:space="preserve">vía </w:t>
      </w:r>
      <w:r w:rsidRPr="00DB09FD">
        <w:rPr>
          <w:rFonts w:ascii="Palatino Linotype" w:hAnsi="Palatino Linotype"/>
          <w:b/>
          <w:bCs/>
          <w:sz w:val="22"/>
          <w:szCs w:val="22"/>
        </w:rPr>
        <w:t>SAIMEX</w:t>
      </w:r>
      <w:r w:rsidRPr="00DB09FD">
        <w:rPr>
          <w:rFonts w:ascii="Palatino Linotype" w:hAnsi="Palatino Linotype"/>
          <w:sz w:val="22"/>
          <w:szCs w:val="22"/>
        </w:rPr>
        <w:t xml:space="preserve">, al Titular de la Unidad de Transparencia del </w:t>
      </w:r>
      <w:r w:rsidRPr="00DB09FD">
        <w:rPr>
          <w:rFonts w:ascii="Palatino Linotype" w:hAnsi="Palatino Linotype"/>
          <w:b/>
          <w:bCs/>
          <w:sz w:val="22"/>
          <w:szCs w:val="22"/>
        </w:rPr>
        <w:t>Sujeto Obligado,</w:t>
      </w:r>
      <w:r w:rsidRPr="00DB09FD">
        <w:rPr>
          <w:rFonts w:ascii="Palatino Linotype" w:hAnsi="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6F561B5D" w14:textId="77777777" w:rsidR="001A541D" w:rsidRPr="00DB09FD" w:rsidRDefault="001A541D" w:rsidP="001A541D">
      <w:pPr>
        <w:spacing w:line="360" w:lineRule="auto"/>
        <w:rPr>
          <w:rFonts w:ascii="Palatino Linotype" w:hAnsi="Palatino Linotype"/>
          <w:sz w:val="22"/>
          <w:szCs w:val="22"/>
        </w:rPr>
      </w:pPr>
    </w:p>
    <w:p w14:paraId="5564AF54" w14:textId="77777777" w:rsidR="001A541D" w:rsidRPr="00DB09FD" w:rsidRDefault="001A541D" w:rsidP="001A541D">
      <w:pPr>
        <w:pStyle w:val="NormalWeb"/>
        <w:spacing w:before="0" w:beforeAutospacing="0" w:after="0" w:afterAutospacing="0" w:line="360" w:lineRule="auto"/>
        <w:ind w:right="49"/>
        <w:jc w:val="both"/>
        <w:rPr>
          <w:rFonts w:ascii="Palatino Linotype" w:hAnsi="Palatino Linotype"/>
          <w:sz w:val="22"/>
          <w:szCs w:val="22"/>
        </w:rPr>
      </w:pPr>
      <w:r w:rsidRPr="00DB09FD">
        <w:rPr>
          <w:rFonts w:ascii="Palatino Linotype" w:hAnsi="Palatino Linotype"/>
          <w:b/>
          <w:bCs/>
          <w:sz w:val="22"/>
          <w:szCs w:val="22"/>
        </w:rPr>
        <w:t xml:space="preserve">Quinto. Notifíquese vía SAIMEX, </w:t>
      </w:r>
      <w:r w:rsidRPr="00DB09FD">
        <w:rPr>
          <w:rFonts w:ascii="Palatino Linotype" w:hAnsi="Palatino Linotype"/>
          <w:sz w:val="22"/>
          <w:szCs w:val="22"/>
        </w:rPr>
        <w:t xml:space="preserve">la presente resolución a la parte </w:t>
      </w:r>
      <w:r w:rsidRPr="00DB09FD">
        <w:rPr>
          <w:rFonts w:ascii="Palatino Linotype" w:hAnsi="Palatino Linotype"/>
          <w:b/>
          <w:bCs/>
          <w:sz w:val="22"/>
          <w:szCs w:val="22"/>
        </w:rPr>
        <w:t>Recurrente</w:t>
      </w:r>
      <w:r w:rsidRPr="00DB09FD">
        <w:rPr>
          <w:rFonts w:ascii="Palatino Linotype" w:hAnsi="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12A6FCC4" w14:textId="77777777" w:rsidR="001A541D" w:rsidRPr="00DB09FD" w:rsidRDefault="001A541D" w:rsidP="001A541D">
      <w:pPr>
        <w:spacing w:line="360" w:lineRule="auto"/>
        <w:rPr>
          <w:rFonts w:ascii="Palatino Linotype" w:hAnsi="Palatino Linotype"/>
          <w:sz w:val="22"/>
          <w:szCs w:val="22"/>
        </w:rPr>
      </w:pPr>
    </w:p>
    <w:p w14:paraId="2B3B971D" w14:textId="77777777" w:rsidR="001A541D" w:rsidRPr="00DB09FD" w:rsidRDefault="001A541D" w:rsidP="001A541D">
      <w:pPr>
        <w:pStyle w:val="NormalWeb"/>
        <w:spacing w:before="0" w:beforeAutospacing="0" w:after="0" w:afterAutospacing="0" w:line="360" w:lineRule="auto"/>
        <w:ind w:right="49"/>
        <w:jc w:val="both"/>
        <w:rPr>
          <w:rFonts w:ascii="Palatino Linotype" w:hAnsi="Palatino Linotype"/>
          <w:sz w:val="22"/>
          <w:szCs w:val="22"/>
        </w:rPr>
      </w:pPr>
      <w:r w:rsidRPr="00DB09FD">
        <w:rPr>
          <w:rFonts w:ascii="Palatino Linotype" w:hAnsi="Palatino Linotype"/>
          <w:b/>
          <w:bCs/>
          <w:sz w:val="22"/>
          <w:szCs w:val="22"/>
        </w:rPr>
        <w:t>Sexto.</w:t>
      </w:r>
      <w:r w:rsidRPr="00DB09FD">
        <w:rPr>
          <w:rFonts w:ascii="Palatino Linotype" w:hAnsi="Palatino Linotype"/>
          <w:sz w:val="22"/>
          <w:szCs w:val="22"/>
        </w:rPr>
        <w:t xml:space="preserve"> </w:t>
      </w:r>
      <w:r w:rsidRPr="00DB09FD">
        <w:rPr>
          <w:rFonts w:ascii="Palatino Linotype" w:hAnsi="Palatino Linotype"/>
          <w:b/>
          <w:bCs/>
          <w:sz w:val="22"/>
          <w:szCs w:val="22"/>
        </w:rPr>
        <w:t xml:space="preserve">Gírese </w:t>
      </w:r>
      <w:r w:rsidRPr="00DB09FD">
        <w:rPr>
          <w:rFonts w:ascii="Palatino Linotype" w:hAnsi="Palatino Linotype"/>
          <w:sz w:val="22"/>
          <w:szCs w:val="22"/>
        </w:rPr>
        <w:t xml:space="preserve">oficio a la Dirección de Protección de Datos Personales de este Instituto para hacer de su conocimiento la presente resolución, a fin de que en ejercicio de sus atribuciones y de conformidad con el artículo 82 de la Ley de Protección de Datos Personales en Posesión de Sujetos Obligados del Estado de México y Municipios, determine lo conducente, en términos de lo señalado en el Considerando </w:t>
      </w:r>
      <w:r w:rsidRPr="00DB09FD">
        <w:rPr>
          <w:rFonts w:ascii="Palatino Linotype" w:hAnsi="Palatino Linotype"/>
          <w:b/>
          <w:bCs/>
          <w:sz w:val="22"/>
          <w:szCs w:val="22"/>
        </w:rPr>
        <w:t>Cuarto</w:t>
      </w:r>
      <w:r w:rsidRPr="00DB09FD">
        <w:rPr>
          <w:rFonts w:ascii="Palatino Linotype" w:hAnsi="Palatino Linotype"/>
          <w:sz w:val="22"/>
          <w:szCs w:val="22"/>
        </w:rPr>
        <w:t xml:space="preserve"> de la presente resolución.</w:t>
      </w:r>
    </w:p>
    <w:p w14:paraId="4D598642" w14:textId="77332CB7" w:rsidR="00562A90" w:rsidRPr="00D840DA" w:rsidRDefault="0062255D">
      <w:pPr>
        <w:tabs>
          <w:tab w:val="left" w:pos="8647"/>
        </w:tabs>
        <w:spacing w:before="240" w:after="240" w:line="360" w:lineRule="auto"/>
        <w:ind w:right="51"/>
        <w:jc w:val="both"/>
        <w:rPr>
          <w:rFonts w:ascii="Palatino Linotype" w:eastAsia="Palatino Linotype" w:hAnsi="Palatino Linotype" w:cs="Palatino Linotype"/>
          <w:sz w:val="22"/>
          <w:szCs w:val="22"/>
        </w:rPr>
      </w:pPr>
      <w:r w:rsidRPr="00DB09FD">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w:t>
      </w:r>
      <w:bookmarkStart w:id="19" w:name="_GoBack"/>
      <w:bookmarkEnd w:id="19"/>
      <w:r w:rsidRPr="00DB09FD">
        <w:rPr>
          <w:rFonts w:ascii="Palatino Linotype" w:eastAsia="Palatino Linotype" w:hAnsi="Palatino Linotype" w:cs="Palatino Linotype"/>
          <w:sz w:val="22"/>
          <w:szCs w:val="22"/>
        </w:rPr>
        <w:t>ILCHIS, MARÍA DEL ROSARIO MEJÍA AYALA, SHARON CRISTINA MORALES MARTÍNEZ, LUIS GUSTAVO PARRA NORIEGA Y GUADALUPE RAMÍREZ PEÑA</w:t>
      </w:r>
      <w:r w:rsidR="00471303" w:rsidRPr="00DB09FD">
        <w:rPr>
          <w:rFonts w:ascii="Palatino Linotype" w:eastAsia="Palatino Linotype" w:hAnsi="Palatino Linotype" w:cs="Palatino Linotype"/>
          <w:sz w:val="22"/>
          <w:szCs w:val="22"/>
        </w:rPr>
        <w:t>,</w:t>
      </w:r>
      <w:r w:rsidRPr="00DB09FD">
        <w:rPr>
          <w:rFonts w:ascii="Palatino Linotype" w:eastAsia="Palatino Linotype" w:hAnsi="Palatino Linotype" w:cs="Palatino Linotype"/>
          <w:sz w:val="22"/>
          <w:szCs w:val="22"/>
        </w:rPr>
        <w:t xml:space="preserve"> EN LA </w:t>
      </w:r>
      <w:r w:rsidR="00A92F6D" w:rsidRPr="00DB09FD">
        <w:rPr>
          <w:rFonts w:ascii="Palatino Linotype" w:eastAsia="Palatino Linotype" w:hAnsi="Palatino Linotype" w:cs="Palatino Linotype"/>
          <w:sz w:val="22"/>
          <w:szCs w:val="22"/>
        </w:rPr>
        <w:t>DÉCIM</w:t>
      </w:r>
      <w:r w:rsidR="00D840DA" w:rsidRPr="00DB09FD">
        <w:rPr>
          <w:rFonts w:ascii="Palatino Linotype" w:eastAsia="Palatino Linotype" w:hAnsi="Palatino Linotype" w:cs="Palatino Linotype"/>
          <w:sz w:val="22"/>
          <w:szCs w:val="22"/>
        </w:rPr>
        <w:t>A</w:t>
      </w:r>
      <w:r w:rsidR="00A92F6D" w:rsidRPr="00DB09FD">
        <w:rPr>
          <w:rFonts w:ascii="Palatino Linotype" w:eastAsia="Palatino Linotype" w:hAnsi="Palatino Linotype" w:cs="Palatino Linotype"/>
          <w:sz w:val="22"/>
          <w:szCs w:val="22"/>
        </w:rPr>
        <w:t xml:space="preserve"> SEGUNDA </w:t>
      </w:r>
      <w:r w:rsidRPr="00DB09FD">
        <w:rPr>
          <w:rFonts w:ascii="Palatino Linotype" w:eastAsia="Palatino Linotype" w:hAnsi="Palatino Linotype" w:cs="Palatino Linotype"/>
          <w:sz w:val="22"/>
          <w:szCs w:val="22"/>
        </w:rPr>
        <w:t xml:space="preserve">SESIÓN ORDINARIA CELEBRADA EL </w:t>
      </w:r>
      <w:r w:rsidR="00A92F6D" w:rsidRPr="00DB09FD">
        <w:rPr>
          <w:rFonts w:ascii="Palatino Linotype" w:eastAsia="Palatino Linotype" w:hAnsi="Palatino Linotype" w:cs="Palatino Linotype"/>
          <w:sz w:val="22"/>
          <w:szCs w:val="22"/>
        </w:rPr>
        <w:t xml:space="preserve">OCHO DE ABRIL </w:t>
      </w:r>
      <w:r w:rsidRPr="00DB09FD">
        <w:rPr>
          <w:rFonts w:ascii="Palatino Linotype" w:eastAsia="Palatino Linotype" w:hAnsi="Palatino Linotype" w:cs="Palatino Linotype"/>
          <w:sz w:val="22"/>
          <w:szCs w:val="22"/>
        </w:rPr>
        <w:t>DE DOS MIL VEINTI</w:t>
      </w:r>
      <w:r w:rsidR="00DF4FB7" w:rsidRPr="00DB09FD">
        <w:rPr>
          <w:rFonts w:ascii="Palatino Linotype" w:eastAsia="Palatino Linotype" w:hAnsi="Palatino Linotype" w:cs="Palatino Linotype"/>
          <w:sz w:val="22"/>
          <w:szCs w:val="22"/>
        </w:rPr>
        <w:t>SÉIS</w:t>
      </w:r>
      <w:r w:rsidRPr="00DB09FD">
        <w:rPr>
          <w:rFonts w:ascii="Palatino Linotype" w:eastAsia="Palatino Linotype" w:hAnsi="Palatino Linotype" w:cs="Palatino Linotype"/>
          <w:sz w:val="22"/>
          <w:szCs w:val="22"/>
        </w:rPr>
        <w:t>, ANTE EL SECRETARIO TÉCNICO DEL PLENO ALEXIS TAPIA RAMÍREZ.</w:t>
      </w:r>
    </w:p>
    <w:p w14:paraId="7E80776D" w14:textId="77777777" w:rsidR="00562A90" w:rsidRPr="00D840DA" w:rsidRDefault="00562A90">
      <w:pPr>
        <w:spacing w:line="360" w:lineRule="auto"/>
        <w:jc w:val="both"/>
        <w:rPr>
          <w:rFonts w:ascii="Palatino Linotype" w:eastAsia="Palatino Linotype" w:hAnsi="Palatino Linotype" w:cs="Palatino Linotype"/>
          <w:sz w:val="22"/>
          <w:szCs w:val="22"/>
        </w:rPr>
      </w:pPr>
    </w:p>
    <w:p w14:paraId="21728E8E" w14:textId="77777777" w:rsidR="00562A90" w:rsidRPr="00D840DA" w:rsidRDefault="00562A90">
      <w:pPr>
        <w:spacing w:line="360" w:lineRule="auto"/>
        <w:jc w:val="center"/>
        <w:rPr>
          <w:rFonts w:ascii="Palatino Linotype" w:eastAsia="Palatino Linotype" w:hAnsi="Palatino Linotype" w:cs="Palatino Linotype"/>
          <w:sz w:val="22"/>
          <w:szCs w:val="22"/>
        </w:rPr>
      </w:pPr>
    </w:p>
    <w:p w14:paraId="42D39E19" w14:textId="77777777" w:rsidR="00562A90" w:rsidRPr="00D840DA" w:rsidRDefault="00562A90">
      <w:pPr>
        <w:spacing w:line="360" w:lineRule="auto"/>
        <w:jc w:val="both"/>
        <w:rPr>
          <w:rFonts w:ascii="Palatino Linotype" w:eastAsia="Palatino Linotype" w:hAnsi="Palatino Linotype" w:cs="Palatino Linotype"/>
          <w:sz w:val="22"/>
          <w:szCs w:val="22"/>
        </w:rPr>
      </w:pPr>
    </w:p>
    <w:p w14:paraId="4B650DFB" w14:textId="77777777" w:rsidR="00562A90" w:rsidRPr="00D840DA" w:rsidRDefault="00562A90">
      <w:pPr>
        <w:spacing w:line="360" w:lineRule="auto"/>
        <w:jc w:val="both"/>
        <w:rPr>
          <w:rFonts w:ascii="Palatino Linotype" w:eastAsia="Palatino Linotype" w:hAnsi="Palatino Linotype" w:cs="Palatino Linotype"/>
          <w:sz w:val="22"/>
          <w:szCs w:val="22"/>
        </w:rPr>
      </w:pPr>
    </w:p>
    <w:p w14:paraId="5B3EEBD5" w14:textId="77777777" w:rsidR="00CD09AE" w:rsidRPr="00D840DA" w:rsidRDefault="00CD09AE">
      <w:pPr>
        <w:spacing w:line="360" w:lineRule="auto"/>
        <w:jc w:val="both"/>
        <w:rPr>
          <w:rFonts w:ascii="Palatino Linotype" w:eastAsia="Palatino Linotype" w:hAnsi="Palatino Linotype" w:cs="Palatino Linotype"/>
          <w:sz w:val="22"/>
          <w:szCs w:val="22"/>
        </w:rPr>
      </w:pPr>
    </w:p>
    <w:p w14:paraId="7EB44535" w14:textId="77777777" w:rsidR="00D840DA" w:rsidRPr="00D840DA" w:rsidRDefault="00D840DA">
      <w:pPr>
        <w:spacing w:line="360" w:lineRule="auto"/>
        <w:jc w:val="both"/>
        <w:rPr>
          <w:rFonts w:ascii="Palatino Linotype" w:eastAsia="Palatino Linotype" w:hAnsi="Palatino Linotype" w:cs="Palatino Linotype"/>
          <w:sz w:val="22"/>
          <w:szCs w:val="22"/>
        </w:rPr>
      </w:pPr>
    </w:p>
    <w:p w14:paraId="64CFF292" w14:textId="77777777" w:rsidR="00D840DA" w:rsidRPr="00D840DA" w:rsidRDefault="00D840DA">
      <w:pPr>
        <w:spacing w:line="360" w:lineRule="auto"/>
        <w:jc w:val="both"/>
        <w:rPr>
          <w:rFonts w:ascii="Palatino Linotype" w:eastAsia="Palatino Linotype" w:hAnsi="Palatino Linotype" w:cs="Palatino Linotype"/>
          <w:sz w:val="22"/>
          <w:szCs w:val="22"/>
        </w:rPr>
      </w:pPr>
    </w:p>
    <w:p w14:paraId="1899AFAC" w14:textId="77777777" w:rsidR="00D840DA" w:rsidRPr="00D840DA" w:rsidRDefault="00D840DA">
      <w:pPr>
        <w:spacing w:line="360" w:lineRule="auto"/>
        <w:jc w:val="both"/>
        <w:rPr>
          <w:rFonts w:ascii="Palatino Linotype" w:eastAsia="Palatino Linotype" w:hAnsi="Palatino Linotype" w:cs="Palatino Linotype"/>
          <w:sz w:val="22"/>
          <w:szCs w:val="22"/>
        </w:rPr>
      </w:pPr>
    </w:p>
    <w:p w14:paraId="5AF50AC9" w14:textId="77777777" w:rsidR="00D840DA" w:rsidRPr="00D840DA" w:rsidRDefault="00D840DA">
      <w:pPr>
        <w:spacing w:line="360" w:lineRule="auto"/>
        <w:jc w:val="both"/>
        <w:rPr>
          <w:rFonts w:ascii="Palatino Linotype" w:eastAsia="Palatino Linotype" w:hAnsi="Palatino Linotype" w:cs="Palatino Linotype"/>
          <w:sz w:val="22"/>
          <w:szCs w:val="22"/>
        </w:rPr>
      </w:pPr>
    </w:p>
    <w:p w14:paraId="05ABAECB" w14:textId="77777777" w:rsidR="00D840DA" w:rsidRPr="00D840DA" w:rsidRDefault="00D840DA">
      <w:pPr>
        <w:spacing w:line="360" w:lineRule="auto"/>
        <w:jc w:val="both"/>
        <w:rPr>
          <w:rFonts w:ascii="Palatino Linotype" w:eastAsia="Palatino Linotype" w:hAnsi="Palatino Linotype" w:cs="Palatino Linotype"/>
          <w:sz w:val="22"/>
          <w:szCs w:val="22"/>
        </w:rPr>
      </w:pPr>
    </w:p>
    <w:p w14:paraId="265D5932" w14:textId="77777777" w:rsidR="00D840DA" w:rsidRPr="00D840DA" w:rsidRDefault="00D840DA">
      <w:pPr>
        <w:spacing w:line="360" w:lineRule="auto"/>
        <w:jc w:val="both"/>
        <w:rPr>
          <w:rFonts w:ascii="Palatino Linotype" w:eastAsia="Palatino Linotype" w:hAnsi="Palatino Linotype" w:cs="Palatino Linotype"/>
          <w:sz w:val="22"/>
          <w:szCs w:val="22"/>
        </w:rPr>
      </w:pPr>
    </w:p>
    <w:p w14:paraId="66339686" w14:textId="77777777" w:rsidR="00D840DA" w:rsidRPr="00D840DA" w:rsidRDefault="00D840DA">
      <w:pPr>
        <w:spacing w:line="360" w:lineRule="auto"/>
        <w:jc w:val="both"/>
        <w:rPr>
          <w:rFonts w:ascii="Palatino Linotype" w:eastAsia="Palatino Linotype" w:hAnsi="Palatino Linotype" w:cs="Palatino Linotype"/>
          <w:sz w:val="22"/>
          <w:szCs w:val="22"/>
        </w:rPr>
      </w:pPr>
    </w:p>
    <w:p w14:paraId="642277D5" w14:textId="77777777" w:rsidR="00D840DA" w:rsidRPr="00D840DA" w:rsidRDefault="00D840DA">
      <w:pPr>
        <w:spacing w:line="360" w:lineRule="auto"/>
        <w:jc w:val="both"/>
        <w:rPr>
          <w:rFonts w:ascii="Palatino Linotype" w:eastAsia="Palatino Linotype" w:hAnsi="Palatino Linotype" w:cs="Palatino Linotype"/>
          <w:sz w:val="22"/>
          <w:szCs w:val="22"/>
        </w:rPr>
      </w:pPr>
    </w:p>
    <w:p w14:paraId="195C0876" w14:textId="77777777" w:rsidR="00D840DA" w:rsidRPr="00D840DA" w:rsidRDefault="00D840DA">
      <w:pPr>
        <w:spacing w:line="360" w:lineRule="auto"/>
        <w:jc w:val="both"/>
        <w:rPr>
          <w:rFonts w:ascii="Palatino Linotype" w:eastAsia="Palatino Linotype" w:hAnsi="Palatino Linotype" w:cs="Palatino Linotype"/>
          <w:sz w:val="22"/>
          <w:szCs w:val="22"/>
        </w:rPr>
      </w:pPr>
    </w:p>
    <w:p w14:paraId="7ABD67C9" w14:textId="77777777" w:rsidR="00D840DA" w:rsidRPr="00D840DA" w:rsidRDefault="00D840DA">
      <w:pPr>
        <w:spacing w:line="360" w:lineRule="auto"/>
        <w:jc w:val="both"/>
        <w:rPr>
          <w:rFonts w:ascii="Palatino Linotype" w:eastAsia="Palatino Linotype" w:hAnsi="Palatino Linotype" w:cs="Palatino Linotype"/>
          <w:sz w:val="22"/>
          <w:szCs w:val="22"/>
        </w:rPr>
      </w:pPr>
    </w:p>
    <w:p w14:paraId="4F4390D1" w14:textId="77777777" w:rsidR="00D840DA" w:rsidRPr="00D840DA" w:rsidRDefault="00D840DA">
      <w:pPr>
        <w:spacing w:line="360" w:lineRule="auto"/>
        <w:jc w:val="both"/>
        <w:rPr>
          <w:rFonts w:ascii="Palatino Linotype" w:eastAsia="Palatino Linotype" w:hAnsi="Palatino Linotype" w:cs="Palatino Linotype"/>
          <w:sz w:val="22"/>
          <w:szCs w:val="22"/>
        </w:rPr>
      </w:pPr>
    </w:p>
    <w:p w14:paraId="6E177312" w14:textId="77777777" w:rsidR="00D840DA" w:rsidRPr="00D840DA" w:rsidRDefault="00D840DA">
      <w:pPr>
        <w:spacing w:line="360" w:lineRule="auto"/>
        <w:jc w:val="both"/>
        <w:rPr>
          <w:rFonts w:ascii="Palatino Linotype" w:eastAsia="Palatino Linotype" w:hAnsi="Palatino Linotype" w:cs="Palatino Linotype"/>
          <w:sz w:val="22"/>
          <w:szCs w:val="22"/>
        </w:rPr>
      </w:pPr>
    </w:p>
    <w:p w14:paraId="14A66EE1" w14:textId="77777777" w:rsidR="00D840DA" w:rsidRPr="00D840DA" w:rsidRDefault="00D840DA">
      <w:pPr>
        <w:spacing w:line="360" w:lineRule="auto"/>
        <w:jc w:val="both"/>
        <w:rPr>
          <w:rFonts w:ascii="Palatino Linotype" w:eastAsia="Palatino Linotype" w:hAnsi="Palatino Linotype" w:cs="Palatino Linotype"/>
          <w:sz w:val="22"/>
          <w:szCs w:val="22"/>
        </w:rPr>
      </w:pPr>
    </w:p>
    <w:p w14:paraId="4FF87299" w14:textId="77777777" w:rsidR="00D840DA" w:rsidRPr="00D840DA" w:rsidRDefault="00D840DA">
      <w:pPr>
        <w:spacing w:line="360" w:lineRule="auto"/>
        <w:jc w:val="both"/>
        <w:rPr>
          <w:rFonts w:ascii="Palatino Linotype" w:eastAsia="Palatino Linotype" w:hAnsi="Palatino Linotype" w:cs="Palatino Linotype"/>
          <w:sz w:val="22"/>
          <w:szCs w:val="22"/>
        </w:rPr>
      </w:pPr>
    </w:p>
    <w:p w14:paraId="09512EA7" w14:textId="77777777" w:rsidR="00D840DA" w:rsidRPr="00D840DA" w:rsidRDefault="00D840DA">
      <w:pPr>
        <w:spacing w:line="360" w:lineRule="auto"/>
        <w:jc w:val="both"/>
        <w:rPr>
          <w:rFonts w:ascii="Palatino Linotype" w:eastAsia="Palatino Linotype" w:hAnsi="Palatino Linotype" w:cs="Palatino Linotype"/>
          <w:sz w:val="22"/>
          <w:szCs w:val="22"/>
        </w:rPr>
      </w:pPr>
    </w:p>
    <w:p w14:paraId="0A7772B2" w14:textId="77777777" w:rsidR="00D840DA" w:rsidRPr="00D840DA" w:rsidRDefault="00D840DA">
      <w:pPr>
        <w:spacing w:line="360" w:lineRule="auto"/>
        <w:jc w:val="both"/>
        <w:rPr>
          <w:rFonts w:ascii="Palatino Linotype" w:eastAsia="Palatino Linotype" w:hAnsi="Palatino Linotype" w:cs="Palatino Linotype"/>
          <w:sz w:val="22"/>
          <w:szCs w:val="22"/>
        </w:rPr>
      </w:pPr>
    </w:p>
    <w:p w14:paraId="2377C8B8" w14:textId="77777777" w:rsidR="00D840DA" w:rsidRPr="00D840DA" w:rsidRDefault="00D840DA">
      <w:pPr>
        <w:spacing w:line="360" w:lineRule="auto"/>
        <w:jc w:val="both"/>
        <w:rPr>
          <w:rFonts w:ascii="Palatino Linotype" w:eastAsia="Palatino Linotype" w:hAnsi="Palatino Linotype" w:cs="Palatino Linotype"/>
          <w:sz w:val="22"/>
          <w:szCs w:val="22"/>
        </w:rPr>
      </w:pPr>
    </w:p>
    <w:p w14:paraId="455BFB35" w14:textId="77777777" w:rsidR="00D840DA" w:rsidRPr="00D840DA" w:rsidRDefault="00D840DA">
      <w:pPr>
        <w:spacing w:line="360" w:lineRule="auto"/>
        <w:jc w:val="both"/>
        <w:rPr>
          <w:rFonts w:ascii="Palatino Linotype" w:eastAsia="Palatino Linotype" w:hAnsi="Palatino Linotype" w:cs="Palatino Linotype"/>
          <w:sz w:val="22"/>
          <w:szCs w:val="22"/>
        </w:rPr>
      </w:pPr>
    </w:p>
    <w:p w14:paraId="74C0FB37" w14:textId="77777777" w:rsidR="00D840DA" w:rsidRPr="00D840DA" w:rsidRDefault="00D840DA">
      <w:pPr>
        <w:spacing w:line="360" w:lineRule="auto"/>
        <w:jc w:val="both"/>
        <w:rPr>
          <w:rFonts w:ascii="Palatino Linotype" w:eastAsia="Palatino Linotype" w:hAnsi="Palatino Linotype" w:cs="Palatino Linotype"/>
          <w:sz w:val="22"/>
          <w:szCs w:val="22"/>
        </w:rPr>
      </w:pPr>
    </w:p>
    <w:sectPr w:rsidR="00D840DA" w:rsidRPr="00D840DA">
      <w:headerReference w:type="default" r:id="rId21"/>
      <w:footerReference w:type="default" r:id="rId22"/>
      <w:headerReference w:type="first" r:id="rId23"/>
      <w:footerReference w:type="first" r:id="rId2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8BD5E" w14:textId="77777777" w:rsidR="00BA0460" w:rsidRDefault="00BA0460">
      <w:r>
        <w:separator/>
      </w:r>
    </w:p>
  </w:endnote>
  <w:endnote w:type="continuationSeparator" w:id="0">
    <w:p w14:paraId="1404D26C" w14:textId="77777777" w:rsidR="00BA0460" w:rsidRDefault="00BA0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2E014" w14:textId="7E6C7FE5" w:rsidR="00EA03B2" w:rsidRDefault="00EA03B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952BB">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952BB">
      <w:rPr>
        <w:rFonts w:ascii="Palatino Linotype" w:eastAsia="Palatino Linotype" w:hAnsi="Palatino Linotype" w:cs="Palatino Linotype"/>
        <w:b/>
        <w:noProof/>
        <w:color w:val="000000"/>
        <w:sz w:val="20"/>
        <w:szCs w:val="20"/>
      </w:rPr>
      <w:t>54</w:t>
    </w:r>
    <w:r>
      <w:rPr>
        <w:rFonts w:ascii="Palatino Linotype" w:eastAsia="Palatino Linotype" w:hAnsi="Palatino Linotype" w:cs="Palatino Linotype"/>
        <w:b/>
        <w:color w:val="000000"/>
        <w:sz w:val="20"/>
        <w:szCs w:val="20"/>
      </w:rPr>
      <w:fldChar w:fldCharType="end"/>
    </w:r>
  </w:p>
  <w:p w14:paraId="49CB52A8" w14:textId="77777777" w:rsidR="00EA03B2" w:rsidRDefault="00EA03B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59AB5" w14:textId="1F2D0318" w:rsidR="00EA03B2" w:rsidRDefault="00EA03B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952B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952BB">
      <w:rPr>
        <w:rFonts w:ascii="Palatino Linotype" w:eastAsia="Palatino Linotype" w:hAnsi="Palatino Linotype" w:cs="Palatino Linotype"/>
        <w:b/>
        <w:noProof/>
        <w:color w:val="000000"/>
        <w:sz w:val="20"/>
        <w:szCs w:val="20"/>
      </w:rPr>
      <w:t>54</w:t>
    </w:r>
    <w:r>
      <w:rPr>
        <w:rFonts w:ascii="Palatino Linotype" w:eastAsia="Palatino Linotype" w:hAnsi="Palatino Linotype" w:cs="Palatino Linotype"/>
        <w:b/>
        <w:color w:val="000000"/>
        <w:sz w:val="20"/>
        <w:szCs w:val="20"/>
      </w:rPr>
      <w:fldChar w:fldCharType="end"/>
    </w:r>
  </w:p>
  <w:p w14:paraId="21ECF124" w14:textId="77777777" w:rsidR="00EA03B2" w:rsidRDefault="00EA03B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08B7E" w14:textId="77777777" w:rsidR="00BA0460" w:rsidRDefault="00BA0460">
      <w:r>
        <w:separator/>
      </w:r>
    </w:p>
  </w:footnote>
  <w:footnote w:type="continuationSeparator" w:id="0">
    <w:p w14:paraId="5401B34C" w14:textId="77777777" w:rsidR="00BA0460" w:rsidRDefault="00BA046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2AF42" w14:textId="32E2ACE9" w:rsidR="00EA03B2" w:rsidRDefault="00EA03B2">
    <w:pPr>
      <w:rPr>
        <w:rFonts w:ascii="Cambria" w:eastAsia="Cambria" w:hAnsi="Cambria" w:cs="Cambria"/>
        <w:color w:val="000000"/>
      </w:rPr>
    </w:pPr>
    <w:r>
      <w:rPr>
        <w:noProof/>
      </w:rPr>
      <w:drawing>
        <wp:anchor distT="0" distB="0" distL="0" distR="0" simplePos="0" relativeHeight="251658240" behindDoc="1" locked="0" layoutInCell="1" hidden="0" allowOverlap="1" wp14:anchorId="5A33C493" wp14:editId="507168E0">
          <wp:simplePos x="0" y="0"/>
          <wp:positionH relativeFrom="column">
            <wp:posOffset>-1080091</wp:posOffset>
          </wp:positionH>
          <wp:positionV relativeFrom="paragraph">
            <wp:posOffset>-488262</wp:posOffset>
          </wp:positionV>
          <wp:extent cx="7809865" cy="10165715"/>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ffa"/>
      <w:tblW w:w="5953" w:type="dxa"/>
      <w:tblInd w:w="3261" w:type="dxa"/>
      <w:tblLayout w:type="fixed"/>
      <w:tblLook w:val="0400" w:firstRow="0" w:lastRow="0" w:firstColumn="0" w:lastColumn="0" w:noHBand="0" w:noVBand="1"/>
    </w:tblPr>
    <w:tblGrid>
      <w:gridCol w:w="2489"/>
      <w:gridCol w:w="3464"/>
    </w:tblGrid>
    <w:tr w:rsidR="00EA03B2" w14:paraId="4679E995" w14:textId="77777777">
      <w:tc>
        <w:tcPr>
          <w:tcW w:w="2489" w:type="dxa"/>
        </w:tcPr>
        <w:p w14:paraId="1CBA62BA" w14:textId="77777777" w:rsidR="00EA03B2" w:rsidRDefault="00EA03B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356A34D7" w14:textId="5940CA4A" w:rsidR="00EA03B2" w:rsidRDefault="00EA03B2" w:rsidP="005833F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10494/INFOEM/IP/RR/2025</w:t>
          </w:r>
          <w:r w:rsidR="00380CDE">
            <w:rPr>
              <w:rFonts w:ascii="Palatino Linotype" w:eastAsia="Palatino Linotype" w:hAnsi="Palatino Linotype" w:cs="Palatino Linotype"/>
              <w:b/>
              <w:sz w:val="22"/>
              <w:szCs w:val="22"/>
            </w:rPr>
            <w:t xml:space="preserve"> y </w:t>
          </w:r>
          <w:r w:rsidR="00380CDE">
            <w:rPr>
              <w:rFonts w:ascii="Palatino Linotype" w:hAnsi="Palatino Linotype" w:cs="Palatino Linotype"/>
              <w:b/>
              <w:bCs/>
              <w:color w:val="000000"/>
              <w:sz w:val="22"/>
              <w:szCs w:val="22"/>
            </w:rPr>
            <w:t>acumulado</w:t>
          </w:r>
          <w:r w:rsidR="00AE6220">
            <w:rPr>
              <w:rFonts w:ascii="Palatino Linotype" w:hAnsi="Palatino Linotype" w:cs="Palatino Linotype"/>
              <w:b/>
              <w:bCs/>
              <w:color w:val="000000"/>
              <w:sz w:val="22"/>
              <w:szCs w:val="22"/>
            </w:rPr>
            <w:t>.</w:t>
          </w:r>
        </w:p>
      </w:tc>
    </w:tr>
    <w:tr w:rsidR="00EA03B2" w14:paraId="6CFA67DE" w14:textId="77777777">
      <w:trPr>
        <w:trHeight w:val="228"/>
      </w:trPr>
      <w:tc>
        <w:tcPr>
          <w:tcW w:w="2489" w:type="dxa"/>
          <w:vAlign w:val="center"/>
        </w:tcPr>
        <w:p w14:paraId="4E02CBED" w14:textId="77777777" w:rsidR="00EA03B2" w:rsidRDefault="00EA03B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5C5611EC" w14:textId="13755FBC" w:rsidR="00EA03B2" w:rsidRDefault="00EA03B2">
          <w:pPr>
            <w:ind w:left="-45" w:right="176"/>
            <w:jc w:val="both"/>
            <w:rPr>
              <w:rFonts w:ascii="Palatino Linotype" w:eastAsia="Palatino Linotype" w:hAnsi="Palatino Linotype" w:cs="Palatino Linotype"/>
              <w:b/>
              <w:sz w:val="22"/>
              <w:szCs w:val="22"/>
            </w:rPr>
          </w:pPr>
          <w:r w:rsidRPr="00E046E0">
            <w:rPr>
              <w:rFonts w:ascii="Palatino Linotype" w:eastAsia="Palatino Linotype" w:hAnsi="Palatino Linotype" w:cs="Palatino Linotype"/>
              <w:b/>
              <w:sz w:val="22"/>
              <w:szCs w:val="22"/>
            </w:rPr>
            <w:t>Sistema Municipal Para el Desarrollo Integral de la Familia de</w:t>
          </w:r>
          <w:r w:rsidRPr="00D35180">
            <w:rPr>
              <w:rFonts w:ascii="Palatino Linotype" w:eastAsia="Palatino Linotype" w:hAnsi="Palatino Linotype" w:cs="Palatino Linotype"/>
              <w:b/>
              <w:sz w:val="22"/>
              <w:szCs w:val="22"/>
            </w:rPr>
            <w:t xml:space="preserve"> Ixtapaluca</w:t>
          </w:r>
        </w:p>
      </w:tc>
    </w:tr>
    <w:tr w:rsidR="00EA03B2" w14:paraId="6FF09322" w14:textId="77777777">
      <w:tc>
        <w:tcPr>
          <w:tcW w:w="2489" w:type="dxa"/>
          <w:vAlign w:val="center"/>
        </w:tcPr>
        <w:p w14:paraId="5D6FA762" w14:textId="77777777" w:rsidR="00EA03B2" w:rsidRDefault="00EA03B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1F753EA2" w14:textId="77777777" w:rsidR="00EA03B2" w:rsidRDefault="00EA03B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B4967B9" w14:textId="77777777" w:rsidR="00EA03B2" w:rsidRDefault="00EA03B2">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D5ECA" w14:textId="0F37943D" w:rsidR="00EA03B2" w:rsidRDefault="00EA03B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69951343" wp14:editId="1AFB5B80">
          <wp:simplePos x="0" y="0"/>
          <wp:positionH relativeFrom="column">
            <wp:posOffset>-1080134</wp:posOffset>
          </wp:positionH>
          <wp:positionV relativeFrom="paragraph">
            <wp:posOffset>-369892</wp:posOffset>
          </wp:positionV>
          <wp:extent cx="7809865" cy="10165715"/>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ffb"/>
      <w:tblW w:w="5953" w:type="dxa"/>
      <w:tblInd w:w="3261" w:type="dxa"/>
      <w:tblLayout w:type="fixed"/>
      <w:tblLook w:val="0400" w:firstRow="0" w:lastRow="0" w:firstColumn="0" w:lastColumn="0" w:noHBand="0" w:noVBand="1"/>
    </w:tblPr>
    <w:tblGrid>
      <w:gridCol w:w="2489"/>
      <w:gridCol w:w="3464"/>
    </w:tblGrid>
    <w:tr w:rsidR="00EA03B2" w14:paraId="0800C61A" w14:textId="77777777">
      <w:tc>
        <w:tcPr>
          <w:tcW w:w="2489" w:type="dxa"/>
        </w:tcPr>
        <w:p w14:paraId="45AA4645" w14:textId="77777777" w:rsidR="00EA03B2" w:rsidRDefault="00EA03B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3056AB92" w14:textId="204A4B92" w:rsidR="00EA03B2" w:rsidRDefault="00E3232E" w:rsidP="00016E2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10494/INFOEM/IP/RR/2025 y </w:t>
          </w:r>
          <w:r>
            <w:rPr>
              <w:rFonts w:ascii="Palatino Linotype" w:hAnsi="Palatino Linotype" w:cs="Palatino Linotype"/>
              <w:b/>
              <w:bCs/>
              <w:color w:val="000000"/>
              <w:sz w:val="22"/>
              <w:szCs w:val="22"/>
            </w:rPr>
            <w:t>acumulado</w:t>
          </w:r>
          <w:r w:rsidR="00AE6220">
            <w:rPr>
              <w:rFonts w:ascii="Palatino Linotype" w:hAnsi="Palatino Linotype" w:cs="Palatino Linotype"/>
              <w:b/>
              <w:bCs/>
              <w:color w:val="000000"/>
              <w:sz w:val="22"/>
              <w:szCs w:val="22"/>
            </w:rPr>
            <w:t>.</w:t>
          </w:r>
        </w:p>
      </w:tc>
    </w:tr>
    <w:tr w:rsidR="00EA03B2" w14:paraId="62298F76" w14:textId="77777777">
      <w:tc>
        <w:tcPr>
          <w:tcW w:w="2489" w:type="dxa"/>
        </w:tcPr>
        <w:p w14:paraId="20BC808E" w14:textId="77777777" w:rsidR="00EA03B2" w:rsidRDefault="00EA03B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vAlign w:val="center"/>
        </w:tcPr>
        <w:p w14:paraId="7A9C8865" w14:textId="1D17E775" w:rsidR="00EA03B2" w:rsidRPr="00606C35" w:rsidRDefault="00D952BB" w:rsidP="00D952BB">
          <w:pPr>
            <w:ind w:right="175"/>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 xml:space="preserve">XXXXXXXXXXXXXX XXXXXX XX XXXXXX </w:t>
          </w:r>
        </w:p>
      </w:tc>
    </w:tr>
    <w:tr w:rsidR="00EA03B2" w14:paraId="356DF698" w14:textId="77777777">
      <w:trPr>
        <w:trHeight w:val="228"/>
      </w:trPr>
      <w:tc>
        <w:tcPr>
          <w:tcW w:w="2489" w:type="dxa"/>
          <w:vAlign w:val="center"/>
        </w:tcPr>
        <w:p w14:paraId="6F719CF9" w14:textId="77777777" w:rsidR="00EA03B2" w:rsidRDefault="00EA03B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749FE701" w14:textId="4AEAFA71" w:rsidR="00EA03B2" w:rsidRDefault="00EA03B2">
          <w:pPr>
            <w:ind w:left="-45" w:right="176"/>
            <w:jc w:val="both"/>
            <w:rPr>
              <w:rFonts w:ascii="Palatino Linotype" w:eastAsia="Palatino Linotype" w:hAnsi="Palatino Linotype" w:cs="Palatino Linotype"/>
              <w:b/>
              <w:sz w:val="22"/>
              <w:szCs w:val="22"/>
            </w:rPr>
          </w:pPr>
          <w:r w:rsidRPr="00E046E0">
            <w:rPr>
              <w:rFonts w:ascii="Palatino Linotype" w:eastAsia="Palatino Linotype" w:hAnsi="Palatino Linotype" w:cs="Palatino Linotype"/>
              <w:b/>
              <w:sz w:val="22"/>
              <w:szCs w:val="22"/>
            </w:rPr>
            <w:t xml:space="preserve">Sistema Municipal Para el Desarrollo Integral de la Familia de </w:t>
          </w:r>
          <w:r w:rsidRPr="00D35180">
            <w:rPr>
              <w:rFonts w:ascii="Palatino Linotype" w:eastAsia="Palatino Linotype" w:hAnsi="Palatino Linotype" w:cs="Palatino Linotype"/>
              <w:b/>
              <w:sz w:val="22"/>
              <w:szCs w:val="22"/>
            </w:rPr>
            <w:t>Ixtapaluca</w:t>
          </w:r>
        </w:p>
      </w:tc>
    </w:tr>
    <w:tr w:rsidR="00EA03B2" w14:paraId="70857C53" w14:textId="77777777">
      <w:tc>
        <w:tcPr>
          <w:tcW w:w="2489" w:type="dxa"/>
          <w:vAlign w:val="center"/>
        </w:tcPr>
        <w:p w14:paraId="5699E7FB" w14:textId="77777777" w:rsidR="00EA03B2" w:rsidRDefault="00EA03B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69655BF4" w14:textId="77777777" w:rsidR="00EA03B2" w:rsidRDefault="00EA03B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FF7071" w14:textId="77777777" w:rsidR="00EA03B2" w:rsidRDefault="00EA03B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33F"/>
    <w:multiLevelType w:val="hybridMultilevel"/>
    <w:tmpl w:val="9D461B2C"/>
    <w:lvl w:ilvl="0" w:tplc="B13E3866">
      <w:start w:val="1"/>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4E1E8B"/>
    <w:multiLevelType w:val="multilevel"/>
    <w:tmpl w:val="C92646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5329F5"/>
    <w:multiLevelType w:val="multilevel"/>
    <w:tmpl w:val="A6488AC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1A915B4D"/>
    <w:multiLevelType w:val="multilevel"/>
    <w:tmpl w:val="DFECDF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6084782"/>
    <w:multiLevelType w:val="hybridMultilevel"/>
    <w:tmpl w:val="6A5CB0CE"/>
    <w:lvl w:ilvl="0" w:tplc="783622CA">
      <w:start w:val="1"/>
      <w:numFmt w:val="decimal"/>
      <w:lvlText w:val="%1."/>
      <w:lvlJc w:val="left"/>
      <w:pPr>
        <w:ind w:left="644" w:hanging="360"/>
      </w:pPr>
      <w:rPr>
        <w:rFonts w:hint="default"/>
        <w:b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15:restartNumberingAfterBreak="0">
    <w:nsid w:val="2BFA62C2"/>
    <w:multiLevelType w:val="multilevel"/>
    <w:tmpl w:val="DCC88850"/>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3B04470B"/>
    <w:multiLevelType w:val="multilevel"/>
    <w:tmpl w:val="541642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4AA63DE"/>
    <w:multiLevelType w:val="hybridMultilevel"/>
    <w:tmpl w:val="F74CA98C"/>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8" w15:restartNumberingAfterBreak="0">
    <w:nsid w:val="4D4A48DB"/>
    <w:multiLevelType w:val="hybridMultilevel"/>
    <w:tmpl w:val="72DE4AEE"/>
    <w:lvl w:ilvl="0" w:tplc="080A0017">
      <w:start w:val="1"/>
      <w:numFmt w:val="lowerLetter"/>
      <w:lvlText w:val="%1)"/>
      <w:lvlJc w:val="left"/>
      <w:pPr>
        <w:ind w:left="2223" w:hanging="360"/>
      </w:pPr>
    </w:lvl>
    <w:lvl w:ilvl="1" w:tplc="080A0019" w:tentative="1">
      <w:start w:val="1"/>
      <w:numFmt w:val="lowerLetter"/>
      <w:lvlText w:val="%2."/>
      <w:lvlJc w:val="left"/>
      <w:pPr>
        <w:ind w:left="2943" w:hanging="360"/>
      </w:pPr>
    </w:lvl>
    <w:lvl w:ilvl="2" w:tplc="080A001B" w:tentative="1">
      <w:start w:val="1"/>
      <w:numFmt w:val="lowerRoman"/>
      <w:lvlText w:val="%3."/>
      <w:lvlJc w:val="right"/>
      <w:pPr>
        <w:ind w:left="3663" w:hanging="180"/>
      </w:pPr>
    </w:lvl>
    <w:lvl w:ilvl="3" w:tplc="080A000F" w:tentative="1">
      <w:start w:val="1"/>
      <w:numFmt w:val="decimal"/>
      <w:lvlText w:val="%4."/>
      <w:lvlJc w:val="left"/>
      <w:pPr>
        <w:ind w:left="4383" w:hanging="360"/>
      </w:pPr>
    </w:lvl>
    <w:lvl w:ilvl="4" w:tplc="080A0019" w:tentative="1">
      <w:start w:val="1"/>
      <w:numFmt w:val="lowerLetter"/>
      <w:lvlText w:val="%5."/>
      <w:lvlJc w:val="left"/>
      <w:pPr>
        <w:ind w:left="5103" w:hanging="360"/>
      </w:pPr>
    </w:lvl>
    <w:lvl w:ilvl="5" w:tplc="080A001B" w:tentative="1">
      <w:start w:val="1"/>
      <w:numFmt w:val="lowerRoman"/>
      <w:lvlText w:val="%6."/>
      <w:lvlJc w:val="right"/>
      <w:pPr>
        <w:ind w:left="5823" w:hanging="180"/>
      </w:pPr>
    </w:lvl>
    <w:lvl w:ilvl="6" w:tplc="080A000F" w:tentative="1">
      <w:start w:val="1"/>
      <w:numFmt w:val="decimal"/>
      <w:lvlText w:val="%7."/>
      <w:lvlJc w:val="left"/>
      <w:pPr>
        <w:ind w:left="6543" w:hanging="360"/>
      </w:pPr>
    </w:lvl>
    <w:lvl w:ilvl="7" w:tplc="080A0019" w:tentative="1">
      <w:start w:val="1"/>
      <w:numFmt w:val="lowerLetter"/>
      <w:lvlText w:val="%8."/>
      <w:lvlJc w:val="left"/>
      <w:pPr>
        <w:ind w:left="7263" w:hanging="360"/>
      </w:pPr>
    </w:lvl>
    <w:lvl w:ilvl="8" w:tplc="080A001B" w:tentative="1">
      <w:start w:val="1"/>
      <w:numFmt w:val="lowerRoman"/>
      <w:lvlText w:val="%9."/>
      <w:lvlJc w:val="right"/>
      <w:pPr>
        <w:ind w:left="7983" w:hanging="180"/>
      </w:pPr>
    </w:lvl>
  </w:abstractNum>
  <w:abstractNum w:abstractNumId="9" w15:restartNumberingAfterBreak="0">
    <w:nsid w:val="526C364D"/>
    <w:multiLevelType w:val="hybridMultilevel"/>
    <w:tmpl w:val="7B608ACC"/>
    <w:lvl w:ilvl="0" w:tplc="F676A41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4841F02"/>
    <w:multiLevelType w:val="hybridMultilevel"/>
    <w:tmpl w:val="A97470BE"/>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1" w15:restartNumberingAfterBreak="0">
    <w:nsid w:val="549A655F"/>
    <w:multiLevelType w:val="multilevel"/>
    <w:tmpl w:val="5DBC5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3A753C8"/>
    <w:multiLevelType w:val="hybridMultilevel"/>
    <w:tmpl w:val="26865EEA"/>
    <w:lvl w:ilvl="0" w:tplc="00424298">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5820588"/>
    <w:multiLevelType w:val="multilevel"/>
    <w:tmpl w:val="A35EF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BB2662F"/>
    <w:multiLevelType w:val="hybridMultilevel"/>
    <w:tmpl w:val="A33EFAF8"/>
    <w:lvl w:ilvl="0" w:tplc="A110709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6F321162"/>
    <w:multiLevelType w:val="hybridMultilevel"/>
    <w:tmpl w:val="7F8CC086"/>
    <w:lvl w:ilvl="0" w:tplc="E7A65B22">
      <w:start w:val="6"/>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4E1354D"/>
    <w:multiLevelType w:val="multilevel"/>
    <w:tmpl w:val="0270FEBC"/>
    <w:lvl w:ilvl="0">
      <w:start w:val="1"/>
      <w:numFmt w:val="bullet"/>
      <w:lvlText w:val="-"/>
      <w:lvlJc w:val="left"/>
      <w:pPr>
        <w:ind w:left="3195" w:hanging="359"/>
      </w:pPr>
      <w:rPr>
        <w:rFonts w:ascii="Palatino Linotype" w:eastAsia="Palatino Linotype" w:hAnsi="Palatino Linotype" w:cs="Palatino Linotype"/>
      </w:rPr>
    </w:lvl>
    <w:lvl w:ilvl="1">
      <w:start w:val="1"/>
      <w:numFmt w:val="bullet"/>
      <w:lvlText w:val="o"/>
      <w:lvlJc w:val="left"/>
      <w:pPr>
        <w:ind w:left="3915" w:hanging="360"/>
      </w:pPr>
      <w:rPr>
        <w:rFonts w:ascii="Courier New" w:eastAsia="Courier New" w:hAnsi="Courier New" w:cs="Courier New"/>
      </w:rPr>
    </w:lvl>
    <w:lvl w:ilvl="2">
      <w:start w:val="1"/>
      <w:numFmt w:val="bullet"/>
      <w:lvlText w:val="▪"/>
      <w:lvlJc w:val="left"/>
      <w:pPr>
        <w:ind w:left="4635" w:hanging="360"/>
      </w:pPr>
      <w:rPr>
        <w:rFonts w:ascii="Noto Sans Symbols" w:eastAsia="Noto Sans Symbols" w:hAnsi="Noto Sans Symbols" w:cs="Noto Sans Symbols"/>
      </w:rPr>
    </w:lvl>
    <w:lvl w:ilvl="3">
      <w:start w:val="1"/>
      <w:numFmt w:val="bullet"/>
      <w:lvlText w:val="●"/>
      <w:lvlJc w:val="left"/>
      <w:pPr>
        <w:ind w:left="5355" w:hanging="360"/>
      </w:pPr>
      <w:rPr>
        <w:rFonts w:ascii="Noto Sans Symbols" w:eastAsia="Noto Sans Symbols" w:hAnsi="Noto Sans Symbols" w:cs="Noto Sans Symbols"/>
      </w:rPr>
    </w:lvl>
    <w:lvl w:ilvl="4">
      <w:start w:val="1"/>
      <w:numFmt w:val="bullet"/>
      <w:lvlText w:val="o"/>
      <w:lvlJc w:val="left"/>
      <w:pPr>
        <w:ind w:left="6075" w:hanging="360"/>
      </w:pPr>
      <w:rPr>
        <w:rFonts w:ascii="Courier New" w:eastAsia="Courier New" w:hAnsi="Courier New" w:cs="Courier New"/>
      </w:rPr>
    </w:lvl>
    <w:lvl w:ilvl="5">
      <w:start w:val="1"/>
      <w:numFmt w:val="bullet"/>
      <w:lvlText w:val="▪"/>
      <w:lvlJc w:val="left"/>
      <w:pPr>
        <w:ind w:left="6795" w:hanging="360"/>
      </w:pPr>
      <w:rPr>
        <w:rFonts w:ascii="Noto Sans Symbols" w:eastAsia="Noto Sans Symbols" w:hAnsi="Noto Sans Symbols" w:cs="Noto Sans Symbols"/>
      </w:rPr>
    </w:lvl>
    <w:lvl w:ilvl="6">
      <w:start w:val="1"/>
      <w:numFmt w:val="bullet"/>
      <w:lvlText w:val="●"/>
      <w:lvlJc w:val="left"/>
      <w:pPr>
        <w:ind w:left="7515" w:hanging="360"/>
      </w:pPr>
      <w:rPr>
        <w:rFonts w:ascii="Noto Sans Symbols" w:eastAsia="Noto Sans Symbols" w:hAnsi="Noto Sans Symbols" w:cs="Noto Sans Symbols"/>
      </w:rPr>
    </w:lvl>
    <w:lvl w:ilvl="7">
      <w:start w:val="1"/>
      <w:numFmt w:val="bullet"/>
      <w:lvlText w:val="o"/>
      <w:lvlJc w:val="left"/>
      <w:pPr>
        <w:ind w:left="8235" w:hanging="360"/>
      </w:pPr>
      <w:rPr>
        <w:rFonts w:ascii="Courier New" w:eastAsia="Courier New" w:hAnsi="Courier New" w:cs="Courier New"/>
      </w:rPr>
    </w:lvl>
    <w:lvl w:ilvl="8">
      <w:start w:val="1"/>
      <w:numFmt w:val="bullet"/>
      <w:lvlText w:val="▪"/>
      <w:lvlJc w:val="left"/>
      <w:pPr>
        <w:ind w:left="8955" w:hanging="360"/>
      </w:pPr>
      <w:rPr>
        <w:rFonts w:ascii="Noto Sans Symbols" w:eastAsia="Noto Sans Symbols" w:hAnsi="Noto Sans Symbols" w:cs="Noto Sans Symbols"/>
      </w:rPr>
    </w:lvl>
  </w:abstractNum>
  <w:abstractNum w:abstractNumId="17" w15:restartNumberingAfterBreak="0">
    <w:nsid w:val="7A0A1A03"/>
    <w:multiLevelType w:val="multilevel"/>
    <w:tmpl w:val="263C2CD6"/>
    <w:lvl w:ilvl="0">
      <w:start w:val="4"/>
      <w:numFmt w:val="upperRoman"/>
      <w:lvlText w:val="%1"/>
      <w:lvlJc w:val="left"/>
      <w:pPr>
        <w:ind w:left="532" w:hanging="360"/>
      </w:pPr>
    </w:lvl>
    <w:lvl w:ilvl="1">
      <w:start w:val="1"/>
      <w:numFmt w:val="decimal"/>
      <w:lvlText w:val="%1.%2."/>
      <w:lvlJc w:val="left"/>
      <w:pPr>
        <w:ind w:left="532" w:hanging="360"/>
      </w:pPr>
      <w:rPr>
        <w:rFonts w:ascii="Arial" w:eastAsia="Arial" w:hAnsi="Arial" w:cs="Arial"/>
        <w:b/>
        <w:i w:val="0"/>
        <w:sz w:val="16"/>
        <w:szCs w:val="16"/>
      </w:rPr>
    </w:lvl>
    <w:lvl w:ilvl="2">
      <w:numFmt w:val="bullet"/>
      <w:lvlText w:val="•"/>
      <w:lvlJc w:val="left"/>
      <w:pPr>
        <w:ind w:left="2616" w:hanging="360"/>
      </w:pPr>
    </w:lvl>
    <w:lvl w:ilvl="3">
      <w:numFmt w:val="bullet"/>
      <w:lvlText w:val="•"/>
      <w:lvlJc w:val="left"/>
      <w:pPr>
        <w:ind w:left="3654" w:hanging="360"/>
      </w:pPr>
    </w:lvl>
    <w:lvl w:ilvl="4">
      <w:numFmt w:val="bullet"/>
      <w:lvlText w:val="•"/>
      <w:lvlJc w:val="left"/>
      <w:pPr>
        <w:ind w:left="4692" w:hanging="360"/>
      </w:pPr>
    </w:lvl>
    <w:lvl w:ilvl="5">
      <w:numFmt w:val="bullet"/>
      <w:lvlText w:val="•"/>
      <w:lvlJc w:val="left"/>
      <w:pPr>
        <w:ind w:left="5730" w:hanging="360"/>
      </w:pPr>
    </w:lvl>
    <w:lvl w:ilvl="6">
      <w:numFmt w:val="bullet"/>
      <w:lvlText w:val="•"/>
      <w:lvlJc w:val="left"/>
      <w:pPr>
        <w:ind w:left="6768" w:hanging="360"/>
      </w:pPr>
    </w:lvl>
    <w:lvl w:ilvl="7">
      <w:numFmt w:val="bullet"/>
      <w:lvlText w:val="•"/>
      <w:lvlJc w:val="left"/>
      <w:pPr>
        <w:ind w:left="7806" w:hanging="360"/>
      </w:pPr>
    </w:lvl>
    <w:lvl w:ilvl="8">
      <w:numFmt w:val="bullet"/>
      <w:lvlText w:val="•"/>
      <w:lvlJc w:val="left"/>
      <w:pPr>
        <w:ind w:left="8844" w:hanging="360"/>
      </w:pPr>
    </w:lvl>
  </w:abstractNum>
  <w:num w:numId="1">
    <w:abstractNumId w:val="5"/>
  </w:num>
  <w:num w:numId="2">
    <w:abstractNumId w:val="4"/>
  </w:num>
  <w:num w:numId="3">
    <w:abstractNumId w:val="2"/>
  </w:num>
  <w:num w:numId="4">
    <w:abstractNumId w:val="11"/>
  </w:num>
  <w:num w:numId="5">
    <w:abstractNumId w:val="16"/>
  </w:num>
  <w:num w:numId="6">
    <w:abstractNumId w:val="3"/>
  </w:num>
  <w:num w:numId="7">
    <w:abstractNumId w:val="9"/>
  </w:num>
  <w:num w:numId="8">
    <w:abstractNumId w:val="1"/>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3"/>
  </w:num>
  <w:num w:numId="12">
    <w:abstractNumId w:val="12"/>
  </w:num>
  <w:num w:numId="13">
    <w:abstractNumId w:val="10"/>
  </w:num>
  <w:num w:numId="14">
    <w:abstractNumId w:val="8"/>
  </w:num>
  <w:num w:numId="15">
    <w:abstractNumId w:val="7"/>
  </w:num>
  <w:num w:numId="16">
    <w:abstractNumId w:val="14"/>
  </w:num>
  <w:num w:numId="17">
    <w:abstractNumId w:val="0"/>
  </w:num>
  <w:num w:numId="18">
    <w:abstractNumId w:val="6"/>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A90"/>
    <w:rsid w:val="00007B60"/>
    <w:rsid w:val="0001097C"/>
    <w:rsid w:val="000154BF"/>
    <w:rsid w:val="00016E26"/>
    <w:rsid w:val="0002069B"/>
    <w:rsid w:val="00024E98"/>
    <w:rsid w:val="000301F3"/>
    <w:rsid w:val="00035057"/>
    <w:rsid w:val="000427D6"/>
    <w:rsid w:val="00042B5C"/>
    <w:rsid w:val="00044464"/>
    <w:rsid w:val="000477B0"/>
    <w:rsid w:val="00052C54"/>
    <w:rsid w:val="00056BCC"/>
    <w:rsid w:val="00057964"/>
    <w:rsid w:val="0007137F"/>
    <w:rsid w:val="00077C62"/>
    <w:rsid w:val="00080D86"/>
    <w:rsid w:val="00080E57"/>
    <w:rsid w:val="00080F70"/>
    <w:rsid w:val="00082489"/>
    <w:rsid w:val="00097563"/>
    <w:rsid w:val="000A48FE"/>
    <w:rsid w:val="000A7431"/>
    <w:rsid w:val="000B14FC"/>
    <w:rsid w:val="000B35DD"/>
    <w:rsid w:val="000B3672"/>
    <w:rsid w:val="000B73B6"/>
    <w:rsid w:val="000C2629"/>
    <w:rsid w:val="000C390C"/>
    <w:rsid w:val="000D6DE3"/>
    <w:rsid w:val="000E598C"/>
    <w:rsid w:val="000E700F"/>
    <w:rsid w:val="000F6357"/>
    <w:rsid w:val="000F7088"/>
    <w:rsid w:val="0010490E"/>
    <w:rsid w:val="001050DE"/>
    <w:rsid w:val="001062CC"/>
    <w:rsid w:val="001128C8"/>
    <w:rsid w:val="00116DA6"/>
    <w:rsid w:val="00117A90"/>
    <w:rsid w:val="0012179F"/>
    <w:rsid w:val="00123D9A"/>
    <w:rsid w:val="00142B50"/>
    <w:rsid w:val="00145E45"/>
    <w:rsid w:val="00153CE3"/>
    <w:rsid w:val="0015439E"/>
    <w:rsid w:val="00154635"/>
    <w:rsid w:val="00163A18"/>
    <w:rsid w:val="00172883"/>
    <w:rsid w:val="0017486E"/>
    <w:rsid w:val="001772A1"/>
    <w:rsid w:val="00177FD6"/>
    <w:rsid w:val="00185230"/>
    <w:rsid w:val="00187EDF"/>
    <w:rsid w:val="00193AE1"/>
    <w:rsid w:val="00195067"/>
    <w:rsid w:val="00196087"/>
    <w:rsid w:val="0019691D"/>
    <w:rsid w:val="00197136"/>
    <w:rsid w:val="001A41F7"/>
    <w:rsid w:val="001A541D"/>
    <w:rsid w:val="001A60C5"/>
    <w:rsid w:val="001A7CB3"/>
    <w:rsid w:val="001B0D75"/>
    <w:rsid w:val="001E2948"/>
    <w:rsid w:val="001E76A9"/>
    <w:rsid w:val="001F0BCC"/>
    <w:rsid w:val="001F1281"/>
    <w:rsid w:val="001F3478"/>
    <w:rsid w:val="002217B7"/>
    <w:rsid w:val="00223B2E"/>
    <w:rsid w:val="0022418B"/>
    <w:rsid w:val="00227EDF"/>
    <w:rsid w:val="002305F2"/>
    <w:rsid w:val="00252EAE"/>
    <w:rsid w:val="00257D93"/>
    <w:rsid w:val="00265630"/>
    <w:rsid w:val="002733D6"/>
    <w:rsid w:val="00273FF8"/>
    <w:rsid w:val="00277C5E"/>
    <w:rsid w:val="00285C22"/>
    <w:rsid w:val="00286DF8"/>
    <w:rsid w:val="002905AC"/>
    <w:rsid w:val="00290744"/>
    <w:rsid w:val="00290CED"/>
    <w:rsid w:val="00291E03"/>
    <w:rsid w:val="002929C0"/>
    <w:rsid w:val="0029329E"/>
    <w:rsid w:val="002B3CD9"/>
    <w:rsid w:val="002B4E65"/>
    <w:rsid w:val="002C4768"/>
    <w:rsid w:val="002C71C1"/>
    <w:rsid w:val="002C7F26"/>
    <w:rsid w:val="002D01B9"/>
    <w:rsid w:val="002D1845"/>
    <w:rsid w:val="002D2C56"/>
    <w:rsid w:val="002E1AFB"/>
    <w:rsid w:val="002E233E"/>
    <w:rsid w:val="002F0D5B"/>
    <w:rsid w:val="002F1DF9"/>
    <w:rsid w:val="00316C2A"/>
    <w:rsid w:val="0032051B"/>
    <w:rsid w:val="00323E61"/>
    <w:rsid w:val="00331EE8"/>
    <w:rsid w:val="00332040"/>
    <w:rsid w:val="00335BF1"/>
    <w:rsid w:val="003366B5"/>
    <w:rsid w:val="00336B49"/>
    <w:rsid w:val="00337D82"/>
    <w:rsid w:val="00343411"/>
    <w:rsid w:val="003441C4"/>
    <w:rsid w:val="0034706E"/>
    <w:rsid w:val="0035743E"/>
    <w:rsid w:val="003637C7"/>
    <w:rsid w:val="00364D7D"/>
    <w:rsid w:val="00365716"/>
    <w:rsid w:val="003659A8"/>
    <w:rsid w:val="003705B7"/>
    <w:rsid w:val="00370D9C"/>
    <w:rsid w:val="0037155B"/>
    <w:rsid w:val="00374292"/>
    <w:rsid w:val="00380CDE"/>
    <w:rsid w:val="00381A61"/>
    <w:rsid w:val="00381B66"/>
    <w:rsid w:val="00383558"/>
    <w:rsid w:val="003846F2"/>
    <w:rsid w:val="0038512D"/>
    <w:rsid w:val="00397A1B"/>
    <w:rsid w:val="003A0AEB"/>
    <w:rsid w:val="003A3BA9"/>
    <w:rsid w:val="003A5391"/>
    <w:rsid w:val="003B1B98"/>
    <w:rsid w:val="003B3D17"/>
    <w:rsid w:val="003B453E"/>
    <w:rsid w:val="003C2C96"/>
    <w:rsid w:val="003C71C4"/>
    <w:rsid w:val="003D107E"/>
    <w:rsid w:val="003D2176"/>
    <w:rsid w:val="003D5BB6"/>
    <w:rsid w:val="003D68F4"/>
    <w:rsid w:val="003E1AAB"/>
    <w:rsid w:val="003E43DE"/>
    <w:rsid w:val="003E764C"/>
    <w:rsid w:val="0040335D"/>
    <w:rsid w:val="0040394B"/>
    <w:rsid w:val="00410A4F"/>
    <w:rsid w:val="004132DD"/>
    <w:rsid w:val="00425597"/>
    <w:rsid w:val="00425F35"/>
    <w:rsid w:val="004315B9"/>
    <w:rsid w:val="00432E3F"/>
    <w:rsid w:val="00442099"/>
    <w:rsid w:val="00445ACA"/>
    <w:rsid w:val="00445C80"/>
    <w:rsid w:val="00446A9F"/>
    <w:rsid w:val="00447DB1"/>
    <w:rsid w:val="00447FC0"/>
    <w:rsid w:val="0045092C"/>
    <w:rsid w:val="00453D2A"/>
    <w:rsid w:val="00464621"/>
    <w:rsid w:val="00471303"/>
    <w:rsid w:val="00481FE9"/>
    <w:rsid w:val="00482F68"/>
    <w:rsid w:val="0048548C"/>
    <w:rsid w:val="004864B2"/>
    <w:rsid w:val="004918B1"/>
    <w:rsid w:val="004A01CE"/>
    <w:rsid w:val="004A3940"/>
    <w:rsid w:val="004A5F1A"/>
    <w:rsid w:val="004B105A"/>
    <w:rsid w:val="004B31C3"/>
    <w:rsid w:val="004B50C3"/>
    <w:rsid w:val="004D5240"/>
    <w:rsid w:val="004E07A1"/>
    <w:rsid w:val="004E3F9B"/>
    <w:rsid w:val="004E4C62"/>
    <w:rsid w:val="004E4E0D"/>
    <w:rsid w:val="004E5D54"/>
    <w:rsid w:val="004F017B"/>
    <w:rsid w:val="004F3270"/>
    <w:rsid w:val="004F3F24"/>
    <w:rsid w:val="004F7818"/>
    <w:rsid w:val="0050281B"/>
    <w:rsid w:val="00503188"/>
    <w:rsid w:val="00503745"/>
    <w:rsid w:val="005039C8"/>
    <w:rsid w:val="0051150E"/>
    <w:rsid w:val="00512DC5"/>
    <w:rsid w:val="00520D54"/>
    <w:rsid w:val="00527F51"/>
    <w:rsid w:val="00530097"/>
    <w:rsid w:val="00531B5E"/>
    <w:rsid w:val="00535BBF"/>
    <w:rsid w:val="005375DC"/>
    <w:rsid w:val="00544C53"/>
    <w:rsid w:val="005504B5"/>
    <w:rsid w:val="00554CDE"/>
    <w:rsid w:val="00560092"/>
    <w:rsid w:val="00561B43"/>
    <w:rsid w:val="005626F7"/>
    <w:rsid w:val="00562A90"/>
    <w:rsid w:val="00562C2B"/>
    <w:rsid w:val="0056342B"/>
    <w:rsid w:val="005725CD"/>
    <w:rsid w:val="005759CD"/>
    <w:rsid w:val="005833F1"/>
    <w:rsid w:val="00585B4C"/>
    <w:rsid w:val="005867AF"/>
    <w:rsid w:val="00593F06"/>
    <w:rsid w:val="00594299"/>
    <w:rsid w:val="005A5876"/>
    <w:rsid w:val="005C40B8"/>
    <w:rsid w:val="005C7AE4"/>
    <w:rsid w:val="005D0945"/>
    <w:rsid w:val="005D261D"/>
    <w:rsid w:val="005D2646"/>
    <w:rsid w:val="005D5307"/>
    <w:rsid w:val="005D5DC9"/>
    <w:rsid w:val="005D7519"/>
    <w:rsid w:val="005F0996"/>
    <w:rsid w:val="005F5898"/>
    <w:rsid w:val="005F5F2E"/>
    <w:rsid w:val="006014E6"/>
    <w:rsid w:val="00602A56"/>
    <w:rsid w:val="006035E6"/>
    <w:rsid w:val="00606953"/>
    <w:rsid w:val="00606C35"/>
    <w:rsid w:val="00611C4A"/>
    <w:rsid w:val="006132C8"/>
    <w:rsid w:val="00621F2F"/>
    <w:rsid w:val="0062255D"/>
    <w:rsid w:val="00625B99"/>
    <w:rsid w:val="00630B2A"/>
    <w:rsid w:val="006339DE"/>
    <w:rsid w:val="006341A1"/>
    <w:rsid w:val="00634D1C"/>
    <w:rsid w:val="00637C6D"/>
    <w:rsid w:val="006422BD"/>
    <w:rsid w:val="006525F8"/>
    <w:rsid w:val="00652E8E"/>
    <w:rsid w:val="00656465"/>
    <w:rsid w:val="00660BE7"/>
    <w:rsid w:val="006653FA"/>
    <w:rsid w:val="0067401E"/>
    <w:rsid w:val="00680BBB"/>
    <w:rsid w:val="00685FA0"/>
    <w:rsid w:val="0068770D"/>
    <w:rsid w:val="00690386"/>
    <w:rsid w:val="00691286"/>
    <w:rsid w:val="006A6DAE"/>
    <w:rsid w:val="006B3E15"/>
    <w:rsid w:val="006B59E0"/>
    <w:rsid w:val="006B7FBA"/>
    <w:rsid w:val="006C1457"/>
    <w:rsid w:val="006D08E6"/>
    <w:rsid w:val="006D30C4"/>
    <w:rsid w:val="006D7A13"/>
    <w:rsid w:val="006E1160"/>
    <w:rsid w:val="006E1F52"/>
    <w:rsid w:val="006E4FFF"/>
    <w:rsid w:val="0070132B"/>
    <w:rsid w:val="007014FE"/>
    <w:rsid w:val="00701A9C"/>
    <w:rsid w:val="00713A5B"/>
    <w:rsid w:val="0071417D"/>
    <w:rsid w:val="007146B1"/>
    <w:rsid w:val="007169CC"/>
    <w:rsid w:val="00725A92"/>
    <w:rsid w:val="007271E9"/>
    <w:rsid w:val="00736B85"/>
    <w:rsid w:val="00736F00"/>
    <w:rsid w:val="00745EE8"/>
    <w:rsid w:val="0075193B"/>
    <w:rsid w:val="00751EDF"/>
    <w:rsid w:val="00754910"/>
    <w:rsid w:val="007561CE"/>
    <w:rsid w:val="007610BD"/>
    <w:rsid w:val="0076666E"/>
    <w:rsid w:val="0076674E"/>
    <w:rsid w:val="00776DCE"/>
    <w:rsid w:val="00780601"/>
    <w:rsid w:val="00792513"/>
    <w:rsid w:val="007A1919"/>
    <w:rsid w:val="007A1E0D"/>
    <w:rsid w:val="007A20B2"/>
    <w:rsid w:val="007A57B6"/>
    <w:rsid w:val="007B46BD"/>
    <w:rsid w:val="007C51FC"/>
    <w:rsid w:val="007C556D"/>
    <w:rsid w:val="007C7BBE"/>
    <w:rsid w:val="007D1B31"/>
    <w:rsid w:val="007E0A49"/>
    <w:rsid w:val="007F1E1C"/>
    <w:rsid w:val="00801532"/>
    <w:rsid w:val="00802B29"/>
    <w:rsid w:val="00804C97"/>
    <w:rsid w:val="0081008D"/>
    <w:rsid w:val="00814705"/>
    <w:rsid w:val="00817D68"/>
    <w:rsid w:val="008203F2"/>
    <w:rsid w:val="00835BDB"/>
    <w:rsid w:val="00835E7D"/>
    <w:rsid w:val="00836233"/>
    <w:rsid w:val="008525DE"/>
    <w:rsid w:val="0085325B"/>
    <w:rsid w:val="00856962"/>
    <w:rsid w:val="00866013"/>
    <w:rsid w:val="008715C7"/>
    <w:rsid w:val="00871F31"/>
    <w:rsid w:val="00873066"/>
    <w:rsid w:val="0087690A"/>
    <w:rsid w:val="00877B8B"/>
    <w:rsid w:val="0088183C"/>
    <w:rsid w:val="00885D6D"/>
    <w:rsid w:val="00894EA3"/>
    <w:rsid w:val="008A065E"/>
    <w:rsid w:val="008A13FF"/>
    <w:rsid w:val="008A7390"/>
    <w:rsid w:val="008A7B4A"/>
    <w:rsid w:val="008B0B99"/>
    <w:rsid w:val="008B686C"/>
    <w:rsid w:val="008C0285"/>
    <w:rsid w:val="008C3AAF"/>
    <w:rsid w:val="008C5299"/>
    <w:rsid w:val="008C7491"/>
    <w:rsid w:val="008D3666"/>
    <w:rsid w:val="008D52CE"/>
    <w:rsid w:val="008D5E7B"/>
    <w:rsid w:val="008E41D7"/>
    <w:rsid w:val="008E6B50"/>
    <w:rsid w:val="008F7D79"/>
    <w:rsid w:val="00904214"/>
    <w:rsid w:val="00904E27"/>
    <w:rsid w:val="00906AC0"/>
    <w:rsid w:val="009124A3"/>
    <w:rsid w:val="00915266"/>
    <w:rsid w:val="00920130"/>
    <w:rsid w:val="00921BA8"/>
    <w:rsid w:val="00923B69"/>
    <w:rsid w:val="009300FE"/>
    <w:rsid w:val="00934D15"/>
    <w:rsid w:val="009374BB"/>
    <w:rsid w:val="00940C41"/>
    <w:rsid w:val="00950C06"/>
    <w:rsid w:val="009544B1"/>
    <w:rsid w:val="00955078"/>
    <w:rsid w:val="00957E45"/>
    <w:rsid w:val="00962C60"/>
    <w:rsid w:val="009702EC"/>
    <w:rsid w:val="00971AD4"/>
    <w:rsid w:val="00971F18"/>
    <w:rsid w:val="00972387"/>
    <w:rsid w:val="009731A8"/>
    <w:rsid w:val="00974192"/>
    <w:rsid w:val="00974B1D"/>
    <w:rsid w:val="00985285"/>
    <w:rsid w:val="00990686"/>
    <w:rsid w:val="009923CC"/>
    <w:rsid w:val="009924A9"/>
    <w:rsid w:val="00992890"/>
    <w:rsid w:val="0099752F"/>
    <w:rsid w:val="009A0DF3"/>
    <w:rsid w:val="009A6CA6"/>
    <w:rsid w:val="009B47F1"/>
    <w:rsid w:val="009B7ACC"/>
    <w:rsid w:val="009C1089"/>
    <w:rsid w:val="009C557D"/>
    <w:rsid w:val="009D3876"/>
    <w:rsid w:val="009D40BF"/>
    <w:rsid w:val="009E66E4"/>
    <w:rsid w:val="009E7EAF"/>
    <w:rsid w:val="009F387F"/>
    <w:rsid w:val="009F66A2"/>
    <w:rsid w:val="009F704A"/>
    <w:rsid w:val="009F7108"/>
    <w:rsid w:val="00A003FF"/>
    <w:rsid w:val="00A00582"/>
    <w:rsid w:val="00A00FA7"/>
    <w:rsid w:val="00A047B9"/>
    <w:rsid w:val="00A0520F"/>
    <w:rsid w:val="00A127F7"/>
    <w:rsid w:val="00A211BA"/>
    <w:rsid w:val="00A21B6E"/>
    <w:rsid w:val="00A254F7"/>
    <w:rsid w:val="00A32CD1"/>
    <w:rsid w:val="00A332E5"/>
    <w:rsid w:val="00A4255E"/>
    <w:rsid w:val="00A43F2F"/>
    <w:rsid w:val="00A4550B"/>
    <w:rsid w:val="00A51AA4"/>
    <w:rsid w:val="00A56BC6"/>
    <w:rsid w:val="00A63029"/>
    <w:rsid w:val="00A74D53"/>
    <w:rsid w:val="00A76C70"/>
    <w:rsid w:val="00A8219B"/>
    <w:rsid w:val="00A84BFD"/>
    <w:rsid w:val="00A86924"/>
    <w:rsid w:val="00A878CB"/>
    <w:rsid w:val="00A92F6D"/>
    <w:rsid w:val="00A93222"/>
    <w:rsid w:val="00A94F3C"/>
    <w:rsid w:val="00AA5ECB"/>
    <w:rsid w:val="00AB07A5"/>
    <w:rsid w:val="00AB2069"/>
    <w:rsid w:val="00AC6FF0"/>
    <w:rsid w:val="00AE2F40"/>
    <w:rsid w:val="00AE4EEE"/>
    <w:rsid w:val="00AE6220"/>
    <w:rsid w:val="00AF03E6"/>
    <w:rsid w:val="00AF0A6C"/>
    <w:rsid w:val="00AF3F55"/>
    <w:rsid w:val="00AF51BA"/>
    <w:rsid w:val="00AF72B6"/>
    <w:rsid w:val="00B02858"/>
    <w:rsid w:val="00B163DC"/>
    <w:rsid w:val="00B20319"/>
    <w:rsid w:val="00B246E3"/>
    <w:rsid w:val="00B3138D"/>
    <w:rsid w:val="00B331A7"/>
    <w:rsid w:val="00B35DED"/>
    <w:rsid w:val="00B42DC6"/>
    <w:rsid w:val="00B506C5"/>
    <w:rsid w:val="00B51D4D"/>
    <w:rsid w:val="00B63CDB"/>
    <w:rsid w:val="00B750F3"/>
    <w:rsid w:val="00B767CD"/>
    <w:rsid w:val="00B84F30"/>
    <w:rsid w:val="00B90458"/>
    <w:rsid w:val="00B906D5"/>
    <w:rsid w:val="00BA0460"/>
    <w:rsid w:val="00BA35E4"/>
    <w:rsid w:val="00BA39B7"/>
    <w:rsid w:val="00BA61EA"/>
    <w:rsid w:val="00BB55AD"/>
    <w:rsid w:val="00BB6C52"/>
    <w:rsid w:val="00BC4A18"/>
    <w:rsid w:val="00BD4189"/>
    <w:rsid w:val="00BD56A8"/>
    <w:rsid w:val="00BD5CEC"/>
    <w:rsid w:val="00BD775F"/>
    <w:rsid w:val="00BE3ACA"/>
    <w:rsid w:val="00BF0BAB"/>
    <w:rsid w:val="00BF1755"/>
    <w:rsid w:val="00BF1DE2"/>
    <w:rsid w:val="00BF57BE"/>
    <w:rsid w:val="00C018C9"/>
    <w:rsid w:val="00C03654"/>
    <w:rsid w:val="00C07426"/>
    <w:rsid w:val="00C11552"/>
    <w:rsid w:val="00C13F03"/>
    <w:rsid w:val="00C1737F"/>
    <w:rsid w:val="00C27EBD"/>
    <w:rsid w:val="00C3322F"/>
    <w:rsid w:val="00C41418"/>
    <w:rsid w:val="00C42014"/>
    <w:rsid w:val="00C42D18"/>
    <w:rsid w:val="00C43492"/>
    <w:rsid w:val="00C43D28"/>
    <w:rsid w:val="00C4409A"/>
    <w:rsid w:val="00C52BF5"/>
    <w:rsid w:val="00C602CE"/>
    <w:rsid w:val="00C65EA4"/>
    <w:rsid w:val="00C715CA"/>
    <w:rsid w:val="00C754EE"/>
    <w:rsid w:val="00C8383A"/>
    <w:rsid w:val="00C90DA2"/>
    <w:rsid w:val="00C91D47"/>
    <w:rsid w:val="00C93C73"/>
    <w:rsid w:val="00C94A33"/>
    <w:rsid w:val="00C97E1B"/>
    <w:rsid w:val="00CA1F90"/>
    <w:rsid w:val="00CA4193"/>
    <w:rsid w:val="00CA763A"/>
    <w:rsid w:val="00CB0F0E"/>
    <w:rsid w:val="00CB25F3"/>
    <w:rsid w:val="00CB575B"/>
    <w:rsid w:val="00CB6CDB"/>
    <w:rsid w:val="00CD09AE"/>
    <w:rsid w:val="00CD41CF"/>
    <w:rsid w:val="00CF49DF"/>
    <w:rsid w:val="00D00363"/>
    <w:rsid w:val="00D00489"/>
    <w:rsid w:val="00D03477"/>
    <w:rsid w:val="00D05004"/>
    <w:rsid w:val="00D0578A"/>
    <w:rsid w:val="00D11705"/>
    <w:rsid w:val="00D176A9"/>
    <w:rsid w:val="00D20443"/>
    <w:rsid w:val="00D276A6"/>
    <w:rsid w:val="00D35180"/>
    <w:rsid w:val="00D35F60"/>
    <w:rsid w:val="00D4252D"/>
    <w:rsid w:val="00D5007D"/>
    <w:rsid w:val="00D509FA"/>
    <w:rsid w:val="00D54429"/>
    <w:rsid w:val="00D57BFA"/>
    <w:rsid w:val="00D70645"/>
    <w:rsid w:val="00D73336"/>
    <w:rsid w:val="00D73DD0"/>
    <w:rsid w:val="00D741C6"/>
    <w:rsid w:val="00D800D2"/>
    <w:rsid w:val="00D840DA"/>
    <w:rsid w:val="00D952BB"/>
    <w:rsid w:val="00DA16F6"/>
    <w:rsid w:val="00DA2EBC"/>
    <w:rsid w:val="00DB09FD"/>
    <w:rsid w:val="00DB3A94"/>
    <w:rsid w:val="00DB5B9D"/>
    <w:rsid w:val="00DB7EEE"/>
    <w:rsid w:val="00DC246F"/>
    <w:rsid w:val="00DC662E"/>
    <w:rsid w:val="00DC69BC"/>
    <w:rsid w:val="00DD1979"/>
    <w:rsid w:val="00DD2A99"/>
    <w:rsid w:val="00DD773C"/>
    <w:rsid w:val="00DE191D"/>
    <w:rsid w:val="00DE1FB1"/>
    <w:rsid w:val="00DE3527"/>
    <w:rsid w:val="00DE37DD"/>
    <w:rsid w:val="00DF0C0B"/>
    <w:rsid w:val="00DF4FB7"/>
    <w:rsid w:val="00DF5DA7"/>
    <w:rsid w:val="00DF5E2A"/>
    <w:rsid w:val="00E02AE5"/>
    <w:rsid w:val="00E02B47"/>
    <w:rsid w:val="00E046E0"/>
    <w:rsid w:val="00E15A1A"/>
    <w:rsid w:val="00E15DF2"/>
    <w:rsid w:val="00E2174F"/>
    <w:rsid w:val="00E247B8"/>
    <w:rsid w:val="00E30613"/>
    <w:rsid w:val="00E3205B"/>
    <w:rsid w:val="00E3232E"/>
    <w:rsid w:val="00E34062"/>
    <w:rsid w:val="00E35449"/>
    <w:rsid w:val="00E5266D"/>
    <w:rsid w:val="00E55C63"/>
    <w:rsid w:val="00E55F9B"/>
    <w:rsid w:val="00E669EA"/>
    <w:rsid w:val="00E6787E"/>
    <w:rsid w:val="00E70382"/>
    <w:rsid w:val="00E715FC"/>
    <w:rsid w:val="00E748EC"/>
    <w:rsid w:val="00E80390"/>
    <w:rsid w:val="00E85496"/>
    <w:rsid w:val="00E904FD"/>
    <w:rsid w:val="00E9255D"/>
    <w:rsid w:val="00EA03B2"/>
    <w:rsid w:val="00EA3726"/>
    <w:rsid w:val="00EB0315"/>
    <w:rsid w:val="00EB0F34"/>
    <w:rsid w:val="00EC2F59"/>
    <w:rsid w:val="00EC3036"/>
    <w:rsid w:val="00EC4146"/>
    <w:rsid w:val="00ED0825"/>
    <w:rsid w:val="00ED47F2"/>
    <w:rsid w:val="00EF0D72"/>
    <w:rsid w:val="00EF33D3"/>
    <w:rsid w:val="00EF5073"/>
    <w:rsid w:val="00EF6EA6"/>
    <w:rsid w:val="00F013DA"/>
    <w:rsid w:val="00F05851"/>
    <w:rsid w:val="00F0658B"/>
    <w:rsid w:val="00F07312"/>
    <w:rsid w:val="00F14BC9"/>
    <w:rsid w:val="00F16F95"/>
    <w:rsid w:val="00F2456A"/>
    <w:rsid w:val="00F31CEB"/>
    <w:rsid w:val="00F34997"/>
    <w:rsid w:val="00F42ED7"/>
    <w:rsid w:val="00F4372C"/>
    <w:rsid w:val="00F456A7"/>
    <w:rsid w:val="00F550B5"/>
    <w:rsid w:val="00F5663D"/>
    <w:rsid w:val="00F6238C"/>
    <w:rsid w:val="00F64878"/>
    <w:rsid w:val="00F65DCF"/>
    <w:rsid w:val="00F6604C"/>
    <w:rsid w:val="00F81C23"/>
    <w:rsid w:val="00F83945"/>
    <w:rsid w:val="00F8454B"/>
    <w:rsid w:val="00F84D2C"/>
    <w:rsid w:val="00F84EDF"/>
    <w:rsid w:val="00F866FE"/>
    <w:rsid w:val="00F86742"/>
    <w:rsid w:val="00F8691F"/>
    <w:rsid w:val="00F869F7"/>
    <w:rsid w:val="00F87495"/>
    <w:rsid w:val="00F91E7B"/>
    <w:rsid w:val="00F952FA"/>
    <w:rsid w:val="00F964BA"/>
    <w:rsid w:val="00FA1BC1"/>
    <w:rsid w:val="00FB3D2C"/>
    <w:rsid w:val="00FD0ED3"/>
    <w:rsid w:val="00FD1713"/>
    <w:rsid w:val="00FD60CA"/>
    <w:rsid w:val="00FD779C"/>
    <w:rsid w:val="00FF0C43"/>
    <w:rsid w:val="00FF2516"/>
    <w:rsid w:val="00FF3183"/>
    <w:rsid w:val="00FF63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218B14"/>
  <w15:docId w15:val="{416C2562-28EE-4A6C-AC10-AB1C5EB5F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a">
    <w:basedOn w:val="TableNormalf1"/>
    <w:tblPr>
      <w:tblStyleRowBandSize w:val="1"/>
      <w:tblStyleColBandSize w:val="1"/>
      <w:tblCellMar>
        <w:left w:w="115" w:type="dxa"/>
        <w:right w:w="115" w:type="dxa"/>
      </w:tblCellMar>
    </w:tblPr>
  </w:style>
  <w:style w:type="table" w:customStyle="1" w:styleId="a0">
    <w:basedOn w:val="TableNormalf1"/>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0"/>
    <w:tblPr>
      <w:tblStyleRowBandSize w:val="1"/>
      <w:tblStyleColBandSize w:val="1"/>
      <w:tblCellMar>
        <w:left w:w="115" w:type="dxa"/>
        <w:right w:w="115" w:type="dxa"/>
      </w:tblCellMar>
    </w:tblPr>
  </w:style>
  <w:style w:type="table" w:customStyle="1" w:styleId="a4">
    <w:basedOn w:val="TableNormalf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
    <w:tblPr>
      <w:tblStyleRowBandSize w:val="1"/>
      <w:tblStyleColBandSize w:val="1"/>
      <w:tblCellMar>
        <w:left w:w="108" w:type="dxa"/>
        <w:right w:w="108" w:type="dxa"/>
      </w:tblCellMar>
    </w:tblPr>
  </w:style>
  <w:style w:type="table" w:customStyle="1" w:styleId="a6">
    <w:basedOn w:val="TableNormalf"/>
    <w:tblPr>
      <w:tblStyleRowBandSize w:val="1"/>
      <w:tblStyleColBandSize w:val="1"/>
      <w:tblCellMar>
        <w:left w:w="108" w:type="dxa"/>
        <w:right w:w="108" w:type="dxa"/>
      </w:tblCellMar>
    </w:tblPr>
  </w:style>
  <w:style w:type="table" w:customStyle="1" w:styleId="a7">
    <w:basedOn w:val="TableNormalf"/>
    <w:tblPr>
      <w:tblStyleRowBandSize w:val="1"/>
      <w:tblStyleColBandSize w:val="1"/>
      <w:tblCellMar>
        <w:left w:w="108" w:type="dxa"/>
        <w:right w:w="108" w:type="dxa"/>
      </w:tblCellMar>
    </w:tblPr>
  </w:style>
  <w:style w:type="table" w:customStyle="1" w:styleId="a8">
    <w:basedOn w:val="TableNormalf"/>
    <w:tblPr>
      <w:tblStyleRowBandSize w:val="1"/>
      <w:tblStyleColBandSize w:val="1"/>
      <w:tblCellMar>
        <w:left w:w="108" w:type="dxa"/>
        <w:right w:w="108" w:type="dxa"/>
      </w:tblCellMar>
    </w:tblPr>
  </w:style>
  <w:style w:type="table" w:customStyle="1" w:styleId="a9">
    <w:basedOn w:val="TableNormalf"/>
    <w:tblPr>
      <w:tblStyleRowBandSize w:val="1"/>
      <w:tblStyleColBandSize w:val="1"/>
      <w:tblCellMar>
        <w:left w:w="108" w:type="dxa"/>
        <w:right w:w="108" w:type="dxa"/>
      </w:tblCellMar>
    </w:tblPr>
  </w:style>
  <w:style w:type="table" w:customStyle="1" w:styleId="aa">
    <w:basedOn w:val="TableNormalf"/>
    <w:tblPr>
      <w:tblStyleRowBandSize w:val="1"/>
      <w:tblStyleColBandSize w:val="1"/>
      <w:tblCellMar>
        <w:left w:w="115" w:type="dxa"/>
        <w:right w:w="115" w:type="dxa"/>
      </w:tblCellMar>
    </w:tblPr>
  </w:style>
  <w:style w:type="table" w:customStyle="1" w:styleId="ab">
    <w:basedOn w:val="TableNormalf"/>
    <w:tblPr>
      <w:tblStyleRowBandSize w:val="1"/>
      <w:tblStyleColBandSize w:val="1"/>
      <w:tblCellMar>
        <w:left w:w="115" w:type="dxa"/>
        <w:right w:w="115" w:type="dxa"/>
      </w:tblCellMar>
    </w:tblPr>
  </w:style>
  <w:style w:type="table" w:customStyle="1" w:styleId="ac">
    <w:basedOn w:val="TableNormale"/>
    <w:tblPr>
      <w:tblStyleRowBandSize w:val="1"/>
      <w:tblStyleColBandSize w:val="1"/>
      <w:tblCellMar>
        <w:left w:w="108" w:type="dxa"/>
        <w:right w:w="108" w:type="dxa"/>
      </w:tblCellMar>
    </w:tblPr>
  </w:style>
  <w:style w:type="table" w:customStyle="1" w:styleId="ad">
    <w:basedOn w:val="TableNormale"/>
    <w:tblPr>
      <w:tblStyleRowBandSize w:val="1"/>
      <w:tblStyleColBandSize w:val="1"/>
      <w:tblCellMar>
        <w:left w:w="115" w:type="dxa"/>
        <w:right w:w="115" w:type="dxa"/>
      </w:tblCellMar>
    </w:tblPr>
  </w:style>
  <w:style w:type="table" w:customStyle="1" w:styleId="ae">
    <w:basedOn w:val="TableNormale"/>
    <w:tblPr>
      <w:tblStyleRowBandSize w:val="1"/>
      <w:tblStyleColBandSize w:val="1"/>
      <w:tblCellMar>
        <w:left w:w="115" w:type="dxa"/>
        <w:right w:w="115" w:type="dxa"/>
      </w:tblCellMar>
    </w:tblPr>
  </w:style>
  <w:style w:type="table" w:customStyle="1" w:styleId="af">
    <w:basedOn w:val="TableNormald"/>
    <w:tblPr>
      <w:tblStyleRowBandSize w:val="1"/>
      <w:tblStyleColBandSize w:val="1"/>
      <w:tblCellMar>
        <w:left w:w="115" w:type="dxa"/>
        <w:right w:w="115" w:type="dxa"/>
      </w:tblCellMar>
    </w:tblPr>
  </w:style>
  <w:style w:type="table" w:customStyle="1" w:styleId="af0">
    <w:basedOn w:val="TableNormald"/>
    <w:tblPr>
      <w:tblStyleRowBandSize w:val="1"/>
      <w:tblStyleColBandSize w:val="1"/>
      <w:tblCellMar>
        <w:left w:w="115" w:type="dxa"/>
        <w:right w:w="115" w:type="dxa"/>
      </w:tblCellMar>
    </w:tblPr>
  </w:style>
  <w:style w:type="table" w:customStyle="1" w:styleId="af1">
    <w:basedOn w:val="TableNormald"/>
    <w:tblPr>
      <w:tblStyleRowBandSize w:val="1"/>
      <w:tblStyleColBandSize w:val="1"/>
      <w:tblCellMar>
        <w:left w:w="115" w:type="dxa"/>
        <w:right w:w="115" w:type="dxa"/>
      </w:tblCellMar>
    </w:tblPr>
  </w:style>
  <w:style w:type="table" w:customStyle="1" w:styleId="af2">
    <w:basedOn w:val="TableNormalc"/>
    <w:tblPr>
      <w:tblStyleRowBandSize w:val="1"/>
      <w:tblStyleColBandSize w:val="1"/>
      <w:tblCellMar>
        <w:left w:w="115" w:type="dxa"/>
        <w:right w:w="115" w:type="dxa"/>
      </w:tblCellMar>
    </w:tblPr>
  </w:style>
  <w:style w:type="table" w:customStyle="1" w:styleId="af3">
    <w:basedOn w:val="TableNormalc"/>
    <w:tblPr>
      <w:tblStyleRowBandSize w:val="1"/>
      <w:tblStyleColBandSize w:val="1"/>
      <w:tblCellMar>
        <w:left w:w="115" w:type="dxa"/>
        <w:right w:w="115" w:type="dxa"/>
      </w:tblCellMar>
    </w:tblPr>
  </w:style>
  <w:style w:type="table" w:customStyle="1" w:styleId="af4">
    <w:basedOn w:val="TableNormalb"/>
    <w:tblPr>
      <w:tblStyleRowBandSize w:val="1"/>
      <w:tblStyleColBandSize w:val="1"/>
      <w:tblCellMar>
        <w:left w:w="115" w:type="dxa"/>
        <w:right w:w="115" w:type="dxa"/>
      </w:tblCellMar>
    </w:tblPr>
  </w:style>
  <w:style w:type="table" w:customStyle="1" w:styleId="af5">
    <w:basedOn w:val="TableNormalb"/>
    <w:tblPr>
      <w:tblStyleRowBandSize w:val="1"/>
      <w:tblStyleColBandSize w:val="1"/>
      <w:tblCellMar>
        <w:left w:w="115" w:type="dxa"/>
        <w:right w:w="115" w:type="dxa"/>
      </w:tblCellMar>
    </w:tblPr>
  </w:style>
  <w:style w:type="table" w:customStyle="1" w:styleId="af6">
    <w:basedOn w:val="TableNormala"/>
    <w:tblPr>
      <w:tblStyleRowBandSize w:val="1"/>
      <w:tblStyleColBandSize w:val="1"/>
      <w:tblCellMar>
        <w:left w:w="115" w:type="dxa"/>
        <w:right w:w="115" w:type="dxa"/>
      </w:tblCellMar>
    </w:tblPr>
  </w:style>
  <w:style w:type="table" w:customStyle="1" w:styleId="af7">
    <w:basedOn w:val="TableNormala"/>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9"/>
    <w:tblPr>
      <w:tblStyleRowBandSize w:val="1"/>
      <w:tblStyleColBandSize w:val="1"/>
      <w:tblCellMar>
        <w:left w:w="115" w:type="dxa"/>
        <w:right w:w="115" w:type="dxa"/>
      </w:tblCellMar>
    </w:tblPr>
  </w:style>
  <w:style w:type="table" w:customStyle="1" w:styleId="af9">
    <w:basedOn w:val="TableNormal9"/>
    <w:tblPr>
      <w:tblStyleRowBandSize w:val="1"/>
      <w:tblStyleColBandSize w:val="1"/>
      <w:tblCellMar>
        <w:left w:w="115" w:type="dxa"/>
        <w:right w:w="115" w:type="dxa"/>
      </w:tblCellMar>
    </w:tblPr>
  </w:style>
  <w:style w:type="table" w:customStyle="1" w:styleId="afa">
    <w:basedOn w:val="TableNormal8"/>
    <w:tblPr>
      <w:tblStyleRowBandSize w:val="1"/>
      <w:tblStyleColBandSize w:val="1"/>
      <w:tblCellMar>
        <w:left w:w="115" w:type="dxa"/>
        <w:right w:w="115" w:type="dxa"/>
      </w:tblCellMar>
    </w:tblPr>
  </w:style>
  <w:style w:type="table" w:customStyle="1" w:styleId="afb">
    <w:basedOn w:val="TableNormal8"/>
    <w:tblPr>
      <w:tblStyleRowBandSize w:val="1"/>
      <w:tblStyleColBandSize w:val="1"/>
      <w:tblCellMar>
        <w:left w:w="115" w:type="dxa"/>
        <w:right w:w="115" w:type="dxa"/>
      </w:tblCellMar>
    </w:tblPr>
  </w:style>
  <w:style w:type="table" w:customStyle="1" w:styleId="afc">
    <w:basedOn w:val="TableNormal7"/>
    <w:tblPr>
      <w:tblStyleRowBandSize w:val="1"/>
      <w:tblStyleColBandSize w:val="1"/>
      <w:tblCellMar>
        <w:left w:w="115" w:type="dxa"/>
        <w:right w:w="115" w:type="dxa"/>
      </w:tblCellMar>
    </w:tblPr>
  </w:style>
  <w:style w:type="table" w:customStyle="1" w:styleId="afd">
    <w:basedOn w:val="TableNormal7"/>
    <w:tblPr>
      <w:tblStyleRowBandSize w:val="1"/>
      <w:tblStyleColBandSize w:val="1"/>
      <w:tblCellMar>
        <w:left w:w="115" w:type="dxa"/>
        <w:right w:w="115" w:type="dxa"/>
      </w:tblCellMar>
    </w:tblPr>
  </w:style>
  <w:style w:type="table" w:customStyle="1" w:styleId="afe">
    <w:basedOn w:val="TableNormal6"/>
    <w:tblPr>
      <w:tblStyleRowBandSize w:val="1"/>
      <w:tblStyleColBandSize w:val="1"/>
      <w:tblCellMar>
        <w:left w:w="115" w:type="dxa"/>
        <w:right w:w="115" w:type="dxa"/>
      </w:tblCellMar>
    </w:tblPr>
  </w:style>
  <w:style w:type="table" w:customStyle="1" w:styleId="aff">
    <w:basedOn w:val="TableNormal6"/>
    <w:tblPr>
      <w:tblStyleRowBandSize w:val="1"/>
      <w:tblStyleColBandSize w:val="1"/>
      <w:tblCellMar>
        <w:left w:w="115" w:type="dxa"/>
        <w:right w:w="115" w:type="dxa"/>
      </w:tblCellMar>
    </w:tblPr>
  </w:style>
  <w:style w:type="table" w:customStyle="1" w:styleId="aff0">
    <w:basedOn w:val="TableNormal5"/>
    <w:tblPr>
      <w:tblStyleRowBandSize w:val="1"/>
      <w:tblStyleColBandSize w:val="1"/>
      <w:tblCellMar>
        <w:left w:w="115" w:type="dxa"/>
        <w:right w:w="115" w:type="dxa"/>
      </w:tblCellMar>
    </w:tblPr>
  </w:style>
  <w:style w:type="table" w:customStyle="1" w:styleId="aff1">
    <w:basedOn w:val="TableNormal5"/>
    <w:tblPr>
      <w:tblStyleRowBandSize w:val="1"/>
      <w:tblStyleColBandSize w:val="1"/>
      <w:tblCellMar>
        <w:left w:w="115" w:type="dxa"/>
        <w:right w:w="115" w:type="dxa"/>
      </w:tblCellMar>
    </w:tblPr>
  </w:style>
  <w:style w:type="table" w:customStyle="1" w:styleId="aff2">
    <w:basedOn w:val="TableNormal4"/>
    <w:tblPr>
      <w:tblStyleRowBandSize w:val="1"/>
      <w:tblStyleColBandSize w:val="1"/>
      <w:tblCellMar>
        <w:left w:w="115" w:type="dxa"/>
        <w:right w:w="115" w:type="dxa"/>
      </w:tblCellMar>
    </w:tblPr>
  </w:style>
  <w:style w:type="table" w:customStyle="1" w:styleId="aff3">
    <w:basedOn w:val="TableNormal4"/>
    <w:tblPr>
      <w:tblStyleRowBandSize w:val="1"/>
      <w:tblStyleColBandSize w:val="1"/>
      <w:tblCellMar>
        <w:left w:w="115" w:type="dxa"/>
        <w:right w:w="115" w:type="dxa"/>
      </w:tblCellMar>
    </w:tblPr>
  </w:style>
  <w:style w:type="table" w:customStyle="1" w:styleId="aff4">
    <w:basedOn w:val="TableNormal3"/>
    <w:tblPr>
      <w:tblStyleRowBandSize w:val="1"/>
      <w:tblStyleColBandSize w:val="1"/>
      <w:tblCellMar>
        <w:left w:w="115" w:type="dxa"/>
        <w:right w:w="115" w:type="dxa"/>
      </w:tblCellMar>
    </w:tblPr>
  </w:style>
  <w:style w:type="table" w:customStyle="1" w:styleId="aff5">
    <w:basedOn w:val="TableNormal3"/>
    <w:tblPr>
      <w:tblStyleRowBandSize w:val="1"/>
      <w:tblStyleColBandSize w:val="1"/>
      <w:tblCellMar>
        <w:left w:w="115" w:type="dxa"/>
        <w:right w:w="115" w:type="dxa"/>
      </w:tblCellMar>
    </w:tblPr>
  </w:style>
  <w:style w:type="table" w:customStyle="1" w:styleId="aff6">
    <w:basedOn w:val="TableNormal2"/>
    <w:tblPr>
      <w:tblStyleRowBandSize w:val="1"/>
      <w:tblStyleColBandSize w:val="1"/>
      <w:tblCellMar>
        <w:left w:w="115" w:type="dxa"/>
        <w:right w:w="115" w:type="dxa"/>
      </w:tblCellMar>
    </w:tblPr>
  </w:style>
  <w:style w:type="table" w:customStyle="1" w:styleId="aff7">
    <w:basedOn w:val="TableNormal2"/>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left w:w="115" w:type="dxa"/>
        <w:right w:w="115" w:type="dxa"/>
      </w:tblCellMar>
    </w:tblPr>
  </w:style>
  <w:style w:type="paragraph" w:customStyle="1" w:styleId="infoemcitas">
    <w:name w:val="infoem citas"/>
    <w:basedOn w:val="Normal"/>
    <w:qFormat/>
    <w:rsid w:val="00BF0BAB"/>
    <w:pPr>
      <w:spacing w:before="240" w:after="160" w:line="360" w:lineRule="auto"/>
      <w:ind w:left="851" w:right="851"/>
      <w:jc w:val="both"/>
    </w:pPr>
    <w:rPr>
      <w:rFonts w:ascii="Palatino Linotype" w:eastAsiaTheme="minorHAnsi" w:hAnsi="Palatino Linotype" w:cstheme="minorBidi"/>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34099">
      <w:bodyDiv w:val="1"/>
      <w:marLeft w:val="0"/>
      <w:marRight w:val="0"/>
      <w:marTop w:val="0"/>
      <w:marBottom w:val="0"/>
      <w:divBdr>
        <w:top w:val="none" w:sz="0" w:space="0" w:color="auto"/>
        <w:left w:val="none" w:sz="0" w:space="0" w:color="auto"/>
        <w:bottom w:val="none" w:sz="0" w:space="0" w:color="auto"/>
        <w:right w:val="none" w:sz="0" w:space="0" w:color="auto"/>
      </w:divBdr>
    </w:div>
    <w:div w:id="426312406">
      <w:bodyDiv w:val="1"/>
      <w:marLeft w:val="0"/>
      <w:marRight w:val="0"/>
      <w:marTop w:val="0"/>
      <w:marBottom w:val="0"/>
      <w:divBdr>
        <w:top w:val="none" w:sz="0" w:space="0" w:color="auto"/>
        <w:left w:val="none" w:sz="0" w:space="0" w:color="auto"/>
        <w:bottom w:val="none" w:sz="0" w:space="0" w:color="auto"/>
        <w:right w:val="none" w:sz="0" w:space="0" w:color="auto"/>
      </w:divBdr>
    </w:div>
    <w:div w:id="573706735">
      <w:bodyDiv w:val="1"/>
      <w:marLeft w:val="0"/>
      <w:marRight w:val="0"/>
      <w:marTop w:val="0"/>
      <w:marBottom w:val="0"/>
      <w:divBdr>
        <w:top w:val="none" w:sz="0" w:space="0" w:color="auto"/>
        <w:left w:val="none" w:sz="0" w:space="0" w:color="auto"/>
        <w:bottom w:val="none" w:sz="0" w:space="0" w:color="auto"/>
        <w:right w:val="none" w:sz="0" w:space="0" w:color="auto"/>
      </w:divBdr>
    </w:div>
    <w:div w:id="662508003">
      <w:bodyDiv w:val="1"/>
      <w:marLeft w:val="0"/>
      <w:marRight w:val="0"/>
      <w:marTop w:val="0"/>
      <w:marBottom w:val="0"/>
      <w:divBdr>
        <w:top w:val="none" w:sz="0" w:space="0" w:color="auto"/>
        <w:left w:val="none" w:sz="0" w:space="0" w:color="auto"/>
        <w:bottom w:val="none" w:sz="0" w:space="0" w:color="auto"/>
        <w:right w:val="none" w:sz="0" w:space="0" w:color="auto"/>
      </w:divBdr>
    </w:div>
    <w:div w:id="878591178">
      <w:bodyDiv w:val="1"/>
      <w:marLeft w:val="0"/>
      <w:marRight w:val="0"/>
      <w:marTop w:val="0"/>
      <w:marBottom w:val="0"/>
      <w:divBdr>
        <w:top w:val="none" w:sz="0" w:space="0" w:color="auto"/>
        <w:left w:val="none" w:sz="0" w:space="0" w:color="auto"/>
        <w:bottom w:val="none" w:sz="0" w:space="0" w:color="auto"/>
        <w:right w:val="none" w:sz="0" w:space="0" w:color="auto"/>
      </w:divBdr>
    </w:div>
    <w:div w:id="1020159069">
      <w:bodyDiv w:val="1"/>
      <w:marLeft w:val="0"/>
      <w:marRight w:val="0"/>
      <w:marTop w:val="0"/>
      <w:marBottom w:val="0"/>
      <w:divBdr>
        <w:top w:val="none" w:sz="0" w:space="0" w:color="auto"/>
        <w:left w:val="none" w:sz="0" w:space="0" w:color="auto"/>
        <w:bottom w:val="none" w:sz="0" w:space="0" w:color="auto"/>
        <w:right w:val="none" w:sz="0" w:space="0" w:color="auto"/>
      </w:divBdr>
    </w:div>
    <w:div w:id="1159422799">
      <w:bodyDiv w:val="1"/>
      <w:marLeft w:val="0"/>
      <w:marRight w:val="0"/>
      <w:marTop w:val="0"/>
      <w:marBottom w:val="0"/>
      <w:divBdr>
        <w:top w:val="none" w:sz="0" w:space="0" w:color="auto"/>
        <w:left w:val="none" w:sz="0" w:space="0" w:color="auto"/>
        <w:bottom w:val="none" w:sz="0" w:space="0" w:color="auto"/>
        <w:right w:val="none" w:sz="0" w:space="0" w:color="auto"/>
      </w:divBdr>
    </w:div>
    <w:div w:id="1469930216">
      <w:bodyDiv w:val="1"/>
      <w:marLeft w:val="0"/>
      <w:marRight w:val="0"/>
      <w:marTop w:val="0"/>
      <w:marBottom w:val="0"/>
      <w:divBdr>
        <w:top w:val="none" w:sz="0" w:space="0" w:color="auto"/>
        <w:left w:val="none" w:sz="0" w:space="0" w:color="auto"/>
        <w:bottom w:val="none" w:sz="0" w:space="0" w:color="auto"/>
        <w:right w:val="none" w:sz="0" w:space="0" w:color="auto"/>
      </w:divBdr>
    </w:div>
    <w:div w:id="1498153741">
      <w:bodyDiv w:val="1"/>
      <w:marLeft w:val="0"/>
      <w:marRight w:val="0"/>
      <w:marTop w:val="0"/>
      <w:marBottom w:val="0"/>
      <w:divBdr>
        <w:top w:val="none" w:sz="0" w:space="0" w:color="auto"/>
        <w:left w:val="none" w:sz="0" w:space="0" w:color="auto"/>
        <w:bottom w:val="none" w:sz="0" w:space="0" w:color="auto"/>
        <w:right w:val="none" w:sz="0" w:space="0" w:color="auto"/>
      </w:divBdr>
    </w:div>
    <w:div w:id="1606229278">
      <w:bodyDiv w:val="1"/>
      <w:marLeft w:val="0"/>
      <w:marRight w:val="0"/>
      <w:marTop w:val="0"/>
      <w:marBottom w:val="0"/>
      <w:divBdr>
        <w:top w:val="none" w:sz="0" w:space="0" w:color="auto"/>
        <w:left w:val="none" w:sz="0" w:space="0" w:color="auto"/>
        <w:bottom w:val="none" w:sz="0" w:space="0" w:color="auto"/>
        <w:right w:val="none" w:sz="0" w:space="0" w:color="auto"/>
      </w:divBdr>
    </w:div>
    <w:div w:id="17696201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LwJaCJCy7O9JGy830EkbZ7Q/Jg==">CgMxLjAyCWguM3JkY3JqbjIOaC5kYWozajJ4bzZxNjYyCGguZ2pkZ3hzMgloLjNkeTZ2a20yCWguMzBqMHpsbDIJaC4yczhleW8xMghoLnR5amN3dDIJaC4yZXQ5MnAwMg5oLmgydzd1eXAyZDU5YjIJaC4xdDNoNXNmMgloLjFmb2I5dGUyDmguaG56eHNjaDVneXN6Mg5oLm90M3FxNnZ4YTA4ZjIIaC5sbnhiejk4AHIhMUFJNmZEOE5kY3VESlVnRFJaeWo0bThuWmExSndnbUU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0B15F70-63C7-4808-94E6-48788587B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13028</Words>
  <Characters>71656</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2026-04-10T18:39:00Z</cp:lastPrinted>
  <dcterms:created xsi:type="dcterms:W3CDTF">2026-04-25T01:55:00Z</dcterms:created>
  <dcterms:modified xsi:type="dcterms:W3CDTF">2026-04-25T01:55:00Z</dcterms:modified>
</cp:coreProperties>
</file>