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5DE" w:rsidRPr="003F440B" w:rsidRDefault="00DE55DE" w:rsidP="00DE55DE">
      <w:pPr>
        <w:spacing w:line="360" w:lineRule="auto"/>
        <w:jc w:val="both"/>
        <w:rPr>
          <w:rFonts w:ascii="Palatino Linotype" w:hAnsi="Palatino Linotype"/>
        </w:rPr>
      </w:pPr>
      <w:r w:rsidRPr="003F440B">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217308" w:rsidRPr="003F440B">
        <w:rPr>
          <w:rFonts w:ascii="Palatino Linotype" w:hAnsi="Palatino Linotype"/>
        </w:rPr>
        <w:t>tres de junio</w:t>
      </w:r>
      <w:r w:rsidRPr="003F440B">
        <w:rPr>
          <w:rFonts w:ascii="Palatino Linotype" w:hAnsi="Palatino Linotype"/>
        </w:rPr>
        <w:t xml:space="preserve"> de dos mil veintiséis.</w:t>
      </w:r>
    </w:p>
    <w:p w:rsidR="00DE55DE" w:rsidRPr="003F440B" w:rsidRDefault="00DE55DE" w:rsidP="00DE55DE">
      <w:pPr>
        <w:spacing w:line="360" w:lineRule="auto"/>
        <w:jc w:val="both"/>
        <w:rPr>
          <w:rFonts w:ascii="Palatino Linotype" w:hAnsi="Palatino Linotype"/>
        </w:rPr>
      </w:pPr>
    </w:p>
    <w:p w:rsidR="00DE55DE" w:rsidRPr="003F440B" w:rsidRDefault="00DE55DE" w:rsidP="00DE55DE">
      <w:pPr>
        <w:tabs>
          <w:tab w:val="left" w:pos="1701"/>
        </w:tabs>
        <w:spacing w:before="240" w:line="360" w:lineRule="auto"/>
        <w:jc w:val="both"/>
        <w:rPr>
          <w:rFonts w:ascii="Palatino Linotype" w:hAnsi="Palatino Linotype" w:cs="Arial"/>
          <w:sz w:val="28"/>
        </w:rPr>
      </w:pPr>
      <w:r w:rsidRPr="003F440B">
        <w:rPr>
          <w:rFonts w:ascii="Palatino Linotype" w:hAnsi="Palatino Linotype" w:cs="Arial"/>
          <w:b/>
        </w:rPr>
        <w:t>VISTO</w:t>
      </w:r>
      <w:r w:rsidRPr="003F440B">
        <w:rPr>
          <w:rFonts w:ascii="Palatino Linotype" w:hAnsi="Palatino Linotype" w:cs="Arial"/>
        </w:rPr>
        <w:t xml:space="preserve"> el expediente electrónico formado con motivo del recurso de revisión número</w:t>
      </w:r>
      <w:r w:rsidRPr="003F440B">
        <w:rPr>
          <w:rFonts w:ascii="Palatino Linotype" w:hAnsi="Palatino Linotype" w:cs="Arial"/>
          <w:b/>
        </w:rPr>
        <w:t xml:space="preserve"> </w:t>
      </w:r>
      <w:bookmarkStart w:id="0" w:name="_GoBack"/>
      <w:r w:rsidRPr="003F440B">
        <w:rPr>
          <w:rFonts w:ascii="Palatino Linotype" w:hAnsi="Palatino Linotype" w:cs="Arial"/>
          <w:b/>
          <w:bCs/>
          <w:lang w:eastAsia="es-MX"/>
        </w:rPr>
        <w:t>012765/INFOEM/IP/RR/2025</w:t>
      </w:r>
      <w:bookmarkEnd w:id="0"/>
      <w:r w:rsidRPr="003F440B">
        <w:rPr>
          <w:rFonts w:ascii="Palatino Linotype" w:hAnsi="Palatino Linotype" w:cs="Arial"/>
          <w:b/>
          <w:bCs/>
          <w:lang w:eastAsia="es-MX"/>
        </w:rPr>
        <w:t xml:space="preserve">, </w:t>
      </w:r>
      <w:r w:rsidRPr="003F440B">
        <w:rPr>
          <w:rFonts w:ascii="Palatino Linotype" w:hAnsi="Palatino Linotype"/>
        </w:rPr>
        <w:t xml:space="preserve">interpuesto por </w:t>
      </w:r>
      <w:r w:rsidR="00217308" w:rsidRPr="003F440B">
        <w:rPr>
          <w:rFonts w:ascii="Palatino Linotype" w:hAnsi="Palatino Linotype"/>
        </w:rPr>
        <w:t>un particular que no proporcionó nombre o seudónimo</w:t>
      </w:r>
      <w:r w:rsidRPr="003F440B">
        <w:rPr>
          <w:rFonts w:ascii="Palatino Linotype" w:hAnsi="Palatino Linotype"/>
        </w:rPr>
        <w:t xml:space="preserve">, en lo sucesivo la parte </w:t>
      </w:r>
      <w:r w:rsidRPr="003F440B">
        <w:rPr>
          <w:rFonts w:ascii="Palatino Linotype" w:hAnsi="Palatino Linotype"/>
          <w:b/>
        </w:rPr>
        <w:t>Recurrente</w:t>
      </w:r>
      <w:r w:rsidRPr="003F440B">
        <w:rPr>
          <w:rFonts w:ascii="Palatino Linotype" w:hAnsi="Palatino Linotype"/>
        </w:rPr>
        <w:t xml:space="preserve">, en contra de la respuesta del </w:t>
      </w:r>
      <w:r w:rsidRPr="003F440B">
        <w:rPr>
          <w:rFonts w:ascii="Palatino Linotype" w:hAnsi="Palatino Linotype"/>
          <w:b/>
        </w:rPr>
        <w:t>Oficialía Mayor</w:t>
      </w:r>
      <w:r w:rsidRPr="003F440B">
        <w:rPr>
          <w:rFonts w:ascii="Palatino Linotype" w:hAnsi="Palatino Linotype"/>
        </w:rPr>
        <w:t xml:space="preserve">, en lo subsecuente el </w:t>
      </w:r>
      <w:r w:rsidRPr="003F440B">
        <w:rPr>
          <w:rFonts w:ascii="Palatino Linotype" w:hAnsi="Palatino Linotype"/>
          <w:b/>
        </w:rPr>
        <w:t>Sujeto Obligado</w:t>
      </w:r>
      <w:r w:rsidRPr="003F440B">
        <w:rPr>
          <w:rFonts w:ascii="Palatino Linotype" w:hAnsi="Palatino Linotype"/>
        </w:rPr>
        <w:t>, se procede a dictar la presente resolución.</w:t>
      </w:r>
    </w:p>
    <w:p w:rsidR="00DE55DE" w:rsidRPr="003F440B" w:rsidRDefault="00DE55DE" w:rsidP="00DE55DE">
      <w:pPr>
        <w:pStyle w:val="infoemcitas"/>
        <w:jc w:val="center"/>
        <w:rPr>
          <w:b/>
          <w:bCs/>
          <w:i w:val="0"/>
          <w:iCs/>
          <w:sz w:val="24"/>
          <w:szCs w:val="28"/>
        </w:rPr>
      </w:pPr>
    </w:p>
    <w:p w:rsidR="00DE55DE" w:rsidRPr="003F440B" w:rsidRDefault="00DE55DE" w:rsidP="00DE55DE">
      <w:pPr>
        <w:pStyle w:val="infoemcitas"/>
        <w:jc w:val="center"/>
        <w:rPr>
          <w:b/>
          <w:bCs/>
          <w:i w:val="0"/>
          <w:iCs/>
          <w:sz w:val="28"/>
          <w:szCs w:val="28"/>
        </w:rPr>
      </w:pPr>
      <w:r w:rsidRPr="003F440B">
        <w:rPr>
          <w:b/>
          <w:bCs/>
          <w:i w:val="0"/>
          <w:iCs/>
          <w:sz w:val="28"/>
          <w:szCs w:val="28"/>
        </w:rPr>
        <w:t>A N T E C E D E N T E S   D E L   A S U N T O</w:t>
      </w:r>
    </w:p>
    <w:p w:rsidR="00DE55DE" w:rsidRPr="003F440B" w:rsidRDefault="00DE55DE" w:rsidP="00DE55DE">
      <w:pPr>
        <w:pStyle w:val="infoemcitas"/>
        <w:jc w:val="center"/>
        <w:rPr>
          <w:b/>
          <w:bCs/>
          <w:i w:val="0"/>
          <w:iCs/>
          <w:sz w:val="24"/>
          <w:szCs w:val="28"/>
        </w:rPr>
      </w:pPr>
    </w:p>
    <w:p w:rsidR="00DE55DE" w:rsidRPr="003F440B" w:rsidRDefault="00DE55DE" w:rsidP="00DE55DE">
      <w:pPr>
        <w:spacing w:before="240" w:after="240" w:line="360" w:lineRule="auto"/>
        <w:jc w:val="both"/>
        <w:rPr>
          <w:rFonts w:ascii="Palatino Linotype" w:hAnsi="Palatino Linotype"/>
        </w:rPr>
      </w:pPr>
      <w:r w:rsidRPr="003F440B">
        <w:rPr>
          <w:rFonts w:ascii="Palatino Linotype" w:hAnsi="Palatino Linotype" w:cs="Arial"/>
          <w:b/>
          <w:sz w:val="28"/>
        </w:rPr>
        <w:t>PRIMERO.</w:t>
      </w:r>
      <w:r w:rsidRPr="003F440B">
        <w:rPr>
          <w:rFonts w:ascii="Palatino Linotype" w:hAnsi="Palatino Linotype" w:cs="Arial"/>
        </w:rPr>
        <w:t xml:space="preserve"> </w:t>
      </w:r>
      <w:r w:rsidRPr="003F440B">
        <w:rPr>
          <w:rFonts w:ascii="Palatino Linotype" w:hAnsi="Palatino Linotype"/>
          <w:b/>
          <w:sz w:val="28"/>
          <w:szCs w:val="28"/>
        </w:rPr>
        <w:t>De la Solicitud de Información.</w:t>
      </w:r>
    </w:p>
    <w:p w:rsidR="00DE55DE" w:rsidRPr="003F440B" w:rsidRDefault="00DE55DE" w:rsidP="00DE55DE">
      <w:pPr>
        <w:spacing w:before="240" w:line="360" w:lineRule="auto"/>
        <w:jc w:val="both"/>
        <w:rPr>
          <w:rFonts w:ascii="Palatino Linotype" w:hAnsi="Palatino Linotype" w:cs="Arial"/>
        </w:rPr>
      </w:pPr>
      <w:r w:rsidRPr="003F440B">
        <w:rPr>
          <w:rFonts w:ascii="Palatino Linotype" w:hAnsi="Palatino Linotype" w:cs="Arial"/>
        </w:rPr>
        <w:t xml:space="preserve">Con fecha </w:t>
      </w:r>
      <w:r w:rsidR="00217308" w:rsidRPr="003F440B">
        <w:rPr>
          <w:rFonts w:ascii="Palatino Linotype" w:hAnsi="Palatino Linotype" w:cs="Arial"/>
          <w:b/>
        </w:rPr>
        <w:t>dos de octubre</w:t>
      </w:r>
      <w:r w:rsidRPr="003F440B">
        <w:rPr>
          <w:rFonts w:ascii="Palatino Linotype" w:hAnsi="Palatino Linotype" w:cs="Arial"/>
          <w:b/>
        </w:rPr>
        <w:t xml:space="preserve"> de dos mil veinticinco</w:t>
      </w:r>
      <w:r w:rsidRPr="003F440B">
        <w:rPr>
          <w:rFonts w:ascii="Palatino Linotype" w:hAnsi="Palatino Linotype" w:cs="Arial"/>
        </w:rPr>
        <w:t>, la parte</w:t>
      </w:r>
      <w:r w:rsidRPr="003F440B">
        <w:rPr>
          <w:rFonts w:ascii="Palatino Linotype" w:hAnsi="Palatino Linotype" w:cs="Arial"/>
          <w:b/>
        </w:rPr>
        <w:t xml:space="preserve"> Recurrente </w:t>
      </w:r>
      <w:r w:rsidRPr="003F440B">
        <w:rPr>
          <w:rFonts w:ascii="Palatino Linotype" w:hAnsi="Palatino Linotype" w:cs="Arial"/>
        </w:rPr>
        <w:t>presentó a través del Sistema de Acceso a la Información Mexiquense (</w:t>
      </w:r>
      <w:r w:rsidRPr="003F440B">
        <w:rPr>
          <w:rFonts w:ascii="Palatino Linotype" w:hAnsi="Palatino Linotype" w:cs="Arial"/>
          <w:b/>
        </w:rPr>
        <w:t>SAIMEX)</w:t>
      </w:r>
      <w:r w:rsidRPr="003F440B">
        <w:rPr>
          <w:rFonts w:ascii="Palatino Linotype" w:hAnsi="Palatino Linotype" w:cs="Arial"/>
        </w:rPr>
        <w:t xml:space="preserve"> ante </w:t>
      </w:r>
      <w:r w:rsidRPr="003F440B">
        <w:rPr>
          <w:rFonts w:ascii="Palatino Linotype" w:hAnsi="Palatino Linotype" w:cs="Arial"/>
          <w:b/>
        </w:rPr>
        <w:t>El Sujeto Obligado</w:t>
      </w:r>
      <w:r w:rsidRPr="003F440B">
        <w:rPr>
          <w:rFonts w:ascii="Palatino Linotype" w:hAnsi="Palatino Linotype" w:cs="Arial"/>
        </w:rPr>
        <w:t xml:space="preserve">, solicitud de acceso a la información pública, registrada bajo el número de expediente </w:t>
      </w:r>
      <w:r w:rsidR="00217308" w:rsidRPr="003F440B">
        <w:rPr>
          <w:rFonts w:ascii="Palatino Linotype" w:hAnsi="Palatino Linotype" w:cs="Arial"/>
          <w:b/>
        </w:rPr>
        <w:t>00289/OFICIALIA/IP/2025</w:t>
      </w:r>
      <w:r w:rsidRPr="003F440B">
        <w:rPr>
          <w:rFonts w:ascii="Palatino Linotype" w:hAnsi="Palatino Linotype" w:cs="Arial"/>
          <w:b/>
        </w:rPr>
        <w:t xml:space="preserve">, </w:t>
      </w:r>
      <w:r w:rsidRPr="003F440B">
        <w:rPr>
          <w:rFonts w:ascii="Palatino Linotype" w:hAnsi="Palatino Linotype" w:cs="Arial"/>
        </w:rPr>
        <w:t>mediante la cual solicitó información en el tenor siguiente:</w:t>
      </w:r>
    </w:p>
    <w:p w:rsidR="00DE55DE" w:rsidRPr="003F440B" w:rsidRDefault="00DE55DE" w:rsidP="00DE55DE">
      <w:pPr>
        <w:pStyle w:val="INFOEM"/>
        <w:rPr>
          <w:lang w:val="es-ES_tradnl" w:eastAsia="es-ES"/>
        </w:rPr>
      </w:pPr>
      <w:r w:rsidRPr="003F440B">
        <w:rPr>
          <w:lang w:val="es-ES_tradnl" w:eastAsia="es-ES"/>
        </w:rPr>
        <w:t>“</w:t>
      </w:r>
      <w:r w:rsidR="00217308" w:rsidRPr="003F440B">
        <w:rPr>
          <w:lang w:val="es-ES" w:eastAsia="es-ES"/>
        </w:rPr>
        <w:t xml:space="preserve">Se requiere, de manera clara y en formato de datos abiertos y desagregado (en hoja de cálculo editable en formato Excel), la siguiente información relativa al parque vehicular a cargo de la Coordinación de Servicios Auxiliares a Contingencias y </w:t>
      </w:r>
      <w:r w:rsidR="00217308" w:rsidRPr="003F440B">
        <w:rPr>
          <w:lang w:val="es-ES" w:eastAsia="es-ES"/>
        </w:rPr>
        <w:lastRenderedPageBreak/>
        <w:t xml:space="preserve">Emergencias de la Oficialía Mayor del Estado de México; Incluyendo tanto vehículos propios como vehículos en arrendamiento o comodato, correspondientes al 01 de abril al 30 de septiembre de 2025. 1.- Inventario Vehicular: * Número total de vehículos a cargo de la Coordinación, desglosado por: * Vehículos de propiedad de la Coordinación. * Vehículos en arrendamiento, comodato o cualquier otra figura de disponibilidad temporal. 2.- Listado del parque vehicular que incluya, por cada unidad: * Marca, Modelo y Año. * Tipo de vehículo (ej. Sedán, Camioneta Pick-up, Unidad de Rescate, etc.). * Número de Identificación Vehicular (NIV) o Serie. * Número de Inventario. * Situación administrativa del vehículo (Propio, Arrendado, comodato, otro). 3.- Asignación de Vehículos a Servidores Públicos: * Listado de los servidores públicos que tienen vehículos de la Coordinación asignados a su cargo (de forma temporal o permanente), indicando por cada uno: * Nombre completo del servidor público. * Puesto o cargo que desempeña. * Nivel y rango del servidor público. * Tipo, modelo y número de inventario/serie del vehículo asignado. * Fecha de asignación inicial. * Nombre, puesto o cargo que desempeña el servidor o servidores que autorizaron la asignación del vehículo. * Justificación para la asignación de vehículo al servidor público 4.- Gastos Operativos de los Vehículos: * Registro de Cargas de Combustible: Informe con el detalle de las cargas de combustible, indicando por cada registro: * Numero de contrato para el suministro de combustible. * Numero de monederos electrónicos asignados. * Fecha y hora de la carga. * Vehículo (identificado por número de serie o inventario). * Kilometraje del vehiculo. * Tipo de Combustible (Gasolina Magna, Premium, Diésel). * Litros cargados. * Costo total de la carga. 5.- Servicios de Mantenimiento y Reparación: Detalle de los servicios de mantenimiento, indicando por cada servicio: * Fecha del servicio. * Vehículo (identificado por número de serie o inventario). * Descripción del trabajo realizado (ej. servicio menor, cambio de balatas, reparación de motor). * Kilometraje del vehículo. * Costo total del servicio. * Modo de contratación del servicio. * Proveedor </w:t>
      </w:r>
      <w:r w:rsidR="00217308" w:rsidRPr="003F440B">
        <w:rPr>
          <w:lang w:val="es-ES" w:eastAsia="es-ES"/>
        </w:rPr>
        <w:lastRenderedPageBreak/>
        <w:t>del servicio. * Cotizaciones de los otros proveedores que participaron para la asignación del servicio. 6.- Gastos de Peaje (Casetas): Informe de los gastos realizados por concepto de peaje, indicando por cada gasto: * Fecha. * Vehículo (identificado por número de serie o inventario). * Monto del gasto. * Medio de pago (ej. TAG, efectivo, tarjeta corporativa). * Ruta o tramo. * Justificación para el pago de peaje.</w:t>
      </w:r>
      <w:r w:rsidRPr="003F440B">
        <w:rPr>
          <w:lang w:val="es-ES_tradnl" w:eastAsia="es-ES"/>
        </w:rPr>
        <w:t>” (Sic)</w:t>
      </w:r>
    </w:p>
    <w:p w:rsidR="00DE55DE" w:rsidRPr="003F440B" w:rsidRDefault="00DE55DE" w:rsidP="00DE55DE">
      <w:pPr>
        <w:spacing w:before="240" w:line="360" w:lineRule="auto"/>
        <w:jc w:val="both"/>
        <w:rPr>
          <w:rFonts w:ascii="Palatino Linotype" w:hAnsi="Palatino Linotype"/>
          <w:lang w:val="es-ES_tradnl"/>
        </w:rPr>
      </w:pPr>
    </w:p>
    <w:p w:rsidR="00DE55DE" w:rsidRPr="003F440B" w:rsidRDefault="00DE55DE" w:rsidP="00DE55DE">
      <w:pPr>
        <w:spacing w:before="240" w:line="360" w:lineRule="auto"/>
        <w:jc w:val="both"/>
        <w:rPr>
          <w:rFonts w:ascii="Palatino Linotype" w:hAnsi="Palatino Linotype"/>
          <w:lang w:val="es-ES_tradnl"/>
        </w:rPr>
      </w:pPr>
      <w:r w:rsidRPr="003F440B">
        <w:rPr>
          <w:rFonts w:ascii="Palatino Linotype" w:hAnsi="Palatino Linotype"/>
          <w:b/>
          <w:lang w:val="es-ES_tradnl"/>
        </w:rPr>
        <w:t>Modalidad de entrega:</w:t>
      </w:r>
      <w:r w:rsidRPr="003F440B">
        <w:rPr>
          <w:rFonts w:ascii="Palatino Linotype" w:hAnsi="Palatino Linotype"/>
          <w:lang w:val="es-ES_tradnl"/>
        </w:rPr>
        <w:t xml:space="preserve"> A través del SAIMEX.</w:t>
      </w:r>
    </w:p>
    <w:p w:rsidR="00DE55DE" w:rsidRPr="003F440B" w:rsidRDefault="00DE55DE" w:rsidP="00DE55DE">
      <w:pPr>
        <w:spacing w:before="240" w:line="360" w:lineRule="auto"/>
        <w:jc w:val="both"/>
        <w:rPr>
          <w:rFonts w:ascii="Palatino Linotype" w:hAnsi="Palatino Linotype" w:cs="Arial"/>
          <w:b/>
          <w:sz w:val="28"/>
        </w:rPr>
      </w:pPr>
    </w:p>
    <w:p w:rsidR="00217308" w:rsidRPr="003F440B" w:rsidRDefault="00DE55DE" w:rsidP="00DE55DE">
      <w:pPr>
        <w:spacing w:line="360" w:lineRule="auto"/>
        <w:jc w:val="both"/>
        <w:rPr>
          <w:rFonts w:ascii="Palatino Linotype" w:hAnsi="Palatino Linotype" w:cs="Arial"/>
          <w:b/>
          <w:sz w:val="28"/>
        </w:rPr>
      </w:pPr>
      <w:r w:rsidRPr="003F440B">
        <w:rPr>
          <w:rFonts w:ascii="Palatino Linotype" w:hAnsi="Palatino Linotype" w:cs="Arial"/>
          <w:b/>
          <w:sz w:val="28"/>
        </w:rPr>
        <w:t xml:space="preserve">SEGUNDO. </w:t>
      </w:r>
      <w:r w:rsidR="00217308" w:rsidRPr="003F440B">
        <w:rPr>
          <w:rFonts w:ascii="Palatino Linotype" w:hAnsi="Palatino Linotype" w:cs="Arial"/>
          <w:b/>
          <w:sz w:val="28"/>
        </w:rPr>
        <w:t>De la prórroga.</w:t>
      </w:r>
    </w:p>
    <w:p w:rsidR="00217308" w:rsidRPr="003F440B" w:rsidRDefault="00217308" w:rsidP="00DE55DE">
      <w:pPr>
        <w:spacing w:line="360" w:lineRule="auto"/>
        <w:jc w:val="both"/>
        <w:rPr>
          <w:rFonts w:ascii="Palatino Linotype" w:hAnsi="Palatino Linotype" w:cs="Arial"/>
        </w:rPr>
      </w:pPr>
      <w:r w:rsidRPr="003F440B">
        <w:rPr>
          <w:rFonts w:ascii="Palatino Linotype" w:hAnsi="Palatino Linotype" w:cs="Arial"/>
        </w:rPr>
        <w:t xml:space="preserve">En fecha </w:t>
      </w:r>
      <w:r w:rsidRPr="003F440B">
        <w:rPr>
          <w:rFonts w:ascii="Palatino Linotype" w:hAnsi="Palatino Linotype" w:cs="Arial"/>
          <w:b/>
        </w:rPr>
        <w:t>veintidós de octubre de dos mil veinticinco</w:t>
      </w:r>
      <w:r w:rsidRPr="003F440B">
        <w:rPr>
          <w:rFonts w:ascii="Palatino Linotype" w:hAnsi="Palatino Linotype" w:cs="Arial"/>
        </w:rPr>
        <w:t xml:space="preserve"> el Sujeto Obligado notificó a la parte Recurrente una prórroga para dar respuesta, en los términos siguientes:</w:t>
      </w:r>
    </w:p>
    <w:p w:rsidR="00217308" w:rsidRPr="003F440B" w:rsidRDefault="00217308" w:rsidP="00217308">
      <w:pPr>
        <w:pStyle w:val="Citas"/>
      </w:pPr>
      <w:r w:rsidRPr="003F440B">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217308" w:rsidRPr="003F440B" w:rsidRDefault="00217308" w:rsidP="00217308">
      <w:pPr>
        <w:pStyle w:val="Citas"/>
      </w:pPr>
      <w:r w:rsidRPr="003F440B">
        <w:t>Se aprueba prorroga solicitada” (sic)</w:t>
      </w:r>
    </w:p>
    <w:p w:rsidR="00217308" w:rsidRPr="003F440B" w:rsidRDefault="00217308" w:rsidP="00DE55DE">
      <w:pPr>
        <w:spacing w:line="360" w:lineRule="auto"/>
        <w:jc w:val="both"/>
        <w:rPr>
          <w:rFonts w:ascii="Palatino Linotype" w:hAnsi="Palatino Linotype" w:cs="Arial"/>
          <w:b/>
          <w:sz w:val="28"/>
          <w:szCs w:val="20"/>
        </w:rPr>
      </w:pPr>
    </w:p>
    <w:p w:rsidR="00DE55DE" w:rsidRPr="003F440B" w:rsidRDefault="00217308" w:rsidP="00DE55DE">
      <w:pPr>
        <w:spacing w:line="360" w:lineRule="auto"/>
        <w:jc w:val="both"/>
      </w:pPr>
      <w:r w:rsidRPr="003F440B">
        <w:rPr>
          <w:rFonts w:ascii="Palatino Linotype" w:hAnsi="Palatino Linotype" w:cs="Arial"/>
          <w:b/>
          <w:sz w:val="28"/>
          <w:szCs w:val="20"/>
        </w:rPr>
        <w:t xml:space="preserve">TERCERO. </w:t>
      </w:r>
      <w:r w:rsidR="00DE55DE" w:rsidRPr="003F440B">
        <w:rPr>
          <w:rFonts w:ascii="Palatino Linotype" w:hAnsi="Palatino Linotype" w:cs="Arial"/>
          <w:b/>
          <w:sz w:val="28"/>
          <w:szCs w:val="20"/>
        </w:rPr>
        <w:t>De la respuesta o entrega de la información.</w:t>
      </w:r>
    </w:p>
    <w:p w:rsidR="00DE55DE" w:rsidRPr="003F440B" w:rsidRDefault="00DE55DE" w:rsidP="00DE55DE">
      <w:pPr>
        <w:pStyle w:val="Sinespaciado"/>
        <w:spacing w:line="360" w:lineRule="auto"/>
        <w:jc w:val="both"/>
        <w:rPr>
          <w:rFonts w:ascii="Palatino Linotype" w:hAnsi="Palatino Linotype" w:cs="Arial"/>
          <w:b/>
          <w:sz w:val="24"/>
        </w:rPr>
      </w:pPr>
      <w:r w:rsidRPr="003F440B">
        <w:rPr>
          <w:rFonts w:ascii="Palatino Linotype" w:hAnsi="Palatino Linotype"/>
          <w:sz w:val="24"/>
        </w:rPr>
        <w:t xml:space="preserve">De las constancias que obran en el expediente electrónico, se advierte que el </w:t>
      </w:r>
      <w:r w:rsidRPr="003F440B">
        <w:rPr>
          <w:rFonts w:ascii="Palatino Linotype" w:hAnsi="Palatino Linotype" w:cs="Arial"/>
          <w:sz w:val="24"/>
        </w:rPr>
        <w:t xml:space="preserve">día </w:t>
      </w:r>
      <w:r w:rsidR="00217308" w:rsidRPr="003F440B">
        <w:rPr>
          <w:rFonts w:ascii="Palatino Linotype" w:hAnsi="Palatino Linotype" w:cs="Arial"/>
          <w:b/>
          <w:sz w:val="24"/>
        </w:rPr>
        <w:t>cuatro de noviembre</w:t>
      </w:r>
      <w:r w:rsidRPr="003F440B">
        <w:rPr>
          <w:rFonts w:ascii="Palatino Linotype" w:hAnsi="Palatino Linotype" w:cs="Arial"/>
          <w:b/>
          <w:sz w:val="24"/>
        </w:rPr>
        <w:t xml:space="preserve"> de dos mil veinticinco</w:t>
      </w:r>
      <w:r w:rsidRPr="003F440B">
        <w:rPr>
          <w:rFonts w:ascii="Palatino Linotype" w:hAnsi="Palatino Linotype" w:cs="Arial"/>
          <w:sz w:val="24"/>
        </w:rPr>
        <w:t xml:space="preserve">, el </w:t>
      </w:r>
      <w:r w:rsidRPr="003F440B">
        <w:rPr>
          <w:rFonts w:ascii="Palatino Linotype" w:hAnsi="Palatino Linotype" w:cs="Arial"/>
          <w:b/>
          <w:sz w:val="24"/>
        </w:rPr>
        <w:t>Sujeto Obligado</w:t>
      </w:r>
      <w:r w:rsidRPr="003F440B">
        <w:rPr>
          <w:rFonts w:ascii="Palatino Linotype" w:hAnsi="Palatino Linotype" w:cs="Arial"/>
          <w:sz w:val="24"/>
        </w:rPr>
        <w:t xml:space="preserve"> dio respuesta a la solicitud de información en los siguientes términos: </w:t>
      </w:r>
    </w:p>
    <w:p w:rsidR="00DE55DE" w:rsidRPr="003F440B" w:rsidRDefault="00DE55DE" w:rsidP="00DE55DE">
      <w:pPr>
        <w:spacing w:line="360" w:lineRule="auto"/>
        <w:jc w:val="both"/>
        <w:rPr>
          <w:rFonts w:ascii="Palatino Linotype" w:hAnsi="Palatino Linotype" w:cs="Arial"/>
        </w:rPr>
      </w:pPr>
    </w:p>
    <w:p w:rsidR="00217308" w:rsidRPr="003F440B" w:rsidRDefault="00DE55DE" w:rsidP="00217308">
      <w:pPr>
        <w:ind w:left="567" w:right="567"/>
        <w:jc w:val="both"/>
        <w:rPr>
          <w:rFonts w:ascii="Palatino Linotype" w:hAnsi="Palatino Linotype" w:cs="Arial"/>
          <w:i/>
        </w:rPr>
      </w:pPr>
      <w:r w:rsidRPr="003F440B">
        <w:rPr>
          <w:rFonts w:ascii="Palatino Linotype" w:hAnsi="Palatino Linotype" w:cs="Arial"/>
          <w:i/>
        </w:rPr>
        <w:lastRenderedPageBreak/>
        <w:t>“</w:t>
      </w:r>
      <w:r w:rsidR="00217308" w:rsidRPr="003F440B">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DE55DE" w:rsidRPr="003F440B" w:rsidRDefault="00217308" w:rsidP="00217308">
      <w:pPr>
        <w:ind w:left="567" w:right="567"/>
        <w:jc w:val="both"/>
        <w:rPr>
          <w:rFonts w:ascii="Palatino Linotype" w:hAnsi="Palatino Linotype" w:cs="Arial"/>
          <w:i/>
        </w:rPr>
      </w:pPr>
      <w:r w:rsidRPr="003F440B">
        <w:rPr>
          <w:rFonts w:ascii="Palatino Linotype" w:hAnsi="Palatino Linotype" w:cs="Arial"/>
          <w:i/>
        </w:rPr>
        <w:t xml:space="preserve">LIC. RAFAEL ALEJANDRO CONTRERAS CARMONA TITULAR DE LA UNIDAD DE TRANSPARENCIA DE LA OFICIALIA MAYOR Me refiero a su oficio 234A00000/UT-0795/2025 de fecha 08 de octubre del año en curso, por medio del cual solicita se de atención a la solicitud de información pública con número de folio 00289/OFICIALIA/IP/2025, que a la letra dice: DESCRIPCIÓN DE LA INFORMACIÓN SOLICITADA: “Se requiere, de manera clara y en formato de datos abiertos y desagregado (en hoja de cálculo editable en formato Excel), la siguiente información relativa al parque vehicular a cargo de la Coordinación de Servicios Auxiliares a Contingencias y Emergencias de la Oficialía Mayor del Estado de México; Incluyendo tanto vehículos propios como vehículos en arrendamiento o comodato, correspondientes al 01 de abril al 30 de septiembre de 2025. 1.- Inventario vehicular: * Número total de vehículos a cargo de la Coordinación, desglosado por: * vehículos de propiedad de la Coordinación. * Vehículos en arrendamiento, comodato o cualquier otra figura de disponibilidad temporal. 2. Listado del parque vehicular que incluya, por cada unidad: * Marca, Modelo y Año. *Tipo de vehículo (ej. Sedan, camioneta Pick-up, Unidad de Rescate, etc.)* Número de Identificación vehicular (NIV) o Serie. *Número de inventario. *Situación administrativa del vehículo (Propio, Arrendado, comodato, otro). 3.- Asignación de Vehículos a Servidores Públicos: *Listado de los Servidores Públicos que tienen vehículos de la Coordinación asignados a su cargo (de forma temporal o permanente), indicando por cada uno: * Nombre, puesto o cargo que desempeña. *Nivel y rango del servidor público. *Tipo, modelo y número de inventario/serie del vehículo asignado. * Fecha de asignación inicial. *Nombre, puesto o cargo que desempeña el servidor o servidores que autorizaron la asignación del vehículo. *Justificación para la asignación de vehículo al servidor público 4.- Gastos Operativos de los vehículos: *Registro de Cargas de combustible: Informe con el detalle de las cargas de combustible, indicando por cada registro: * Número de contrato para el suministro de combustible. *Número de monederos electrónicos asignados. *Fecha y hora de la carga. Vehículo (identificado por número de serie o inventario). *Kilometraje del vehículo. *Tipo de combustible (Gasolina Magna, Premium, Diesel). * Litros cargados. *Costo total de la carga. 5.-Servicios de Mantenimiento y Reparación: Detalle de los servicios de mantenimiento, indicando por cada servicio: *Fecha del servicio. *Vehículo (identificado por número de serie o </w:t>
      </w:r>
      <w:r w:rsidRPr="003F440B">
        <w:rPr>
          <w:rFonts w:ascii="Palatino Linotype" w:hAnsi="Palatino Linotype" w:cs="Arial"/>
          <w:i/>
        </w:rPr>
        <w:lastRenderedPageBreak/>
        <w:t xml:space="preserve">inventario). *Descripción del trabajo realizado (ej. Servicio menor, cambio de balatas, reparación de motor). * Kilometraje del vehículo. *Costo total del servicio. *Modo de contratación del servicio. *Proveedor del servicio. *Cotizaciones de los otros proveedores que participaron para la asignación del servicio. 6.-Gastos de Peaje (Casetas): Informe de los gastos realizados por concepto de peaje, indicando por cada gasto: *Fecha. *Vehículo (identificando por número de serie o inventario). *Monto del gasto. * Medio de pago (ej. TAG, efectivo, tarjeta corporativa). *Ruta o tramo. *Justificación para el pago de peaje.” (sic) Visto lo anterior, se remite en forma impresa, tarjetas de resguardo referente al parque vehicular de esta Coordinación de Servicios Auxiliares a Contingencias y Emergencias, misma información que es de interés público, cuya divulgación es de utilidad para que la mayoría de la población comprenda las actividades que llevan a cabo los sujetos obligados, lo anterior y en aras de una mayor y total transparencia. y de interés individual, en términos de lo previsto por la fracción XXII, del artículo 3, de la Ley de Transparencia y Acceso a la Información Pública del Estado de México y Municipios. Es de precisarse que, los sujetos obligados, tienen el deber de proporcionar la información pública que generen, administren o posean en el ejercicio de sus atribuciones, en el estado en que ésta se encuentre lo cual no comprende el procesamiento de la misma ni tampoco presentaría conforme al interés del solicitante, ni generaría, resumirla, efectuar cálculos o practicar investigaciones, ni tampoco existe la obligación de elaborar documentos “ad hoc” para la atención de solicitudes de información pública, tal como lo señala el Criterio 03/17 del Instituto Nacional de Transparencia, Acceso a la información y protección de Dato Personales, que a continuación cita: NO EXISTE OBLIGACION DE ELABORAR DOCUMENTOS AD HOC PARA ATENDER LAS SOLICITUDES DE ACCESO A LA INFORMACIÓN. Los artículos 129 de la Ley de Transparencia y acceso a la Información Pública y 130, párrafo cuarto, de la Ley Federal de Transparencia y Acceso a la información Publica, señala que los sujetos obligados deberán otorgar acceso a los documentos que se encuentren en sus archivos o que estén obligados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la necesidad de elaborar documentos “ad hoc” para atender solicitudes de información. Sin otro particular, le envío un cordial saludo. A T E N T A M E N T E MTRA. GABRIELA GARCÍA SANDOVAL DELEGADA ADMINISTRATIVA Archivo/minutario GGS/foj </w:t>
      </w:r>
      <w:r w:rsidR="00DE55DE" w:rsidRPr="003F440B">
        <w:rPr>
          <w:rFonts w:ascii="Palatino Linotype" w:hAnsi="Palatino Linotype" w:cs="Arial"/>
          <w:i/>
        </w:rPr>
        <w:t>“(Sic).</w:t>
      </w:r>
    </w:p>
    <w:p w:rsidR="00DE55DE" w:rsidRPr="003F440B" w:rsidRDefault="00DE55DE" w:rsidP="00DE55DE">
      <w:pPr>
        <w:spacing w:line="360" w:lineRule="auto"/>
        <w:ind w:right="567"/>
        <w:jc w:val="both"/>
        <w:rPr>
          <w:rFonts w:ascii="Palatino Linotype" w:hAnsi="Palatino Linotype" w:cs="Arial"/>
        </w:rPr>
      </w:pPr>
    </w:p>
    <w:p w:rsidR="00DE55DE" w:rsidRPr="003F440B" w:rsidRDefault="00DE55DE" w:rsidP="00217308">
      <w:pPr>
        <w:spacing w:line="360" w:lineRule="auto"/>
        <w:jc w:val="both"/>
        <w:rPr>
          <w:rFonts w:ascii="Palatino Linotype" w:hAnsi="Palatino Linotype" w:cs="Arial"/>
        </w:rPr>
      </w:pPr>
      <w:r w:rsidRPr="003F440B">
        <w:rPr>
          <w:rFonts w:ascii="Palatino Linotype" w:hAnsi="Palatino Linotype" w:cs="Arial"/>
        </w:rPr>
        <w:t xml:space="preserve">Adicionalmente, el </w:t>
      </w:r>
      <w:r w:rsidRPr="003F440B">
        <w:rPr>
          <w:rFonts w:ascii="Palatino Linotype" w:hAnsi="Palatino Linotype" w:cs="Arial"/>
          <w:b/>
        </w:rPr>
        <w:t>Sujeto Obligado</w:t>
      </w:r>
      <w:r w:rsidRPr="003F440B">
        <w:rPr>
          <w:rFonts w:ascii="Palatino Linotype" w:hAnsi="Palatino Linotype" w:cs="Arial"/>
        </w:rPr>
        <w:t xml:space="preserve"> adjuntó los archivos electrónicos denominados “</w:t>
      </w:r>
      <w:r w:rsidR="00217308" w:rsidRPr="003F440B">
        <w:rPr>
          <w:rFonts w:ascii="Palatino Linotype" w:hAnsi="Palatino Linotype" w:cs="Arial"/>
          <w:b/>
          <w:i/>
        </w:rPr>
        <w:t>Tarjetas.pdf”, “OFICIO 1540.pdf” y “289.pdf</w:t>
      </w:r>
      <w:r w:rsidRPr="003F440B">
        <w:rPr>
          <w:rFonts w:ascii="Palatino Linotype" w:hAnsi="Palatino Linotype" w:cs="Arial"/>
          <w:b/>
          <w:i/>
        </w:rPr>
        <w:t xml:space="preserve">”, </w:t>
      </w:r>
      <w:r w:rsidRPr="003F440B">
        <w:rPr>
          <w:rFonts w:ascii="Palatino Linotype" w:hAnsi="Palatino Linotype" w:cs="Arial"/>
        </w:rPr>
        <w:t>mismos que no se reproducen por ser del conocimiento de las partes, sin embargo, serán materia de estudio en el considerando respectivo.</w:t>
      </w:r>
    </w:p>
    <w:p w:rsidR="00DE55DE" w:rsidRPr="003F440B" w:rsidRDefault="00DE55DE" w:rsidP="00DE55DE">
      <w:pPr>
        <w:spacing w:line="360" w:lineRule="auto"/>
        <w:jc w:val="both"/>
        <w:rPr>
          <w:rFonts w:ascii="Palatino Linotype" w:hAnsi="Palatino Linotype" w:cs="Arial"/>
        </w:rPr>
      </w:pPr>
    </w:p>
    <w:p w:rsidR="00DE55DE" w:rsidRPr="003F440B" w:rsidRDefault="00217308" w:rsidP="00DE55DE">
      <w:pPr>
        <w:spacing w:before="240" w:line="360" w:lineRule="auto"/>
        <w:jc w:val="both"/>
        <w:rPr>
          <w:rFonts w:ascii="Palatino Linotype" w:hAnsi="Palatino Linotype" w:cs="Arial"/>
          <w:b/>
          <w:sz w:val="28"/>
        </w:rPr>
      </w:pPr>
      <w:r w:rsidRPr="003F440B">
        <w:rPr>
          <w:rFonts w:ascii="Palatino Linotype" w:hAnsi="Palatino Linotype" w:cs="Arial"/>
          <w:b/>
          <w:sz w:val="28"/>
        </w:rPr>
        <w:t>CUARTO</w:t>
      </w:r>
      <w:r w:rsidR="00DE55DE" w:rsidRPr="003F440B">
        <w:rPr>
          <w:rFonts w:ascii="Palatino Linotype" w:hAnsi="Palatino Linotype" w:cs="Arial"/>
          <w:b/>
          <w:sz w:val="28"/>
        </w:rPr>
        <w:t xml:space="preserve">. </w:t>
      </w:r>
      <w:r w:rsidR="00DE55DE" w:rsidRPr="003F440B">
        <w:rPr>
          <w:rFonts w:ascii="Palatino Linotype" w:hAnsi="Palatino Linotype"/>
          <w:b/>
          <w:sz w:val="28"/>
        </w:rPr>
        <w:t>Del recurso de revisión.</w:t>
      </w:r>
    </w:p>
    <w:p w:rsidR="00DE55DE" w:rsidRPr="003F440B" w:rsidRDefault="00DE55DE" w:rsidP="00DE55DE">
      <w:pPr>
        <w:spacing w:before="240" w:line="360" w:lineRule="auto"/>
        <w:jc w:val="both"/>
        <w:rPr>
          <w:rFonts w:ascii="Palatino Linotype" w:hAnsi="Palatino Linotype" w:cs="Arial"/>
        </w:rPr>
      </w:pPr>
      <w:r w:rsidRPr="003F440B">
        <w:rPr>
          <w:rFonts w:ascii="Palatino Linotype" w:hAnsi="Palatino Linotype" w:cs="Arial"/>
        </w:rPr>
        <w:t xml:space="preserve">Inconforme con la respuesta notificada por </w:t>
      </w:r>
      <w:r w:rsidRPr="003F440B">
        <w:rPr>
          <w:rFonts w:ascii="Palatino Linotype" w:hAnsi="Palatino Linotype" w:cs="Arial"/>
          <w:b/>
        </w:rPr>
        <w:t xml:space="preserve">El Sujeto Obligado, </w:t>
      </w:r>
      <w:r w:rsidRPr="003F440B">
        <w:rPr>
          <w:rFonts w:ascii="Palatino Linotype" w:hAnsi="Palatino Linotype" w:cs="Arial"/>
        </w:rPr>
        <w:t>el</w:t>
      </w:r>
      <w:r w:rsidRPr="003F440B">
        <w:rPr>
          <w:rFonts w:ascii="Palatino Linotype" w:hAnsi="Palatino Linotype" w:cs="Arial"/>
          <w:b/>
        </w:rPr>
        <w:t xml:space="preserve"> Recurrente </w:t>
      </w:r>
      <w:r w:rsidRPr="003F440B">
        <w:rPr>
          <w:rFonts w:ascii="Palatino Linotype" w:hAnsi="Palatino Linotype" w:cs="Arial"/>
        </w:rPr>
        <w:t xml:space="preserve">interpuso recurso de revisión, en fecha </w:t>
      </w:r>
      <w:r w:rsidR="00217308" w:rsidRPr="003F440B">
        <w:rPr>
          <w:rFonts w:ascii="Palatino Linotype" w:hAnsi="Palatino Linotype" w:cs="Arial"/>
          <w:b/>
        </w:rPr>
        <w:t>cuatro de  noviembre</w:t>
      </w:r>
      <w:r w:rsidRPr="003F440B">
        <w:rPr>
          <w:rFonts w:ascii="Palatino Linotype" w:hAnsi="Palatino Linotype" w:cs="Arial"/>
          <w:b/>
        </w:rPr>
        <w:t xml:space="preserve"> de dos mil veinticinco</w:t>
      </w:r>
      <w:r w:rsidRPr="003F440B">
        <w:rPr>
          <w:rFonts w:ascii="Palatino Linotype" w:hAnsi="Palatino Linotype" w:cs="Arial"/>
        </w:rPr>
        <w:t xml:space="preserve">, el cual fue registrado en el sistema electrónico con el expediente número </w:t>
      </w:r>
      <w:r w:rsidRPr="003F440B">
        <w:rPr>
          <w:rFonts w:ascii="Palatino Linotype" w:hAnsi="Palatino Linotype" w:cs="Arial"/>
          <w:b/>
        </w:rPr>
        <w:t xml:space="preserve">012765/INFOEM/IP/RR/2025; </w:t>
      </w:r>
      <w:r w:rsidRPr="003F440B">
        <w:rPr>
          <w:rFonts w:ascii="Palatino Linotype" w:hAnsi="Palatino Linotype" w:cs="Arial"/>
        </w:rPr>
        <w:t>en los cuales arguye las siguientes manifestaciones:</w:t>
      </w:r>
    </w:p>
    <w:p w:rsidR="00DE55DE" w:rsidRPr="003F440B" w:rsidRDefault="00DE55DE" w:rsidP="00DE55DE">
      <w:pPr>
        <w:pStyle w:val="Prrafodelista"/>
        <w:numPr>
          <w:ilvl w:val="0"/>
          <w:numId w:val="1"/>
        </w:numPr>
        <w:spacing w:before="240" w:line="360" w:lineRule="auto"/>
        <w:ind w:left="142" w:firstLine="0"/>
        <w:jc w:val="both"/>
        <w:rPr>
          <w:rFonts w:ascii="Palatino Linotype" w:hAnsi="Palatino Linotype" w:cs="Arial"/>
          <w:b/>
          <w:i/>
        </w:rPr>
      </w:pPr>
      <w:r w:rsidRPr="003F440B">
        <w:rPr>
          <w:rFonts w:ascii="Palatino Linotype" w:hAnsi="Palatino Linotype" w:cs="Arial"/>
          <w:b/>
          <w:i/>
        </w:rPr>
        <w:t xml:space="preserve">Acto impugnado </w:t>
      </w:r>
    </w:p>
    <w:p w:rsidR="00DE55DE" w:rsidRPr="003F440B" w:rsidRDefault="00DE55DE" w:rsidP="00DE55DE">
      <w:pPr>
        <w:pStyle w:val="INFOEM"/>
        <w:ind w:left="720"/>
      </w:pPr>
      <w:r w:rsidRPr="003F440B">
        <w:t>“</w:t>
      </w:r>
      <w:r w:rsidR="00217308" w:rsidRPr="003F440B">
        <w:t>Omisión de entrega de la información solicitada mediante la solicitud de información con folio 00289/OFICIALIA/IP/2025 dentro de los plazos establecidos por la Ley de Transparencia del Estado de México.</w:t>
      </w:r>
      <w:r w:rsidRPr="003F440B">
        <w:t>” (sic)</w:t>
      </w:r>
    </w:p>
    <w:p w:rsidR="00DE55DE" w:rsidRPr="003F440B" w:rsidRDefault="00DE55DE" w:rsidP="00DE55DE">
      <w:pPr>
        <w:pStyle w:val="Prrafodelista"/>
        <w:numPr>
          <w:ilvl w:val="0"/>
          <w:numId w:val="1"/>
        </w:numPr>
        <w:spacing w:before="240" w:line="360" w:lineRule="auto"/>
        <w:ind w:left="142" w:firstLine="0"/>
        <w:jc w:val="both"/>
        <w:rPr>
          <w:rFonts w:ascii="Palatino Linotype" w:hAnsi="Palatino Linotype" w:cs="Arial"/>
          <w:b/>
          <w:i/>
        </w:rPr>
      </w:pPr>
      <w:r w:rsidRPr="003F440B">
        <w:rPr>
          <w:rFonts w:ascii="Palatino Linotype" w:hAnsi="Palatino Linotype" w:cs="Arial"/>
          <w:b/>
          <w:i/>
        </w:rPr>
        <w:t>Razones o motivos de inconformidad</w:t>
      </w:r>
    </w:p>
    <w:p w:rsidR="00DE55DE" w:rsidRPr="003F440B" w:rsidRDefault="00DE55DE" w:rsidP="00DE55DE">
      <w:pPr>
        <w:pStyle w:val="INFOEM"/>
        <w:ind w:left="709"/>
      </w:pPr>
      <w:r w:rsidRPr="003F440B">
        <w:t>“</w:t>
      </w:r>
      <w:r w:rsidR="00217308" w:rsidRPr="003F440B">
        <w:t xml:space="preserve">INSTITUTO DE TRANSPARENCIA, ACCESO A LA INFORMACIÓN PÚBLICA Y PROTECCIÓN DE DATOS PERSONALES DEL ESTADO DE MÉXICO Y MUNICIPIOS (INFOEM) P R E S E N T E. Por derecho propio, con fundamento en los artículos 6º Constitucional, 178, 179 y 180 de la Ley de Transparencia y Acceso a la Información Pública del Estado de México y Municipios, comparezco ante este Órgano Garante a interponer RECURSO DE REVISIÓN en contra de la omisión de respuesta y falta de entrega de información por parte del Sujeto </w:t>
      </w:r>
      <w:r w:rsidR="00217308" w:rsidRPr="003F440B">
        <w:lastRenderedPageBreak/>
        <w:t xml:space="preserve">Obligado que se detalla a continuación: Sujeto Obligado Recurrido: | OFICIALÍA MAYOR DEL ESTADO DE MÉXICO | Número de Folio de la Solicitud de Acceso a la Información: | 00289/OFICIALIA/IP/2025 | Acto que se Recurre y Motivos de Inconformidad: 1.- Acto Impugnado (Causa del Recurso de Revisión, por infringir el Art. 179, Fracción VII. de la Ley de Transparencia y Acceso a la Información Pública del Estado de México y Municipios. La omisión de respuesta a la solicitud de acceso a la información. 2.-Razones o Motivos de Inconformidad: Con fecha 02 de octubre de 2025, presenté mediante la plataforma del Sistema de Acceso a la Información Mexiquense, "SAIMEX" la Solicitud de Acceso a la Información Pública con número de folio 00289/OFICIALIA/IP/2025. * El plazo legal máximo establecido en la LTAIPEMyM para que el Sujeto Obligado respondiera y entregara la información solicitada venció el día 03 de nobiembre de 2025. * A la fecha de interposición del presente Recurso de Revisión, el Sujeto Obligado OFICIALÍA MAYOR DEL ESTADO DE MÉXICO ha sido omiso en dar respuesta a la Solicitud de Acceso a la Información Pública 00289/OFICIALIA/IP/2025 y, consecuentemente, no ha entregado la información requerida. * Esta omisión constituye una violación a mi derecho fundamental de acceso a la información pública, por lo que solicito a este H. Instituto que admita a trámite el presente Recurso de Revisión y, una vez agotado el procedimiento, ordene al Sujeto Obligado la entrega inmediata de la información requerida en la Solicitud 00289/OFICIALIA/IP/2025. Por lo anteriormente expuesto y fundado, a este H. Instituto de Transparencia, Acceso a la Información Pública y Protección de Datos Personales del Estado de México y Municipios, atentamente solicito: PRIMERO: Tenerme por presentado en tiempo y forma el presente Recurso de Revisión en contra de la omisión de respuesta de la Oficialía Mayor del Estado de México. SEGUNDO: Admitir a trámite el recurso con el número de folio de solicitud 00289/OFICIALIA/IP/2025. TERCERO: Requerir al Sujeto Obligado rinda su </w:t>
      </w:r>
      <w:r w:rsidR="00217308" w:rsidRPr="003F440B">
        <w:lastRenderedPageBreak/>
        <w:t>informe justificado y, en su momento, dicte la resolución correspondiente para ordenar la entrega de la información requerida en la solicitud original.</w:t>
      </w:r>
      <w:r w:rsidRPr="003F440B">
        <w:t>” (Sic)</w:t>
      </w:r>
    </w:p>
    <w:p w:rsidR="00DE55DE" w:rsidRPr="003F440B" w:rsidRDefault="00DE55DE" w:rsidP="00DE55DE">
      <w:pPr>
        <w:spacing w:before="240" w:line="360" w:lineRule="auto"/>
        <w:jc w:val="both"/>
        <w:rPr>
          <w:rFonts w:ascii="Palatino Linotype" w:hAnsi="Palatino Linotype" w:cs="Arial"/>
        </w:rPr>
      </w:pPr>
    </w:p>
    <w:p w:rsidR="00DE55DE" w:rsidRPr="003F440B" w:rsidRDefault="00217308" w:rsidP="00DE55DE">
      <w:pPr>
        <w:spacing w:before="240" w:line="360" w:lineRule="auto"/>
        <w:jc w:val="both"/>
        <w:rPr>
          <w:rFonts w:ascii="Palatino Linotype" w:hAnsi="Palatino Linotype" w:cs="Arial"/>
          <w:b/>
        </w:rPr>
      </w:pPr>
      <w:r w:rsidRPr="003F440B">
        <w:rPr>
          <w:rFonts w:ascii="Palatino Linotype" w:hAnsi="Palatino Linotype" w:cs="Arial"/>
          <w:b/>
          <w:sz w:val="28"/>
        </w:rPr>
        <w:t>QUINTO</w:t>
      </w:r>
      <w:r w:rsidR="00DE55DE" w:rsidRPr="003F440B">
        <w:rPr>
          <w:rFonts w:ascii="Palatino Linotype" w:hAnsi="Palatino Linotype" w:cs="Arial"/>
          <w:b/>
          <w:sz w:val="28"/>
        </w:rPr>
        <w:t xml:space="preserve">. </w:t>
      </w:r>
      <w:r w:rsidR="00DE55DE" w:rsidRPr="003F440B">
        <w:rPr>
          <w:rFonts w:ascii="Palatino Linotype" w:hAnsi="Palatino Linotype" w:cs="Arial"/>
          <w:b/>
          <w:sz w:val="28"/>
          <w:szCs w:val="28"/>
        </w:rPr>
        <w:t>Del turno y admisión del recurso de revisión.</w:t>
      </w:r>
    </w:p>
    <w:p w:rsidR="00DE55DE" w:rsidRPr="003F440B" w:rsidRDefault="00DE55DE" w:rsidP="00DE55DE">
      <w:pPr>
        <w:spacing w:before="240" w:line="360" w:lineRule="auto"/>
        <w:jc w:val="both"/>
        <w:rPr>
          <w:rFonts w:ascii="Palatino Linotype" w:hAnsi="Palatino Linotype" w:cs="Arial"/>
          <w:sz w:val="28"/>
        </w:rPr>
      </w:pPr>
      <w:r w:rsidRPr="003F440B">
        <w:rPr>
          <w:rFonts w:ascii="Palatino Linotype" w:hAnsi="Palatino Linotype"/>
        </w:rPr>
        <w:t xml:space="preserve">El medio de impugnación fue turnado al Comisionado Presidente </w:t>
      </w:r>
      <w:r w:rsidRPr="003F440B">
        <w:rPr>
          <w:rFonts w:ascii="Palatino Linotype" w:hAnsi="Palatino Linotype"/>
          <w:b/>
        </w:rPr>
        <w:t>José Martínez Vilchis,</w:t>
      </w:r>
      <w:r w:rsidRPr="003F440B">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3F440B">
        <w:rPr>
          <w:rFonts w:ascii="Palatino Linotype" w:hAnsi="Palatino Linotype"/>
          <w:b/>
        </w:rPr>
        <w:t>admisión</w:t>
      </w:r>
      <w:r w:rsidRPr="003F440B">
        <w:rPr>
          <w:rFonts w:ascii="Palatino Linotype" w:hAnsi="Palatino Linotype"/>
        </w:rPr>
        <w:t xml:space="preserve"> en fecha </w:t>
      </w:r>
      <w:r w:rsidR="00C427EA" w:rsidRPr="003F440B">
        <w:rPr>
          <w:rFonts w:ascii="Palatino Linotype" w:hAnsi="Palatino Linotype"/>
          <w:b/>
        </w:rPr>
        <w:t xml:space="preserve">seis de noviembre </w:t>
      </w:r>
      <w:r w:rsidRPr="003F440B">
        <w:rPr>
          <w:rFonts w:ascii="Palatino Linotype" w:hAnsi="Palatino Linotype"/>
          <w:b/>
        </w:rPr>
        <w:t>de dos mil veinticinco</w:t>
      </w:r>
      <w:r w:rsidRPr="003F440B">
        <w:rPr>
          <w:rFonts w:ascii="Palatino Linotype" w:hAnsi="Palatino Linotype"/>
        </w:rPr>
        <w:t>, determinándose en ellos, un plazo de siete días para que las partes manifestaran lo que a su derecho corresponda en términos del numeral ya citado.</w:t>
      </w:r>
    </w:p>
    <w:p w:rsidR="00DE55DE" w:rsidRPr="003F440B" w:rsidRDefault="00DE55DE" w:rsidP="00DE55DE">
      <w:pPr>
        <w:spacing w:line="360" w:lineRule="auto"/>
        <w:jc w:val="both"/>
        <w:rPr>
          <w:rFonts w:ascii="Palatino Linotype" w:hAnsi="Palatino Linotype" w:cs="Arial"/>
        </w:rPr>
      </w:pPr>
    </w:p>
    <w:p w:rsidR="00DE55DE" w:rsidRPr="003F440B" w:rsidRDefault="00217308" w:rsidP="00DE55DE">
      <w:pPr>
        <w:pStyle w:val="Prrafodelista"/>
        <w:spacing w:line="360" w:lineRule="auto"/>
        <w:ind w:left="0"/>
        <w:jc w:val="both"/>
        <w:rPr>
          <w:rFonts w:ascii="Palatino Linotype" w:hAnsi="Palatino Linotype" w:cs="Arial"/>
          <w:b/>
          <w:sz w:val="28"/>
          <w:szCs w:val="28"/>
        </w:rPr>
      </w:pPr>
      <w:r w:rsidRPr="003F440B">
        <w:rPr>
          <w:rFonts w:ascii="Palatino Linotype" w:eastAsia="Calibri" w:hAnsi="Palatino Linotype" w:cs="Arial"/>
          <w:b/>
          <w:sz w:val="28"/>
          <w:szCs w:val="28"/>
          <w:lang w:val="es-MX" w:eastAsia="en-US"/>
        </w:rPr>
        <w:t>SEXTO</w:t>
      </w:r>
      <w:r w:rsidR="00DE55DE" w:rsidRPr="003F440B">
        <w:rPr>
          <w:rFonts w:ascii="Palatino Linotype" w:hAnsi="Palatino Linotype" w:cs="Arial"/>
          <w:b/>
          <w:sz w:val="28"/>
          <w:szCs w:val="28"/>
        </w:rPr>
        <w:t>.</w:t>
      </w:r>
      <w:r w:rsidR="00DE55DE" w:rsidRPr="003F440B">
        <w:rPr>
          <w:rFonts w:ascii="Palatino Linotype" w:hAnsi="Palatino Linotype" w:cs="Arial"/>
          <w:b/>
          <w:sz w:val="28"/>
        </w:rPr>
        <w:t xml:space="preserve"> </w:t>
      </w:r>
      <w:r w:rsidR="00DE55DE" w:rsidRPr="003F440B">
        <w:rPr>
          <w:rFonts w:ascii="Palatino Linotype" w:hAnsi="Palatino Linotype" w:cs="Arial"/>
          <w:b/>
          <w:sz w:val="28"/>
          <w:szCs w:val="28"/>
        </w:rPr>
        <w:t>De la etapa de instrucción.</w:t>
      </w:r>
    </w:p>
    <w:p w:rsidR="00DE55DE" w:rsidRPr="003F440B" w:rsidRDefault="00DE55DE" w:rsidP="00DE55DE">
      <w:pPr>
        <w:spacing w:line="360" w:lineRule="auto"/>
        <w:jc w:val="both"/>
        <w:rPr>
          <w:rFonts w:ascii="Palatino Linotype" w:hAnsi="Palatino Linotype"/>
        </w:rPr>
      </w:pPr>
      <w:r w:rsidRPr="003F440B">
        <w:rPr>
          <w:rFonts w:ascii="Palatino Linotype" w:hAnsi="Palatino Linotype" w:cs="Arial"/>
        </w:rPr>
        <w:t xml:space="preserve">De las constancias que obran en el expediente electrónico del SAIMEX, se advierte que el </w:t>
      </w:r>
      <w:r w:rsidRPr="003F440B">
        <w:rPr>
          <w:rFonts w:ascii="Palatino Linotype" w:hAnsi="Palatino Linotype" w:cs="Arial"/>
          <w:b/>
        </w:rPr>
        <w:t>Sujeto Obligado</w:t>
      </w:r>
      <w:r w:rsidRPr="003F440B">
        <w:rPr>
          <w:rFonts w:ascii="Palatino Linotype" w:hAnsi="Palatino Linotype" w:cs="Arial"/>
        </w:rPr>
        <w:t xml:space="preserve"> rindió su informe justificado en fecha </w:t>
      </w:r>
      <w:r w:rsidR="00905287" w:rsidRPr="003F440B">
        <w:rPr>
          <w:rFonts w:ascii="Palatino Linotype" w:hAnsi="Palatino Linotype" w:cs="Arial"/>
        </w:rPr>
        <w:t>dieciocho de noviembre de dos mil veinticinco</w:t>
      </w:r>
      <w:r w:rsidRPr="003F440B">
        <w:rPr>
          <w:rFonts w:ascii="Palatino Linotype" w:hAnsi="Palatino Linotype" w:cs="Arial"/>
        </w:rPr>
        <w:t xml:space="preserve">, por medio del archivo electrónico </w:t>
      </w:r>
      <w:r w:rsidRPr="003F440B">
        <w:rPr>
          <w:rFonts w:ascii="Palatino Linotype" w:hAnsi="Palatino Linotype" w:cs="Arial"/>
          <w:b/>
          <w:i/>
        </w:rPr>
        <w:t>“</w:t>
      </w:r>
      <w:r w:rsidR="00905287" w:rsidRPr="003F440B">
        <w:rPr>
          <w:rFonts w:ascii="Palatino Linotype" w:hAnsi="Palatino Linotype" w:cs="Arial"/>
          <w:b/>
          <w:i/>
        </w:rPr>
        <w:t>IJ 289.pdf</w:t>
      </w:r>
      <w:r w:rsidRPr="003F440B">
        <w:rPr>
          <w:rFonts w:ascii="Palatino Linotype" w:hAnsi="Palatino Linotype"/>
          <w:b/>
          <w:i/>
        </w:rPr>
        <w:t>”</w:t>
      </w:r>
      <w:r w:rsidRPr="003F440B">
        <w:rPr>
          <w:rFonts w:ascii="Palatino Linotype" w:hAnsi="Palatino Linotype" w:cs="Arial"/>
        </w:rPr>
        <w:t>, mismo que fue puesto a la vista del Recurrente.</w:t>
      </w:r>
    </w:p>
    <w:p w:rsidR="00DE55DE" w:rsidRPr="003F440B" w:rsidRDefault="00DE55DE" w:rsidP="00DE55DE">
      <w:pPr>
        <w:spacing w:line="360" w:lineRule="auto"/>
        <w:jc w:val="both"/>
        <w:rPr>
          <w:rFonts w:ascii="Palatino Linotype" w:hAnsi="Palatino Linotype"/>
        </w:rPr>
      </w:pPr>
    </w:p>
    <w:p w:rsidR="00DE55DE" w:rsidRPr="003F440B" w:rsidRDefault="00DE55DE" w:rsidP="00DE55DE">
      <w:pPr>
        <w:spacing w:line="360" w:lineRule="auto"/>
        <w:jc w:val="both"/>
        <w:rPr>
          <w:rFonts w:ascii="Palatino Linotype" w:hAnsi="Palatino Linotype" w:cs="Arial"/>
        </w:rPr>
      </w:pPr>
      <w:r w:rsidRPr="003F440B">
        <w:rPr>
          <w:rFonts w:ascii="Palatino Linotype" w:hAnsi="Palatino Linotype" w:cs="Arial"/>
        </w:rPr>
        <w:t xml:space="preserve">Así mismo, se aprecia que no se llevaron a cabo audiencias durante la sustanciación del recurso de revisión, ni se ofrecieron pruebas por parte del </w:t>
      </w:r>
      <w:r w:rsidRPr="003F440B">
        <w:rPr>
          <w:rFonts w:ascii="Palatino Linotype" w:hAnsi="Palatino Linotype" w:cs="Arial"/>
          <w:b/>
        </w:rPr>
        <w:t>Recurrente</w:t>
      </w:r>
      <w:r w:rsidRPr="003F440B">
        <w:rPr>
          <w:rFonts w:ascii="Palatino Linotype" w:hAnsi="Palatino Linotype" w:cs="Arial"/>
        </w:rPr>
        <w:t>; todo lo anterior en términos de los artículos 185 fracciones II y IV, y 195 de la Ley de Transparencia y Acceso a la Información Pública del Estado de México y Municipios.</w:t>
      </w:r>
    </w:p>
    <w:p w:rsidR="00DE55DE" w:rsidRPr="003F440B" w:rsidRDefault="00DE55DE" w:rsidP="00DE55DE">
      <w:pPr>
        <w:spacing w:line="360" w:lineRule="auto"/>
        <w:jc w:val="both"/>
        <w:rPr>
          <w:rFonts w:ascii="Palatino Linotype" w:hAnsi="Palatino Linotype" w:cs="Arial"/>
        </w:rPr>
      </w:pPr>
    </w:p>
    <w:p w:rsidR="00DE55DE" w:rsidRPr="003F440B" w:rsidRDefault="00905287" w:rsidP="00DE55DE">
      <w:pPr>
        <w:spacing w:line="360" w:lineRule="auto"/>
        <w:jc w:val="both"/>
        <w:rPr>
          <w:rFonts w:ascii="Palatino Linotype" w:eastAsia="Calibri" w:hAnsi="Palatino Linotype" w:cs="Arial"/>
          <w:b/>
          <w:sz w:val="28"/>
          <w:lang w:val="es-ES_tradnl"/>
        </w:rPr>
      </w:pPr>
      <w:r w:rsidRPr="003F440B">
        <w:rPr>
          <w:rFonts w:ascii="Palatino Linotype" w:hAnsi="Palatino Linotype" w:cs="Arial"/>
          <w:b/>
          <w:sz w:val="28"/>
          <w:szCs w:val="28"/>
        </w:rPr>
        <w:lastRenderedPageBreak/>
        <w:t>SÉPTIMO</w:t>
      </w:r>
      <w:r w:rsidR="00DE55DE" w:rsidRPr="003F440B">
        <w:rPr>
          <w:rFonts w:ascii="Palatino Linotype" w:eastAsia="Calibri" w:hAnsi="Palatino Linotype" w:cs="Arial"/>
          <w:b/>
          <w:sz w:val="28"/>
          <w:szCs w:val="28"/>
          <w:lang w:val="es-MX" w:eastAsia="en-US"/>
        </w:rPr>
        <w:t xml:space="preserve">. </w:t>
      </w:r>
      <w:r w:rsidR="00DE55DE" w:rsidRPr="003F440B">
        <w:rPr>
          <w:rFonts w:ascii="Palatino Linotype" w:eastAsia="Calibri" w:hAnsi="Palatino Linotype" w:cs="Arial"/>
          <w:b/>
          <w:sz w:val="28"/>
          <w:lang w:val="es-ES_tradnl"/>
        </w:rPr>
        <w:t>De la ampliación del término para resolver.</w:t>
      </w:r>
    </w:p>
    <w:p w:rsidR="00DE55DE" w:rsidRPr="003F440B" w:rsidRDefault="00DE55DE" w:rsidP="00DE55DE">
      <w:pPr>
        <w:spacing w:line="360" w:lineRule="auto"/>
        <w:jc w:val="both"/>
        <w:rPr>
          <w:rFonts w:ascii="Palatino Linotype" w:hAnsi="Palatino Linotype" w:cs="Arial"/>
        </w:rPr>
      </w:pPr>
      <w:r w:rsidRPr="003F440B">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D346F0" w:rsidRPr="003F440B">
        <w:rPr>
          <w:rFonts w:ascii="Palatino Linotype" w:hAnsi="Palatino Linotype" w:cs="Arial"/>
          <w:b/>
        </w:rPr>
        <w:t>veintidós</w:t>
      </w:r>
      <w:r w:rsidRPr="003F440B">
        <w:rPr>
          <w:rFonts w:ascii="Palatino Linotype" w:hAnsi="Palatino Linotype" w:cs="Arial"/>
          <w:b/>
        </w:rPr>
        <w:t xml:space="preserve"> de mayo de dos mil veintiséis</w:t>
      </w:r>
      <w:r w:rsidRPr="003F440B">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DE55DE" w:rsidRPr="003F440B" w:rsidRDefault="00DE55DE" w:rsidP="00DE55DE">
      <w:pPr>
        <w:spacing w:line="360" w:lineRule="auto"/>
        <w:jc w:val="both"/>
        <w:rPr>
          <w:rFonts w:ascii="Palatino Linotype" w:hAnsi="Palatino Linotype" w:cs="Arial"/>
        </w:rPr>
      </w:pPr>
    </w:p>
    <w:p w:rsidR="00DE55DE" w:rsidRPr="003F440B" w:rsidRDefault="00905287" w:rsidP="00DE55DE">
      <w:pPr>
        <w:spacing w:line="360" w:lineRule="auto"/>
        <w:jc w:val="both"/>
        <w:rPr>
          <w:rFonts w:ascii="Palatino Linotype" w:hAnsi="Palatino Linotype" w:cs="Arial"/>
          <w:b/>
          <w:sz w:val="28"/>
          <w:szCs w:val="28"/>
        </w:rPr>
      </w:pPr>
      <w:r w:rsidRPr="003F440B">
        <w:rPr>
          <w:rFonts w:ascii="Palatino Linotype" w:hAnsi="Palatino Linotype" w:cs="Arial"/>
          <w:b/>
          <w:sz w:val="28"/>
          <w:szCs w:val="28"/>
        </w:rPr>
        <w:t>OCTAVO</w:t>
      </w:r>
      <w:r w:rsidR="00DE55DE" w:rsidRPr="003F440B">
        <w:rPr>
          <w:rFonts w:ascii="Palatino Linotype" w:hAnsi="Palatino Linotype" w:cs="Arial"/>
          <w:b/>
          <w:sz w:val="28"/>
          <w:szCs w:val="28"/>
        </w:rPr>
        <w:t>.  Del Cierre de Instrucción.</w:t>
      </w:r>
    </w:p>
    <w:p w:rsidR="00DE55DE" w:rsidRPr="003F440B" w:rsidRDefault="00DE55DE" w:rsidP="00DE55DE">
      <w:pPr>
        <w:spacing w:line="360" w:lineRule="auto"/>
        <w:jc w:val="both"/>
        <w:rPr>
          <w:rFonts w:ascii="Palatino Linotype" w:hAnsi="Palatino Linotype" w:cs="Arial"/>
        </w:rPr>
      </w:pPr>
      <w:r w:rsidRPr="003F440B">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479CF" w:rsidRPr="003F440B">
        <w:rPr>
          <w:rFonts w:ascii="Palatino Linotype" w:hAnsi="Palatino Linotype" w:cs="Arial"/>
          <w:b/>
        </w:rPr>
        <w:t>tres de junio</w:t>
      </w:r>
      <w:r w:rsidRPr="003F440B">
        <w:rPr>
          <w:rFonts w:ascii="Palatino Linotype" w:hAnsi="Palatino Linotype" w:cs="Arial"/>
          <w:b/>
        </w:rPr>
        <w:t xml:space="preserve"> de dos mil veintiséis</w:t>
      </w:r>
      <w:r w:rsidRPr="003F440B">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DE55DE" w:rsidRPr="003F440B" w:rsidRDefault="00DE55DE" w:rsidP="00DE55DE">
      <w:pPr>
        <w:spacing w:line="360" w:lineRule="auto"/>
        <w:jc w:val="both"/>
        <w:rPr>
          <w:rFonts w:ascii="Palatino Linotype" w:hAnsi="Palatino Linotype" w:cs="Arial"/>
          <w:b/>
          <w:sz w:val="28"/>
          <w:szCs w:val="28"/>
        </w:rPr>
      </w:pPr>
    </w:p>
    <w:p w:rsidR="00DE55DE" w:rsidRPr="003F440B" w:rsidRDefault="00DE55DE" w:rsidP="00DE55DE">
      <w:pPr>
        <w:spacing w:line="360" w:lineRule="auto"/>
        <w:jc w:val="center"/>
        <w:rPr>
          <w:rFonts w:ascii="Palatino Linotype" w:hAnsi="Palatino Linotype"/>
          <w:b/>
          <w:bCs/>
          <w:spacing w:val="60"/>
          <w:sz w:val="28"/>
          <w:lang w:val="es-ES_tradnl"/>
        </w:rPr>
      </w:pPr>
      <w:r w:rsidRPr="003F440B">
        <w:rPr>
          <w:rFonts w:ascii="Palatino Linotype" w:hAnsi="Palatino Linotype"/>
          <w:b/>
          <w:bCs/>
          <w:spacing w:val="60"/>
          <w:sz w:val="28"/>
          <w:lang w:val="es-ES_tradnl"/>
        </w:rPr>
        <w:t>CONSIDERANDO</w:t>
      </w:r>
    </w:p>
    <w:p w:rsidR="00DE55DE" w:rsidRPr="003F440B" w:rsidRDefault="00DE55DE" w:rsidP="00DE55DE">
      <w:pPr>
        <w:spacing w:line="360" w:lineRule="auto"/>
        <w:ind w:right="49"/>
        <w:jc w:val="both"/>
        <w:rPr>
          <w:rFonts w:ascii="Palatino Linotype" w:hAnsi="Palatino Linotype"/>
          <w:szCs w:val="28"/>
        </w:rPr>
      </w:pPr>
    </w:p>
    <w:p w:rsidR="00DE55DE" w:rsidRPr="003F440B" w:rsidRDefault="00DE55DE" w:rsidP="00DE55DE">
      <w:pPr>
        <w:spacing w:before="240" w:line="360" w:lineRule="auto"/>
        <w:jc w:val="both"/>
        <w:rPr>
          <w:rFonts w:ascii="Palatino Linotype" w:hAnsi="Palatino Linotype" w:cs="Arial"/>
          <w:sz w:val="28"/>
          <w:szCs w:val="28"/>
        </w:rPr>
      </w:pPr>
      <w:r w:rsidRPr="003F440B">
        <w:rPr>
          <w:rFonts w:ascii="Palatino Linotype" w:hAnsi="Palatino Linotype" w:cs="Arial"/>
          <w:b/>
          <w:sz w:val="28"/>
        </w:rPr>
        <w:t>PRIMERO.</w:t>
      </w:r>
      <w:r w:rsidRPr="003F440B">
        <w:rPr>
          <w:rFonts w:ascii="Palatino Linotype" w:hAnsi="Palatino Linotype" w:cs="Arial"/>
          <w:b/>
        </w:rPr>
        <w:t xml:space="preserve"> </w:t>
      </w:r>
      <w:r w:rsidRPr="003F440B">
        <w:rPr>
          <w:rFonts w:ascii="Palatino Linotype" w:hAnsi="Palatino Linotype" w:cs="Arial"/>
          <w:b/>
          <w:sz w:val="28"/>
          <w:szCs w:val="28"/>
        </w:rPr>
        <w:t>De la competencia</w:t>
      </w:r>
      <w:r w:rsidRPr="003F440B">
        <w:rPr>
          <w:rFonts w:ascii="Palatino Linotype" w:hAnsi="Palatino Linotype" w:cs="Arial"/>
          <w:sz w:val="28"/>
          <w:szCs w:val="28"/>
        </w:rPr>
        <w:t>.</w:t>
      </w:r>
    </w:p>
    <w:p w:rsidR="00DE55DE" w:rsidRPr="003F440B" w:rsidRDefault="00DE55DE" w:rsidP="00DE55DE">
      <w:pPr>
        <w:tabs>
          <w:tab w:val="left" w:pos="3402"/>
        </w:tabs>
        <w:spacing w:line="360" w:lineRule="auto"/>
        <w:jc w:val="both"/>
        <w:rPr>
          <w:rFonts w:ascii="Palatino Linotype" w:hAnsi="Palatino Linotype"/>
        </w:rPr>
      </w:pPr>
      <w:r w:rsidRPr="003F440B">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3F440B">
        <w:rPr>
          <w:rFonts w:ascii="Palatino Linotype" w:hAnsi="Palatino Linotype"/>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DE55DE" w:rsidRPr="003F440B" w:rsidRDefault="00DE55DE" w:rsidP="00DE55DE">
      <w:pPr>
        <w:tabs>
          <w:tab w:val="left" w:pos="3402"/>
        </w:tabs>
        <w:spacing w:line="360" w:lineRule="auto"/>
        <w:jc w:val="both"/>
        <w:rPr>
          <w:rFonts w:ascii="Palatino Linotype" w:hAnsi="Palatino Linotype"/>
        </w:rPr>
      </w:pPr>
    </w:p>
    <w:p w:rsidR="00DE55DE" w:rsidRPr="003F440B" w:rsidRDefault="00DE55DE" w:rsidP="00DE55DE">
      <w:pPr>
        <w:pStyle w:val="Prrafodelista"/>
        <w:autoSpaceDE w:val="0"/>
        <w:autoSpaceDN w:val="0"/>
        <w:adjustRightInd w:val="0"/>
        <w:spacing w:before="240" w:after="160" w:line="360" w:lineRule="auto"/>
        <w:ind w:left="0"/>
        <w:jc w:val="both"/>
        <w:rPr>
          <w:rFonts w:ascii="Palatino Linotype" w:hAnsi="Palatino Linotype" w:cs="Arial"/>
          <w:b/>
        </w:rPr>
      </w:pPr>
      <w:r w:rsidRPr="003F440B">
        <w:rPr>
          <w:rFonts w:ascii="Palatino Linotype" w:hAnsi="Palatino Linotype" w:cs="Arial"/>
          <w:b/>
          <w:sz w:val="28"/>
        </w:rPr>
        <w:t>SEGUNDO</w:t>
      </w:r>
      <w:r w:rsidRPr="003F440B">
        <w:rPr>
          <w:rFonts w:ascii="Palatino Linotype" w:hAnsi="Palatino Linotype" w:cs="Arial"/>
          <w:b/>
        </w:rPr>
        <w:t xml:space="preserve">. </w:t>
      </w:r>
      <w:r w:rsidRPr="003F440B">
        <w:rPr>
          <w:rFonts w:ascii="Palatino Linotype" w:hAnsi="Palatino Linotype" w:cs="Arial"/>
          <w:b/>
          <w:sz w:val="28"/>
          <w:szCs w:val="28"/>
        </w:rPr>
        <w:t>Sobre los alcances del recurso de revisión.</w:t>
      </w:r>
      <w:r w:rsidRPr="003F440B">
        <w:rPr>
          <w:rFonts w:ascii="Palatino Linotype" w:hAnsi="Palatino Linotype" w:cs="Arial"/>
          <w:b/>
        </w:rPr>
        <w:t xml:space="preserve"> </w:t>
      </w:r>
    </w:p>
    <w:p w:rsidR="00DE55DE" w:rsidRPr="003F440B" w:rsidRDefault="00DE55DE" w:rsidP="00DE55DE">
      <w:pPr>
        <w:pStyle w:val="Prrafodelista"/>
        <w:autoSpaceDE w:val="0"/>
        <w:autoSpaceDN w:val="0"/>
        <w:adjustRightInd w:val="0"/>
        <w:spacing w:before="240" w:after="160" w:line="360" w:lineRule="auto"/>
        <w:ind w:left="0"/>
        <w:jc w:val="both"/>
        <w:rPr>
          <w:rFonts w:ascii="Palatino Linotype" w:hAnsi="Palatino Linotype" w:cs="Arial"/>
        </w:rPr>
      </w:pPr>
      <w:r w:rsidRPr="003F440B">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DE55DE" w:rsidRPr="003F440B" w:rsidRDefault="00DE55DE" w:rsidP="00DE55DE">
      <w:pPr>
        <w:pStyle w:val="Prrafodelista"/>
        <w:autoSpaceDE w:val="0"/>
        <w:autoSpaceDN w:val="0"/>
        <w:adjustRightInd w:val="0"/>
        <w:spacing w:before="240" w:after="160" w:line="360" w:lineRule="auto"/>
        <w:ind w:left="0"/>
        <w:jc w:val="both"/>
        <w:rPr>
          <w:rFonts w:ascii="Palatino Linotype" w:hAnsi="Palatino Linotype" w:cs="Arial"/>
        </w:rPr>
      </w:pPr>
    </w:p>
    <w:p w:rsidR="00A93400" w:rsidRPr="003F440B" w:rsidRDefault="00DE55DE" w:rsidP="00A93400">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3F440B">
        <w:rPr>
          <w:rFonts w:ascii="Palatino Linotype" w:hAnsi="Palatino Linotype" w:cs="Arial"/>
          <w:b/>
          <w:sz w:val="28"/>
        </w:rPr>
        <w:t>TERCERO</w:t>
      </w:r>
      <w:r w:rsidR="00A93400" w:rsidRPr="003F440B">
        <w:rPr>
          <w:rFonts w:ascii="Palatino Linotype" w:hAnsi="Palatino Linotype" w:cs="Arial"/>
          <w:b/>
          <w:sz w:val="28"/>
          <w:szCs w:val="28"/>
        </w:rPr>
        <w:t xml:space="preserve"> Del estudio de las causas de improcedencia y sobreseimiento</w:t>
      </w: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r w:rsidRPr="003F440B">
        <w:rPr>
          <w:rFonts w:ascii="Palatino Linotype" w:hAnsi="Palatino Linotype" w:cs="Arial"/>
        </w:rPr>
        <w:t xml:space="preserve">Es menester resaltar que en el procedimiento de acceso a la información pública y de los medios de impugnación de la materia, se advierten diversos supuestos de procedibilidad que deben estudiarse con la finalidad de dar cumplimiento a los </w:t>
      </w:r>
      <w:r w:rsidRPr="003F440B">
        <w:rPr>
          <w:rFonts w:ascii="Palatino Linotype" w:hAnsi="Palatino Linotype" w:cs="Arial"/>
        </w:rPr>
        <w:lastRenderedPageBreak/>
        <w:t>principios de legalidad y objetividad inmersos en el artículo 9, de Ley de Transparencia y Acceso a la Información Pública del Estado de México y Municipios, en correlación con la seguridad jurídica que debe generar lo actuado ante este Organismo garante.</w:t>
      </w: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r w:rsidRPr="003F440B">
        <w:rPr>
          <w:rFonts w:ascii="Palatino Linotype" w:hAnsi="Palatino Linotype" w:cs="Aria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r w:rsidRPr="003F440B">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3F440B">
        <w:rPr>
          <w:rStyle w:val="Refdenotaalpie"/>
          <w:rFonts w:ascii="Palatino Linotype" w:eastAsiaTheme="minorEastAsia" w:hAnsi="Palatino Linotype" w:cs="Arial"/>
        </w:rPr>
        <w:footnoteReference w:id="1"/>
      </w:r>
      <w:r w:rsidRPr="003F440B">
        <w:rPr>
          <w:rFonts w:ascii="Palatino Linotype" w:hAnsi="Palatino Linotype" w:cs="Arial"/>
        </w:rPr>
        <w:t>.</w:t>
      </w:r>
    </w:p>
    <w:p w:rsidR="00A93400" w:rsidRPr="003F440B" w:rsidRDefault="00A93400" w:rsidP="00A93400">
      <w:pPr>
        <w:autoSpaceDE w:val="0"/>
        <w:autoSpaceDN w:val="0"/>
        <w:adjustRightInd w:val="0"/>
        <w:spacing w:line="360" w:lineRule="auto"/>
        <w:jc w:val="both"/>
        <w:rPr>
          <w:rFonts w:ascii="Palatino Linotype" w:hAnsi="Palatino Linotype" w:cs="Arial"/>
        </w:rPr>
      </w:pPr>
      <w:r w:rsidRPr="003F440B">
        <w:rPr>
          <w:rFonts w:ascii="Palatino Linotype" w:hAnsi="Palatino Linotype" w:cs="Arial"/>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w:t>
      </w:r>
      <w:r w:rsidRPr="003F440B">
        <w:rPr>
          <w:rFonts w:ascii="Palatino Linotype" w:hAnsi="Palatino Linotype" w:cs="Arial"/>
        </w:rPr>
        <w:lastRenderedPageBreak/>
        <w:t>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p>
    <w:p w:rsidR="00A93400" w:rsidRPr="003F440B" w:rsidRDefault="00A93400" w:rsidP="00A93400">
      <w:pPr>
        <w:pStyle w:val="Prrafodelista"/>
        <w:autoSpaceDE w:val="0"/>
        <w:autoSpaceDN w:val="0"/>
        <w:adjustRightInd w:val="0"/>
        <w:spacing w:line="360" w:lineRule="auto"/>
        <w:ind w:left="0"/>
        <w:jc w:val="both"/>
        <w:rPr>
          <w:rFonts w:ascii="Palatino Linotype" w:hAnsi="Palatino Linotype" w:cs="Arial"/>
        </w:rPr>
      </w:pPr>
      <w:r w:rsidRPr="003F440B">
        <w:rPr>
          <w:rFonts w:ascii="Palatino Linotype" w:hAnsi="Palatino Linotype" w:cs="Arial"/>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rsidR="00A93400" w:rsidRPr="003F440B" w:rsidRDefault="00A93400" w:rsidP="00A93400">
      <w:pPr>
        <w:pStyle w:val="Prrafodelista"/>
        <w:autoSpaceDE w:val="0"/>
        <w:autoSpaceDN w:val="0"/>
        <w:adjustRightInd w:val="0"/>
        <w:spacing w:before="240" w:after="160" w:line="360" w:lineRule="auto"/>
        <w:ind w:left="0"/>
        <w:jc w:val="both"/>
        <w:rPr>
          <w:rFonts w:ascii="Palatino Linotype" w:hAnsi="Palatino Linotype" w:cs="Arial"/>
        </w:rPr>
      </w:pPr>
      <w:r w:rsidRPr="003F440B">
        <w:rPr>
          <w:rFonts w:ascii="Palatino Linotype" w:hAnsi="Palatino Linotype" w:cs="Arial"/>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93400" w:rsidRPr="003F440B" w:rsidRDefault="00A93400" w:rsidP="00A93400">
      <w:pPr>
        <w:tabs>
          <w:tab w:val="left" w:pos="709"/>
        </w:tabs>
        <w:spacing w:line="360" w:lineRule="auto"/>
        <w:jc w:val="both"/>
        <w:rPr>
          <w:rFonts w:ascii="Palatino Linotype" w:hAnsi="Palatino Linotype" w:cs="Arial"/>
        </w:rPr>
      </w:pPr>
    </w:p>
    <w:p w:rsidR="00A93400" w:rsidRPr="003F440B" w:rsidRDefault="00A93400" w:rsidP="00A93400">
      <w:pPr>
        <w:tabs>
          <w:tab w:val="left" w:pos="709"/>
        </w:tabs>
        <w:spacing w:line="360" w:lineRule="auto"/>
        <w:jc w:val="both"/>
        <w:rPr>
          <w:rFonts w:ascii="Palatino Linotype" w:hAnsi="Palatino Linotype" w:cs="Arial"/>
        </w:rPr>
      </w:pPr>
      <w:r w:rsidRPr="003F440B">
        <w:rPr>
          <w:rFonts w:ascii="Palatino Linotype" w:hAnsi="Palatino Linotype" w:cs="Arial"/>
        </w:rPr>
        <w:lastRenderedPageBreak/>
        <w:t xml:space="preserve">La Ley de Transparencia de la entidad, en su artículo 192, contempla la figura jurídica del sobreseimiento, y específicamente en sus hipótesis inmersas en las fracciones III y IV, refieren que se sobreseerá el asunto cuando </w:t>
      </w:r>
      <w:r w:rsidRPr="003F440B">
        <w:rPr>
          <w:rFonts w:ascii="Palatino Linotype" w:hAnsi="Palatino Linotype" w:cs="Arial"/>
          <w:b/>
        </w:rPr>
        <w:t>El Sujeto Obligado</w:t>
      </w:r>
      <w:r w:rsidRPr="003F440B">
        <w:rPr>
          <w:rFonts w:ascii="Palatino Linotype" w:hAnsi="Palatino Linotype" w:cs="Arial"/>
        </w:rPr>
        <w:t xml:space="preserve"> responsable del acto lo modifique o revoque de tal manera que el recurso de revisión quede sin materia o admitido el recurso de revisión, aparezca alguna causal de improcedencia en los términos de la presente Ley.</w:t>
      </w:r>
    </w:p>
    <w:p w:rsidR="00A93400" w:rsidRPr="003F440B" w:rsidRDefault="00A93400" w:rsidP="00A93400">
      <w:pPr>
        <w:tabs>
          <w:tab w:val="left" w:pos="709"/>
        </w:tabs>
        <w:spacing w:line="360" w:lineRule="auto"/>
        <w:jc w:val="both"/>
        <w:rPr>
          <w:rFonts w:ascii="Palatino Linotype" w:hAnsi="Palatino Linotype" w:cs="Arial"/>
        </w:rPr>
      </w:pPr>
    </w:p>
    <w:p w:rsidR="00A93400" w:rsidRPr="003F440B" w:rsidRDefault="00A93400" w:rsidP="00A93400">
      <w:pPr>
        <w:tabs>
          <w:tab w:val="left" w:pos="709"/>
        </w:tabs>
        <w:spacing w:line="360" w:lineRule="auto"/>
        <w:jc w:val="both"/>
        <w:rPr>
          <w:rFonts w:ascii="Palatino Linotype" w:hAnsi="Palatino Linotype" w:cs="Arial"/>
        </w:rPr>
      </w:pPr>
      <w:r w:rsidRPr="003F440B">
        <w:rPr>
          <w:rFonts w:ascii="Palatino Linotype" w:hAnsi="Palatino Linotype" w:cs="Arial"/>
        </w:rPr>
        <w:t xml:space="preserve">Bajo esa línea, con la finalidad de determinar si se modificó o revocó el acto u omisión del </w:t>
      </w:r>
      <w:r w:rsidRPr="003F440B">
        <w:rPr>
          <w:rFonts w:ascii="Palatino Linotype" w:hAnsi="Palatino Linotype" w:cs="Arial"/>
          <w:b/>
        </w:rPr>
        <w:t>Sujeto Obligado</w:t>
      </w:r>
      <w:r w:rsidRPr="003F440B">
        <w:rPr>
          <w:rFonts w:ascii="Palatino Linotype" w:hAnsi="Palatino Linotype" w:cs="Arial"/>
        </w:rPr>
        <w:t xml:space="preserve"> o</w:t>
      </w:r>
      <w:r w:rsidRPr="003F440B">
        <w:t xml:space="preserve"> </w:t>
      </w:r>
      <w:r w:rsidRPr="003F440B">
        <w:rPr>
          <w:rFonts w:ascii="Palatino Linotype" w:hAnsi="Palatino Linotype" w:cs="Arial"/>
        </w:rPr>
        <w:t>admitido el recurso de revisión, aparezca alguna causal de improcedencia para el efecto de que quede sin materia el recurso de revisión, es necesario realizar una valoración de la información solicitada, así como la remitida y determinar si dicha consecuencia se subsume en el presupuesto procesal que establecen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rsidR="00A93400" w:rsidRPr="003F440B" w:rsidRDefault="00A93400" w:rsidP="00A93400">
      <w:pPr>
        <w:tabs>
          <w:tab w:val="left" w:pos="709"/>
        </w:tabs>
        <w:spacing w:line="360" w:lineRule="auto"/>
        <w:jc w:val="both"/>
        <w:rPr>
          <w:rFonts w:ascii="Palatino Linotype" w:hAnsi="Palatino Linotype" w:cs="Arial"/>
        </w:rPr>
      </w:pPr>
    </w:p>
    <w:p w:rsidR="00A93400" w:rsidRPr="003F440B" w:rsidRDefault="00A93400" w:rsidP="00A93400">
      <w:pPr>
        <w:tabs>
          <w:tab w:val="left" w:pos="709"/>
        </w:tabs>
        <w:spacing w:line="360" w:lineRule="auto"/>
        <w:jc w:val="both"/>
        <w:rPr>
          <w:rFonts w:ascii="Palatino Linotype" w:hAnsi="Palatino Linotype" w:cs="Arial"/>
        </w:rPr>
      </w:pPr>
      <w:r w:rsidRPr="003F440B">
        <w:rPr>
          <w:rFonts w:ascii="Palatino Linotype" w:hAnsi="Palatino Linotype" w:cs="Arial"/>
        </w:rPr>
        <w:t>Inicialmente se destaca que la Primera Sala de la Suprema Corte de Justicia de la Nación ha señalado que el estudio de causales de improcedencia deberá de hacerse de manera preferencial y oficiosa. Lo anterior, mediante la jurisprudencia con número de registro 194697, visible en la foja 13 del Semanario Judicial de la Federación, Tomo IX, Enero de 1999, Materia Común, cuyo rubro y texto disponen a la literalidad lo siguiente:</w:t>
      </w:r>
    </w:p>
    <w:p w:rsidR="00A93400" w:rsidRPr="003F440B" w:rsidRDefault="00A93400" w:rsidP="00A93400">
      <w:pPr>
        <w:pStyle w:val="Citas"/>
        <w:rPr>
          <w:b/>
          <w:bCs/>
        </w:rPr>
      </w:pPr>
      <w:r w:rsidRPr="003F440B">
        <w:rPr>
          <w:b/>
          <w:bCs/>
        </w:rPr>
        <w:t>“IMPROCEDENCIA. ESTUDIO PREFERENCIAL DE LAS CAUSALES PREVISTAS EN EL ARTÍCULO 73 DE LA LEY DE AMPARO.</w:t>
      </w:r>
    </w:p>
    <w:p w:rsidR="00A93400" w:rsidRPr="003F440B" w:rsidRDefault="00A93400" w:rsidP="00A93400">
      <w:pPr>
        <w:pStyle w:val="Citas"/>
      </w:pPr>
      <w:r w:rsidRPr="003F440B">
        <w:lastRenderedPageBreak/>
        <w:t>De conformidad con lo dispuesto en el último párrafo del artículo </w:t>
      </w:r>
      <w:hyperlink r:id="rId7" w:history="1">
        <w:r w:rsidRPr="003F440B">
          <w:t>73 de la Ley de Amparo</w:t>
        </w:r>
      </w:hyperlink>
      <w:r w:rsidRPr="003F440B">
        <w:t> 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el recurrente. Esto es así porque si bien el artículo 73 prevé diversas causas de improcedencia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w:t>
      </w:r>
    </w:p>
    <w:p w:rsidR="00A93400" w:rsidRPr="003F440B" w:rsidRDefault="00A93400" w:rsidP="00A93400">
      <w:pPr>
        <w:pStyle w:val="Citas"/>
      </w:pPr>
      <w:r w:rsidRPr="003F440B">
        <w:t>Amparo en revisión 355/98. Raúl Salinas de Gortari. 1o. de abril de 1998. Cinco votos. Ponente: José de Jesús Gudiño Pelayo. Secretario: Mario Flores García.</w:t>
      </w:r>
    </w:p>
    <w:p w:rsidR="00A93400" w:rsidRPr="003F440B" w:rsidRDefault="00A93400" w:rsidP="00A93400">
      <w:pPr>
        <w:pStyle w:val="Citas"/>
      </w:pPr>
      <w:r w:rsidRPr="003F440B">
        <w:t>Amparo en revisión 807/98. Byron Jackson Co., S.A. de C.V. 24 de junio de 1998. Cinco votos. Ponente: José de Jesús Gudiño Pelayo. Secretario: Miguel Ángel Ramírez González.</w:t>
      </w:r>
    </w:p>
    <w:p w:rsidR="00A93400" w:rsidRPr="003F440B" w:rsidRDefault="00A93400" w:rsidP="00A93400">
      <w:pPr>
        <w:pStyle w:val="Citas"/>
      </w:pPr>
      <w:r w:rsidRPr="003F440B">
        <w:lastRenderedPageBreak/>
        <w:t>Amparo en revisión 2257/97. Servicios Hoteleros Presidente San José del Cabo, S.A. de C.V. 4 de noviembre de 1998. Unanimidad de cuatro votos. Ausente: Juan N. Silva Meza. Ponente: Humberto Román Palacios. Secretario: Álvaro Tovilla León.</w:t>
      </w:r>
    </w:p>
    <w:p w:rsidR="00A93400" w:rsidRPr="003F440B" w:rsidRDefault="00A93400" w:rsidP="00A93400">
      <w:pPr>
        <w:pStyle w:val="Citas"/>
      </w:pPr>
      <w:r w:rsidRPr="003F440B">
        <w:t>Amparo en revisión 1753/98. Seguros Comercial América, S.A. de C.V. 11 de noviembre de 1998. Unanimidad de cuatro votos. Ausente: José de Jesús Gudiño Pelayo. Ponente: José de Jesús Gudiño Pelayo; en su ausencia hizo suyo el asunto el Ministro Juan N. Silva Meza. Secretario: Mario Flores García.</w:t>
      </w:r>
    </w:p>
    <w:p w:rsidR="00A93400" w:rsidRPr="003F440B" w:rsidRDefault="00A93400" w:rsidP="00A93400">
      <w:pPr>
        <w:pStyle w:val="Citas"/>
      </w:pPr>
      <w:r w:rsidRPr="003F440B">
        <w:t>Amparo en revisión 2447/98. José Virgilio Hernández. 18 de noviembre de 1998. Unanimidad de cuatro votos. Ausente: José de Jesús Gudiño Pelayo. Ponente: Humberto Román Palacios. Secretario: Urbano Martínez Hernández.</w:t>
      </w:r>
    </w:p>
    <w:p w:rsidR="00A93400" w:rsidRPr="003F440B" w:rsidRDefault="00A93400" w:rsidP="00A93400">
      <w:pPr>
        <w:pStyle w:val="Citas"/>
        <w:rPr>
          <w:b/>
          <w:bCs/>
        </w:rPr>
      </w:pPr>
      <w:r w:rsidRPr="003F440B">
        <w:t xml:space="preserve">Tesis de jurisprudencia 3/99. Aprobada por la Primera Sala de esta Suprema Corte de Justicia de la Nación, en sesión de trece de enero de mil novecientos noventa y nueve, por unanimidad de cinco votos de los señores Ministros: presidente Humberto Román Palacios, Juventino V. Castro y Castro, José de Jesús Gudiño Pelayo, Juan N. Silva Meza y Olga Sánchez Cordero de García Villegas” </w:t>
      </w:r>
      <w:r w:rsidRPr="003F440B">
        <w:rPr>
          <w:b/>
          <w:bCs/>
        </w:rPr>
        <w:t>(Sic)</w:t>
      </w:r>
    </w:p>
    <w:p w:rsidR="00A93400" w:rsidRPr="003F440B" w:rsidRDefault="00A93400" w:rsidP="00A93400">
      <w:pPr>
        <w:tabs>
          <w:tab w:val="left" w:pos="709"/>
        </w:tabs>
        <w:spacing w:line="360" w:lineRule="auto"/>
        <w:jc w:val="both"/>
        <w:rPr>
          <w:rFonts w:ascii="Palatino Linotype" w:hAnsi="Palatino Linotype" w:cs="Arial"/>
        </w:rPr>
      </w:pPr>
    </w:p>
    <w:p w:rsidR="00DE55DE" w:rsidRPr="003F440B" w:rsidRDefault="00DE55DE" w:rsidP="00A93400">
      <w:pPr>
        <w:pStyle w:val="Prrafodelista"/>
        <w:autoSpaceDE w:val="0"/>
        <w:autoSpaceDN w:val="0"/>
        <w:adjustRightInd w:val="0"/>
        <w:spacing w:before="240" w:after="160" w:line="360" w:lineRule="auto"/>
        <w:ind w:left="0"/>
        <w:jc w:val="both"/>
        <w:rPr>
          <w:rFonts w:ascii="Palatino Linotype" w:hAnsi="Palatino Linotype" w:cs="Tahoma"/>
          <w:bCs/>
        </w:rPr>
      </w:pPr>
      <w:r w:rsidRPr="003F440B">
        <w:rPr>
          <w:rFonts w:ascii="Palatino Linotype" w:hAnsi="Palatino Linotype" w:cs="Tahoma"/>
          <w:bCs/>
        </w:rPr>
        <w:t xml:space="preserve">Bajo estas líneas argumentativas, al retomar y delimitar los requerimientos del ahora </w:t>
      </w:r>
      <w:r w:rsidRPr="003F440B">
        <w:rPr>
          <w:rFonts w:ascii="Palatino Linotype" w:hAnsi="Palatino Linotype" w:cs="Tahoma"/>
          <w:b/>
          <w:bCs/>
        </w:rPr>
        <w:t>Recurrente</w:t>
      </w:r>
      <w:r w:rsidRPr="003F440B">
        <w:rPr>
          <w:rFonts w:ascii="Palatino Linotype" w:hAnsi="Palatino Linotype" w:cs="Tahoma"/>
          <w:bCs/>
        </w:rPr>
        <w:t>, de manera objetiva se precisa que requiere la siguiente información:</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De la Coordinación de Servicios Auxiliares a Contingencias y Emergencias de la Oficialía Mayor del Estado de México; Incluyendo tanto vehículos propios como vehículos en arrendamiento o comodato, correspondientes al 01 de abril al 30 de septiembre de 2025.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1.- Inventario Vehicular: </w:t>
      </w:r>
    </w:p>
    <w:p w:rsidR="00C21B48" w:rsidRPr="003F440B" w:rsidRDefault="00905287" w:rsidP="00C21B48">
      <w:pPr>
        <w:pStyle w:val="Prrafodelista"/>
        <w:numPr>
          <w:ilvl w:val="0"/>
          <w:numId w:val="8"/>
        </w:numPr>
        <w:spacing w:before="240" w:line="360" w:lineRule="auto"/>
        <w:jc w:val="both"/>
        <w:rPr>
          <w:rFonts w:ascii="Palatino Linotype" w:hAnsi="Palatino Linotype" w:cs="Arial"/>
        </w:rPr>
      </w:pPr>
      <w:r w:rsidRPr="003F440B">
        <w:rPr>
          <w:rFonts w:ascii="Palatino Linotype" w:hAnsi="Palatino Linotype" w:cs="Arial"/>
        </w:rPr>
        <w:lastRenderedPageBreak/>
        <w:t xml:space="preserve">Número total de vehículos a cargo de la Coordinación, desglosado por: </w:t>
      </w:r>
    </w:p>
    <w:p w:rsidR="00C21B48" w:rsidRPr="003F440B" w:rsidRDefault="00905287" w:rsidP="00C21B48">
      <w:pPr>
        <w:pStyle w:val="Prrafodelista"/>
        <w:numPr>
          <w:ilvl w:val="0"/>
          <w:numId w:val="8"/>
        </w:numPr>
        <w:spacing w:before="240" w:line="360" w:lineRule="auto"/>
        <w:jc w:val="both"/>
        <w:rPr>
          <w:rFonts w:ascii="Palatino Linotype" w:hAnsi="Palatino Linotype" w:cs="Arial"/>
        </w:rPr>
      </w:pPr>
      <w:r w:rsidRPr="003F440B">
        <w:rPr>
          <w:rFonts w:ascii="Palatino Linotype" w:hAnsi="Palatino Linotype" w:cs="Arial"/>
        </w:rPr>
        <w:t xml:space="preserve">Vehículos de propiedad de la Coordinación. </w:t>
      </w:r>
    </w:p>
    <w:p w:rsidR="00C21B48" w:rsidRPr="003F440B" w:rsidRDefault="00905287" w:rsidP="00C21B48">
      <w:pPr>
        <w:pStyle w:val="Prrafodelista"/>
        <w:numPr>
          <w:ilvl w:val="0"/>
          <w:numId w:val="8"/>
        </w:numPr>
        <w:spacing w:before="240" w:line="360" w:lineRule="auto"/>
        <w:jc w:val="both"/>
        <w:rPr>
          <w:rFonts w:ascii="Palatino Linotype" w:hAnsi="Palatino Linotype" w:cs="Arial"/>
        </w:rPr>
      </w:pPr>
      <w:r w:rsidRPr="003F440B">
        <w:rPr>
          <w:rFonts w:ascii="Palatino Linotype" w:hAnsi="Palatino Linotype" w:cs="Arial"/>
        </w:rPr>
        <w:t xml:space="preserve">Vehículos en arrendamiento, comodato o cualquier otra figura de disponibilidad temporal.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2.- Listado del parque vehicular que incluya, por cada unidad: </w:t>
      </w:r>
    </w:p>
    <w:p w:rsidR="00C21B48" w:rsidRPr="003F440B" w:rsidRDefault="00905287" w:rsidP="00C21B48">
      <w:pPr>
        <w:pStyle w:val="Prrafodelista"/>
        <w:numPr>
          <w:ilvl w:val="0"/>
          <w:numId w:val="9"/>
        </w:numPr>
        <w:spacing w:before="240" w:line="360" w:lineRule="auto"/>
        <w:jc w:val="both"/>
        <w:rPr>
          <w:rFonts w:ascii="Palatino Linotype" w:hAnsi="Palatino Linotype" w:cs="Arial"/>
        </w:rPr>
      </w:pPr>
      <w:r w:rsidRPr="003F440B">
        <w:rPr>
          <w:rFonts w:ascii="Palatino Linotype" w:hAnsi="Palatino Linotype" w:cs="Arial"/>
        </w:rPr>
        <w:t xml:space="preserve">Marca, Modelo y Año. </w:t>
      </w:r>
    </w:p>
    <w:p w:rsidR="00C21B48" w:rsidRPr="003F440B" w:rsidRDefault="00905287" w:rsidP="00C21B48">
      <w:pPr>
        <w:pStyle w:val="Prrafodelista"/>
        <w:numPr>
          <w:ilvl w:val="0"/>
          <w:numId w:val="9"/>
        </w:numPr>
        <w:spacing w:before="240" w:line="360" w:lineRule="auto"/>
        <w:jc w:val="both"/>
        <w:rPr>
          <w:rFonts w:ascii="Palatino Linotype" w:hAnsi="Palatino Linotype" w:cs="Arial"/>
        </w:rPr>
      </w:pPr>
      <w:r w:rsidRPr="003F440B">
        <w:rPr>
          <w:rFonts w:ascii="Palatino Linotype" w:hAnsi="Palatino Linotype" w:cs="Arial"/>
        </w:rPr>
        <w:t xml:space="preserve">Tipo de vehículo (ej. Sedán, Camioneta Pick-up, Unidad de Rescate, etc.). </w:t>
      </w:r>
    </w:p>
    <w:p w:rsidR="00C21B48" w:rsidRPr="003F440B" w:rsidRDefault="00905287" w:rsidP="00C21B48">
      <w:pPr>
        <w:pStyle w:val="Prrafodelista"/>
        <w:numPr>
          <w:ilvl w:val="0"/>
          <w:numId w:val="9"/>
        </w:numPr>
        <w:spacing w:before="240" w:line="360" w:lineRule="auto"/>
        <w:jc w:val="both"/>
        <w:rPr>
          <w:rFonts w:ascii="Palatino Linotype" w:hAnsi="Palatino Linotype" w:cs="Arial"/>
        </w:rPr>
      </w:pPr>
      <w:r w:rsidRPr="003F440B">
        <w:rPr>
          <w:rFonts w:ascii="Palatino Linotype" w:hAnsi="Palatino Linotype" w:cs="Arial"/>
        </w:rPr>
        <w:t xml:space="preserve">Número de Identificación Vehicular (NIV) o Serie. </w:t>
      </w:r>
    </w:p>
    <w:p w:rsidR="00C21B48" w:rsidRPr="003F440B" w:rsidRDefault="00C21B48" w:rsidP="00C21B48">
      <w:pPr>
        <w:pStyle w:val="Prrafodelista"/>
        <w:numPr>
          <w:ilvl w:val="0"/>
          <w:numId w:val="9"/>
        </w:numPr>
        <w:spacing w:before="240" w:line="360" w:lineRule="auto"/>
        <w:jc w:val="both"/>
        <w:rPr>
          <w:rFonts w:ascii="Palatino Linotype" w:hAnsi="Palatino Linotype" w:cs="Arial"/>
        </w:rPr>
      </w:pPr>
      <w:r w:rsidRPr="003F440B">
        <w:rPr>
          <w:rFonts w:ascii="Palatino Linotype" w:hAnsi="Palatino Linotype" w:cs="Arial"/>
        </w:rPr>
        <w:t xml:space="preserve">Número de Inventario. </w:t>
      </w:r>
    </w:p>
    <w:p w:rsidR="00C21B48" w:rsidRPr="003F440B" w:rsidRDefault="00905287" w:rsidP="00C21B48">
      <w:pPr>
        <w:pStyle w:val="Prrafodelista"/>
        <w:numPr>
          <w:ilvl w:val="0"/>
          <w:numId w:val="9"/>
        </w:numPr>
        <w:spacing w:before="240" w:line="360" w:lineRule="auto"/>
        <w:jc w:val="both"/>
        <w:rPr>
          <w:rFonts w:ascii="Palatino Linotype" w:hAnsi="Palatino Linotype" w:cs="Arial"/>
        </w:rPr>
      </w:pPr>
      <w:r w:rsidRPr="003F440B">
        <w:rPr>
          <w:rFonts w:ascii="Palatino Linotype" w:hAnsi="Palatino Linotype" w:cs="Arial"/>
        </w:rPr>
        <w:t xml:space="preserve">Situación administrativa del vehículo (Propio, Arrendado, comodato, otro).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3.- Asignación de Vehículos a Servidores Públicos: </w:t>
      </w:r>
    </w:p>
    <w:p w:rsidR="00C21B48" w:rsidRPr="003F440B" w:rsidRDefault="00905287"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 xml:space="preserve">Listado de los servidores públicos que tienen vehículos de la Coordinación asignados a su cargo (de forma temporal o permanente), indicando por cada uno: </w:t>
      </w:r>
    </w:p>
    <w:p w:rsidR="00C21B48" w:rsidRPr="003F440B" w:rsidRDefault="00905287"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 xml:space="preserve">Nombre completo del servidor público. </w:t>
      </w:r>
    </w:p>
    <w:p w:rsidR="00C21B48" w:rsidRPr="003F440B" w:rsidRDefault="00905287"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 xml:space="preserve">Puesto o cargo que desempeña. </w:t>
      </w:r>
    </w:p>
    <w:p w:rsidR="00C21B48" w:rsidRPr="003F440B" w:rsidRDefault="00905287"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 xml:space="preserve">Nivel y rango del servidor público. </w:t>
      </w:r>
    </w:p>
    <w:p w:rsidR="00C21B48" w:rsidRPr="003F440B" w:rsidRDefault="00905287"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Tipo, modelo y número de inventari</w:t>
      </w:r>
      <w:r w:rsidR="00C21B48" w:rsidRPr="003F440B">
        <w:rPr>
          <w:rFonts w:ascii="Palatino Linotype" w:hAnsi="Palatino Linotype" w:cs="Arial"/>
        </w:rPr>
        <w:t xml:space="preserve">o/serie del vehículo asignado. </w:t>
      </w:r>
      <w:r w:rsidRPr="003F440B">
        <w:rPr>
          <w:rFonts w:ascii="Palatino Linotype" w:hAnsi="Palatino Linotype" w:cs="Arial"/>
        </w:rPr>
        <w:t xml:space="preserve"> </w:t>
      </w:r>
    </w:p>
    <w:p w:rsidR="00C21B48" w:rsidRPr="003F440B" w:rsidRDefault="00C21B48" w:rsidP="00C21B48">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lastRenderedPageBreak/>
        <w:t xml:space="preserve">Fecha de asignación inicial. </w:t>
      </w:r>
    </w:p>
    <w:p w:rsidR="00C21B48" w:rsidRPr="003F440B" w:rsidRDefault="00905287" w:rsidP="001C14FD">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Nombre, puesto o cargo que desempeña el servidor o servidores que autorizaro</w:t>
      </w:r>
      <w:r w:rsidR="00C21B48" w:rsidRPr="003F440B">
        <w:rPr>
          <w:rFonts w:ascii="Palatino Linotype" w:hAnsi="Palatino Linotype" w:cs="Arial"/>
        </w:rPr>
        <w:t xml:space="preserve">n la asignación del vehículo. </w:t>
      </w:r>
    </w:p>
    <w:p w:rsidR="00C21B48" w:rsidRPr="003F440B" w:rsidRDefault="00905287" w:rsidP="001C14FD">
      <w:pPr>
        <w:pStyle w:val="Prrafodelista"/>
        <w:numPr>
          <w:ilvl w:val="0"/>
          <w:numId w:val="10"/>
        </w:numPr>
        <w:spacing w:before="240" w:line="360" w:lineRule="auto"/>
        <w:jc w:val="both"/>
        <w:rPr>
          <w:rFonts w:ascii="Palatino Linotype" w:hAnsi="Palatino Linotype" w:cs="Arial"/>
        </w:rPr>
      </w:pPr>
      <w:r w:rsidRPr="003F440B">
        <w:rPr>
          <w:rFonts w:ascii="Palatino Linotype" w:hAnsi="Palatino Linotype" w:cs="Arial"/>
        </w:rPr>
        <w:t xml:space="preserve">Justificación para la asignación de vehículo al servidor público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4.- Gasto</w:t>
      </w:r>
      <w:r w:rsidR="00C21B48" w:rsidRPr="003F440B">
        <w:rPr>
          <w:rFonts w:ascii="Palatino Linotype" w:hAnsi="Palatino Linotype" w:cs="Arial"/>
        </w:rPr>
        <w:t xml:space="preserve">s Operativos de los Vehículos: </w:t>
      </w:r>
      <w:r w:rsidRPr="003F440B">
        <w:rPr>
          <w:rFonts w:ascii="Palatino Linotype" w:hAnsi="Palatino Linotype" w:cs="Arial"/>
        </w:rPr>
        <w:t xml:space="preserve">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Registro de Cargas de Combustible: Informe con el detalle de las cargas de combustible</w:t>
      </w:r>
      <w:r w:rsidR="00C21B48" w:rsidRPr="003F440B">
        <w:rPr>
          <w:rFonts w:ascii="Palatino Linotype" w:hAnsi="Palatino Linotype" w:cs="Arial"/>
        </w:rPr>
        <w:t xml:space="preserve">, indicando por cada registro: </w:t>
      </w:r>
      <w:r w:rsidRPr="003F440B">
        <w:rPr>
          <w:rFonts w:ascii="Palatino Linotype" w:hAnsi="Palatino Linotype" w:cs="Arial"/>
        </w:rPr>
        <w:t xml:space="preserve">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Numero de contrato para el suministro de</w:t>
      </w:r>
      <w:r w:rsidR="00AC5C39" w:rsidRPr="003F440B">
        <w:rPr>
          <w:rFonts w:ascii="Palatino Linotype" w:hAnsi="Palatino Linotype" w:cs="Arial"/>
        </w:rPr>
        <w:t xml:space="preserve"> combustible.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Numero de mon</w:t>
      </w:r>
      <w:r w:rsidR="00AC5C39" w:rsidRPr="003F440B">
        <w:rPr>
          <w:rFonts w:ascii="Palatino Linotype" w:hAnsi="Palatino Linotype" w:cs="Arial"/>
        </w:rPr>
        <w:t xml:space="preserve">ederos electrónicos asignados. </w:t>
      </w:r>
      <w:r w:rsidRPr="003F440B">
        <w:rPr>
          <w:rFonts w:ascii="Palatino Linotype" w:hAnsi="Palatino Linotype" w:cs="Arial"/>
        </w:rPr>
        <w:t xml:space="preserve"> </w:t>
      </w:r>
    </w:p>
    <w:p w:rsidR="00C21B48" w:rsidRPr="003F440B" w:rsidRDefault="00AC5C39"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Fecha y hora de la carga.</w:t>
      </w:r>
      <w:r w:rsidR="00905287" w:rsidRPr="003F440B">
        <w:rPr>
          <w:rFonts w:ascii="Palatino Linotype" w:hAnsi="Palatino Linotype" w:cs="Arial"/>
        </w:rPr>
        <w:t xml:space="preserve">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Vehículo (identificado por n</w:t>
      </w:r>
      <w:r w:rsidR="00C21B48" w:rsidRPr="003F440B">
        <w:rPr>
          <w:rFonts w:ascii="Palatino Linotype" w:hAnsi="Palatino Linotype" w:cs="Arial"/>
        </w:rPr>
        <w:t xml:space="preserve">úmero de serie o inventario). </w:t>
      </w:r>
    </w:p>
    <w:p w:rsidR="00C21B48" w:rsidRPr="003F440B" w:rsidRDefault="00C21B48"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 xml:space="preserve">Kilometraje del vehículo.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Tipo de Combustible (Gaso</w:t>
      </w:r>
      <w:r w:rsidR="00C21B48" w:rsidRPr="003F440B">
        <w:rPr>
          <w:rFonts w:ascii="Palatino Linotype" w:hAnsi="Palatino Linotype" w:cs="Arial"/>
        </w:rPr>
        <w:t xml:space="preserve">lina Magna, Premium, Diésel). </w:t>
      </w:r>
    </w:p>
    <w:p w:rsidR="00C21B48" w:rsidRPr="003F440B" w:rsidRDefault="00C21B48"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 xml:space="preserve">Litros cargados. </w:t>
      </w:r>
    </w:p>
    <w:p w:rsidR="00C21B48" w:rsidRPr="003F440B" w:rsidRDefault="00905287" w:rsidP="00C21B48">
      <w:pPr>
        <w:pStyle w:val="Prrafodelista"/>
        <w:numPr>
          <w:ilvl w:val="0"/>
          <w:numId w:val="11"/>
        </w:numPr>
        <w:spacing w:before="240" w:line="360" w:lineRule="auto"/>
        <w:jc w:val="both"/>
        <w:rPr>
          <w:rFonts w:ascii="Palatino Linotype" w:hAnsi="Palatino Linotype" w:cs="Arial"/>
        </w:rPr>
      </w:pPr>
      <w:r w:rsidRPr="003F440B">
        <w:rPr>
          <w:rFonts w:ascii="Palatino Linotype" w:hAnsi="Palatino Linotype" w:cs="Arial"/>
        </w:rPr>
        <w:t xml:space="preserve">Costo total de la carga.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5.- Servicios de Mantenimiento y Reparación: </w:t>
      </w:r>
    </w:p>
    <w:p w:rsidR="00C21B48" w:rsidRPr="003F440B" w:rsidRDefault="00905287"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Detalle de los servicios de mantenimiento,</w:t>
      </w:r>
      <w:r w:rsidR="00C21B48" w:rsidRPr="003F440B">
        <w:rPr>
          <w:rFonts w:ascii="Palatino Linotype" w:hAnsi="Palatino Linotype" w:cs="Arial"/>
        </w:rPr>
        <w:t xml:space="preserve"> indicando por cada servicio </w:t>
      </w:r>
    </w:p>
    <w:p w:rsidR="00C21B48" w:rsidRPr="003F440B" w:rsidRDefault="00C21B48"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lastRenderedPageBreak/>
        <w:t xml:space="preserve">Fecha del servicio. </w:t>
      </w:r>
    </w:p>
    <w:p w:rsidR="00C21B48" w:rsidRPr="003F440B" w:rsidRDefault="00905287"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Vehículo (identificado por n</w:t>
      </w:r>
      <w:r w:rsidR="00C21B48" w:rsidRPr="003F440B">
        <w:rPr>
          <w:rFonts w:ascii="Palatino Linotype" w:hAnsi="Palatino Linotype" w:cs="Arial"/>
        </w:rPr>
        <w:t xml:space="preserve">úmero de serie o inventario). </w:t>
      </w:r>
    </w:p>
    <w:p w:rsidR="00C21B48" w:rsidRPr="003F440B" w:rsidRDefault="00905287"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Descripción del trabajo realizado (ej. servicio menor, cambio de b</w:t>
      </w:r>
      <w:r w:rsidR="00C21B48" w:rsidRPr="003F440B">
        <w:rPr>
          <w:rFonts w:ascii="Palatino Linotype" w:hAnsi="Palatino Linotype" w:cs="Arial"/>
        </w:rPr>
        <w:t xml:space="preserve">alatas, reparación de motor). </w:t>
      </w:r>
    </w:p>
    <w:p w:rsidR="00C21B48" w:rsidRPr="003F440B" w:rsidRDefault="00C21B48"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 xml:space="preserve">Kilometraje del vehículo. </w:t>
      </w:r>
    </w:p>
    <w:p w:rsidR="00C21B48" w:rsidRPr="003F440B" w:rsidRDefault="00C21B48"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 xml:space="preserve">Costo total del servicio. </w:t>
      </w:r>
    </w:p>
    <w:p w:rsidR="00C21B48" w:rsidRPr="003F440B" w:rsidRDefault="00905287"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 xml:space="preserve">Modo </w:t>
      </w:r>
      <w:r w:rsidR="00C21B48" w:rsidRPr="003F440B">
        <w:rPr>
          <w:rFonts w:ascii="Palatino Linotype" w:hAnsi="Palatino Linotype" w:cs="Arial"/>
        </w:rPr>
        <w:t xml:space="preserve">de contratación del servicio. </w:t>
      </w:r>
    </w:p>
    <w:p w:rsidR="00C21B48" w:rsidRPr="003F440B" w:rsidRDefault="00C21B48"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 xml:space="preserve">Proveedor del servicio. </w:t>
      </w:r>
    </w:p>
    <w:p w:rsidR="00C21B48" w:rsidRPr="003F440B" w:rsidRDefault="00905287" w:rsidP="00C21B48">
      <w:pPr>
        <w:pStyle w:val="Prrafodelista"/>
        <w:numPr>
          <w:ilvl w:val="0"/>
          <w:numId w:val="12"/>
        </w:numPr>
        <w:spacing w:before="240" w:line="360" w:lineRule="auto"/>
        <w:jc w:val="both"/>
        <w:rPr>
          <w:rFonts w:ascii="Palatino Linotype" w:hAnsi="Palatino Linotype" w:cs="Arial"/>
        </w:rPr>
      </w:pPr>
      <w:r w:rsidRPr="003F440B">
        <w:rPr>
          <w:rFonts w:ascii="Palatino Linotype" w:hAnsi="Palatino Linotype" w:cs="Arial"/>
        </w:rPr>
        <w:t xml:space="preserve">Cotizaciones de los otros proveedores que participaron para la asignación del servicio. </w:t>
      </w:r>
    </w:p>
    <w:p w:rsidR="00C21B48" w:rsidRPr="003F440B" w:rsidRDefault="00905287" w:rsidP="00C21B48">
      <w:pPr>
        <w:spacing w:before="240" w:line="360" w:lineRule="auto"/>
        <w:jc w:val="both"/>
        <w:rPr>
          <w:rFonts w:ascii="Palatino Linotype" w:hAnsi="Palatino Linotype" w:cs="Arial"/>
        </w:rPr>
      </w:pPr>
      <w:r w:rsidRPr="003F440B">
        <w:rPr>
          <w:rFonts w:ascii="Palatino Linotype" w:hAnsi="Palatino Linotype" w:cs="Arial"/>
        </w:rPr>
        <w:t xml:space="preserve">6.- Gastos de Peaje (Casetas): </w:t>
      </w:r>
    </w:p>
    <w:p w:rsidR="00C21B48" w:rsidRPr="003F440B" w:rsidRDefault="00905287"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Informe de los gastos realizados por concepto de pea</w:t>
      </w:r>
      <w:r w:rsidR="00C21B48" w:rsidRPr="003F440B">
        <w:rPr>
          <w:rFonts w:ascii="Palatino Linotype" w:hAnsi="Palatino Linotype" w:cs="Arial"/>
        </w:rPr>
        <w:t xml:space="preserve">je, indicando por cada gasto: </w:t>
      </w:r>
    </w:p>
    <w:p w:rsidR="00C21B48" w:rsidRPr="003F440B" w:rsidRDefault="00C21B48"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 xml:space="preserve">Fecha. </w:t>
      </w:r>
    </w:p>
    <w:p w:rsidR="00C21B48" w:rsidRPr="003F440B" w:rsidRDefault="00905287"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Vehículo (identificado por n</w:t>
      </w:r>
      <w:r w:rsidR="00C21B48" w:rsidRPr="003F440B">
        <w:rPr>
          <w:rFonts w:ascii="Palatino Linotype" w:hAnsi="Palatino Linotype" w:cs="Arial"/>
        </w:rPr>
        <w:t xml:space="preserve">úmero de serie o inventario). </w:t>
      </w:r>
    </w:p>
    <w:p w:rsidR="00C21B48" w:rsidRPr="003F440B" w:rsidRDefault="00C21B48"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Monto del gasto.</w:t>
      </w:r>
    </w:p>
    <w:p w:rsidR="00C21B48" w:rsidRPr="003F440B" w:rsidRDefault="00905287"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Medio de pago (ej. TAG, efectivo, ta</w:t>
      </w:r>
      <w:r w:rsidR="00C21B48" w:rsidRPr="003F440B">
        <w:rPr>
          <w:rFonts w:ascii="Palatino Linotype" w:hAnsi="Palatino Linotype" w:cs="Arial"/>
        </w:rPr>
        <w:t xml:space="preserve">rjeta corporativa). </w:t>
      </w:r>
    </w:p>
    <w:p w:rsidR="00C21B48" w:rsidRPr="003F440B" w:rsidRDefault="00C21B48"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t xml:space="preserve">Ruta o tramo. </w:t>
      </w:r>
    </w:p>
    <w:p w:rsidR="00DE55DE" w:rsidRPr="003F440B" w:rsidRDefault="00905287" w:rsidP="00C21B48">
      <w:pPr>
        <w:pStyle w:val="Prrafodelista"/>
        <w:numPr>
          <w:ilvl w:val="0"/>
          <w:numId w:val="13"/>
        </w:numPr>
        <w:spacing w:before="240" w:line="360" w:lineRule="auto"/>
        <w:jc w:val="both"/>
        <w:rPr>
          <w:rFonts w:ascii="Palatino Linotype" w:hAnsi="Palatino Linotype" w:cs="Arial"/>
        </w:rPr>
      </w:pPr>
      <w:r w:rsidRPr="003F440B">
        <w:rPr>
          <w:rFonts w:ascii="Palatino Linotype" w:hAnsi="Palatino Linotype" w:cs="Arial"/>
        </w:rPr>
        <w:lastRenderedPageBreak/>
        <w:t>Justificación para el pago de peaje.</w:t>
      </w:r>
      <w:r w:rsidR="00DE55DE" w:rsidRPr="003F440B">
        <w:rPr>
          <w:rFonts w:ascii="Palatino Linotype" w:hAnsi="Palatino Linotype" w:cs="Arial"/>
        </w:rPr>
        <w:t xml:space="preserve"> </w:t>
      </w:r>
    </w:p>
    <w:p w:rsidR="00DE55DE" w:rsidRPr="003F440B" w:rsidRDefault="00DE55DE" w:rsidP="00DE55DE">
      <w:pPr>
        <w:spacing w:line="360" w:lineRule="auto"/>
        <w:jc w:val="both"/>
        <w:rPr>
          <w:rFonts w:ascii="Palatino Linotype" w:hAnsi="Palatino Linotype" w:cs="Arial"/>
          <w:bCs/>
        </w:rPr>
      </w:pPr>
    </w:p>
    <w:p w:rsidR="00DE55DE" w:rsidRPr="003F440B" w:rsidRDefault="00DE55DE" w:rsidP="00DE55DE">
      <w:pPr>
        <w:spacing w:before="240" w:line="360" w:lineRule="auto"/>
        <w:jc w:val="both"/>
        <w:rPr>
          <w:rFonts w:ascii="Palatino Linotype" w:hAnsi="Palatino Linotype" w:cs="Arial"/>
          <w:b/>
        </w:rPr>
      </w:pPr>
      <w:r w:rsidRPr="003F440B">
        <w:rPr>
          <w:rFonts w:ascii="Palatino Linotype" w:hAnsi="Palatino Linotype" w:cs="Arial"/>
        </w:rPr>
        <w:t xml:space="preserve">De conformidad con las constancias que obran en el expediente electrónico, se observa que el </w:t>
      </w:r>
      <w:r w:rsidRPr="003F440B">
        <w:rPr>
          <w:rFonts w:ascii="Palatino Linotype" w:hAnsi="Palatino Linotype" w:cs="Arial"/>
          <w:b/>
        </w:rPr>
        <w:t>Sujeto Obligado</w:t>
      </w:r>
      <w:r w:rsidRPr="003F440B">
        <w:rPr>
          <w:rFonts w:ascii="Palatino Linotype" w:hAnsi="Palatino Linotype" w:cs="Arial"/>
        </w:rPr>
        <w:t xml:space="preserve"> dio respuesta por medio del sistema SAIMEX, a la solicitud de información</w:t>
      </w:r>
      <w:r w:rsidRPr="003F440B">
        <w:rPr>
          <w:rFonts w:ascii="Palatino Linotype" w:eastAsia="Palatino Linotype" w:hAnsi="Palatino Linotype" w:cs="Palatino Linotype"/>
          <w:b/>
          <w:color w:val="000000"/>
        </w:rPr>
        <w:t xml:space="preserve"> </w:t>
      </w:r>
      <w:r w:rsidR="00217308" w:rsidRPr="003F440B">
        <w:rPr>
          <w:rFonts w:ascii="Palatino Linotype" w:hAnsi="Palatino Linotype" w:cs="Arial"/>
          <w:b/>
        </w:rPr>
        <w:t>00289/OFICIALIA/IP/2025</w:t>
      </w:r>
      <w:r w:rsidRPr="003F440B">
        <w:rPr>
          <w:rFonts w:ascii="Palatino Linotype" w:hAnsi="Palatino Linotype" w:cs="Arial"/>
          <w:b/>
        </w:rPr>
        <w:t xml:space="preserve">; </w:t>
      </w:r>
      <w:r w:rsidRPr="003F440B">
        <w:rPr>
          <w:rFonts w:ascii="Palatino Linotype" w:hAnsi="Palatino Linotype" w:cs="Arial"/>
        </w:rPr>
        <w:t>a través del archivo electrónico</w:t>
      </w:r>
      <w:r w:rsidRPr="003F440B">
        <w:rPr>
          <w:rFonts w:ascii="Palatino Linotype" w:hAnsi="Palatino Linotype" w:cs="Arial"/>
          <w:b/>
        </w:rPr>
        <w:t>:</w:t>
      </w:r>
    </w:p>
    <w:p w:rsidR="007A7249" w:rsidRPr="003F440B" w:rsidRDefault="007A7249" w:rsidP="00223B36">
      <w:pPr>
        <w:pStyle w:val="Prrafodelista"/>
        <w:numPr>
          <w:ilvl w:val="0"/>
          <w:numId w:val="4"/>
        </w:numPr>
        <w:spacing w:line="360" w:lineRule="auto"/>
        <w:jc w:val="both"/>
        <w:rPr>
          <w:rFonts w:ascii="Palatino Linotype" w:hAnsi="Palatino Linotype" w:cs="Arial"/>
          <w:b/>
          <w:i/>
        </w:rPr>
      </w:pPr>
      <w:r w:rsidRPr="003F440B">
        <w:rPr>
          <w:rFonts w:ascii="Palatino Linotype" w:hAnsi="Palatino Linotype" w:cs="Arial"/>
          <w:b/>
          <w:i/>
        </w:rPr>
        <w:t xml:space="preserve">Tarjetas.pdf: </w:t>
      </w:r>
      <w:r w:rsidRPr="003F440B">
        <w:rPr>
          <w:rFonts w:ascii="Palatino Linotype" w:hAnsi="Palatino Linotype" w:cs="Arial"/>
        </w:rPr>
        <w:t>contiene 22 tarjetas de resguardo</w:t>
      </w:r>
      <w:r w:rsidR="00223B36" w:rsidRPr="003F440B">
        <w:rPr>
          <w:rFonts w:ascii="Palatino Linotype" w:hAnsi="Palatino Linotype" w:cs="Arial"/>
        </w:rPr>
        <w:t>.</w:t>
      </w:r>
    </w:p>
    <w:p w:rsidR="007A7249" w:rsidRPr="003F440B" w:rsidRDefault="007A7249" w:rsidP="007A7249">
      <w:pPr>
        <w:pStyle w:val="Prrafodelista"/>
        <w:numPr>
          <w:ilvl w:val="0"/>
          <w:numId w:val="4"/>
        </w:numPr>
        <w:spacing w:line="360" w:lineRule="auto"/>
        <w:jc w:val="both"/>
        <w:rPr>
          <w:rFonts w:ascii="Palatino Linotype" w:hAnsi="Palatino Linotype" w:cs="Arial"/>
          <w:b/>
          <w:i/>
        </w:rPr>
      </w:pPr>
      <w:r w:rsidRPr="003F440B">
        <w:rPr>
          <w:rFonts w:ascii="Palatino Linotype" w:hAnsi="Palatino Linotype" w:cs="Arial"/>
          <w:b/>
          <w:i/>
        </w:rPr>
        <w:t xml:space="preserve">OFICIO 1540.pdf: </w:t>
      </w:r>
      <w:r w:rsidRPr="003F440B">
        <w:rPr>
          <w:rFonts w:ascii="Palatino Linotype" w:hAnsi="Palatino Linotype" w:cs="Arial"/>
        </w:rPr>
        <w:t xml:space="preserve">oficio número </w:t>
      </w:r>
      <w:r w:rsidR="001C14FD" w:rsidRPr="003F440B">
        <w:rPr>
          <w:rFonts w:ascii="Palatino Linotype" w:hAnsi="Palatino Linotype" w:cs="Arial"/>
        </w:rPr>
        <w:t xml:space="preserve">234000010001005/1540/2025, firmado por la Delegada Administrativa, en el que refiere remitir las tarjetas de resguardo referente al parque vehicular de la Coordinación de Servicios Auxiliares a Contingencias y Emergencias. </w:t>
      </w:r>
    </w:p>
    <w:p w:rsidR="00DE55DE" w:rsidRPr="003F440B" w:rsidRDefault="007A7249" w:rsidP="00B84074">
      <w:pPr>
        <w:pStyle w:val="Prrafodelista"/>
        <w:numPr>
          <w:ilvl w:val="0"/>
          <w:numId w:val="4"/>
        </w:numPr>
        <w:spacing w:line="360" w:lineRule="auto"/>
        <w:jc w:val="both"/>
        <w:rPr>
          <w:rFonts w:ascii="Palatino Linotype" w:hAnsi="Palatino Linotype" w:cs="Arial"/>
          <w:b/>
          <w:i/>
        </w:rPr>
      </w:pPr>
      <w:r w:rsidRPr="003F440B">
        <w:rPr>
          <w:rFonts w:ascii="Palatino Linotype" w:hAnsi="Palatino Linotype" w:cs="Arial"/>
          <w:b/>
          <w:i/>
        </w:rPr>
        <w:t>289.pdf</w:t>
      </w:r>
      <w:r w:rsidR="00DE55DE" w:rsidRPr="003F440B">
        <w:rPr>
          <w:rFonts w:ascii="Palatino Linotype" w:hAnsi="Palatino Linotype" w:cs="Arial"/>
          <w:b/>
          <w:i/>
        </w:rPr>
        <w:t xml:space="preserve">: </w:t>
      </w:r>
      <w:r w:rsidR="001C14FD" w:rsidRPr="003F440B">
        <w:rPr>
          <w:rFonts w:ascii="Palatino Linotype" w:hAnsi="Palatino Linotype" w:cs="Arial"/>
        </w:rPr>
        <w:t xml:space="preserve">oficio número 234A00000/UT-0863-2025, firmado por el Titular de la Unidad de Transparencia, en el que </w:t>
      </w:r>
      <w:r w:rsidR="00647693" w:rsidRPr="003F440B">
        <w:rPr>
          <w:rFonts w:ascii="Palatino Linotype" w:hAnsi="Palatino Linotype" w:cs="Arial"/>
        </w:rPr>
        <w:t xml:space="preserve">refiere remitir la información descrita en los puntos anteriores. </w:t>
      </w:r>
    </w:p>
    <w:p w:rsidR="00DE55DE" w:rsidRPr="003F440B" w:rsidRDefault="00DE55DE" w:rsidP="00DE55DE">
      <w:pPr>
        <w:spacing w:line="360" w:lineRule="auto"/>
        <w:jc w:val="both"/>
        <w:rPr>
          <w:rFonts w:ascii="Palatino Linotype" w:hAnsi="Palatino Linotype" w:cs="Arial"/>
          <w:bCs/>
        </w:rPr>
      </w:pPr>
    </w:p>
    <w:p w:rsidR="00DE55DE" w:rsidRPr="003F440B" w:rsidRDefault="00DE55DE" w:rsidP="00DE55DE">
      <w:pPr>
        <w:spacing w:line="360" w:lineRule="auto"/>
        <w:jc w:val="both"/>
        <w:rPr>
          <w:rFonts w:ascii="Palatino Linotype" w:hAnsi="Palatino Linotype"/>
          <w:b/>
          <w:i/>
          <w:u w:val="single"/>
        </w:rPr>
      </w:pPr>
      <w:r w:rsidRPr="003F440B">
        <w:rPr>
          <w:rFonts w:ascii="Palatino Linotype" w:hAnsi="Palatino Linotype" w:cs="Arial"/>
          <w:bCs/>
        </w:rPr>
        <w:t xml:space="preserve">Es así como, derivado de la respuesta emitida por </w:t>
      </w:r>
      <w:r w:rsidRPr="003F440B">
        <w:rPr>
          <w:rFonts w:ascii="Palatino Linotype" w:hAnsi="Palatino Linotype" w:cs="Arial"/>
          <w:b/>
          <w:bCs/>
        </w:rPr>
        <w:t>El Sujeto Obligado</w:t>
      </w:r>
      <w:r w:rsidRPr="003F440B">
        <w:rPr>
          <w:rFonts w:ascii="Palatino Linotype" w:hAnsi="Palatino Linotype" w:cs="Arial"/>
          <w:bCs/>
        </w:rPr>
        <w:t xml:space="preserve">, </w:t>
      </w:r>
      <w:r w:rsidRPr="003F440B">
        <w:rPr>
          <w:rFonts w:ascii="Palatino Linotype" w:hAnsi="Palatino Linotype" w:cs="Arial"/>
          <w:b/>
          <w:bCs/>
        </w:rPr>
        <w:t>la parte Recurrente</w:t>
      </w:r>
      <w:r w:rsidRPr="003F440B">
        <w:rPr>
          <w:rFonts w:ascii="Palatino Linotype" w:hAnsi="Palatino Linotype" w:cs="Arial"/>
          <w:bCs/>
        </w:rPr>
        <w:t>, interpuso el presente recurso de revisión, señalando sustancialmente como sus razones o motivos de inconformidad, lo siguiente:</w:t>
      </w:r>
      <w:r w:rsidRPr="003F440B" w:rsidDel="00107C3B">
        <w:rPr>
          <w:rFonts w:ascii="Palatino Linotype" w:hAnsi="Palatino Linotype"/>
          <w:b/>
          <w:i/>
        </w:rPr>
        <w:t xml:space="preserve"> </w:t>
      </w:r>
      <w:r w:rsidRPr="003F440B">
        <w:rPr>
          <w:rFonts w:ascii="Palatino Linotype" w:hAnsi="Palatino Linotype"/>
          <w:i/>
        </w:rPr>
        <w:t>“</w:t>
      </w:r>
      <w:r w:rsidR="00223B36" w:rsidRPr="003F440B">
        <w:rPr>
          <w:rFonts w:ascii="Palatino Linotype" w:hAnsi="Palatino Linotype"/>
          <w:bCs/>
          <w:i/>
        </w:rPr>
        <w:t>…</w:t>
      </w:r>
      <w:r w:rsidR="00647693" w:rsidRPr="003F440B">
        <w:rPr>
          <w:rFonts w:ascii="Palatino Linotype" w:hAnsi="Palatino Linotype"/>
          <w:bCs/>
          <w:i/>
        </w:rPr>
        <w:t xml:space="preserve">2.-Razones o Motivos de Inconformidad: Con fecha 02 de octubre de 2025, presenté mediante la plataforma del Sistema de Acceso a la Información Mexiquense, "SAIMEX" la Solicitud de Acceso a la Información Pública con número de folio 00289/OFICIALIA/IP/2025. * El plazo legal máximo establecido en la LTAIPEMyM para que el Sujeto Obligado respondiera y entregara la información solicitada venció el día 03 de nobiembre de 2025. * </w:t>
      </w:r>
      <w:r w:rsidR="00647693" w:rsidRPr="003F440B">
        <w:rPr>
          <w:rFonts w:ascii="Palatino Linotype" w:hAnsi="Palatino Linotype"/>
          <w:b/>
          <w:bCs/>
          <w:i/>
          <w:u w:val="single"/>
        </w:rPr>
        <w:t xml:space="preserve">A la fecha de interposición del presente Recurso de Revisión, el Sujeto Obligado OFICIALÍA MAYOR DEL ESTADO DE MÉXICO ha sido omiso en dar respuesta a la Solicitud de Acceso a la Información </w:t>
      </w:r>
      <w:r w:rsidR="00647693" w:rsidRPr="003F440B">
        <w:rPr>
          <w:rFonts w:ascii="Palatino Linotype" w:hAnsi="Palatino Linotype"/>
          <w:b/>
          <w:bCs/>
          <w:i/>
          <w:u w:val="single"/>
        </w:rPr>
        <w:lastRenderedPageBreak/>
        <w:t>Pública 00289/OFICIALIA/IP/2025 y, consecuentemente, no ha entregado la información requerida</w:t>
      </w:r>
      <w:r w:rsidR="00647693" w:rsidRPr="003F440B">
        <w:rPr>
          <w:rFonts w:ascii="Palatino Linotype" w:hAnsi="Palatino Linotype"/>
          <w:bCs/>
          <w:i/>
        </w:rPr>
        <w:t xml:space="preserve">. * Esta omisión constituye una violación a mi derecho fundamental de acceso a la información pública, por lo que solicito a este H. Instituto que admita a trámite el presente Recurso de Revisión y, una vez agotado el procedimiento, ordene al Sujeto Obligado la entrega inmediata de la información requerida en la Solicitud 00289/OFICIALIA/IP/2025. Por lo anteriormente expuesto y fundado, a este H. Instituto de Transparencia, Acceso a la Información Pública y Protección de Datos Personales del Estado de México y Municipios, atentamente solicito: PRIMERO: Tenerme por presentado en tiempo y forma el presente Recurso de Revisión </w:t>
      </w:r>
      <w:r w:rsidR="00647693" w:rsidRPr="003F440B">
        <w:rPr>
          <w:rFonts w:ascii="Palatino Linotype" w:hAnsi="Palatino Linotype"/>
          <w:b/>
          <w:bCs/>
          <w:i/>
          <w:u w:val="single"/>
        </w:rPr>
        <w:t>en contra de la omisión de respuesta de la Oficialía Mayor</w:t>
      </w:r>
      <w:r w:rsidR="00647693" w:rsidRPr="003F440B">
        <w:rPr>
          <w:rFonts w:ascii="Palatino Linotype" w:hAnsi="Palatino Linotype"/>
          <w:bCs/>
          <w:i/>
        </w:rPr>
        <w:t xml:space="preserve"> del Estado de México. SEGUNDO: Admitir a trámite el recurso con el número de folio de solicitud 00289/OFICIALIA/IP/2025. TERCERO: Requerir al Sujeto Obligado rinda su informe justificado y, en su momento, dicte la resolución correspondiente para ordenar la entrega de la información requerida en la solicitud original.</w:t>
      </w:r>
      <w:r w:rsidRPr="003F440B">
        <w:rPr>
          <w:rFonts w:ascii="Palatino Linotype" w:hAnsi="Palatino Linotype"/>
          <w:i/>
        </w:rPr>
        <w:t>” (Sic).</w:t>
      </w:r>
    </w:p>
    <w:p w:rsidR="00DE55DE" w:rsidRPr="003F440B" w:rsidRDefault="00DE55DE" w:rsidP="00DE55DE">
      <w:pPr>
        <w:spacing w:line="360" w:lineRule="auto"/>
        <w:jc w:val="both"/>
        <w:rPr>
          <w:rFonts w:ascii="Palatino Linotype" w:hAnsi="Palatino Linotype"/>
        </w:rPr>
      </w:pPr>
      <w:r w:rsidRPr="003F440B">
        <w:rPr>
          <w:rFonts w:ascii="Palatino Linotype" w:hAnsi="Palatino Linotype"/>
          <w:i/>
        </w:rPr>
        <w:t xml:space="preserve"> </w:t>
      </w:r>
    </w:p>
    <w:p w:rsidR="00DE55DE" w:rsidRPr="003F440B" w:rsidRDefault="00DE55DE" w:rsidP="00DE55DE">
      <w:pPr>
        <w:spacing w:line="360" w:lineRule="auto"/>
        <w:jc w:val="both"/>
      </w:pPr>
      <w:r w:rsidRPr="003F440B">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3F440B">
        <w:rPr>
          <w:rFonts w:ascii="Palatino Linotype" w:hAnsi="Palatino Linotype"/>
          <w:b/>
          <w:i/>
        </w:rPr>
        <w:t>“</w:t>
      </w:r>
      <w:r w:rsidR="00647693" w:rsidRPr="003F440B">
        <w:rPr>
          <w:rFonts w:ascii="Palatino Linotype" w:hAnsi="Palatino Linotype"/>
          <w:b/>
          <w:i/>
        </w:rPr>
        <w:t>IJ 289.pdf</w:t>
      </w:r>
      <w:r w:rsidRPr="003F440B">
        <w:rPr>
          <w:rFonts w:ascii="Palatino Linotype" w:hAnsi="Palatino Linotype"/>
          <w:b/>
          <w:i/>
        </w:rPr>
        <w:t>”</w:t>
      </w:r>
      <w:r w:rsidR="009C6595" w:rsidRPr="003F440B">
        <w:rPr>
          <w:rFonts w:ascii="Palatino Linotype" w:hAnsi="Palatino Linotype"/>
          <w:b/>
          <w:i/>
        </w:rPr>
        <w:t xml:space="preserve">, </w:t>
      </w:r>
      <w:r w:rsidR="009C6595" w:rsidRPr="003F440B">
        <w:rPr>
          <w:rFonts w:ascii="Palatino Linotype" w:hAnsi="Palatino Linotype"/>
        </w:rPr>
        <w:t xml:space="preserve">suscrito por el Titular de la Unidad de Transparencia, en el que refiere haber dado respuesta dentro de los plazos de ley. </w:t>
      </w:r>
    </w:p>
    <w:p w:rsidR="00DE55DE" w:rsidRPr="003F440B" w:rsidRDefault="00DE55DE" w:rsidP="00DE55DE">
      <w:pPr>
        <w:pStyle w:val="Citas"/>
        <w:spacing w:before="0" w:after="0"/>
        <w:ind w:left="0" w:right="0"/>
        <w:rPr>
          <w:i w:val="0"/>
          <w:sz w:val="24"/>
          <w:szCs w:val="24"/>
        </w:rPr>
      </w:pPr>
    </w:p>
    <w:p w:rsidR="00223B36" w:rsidRPr="003F440B" w:rsidRDefault="00223B36" w:rsidP="00223B36">
      <w:pPr>
        <w:spacing w:line="360" w:lineRule="auto"/>
        <w:jc w:val="both"/>
        <w:rPr>
          <w:rFonts w:ascii="Palatino Linotype" w:hAnsi="Palatino Linotype"/>
          <w:bCs/>
        </w:rPr>
      </w:pPr>
      <w:r w:rsidRPr="003F440B">
        <w:rPr>
          <w:rFonts w:ascii="Palatino Linotype" w:hAnsi="Palatino Linotype"/>
          <w:bCs/>
        </w:rPr>
        <w:t>De las manifestaciones (</w:t>
      </w:r>
      <w:r w:rsidRPr="003F440B">
        <w:rPr>
          <w:rFonts w:ascii="Palatino Linotype" w:hAnsi="Palatino Linotype"/>
          <w:bCs/>
          <w:i/>
        </w:rPr>
        <w:t>se inconforma por la omisión por parte del Sujeto Obligado para dar respuesta dentro de los plazos de la ley</w:t>
      </w:r>
      <w:r w:rsidRPr="003F440B">
        <w:rPr>
          <w:rFonts w:ascii="Palatino Linotype" w:hAnsi="Palatino Linotype"/>
          <w:bCs/>
        </w:rPr>
        <w:t>) del Recurrente y de las constancias que obran en el SAIMEX, se observa que la solicitud ingreso el dos de octubre del presente año, mientras que la respuesta se dio el cuatro de noviembre del mismo año, tal como se observa:</w:t>
      </w: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spacing w:line="360" w:lineRule="auto"/>
        <w:jc w:val="both"/>
        <w:rPr>
          <w:rFonts w:ascii="Palatino Linotype" w:hAnsi="Palatino Linotype"/>
          <w:bCs/>
        </w:rPr>
      </w:pPr>
      <w:r w:rsidRPr="003F440B">
        <w:rPr>
          <w:rFonts w:ascii="Palatino Linotype" w:hAnsi="Palatino Linotype"/>
          <w:bCs/>
          <w:noProof/>
          <w:lang w:val="es-MX" w:eastAsia="es-MX"/>
        </w:rPr>
        <w:lastRenderedPageBreak/>
        <mc:AlternateContent>
          <mc:Choice Requires="wps">
            <w:drawing>
              <wp:anchor distT="0" distB="0" distL="114300" distR="114300" simplePos="0" relativeHeight="251659264" behindDoc="0" locked="0" layoutInCell="1" allowOverlap="1" wp14:anchorId="2742E27F" wp14:editId="4BF7E56C">
                <wp:simplePos x="0" y="0"/>
                <wp:positionH relativeFrom="column">
                  <wp:posOffset>-3810</wp:posOffset>
                </wp:positionH>
                <wp:positionV relativeFrom="paragraph">
                  <wp:posOffset>2004695</wp:posOffset>
                </wp:positionV>
                <wp:extent cx="5295900" cy="323850"/>
                <wp:effectExtent l="19050" t="19050" r="19050" b="19050"/>
                <wp:wrapNone/>
                <wp:docPr id="2" name="Rectángulo 2"/>
                <wp:cNvGraphicFramePr/>
                <a:graphic xmlns:a="http://schemas.openxmlformats.org/drawingml/2006/main">
                  <a:graphicData uri="http://schemas.microsoft.com/office/word/2010/wordprocessingShape">
                    <wps:wsp>
                      <wps:cNvSpPr/>
                      <wps:spPr>
                        <a:xfrm>
                          <a:off x="0" y="0"/>
                          <a:ext cx="5295900" cy="3238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DDD74" id="Rectángulo 2" o:spid="_x0000_s1026" style="position:absolute;margin-left:-.3pt;margin-top:157.85pt;width:417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" filled="f" strokecolor="red" strokeweight="2.25pt"/>
            </w:pict>
          </mc:Fallback>
        </mc:AlternateContent>
      </w:r>
      <w:r w:rsidRPr="003F440B">
        <w:rPr>
          <w:rFonts w:ascii="Palatino Linotype" w:hAnsi="Palatino Linotype"/>
          <w:bCs/>
          <w:noProof/>
          <w:lang w:val="es-MX" w:eastAsia="es-MX"/>
        </w:rPr>
        <w:drawing>
          <wp:inline distT="0" distB="0" distL="0" distR="0">
            <wp:extent cx="5344271" cy="2848373"/>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0C054.tmp"/>
                    <pic:cNvPicPr/>
                  </pic:nvPicPr>
                  <pic:blipFill>
                    <a:blip r:embed="rId8">
                      <a:extLst>
                        <a:ext uri="{28A0092B-C50C-407E-A947-70E740481C1C}">
                          <a14:useLocalDpi xmlns:a14="http://schemas.microsoft.com/office/drawing/2010/main" val="0"/>
                        </a:ext>
                      </a:extLst>
                    </a:blip>
                    <a:stretch>
                      <a:fillRect/>
                    </a:stretch>
                  </pic:blipFill>
                  <pic:spPr>
                    <a:xfrm>
                      <a:off x="0" y="0"/>
                      <a:ext cx="5344271" cy="2848373"/>
                    </a:xfrm>
                    <a:prstGeom prst="rect">
                      <a:avLst/>
                    </a:prstGeom>
                  </pic:spPr>
                </pic:pic>
              </a:graphicData>
            </a:graphic>
          </wp:inline>
        </w:drawing>
      </w: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spacing w:line="360" w:lineRule="auto"/>
        <w:jc w:val="both"/>
        <w:rPr>
          <w:rFonts w:ascii="Palatino Linotype" w:hAnsi="Palatino Linotype"/>
          <w:bCs/>
        </w:rPr>
      </w:pPr>
      <w:r w:rsidRPr="003F440B">
        <w:rPr>
          <w:rFonts w:ascii="Palatino Linotype" w:hAnsi="Palatino Linotype"/>
          <w:bCs/>
        </w:rPr>
        <w:t xml:space="preserve">Ahora bien, la Ley de Transparencia y Acceso a la Información Pública del Estado de México y Municipios establece que, la Unidad de Transparencia notificar al solicitante la respuesta en un plazo que no podrá exceder de quince días hábiles, </w:t>
      </w:r>
      <w:r w:rsidR="00EC2051" w:rsidRPr="003F440B">
        <w:rPr>
          <w:rFonts w:ascii="Palatino Linotype" w:hAnsi="Palatino Linotype"/>
          <w:bCs/>
        </w:rPr>
        <w:t xml:space="preserve">salvo que se notifique una prórroga por 7 días más, </w:t>
      </w:r>
      <w:r w:rsidRPr="003F440B">
        <w:rPr>
          <w:rFonts w:ascii="Palatino Linotype" w:hAnsi="Palatino Linotype"/>
          <w:bCs/>
        </w:rPr>
        <w:t>tal como se transcribe:</w:t>
      </w:r>
    </w:p>
    <w:p w:rsidR="00223B36" w:rsidRPr="003F440B" w:rsidRDefault="00223B36" w:rsidP="00223B36">
      <w:pPr>
        <w:pStyle w:val="Citas"/>
      </w:pPr>
      <w:r w:rsidRPr="003F440B">
        <w:rPr>
          <w:b/>
        </w:rPr>
        <w:t>Artículo 163.</w:t>
      </w:r>
      <w:r w:rsidRPr="003F440B">
        <w:t xml:space="preserve"> La Unidad de Transparencia deberá </w:t>
      </w:r>
      <w:r w:rsidRPr="003F440B">
        <w:rPr>
          <w:b/>
        </w:rPr>
        <w:t>notificar la respuesta a la solicitud</w:t>
      </w:r>
      <w:r w:rsidRPr="003F440B">
        <w:t xml:space="preserve"> al interesado en el menor tiempo posible, que no podrá exceder de </w:t>
      </w:r>
      <w:r w:rsidRPr="003F440B">
        <w:rPr>
          <w:b/>
          <w:u w:val="single"/>
        </w:rPr>
        <w:t>quince días hábiles</w:t>
      </w:r>
      <w:r w:rsidRPr="003F440B">
        <w:t>, contados a partir del día siguiente a la presentación de aquélla.</w:t>
      </w:r>
    </w:p>
    <w:p w:rsidR="00EC2051" w:rsidRPr="003F440B" w:rsidRDefault="00EC2051" w:rsidP="00223B36">
      <w:pPr>
        <w:pStyle w:val="Citas"/>
      </w:pPr>
      <w:r w:rsidRPr="003F440B">
        <w:rPr>
          <w:lang w:val="es-ES"/>
        </w:rPr>
        <w:t xml:space="preserve">Excepcionalmente, el plazo referido en el párrafo anterior </w:t>
      </w:r>
      <w:r w:rsidRPr="003F440B">
        <w:rPr>
          <w:b/>
          <w:u w:val="single"/>
          <w:lang w:val="es-ES"/>
        </w:rPr>
        <w:t>podrá ampliarse hasta por siete días hábiles más</w:t>
      </w:r>
      <w:r w:rsidRPr="003F440B">
        <w:rPr>
          <w:lang w:val="es-ES"/>
        </w:rPr>
        <w:t>,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223B36" w:rsidRPr="003F440B" w:rsidRDefault="00EC2051" w:rsidP="00223B36">
      <w:pPr>
        <w:spacing w:line="360" w:lineRule="auto"/>
        <w:jc w:val="both"/>
        <w:rPr>
          <w:rFonts w:ascii="Palatino Linotype" w:hAnsi="Palatino Linotype"/>
          <w:bCs/>
        </w:rPr>
      </w:pPr>
      <w:r w:rsidRPr="003F440B">
        <w:rPr>
          <w:rFonts w:ascii="Palatino Linotype" w:hAnsi="Palatino Linotype"/>
          <w:bCs/>
        </w:rPr>
        <w:lastRenderedPageBreak/>
        <w:t>Por otro lado, si bien la respuesta se practicó un día después del plazo establecido, lo cierto es que, sí hubo respuesta por parte del Sujeto Obligado</w:t>
      </w:r>
      <w:r w:rsidR="00DC3748" w:rsidRPr="003F440B">
        <w:rPr>
          <w:rFonts w:ascii="Palatino Linotype" w:hAnsi="Palatino Linotype"/>
          <w:bCs/>
        </w:rPr>
        <w:t xml:space="preserve"> y el recurso de revisión se interpuso después de haberse entregado la respuesta. Por lo que dichas manifestaciones resultan improcedentes.</w:t>
      </w:r>
    </w:p>
    <w:p w:rsidR="00EC2051" w:rsidRPr="003F440B" w:rsidRDefault="00EC2051" w:rsidP="00223B36">
      <w:pPr>
        <w:spacing w:line="360" w:lineRule="auto"/>
        <w:jc w:val="both"/>
        <w:rPr>
          <w:rFonts w:ascii="Palatino Linotype" w:hAnsi="Palatino Linotype"/>
          <w:bCs/>
        </w:rPr>
      </w:pPr>
    </w:p>
    <w:p w:rsidR="00223B36" w:rsidRPr="003F440B" w:rsidRDefault="00223B36" w:rsidP="00223B36">
      <w:pPr>
        <w:spacing w:line="360" w:lineRule="auto"/>
        <w:jc w:val="both"/>
        <w:rPr>
          <w:rFonts w:ascii="Palatino Linotype" w:hAnsi="Palatino Linotype"/>
          <w:bCs/>
          <w:i/>
        </w:rPr>
      </w:pPr>
      <w:r w:rsidRPr="003F440B">
        <w:rPr>
          <w:rFonts w:ascii="Palatino Linotype" w:hAnsi="Palatino Linotype"/>
          <w:bCs/>
        </w:rPr>
        <w:t>Ante ello se destaca que dichos señalamientos resultan improcedentes para la interposición del recurso de revisión, ello con base en la fracción III del artículo 191 de la citada Ley de Transparencia Local, que consagra:</w:t>
      </w: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pStyle w:val="Citas"/>
      </w:pPr>
      <w:r w:rsidRPr="003F440B">
        <w:t xml:space="preserve">“Artículo 191. El recurso será desechado por improcedente cuando: </w:t>
      </w:r>
      <w:r w:rsidRPr="003F440B">
        <w:tab/>
      </w:r>
    </w:p>
    <w:p w:rsidR="00223B36" w:rsidRPr="003F440B" w:rsidRDefault="00223B36" w:rsidP="00223B36">
      <w:pPr>
        <w:pStyle w:val="Citas"/>
        <w:numPr>
          <w:ilvl w:val="0"/>
          <w:numId w:val="14"/>
        </w:numPr>
        <w:rPr>
          <w:rFonts w:cs="Times New Roman"/>
          <w:lang w:val="es-ES" w:eastAsia="es-ES"/>
        </w:rPr>
      </w:pPr>
      <w:r w:rsidRPr="003F440B">
        <w:rPr>
          <w:rFonts w:cs="Times New Roman"/>
          <w:lang w:val="es-ES" w:eastAsia="es-ES"/>
        </w:rPr>
        <w:t xml:space="preserve">Sea extemporáneo por haber transcurrido el plazo establecido en la presente Ley, a partir de la respuesta; </w:t>
      </w:r>
    </w:p>
    <w:p w:rsidR="00223B36" w:rsidRPr="003F440B" w:rsidRDefault="00223B36" w:rsidP="00223B36">
      <w:pPr>
        <w:pStyle w:val="Citas"/>
        <w:numPr>
          <w:ilvl w:val="0"/>
          <w:numId w:val="14"/>
        </w:numPr>
        <w:rPr>
          <w:lang w:val="es-ES" w:eastAsia="es-ES"/>
        </w:rPr>
      </w:pPr>
      <w:r w:rsidRPr="003F440B">
        <w:rPr>
          <w:rFonts w:cs="Times New Roman"/>
          <w:lang w:val="es-ES" w:eastAsia="es-ES"/>
        </w:rPr>
        <w:t xml:space="preserve">Se esté tramitando ante el Poder Judicial de la Federación algún recurso o medio de defensa interpuesto por el recurrente; </w:t>
      </w:r>
    </w:p>
    <w:p w:rsidR="00223B36" w:rsidRPr="003F440B" w:rsidRDefault="00223B36" w:rsidP="00223B36">
      <w:pPr>
        <w:pStyle w:val="Citas"/>
        <w:numPr>
          <w:ilvl w:val="0"/>
          <w:numId w:val="14"/>
        </w:numPr>
        <w:rPr>
          <w:b/>
          <w:u w:val="single"/>
          <w:lang w:val="es-ES" w:eastAsia="es-ES"/>
        </w:rPr>
      </w:pPr>
      <w:r w:rsidRPr="003F440B">
        <w:rPr>
          <w:rFonts w:cs="Times New Roman"/>
          <w:b/>
          <w:u w:val="single"/>
          <w:lang w:val="es-ES" w:eastAsia="es-ES"/>
        </w:rPr>
        <w:t xml:space="preserve">No actualice alguno de los supuestos previstos en la presente Ley; </w:t>
      </w:r>
    </w:p>
    <w:p w:rsidR="00223B36" w:rsidRPr="003F440B" w:rsidRDefault="00223B36" w:rsidP="00223B36">
      <w:pPr>
        <w:pStyle w:val="Citas"/>
        <w:numPr>
          <w:ilvl w:val="0"/>
          <w:numId w:val="14"/>
        </w:numPr>
        <w:rPr>
          <w:lang w:val="es-ES" w:eastAsia="es-ES"/>
        </w:rPr>
      </w:pPr>
      <w:r w:rsidRPr="003F440B">
        <w:rPr>
          <w:rFonts w:cs="Times New Roman"/>
          <w:lang w:val="es-ES" w:eastAsia="es-ES"/>
        </w:rPr>
        <w:t xml:space="preserve">No se haya desahogado la prevención en los términos establecidos en la presente Ley; </w:t>
      </w:r>
    </w:p>
    <w:p w:rsidR="00223B36" w:rsidRPr="003F440B" w:rsidRDefault="00223B36" w:rsidP="00223B36">
      <w:pPr>
        <w:pStyle w:val="Citas"/>
        <w:numPr>
          <w:ilvl w:val="0"/>
          <w:numId w:val="14"/>
        </w:numPr>
        <w:rPr>
          <w:lang w:val="es-ES" w:eastAsia="es-ES"/>
        </w:rPr>
      </w:pPr>
      <w:r w:rsidRPr="003F440B">
        <w:rPr>
          <w:rFonts w:cs="Times New Roman"/>
          <w:lang w:val="es-ES" w:eastAsia="es-ES"/>
        </w:rPr>
        <w:t xml:space="preserve">Se impugne la veracidad de la información proporcionada; </w:t>
      </w:r>
    </w:p>
    <w:p w:rsidR="00223B36" w:rsidRPr="003F440B" w:rsidRDefault="00223B36" w:rsidP="00223B36">
      <w:pPr>
        <w:pStyle w:val="Citas"/>
        <w:numPr>
          <w:ilvl w:val="0"/>
          <w:numId w:val="14"/>
        </w:numPr>
        <w:rPr>
          <w:bCs/>
          <w:lang w:val="es-ES" w:eastAsia="es-ES"/>
        </w:rPr>
      </w:pPr>
      <w:r w:rsidRPr="003F440B">
        <w:rPr>
          <w:rFonts w:cs="Times New Roman"/>
          <w:bCs/>
          <w:lang w:val="es-ES" w:eastAsia="es-ES"/>
        </w:rPr>
        <w:t xml:space="preserve">Se trate de una consulta, o trámite en específico; y </w:t>
      </w:r>
    </w:p>
    <w:p w:rsidR="00223B36" w:rsidRPr="003F440B" w:rsidRDefault="00223B36" w:rsidP="00223B36">
      <w:pPr>
        <w:pStyle w:val="Citas"/>
        <w:numPr>
          <w:ilvl w:val="0"/>
          <w:numId w:val="14"/>
        </w:numPr>
        <w:rPr>
          <w:lang w:val="es-ES" w:eastAsia="es-ES"/>
        </w:rPr>
      </w:pPr>
      <w:r w:rsidRPr="003F440B">
        <w:rPr>
          <w:rFonts w:cs="Times New Roman"/>
          <w:lang w:val="es-ES" w:eastAsia="es-ES"/>
        </w:rPr>
        <w:t xml:space="preserve">El recurrente amplíe su solicitud en el recurso de revisión, únicamente respecto de los nuevos contenidos.” </w:t>
      </w:r>
      <w:r w:rsidRPr="003F440B">
        <w:rPr>
          <w:rFonts w:cs="Times New Roman"/>
          <w:b/>
          <w:bCs/>
          <w:lang w:val="es-ES" w:eastAsia="es-ES"/>
        </w:rPr>
        <w:t>(Sic)</w:t>
      </w: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spacing w:line="360" w:lineRule="auto"/>
        <w:jc w:val="both"/>
        <w:rPr>
          <w:rFonts w:ascii="Palatino Linotype" w:hAnsi="Palatino Linotype"/>
          <w:bCs/>
        </w:rPr>
      </w:pPr>
      <w:r w:rsidRPr="003F440B">
        <w:rPr>
          <w:rFonts w:ascii="Palatino Linotype" w:hAnsi="Palatino Linotype"/>
          <w:bCs/>
        </w:rPr>
        <w:t>Podemos concluir entonces que, en el presente asunto, se actualiza la causal de sobreseimiento prevista en la fracción IV del artículo 192, de la Ley de Transparencia y Acceso a información Pública del Estado de México y Municipios, que disponen lo siguiente:</w:t>
      </w:r>
    </w:p>
    <w:p w:rsidR="00223B36" w:rsidRPr="003F440B" w:rsidRDefault="00223B36" w:rsidP="00223B36">
      <w:pPr>
        <w:spacing w:line="360" w:lineRule="auto"/>
        <w:jc w:val="both"/>
        <w:rPr>
          <w:rFonts w:ascii="Palatino Linotype" w:hAnsi="Palatino Linotype"/>
          <w:bCs/>
        </w:rPr>
      </w:pPr>
    </w:p>
    <w:p w:rsidR="00223B36" w:rsidRPr="003F440B" w:rsidRDefault="00223B36" w:rsidP="00223B36">
      <w:pPr>
        <w:pStyle w:val="Citas"/>
        <w:rPr>
          <w:lang w:val="es-ES" w:eastAsia="es-ES"/>
        </w:rPr>
      </w:pPr>
      <w:r w:rsidRPr="003F440B">
        <w:rPr>
          <w:lang w:val="es-ES" w:eastAsia="es-ES"/>
        </w:rPr>
        <w:t xml:space="preserve"> “Artículo 192. El recurso será sobreseído, en todo o en parte, cuando una vez admitido, se actualicen alguno de los siguientes supuestos:</w:t>
      </w:r>
    </w:p>
    <w:p w:rsidR="00223B36" w:rsidRPr="003F440B" w:rsidRDefault="00223B36" w:rsidP="00223B36">
      <w:pPr>
        <w:pStyle w:val="Citas"/>
        <w:numPr>
          <w:ilvl w:val="0"/>
          <w:numId w:val="15"/>
        </w:numPr>
        <w:rPr>
          <w:lang w:val="es-ES" w:eastAsia="es-ES"/>
        </w:rPr>
      </w:pPr>
      <w:r w:rsidRPr="003F440B">
        <w:rPr>
          <w:lang w:val="es-ES" w:eastAsia="es-ES"/>
        </w:rPr>
        <w:t xml:space="preserve">El recurrente se desista expresamente del recurso; </w:t>
      </w:r>
    </w:p>
    <w:p w:rsidR="00223B36" w:rsidRPr="003F440B" w:rsidRDefault="00223B36" w:rsidP="00223B36">
      <w:pPr>
        <w:pStyle w:val="Citas"/>
        <w:numPr>
          <w:ilvl w:val="0"/>
          <w:numId w:val="15"/>
        </w:numPr>
        <w:rPr>
          <w:lang w:val="es-ES" w:eastAsia="es-ES"/>
        </w:rPr>
      </w:pPr>
      <w:r w:rsidRPr="003F440B">
        <w:rPr>
          <w:lang w:val="es-ES" w:eastAsia="es-ES"/>
        </w:rPr>
        <w:t xml:space="preserve">El recurrente fallezca o, tratándose de personas jurídicas colectivas, se disuelva; </w:t>
      </w:r>
    </w:p>
    <w:p w:rsidR="00223B36" w:rsidRPr="003F440B" w:rsidRDefault="00223B36" w:rsidP="00223B36">
      <w:pPr>
        <w:pStyle w:val="Citas"/>
        <w:numPr>
          <w:ilvl w:val="0"/>
          <w:numId w:val="15"/>
        </w:numPr>
        <w:rPr>
          <w:lang w:val="es-ES" w:eastAsia="es-ES"/>
        </w:rPr>
      </w:pPr>
      <w:r w:rsidRPr="003F440B">
        <w:rPr>
          <w:lang w:val="es-ES" w:eastAsia="es-ES"/>
        </w:rPr>
        <w:t xml:space="preserve">El sujeto obligado responsable del acto lo modifique o revoque de tal manera que el recurso de revisión quede sin materia; </w:t>
      </w:r>
    </w:p>
    <w:p w:rsidR="00223B36" w:rsidRPr="003F440B" w:rsidRDefault="00223B36" w:rsidP="00223B36">
      <w:pPr>
        <w:pStyle w:val="Citas"/>
        <w:numPr>
          <w:ilvl w:val="0"/>
          <w:numId w:val="15"/>
        </w:numPr>
        <w:rPr>
          <w:b/>
          <w:bCs/>
          <w:u w:val="single"/>
          <w:lang w:val="es-ES" w:eastAsia="es-ES"/>
        </w:rPr>
      </w:pPr>
      <w:r w:rsidRPr="003F440B">
        <w:rPr>
          <w:b/>
          <w:bCs/>
          <w:u w:val="single"/>
          <w:lang w:val="es-ES" w:eastAsia="es-ES"/>
        </w:rPr>
        <w:t xml:space="preserve">Admitido el recurso de revisión, aparezca alguna causal de improcedencia en los términos de la presente Ley; y </w:t>
      </w:r>
    </w:p>
    <w:p w:rsidR="00223B36" w:rsidRPr="003F440B" w:rsidRDefault="00223B36" w:rsidP="00223B36">
      <w:pPr>
        <w:pStyle w:val="Citas"/>
        <w:numPr>
          <w:ilvl w:val="0"/>
          <w:numId w:val="15"/>
        </w:numPr>
        <w:rPr>
          <w:lang w:val="es-ES" w:eastAsia="es-ES"/>
        </w:rPr>
      </w:pPr>
      <w:r w:rsidRPr="003F440B">
        <w:rPr>
          <w:lang w:val="es-ES" w:eastAsia="es-ES"/>
        </w:rPr>
        <w:t xml:space="preserve">Cuando por cualquier motivo quede sin materia el recurso.” </w:t>
      </w:r>
      <w:r w:rsidRPr="003F440B">
        <w:rPr>
          <w:b/>
          <w:bCs/>
          <w:lang w:val="es-ES" w:eastAsia="es-ES"/>
        </w:rPr>
        <w:t>(Sic)</w:t>
      </w:r>
    </w:p>
    <w:p w:rsidR="00223B36" w:rsidRPr="003F440B" w:rsidRDefault="00223B36" w:rsidP="00223B36">
      <w:pPr>
        <w:autoSpaceDE w:val="0"/>
        <w:autoSpaceDN w:val="0"/>
        <w:adjustRightInd w:val="0"/>
        <w:spacing w:line="360" w:lineRule="auto"/>
        <w:jc w:val="both"/>
        <w:rPr>
          <w:rFonts w:ascii="Palatino Linotype" w:hAnsi="Palatino Linotype" w:cs="Arial"/>
        </w:rPr>
      </w:pPr>
    </w:p>
    <w:p w:rsidR="00223B36" w:rsidRPr="003F440B" w:rsidRDefault="00223B36" w:rsidP="00223B36">
      <w:pPr>
        <w:autoSpaceDE w:val="0"/>
        <w:autoSpaceDN w:val="0"/>
        <w:adjustRightInd w:val="0"/>
        <w:spacing w:line="360" w:lineRule="auto"/>
        <w:jc w:val="both"/>
        <w:rPr>
          <w:rFonts w:ascii="Palatino Linotype" w:hAnsi="Palatino Linotype"/>
        </w:rPr>
      </w:pPr>
      <w:r w:rsidRPr="003F440B">
        <w:rPr>
          <w:rFonts w:ascii="Palatino Linotype" w:hAnsi="Palatino Linotype"/>
        </w:rPr>
        <w:t xml:space="preserve">Es importante resaltar a manera de analogía que la Suprema Corte de Justicia de la Nación mediante el número 2, de la Serie </w:t>
      </w:r>
      <w:r w:rsidRPr="003F440B">
        <w:rPr>
          <w:rFonts w:ascii="Palatino Linotype" w:hAnsi="Palatino Linotype"/>
          <w:b/>
          <w:bCs/>
          <w:i/>
        </w:rPr>
        <w:t>Estudios Introductorios sobre el Juicio de Amparo</w:t>
      </w:r>
      <w:r w:rsidRPr="003F440B">
        <w:rPr>
          <w:rFonts w:ascii="Palatino Linotype" w:hAnsi="Palatino Linotype"/>
          <w:i/>
        </w:rPr>
        <w:t xml:space="preserve"> </w:t>
      </w:r>
      <w:r w:rsidRPr="003F440B">
        <w:rPr>
          <w:rFonts w:ascii="Palatino Linotype" w:hAnsi="Palatino Linotype"/>
        </w:rPr>
        <w:t xml:space="preserve">relativo a </w:t>
      </w:r>
      <w:r w:rsidRPr="003F440B">
        <w:rPr>
          <w:rFonts w:ascii="Palatino Linotype" w:hAnsi="Palatino Linotype"/>
          <w:b/>
          <w:bCs/>
          <w:i/>
        </w:rPr>
        <w:t>LA IMPROCEDENCIA DE LA ACCIÓN DE AMPARO</w:t>
      </w:r>
      <w:r w:rsidRPr="003F440B">
        <w:rPr>
          <w:rFonts w:ascii="Palatino Linotype" w:hAnsi="Palatino Linotype"/>
          <w:i/>
        </w:rPr>
        <w:t xml:space="preserve"> </w:t>
      </w:r>
      <w:r w:rsidRPr="003F440B">
        <w:rPr>
          <w:rFonts w:ascii="Palatino Linotype" w:hAnsi="Palatino Linotype"/>
        </w:rPr>
        <w:t xml:space="preserve">definió a la improcedencia del amparo como la institución jurídica procesal en la que, al actualizarse ciertas circunstancias previstas en la Constitución Federal, en la Ley de </w:t>
      </w:r>
      <w:r w:rsidRPr="003F440B">
        <w:rPr>
          <w:rFonts w:ascii="Palatino Linotype" w:hAnsi="Palatino Linotype"/>
        </w:rPr>
        <w:lastRenderedPageBreak/>
        <w:t xml:space="preserve">Amparo o en la Jurisprudencia, el órgano jurisdiccional se ve impedido para analizar y resolver el fondo del asunto y que la causa de improcedencia puede tenerse por acreditada desde el momento en que se presenta la demanda de amparo, </w:t>
      </w:r>
      <w:r w:rsidRPr="003F440B">
        <w:rPr>
          <w:rFonts w:ascii="Palatino Linotype" w:hAnsi="Palatino Linotype"/>
          <w:b/>
          <w:u w:val="single"/>
        </w:rPr>
        <w:t>lo que generará que la demanda sea desechada; o bien, después de admitida la demanda, lo que tendrá como consecuencia que se sobresea en el juicio.</w:t>
      </w:r>
    </w:p>
    <w:p w:rsidR="00223B36" w:rsidRPr="003F440B" w:rsidRDefault="00223B36" w:rsidP="00223B36"/>
    <w:p w:rsidR="00223B36" w:rsidRPr="003F440B" w:rsidRDefault="00223B36" w:rsidP="00223B36">
      <w:pPr>
        <w:spacing w:line="360" w:lineRule="auto"/>
        <w:jc w:val="both"/>
        <w:rPr>
          <w:rFonts w:ascii="Palatino Linotype" w:eastAsiaTheme="minorEastAsia" w:hAnsi="Palatino Linotype"/>
          <w:lang w:val="es-ES_tradnl"/>
        </w:rPr>
      </w:pPr>
      <w:r w:rsidRPr="003F440B">
        <w:rPr>
          <w:rFonts w:ascii="Palatino Linotype" w:hAnsi="Palatino Linotype"/>
          <w:bCs/>
        </w:rPr>
        <w:t xml:space="preserve">Por lo que </w:t>
      </w:r>
      <w:r w:rsidRPr="003F440B">
        <w:rPr>
          <w:rFonts w:ascii="Palatino Linotype" w:eastAsiaTheme="minorEastAsia" w:hAnsi="Palatino Linotype" w:cs="Arial"/>
          <w:b/>
          <w:lang w:val="es-ES_tradnl"/>
        </w:rPr>
        <w:t xml:space="preserve">con fundamento en la segunda hipótesis de la fracción I del artículo 186, </w:t>
      </w:r>
      <w:r w:rsidRPr="003F440B">
        <w:rPr>
          <w:rFonts w:ascii="Palatino Linotype" w:eastAsiaTheme="minorEastAsia" w:hAnsi="Palatino Linotype" w:cs="Arial"/>
          <w:lang w:val="es-ES_tradnl"/>
        </w:rPr>
        <w:t xml:space="preserve">de la Ley de Transparencia y Acceso a la Información Pública del Estado de México y Municipios, se </w:t>
      </w:r>
      <w:r w:rsidRPr="003F440B">
        <w:rPr>
          <w:rFonts w:ascii="Palatino Linotype" w:eastAsiaTheme="minorEastAsia" w:hAnsi="Palatino Linotype" w:cs="Arial"/>
          <w:b/>
          <w:lang w:val="es-ES_tradnl"/>
        </w:rPr>
        <w:t xml:space="preserve">SOBRESEE </w:t>
      </w:r>
      <w:r w:rsidRPr="003F440B">
        <w:rPr>
          <w:rFonts w:ascii="Palatino Linotype" w:eastAsiaTheme="minorEastAsia" w:hAnsi="Palatino Linotype" w:cs="Arial"/>
          <w:lang w:val="es-ES_tradnl"/>
        </w:rPr>
        <w:t xml:space="preserve">el recurso de revisión </w:t>
      </w:r>
      <w:r w:rsidRPr="003F440B">
        <w:rPr>
          <w:rFonts w:ascii="Palatino Linotype" w:hAnsi="Palatino Linotype"/>
          <w:b/>
          <w:bCs/>
        </w:rPr>
        <w:t>012765/INFOEM/IP/RR/2025</w:t>
      </w:r>
      <w:r w:rsidRPr="003F440B">
        <w:rPr>
          <w:rFonts w:ascii="Palatino Linotype" w:eastAsiaTheme="minorEastAsia" w:hAnsi="Palatino Linotype" w:cs="Arial"/>
          <w:lang w:val="es-ES_tradnl"/>
        </w:rPr>
        <w:t>,</w:t>
      </w:r>
      <w:r w:rsidRPr="003F440B">
        <w:rPr>
          <w:rFonts w:ascii="Palatino Linotype" w:eastAsiaTheme="minorEastAsia" w:hAnsi="Palatino Linotype"/>
          <w:lang w:val="es-ES_tradnl"/>
        </w:rPr>
        <w:t xml:space="preserve"> que ha sido materia del presente fallo.</w:t>
      </w:r>
    </w:p>
    <w:p w:rsidR="00223B36" w:rsidRPr="003F440B" w:rsidRDefault="00223B36" w:rsidP="00223B36">
      <w:pPr>
        <w:spacing w:line="360" w:lineRule="auto"/>
        <w:jc w:val="both"/>
        <w:rPr>
          <w:rFonts w:ascii="Palatino Linotype" w:hAnsi="Palatino Linotype"/>
          <w:lang w:val="es-ES_tradnl"/>
        </w:rPr>
      </w:pPr>
    </w:p>
    <w:p w:rsidR="00223B36" w:rsidRPr="003F440B" w:rsidRDefault="00223B36" w:rsidP="00223B36">
      <w:pPr>
        <w:spacing w:line="360" w:lineRule="auto"/>
        <w:jc w:val="both"/>
        <w:rPr>
          <w:rFonts w:ascii="Palatino Linotype" w:hAnsi="Palatino Linotype"/>
        </w:rPr>
      </w:pPr>
    </w:p>
    <w:p w:rsidR="00223B36" w:rsidRPr="003F440B" w:rsidRDefault="00223B36" w:rsidP="00223B36">
      <w:pPr>
        <w:spacing w:line="360" w:lineRule="auto"/>
        <w:jc w:val="both"/>
        <w:rPr>
          <w:rFonts w:ascii="Palatino Linotype" w:hAnsi="Palatino Linotype"/>
        </w:rPr>
      </w:pPr>
      <w:r w:rsidRPr="003F440B">
        <w:rPr>
          <w:rFonts w:ascii="Palatino Linotype" w:hAnsi="Palatino Linotype"/>
        </w:rPr>
        <w:t>Por lo antes expuesto y fundado es de resolverse y,</w:t>
      </w:r>
    </w:p>
    <w:p w:rsidR="00223B36" w:rsidRPr="003F440B" w:rsidRDefault="00223B36" w:rsidP="00223B36">
      <w:pPr>
        <w:spacing w:line="360" w:lineRule="auto"/>
        <w:jc w:val="both"/>
        <w:rPr>
          <w:rFonts w:ascii="Palatino Linotype" w:hAnsi="Palatino Linotype"/>
        </w:rPr>
      </w:pPr>
    </w:p>
    <w:p w:rsidR="00223B36" w:rsidRPr="003F440B" w:rsidRDefault="00223B36" w:rsidP="00223B36">
      <w:pPr>
        <w:spacing w:line="360" w:lineRule="auto"/>
        <w:jc w:val="center"/>
        <w:rPr>
          <w:rFonts w:ascii="Palatino Linotype" w:hAnsi="Palatino Linotype"/>
          <w:bCs/>
          <w:spacing w:val="60"/>
          <w:lang w:val="es-ES_tradnl"/>
        </w:rPr>
      </w:pPr>
      <w:r w:rsidRPr="003F440B">
        <w:rPr>
          <w:rFonts w:ascii="Palatino Linotype" w:hAnsi="Palatino Linotype"/>
          <w:b/>
          <w:bCs/>
          <w:spacing w:val="60"/>
          <w:sz w:val="28"/>
          <w:lang w:val="es-ES_tradnl"/>
        </w:rPr>
        <w:t>SE    RESUELVE</w:t>
      </w:r>
    </w:p>
    <w:p w:rsidR="00223B36" w:rsidRPr="003F440B" w:rsidRDefault="00223B36" w:rsidP="00223B36">
      <w:pPr>
        <w:spacing w:line="360" w:lineRule="auto"/>
        <w:jc w:val="center"/>
        <w:rPr>
          <w:rFonts w:ascii="Palatino Linotype" w:hAnsi="Palatino Linotype"/>
          <w:bCs/>
          <w:spacing w:val="60"/>
          <w:lang w:val="es-ES_tradnl"/>
        </w:rPr>
      </w:pPr>
    </w:p>
    <w:p w:rsidR="00223B36" w:rsidRPr="003F440B" w:rsidRDefault="00223B36" w:rsidP="00223B36">
      <w:pPr>
        <w:spacing w:line="360" w:lineRule="auto"/>
        <w:jc w:val="both"/>
        <w:rPr>
          <w:rFonts w:ascii="Palatino Linotype" w:eastAsia="Calibri" w:hAnsi="Palatino Linotype" w:cs="Arial"/>
          <w:lang w:val="es-ES_tradnl" w:eastAsia="es-MX"/>
        </w:rPr>
      </w:pPr>
      <w:r w:rsidRPr="003F440B">
        <w:rPr>
          <w:rFonts w:ascii="Palatino Linotype" w:eastAsiaTheme="minorEastAsia" w:hAnsi="Palatino Linotype" w:cs="Arial"/>
          <w:b/>
          <w:sz w:val="28"/>
          <w:lang w:val="es-ES_tradnl"/>
        </w:rPr>
        <w:t>PRIMERO.</w:t>
      </w:r>
      <w:r w:rsidRPr="003F440B">
        <w:rPr>
          <w:rFonts w:ascii="Palatino Linotype" w:eastAsiaTheme="minorEastAsia" w:hAnsi="Palatino Linotype" w:cs="Arial"/>
          <w:lang w:val="es-ES_tradnl"/>
        </w:rPr>
        <w:t xml:space="preserve"> Se </w:t>
      </w:r>
      <w:r w:rsidRPr="003F440B">
        <w:rPr>
          <w:rFonts w:ascii="Palatino Linotype" w:eastAsiaTheme="minorEastAsia" w:hAnsi="Palatino Linotype" w:cs="Arial"/>
          <w:b/>
          <w:lang w:val="es-ES_tradnl"/>
        </w:rPr>
        <w:t>SOBRESEE</w:t>
      </w:r>
      <w:r w:rsidRPr="003F440B">
        <w:rPr>
          <w:rFonts w:ascii="Palatino Linotype" w:eastAsiaTheme="minorEastAsia" w:hAnsi="Palatino Linotype" w:cs="Arial"/>
          <w:lang w:val="es-ES_tradnl"/>
        </w:rPr>
        <w:t xml:space="preserve"> el recurso de revisión </w:t>
      </w:r>
      <w:r w:rsidRPr="003F440B">
        <w:rPr>
          <w:rFonts w:ascii="Palatino Linotype" w:eastAsiaTheme="minorEastAsia" w:hAnsi="Palatino Linotype" w:cs="Arial"/>
          <w:b/>
          <w:lang w:val="es-ES_tradnl"/>
        </w:rPr>
        <w:t>012765/INFOEM/IP/RR/2025</w:t>
      </w:r>
      <w:r w:rsidRPr="003F440B">
        <w:rPr>
          <w:rFonts w:ascii="Palatino Linotype" w:eastAsiaTheme="minorEastAsia" w:hAnsi="Palatino Linotype" w:cs="Arial"/>
          <w:lang w:val="es-ES_tradnl"/>
        </w:rPr>
        <w:t xml:space="preserve">, </w:t>
      </w:r>
      <w:r w:rsidRPr="003F440B">
        <w:rPr>
          <w:rFonts w:ascii="Palatino Linotype" w:eastAsia="Calibri" w:hAnsi="Palatino Linotype" w:cs="Arial"/>
          <w:lang w:val="es-ES_tradnl" w:eastAsia="es-MX"/>
        </w:rPr>
        <w:t xml:space="preserve">de conformidad con el artículo 192, fracción IV por actualizarse la causal de improcedencia contenida en la fracción III, del artículo 191, ambos de la Ley de Transparencia y Acceso a la Información Pública del Estado de México y Municipios, en términos del Considerando </w:t>
      </w:r>
      <w:r w:rsidRPr="003F440B">
        <w:rPr>
          <w:rFonts w:ascii="Palatino Linotype" w:eastAsia="Calibri" w:hAnsi="Palatino Linotype" w:cs="Arial"/>
          <w:b/>
          <w:lang w:val="es-ES_tradnl" w:eastAsia="es-MX"/>
        </w:rPr>
        <w:t>TERCERO</w:t>
      </w:r>
      <w:r w:rsidRPr="003F440B">
        <w:rPr>
          <w:rFonts w:ascii="Palatino Linotype" w:eastAsia="Calibri" w:hAnsi="Palatino Linotype" w:cs="Arial"/>
          <w:lang w:val="es-ES_tradnl" w:eastAsia="es-MX"/>
        </w:rPr>
        <w:t xml:space="preserve"> de la presente resolución.</w:t>
      </w:r>
    </w:p>
    <w:p w:rsidR="00223B36" w:rsidRPr="003F440B" w:rsidRDefault="00223B36" w:rsidP="00223B36">
      <w:pPr>
        <w:spacing w:line="360" w:lineRule="auto"/>
        <w:jc w:val="both"/>
        <w:rPr>
          <w:rFonts w:ascii="Palatino Linotype" w:hAnsi="Palatino Linotype" w:cs="Arial"/>
          <w:lang w:val="es-ES_tradnl"/>
        </w:rPr>
      </w:pPr>
    </w:p>
    <w:p w:rsidR="00223B36" w:rsidRPr="003F440B" w:rsidRDefault="00223B36" w:rsidP="00223B36">
      <w:pPr>
        <w:spacing w:line="360" w:lineRule="auto"/>
        <w:jc w:val="both"/>
        <w:rPr>
          <w:rFonts w:ascii="Palatino Linotype" w:hAnsi="Palatino Linotype" w:cs="Palatino Linotype"/>
        </w:rPr>
      </w:pPr>
      <w:r w:rsidRPr="003F440B">
        <w:rPr>
          <w:rFonts w:ascii="Palatino Linotype" w:hAnsi="Palatino Linotype" w:cs="Palatino Linotype"/>
          <w:b/>
        </w:rPr>
        <w:t>SEGUNDO.</w:t>
      </w:r>
      <w:r w:rsidRPr="003F440B">
        <w:rPr>
          <w:rFonts w:ascii="Palatino Linotype" w:hAnsi="Palatino Linotype" w:cs="Palatino Linotype"/>
        </w:rPr>
        <w:t xml:space="preserve"> </w:t>
      </w:r>
      <w:r w:rsidRPr="003F440B">
        <w:rPr>
          <w:rFonts w:ascii="Palatino Linotype" w:hAnsi="Palatino Linotype" w:cs="Palatino Linotype"/>
          <w:b/>
        </w:rPr>
        <w:t>Notifíquese</w:t>
      </w:r>
      <w:r w:rsidRPr="003F440B">
        <w:rPr>
          <w:rFonts w:ascii="Palatino Linotype" w:hAnsi="Palatino Linotype" w:cs="Palatino Linotype"/>
        </w:rPr>
        <w:t xml:space="preserve"> la presente resolución al Titular de la Unidad de Transparencia del Sujeto Obligado mediante el Sistema de Acceso a la Información Mexiquense (SAIMEX).</w:t>
      </w:r>
    </w:p>
    <w:p w:rsidR="00223B36" w:rsidRPr="003F440B" w:rsidRDefault="00223B36" w:rsidP="00223B36">
      <w:pPr>
        <w:spacing w:line="360" w:lineRule="auto"/>
        <w:jc w:val="both"/>
        <w:rPr>
          <w:rFonts w:ascii="Palatino Linotype" w:hAnsi="Palatino Linotype" w:cs="Palatino Linotype"/>
        </w:rPr>
      </w:pPr>
    </w:p>
    <w:p w:rsidR="00223B36" w:rsidRPr="003F440B" w:rsidRDefault="00223B36" w:rsidP="00223B36">
      <w:pPr>
        <w:spacing w:line="360" w:lineRule="auto"/>
        <w:jc w:val="both"/>
        <w:rPr>
          <w:rFonts w:ascii="Palatino Linotype" w:hAnsi="Palatino Linotype" w:cs="Palatino Linotype"/>
        </w:rPr>
      </w:pPr>
      <w:r w:rsidRPr="003F440B">
        <w:rPr>
          <w:rFonts w:ascii="Palatino Linotype" w:hAnsi="Palatino Linotype" w:cs="Palatino Linotype"/>
          <w:b/>
        </w:rPr>
        <w:t>TERCERO. Notifíquese</w:t>
      </w:r>
      <w:r w:rsidRPr="003F440B">
        <w:rPr>
          <w:rFonts w:ascii="Palatino Linotype" w:hAnsi="Palatino Linotype" w:cs="Palatino Linotype"/>
        </w:rPr>
        <w:t xml:space="preserve"> la presente resolución al Recurrente</w:t>
      </w:r>
      <w:r w:rsidRPr="003F440B">
        <w:t xml:space="preserve"> </w:t>
      </w:r>
      <w:r w:rsidRPr="003F440B">
        <w:rPr>
          <w:rFonts w:ascii="Palatino Linotype" w:hAnsi="Palatino Linotype" w:cs="Palatino Linotype"/>
        </w:rPr>
        <w:t>a través del Sistema de Acceso a la Información Mexiquense (SAIMEX) y correo electrónico, y hágase de su conocimiento que, en caso de considerar que la misma le causa algún perjuicio, podrá promover el Juicio de Amparo en los términos de las leyes aplicables, de acuerdo a lo estipulado por el artículo 196 de la Ley de Transparencia y Acceso a la Información Pública del Estado de México y Municipios.</w:t>
      </w:r>
    </w:p>
    <w:p w:rsidR="00DE55DE" w:rsidRPr="003F440B" w:rsidRDefault="00DE55DE" w:rsidP="00DE55DE">
      <w:pPr>
        <w:spacing w:line="360" w:lineRule="auto"/>
        <w:jc w:val="both"/>
        <w:rPr>
          <w:rFonts w:ascii="Palatino Linotype" w:eastAsia="Calibri" w:hAnsi="Palatino Linotype" w:cs="Arial"/>
          <w:szCs w:val="22"/>
          <w:lang w:val="es-MX" w:eastAsia="en-US"/>
        </w:rPr>
      </w:pPr>
    </w:p>
    <w:p w:rsidR="00DE55DE" w:rsidRPr="003F440B" w:rsidRDefault="00DE55DE" w:rsidP="00DE55DE">
      <w:pPr>
        <w:spacing w:line="360" w:lineRule="auto"/>
        <w:jc w:val="both"/>
        <w:rPr>
          <w:rFonts w:ascii="Palatino Linotype" w:hAnsi="Palatino Linotype" w:cs="Arial"/>
        </w:rPr>
      </w:pPr>
      <w:r w:rsidRPr="003F440B">
        <w:rPr>
          <w:rFonts w:ascii="Palatino Linotype" w:hAnsi="Palatino Linotype" w:cs="Arial"/>
        </w:rPr>
        <w:t xml:space="preserve">ASÍ LO RESUELVE, POR </w:t>
      </w:r>
      <w:r w:rsidR="005A7D84" w:rsidRPr="003F440B">
        <w:rPr>
          <w:rFonts w:ascii="Palatino Linotype" w:hAnsi="Palatino Linotype" w:cs="Arial"/>
        </w:rPr>
        <w:t>MAYORÍA</w:t>
      </w:r>
      <w:r w:rsidRPr="003F440B">
        <w:rPr>
          <w:rFonts w:ascii="Palatino Linotype" w:hAnsi="Palatino Linotype" w:cs="Arial"/>
        </w:rPr>
        <w:t xml:space="preserve"> DE VOTOS EL PLENO DEL</w:t>
      </w:r>
      <w:r w:rsidRPr="003F440B">
        <w:rPr>
          <w:rFonts w:ascii="Palatino Linotype" w:eastAsia="Arial Unicode MS" w:hAnsi="Palatino Linotype" w:cs="Arial"/>
        </w:rPr>
        <w:t xml:space="preserve"> INSTITUTO DE TRANSPARENCIA, ACCESO A LA INFORMACIÓN PÚBLICA Y PROTECCIÓN DE DATOS PERSONALES DEL ESTADO DE MÉXICO Y MUNICIPIOS</w:t>
      </w:r>
      <w:r w:rsidRPr="003F440B">
        <w:rPr>
          <w:rFonts w:ascii="Palatino Linotype" w:hAnsi="Palatino Linotype" w:cs="Arial"/>
        </w:rPr>
        <w:t xml:space="preserve">, CONFORMADO POR LOS COMISIONADOS JOSÉ MARTÍNEZ VILCHIS, MARÍA DEL ROSARIO MEJÍA AYALA, SHARON CRISTINA MORALES MARTÍNEZ, LUIS GUSTAVO PARRA NORIEGA </w:t>
      </w:r>
      <w:r w:rsidR="005A7D84" w:rsidRPr="003F440B">
        <w:rPr>
          <w:rFonts w:ascii="Palatino Linotype" w:hAnsi="Palatino Linotype" w:cs="Arial"/>
        </w:rPr>
        <w:t xml:space="preserve">(EMITE VOTO DISIDENTE) </w:t>
      </w:r>
      <w:r w:rsidRPr="003F440B">
        <w:rPr>
          <w:rFonts w:ascii="Palatino Linotype" w:hAnsi="Palatino Linotype" w:cs="Arial"/>
        </w:rPr>
        <w:t xml:space="preserve">Y GUADALUPE RAMÍREZ PEÑA, EN LA </w:t>
      </w:r>
      <w:r w:rsidR="00DC3748" w:rsidRPr="003F440B">
        <w:rPr>
          <w:rFonts w:ascii="Palatino Linotype" w:hAnsi="Palatino Linotype" w:cs="Arial"/>
        </w:rPr>
        <w:t>VIGÉS</w:t>
      </w:r>
      <w:r w:rsidRPr="003F440B">
        <w:rPr>
          <w:rFonts w:ascii="Palatino Linotype" w:hAnsi="Palatino Linotype" w:cs="Arial"/>
        </w:rPr>
        <w:t xml:space="preserve">IMA SESIÓN ORDINARIA CELEBRADA EL </w:t>
      </w:r>
      <w:r w:rsidR="00DC3748" w:rsidRPr="003F440B">
        <w:rPr>
          <w:rFonts w:ascii="Palatino Linotype" w:hAnsi="Palatino Linotype" w:cs="Arial"/>
        </w:rPr>
        <w:t>TRES DE JUNIO</w:t>
      </w:r>
      <w:r w:rsidRPr="003F440B">
        <w:rPr>
          <w:rFonts w:ascii="Palatino Linotype" w:hAnsi="Palatino Linotype" w:cs="Arial"/>
        </w:rPr>
        <w:t xml:space="preserve"> DE DOS MIL VEINTISÉIS</w:t>
      </w:r>
      <w:r w:rsidR="00910A93" w:rsidRPr="003F440B">
        <w:rPr>
          <w:rFonts w:ascii="Palatino Linotype" w:hAnsi="Palatino Linotype" w:cs="Arial"/>
        </w:rPr>
        <w:t>,</w:t>
      </w:r>
      <w:r w:rsidRPr="003F440B">
        <w:rPr>
          <w:rFonts w:ascii="Palatino Linotype" w:hAnsi="Palatino Linotype" w:cs="Arial"/>
        </w:rPr>
        <w:t xml:space="preserve"> ANTE EL SECRETARIO TÉCNICO DEL PLENO, ALEXIS TAPIA RAMÍREZ. ----------------------------------------------------------------------------------------------------------------------------------------------------------------------------------------------------------</w:t>
      </w:r>
      <w:r w:rsidR="00DC3748" w:rsidRPr="003F440B">
        <w:rPr>
          <w:rFonts w:ascii="Palatino Linotype" w:hAnsi="Palatino Linotype" w:cs="Arial"/>
        </w:rPr>
        <w:t>------------------------------------------------------------------------------------------------------------------------------------------------------------------------------------------------------------------------------------</w:t>
      </w:r>
    </w:p>
    <w:p w:rsidR="00DE55DE" w:rsidRDefault="00DE55DE" w:rsidP="00DE55DE">
      <w:pPr>
        <w:spacing w:line="360" w:lineRule="auto"/>
        <w:jc w:val="both"/>
        <w:rPr>
          <w:rFonts w:ascii="Palatino Linotype" w:hAnsi="Palatino Linotype" w:cs="Arial"/>
          <w:sz w:val="16"/>
        </w:rPr>
      </w:pPr>
      <w:r w:rsidRPr="003F440B">
        <w:rPr>
          <w:rFonts w:ascii="Palatino Linotype" w:hAnsi="Palatino Linotype" w:cs="Arial"/>
          <w:sz w:val="16"/>
        </w:rPr>
        <w:t>JMV/CCR/LMST</w:t>
      </w:r>
    </w:p>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DE55DE" w:rsidRDefault="00DE55DE" w:rsidP="00DE55DE"/>
    <w:p w:rsidR="006E51B0" w:rsidRDefault="006E51B0"/>
    <w:sectPr w:rsidR="006E51B0" w:rsidSect="001C14FD">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5A0" w:rsidRDefault="000865A0" w:rsidP="00DE55DE">
      <w:r>
        <w:separator/>
      </w:r>
    </w:p>
  </w:endnote>
  <w:endnote w:type="continuationSeparator" w:id="0">
    <w:p w:rsidR="000865A0" w:rsidRDefault="000865A0" w:rsidP="00DE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FD" w:rsidRPr="00A2780F" w:rsidRDefault="001C14FD" w:rsidP="001C14F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54949">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54949">
      <w:rPr>
        <w:rFonts w:ascii="Arial" w:hAnsi="Arial" w:cs="Arial"/>
        <w:b/>
        <w:bCs/>
        <w:noProof/>
        <w:sz w:val="20"/>
        <w:szCs w:val="20"/>
      </w:rPr>
      <w:t>26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FD" w:rsidRPr="00070856" w:rsidRDefault="001C14FD" w:rsidP="001C14F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5494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54949">
      <w:rPr>
        <w:rFonts w:ascii="Arial" w:hAnsi="Arial" w:cs="Arial"/>
        <w:b/>
        <w:bCs/>
        <w:noProof/>
        <w:sz w:val="20"/>
        <w:szCs w:val="20"/>
      </w:rPr>
      <w:t>26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5A0" w:rsidRDefault="000865A0" w:rsidP="00DE55DE">
      <w:r>
        <w:separator/>
      </w:r>
    </w:p>
  </w:footnote>
  <w:footnote w:type="continuationSeparator" w:id="0">
    <w:p w:rsidR="000865A0" w:rsidRDefault="000865A0" w:rsidP="00DE55DE">
      <w:r>
        <w:continuationSeparator/>
      </w:r>
    </w:p>
  </w:footnote>
  <w:footnote w:id="1">
    <w:p w:rsidR="00A93400" w:rsidRPr="00911081" w:rsidRDefault="00A93400" w:rsidP="00A93400">
      <w:pPr>
        <w:jc w:val="both"/>
        <w:rPr>
          <w:rFonts w:ascii="Palatino Linotype" w:hAnsi="Palatino Linotype"/>
          <w:b/>
          <w:bCs/>
          <w:i/>
          <w:sz w:val="16"/>
          <w:szCs w:val="16"/>
        </w:rPr>
      </w:pPr>
      <w:r>
        <w:rPr>
          <w:rStyle w:val="Refdenotaalpie"/>
          <w:rFonts w:asciiTheme="minorHAnsi" w:eastAsiaTheme="minorEastAsia" w:hAnsiTheme="minorHAnsi"/>
          <w:sz w:val="22"/>
          <w:szCs w:val="22"/>
          <w:lang w:val="es-MX" w:eastAsia="en-US"/>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A93400" w:rsidRDefault="00A93400" w:rsidP="00A93400">
      <w:pPr>
        <w:jc w:val="both"/>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C14FD" w:rsidRPr="008F2CCC" w:rsidTr="001C14FD">
      <w:tc>
        <w:tcPr>
          <w:tcW w:w="3620" w:type="dxa"/>
          <w:shd w:val="clear" w:color="auto" w:fill="auto"/>
        </w:tcPr>
        <w:p w:rsidR="001C14FD" w:rsidRPr="007E5FC4" w:rsidRDefault="001C14FD" w:rsidP="001C14F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1C14FD" w:rsidRPr="00664658" w:rsidRDefault="001C14FD" w:rsidP="00DE55D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012765/INFOEM/IP/RR/2025</w:t>
          </w:r>
        </w:p>
      </w:tc>
    </w:tr>
    <w:tr w:rsidR="001C14FD" w:rsidRPr="008F2CCC" w:rsidTr="001C14FD">
      <w:tc>
        <w:tcPr>
          <w:tcW w:w="3620" w:type="dxa"/>
          <w:shd w:val="clear" w:color="auto" w:fill="auto"/>
        </w:tcPr>
        <w:p w:rsidR="001C14FD" w:rsidRPr="007E5FC4" w:rsidRDefault="001C14FD" w:rsidP="001C14F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1C14FD" w:rsidRPr="00664658" w:rsidRDefault="001C14FD" w:rsidP="001C14FD">
          <w:pPr>
            <w:spacing w:line="276" w:lineRule="auto"/>
            <w:jc w:val="right"/>
            <w:rPr>
              <w:rFonts w:ascii="Palatino Linotype" w:hAnsi="Palatino Linotype"/>
              <w:b/>
              <w:sz w:val="22"/>
              <w:szCs w:val="22"/>
              <w:lang w:val="es-ES_tradnl"/>
            </w:rPr>
          </w:pPr>
          <w:r w:rsidRPr="00DE55DE">
            <w:rPr>
              <w:rFonts w:ascii="Palatino Linotype" w:hAnsi="Palatino Linotype"/>
              <w:b/>
              <w:sz w:val="22"/>
              <w:szCs w:val="22"/>
            </w:rPr>
            <w:t>Oficialía Mayor</w:t>
          </w:r>
        </w:p>
      </w:tc>
    </w:tr>
    <w:tr w:rsidR="001C14FD" w:rsidRPr="008F2CCC" w:rsidTr="001C14FD">
      <w:trPr>
        <w:trHeight w:val="228"/>
      </w:trPr>
      <w:tc>
        <w:tcPr>
          <w:tcW w:w="3620" w:type="dxa"/>
          <w:shd w:val="clear" w:color="auto" w:fill="auto"/>
        </w:tcPr>
        <w:p w:rsidR="001C14FD" w:rsidRPr="007E5FC4" w:rsidRDefault="001C14FD" w:rsidP="001C14F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1C14FD" w:rsidRPr="00664658" w:rsidRDefault="001C14FD" w:rsidP="001C14F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C14FD" w:rsidRDefault="001C14FD" w:rsidP="001C14FD">
    <w:pPr>
      <w:pStyle w:val="Encabezado"/>
      <w:tabs>
        <w:tab w:val="clear" w:pos="4252"/>
        <w:tab w:val="clear" w:pos="8504"/>
        <w:tab w:val="left" w:pos="2326"/>
      </w:tabs>
      <w:rPr>
        <w:rFonts w:ascii="Palatino Linotype" w:hAnsi="Palatino Linotype"/>
        <w:sz w:val="20"/>
      </w:rPr>
    </w:pPr>
  </w:p>
  <w:p w:rsidR="001C14FD" w:rsidRPr="001779E0" w:rsidRDefault="001C14FD" w:rsidP="001C14F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433024D" wp14:editId="23EC1BA4">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C14FD" w:rsidRPr="008F2CCC" w:rsidTr="001C14FD">
      <w:tc>
        <w:tcPr>
          <w:tcW w:w="2977" w:type="dxa"/>
          <w:shd w:val="clear" w:color="auto" w:fill="auto"/>
        </w:tcPr>
        <w:p w:rsidR="001C14FD" w:rsidRPr="007E5FC4" w:rsidRDefault="001C14FD" w:rsidP="001C14F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1C14FD" w:rsidRPr="008F2CCC" w:rsidRDefault="001C14FD" w:rsidP="00DE55D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012765/INFOEM/IP/RR/2025</w:t>
          </w:r>
        </w:p>
      </w:tc>
    </w:tr>
    <w:tr w:rsidR="001C14FD" w:rsidRPr="008F2CCC" w:rsidTr="001C14FD">
      <w:trPr>
        <w:trHeight w:val="256"/>
      </w:trPr>
      <w:tc>
        <w:tcPr>
          <w:tcW w:w="2977" w:type="dxa"/>
          <w:shd w:val="clear" w:color="auto" w:fill="auto"/>
          <w:vAlign w:val="center"/>
        </w:tcPr>
        <w:p w:rsidR="001C14FD" w:rsidRPr="007E5FC4" w:rsidRDefault="001C14FD" w:rsidP="001C14F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1C14FD" w:rsidRPr="008F2CCC" w:rsidRDefault="00554949" w:rsidP="00554949">
          <w:pPr>
            <w:spacing w:line="360" w:lineRule="auto"/>
            <w:jc w:val="center"/>
            <w:rPr>
              <w:rFonts w:ascii="Palatino Linotype" w:hAnsi="Palatino Linotype"/>
              <w:b/>
              <w:sz w:val="22"/>
              <w:szCs w:val="22"/>
              <w:lang w:val="es-ES_tradnl"/>
            </w:rPr>
          </w:pPr>
          <w:r>
            <w:rPr>
              <w:rFonts w:ascii="Palatino Linotype" w:hAnsi="Palatino Linotype"/>
              <w:b/>
              <w:sz w:val="22"/>
              <w:szCs w:val="22"/>
              <w:lang w:val="es-ES_tradnl"/>
            </w:rPr>
            <w:t>XXXX</w:t>
          </w:r>
          <w:r w:rsidR="001C14FD">
            <w:rPr>
              <w:rFonts w:ascii="Palatino Linotype" w:hAnsi="Palatino Linotype"/>
              <w:b/>
              <w:sz w:val="22"/>
              <w:szCs w:val="22"/>
              <w:lang w:val="es-ES_tradnl"/>
            </w:rPr>
            <w:t xml:space="preserve">  </w:t>
          </w:r>
        </w:p>
      </w:tc>
    </w:tr>
    <w:tr w:rsidR="001C14FD" w:rsidRPr="008F2CCC" w:rsidTr="001C14FD">
      <w:trPr>
        <w:trHeight w:val="228"/>
      </w:trPr>
      <w:tc>
        <w:tcPr>
          <w:tcW w:w="2977" w:type="dxa"/>
          <w:shd w:val="clear" w:color="auto" w:fill="auto"/>
        </w:tcPr>
        <w:p w:rsidR="001C14FD" w:rsidRPr="007E5FC4" w:rsidRDefault="001C14FD" w:rsidP="001C14F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1C14FD" w:rsidRPr="00DC41C8" w:rsidRDefault="001C14FD" w:rsidP="001C14FD">
          <w:pPr>
            <w:spacing w:line="360" w:lineRule="auto"/>
            <w:jc w:val="right"/>
            <w:rPr>
              <w:rFonts w:ascii="Palatino Linotype" w:hAnsi="Palatino Linotype"/>
              <w:b/>
              <w:sz w:val="22"/>
              <w:szCs w:val="22"/>
            </w:rPr>
          </w:pPr>
          <w:r w:rsidRPr="00DE55DE">
            <w:rPr>
              <w:rFonts w:ascii="Palatino Linotype" w:hAnsi="Palatino Linotype"/>
              <w:b/>
              <w:sz w:val="22"/>
              <w:szCs w:val="22"/>
            </w:rPr>
            <w:t>Oficialía Mayor</w:t>
          </w:r>
        </w:p>
      </w:tc>
    </w:tr>
    <w:tr w:rsidR="001C14FD" w:rsidRPr="008F2CCC" w:rsidTr="001C14FD">
      <w:tc>
        <w:tcPr>
          <w:tcW w:w="2977" w:type="dxa"/>
          <w:shd w:val="clear" w:color="auto" w:fill="auto"/>
        </w:tcPr>
        <w:p w:rsidR="001C14FD" w:rsidRPr="007E5FC4" w:rsidRDefault="001C14FD" w:rsidP="001C14F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1C14FD" w:rsidRPr="008F2CCC" w:rsidRDefault="001C14FD" w:rsidP="001C14F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C14FD" w:rsidRPr="009F1AB6" w:rsidRDefault="001C14F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3ED29FC" wp14:editId="2C70865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5243B6"/>
    <w:multiLevelType w:val="hybridMultilevel"/>
    <w:tmpl w:val="ACD6FBA0"/>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C54529"/>
    <w:multiLevelType w:val="hybridMultilevel"/>
    <w:tmpl w:val="CE006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DE210BF"/>
    <w:multiLevelType w:val="hybridMultilevel"/>
    <w:tmpl w:val="262E11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EEE2D9B"/>
    <w:multiLevelType w:val="hybridMultilevel"/>
    <w:tmpl w:val="B1A82F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D531C3"/>
    <w:multiLevelType w:val="hybridMultilevel"/>
    <w:tmpl w:val="870C38C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CE14AA"/>
    <w:multiLevelType w:val="hybridMultilevel"/>
    <w:tmpl w:val="EEDAB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5A09ED"/>
    <w:multiLevelType w:val="hybridMultilevel"/>
    <w:tmpl w:val="FB6E5326"/>
    <w:lvl w:ilvl="0" w:tplc="810ABD94">
      <w:start w:val="1"/>
      <w:numFmt w:val="upperRoman"/>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2" w15:restartNumberingAfterBreak="0">
    <w:nsid w:val="4BE71529"/>
    <w:multiLevelType w:val="hybridMultilevel"/>
    <w:tmpl w:val="D9820A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8326F5"/>
    <w:multiLevelType w:val="hybridMultilevel"/>
    <w:tmpl w:val="9FD417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1"/>
  </w:num>
  <w:num w:numId="6">
    <w:abstractNumId w:val="14"/>
  </w:num>
  <w:num w:numId="7">
    <w:abstractNumId w:val="4"/>
  </w:num>
  <w:num w:numId="8">
    <w:abstractNumId w:val="13"/>
  </w:num>
  <w:num w:numId="9">
    <w:abstractNumId w:val="5"/>
  </w:num>
  <w:num w:numId="10">
    <w:abstractNumId w:val="10"/>
  </w:num>
  <w:num w:numId="11">
    <w:abstractNumId w:val="8"/>
  </w:num>
  <w:num w:numId="12">
    <w:abstractNumId w:val="12"/>
  </w:num>
  <w:num w:numId="13">
    <w:abstractNumId w:val="7"/>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DE"/>
    <w:rsid w:val="000865A0"/>
    <w:rsid w:val="00181412"/>
    <w:rsid w:val="001C14FD"/>
    <w:rsid w:val="00217308"/>
    <w:rsid w:val="00223B36"/>
    <w:rsid w:val="002479CF"/>
    <w:rsid w:val="003F440B"/>
    <w:rsid w:val="00554949"/>
    <w:rsid w:val="005A7D84"/>
    <w:rsid w:val="00647693"/>
    <w:rsid w:val="006E51B0"/>
    <w:rsid w:val="007119C3"/>
    <w:rsid w:val="007A7249"/>
    <w:rsid w:val="00905287"/>
    <w:rsid w:val="00910A93"/>
    <w:rsid w:val="009B12EF"/>
    <w:rsid w:val="009C6595"/>
    <w:rsid w:val="00A93400"/>
    <w:rsid w:val="00AC5C39"/>
    <w:rsid w:val="00C21B48"/>
    <w:rsid w:val="00C427EA"/>
    <w:rsid w:val="00D346F0"/>
    <w:rsid w:val="00DC3748"/>
    <w:rsid w:val="00DE55DE"/>
    <w:rsid w:val="00EC20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EC8F6B-3FE6-4A67-B020-93E9CC86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5D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55DE"/>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DE55DE"/>
    <w:rPr>
      <w:rFonts w:eastAsiaTheme="minorEastAsia"/>
      <w:sz w:val="24"/>
      <w:szCs w:val="24"/>
      <w:lang w:val="es-ES_tradnl" w:eastAsia="es-ES"/>
    </w:rPr>
  </w:style>
  <w:style w:type="paragraph" w:styleId="Piedepgina">
    <w:name w:val="footer"/>
    <w:basedOn w:val="Normal"/>
    <w:link w:val="PiedepginaCar"/>
    <w:uiPriority w:val="99"/>
    <w:unhideWhenUsed/>
    <w:rsid w:val="00DE55DE"/>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DE55DE"/>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E55DE"/>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E55DE"/>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DE55DE"/>
    <w:pPr>
      <w:spacing w:after="0" w:line="240" w:lineRule="auto"/>
    </w:pPr>
  </w:style>
  <w:style w:type="character" w:customStyle="1" w:styleId="SinespaciadoCar">
    <w:name w:val="Sin espaciado Car"/>
    <w:aliases w:val="Francesa Car,INAI Car"/>
    <w:link w:val="Sinespaciado"/>
    <w:uiPriority w:val="1"/>
    <w:locked/>
    <w:rsid w:val="00DE55DE"/>
  </w:style>
  <w:style w:type="character" w:styleId="Hipervnculo">
    <w:name w:val="Hyperlink"/>
    <w:aliases w:val="Hipervínculo1,Hipervínculo11,Hipervínculo12,Hipervínculo13,Hipervínculo14,Hipervínculo15"/>
    <w:basedOn w:val="Fuentedeprrafopredeter"/>
    <w:uiPriority w:val="99"/>
    <w:unhideWhenUsed/>
    <w:rsid w:val="00DE55DE"/>
    <w:rPr>
      <w:color w:val="0563C1" w:themeColor="hyperlink"/>
      <w:u w:val="single"/>
    </w:rPr>
  </w:style>
  <w:style w:type="paragraph" w:customStyle="1" w:styleId="INFOEM">
    <w:name w:val="INFOEM"/>
    <w:basedOn w:val="Normal"/>
    <w:qFormat/>
    <w:rsid w:val="00DE55DE"/>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DE55D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E55DE"/>
    <w:rPr>
      <w:vertAlign w:val="superscript"/>
    </w:rPr>
  </w:style>
  <w:style w:type="paragraph" w:customStyle="1" w:styleId="infoemcitas">
    <w:name w:val="infoem citas"/>
    <w:basedOn w:val="Normal"/>
    <w:qFormat/>
    <w:rsid w:val="00DE55DE"/>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DE5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DE55DE"/>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9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26</Pages>
  <Words>5978</Words>
  <Characters>32884</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cp:revision>
  <cp:lastPrinted>2026-06-04T23:59:00Z</cp:lastPrinted>
  <dcterms:created xsi:type="dcterms:W3CDTF">2026-05-20T20:52:00Z</dcterms:created>
  <dcterms:modified xsi:type="dcterms:W3CDTF">2026-06-09T18:45:00Z</dcterms:modified>
</cp:coreProperties>
</file>