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A11" w:rsidRPr="00C848EB" w:rsidRDefault="00FD4C44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bookmarkStart w:id="0" w:name="_heading=h.qtjyblsztwqy" w:colFirst="0" w:colLast="0"/>
      <w:bookmarkStart w:id="1" w:name="_GoBack"/>
      <w:bookmarkEnd w:id="0"/>
      <w:bookmarkEnd w:id="1"/>
      <w:r w:rsidRPr="00C848EB">
        <w:rPr>
          <w:rFonts w:ascii="Palatino Linotype" w:eastAsia="Palatino Linotype" w:hAnsi="Palatino Linotype" w:cs="Palatino Linotype"/>
          <w:sz w:val="24"/>
          <w:szCs w:val="24"/>
        </w:rPr>
        <w:t>Resolución del Pleno del Instituto de Transparencia, Acceso a la Información Pública y Protección de Datos Personales del Estado de México y Municipios, con domicilio en Metepec, Estado de México; de</w:t>
      </w:r>
      <w:r w:rsidR="00C848EB">
        <w:rPr>
          <w:rFonts w:ascii="Palatino Linotype" w:eastAsia="Palatino Linotype" w:hAnsi="Palatino Linotype" w:cs="Palatino Linotype"/>
          <w:sz w:val="24"/>
          <w:szCs w:val="24"/>
        </w:rPr>
        <w:t xml:space="preserve"> fecha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once </w:t>
      </w:r>
      <w:r w:rsid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(11)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de marzo de dos mil veintiséis </w:t>
      </w:r>
    </w:p>
    <w:p w:rsidR="00B55A11" w:rsidRPr="00C848EB" w:rsidRDefault="00B55A11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:rsidR="00B55A11" w:rsidRPr="00C848EB" w:rsidRDefault="00FD4C44">
      <w:pP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VISTO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 el expediente electrónico formado con motivo del recurso de revisión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09883/INFOEM/IP/RR/2025, 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>promovido por</w:t>
      </w:r>
      <w:r w:rsidRPr="00C848EB">
        <w:rPr>
          <w:rFonts w:ascii="Palatino Linotype" w:eastAsia="Palatino Linotype" w:hAnsi="Palatino Linotype" w:cs="Palatino Linotype"/>
          <w:b/>
          <w:bCs/>
          <w:color w:val="FF0000"/>
          <w:sz w:val="24"/>
          <w:szCs w:val="24"/>
        </w:rPr>
        <w:t xml:space="preserve">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una persona que no proporcionó datos de identificación 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y a quien en lo sucesivo se identificará como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EL RECURRENTE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, en contra de la respuesta del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Ayuntamiento de Toluca, 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en </w:t>
      </w:r>
      <w:r w:rsidR="00C848EB">
        <w:rPr>
          <w:rFonts w:ascii="Palatino Linotype" w:eastAsia="Palatino Linotype" w:hAnsi="Palatino Linotype" w:cs="Palatino Linotype"/>
          <w:sz w:val="24"/>
          <w:szCs w:val="24"/>
        </w:rPr>
        <w:t>adelante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 el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SUJETO OBLIGADO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>, por lo que se procede a dictar la presente resolución, con base en los siguientes:</w:t>
      </w:r>
    </w:p>
    <w:p w:rsidR="00B55A11" w:rsidRPr="00C848EB" w:rsidRDefault="00B55A11">
      <w:pP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</w:p>
    <w:p w:rsidR="00B55A11" w:rsidRDefault="00FD4C44">
      <w:pPr>
        <w:keepNext/>
        <w:keepLines/>
        <w:spacing w:line="360" w:lineRule="auto"/>
        <w:jc w:val="center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bookmarkStart w:id="2" w:name="_heading=h.gjdgxs" w:colFirst="0" w:colLast="0"/>
      <w:bookmarkEnd w:id="2"/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A</w:t>
      </w:r>
      <w:r w:rsid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N</w:t>
      </w:r>
      <w:r w:rsid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T</w:t>
      </w:r>
      <w:r w:rsid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E</w:t>
      </w:r>
      <w:r w:rsid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C</w:t>
      </w:r>
      <w:r w:rsid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E</w:t>
      </w:r>
      <w:r w:rsid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D</w:t>
      </w:r>
      <w:r w:rsid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E</w:t>
      </w:r>
      <w:r w:rsid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N</w:t>
      </w:r>
      <w:r w:rsid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T</w:t>
      </w:r>
      <w:r w:rsid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E</w:t>
      </w:r>
      <w:r w:rsid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S</w:t>
      </w:r>
    </w:p>
    <w:p w:rsidR="00C848EB" w:rsidRPr="00C848EB" w:rsidRDefault="00C848EB">
      <w:pPr>
        <w:keepNext/>
        <w:keepLines/>
        <w:spacing w:line="360" w:lineRule="auto"/>
        <w:jc w:val="center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</w:p>
    <w:p w:rsidR="00B55A11" w:rsidRPr="00C848EB" w:rsidRDefault="00FD4C44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El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tres de julio de dos mil veinticinco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,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EL RECURRENTE,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 ante el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SUJETO OBLIGADO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 vía Sistema de Acceso a la Información Mexiquense (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SAIMEX)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>,presentó la solicitud de información registrada con el número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 03815/TOLUCA/IP/2025, </w:t>
      </w:r>
      <w:r w:rsidR="00F2627A">
        <w:rPr>
          <w:rFonts w:ascii="Palatino Linotype" w:eastAsia="Palatino Linotype" w:hAnsi="Palatino Linotype" w:cs="Palatino Linotype"/>
          <w:sz w:val="24"/>
          <w:szCs w:val="24"/>
        </w:rPr>
        <w:t>en la que se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 solicitó lo siguiente:</w:t>
      </w:r>
    </w:p>
    <w:p w:rsidR="00B55A11" w:rsidRPr="00C848EB" w:rsidRDefault="00B55A1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69" w:right="567"/>
        <w:jc w:val="both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</w:p>
    <w:p w:rsidR="00B55A11" w:rsidRPr="00C848EB" w:rsidRDefault="00FD4C44">
      <w:pPr>
        <w:pBdr>
          <w:top w:val="nil"/>
          <w:left w:val="nil"/>
          <w:bottom w:val="nil"/>
          <w:right w:val="nil"/>
          <w:between w:val="nil"/>
        </w:pBdr>
        <w:ind w:left="567" w:right="567"/>
        <w:jc w:val="both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“Cuantas campañas de VACUNACIÓN de perros y gatos y contra que enfermedades se han realizado en su administración y cuanto costo cada vacuna a quien se les compro o se las da el. Sector salud” (Sic) </w:t>
      </w:r>
    </w:p>
    <w:p w:rsidR="00B55A11" w:rsidRDefault="00B55A11">
      <w:pPr>
        <w:pBdr>
          <w:top w:val="nil"/>
          <w:left w:val="nil"/>
          <w:bottom w:val="nil"/>
          <w:right w:val="nil"/>
          <w:between w:val="nil"/>
        </w:pBdr>
        <w:ind w:left="567" w:right="567"/>
        <w:jc w:val="both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</w:p>
    <w:p w:rsidR="00F2627A" w:rsidRPr="00C848EB" w:rsidRDefault="00F2627A">
      <w:pPr>
        <w:pBdr>
          <w:top w:val="nil"/>
          <w:left w:val="nil"/>
          <w:bottom w:val="nil"/>
          <w:right w:val="nil"/>
          <w:between w:val="nil"/>
        </w:pBdr>
        <w:ind w:left="567" w:right="567"/>
        <w:jc w:val="both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</w:p>
    <w:p w:rsidR="00B55A11" w:rsidRPr="00C848EB" w:rsidRDefault="00FD4C44" w:rsidP="00F2627A">
      <w:pPr>
        <w:numPr>
          <w:ilvl w:val="0"/>
          <w:numId w:val="2"/>
        </w:numPr>
        <w:spacing w:line="360" w:lineRule="auto"/>
        <w:ind w:left="0" w:right="567" w:firstLine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Modalidad de entrega: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Vía SAIMEX.</w:t>
      </w:r>
    </w:p>
    <w:p w:rsidR="00B55A11" w:rsidRPr="00C848EB" w:rsidRDefault="00B55A11">
      <w:pPr>
        <w:spacing w:line="360" w:lineRule="auto"/>
        <w:ind w:left="1146" w:right="567"/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:rsidR="00B55A11" w:rsidRPr="00C848EB" w:rsidRDefault="00FD4C44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Palatino Linotype" w:eastAsia="Palatino Linotype" w:hAnsi="Palatino Linotype" w:cs="Palatino Linotype"/>
          <w:i/>
          <w:iCs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sz w:val="24"/>
          <w:szCs w:val="24"/>
        </w:rPr>
        <w:lastRenderedPageBreak/>
        <w:t xml:space="preserve">El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siete de agosto de dos mil veinticinco, 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el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SUJETO O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>B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LIGADO 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dio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RESPUESTA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 a través del archivo </w:t>
      </w:r>
      <w:r w:rsidRPr="00C848EB">
        <w:rPr>
          <w:rFonts w:ascii="Palatino Linotype" w:eastAsia="Palatino Linotype" w:hAnsi="Palatino Linotype" w:cs="Palatino Linotype"/>
          <w:b/>
          <w:bCs/>
          <w:i/>
          <w:iCs/>
          <w:sz w:val="24"/>
          <w:szCs w:val="24"/>
        </w:rPr>
        <w:t>RESPUESTA DGMA SOL 3815.pdf del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 que se desprende lo siguiente:</w:t>
      </w:r>
    </w:p>
    <w:p w:rsidR="00B55A11" w:rsidRPr="00C848EB" w:rsidRDefault="00FD4C4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39"/>
        <w:jc w:val="both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Oficio firmado por 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>la Directora</w:t>
      </w: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General de Medio Ambiente, por el que 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>informó</w:t>
      </w: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lo siguiente:</w:t>
      </w:r>
    </w:p>
    <w:p w:rsidR="00B55A11" w:rsidRPr="00C848EB" w:rsidRDefault="00FD4C44">
      <w:pPr>
        <w:pBdr>
          <w:top w:val="nil"/>
          <w:left w:val="nil"/>
          <w:bottom w:val="nil"/>
          <w:right w:val="nil"/>
          <w:between w:val="nil"/>
        </w:pBdr>
        <w:ind w:left="720" w:right="539"/>
        <w:jc w:val="both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“Al respecto, me permito comentarle que una vez analizada la información solicitada y en virtud de dar atención a su petición, se realizó una búsqueda exhaustiva y razonada en los archivos físicos y digitales de esta dependencia, se adjunta al presente en tiempo y forma las respuestas proporcionadas por las áreas que generan generan la información, Centro de Control y Bienestar Animal con oficio número 207010300/395/2025 de fecha 17 de julio.”</w:t>
      </w:r>
    </w:p>
    <w:p w:rsidR="00B55A11" w:rsidRPr="00C848EB" w:rsidRDefault="00FD4C4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39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Oficio firmado por el Coordinador del Centro de Control y Bienestar Animal, por el que 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>informó</w:t>
      </w: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lo siguiente:</w:t>
      </w:r>
    </w:p>
    <w:p w:rsidR="00B55A11" w:rsidRPr="00C848EB" w:rsidRDefault="00B55A11">
      <w:pPr>
        <w:spacing w:line="360" w:lineRule="auto"/>
        <w:ind w:right="539"/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:rsidR="00B55A11" w:rsidRPr="00C848EB" w:rsidRDefault="00FD4C44">
      <w:pPr>
        <w:pBdr>
          <w:top w:val="nil"/>
          <w:left w:val="nil"/>
          <w:bottom w:val="nil"/>
          <w:right w:val="nil"/>
          <w:between w:val="nil"/>
        </w:pBdr>
        <w:ind w:left="720" w:right="539"/>
        <w:jc w:val="both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Referente al punto de su solicitud que a la letra dice: </w:t>
      </w:r>
      <w:r w:rsidRPr="00C848EB"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  <w:t>"... Cuantas campañas de VACUNACIÓN de perros y gatos y contra que enfermedades se han realizado en su administración..." (Sic)</w:t>
      </w: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, al respecto me permito hacer de su conocimiento que durante esta administración </w:t>
      </w:r>
      <w:r w:rsidRPr="00C848EB"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  <w:t>se han llevado a cabo 64 campañas de vacunación contra el virus rábico,</w:t>
      </w: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en este mismo sentido hago de su conocimiento que se cuenta con una campaña permanente de vacunación dentro de las instalaciones del Centro de Control y Bienestar Animal.</w:t>
      </w:r>
    </w:p>
    <w:p w:rsidR="00B55A11" w:rsidRPr="00C848EB" w:rsidRDefault="00B55A11">
      <w:pPr>
        <w:pBdr>
          <w:top w:val="nil"/>
          <w:left w:val="nil"/>
          <w:bottom w:val="nil"/>
          <w:right w:val="nil"/>
          <w:between w:val="nil"/>
        </w:pBdr>
        <w:ind w:left="720" w:right="539"/>
        <w:jc w:val="both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</w:p>
    <w:p w:rsidR="00B55A11" w:rsidRPr="00C848EB" w:rsidRDefault="00FD4C44">
      <w:pPr>
        <w:pBdr>
          <w:top w:val="nil"/>
          <w:left w:val="nil"/>
          <w:bottom w:val="nil"/>
          <w:right w:val="nil"/>
          <w:between w:val="nil"/>
        </w:pBdr>
        <w:ind w:left="720" w:right="539"/>
        <w:jc w:val="both"/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Dando respuesta al punto de su solicitud que a la letra dice: "...y c</w:t>
      </w:r>
      <w:r w:rsidRPr="00C848EB"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  <w:t>uanto costo cada vacuna a quien se les compro o se las da el. Sector salud.</w:t>
      </w: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.." (SIC), al respecto me permito hacer de su conocimiento que </w:t>
      </w:r>
      <w:r w:rsidRPr="00C848EB"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  <w:t>las vacunas son donadas por el Instituto de Salud del Estado de México.</w:t>
      </w:r>
    </w:p>
    <w:p w:rsidR="00B55A11" w:rsidRPr="00C848EB" w:rsidRDefault="00B55A11">
      <w:pPr>
        <w:spacing w:line="360" w:lineRule="auto"/>
        <w:jc w:val="both"/>
        <w:rPr>
          <w:rFonts w:ascii="Palatino Linotype" w:eastAsia="Palatino Linotype" w:hAnsi="Palatino Linotype" w:cs="Palatino Linotype"/>
          <w:i/>
          <w:iCs/>
          <w:sz w:val="24"/>
          <w:szCs w:val="24"/>
        </w:rPr>
      </w:pPr>
    </w:p>
    <w:p w:rsidR="00B55A11" w:rsidRPr="00C848EB" w:rsidRDefault="00B55A11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:rsidR="00B55A11" w:rsidRPr="00C848EB" w:rsidRDefault="00FD4C44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Inconforme con lo anterior, el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veintiuno de agosto de dos mil veinticinco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,  el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SUJETO OBLIGADO 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interpuso recurso de revisión, arguyendo como </w:t>
      </w:r>
    </w:p>
    <w:p w:rsidR="00B55A11" w:rsidRPr="00C848EB" w:rsidRDefault="00F2627A" w:rsidP="00F2627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539"/>
        <w:jc w:val="both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lastRenderedPageBreak/>
        <w:t>ACTO IMPUGNADO</w:t>
      </w:r>
      <w:r w:rsidR="00FD4C44" w:rsidRPr="00C848EB"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  <w:t>:</w:t>
      </w:r>
      <w:r w:rsidR="00FD4C44"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r w:rsidR="00FD4C44"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“La unidad de opacidad ademas de ineptos opacos no andan predicando que son los mejores en transparencia pues tiene a súper cielo que dice que casi es la titular por que sabe mas que el y si saben deben saber que la información es publica y no ocultarla” (sic)</w:t>
      </w:r>
    </w:p>
    <w:p w:rsidR="00B55A11" w:rsidRPr="00C848EB" w:rsidRDefault="00B55A1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539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</w:p>
    <w:p w:rsidR="00B55A11" w:rsidRPr="00C848EB" w:rsidRDefault="00F2627A" w:rsidP="00F2627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right="539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RAZONES O MOTIVOS DE INCONFORMIDAD</w:t>
      </w:r>
      <w:r w:rsidR="00FD4C44" w:rsidRPr="00C848EB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: “</w:t>
      </w:r>
      <w:r w:rsidR="00FD4C44"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niega la información es publica entreguen “(Sic)</w:t>
      </w:r>
    </w:p>
    <w:p w:rsidR="00B55A11" w:rsidRPr="00C848EB" w:rsidRDefault="00B55A11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:rsidR="00B55A11" w:rsidRDefault="00FD4C44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Se registró el recurso de revisión bajo el número de expediente al rubro indicado, asimismo con fundamento en lo dispuesto por el artículo 185 fracción I de la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Ley de Transparencia y Acceso a la Información Pública del Estado de México y Municipios 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se turnó a la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Comisionada María del Rosario Mejía Ayala, </w:t>
      </w:r>
      <w:r w:rsidR="00F2627A">
        <w:rPr>
          <w:rFonts w:ascii="Palatino Linotype" w:eastAsia="Palatino Linotype" w:hAnsi="Palatino Linotype" w:cs="Palatino Linotype"/>
          <w:sz w:val="24"/>
          <w:szCs w:val="24"/>
        </w:rPr>
        <w:t>para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 su análisis. </w:t>
      </w:r>
    </w:p>
    <w:p w:rsidR="00F2627A" w:rsidRPr="00C848EB" w:rsidRDefault="00F2627A" w:rsidP="00F2627A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:rsidR="00B55A11" w:rsidRPr="00C848EB" w:rsidRDefault="00F2627A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Palatino Linotype" w:eastAsia="Palatino Linotype" w:hAnsi="Palatino Linotype" w:cs="Palatino Linotype"/>
          <w:i/>
          <w:iCs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La Comisionada p</w:t>
      </w:r>
      <w:r w:rsidR="00FD4C44"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onente con fundamento en lo dispuesto por el artículo 18 fracción II de la ley de la materia, a través del acuerdo de admisión notificado el </w:t>
      </w:r>
      <w:r w:rsidR="00FD4C44"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veinticinco de agosto de dos mil veinticinco,</w:t>
      </w:r>
      <w:r w:rsidR="00FD4C44"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 se puso a disposición de las partes el expediente electrónico vía </w:t>
      </w:r>
      <w:r w:rsidR="00FD4C44"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SAIMEX </w:t>
      </w:r>
      <w:r w:rsidR="00FD4C44"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a efecto de que en un plazo máximo de siete días manifestaran lo que a derecho convinieran, ofrecieran pruebas y alegatos según corresponda al caso concreto, de esta forma para que el </w:t>
      </w:r>
      <w:r w:rsidR="00FD4C44"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SUJETO OBLIGADO</w:t>
      </w:r>
      <w:r w:rsidR="00FD4C44"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 presentara el informe justificado procedente. </w:t>
      </w:r>
    </w:p>
    <w:p w:rsidR="00B55A11" w:rsidRPr="00C848EB" w:rsidRDefault="00B55A1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</w:p>
    <w:p w:rsidR="00B55A11" w:rsidRPr="00C848EB" w:rsidRDefault="00FD4C44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Palatino Linotype" w:eastAsia="Palatino Linotype" w:hAnsi="Palatino Linotype" w:cs="Palatino Linotype"/>
          <w:i/>
          <w:iCs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De las constancias que obran en el expediente electrónico SAIMEX, se advierte que el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PARTICULAR,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 no realizó manifestación alguna.</w:t>
      </w:r>
    </w:p>
    <w:p w:rsidR="00B55A11" w:rsidRPr="00C848EB" w:rsidRDefault="00B55A11">
      <w:pPr>
        <w:spacing w:line="360" w:lineRule="auto"/>
        <w:jc w:val="both"/>
        <w:rPr>
          <w:rFonts w:ascii="Palatino Linotype" w:eastAsia="Palatino Linotype" w:hAnsi="Palatino Linotype" w:cs="Palatino Linotype"/>
          <w:i/>
          <w:iCs/>
          <w:sz w:val="24"/>
          <w:szCs w:val="24"/>
        </w:rPr>
      </w:pPr>
    </w:p>
    <w:p w:rsidR="00B55A11" w:rsidRPr="00C848EB" w:rsidRDefault="00FD4C44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Palatino Linotype" w:eastAsia="Palatino Linotype" w:hAnsi="Palatino Linotype" w:cs="Palatino Linotype"/>
          <w:color w:val="FF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El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SUJETO OBLIGADO, el tres de septiembre de dos mil veinticinco, 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>rindió el Informe Justificado correspondiente, a través de los archivos siguientes:</w:t>
      </w:r>
    </w:p>
    <w:p w:rsidR="00B55A11" w:rsidRPr="00C848EB" w:rsidRDefault="00FD4C4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680"/>
        <w:jc w:val="both"/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lastRenderedPageBreak/>
        <w:t xml:space="preserve">ANEXOS 09883-2025.pdf: </w:t>
      </w: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>Informe Justificado firmado por la Directora General del Medio Ambiente, por el que confirma su respuesta primigenia.</w:t>
      </w:r>
    </w:p>
    <w:p w:rsidR="00B55A11" w:rsidRPr="00C848EB" w:rsidRDefault="00B55A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680"/>
        <w:jc w:val="both"/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</w:pPr>
    </w:p>
    <w:p w:rsidR="00B55A11" w:rsidRPr="00C848EB" w:rsidRDefault="00FD4C4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68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>Oficio firmado por la Directora General del Medio Ambiente, que corresponde al remitido en respuesta.</w:t>
      </w:r>
    </w:p>
    <w:p w:rsidR="00B55A11" w:rsidRPr="00C848EB" w:rsidRDefault="00B55A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68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</w:p>
    <w:p w:rsidR="00B55A11" w:rsidRPr="00C848EB" w:rsidRDefault="00FD4C4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68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Oficio firmado por el Coordinador del Centro de Control y Bienestar Animal, por el que 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>informó</w:t>
      </w: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que se llevaron a 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>cabo</w:t>
      </w: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64 campañas de vacunación y que las vacunas fueron proporcionadas por el Instituto de Salud del Estado de México. </w:t>
      </w:r>
    </w:p>
    <w:p w:rsidR="00B55A11" w:rsidRPr="00C848EB" w:rsidRDefault="00B55A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680"/>
        <w:jc w:val="both"/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</w:pPr>
    </w:p>
    <w:p w:rsidR="00B55A11" w:rsidRPr="00F2627A" w:rsidRDefault="00FD4C4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68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 xml:space="preserve">Ratificación 09883.pdf: </w:t>
      </w: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Oficio firmado por el Titular de la Unidad de Transparencia por el que ratifica </w:t>
      </w:r>
      <w:r w:rsidRPr="00C848EB"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  <w:t xml:space="preserve">la respuesta </w:t>
      </w: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emitida por </w:t>
      </w:r>
      <w:r w:rsidRPr="00C848EB"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  <w:t xml:space="preserve">la DIRECCIÓN GENERAL DE MEDIO AMBIENTE y Servidor Público Habilitado </w:t>
      </w: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del </w:t>
      </w:r>
      <w:r w:rsidRPr="00C848EB"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  <w:t xml:space="preserve">07 agosto de 2025, </w:t>
      </w: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a la solicitud </w:t>
      </w:r>
      <w:r w:rsidRPr="00C848EB"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  <w:t xml:space="preserve">03815/TOLUCA/IP/2025, </w:t>
      </w: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relacionada con el </w:t>
      </w:r>
      <w:r w:rsidRPr="00C848EB"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  <w:t>Recurso de Revisión 09883/INFOEM/IP/RR/2025.</w:t>
      </w:r>
    </w:p>
    <w:p w:rsidR="00F2627A" w:rsidRPr="00C848EB" w:rsidRDefault="00F2627A" w:rsidP="00F262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68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</w:p>
    <w:p w:rsidR="00B55A11" w:rsidRPr="00C848EB" w:rsidRDefault="00B55A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68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</w:p>
    <w:p w:rsidR="00B55A11" w:rsidRPr="00C848EB" w:rsidRDefault="00FD4C44">
      <w:pPr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  <w:u w:val="single"/>
        </w:rPr>
      </w:pP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El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cuatro de marzo de dos mil veintiséis, 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>se notificó el acuerdo por el que se amplió el plazo para resolver el recurso de revisión que nos ocupa.</w:t>
      </w:r>
    </w:p>
    <w:p w:rsidR="00B55A11" w:rsidRPr="00C848EB" w:rsidRDefault="00B55A11">
      <w:pPr>
        <w:tabs>
          <w:tab w:val="left" w:pos="426"/>
        </w:tabs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  <w:u w:val="single"/>
        </w:rPr>
      </w:pPr>
    </w:p>
    <w:p w:rsidR="00B55A11" w:rsidRPr="00F2627A" w:rsidRDefault="00FD4C44">
      <w:pPr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  <w:u w:val="single"/>
        </w:rPr>
      </w:pP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El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once de marzo de dos mil veintiséis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>, la Comisionada Ponente decretó el cierre de instrucción y al no existir diligencias por realizar y se turnó el expediente a resolución correspondiente, por lo que no habiendo más que hacer constar, y ----------</w:t>
      </w:r>
      <w:r w:rsidR="00F2627A">
        <w:rPr>
          <w:rFonts w:ascii="Palatino Linotype" w:eastAsia="Palatino Linotype" w:hAnsi="Palatino Linotype" w:cs="Palatino Linotype"/>
          <w:sz w:val="24"/>
          <w:szCs w:val="24"/>
        </w:rPr>
        <w:t>---------------------------</w:t>
      </w:r>
    </w:p>
    <w:p w:rsidR="00F2627A" w:rsidRDefault="00F2627A" w:rsidP="00F2627A">
      <w:pPr>
        <w:pStyle w:val="Prrafodelista"/>
        <w:rPr>
          <w:rFonts w:ascii="Palatino Linotype" w:eastAsia="Palatino Linotype" w:hAnsi="Palatino Linotype" w:cs="Palatino Linotype"/>
          <w:b/>
          <w:bCs/>
          <w:sz w:val="24"/>
          <w:u w:val="single"/>
        </w:rPr>
      </w:pPr>
    </w:p>
    <w:p w:rsidR="00F2627A" w:rsidRPr="00C848EB" w:rsidRDefault="00F2627A" w:rsidP="00F2627A">
      <w:pPr>
        <w:tabs>
          <w:tab w:val="left" w:pos="426"/>
        </w:tabs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  <w:u w:val="single"/>
        </w:rPr>
      </w:pPr>
    </w:p>
    <w:p w:rsidR="00B55A11" w:rsidRPr="00C848EB" w:rsidRDefault="00B55A11">
      <w:pPr>
        <w:tabs>
          <w:tab w:val="left" w:pos="426"/>
        </w:tabs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  <w:u w:val="single"/>
        </w:rPr>
      </w:pPr>
    </w:p>
    <w:p w:rsidR="00F2627A" w:rsidRDefault="00FD4C44">
      <w:pPr>
        <w:keepNext/>
        <w:keepLines/>
        <w:spacing w:line="360" w:lineRule="auto"/>
        <w:jc w:val="center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bookmarkStart w:id="3" w:name="_heading=h.30j0zll" w:colFirst="0" w:colLast="0"/>
      <w:bookmarkEnd w:id="3"/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lastRenderedPageBreak/>
        <w:t>C</w:t>
      </w:r>
      <w:r w:rsidR="00F2627A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O</w:t>
      </w:r>
      <w:r w:rsidR="00F2627A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N</w:t>
      </w:r>
      <w:r w:rsidR="00F2627A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S</w:t>
      </w:r>
      <w:r w:rsidR="00F2627A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I</w:t>
      </w:r>
      <w:r w:rsidR="00F2627A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D</w:t>
      </w:r>
      <w:r w:rsidR="00F2627A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E</w:t>
      </w:r>
      <w:r w:rsidR="00F2627A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R</w:t>
      </w:r>
      <w:r w:rsidR="00F2627A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A</w:t>
      </w:r>
      <w:r w:rsidR="00F2627A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N</w:t>
      </w:r>
      <w:r w:rsidR="00F2627A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D</w:t>
      </w:r>
      <w:r w:rsidR="00F2627A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O</w:t>
      </w:r>
    </w:p>
    <w:p w:rsidR="00B55A11" w:rsidRPr="00C848EB" w:rsidRDefault="00FD4C44">
      <w:pPr>
        <w:keepNext/>
        <w:keepLines/>
        <w:spacing w:line="360" w:lineRule="auto"/>
        <w:jc w:val="center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</w:t>
      </w:r>
    </w:p>
    <w:p w:rsidR="00B55A11" w:rsidRPr="00C848EB" w:rsidRDefault="00FD4C44">
      <w:pPr>
        <w:keepNext/>
        <w:keepLines/>
        <w:spacing w:line="360" w:lineRule="auto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bookmarkStart w:id="4" w:name="_heading=h.1fob9te" w:colFirst="0" w:colLast="0"/>
      <w:bookmarkEnd w:id="4"/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PRIMERO. De la competencia</w:t>
      </w:r>
    </w:p>
    <w:p w:rsidR="00B55A11" w:rsidRPr="00C848EB" w:rsidRDefault="00FD4C44">
      <w:pPr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Este Instituto de Transparencia, Acceso a la Información Pública y Protección de 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>Datos</w:t>
      </w: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Personales del Estado de México y Municipios, es competente para conocer y resolver del presente recurso de conformidad con el artículo: 6, apartado A, fracción IV de la Constitución Política de los Estados Unidos Mexicanos; 5, párrafos trigésimo segundo, trigésimo tercero y trigésimo cuarto, fracciones IV y V, de la Constitución Política del Estado Libre y Soberano de México; artículos 1, 2 fracción II, 13, 29, 36 fracciones I y II, 176, 178, 179, 181 párrafo tercero y 185 de la Ley de Transparencia y Acceso a la Información Pública del Estado de México y Municipios; y 7, 9 fracciones I y XXIV, y 11 del Reglamento Interior del Instituto de Transparencia, Acceso a la Información Pública y Protección de Datos Personales del Estado de México y Municipios.</w:t>
      </w:r>
    </w:p>
    <w:p w:rsidR="00B55A11" w:rsidRPr="00C848EB" w:rsidRDefault="00B55A11">
      <w:pPr>
        <w:tabs>
          <w:tab w:val="left" w:pos="426"/>
        </w:tabs>
        <w:spacing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</w:p>
    <w:p w:rsidR="00B55A11" w:rsidRPr="00C848EB" w:rsidRDefault="00FD4C44">
      <w:pPr>
        <w:keepNext/>
        <w:keepLines/>
        <w:spacing w:line="360" w:lineRule="auto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bookmarkStart w:id="5" w:name="_heading=h.3znysh7" w:colFirst="0" w:colLast="0"/>
      <w:bookmarkEnd w:id="5"/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SEGUNDO. De la oportunidad y procedencia.</w:t>
      </w:r>
    </w:p>
    <w:p w:rsidR="00B55A11" w:rsidRPr="00C848EB" w:rsidRDefault="00FD4C44">
      <w:pPr>
        <w:numPr>
          <w:ilvl w:val="0"/>
          <w:numId w:val="1"/>
        </w:numPr>
        <w:spacing w:line="360" w:lineRule="auto"/>
        <w:ind w:left="0" w:right="48" w:firstLine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El medio de impugnación fue presentado a través del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SAIMEX,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 en el formato previamente aprobado para tal efecto y dentro del plazo legal de quince días hábiles otorgados; para el caso en particular es de señalar que el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SUJETO OBLIGADO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 entregó respuesta el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siete de agosto de dos mil veinticinco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, de tal forma que el plazo para interponer el recurso transcurrió del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ocho al veintiocho de agosto  de dos mil veinticinco, 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en consecuencia, si el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PARTICULAR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 presentó su inconformidad el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veintiuno de agosto de dos mil veinticinco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, este  se encuentra dentro de los márgenes temporales previstos en el artículo 178 de la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Ley de Transparencia y Acceso a la Información Pública del Estado de México y Municipios 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vigente. </w:t>
      </w:r>
    </w:p>
    <w:p w:rsidR="00B55A11" w:rsidRPr="00C848EB" w:rsidRDefault="00FD4C44">
      <w:pPr>
        <w:pStyle w:val="Ttulo2"/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</w:pPr>
      <w:bookmarkStart w:id="6" w:name="_heading=h.2et92p0" w:colFirst="0" w:colLast="0"/>
      <w:bookmarkEnd w:id="6"/>
      <w:r w:rsidRPr="00C848EB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lastRenderedPageBreak/>
        <w:t xml:space="preserve">TERCERO. Del planteamiento de la </w:t>
      </w:r>
      <w:r w:rsidRPr="00C848EB"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  <w:t>Litis.</w:t>
      </w:r>
    </w:p>
    <w:p w:rsidR="00B55A11" w:rsidRPr="00C848EB" w:rsidRDefault="00FD4C44">
      <w:pPr>
        <w:numPr>
          <w:ilvl w:val="0"/>
          <w:numId w:val="1"/>
        </w:numPr>
        <w:spacing w:line="360" w:lineRule="auto"/>
        <w:ind w:left="0" w:right="49" w:firstLine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sz w:val="24"/>
          <w:szCs w:val="24"/>
        </w:rPr>
        <w:t>Se solicitó la información que a continuación se desagrega:</w:t>
      </w:r>
    </w:p>
    <w:p w:rsidR="00B55A11" w:rsidRPr="00C848EB" w:rsidRDefault="00FD4C44">
      <w:pPr>
        <w:ind w:left="567" w:right="68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sz w:val="24"/>
          <w:szCs w:val="24"/>
        </w:rPr>
        <w:t>Del uno de enero de dos mil veinticuatro al tres de julio de dos mil veinticinco lo siguiente:</w:t>
      </w:r>
    </w:p>
    <w:p w:rsidR="00B55A11" w:rsidRPr="00C848EB" w:rsidRDefault="00FD4C4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68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sz w:val="24"/>
          <w:szCs w:val="24"/>
        </w:rPr>
        <w:t>Cuántas</w:t>
      </w: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campañas de VACUNACIÓN de perros y gatos y contra 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>qué</w:t>
      </w: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enfermedades </w:t>
      </w:r>
    </w:p>
    <w:p w:rsidR="00B55A11" w:rsidRPr="00C848EB" w:rsidRDefault="00FD4C4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68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sz w:val="24"/>
          <w:szCs w:val="24"/>
        </w:rPr>
        <w:t>C</w:t>
      </w: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osto de cada vacuna a quien se les 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>compró</w:t>
      </w: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o se las da el. Sector salud</w:t>
      </w:r>
    </w:p>
    <w:p w:rsidR="00B55A11" w:rsidRPr="00C848EB" w:rsidRDefault="00B55A11">
      <w:pPr>
        <w:spacing w:line="276" w:lineRule="auto"/>
        <w:ind w:right="680"/>
        <w:rPr>
          <w:rFonts w:ascii="Palatino Linotype" w:eastAsia="Palatino Linotype" w:hAnsi="Palatino Linotype" w:cs="Palatino Linotype"/>
          <w:sz w:val="24"/>
          <w:szCs w:val="24"/>
        </w:rPr>
      </w:pPr>
    </w:p>
    <w:p w:rsidR="00B55A11" w:rsidRPr="00C848EB" w:rsidRDefault="00FD4C44">
      <w:pPr>
        <w:numPr>
          <w:ilvl w:val="0"/>
          <w:numId w:val="1"/>
        </w:numPr>
        <w:spacing w:line="360" w:lineRule="auto"/>
        <w:ind w:left="0" w:right="49" w:firstLine="0"/>
        <w:jc w:val="both"/>
        <w:rPr>
          <w:rFonts w:ascii="Palatino Linotype" w:eastAsia="Palatino Linotype" w:hAnsi="Palatino Linotype" w:cs="Palatino Linotype"/>
          <w:i/>
          <w:iCs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El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SUJETO OBLIGADO, 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>dio respuesta como quedó referido en el numeral 2 del presente proyecto.</w:t>
      </w:r>
    </w:p>
    <w:p w:rsidR="00B55A11" w:rsidRPr="00C848EB" w:rsidRDefault="00B55A11">
      <w:pPr>
        <w:spacing w:line="360" w:lineRule="auto"/>
        <w:ind w:right="49"/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:rsidR="00B55A11" w:rsidRPr="00C848EB" w:rsidRDefault="00FD4C44">
      <w:pPr>
        <w:numPr>
          <w:ilvl w:val="0"/>
          <w:numId w:val="1"/>
        </w:numPr>
        <w:spacing w:line="360" w:lineRule="auto"/>
        <w:ind w:left="0" w:right="49" w:firstLine="0"/>
        <w:jc w:val="both"/>
        <w:rPr>
          <w:rFonts w:ascii="Palatino Linotype" w:eastAsia="Palatino Linotype" w:hAnsi="Palatino Linotype" w:cs="Palatino Linotype"/>
          <w:i/>
          <w:iCs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Inconforme con lo anterior, el ahora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RECURRENTE 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>interpuso Recurso de Revisión arguyendo medularmente que no se le entregó lo que se solicitó.</w:t>
      </w:r>
    </w:p>
    <w:p w:rsidR="00B55A11" w:rsidRPr="00C848EB" w:rsidRDefault="00B55A11">
      <w:pPr>
        <w:spacing w:line="360" w:lineRule="auto"/>
        <w:ind w:right="49"/>
        <w:jc w:val="both"/>
        <w:rPr>
          <w:rFonts w:ascii="Palatino Linotype" w:eastAsia="Palatino Linotype" w:hAnsi="Palatino Linotype" w:cs="Palatino Linotype"/>
          <w:i/>
          <w:iCs/>
          <w:sz w:val="24"/>
          <w:szCs w:val="24"/>
        </w:rPr>
      </w:pPr>
    </w:p>
    <w:p w:rsidR="00B55A11" w:rsidRPr="00C848EB" w:rsidRDefault="00FD4C44">
      <w:pPr>
        <w:numPr>
          <w:ilvl w:val="0"/>
          <w:numId w:val="1"/>
        </w:numPr>
        <w:spacing w:line="360" w:lineRule="auto"/>
        <w:ind w:left="0" w:right="49" w:firstLine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En dichas condiciones, la </w:t>
      </w:r>
      <w:r w:rsidRPr="00C848EB">
        <w:rPr>
          <w:rFonts w:ascii="Palatino Linotype" w:eastAsia="Palatino Linotype" w:hAnsi="Palatino Linotype" w:cs="Palatino Linotype"/>
          <w:i/>
          <w:iCs/>
          <w:sz w:val="24"/>
          <w:szCs w:val="24"/>
        </w:rPr>
        <w:t>Litis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 a resolver en este recurso se circunscribe a determinar si se actualiza la causal de procedencia prevista en el artículo 179, fracción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I 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de la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Ley de Transparencia y Acceso a la Información Pública del Estado de México y Municipios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; </w:t>
      </w: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fracción que determina las hipótesis jurídica relativa a la negativa a la información solicitada; 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contexto del cual se dolió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EL RECURRENTE 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>al momento de interponer su inconformidad.</w:t>
      </w: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De modo tal que, el presente recurso de revisión se abocara en determinar si el </w:t>
      </w:r>
      <w:r w:rsidRPr="00C848EB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SUJETO</w:t>
      </w: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r w:rsidRPr="00C848EB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OBLIGADO</w:t>
      </w: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con su respuesta ciertamente actualiza la causal de procedencia</w:t>
      </w:r>
      <w:r w:rsidRPr="00C848EB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 xml:space="preserve"> </w:t>
      </w: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>antes señalada. Así como comprobar si la respuesta emitida resulta congruente e integral en términos del artículo 11 de la ley de la materia.</w:t>
      </w:r>
    </w:p>
    <w:p w:rsidR="00B55A11" w:rsidRPr="00C848EB" w:rsidRDefault="00B55A1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</w:p>
    <w:p w:rsidR="00B55A11" w:rsidRPr="00C848EB" w:rsidRDefault="00FD4C44">
      <w:pPr>
        <w:pStyle w:val="Ttulo2"/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</w:pPr>
      <w:bookmarkStart w:id="7" w:name="_heading=h.3dy6vkm" w:colFirst="0" w:colLast="0"/>
      <w:bookmarkEnd w:id="7"/>
      <w:r w:rsidRPr="00C848EB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lastRenderedPageBreak/>
        <w:t>CUARTO. Del estudio y resolución del asunto.</w:t>
      </w:r>
    </w:p>
    <w:p w:rsidR="00B55A11" w:rsidRPr="00C848EB" w:rsidRDefault="00FD4C44">
      <w:pPr>
        <w:numPr>
          <w:ilvl w:val="0"/>
          <w:numId w:val="1"/>
        </w:numPr>
        <w:spacing w:line="360" w:lineRule="auto"/>
        <w:ind w:left="0" w:right="49" w:firstLine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bookmarkStart w:id="8" w:name="_heading=h.iee3gkrwha2o" w:colFirst="0" w:colLast="0"/>
      <w:bookmarkEnd w:id="8"/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Dicho lo anterior, este Órgano Resolutor se avocara a realizar el estudio en conjunto de todas las constancias que obran en el SAIMEX, con la finalidad de poder determinar si los motivos de inconformidad hechos valer por el ahora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RECURRENTE, 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resultan fundados. </w:t>
      </w:r>
    </w:p>
    <w:p w:rsidR="00B55A11" w:rsidRPr="00C848EB" w:rsidRDefault="00FD4C4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160" w:line="360" w:lineRule="auto"/>
        <w:ind w:right="49"/>
        <w:jc w:val="center"/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BANDO MUNICIPAL</w:t>
      </w:r>
    </w:p>
    <w:p w:rsidR="00B55A11" w:rsidRPr="00C848EB" w:rsidRDefault="00FD4C44">
      <w:pPr>
        <w:spacing w:line="276" w:lineRule="auto"/>
        <w:ind w:left="709" w:right="822"/>
        <w:jc w:val="both"/>
        <w:rPr>
          <w:rFonts w:ascii="Palatino Linotype" w:eastAsia="Palatino Linotype" w:hAnsi="Palatino Linotype" w:cs="Palatino Linotype"/>
          <w:i/>
          <w:iCs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i/>
          <w:iCs/>
          <w:sz w:val="24"/>
          <w:szCs w:val="24"/>
        </w:rPr>
        <w:t>Artículo 90. Para la consulta, estudio, planeación, gestión y ejecución en los diferentes ámbitos de aplicación de la Administración Pública Municipal, la o el Presidente Municipal se regirá por la Constitución Política de los Estados Unidos Mexicanos, la Constitución Política del Estado Libre y Soberano de México, la Ley Orgánica Municipal, el presente Bando y demás disposiciones aplicables, y se auxiliará de las siguientes:</w:t>
      </w:r>
    </w:p>
    <w:p w:rsidR="00B55A11" w:rsidRPr="00C848EB" w:rsidRDefault="00B55A11">
      <w:pPr>
        <w:spacing w:line="276" w:lineRule="auto"/>
        <w:ind w:left="709" w:right="822"/>
        <w:jc w:val="both"/>
        <w:rPr>
          <w:rFonts w:ascii="Palatino Linotype" w:eastAsia="Palatino Linotype" w:hAnsi="Palatino Linotype" w:cs="Palatino Linotype"/>
          <w:i/>
          <w:iCs/>
          <w:sz w:val="24"/>
          <w:szCs w:val="24"/>
        </w:rPr>
      </w:pPr>
    </w:p>
    <w:p w:rsidR="00B55A11" w:rsidRPr="00C848EB" w:rsidRDefault="00FD4C44">
      <w:pPr>
        <w:spacing w:line="276" w:lineRule="auto"/>
        <w:ind w:left="709" w:right="822"/>
        <w:jc w:val="both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I. DEPENDENCIAS:</w:t>
      </w:r>
    </w:p>
    <w:p w:rsidR="00B55A11" w:rsidRPr="00C848EB" w:rsidRDefault="00FD4C44">
      <w:pPr>
        <w:spacing w:line="276" w:lineRule="auto"/>
        <w:ind w:left="709" w:right="822"/>
        <w:jc w:val="both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1.Secretaría del Ayuntamiento;</w:t>
      </w:r>
    </w:p>
    <w:p w:rsidR="00B55A11" w:rsidRPr="00C848EB" w:rsidRDefault="00FD4C44">
      <w:pPr>
        <w:spacing w:line="276" w:lineRule="auto"/>
        <w:ind w:left="709" w:right="822"/>
        <w:jc w:val="both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2.Tesorería Municipal;</w:t>
      </w:r>
    </w:p>
    <w:p w:rsidR="00B55A11" w:rsidRPr="00C848EB" w:rsidRDefault="00FD4C44">
      <w:pPr>
        <w:spacing w:line="276" w:lineRule="auto"/>
        <w:ind w:left="709" w:right="822"/>
        <w:jc w:val="both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3.Órgano Interno de Control;</w:t>
      </w:r>
    </w:p>
    <w:p w:rsidR="00B55A11" w:rsidRPr="00C848EB" w:rsidRDefault="00FD4C44">
      <w:pPr>
        <w:spacing w:line="276" w:lineRule="auto"/>
        <w:ind w:left="709" w:right="822"/>
        <w:jc w:val="both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4.Dirección General de Gobierno;</w:t>
      </w:r>
    </w:p>
    <w:p w:rsidR="00B55A11" w:rsidRPr="00C848EB" w:rsidRDefault="00FD4C44">
      <w:pPr>
        <w:spacing w:line="276" w:lineRule="auto"/>
        <w:ind w:left="709" w:right="822"/>
        <w:jc w:val="both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5.Dirección General de Seguridad y Protección;</w:t>
      </w:r>
    </w:p>
    <w:p w:rsidR="00B55A11" w:rsidRPr="00C848EB" w:rsidRDefault="00FD4C44">
      <w:pPr>
        <w:spacing w:line="276" w:lineRule="auto"/>
        <w:ind w:left="709" w:right="822"/>
        <w:jc w:val="both"/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6.Dirección General de Administración</w:t>
      </w:r>
      <w:r w:rsidRPr="00C848EB"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  <w:t>;</w:t>
      </w:r>
    </w:p>
    <w:p w:rsidR="00B55A11" w:rsidRPr="00C848EB" w:rsidRDefault="00FD4C44">
      <w:pPr>
        <w:spacing w:line="276" w:lineRule="auto"/>
        <w:ind w:left="709" w:right="822"/>
        <w:jc w:val="both"/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  <w:t>7.Dirección General de Medio Ambiente;</w:t>
      </w:r>
    </w:p>
    <w:p w:rsidR="00B55A11" w:rsidRPr="00C848EB" w:rsidRDefault="00FD4C44">
      <w:pPr>
        <w:spacing w:line="276" w:lineRule="auto"/>
        <w:ind w:left="709" w:right="822"/>
        <w:jc w:val="both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8.Dirección General de Servicios Públicos;</w:t>
      </w:r>
    </w:p>
    <w:p w:rsidR="00B55A11" w:rsidRPr="00C848EB" w:rsidRDefault="00FD4C44">
      <w:pPr>
        <w:spacing w:line="276" w:lineRule="auto"/>
        <w:ind w:left="709" w:right="822"/>
        <w:jc w:val="both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9.Dirección General de Innovación, Planeación y</w:t>
      </w:r>
    </w:p>
    <w:p w:rsidR="00B55A11" w:rsidRPr="00C848EB" w:rsidRDefault="00FD4C44">
      <w:pPr>
        <w:spacing w:line="276" w:lineRule="auto"/>
        <w:ind w:left="709" w:right="822"/>
        <w:jc w:val="both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Gestión Urbana;</w:t>
      </w:r>
    </w:p>
    <w:p w:rsidR="00B55A11" w:rsidRPr="00C848EB" w:rsidRDefault="00FD4C44">
      <w:pPr>
        <w:spacing w:line="276" w:lineRule="auto"/>
        <w:ind w:left="709" w:right="822"/>
        <w:jc w:val="both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10.Dirección General de Obras Públicas;</w:t>
      </w:r>
    </w:p>
    <w:p w:rsidR="00B55A11" w:rsidRPr="00C848EB" w:rsidRDefault="00FD4C44">
      <w:pPr>
        <w:spacing w:line="276" w:lineRule="auto"/>
        <w:ind w:left="709" w:right="822"/>
        <w:jc w:val="both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11.Dirección General de Desarrollo Económico;</w:t>
      </w:r>
    </w:p>
    <w:p w:rsidR="00B55A11" w:rsidRPr="00C848EB" w:rsidRDefault="00FD4C44">
      <w:pPr>
        <w:spacing w:line="276" w:lineRule="auto"/>
        <w:ind w:left="709" w:right="822"/>
        <w:jc w:val="both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12.Dirección General de Bienestar; y</w:t>
      </w:r>
    </w:p>
    <w:p w:rsidR="00B55A11" w:rsidRPr="00C848EB" w:rsidRDefault="00FD4C44">
      <w:pPr>
        <w:spacing w:line="276" w:lineRule="auto"/>
        <w:ind w:left="709" w:right="822"/>
        <w:jc w:val="both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13.Dirección General de Educación, Cultura y Turismo.</w:t>
      </w:r>
    </w:p>
    <w:p w:rsidR="00B55A11" w:rsidRPr="00C848EB" w:rsidRDefault="00FD4C44">
      <w:pPr>
        <w:spacing w:line="276" w:lineRule="auto"/>
        <w:ind w:left="709" w:right="822"/>
        <w:jc w:val="both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…</w:t>
      </w:r>
    </w:p>
    <w:p w:rsidR="00B55A11" w:rsidRPr="00C848EB" w:rsidRDefault="00B55A11">
      <w:pPr>
        <w:spacing w:line="276" w:lineRule="auto"/>
        <w:ind w:left="709" w:right="822"/>
        <w:jc w:val="both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</w:p>
    <w:p w:rsidR="00B55A11" w:rsidRPr="00C848EB" w:rsidRDefault="00FD4C44">
      <w:pPr>
        <w:spacing w:line="276" w:lineRule="auto"/>
        <w:ind w:left="709" w:right="822"/>
        <w:jc w:val="both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lastRenderedPageBreak/>
        <w:t>Artículo 92. La administración pública municipal será centralizada, descentralizada y autónoma. Para el ejercicio del poder público municipal, las personas titulares de las Direcciones Generales, los Organismos Descentralizados y el Órgano Autónomo tendrán las atribuciones y facultades que le otorguen las disposiciones legales aplicables a su campo de actuación y las que este Bando y el Código Reglamentario les confiera.</w:t>
      </w:r>
    </w:p>
    <w:p w:rsidR="00B55A11" w:rsidRPr="00C848EB" w:rsidRDefault="00FD4C44">
      <w:pPr>
        <w:spacing w:line="276" w:lineRule="auto"/>
        <w:ind w:left="709" w:right="822"/>
        <w:jc w:val="both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…</w:t>
      </w:r>
    </w:p>
    <w:p w:rsidR="00B55A11" w:rsidRPr="00C848EB" w:rsidRDefault="00FD4C44">
      <w:pPr>
        <w:spacing w:line="276" w:lineRule="auto"/>
        <w:ind w:left="851" w:right="964"/>
        <w:jc w:val="both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VII. La persona titular de la </w:t>
      </w: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>Dirección General de Medio Ambiente</w:t>
      </w: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tendrá como atribuciones la promoción, ejecución y coordinación de programas para la protección de la biodiversidad, la conservación de suelos y la calidad del aire, en colaboración con los sectores público, privado y social. Además de evaluar proyectos ambientales y fomentar el desarrollo de prácticas sustentables que implementen estrategias para la gestión y conservación de áreas verdes y naturales. </w:t>
      </w: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  <w:u w:val="single"/>
        </w:rPr>
        <w:t xml:space="preserve">Deberá impulsar acciones para garantizar el bienestar animal, </w:t>
      </w: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asegurando un trato digno conforme a las normativas vigentes. Supervisará el cumplimiento de la legislación ambiental, emitirá autorizaciones, aplicará sanciones ante infracciones y administrará el uso responsable de las áreas naturales protegidas”</w:t>
      </w:r>
    </w:p>
    <w:p w:rsidR="00B55A11" w:rsidRPr="00C848EB" w:rsidRDefault="00B55A11">
      <w:pPr>
        <w:spacing w:line="276" w:lineRule="auto"/>
        <w:ind w:left="851" w:right="964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</w:p>
    <w:p w:rsidR="00B55A11" w:rsidRPr="00C848EB" w:rsidRDefault="00FD4C44">
      <w:pPr>
        <w:numPr>
          <w:ilvl w:val="0"/>
          <w:numId w:val="1"/>
        </w:numPr>
        <w:spacing w:line="360" w:lineRule="auto"/>
        <w:ind w:left="0" w:right="49" w:firstLine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>Atento a lo anterior, se advierte que se pronunció el Servidor Público Habilitado para tal efecto, quien se pronunció de manera precisa respecto lo solicitado, como se observa a continuación:</w:t>
      </w:r>
    </w:p>
    <w:p w:rsidR="00B55A11" w:rsidRPr="00C848EB" w:rsidRDefault="00B55A11">
      <w:pPr>
        <w:spacing w:line="360" w:lineRule="auto"/>
        <w:ind w:right="49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</w:p>
    <w:tbl>
      <w:tblPr>
        <w:tblStyle w:val="a"/>
        <w:tblW w:w="991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3402"/>
        <w:gridCol w:w="3119"/>
      </w:tblGrid>
      <w:tr w:rsidR="00B55A11" w:rsidRPr="00C848EB" w:rsidTr="00F2627A">
        <w:trPr>
          <w:jc w:val="center"/>
        </w:trPr>
        <w:tc>
          <w:tcPr>
            <w:tcW w:w="3397" w:type="dxa"/>
            <w:shd w:val="clear" w:color="auto" w:fill="EDEDED"/>
            <w:vAlign w:val="center"/>
          </w:tcPr>
          <w:p w:rsidR="00B55A11" w:rsidRPr="00C848EB" w:rsidRDefault="00FD4C44">
            <w:pPr>
              <w:ind w:right="49"/>
              <w:jc w:val="center"/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</w:rPr>
            </w:pPr>
            <w:r w:rsidRPr="00C848EB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</w:rPr>
              <w:t>Solicitud</w:t>
            </w:r>
          </w:p>
        </w:tc>
        <w:tc>
          <w:tcPr>
            <w:tcW w:w="3402" w:type="dxa"/>
            <w:shd w:val="clear" w:color="auto" w:fill="EDEDED"/>
            <w:vAlign w:val="center"/>
          </w:tcPr>
          <w:p w:rsidR="00B55A11" w:rsidRPr="00C848EB" w:rsidRDefault="00FD4C44">
            <w:pPr>
              <w:ind w:right="49"/>
              <w:jc w:val="center"/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</w:rPr>
            </w:pPr>
            <w:r w:rsidRPr="00C848EB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</w:rPr>
              <w:t>Respuesta</w:t>
            </w:r>
          </w:p>
        </w:tc>
        <w:tc>
          <w:tcPr>
            <w:tcW w:w="3119" w:type="dxa"/>
            <w:shd w:val="clear" w:color="auto" w:fill="EDEDED"/>
            <w:vAlign w:val="center"/>
          </w:tcPr>
          <w:p w:rsidR="00B55A11" w:rsidRPr="00C848EB" w:rsidRDefault="00FD4C44">
            <w:pPr>
              <w:ind w:right="49"/>
              <w:jc w:val="center"/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</w:rPr>
            </w:pPr>
            <w:r w:rsidRPr="00C848EB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</w:rPr>
              <w:t>¿Colma?</w:t>
            </w:r>
          </w:p>
        </w:tc>
      </w:tr>
      <w:tr w:rsidR="00B55A11" w:rsidRPr="00C848EB" w:rsidTr="00F2627A">
        <w:trPr>
          <w:jc w:val="center"/>
        </w:trPr>
        <w:tc>
          <w:tcPr>
            <w:tcW w:w="3397" w:type="dxa"/>
            <w:vAlign w:val="center"/>
          </w:tcPr>
          <w:p w:rsidR="00B55A11" w:rsidRPr="00C848EB" w:rsidRDefault="00FD4C44">
            <w:pPr>
              <w:ind w:right="49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 w:rsidRPr="00C848EB">
              <w:rPr>
                <w:rFonts w:ascii="Palatino Linotype" w:eastAsia="Palatino Linotype" w:hAnsi="Palatino Linotype" w:cs="Palatino Linotype"/>
                <w:sz w:val="24"/>
                <w:szCs w:val="24"/>
              </w:rPr>
              <w:t>Cuántas campañas de VACUNACIÓN de perros y gatos se han realizado en su administración</w:t>
            </w:r>
          </w:p>
        </w:tc>
        <w:tc>
          <w:tcPr>
            <w:tcW w:w="3402" w:type="dxa"/>
            <w:vAlign w:val="center"/>
          </w:tcPr>
          <w:p w:rsidR="00B55A11" w:rsidRPr="00C848EB" w:rsidRDefault="00B55A11">
            <w:pPr>
              <w:ind w:right="49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</w:p>
          <w:p w:rsidR="00B55A11" w:rsidRPr="00C848EB" w:rsidRDefault="00FD4C44">
            <w:pPr>
              <w:ind w:right="49"/>
              <w:jc w:val="both"/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</w:rPr>
            </w:pPr>
            <w:r w:rsidRPr="00C848EB">
              <w:rPr>
                <w:rFonts w:ascii="Palatino Linotype" w:eastAsia="Palatino Linotype" w:hAnsi="Palatino Linotype" w:cs="Palatino Linotype"/>
                <w:sz w:val="24"/>
                <w:szCs w:val="24"/>
              </w:rPr>
              <w:t xml:space="preserve">Al respecto me permito hacer de su conocimiento que durante esta </w:t>
            </w:r>
            <w:r w:rsidRPr="00C848EB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</w:rPr>
              <w:t>administración se han llevado a cabo 64 campañas de vacunación</w:t>
            </w:r>
          </w:p>
          <w:p w:rsidR="00B55A11" w:rsidRPr="00C848EB" w:rsidRDefault="00B55A11">
            <w:pPr>
              <w:ind w:right="49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B55A11" w:rsidRPr="00C848EB" w:rsidRDefault="00FD4C44">
            <w:pPr>
              <w:ind w:right="49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 w:rsidRPr="00C848EB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</w:rPr>
              <w:t xml:space="preserve">Si, </w:t>
            </w:r>
            <w:r w:rsidRPr="00C848EB">
              <w:rPr>
                <w:rFonts w:ascii="Palatino Linotype" w:eastAsia="Palatino Linotype" w:hAnsi="Palatino Linotype" w:cs="Palatino Linotype"/>
                <w:sz w:val="24"/>
                <w:szCs w:val="24"/>
              </w:rPr>
              <w:t>se informó que se realizaron 64 campañas de vacunación.</w:t>
            </w:r>
          </w:p>
        </w:tc>
      </w:tr>
      <w:tr w:rsidR="00B55A11" w:rsidRPr="00C848EB" w:rsidTr="00F2627A">
        <w:trPr>
          <w:jc w:val="center"/>
        </w:trPr>
        <w:tc>
          <w:tcPr>
            <w:tcW w:w="3397" w:type="dxa"/>
            <w:vAlign w:val="center"/>
          </w:tcPr>
          <w:p w:rsidR="00B55A11" w:rsidRPr="00C848EB" w:rsidRDefault="00B55A11">
            <w:pPr>
              <w:ind w:right="49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</w:p>
          <w:p w:rsidR="00B55A11" w:rsidRPr="00C848EB" w:rsidRDefault="00FD4C44">
            <w:pPr>
              <w:ind w:right="49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 w:rsidRPr="00C848EB">
              <w:rPr>
                <w:rFonts w:ascii="Palatino Linotype" w:eastAsia="Palatino Linotype" w:hAnsi="Palatino Linotype" w:cs="Palatino Linotype"/>
                <w:sz w:val="24"/>
                <w:szCs w:val="24"/>
              </w:rPr>
              <w:t xml:space="preserve">Contra qué enfermedades se han realizado </w:t>
            </w:r>
          </w:p>
        </w:tc>
        <w:tc>
          <w:tcPr>
            <w:tcW w:w="3402" w:type="dxa"/>
            <w:vAlign w:val="center"/>
          </w:tcPr>
          <w:p w:rsidR="00B55A11" w:rsidRPr="00C848EB" w:rsidRDefault="00FD4C44">
            <w:pPr>
              <w:ind w:right="49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 w:rsidRPr="00C848EB">
              <w:rPr>
                <w:rFonts w:ascii="Palatino Linotype" w:eastAsia="Palatino Linotype" w:hAnsi="Palatino Linotype" w:cs="Palatino Linotype"/>
                <w:sz w:val="24"/>
                <w:szCs w:val="24"/>
              </w:rPr>
              <w:t>Contra el virus rábico</w:t>
            </w:r>
          </w:p>
        </w:tc>
        <w:tc>
          <w:tcPr>
            <w:tcW w:w="3119" w:type="dxa"/>
            <w:vAlign w:val="center"/>
          </w:tcPr>
          <w:p w:rsidR="00B55A11" w:rsidRPr="00C848EB" w:rsidRDefault="00FD4C44">
            <w:pPr>
              <w:ind w:right="49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 w:rsidRPr="00C848EB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</w:rPr>
              <w:t xml:space="preserve">Si, </w:t>
            </w:r>
            <w:r w:rsidRPr="00C848EB">
              <w:rPr>
                <w:rFonts w:ascii="Palatino Linotype" w:eastAsia="Palatino Linotype" w:hAnsi="Palatino Linotype" w:cs="Palatino Linotype"/>
                <w:sz w:val="24"/>
                <w:szCs w:val="24"/>
              </w:rPr>
              <w:t>se informó contra que enfermedades.</w:t>
            </w:r>
          </w:p>
        </w:tc>
      </w:tr>
      <w:tr w:rsidR="00B55A11" w:rsidRPr="00C848EB" w:rsidTr="00F2627A">
        <w:trPr>
          <w:jc w:val="center"/>
        </w:trPr>
        <w:tc>
          <w:tcPr>
            <w:tcW w:w="3397" w:type="dxa"/>
            <w:vAlign w:val="center"/>
          </w:tcPr>
          <w:p w:rsidR="00B55A11" w:rsidRPr="00C848EB" w:rsidRDefault="00B55A11">
            <w:pPr>
              <w:ind w:right="49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</w:p>
          <w:p w:rsidR="00B55A11" w:rsidRPr="00C848EB" w:rsidRDefault="00FD4C44">
            <w:pPr>
              <w:ind w:right="49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 w:rsidRPr="00C848EB">
              <w:rPr>
                <w:rFonts w:ascii="Palatino Linotype" w:eastAsia="Palatino Linotype" w:hAnsi="Palatino Linotype" w:cs="Palatino Linotype"/>
                <w:sz w:val="24"/>
                <w:szCs w:val="24"/>
              </w:rPr>
              <w:t>Cuánto costó cada vacuna a quien se les compró o se las da el. Sector salud</w:t>
            </w:r>
          </w:p>
          <w:p w:rsidR="00B55A11" w:rsidRPr="00C848EB" w:rsidRDefault="00B55A11">
            <w:pPr>
              <w:ind w:right="49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B55A11" w:rsidRPr="00C848EB" w:rsidRDefault="00FD4C44">
            <w:pPr>
              <w:ind w:right="49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 w:rsidRPr="00C848EB">
              <w:rPr>
                <w:rFonts w:ascii="Palatino Linotype" w:eastAsia="Palatino Linotype" w:hAnsi="Palatino Linotype" w:cs="Palatino Linotype"/>
                <w:sz w:val="24"/>
                <w:szCs w:val="24"/>
              </w:rPr>
              <w:t>Las vacunas son donadas por el Instituto de Salud del Estado de México.</w:t>
            </w:r>
          </w:p>
        </w:tc>
        <w:tc>
          <w:tcPr>
            <w:tcW w:w="3119" w:type="dxa"/>
            <w:vAlign w:val="center"/>
          </w:tcPr>
          <w:p w:rsidR="00B55A11" w:rsidRPr="00C848EB" w:rsidRDefault="00FD4C44">
            <w:pPr>
              <w:ind w:right="49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 w:rsidRPr="00C848EB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</w:rPr>
              <w:t xml:space="preserve">Si, </w:t>
            </w:r>
            <w:r w:rsidRPr="00C848EB">
              <w:rPr>
                <w:rFonts w:ascii="Palatino Linotype" w:eastAsia="Palatino Linotype" w:hAnsi="Palatino Linotype" w:cs="Palatino Linotype"/>
                <w:sz w:val="24"/>
                <w:szCs w:val="24"/>
              </w:rPr>
              <w:t>ya que informó que las dona el ISEM.</w:t>
            </w:r>
          </w:p>
        </w:tc>
      </w:tr>
    </w:tbl>
    <w:p w:rsidR="00B55A11" w:rsidRPr="00C848EB" w:rsidRDefault="00B55A11">
      <w:pPr>
        <w:spacing w:line="360" w:lineRule="auto"/>
        <w:ind w:right="49"/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:rsidR="00B55A11" w:rsidRPr="00C848EB" w:rsidRDefault="00FD4C44">
      <w:pPr>
        <w:numPr>
          <w:ilvl w:val="0"/>
          <w:numId w:val="1"/>
        </w:numPr>
        <w:spacing w:line="360" w:lineRule="auto"/>
        <w:ind w:left="0" w:right="49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Es </w:t>
      </w: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>por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 lo anterior, que se tiene por colmada en su totalidad la solicitud de información que nos ocupa, pues con la respuesta proporcionada, se atendieron todos los rubros solicitados; asimismo, es necesario señalar que éste Órgano Garante no está facultado para pronunciarse sobre la veracidad de la información que los Sujetos Obligados ponen a disposición de los solicitantes; situación que se aleja de las atribuciones de este Instituto </w:t>
      </w: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>máxime que al momento que ponen a disposición ésta, la misma tiene el carácter oficial y se presume veraz, tan es así que la misma queda registrada en el Sistema de Acceso a la Información Mexiquense (SAIMEX).</w:t>
      </w:r>
    </w:p>
    <w:p w:rsidR="00B55A11" w:rsidRPr="00C848EB" w:rsidRDefault="00B55A1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</w:p>
    <w:p w:rsidR="00B55A11" w:rsidRPr="00C848EB" w:rsidRDefault="00FD4C44">
      <w:pPr>
        <w:numPr>
          <w:ilvl w:val="0"/>
          <w:numId w:val="1"/>
        </w:numPr>
        <w:spacing w:line="360" w:lineRule="auto"/>
        <w:ind w:left="0" w:right="49" w:firstLine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En ese tenor, la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Ley de Transparencia y Acceso a la Información Pública del Estado de México y Municipios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 establece que la información pública generada, administrada o en posesión de los Sujetos Obligados en ejercicio de sus atribuciones, será accesible de manera permanente a cualquier persona, privilegiando el principio de máxima publicidad de la información, por lo que deberán apegarse en todo momento a los criterios de publicidad, veracidad, oportunidad entre otros, numeral en comento que a la letra señala;</w:t>
      </w:r>
    </w:p>
    <w:p w:rsidR="00B55A11" w:rsidRPr="00C848EB" w:rsidRDefault="00FD4C4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44" w:right="902"/>
        <w:jc w:val="both"/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Artículo 3.- La información pública generada, administrada o en posesión de los Sujetos Obligados en ejercicio de sus atribuciones, será accesible de manera permanente a cualquier persona, privilegiando el principio de máxima publicidad de la información. </w:t>
      </w:r>
      <w:r w:rsidRPr="00C848EB"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  <w:lastRenderedPageBreak/>
        <w:t>Los Sujetos Obligados deben poner en práctica, políticas y programas de acceso a la información que se apeguen a criterios de publicidad, veracidad, oportunidad, precisión y suficiencia en beneficio de los solicitantes.</w:t>
      </w:r>
    </w:p>
    <w:p w:rsidR="00B55A11" w:rsidRPr="00C848EB" w:rsidRDefault="00B55A11">
      <w:pPr>
        <w:spacing w:line="360" w:lineRule="auto"/>
        <w:ind w:right="902"/>
        <w:jc w:val="both"/>
        <w:rPr>
          <w:rFonts w:ascii="Palatino Linotype" w:eastAsia="Palatino Linotype" w:hAnsi="Palatino Linotype" w:cs="Palatino Linotype"/>
          <w:b/>
          <w:bCs/>
          <w:i/>
          <w:iCs/>
          <w:sz w:val="24"/>
          <w:szCs w:val="24"/>
        </w:rPr>
      </w:pPr>
    </w:p>
    <w:p w:rsidR="00B55A11" w:rsidRPr="00C848EB" w:rsidRDefault="00FD4C44">
      <w:pPr>
        <w:numPr>
          <w:ilvl w:val="0"/>
          <w:numId w:val="1"/>
        </w:numPr>
        <w:spacing w:line="360" w:lineRule="auto"/>
        <w:ind w:left="0" w:right="49" w:firstLine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Numerales que compelen al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SUJETO OBLIGADO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 a apegarse en todo momento a los </w:t>
      </w: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>criterios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 ya expuestos, impidiendo a este Órgano Colegiado cuestionar la veracidad de la información. En ese contexto, en razón del artículo 166 de la Ley de Transparencia y Acceso a la Información Pública del Estado de México y Municipios, que establece que la obligación de acceso a la información pública se tendrá por cumplida cuando el solicitante tenga a su disposición la información requerida, se tiene por colmado el derecho de acceso a la información pública del particular. </w:t>
      </w:r>
    </w:p>
    <w:p w:rsidR="00B55A11" w:rsidRPr="00C848EB" w:rsidRDefault="00B55A11">
      <w:pPr>
        <w:spacing w:line="360" w:lineRule="auto"/>
        <w:ind w:right="49"/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:rsidR="00B55A11" w:rsidRPr="00C848EB" w:rsidRDefault="00FD4C44">
      <w:pPr>
        <w:numPr>
          <w:ilvl w:val="0"/>
          <w:numId w:val="1"/>
        </w:numPr>
        <w:spacing w:line="360" w:lineRule="auto"/>
        <w:ind w:left="0" w:right="49" w:firstLine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Aunado a lo anterior, la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Ley de Transparencia y Acceso a la Información Pública del Estado de México y Municipios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 establece que la información pública generada, administrada o en posesión de los Sujetos Obligados en ejercicio de sus atribuciones, será accesible de manera permanente a cualquier persona, privilegiando el principio de máxima publicidad de la información, por lo que deberán apegarse en todo momento a los criterios de publicidad, veracidad, oportunidad entre otros, numeral en comento que a la letra señala;</w:t>
      </w:r>
    </w:p>
    <w:p w:rsidR="00B55A11" w:rsidRPr="00C848EB" w:rsidRDefault="00FD4C4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44" w:right="902"/>
        <w:jc w:val="both"/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Artículo 3.- La información pública generada, administrada o en posesión de los Sujetos Obligados en ejercicio de sus atribuciones, será accesible de manera permanente a cualquier persona, privilegiando el principio de máxima publicidad de la información. </w:t>
      </w:r>
      <w:r w:rsidRPr="00C848EB"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  <w:t xml:space="preserve">Los Sujetos Obligados deben poner en práctica, políticas y programas de acceso </w:t>
      </w:r>
      <w:r w:rsidRPr="00C848EB"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  <w:lastRenderedPageBreak/>
        <w:t>a la información que se apeguen a criterios de publicidad, veracidad, oportunidad, precisión y suficiencia en beneficio de los solicitantes.</w:t>
      </w:r>
    </w:p>
    <w:p w:rsidR="00B55A11" w:rsidRPr="00C848EB" w:rsidRDefault="00B55A11">
      <w:pPr>
        <w:spacing w:line="360" w:lineRule="auto"/>
        <w:ind w:right="902"/>
        <w:jc w:val="both"/>
        <w:rPr>
          <w:rFonts w:ascii="Palatino Linotype" w:eastAsia="Palatino Linotype" w:hAnsi="Palatino Linotype" w:cs="Palatino Linotype"/>
          <w:b/>
          <w:bCs/>
          <w:i/>
          <w:iCs/>
          <w:sz w:val="24"/>
          <w:szCs w:val="24"/>
        </w:rPr>
      </w:pPr>
    </w:p>
    <w:p w:rsidR="00B55A11" w:rsidRPr="00C848EB" w:rsidRDefault="00FD4C44">
      <w:pPr>
        <w:numPr>
          <w:ilvl w:val="0"/>
          <w:numId w:val="1"/>
        </w:numPr>
        <w:spacing w:line="360" w:lineRule="auto"/>
        <w:ind w:left="0" w:right="49" w:firstLine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Numerales que compelen al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SUJETO OBLIGADO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 a apegarse en todo momento a los criterios ya expuestos, impidiendo a este Órgano Colegiado cuestionar la veracidad de la información. En ese contexto, en razón del artículo 166 de la Ley de Transparencia y Acceso a la Información Pública del Estado de México y Municipios, que establece que la obligación de acceso a la información pública se tendrá por cumplida cuando el solicitante tenga a su disposición la información requerida, se tiene por colmado el derecho de acceso a la información pública del particular. </w:t>
      </w:r>
    </w:p>
    <w:p w:rsidR="00B55A11" w:rsidRPr="00C848EB" w:rsidRDefault="00B55A11">
      <w:pPr>
        <w:spacing w:line="360" w:lineRule="auto"/>
        <w:ind w:right="49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</w:p>
    <w:p w:rsidR="00B55A11" w:rsidRPr="00F2627A" w:rsidRDefault="00FD4C44" w:rsidP="00F2627A">
      <w:pPr>
        <w:pStyle w:val="Listaconvietas2"/>
        <w:ind w:left="0" w:firstLine="0"/>
        <w:jc w:val="both"/>
        <w:rPr>
          <w:rFonts w:ascii="Palatino Linotype" w:eastAsia="Palatino Linotype" w:hAnsi="Palatino Linotype"/>
          <w:sz w:val="24"/>
        </w:rPr>
      </w:pPr>
      <w:r w:rsidRPr="00F2627A">
        <w:rPr>
          <w:rFonts w:ascii="Palatino Linotype" w:eastAsia="Palatino Linotype" w:hAnsi="Palatino Linotype"/>
          <w:sz w:val="24"/>
        </w:rPr>
        <w:t xml:space="preserve">Así mismo, la </w:t>
      </w:r>
      <w:r w:rsidRPr="00F2627A">
        <w:rPr>
          <w:rFonts w:ascii="Palatino Linotype" w:eastAsia="Palatino Linotype" w:hAnsi="Palatino Linotype"/>
          <w:b/>
          <w:bCs/>
          <w:sz w:val="24"/>
        </w:rPr>
        <w:t>Ley de Transparencia y Acceso a la Información Pública del Estado de México y Municipios</w:t>
      </w:r>
      <w:r w:rsidRPr="00F2627A">
        <w:rPr>
          <w:rFonts w:ascii="Palatino Linotype" w:eastAsia="Palatino Linotype" w:hAnsi="Palatino Linotype"/>
          <w:sz w:val="24"/>
        </w:rPr>
        <w:t xml:space="preserve"> establece que la información pública generada, administrada o en posesión de los Sujetos Obligados en ejercicio de sus atribuciones, será accesible de manera permanente a cualquier persona, privilegiando el principio de máxima publicidad de la información, por lo que deberán apegarse en todo momento a los criterios de publicidad, veracidad, oportunidad entre otros, numeral en comento que a la letra señala;</w:t>
      </w:r>
    </w:p>
    <w:p w:rsidR="00B55A11" w:rsidRPr="00C848EB" w:rsidRDefault="00FD4C4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44" w:right="902"/>
        <w:jc w:val="both"/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Artículo 3.- La información pública generada, administrada o en posesión de los Sujetos Obligados en ejercicio de sus atribuciones, será accesible de manera permanente a cualquier persona, privilegiando el principio de máxima publicidad de la información. </w:t>
      </w:r>
      <w:r w:rsidRPr="00C848EB"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  <w:t>Los Sujetos Obligados deben poner en práctica, políticas y programas de acceso a la información que se apeguen a criterios de publicidad, veracidad, oportunidad, precisión y suficiencia en beneficio de los solicitantes.</w:t>
      </w:r>
    </w:p>
    <w:p w:rsidR="00B55A11" w:rsidRPr="00C848EB" w:rsidRDefault="00B55A11">
      <w:pPr>
        <w:spacing w:line="360" w:lineRule="auto"/>
        <w:ind w:right="902"/>
        <w:jc w:val="both"/>
        <w:rPr>
          <w:rFonts w:ascii="Palatino Linotype" w:eastAsia="Palatino Linotype" w:hAnsi="Palatino Linotype" w:cs="Palatino Linotype"/>
          <w:b/>
          <w:bCs/>
          <w:i/>
          <w:iCs/>
          <w:sz w:val="24"/>
          <w:szCs w:val="24"/>
        </w:rPr>
      </w:pPr>
    </w:p>
    <w:p w:rsidR="00B55A11" w:rsidRPr="00C848EB" w:rsidRDefault="00FD4C44" w:rsidP="00F2627A">
      <w:pPr>
        <w:pStyle w:val="Listaconvietas2"/>
        <w:ind w:left="0" w:firstLine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Numerales que compelen al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SUJETO OBLIGADO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 a apegarse en todo momento a los criterios ya expuestos, impidiendo a este Órgano Colegiado cuestionar la veracidad de la 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lastRenderedPageBreak/>
        <w:t xml:space="preserve">información. En ese contexto, en razón del artículo 166 de la Ley de Transparencia y Acceso a la Información Pública del Estado de México y Municipios, que establece que la obligación de acceso a la información pública se tendrá por cumplida cuando el solicitante tenga a su disposición la información requerida, se tiene por colmado el derecho de acceso a la información pública del particular. </w:t>
      </w:r>
    </w:p>
    <w:p w:rsidR="00B55A11" w:rsidRPr="00C848EB" w:rsidRDefault="00B55A11" w:rsidP="00F2627A">
      <w:pPr>
        <w:spacing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</w:p>
    <w:p w:rsidR="00B55A11" w:rsidRPr="00C848EB" w:rsidRDefault="00FD4C44" w:rsidP="00F2627A">
      <w:pPr>
        <w:pStyle w:val="Listaconvietas2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>Es por lo expuesto con anterioridad, que se colige que resultan</w:t>
      </w:r>
      <w:r w:rsidRPr="00C848EB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 xml:space="preserve"> infundadas</w:t>
      </w: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>las</w:t>
      </w: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razones o 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>motivos</w:t>
      </w: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de inconformidad hechos valer por </w:t>
      </w:r>
      <w:r w:rsidRPr="00C848EB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EL RECURRENTE</w:t>
      </w: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en el recursos de revisión, por 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>ello,</w:t>
      </w: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con fundamento en el artículo 186, fracción II, de la Ley de Transparencia y 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>Acceso</w:t>
      </w: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a la 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>Información</w:t>
      </w: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Pública del Estado de México y Municipios, se </w:t>
      </w:r>
      <w:r w:rsidRPr="00C848EB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CONFIRMA</w:t>
      </w: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la respuesta a las solicitud de información pública</w:t>
      </w:r>
      <w:r w:rsidRPr="00C848EB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 xml:space="preserve"> 03815/TOLUCA/IP/2025,</w:t>
      </w: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que ha sido materia del presente fallo.</w:t>
      </w:r>
    </w:p>
    <w:p w:rsidR="00B55A11" w:rsidRPr="00C848EB" w:rsidRDefault="00B55A11" w:rsidP="00F2627A">
      <w:pPr>
        <w:spacing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</w:p>
    <w:p w:rsidR="00B55A11" w:rsidRPr="00C848EB" w:rsidRDefault="00FD4C44" w:rsidP="00F2627A">
      <w:pPr>
        <w:pStyle w:val="Listaconvietas2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bookmarkStart w:id="9" w:name="_heading=h.u37hlre50lma" w:colFirst="0" w:colLast="0"/>
      <w:bookmarkEnd w:id="9"/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Por lo anteriormente expuesto y fundado, este </w:t>
      </w:r>
      <w:r w:rsidRPr="00C848EB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ÓRGANO GARANTE</w:t>
      </w:r>
      <w:r w:rsidRPr="00C848EB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emite los siguientes:</w:t>
      </w:r>
    </w:p>
    <w:p w:rsidR="00B55A11" w:rsidRPr="00C848EB" w:rsidRDefault="00B55A1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right="51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</w:p>
    <w:p w:rsidR="00B55A11" w:rsidRPr="00C848EB" w:rsidRDefault="00FD4C44">
      <w:pPr>
        <w:pStyle w:val="Ttulo1"/>
        <w:spacing w:before="0" w:line="360" w:lineRule="auto"/>
        <w:jc w:val="center"/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R E S O L U T I V O S</w:t>
      </w:r>
    </w:p>
    <w:p w:rsidR="00B55A11" w:rsidRPr="00C848EB" w:rsidRDefault="00B55A11">
      <w:pPr>
        <w:spacing w:line="360" w:lineRule="auto"/>
        <w:rPr>
          <w:rFonts w:ascii="Palatino Linotype" w:eastAsia="Palatino Linotype" w:hAnsi="Palatino Linotype" w:cs="Palatino Linotype"/>
          <w:sz w:val="24"/>
          <w:szCs w:val="24"/>
        </w:rPr>
      </w:pPr>
    </w:p>
    <w:p w:rsidR="00B55A11" w:rsidRPr="00C848EB" w:rsidRDefault="00FD4C44">
      <w:pPr>
        <w:tabs>
          <w:tab w:val="left" w:pos="8080"/>
        </w:tabs>
        <w:spacing w:line="360" w:lineRule="auto"/>
        <w:ind w:right="49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bookmarkStart w:id="10" w:name="_heading=h.1nx9m1rnkn02" w:colFirst="0" w:colLast="0"/>
      <w:bookmarkEnd w:id="10"/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PRIMERO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. Resultan infundadas las razones o motivos de inconformidad hechos valer en el recurso de revisión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09883/INFOEM/IP/RR/2025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, en términos del Considerando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CUARTO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 de la presente resolución.</w:t>
      </w:r>
    </w:p>
    <w:p w:rsidR="00B55A11" w:rsidRPr="00C848EB" w:rsidRDefault="00B55A11">
      <w:pPr>
        <w:tabs>
          <w:tab w:val="left" w:pos="8080"/>
        </w:tabs>
        <w:spacing w:line="360" w:lineRule="auto"/>
        <w:ind w:right="49"/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:rsidR="00B55A11" w:rsidRPr="00C848EB" w:rsidRDefault="00FD4C44">
      <w:pPr>
        <w:tabs>
          <w:tab w:val="left" w:pos="8080"/>
        </w:tabs>
        <w:spacing w:line="360" w:lineRule="auto"/>
        <w:ind w:right="49"/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SEGUNDO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. Se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CONFIRMA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 la respuesta emitida por el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Ayuntamiento de Toluca, 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en la solicitud de información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03815/TOLUCA/IP/2025.</w:t>
      </w:r>
    </w:p>
    <w:p w:rsidR="00B55A11" w:rsidRPr="00C848EB" w:rsidRDefault="00B55A11">
      <w:pPr>
        <w:tabs>
          <w:tab w:val="left" w:pos="8080"/>
        </w:tabs>
        <w:spacing w:line="360" w:lineRule="auto"/>
        <w:ind w:right="49"/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</w:p>
    <w:p w:rsidR="00B55A11" w:rsidRPr="00C848EB" w:rsidRDefault="00FD4C44">
      <w:pPr>
        <w:shd w:val="clear" w:color="auto" w:fill="FFFFFF"/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bookmarkStart w:id="11" w:name="_heading=h.y2kf4xvmi73v" w:colFirst="0" w:colLast="0"/>
      <w:bookmarkEnd w:id="11"/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TERCERO.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 Notifíquese al Titular de la Unidad de Transparencia del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SUJETO OBLIGADO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 vía SAIMEX, para su conocimiento.</w:t>
      </w:r>
    </w:p>
    <w:p w:rsidR="00B55A11" w:rsidRPr="00C848EB" w:rsidRDefault="00B55A11">
      <w:pPr>
        <w:shd w:val="clear" w:color="auto" w:fill="FFFFFF"/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:rsidR="00B55A11" w:rsidRPr="00C848EB" w:rsidRDefault="00FD4C44">
      <w:pPr>
        <w:shd w:val="clear" w:color="auto" w:fill="FFFFFF"/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lastRenderedPageBreak/>
        <w:t>CUARTO.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 Notifíquese a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EL RECURRENTE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 la presente resolución vía SAIMEX.</w:t>
      </w:r>
    </w:p>
    <w:p w:rsidR="00B55A11" w:rsidRPr="00C848EB" w:rsidRDefault="00B55A11">
      <w:pPr>
        <w:shd w:val="clear" w:color="auto" w:fill="FFFFFF"/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:rsidR="00B55A11" w:rsidRPr="00C848EB" w:rsidRDefault="00FD4C44">
      <w:pPr>
        <w:shd w:val="clear" w:color="auto" w:fill="FFFFFF"/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QUINTO.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 Se hace del conocimiento de </w:t>
      </w:r>
      <w:r w:rsidRPr="00C848EB">
        <w:rPr>
          <w:rFonts w:ascii="Palatino Linotype" w:eastAsia="Palatino Linotype" w:hAnsi="Palatino Linotype" w:cs="Palatino Linotype"/>
          <w:b/>
          <w:bCs/>
          <w:sz w:val="24"/>
          <w:szCs w:val="24"/>
        </w:rPr>
        <w:t>EL RECURRENTE</w:t>
      </w:r>
      <w:r w:rsidRPr="00C848EB">
        <w:rPr>
          <w:rFonts w:ascii="Palatino Linotype" w:eastAsia="Palatino Linotype" w:hAnsi="Palatino Linotype" w:cs="Palatino Linotype"/>
          <w:sz w:val="24"/>
          <w:szCs w:val="24"/>
        </w:rPr>
        <w:t xml:space="preserve"> que, de conformidad con lo establecido en el artículo 196 de la Ley de Transparencia y Acceso a la Información Pública del Estado de México y Municipios, en caso de que considere que la resolución le cause algún perjuicio podrá impugnarla vía juicio de amparo en los términos de las leyes aplicables.</w:t>
      </w:r>
    </w:p>
    <w:p w:rsidR="00B55A11" w:rsidRPr="00C848EB" w:rsidRDefault="00B55A11">
      <w:pPr>
        <w:shd w:val="clear" w:color="auto" w:fill="FFFFFF"/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:rsidR="00843CDE" w:rsidRPr="00C848EB" w:rsidRDefault="00843CDE" w:rsidP="00843CDE">
      <w:pPr>
        <w:spacing w:before="240" w:after="240" w:line="360" w:lineRule="auto"/>
        <w:ind w:firstLine="1"/>
        <w:jc w:val="both"/>
        <w:rPr>
          <w:rFonts w:ascii="Palatino Linotype" w:hAnsi="Palatino Linotype"/>
          <w:sz w:val="24"/>
          <w:szCs w:val="24"/>
        </w:rPr>
      </w:pPr>
      <w:bookmarkStart w:id="12" w:name="_Hlk99014733"/>
      <w:r w:rsidRPr="00C848EB">
        <w:rPr>
          <w:rFonts w:ascii="Palatino Linotype" w:hAnsi="Palatino Linotype" w:cs="Palatino Linotype"/>
          <w:sz w:val="24"/>
          <w:szCs w:val="24"/>
        </w:rPr>
        <w:t xml:space="preserve">ASÍ LO RESUELVE, POR UNANIMIDAD DE VOTOS, EL PLENO DEL INSTITUTO DE TRANSPARENCIA, ACCESO A LA INFORMACIÓN PÚBLICA Y PROTECCIÓN DE DATOS PERSONALES DEL ESTADO DE MÉXICO Y MUNICIPIOS, CONFORMADO POR LOS COMISIONADOS JOSÉ MARTÍNEZ VILCHIS, MARÍA DEL ROSARIO MEJÍA AYALA, SHARON CRISTINA MORALES MARTÍNEZ, LUIS GUSTAVO PARRA NORIEGA Y GUADALUPE RAMÍREZ PEÑA; EN LA NOVENA SESIÓN ORDINARIA, CELEBRADA EL ONCE (11) DE MARZO DE DOS MIL VEINTISÉIS, ANTE EL SECRETARIO TÉCNICO DEL PLENO </w:t>
      </w:r>
      <w:r w:rsidRPr="00C848EB">
        <w:rPr>
          <w:rFonts w:ascii="Palatino Linotype" w:hAnsi="Palatino Linotype" w:cs="Palatino Linotype"/>
          <w:color w:val="000000" w:themeColor="text1"/>
          <w:sz w:val="24"/>
          <w:szCs w:val="24"/>
        </w:rPr>
        <w:t>ALEXIS TAPIA RAMÍREZ.</w:t>
      </w:r>
    </w:p>
    <w:bookmarkEnd w:id="12"/>
    <w:p w:rsidR="00B55A11" w:rsidRDefault="00B55A11">
      <w:pPr>
        <w:spacing w:line="360" w:lineRule="auto"/>
        <w:ind w:right="49"/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</w:p>
    <w:p w:rsidR="00F2627A" w:rsidRDefault="00F2627A">
      <w:pPr>
        <w:spacing w:line="360" w:lineRule="auto"/>
        <w:ind w:right="49"/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</w:p>
    <w:p w:rsidR="00F2627A" w:rsidRDefault="00F2627A">
      <w:pPr>
        <w:spacing w:line="360" w:lineRule="auto"/>
        <w:ind w:right="49"/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</w:p>
    <w:p w:rsidR="00F2627A" w:rsidRDefault="00F2627A">
      <w:pPr>
        <w:spacing w:line="360" w:lineRule="auto"/>
        <w:ind w:right="49"/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</w:p>
    <w:p w:rsidR="00F2627A" w:rsidRDefault="00F2627A">
      <w:pPr>
        <w:spacing w:line="360" w:lineRule="auto"/>
        <w:ind w:right="49"/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</w:p>
    <w:p w:rsidR="00F2627A" w:rsidRDefault="00F2627A">
      <w:pPr>
        <w:spacing w:line="360" w:lineRule="auto"/>
        <w:ind w:right="49"/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</w:p>
    <w:p w:rsidR="00F2627A" w:rsidRDefault="00F2627A">
      <w:pPr>
        <w:spacing w:line="360" w:lineRule="auto"/>
        <w:ind w:right="49"/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</w:p>
    <w:p w:rsidR="00F2627A" w:rsidRDefault="00F2627A">
      <w:pPr>
        <w:spacing w:line="360" w:lineRule="auto"/>
        <w:ind w:right="49"/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</w:p>
    <w:p w:rsidR="00F2627A" w:rsidRDefault="00F2627A">
      <w:pPr>
        <w:spacing w:line="360" w:lineRule="auto"/>
        <w:ind w:right="49"/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</w:p>
    <w:p w:rsidR="00F2627A" w:rsidRDefault="00F2627A">
      <w:pPr>
        <w:spacing w:line="360" w:lineRule="auto"/>
        <w:ind w:right="49"/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</w:p>
    <w:p w:rsidR="00F2627A" w:rsidRDefault="00F2627A">
      <w:pPr>
        <w:spacing w:line="360" w:lineRule="auto"/>
        <w:ind w:right="49"/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</w:p>
    <w:p w:rsidR="00F2627A" w:rsidRDefault="00F2627A">
      <w:pPr>
        <w:spacing w:line="360" w:lineRule="auto"/>
        <w:ind w:right="49"/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</w:p>
    <w:p w:rsidR="00F2627A" w:rsidRPr="00C848EB" w:rsidRDefault="00F2627A">
      <w:pPr>
        <w:spacing w:line="360" w:lineRule="auto"/>
        <w:ind w:right="49"/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</w:p>
    <w:sectPr w:rsidR="00F2627A" w:rsidRPr="00C848EB" w:rsidSect="00C848E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80" w:right="616" w:bottom="1418" w:left="1588" w:header="709" w:footer="73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4AA9" w:rsidRDefault="00674AA9">
      <w:r>
        <w:separator/>
      </w:r>
    </w:p>
  </w:endnote>
  <w:endnote w:type="continuationSeparator" w:id="0">
    <w:p w:rsidR="00674AA9" w:rsidRDefault="00674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92218C46-28BC-4CF1-888E-EA68D62C0D5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altName w:val="Palatino"/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2" w:fontKey="{F836CFB7-4BC9-4A56-991D-49FFC15CCB52}"/>
    <w:embedBold r:id="rId3" w:fontKey="{97EDEEB2-F1EA-47BA-A9C9-F7F574734675}"/>
    <w:embedItalic r:id="rId4" w:fontKey="{50D459AF-57D3-46FD-B643-81900CDFFD93}"/>
    <w:embedBoldItalic r:id="rId5" w:fontKey="{FAD9B27E-29E6-4529-8771-10B35C4523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13951B6-1BE0-49E2-BB05-28462DB09B8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26E4F06-C725-47CD-B711-1C0DCC4D52D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5C274DCD-86F9-42A0-8AB4-8274F35EF5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F90920B6-3FA1-4F30-86DD-9135D779170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29FD16AF-695E-4FC5-8280-52E0A6EF47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A11" w:rsidRDefault="00B55A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</w:p>
  <w:p w:rsidR="00B55A11" w:rsidRPr="00C848EB" w:rsidRDefault="00FD4C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Palatino Linotype" w:hAnsi="Palatino Linotype"/>
        <w:b/>
        <w:color w:val="000000"/>
        <w:sz w:val="22"/>
        <w:szCs w:val="22"/>
      </w:rPr>
    </w:pPr>
    <w:r w:rsidRPr="00C848EB">
      <w:rPr>
        <w:rFonts w:ascii="Palatino Linotype" w:hAnsi="Palatino Linotype"/>
        <w:b/>
        <w:color w:val="000000"/>
        <w:sz w:val="22"/>
        <w:szCs w:val="22"/>
      </w:rPr>
      <w:t xml:space="preserve">Página </w:t>
    </w:r>
    <w:r w:rsidRPr="00C848EB">
      <w:rPr>
        <w:rFonts w:ascii="Palatino Linotype" w:hAnsi="Palatino Linotype"/>
        <w:b/>
        <w:bCs/>
        <w:color w:val="000000"/>
        <w:sz w:val="22"/>
        <w:szCs w:val="22"/>
      </w:rPr>
      <w:fldChar w:fldCharType="begin"/>
    </w:r>
    <w:r w:rsidRPr="00C848EB">
      <w:rPr>
        <w:rFonts w:ascii="Palatino Linotype" w:hAnsi="Palatino Linotype"/>
        <w:b/>
        <w:bCs/>
        <w:color w:val="000000"/>
        <w:sz w:val="22"/>
        <w:szCs w:val="22"/>
      </w:rPr>
      <w:instrText>PAGE</w:instrText>
    </w:r>
    <w:r w:rsidRPr="00C848EB">
      <w:rPr>
        <w:rFonts w:ascii="Palatino Linotype" w:hAnsi="Palatino Linotype"/>
        <w:b/>
        <w:bCs/>
        <w:color w:val="000000"/>
        <w:sz w:val="22"/>
        <w:szCs w:val="22"/>
      </w:rPr>
      <w:fldChar w:fldCharType="separate"/>
    </w:r>
    <w:r w:rsidR="00F2627A">
      <w:rPr>
        <w:rFonts w:ascii="Palatino Linotype" w:hAnsi="Palatino Linotype"/>
        <w:b/>
        <w:bCs/>
        <w:noProof/>
        <w:color w:val="000000"/>
        <w:sz w:val="22"/>
        <w:szCs w:val="22"/>
      </w:rPr>
      <w:t>14</w:t>
    </w:r>
    <w:r w:rsidRPr="00C848EB">
      <w:rPr>
        <w:rFonts w:ascii="Palatino Linotype" w:hAnsi="Palatino Linotype"/>
        <w:b/>
        <w:bCs/>
        <w:color w:val="000000"/>
        <w:sz w:val="22"/>
        <w:szCs w:val="22"/>
      </w:rPr>
      <w:fldChar w:fldCharType="end"/>
    </w:r>
    <w:r w:rsidRPr="00C848EB">
      <w:rPr>
        <w:rFonts w:ascii="Palatino Linotype" w:hAnsi="Palatino Linotype"/>
        <w:b/>
        <w:color w:val="000000"/>
        <w:sz w:val="22"/>
        <w:szCs w:val="22"/>
      </w:rPr>
      <w:t xml:space="preserve"> de </w:t>
    </w:r>
    <w:r w:rsidRPr="00C848EB">
      <w:rPr>
        <w:rFonts w:ascii="Palatino Linotype" w:hAnsi="Palatino Linotype"/>
        <w:b/>
        <w:bCs/>
        <w:color w:val="000000"/>
        <w:sz w:val="22"/>
        <w:szCs w:val="22"/>
      </w:rPr>
      <w:fldChar w:fldCharType="begin"/>
    </w:r>
    <w:r w:rsidRPr="00C848EB">
      <w:rPr>
        <w:rFonts w:ascii="Palatino Linotype" w:hAnsi="Palatino Linotype"/>
        <w:b/>
        <w:bCs/>
        <w:color w:val="000000"/>
        <w:sz w:val="22"/>
        <w:szCs w:val="22"/>
      </w:rPr>
      <w:instrText>NUMPAGES</w:instrText>
    </w:r>
    <w:r w:rsidRPr="00C848EB">
      <w:rPr>
        <w:rFonts w:ascii="Palatino Linotype" w:hAnsi="Palatino Linotype"/>
        <w:b/>
        <w:bCs/>
        <w:color w:val="000000"/>
        <w:sz w:val="22"/>
        <w:szCs w:val="22"/>
      </w:rPr>
      <w:fldChar w:fldCharType="separate"/>
    </w:r>
    <w:r w:rsidR="00F2627A">
      <w:rPr>
        <w:rFonts w:ascii="Palatino Linotype" w:hAnsi="Palatino Linotype"/>
        <w:b/>
        <w:bCs/>
        <w:noProof/>
        <w:color w:val="000000"/>
        <w:sz w:val="22"/>
        <w:szCs w:val="22"/>
      </w:rPr>
      <w:t>14</w:t>
    </w:r>
    <w:r w:rsidRPr="00C848EB">
      <w:rPr>
        <w:rFonts w:ascii="Palatino Linotype" w:hAnsi="Palatino Linotype"/>
        <w:b/>
        <w:bCs/>
        <w:color w:val="000000"/>
        <w:sz w:val="22"/>
        <w:szCs w:val="22"/>
      </w:rPr>
      <w:fldChar w:fldCharType="end"/>
    </w:r>
  </w:p>
  <w:p w:rsidR="00B55A11" w:rsidRDefault="00B55A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B55A11" w:rsidRDefault="00B55A11"/>
  <w:p w:rsidR="00B55A11" w:rsidRDefault="00B55A11"/>
  <w:p w:rsidR="00B55A11" w:rsidRDefault="00B55A1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A11" w:rsidRPr="00C848EB" w:rsidRDefault="00FD4C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Palatino Linotype" w:hAnsi="Palatino Linotype"/>
        <w:b/>
        <w:color w:val="000000"/>
        <w:sz w:val="22"/>
        <w:szCs w:val="22"/>
      </w:rPr>
    </w:pPr>
    <w:r w:rsidRPr="00C848EB">
      <w:rPr>
        <w:rFonts w:ascii="Palatino Linotype" w:hAnsi="Palatino Linotype"/>
        <w:b/>
        <w:color w:val="000000"/>
        <w:sz w:val="22"/>
        <w:szCs w:val="22"/>
      </w:rPr>
      <w:t xml:space="preserve">Página </w:t>
    </w:r>
    <w:r w:rsidRPr="00C848EB">
      <w:rPr>
        <w:rFonts w:ascii="Palatino Linotype" w:hAnsi="Palatino Linotype"/>
        <w:b/>
        <w:bCs/>
        <w:color w:val="000000"/>
        <w:sz w:val="22"/>
        <w:szCs w:val="22"/>
      </w:rPr>
      <w:fldChar w:fldCharType="begin"/>
    </w:r>
    <w:r w:rsidRPr="00C848EB">
      <w:rPr>
        <w:rFonts w:ascii="Palatino Linotype" w:hAnsi="Palatino Linotype"/>
        <w:b/>
        <w:bCs/>
        <w:color w:val="000000"/>
        <w:sz w:val="22"/>
        <w:szCs w:val="22"/>
      </w:rPr>
      <w:instrText>PAGE</w:instrText>
    </w:r>
    <w:r w:rsidRPr="00C848EB">
      <w:rPr>
        <w:rFonts w:ascii="Palatino Linotype" w:hAnsi="Palatino Linotype"/>
        <w:b/>
        <w:bCs/>
        <w:color w:val="000000"/>
        <w:sz w:val="22"/>
        <w:szCs w:val="22"/>
      </w:rPr>
      <w:fldChar w:fldCharType="separate"/>
    </w:r>
    <w:r w:rsidR="00F2627A">
      <w:rPr>
        <w:rFonts w:ascii="Palatino Linotype" w:hAnsi="Palatino Linotype"/>
        <w:b/>
        <w:bCs/>
        <w:noProof/>
        <w:color w:val="000000"/>
        <w:sz w:val="22"/>
        <w:szCs w:val="22"/>
      </w:rPr>
      <w:t>1</w:t>
    </w:r>
    <w:r w:rsidRPr="00C848EB">
      <w:rPr>
        <w:rFonts w:ascii="Palatino Linotype" w:hAnsi="Palatino Linotype"/>
        <w:b/>
        <w:bCs/>
        <w:color w:val="000000"/>
        <w:sz w:val="22"/>
        <w:szCs w:val="22"/>
      </w:rPr>
      <w:fldChar w:fldCharType="end"/>
    </w:r>
    <w:r w:rsidRPr="00C848EB">
      <w:rPr>
        <w:rFonts w:ascii="Palatino Linotype" w:hAnsi="Palatino Linotype"/>
        <w:b/>
        <w:color w:val="000000"/>
        <w:sz w:val="22"/>
        <w:szCs w:val="22"/>
      </w:rPr>
      <w:t xml:space="preserve"> de </w:t>
    </w:r>
    <w:r w:rsidRPr="00C848EB">
      <w:rPr>
        <w:rFonts w:ascii="Palatino Linotype" w:hAnsi="Palatino Linotype"/>
        <w:b/>
        <w:bCs/>
        <w:color w:val="000000"/>
        <w:sz w:val="22"/>
        <w:szCs w:val="22"/>
      </w:rPr>
      <w:fldChar w:fldCharType="begin"/>
    </w:r>
    <w:r w:rsidRPr="00C848EB">
      <w:rPr>
        <w:rFonts w:ascii="Palatino Linotype" w:hAnsi="Palatino Linotype"/>
        <w:b/>
        <w:bCs/>
        <w:color w:val="000000"/>
        <w:sz w:val="22"/>
        <w:szCs w:val="22"/>
      </w:rPr>
      <w:instrText>NUMPAGES</w:instrText>
    </w:r>
    <w:r w:rsidRPr="00C848EB">
      <w:rPr>
        <w:rFonts w:ascii="Palatino Linotype" w:hAnsi="Palatino Linotype"/>
        <w:b/>
        <w:bCs/>
        <w:color w:val="000000"/>
        <w:sz w:val="22"/>
        <w:szCs w:val="22"/>
      </w:rPr>
      <w:fldChar w:fldCharType="separate"/>
    </w:r>
    <w:r w:rsidR="00F2627A">
      <w:rPr>
        <w:rFonts w:ascii="Palatino Linotype" w:hAnsi="Palatino Linotype"/>
        <w:b/>
        <w:bCs/>
        <w:noProof/>
        <w:color w:val="000000"/>
        <w:sz w:val="22"/>
        <w:szCs w:val="22"/>
      </w:rPr>
      <w:t>14</w:t>
    </w:r>
    <w:r w:rsidRPr="00C848EB">
      <w:rPr>
        <w:rFonts w:ascii="Palatino Linotype" w:hAnsi="Palatino Linotype"/>
        <w:b/>
        <w:bCs/>
        <w:color w:val="000000"/>
        <w:sz w:val="22"/>
        <w:szCs w:val="22"/>
      </w:rPr>
      <w:fldChar w:fldCharType="end"/>
    </w:r>
  </w:p>
  <w:p w:rsidR="00B55A11" w:rsidRDefault="00B55A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B55A11" w:rsidRDefault="00B55A11"/>
  <w:p w:rsidR="00B55A11" w:rsidRDefault="00B55A11"/>
  <w:p w:rsidR="00B55A11" w:rsidRDefault="00B55A1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4AA9" w:rsidRDefault="00674AA9">
      <w:r>
        <w:separator/>
      </w:r>
    </w:p>
  </w:footnote>
  <w:footnote w:type="continuationSeparator" w:id="0">
    <w:p w:rsidR="00674AA9" w:rsidRDefault="00674A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A11" w:rsidRDefault="00674AA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663.5pt;height:12in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  <w:p w:rsidR="00B55A11" w:rsidRDefault="00B55A11"/>
  <w:p w:rsidR="00B55A11" w:rsidRDefault="00B55A11"/>
  <w:p w:rsidR="00B55A11" w:rsidRDefault="00B55A1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0"/>
      <w:tblW w:w="10348" w:type="dxa"/>
      <w:tblInd w:w="0" w:type="dxa"/>
      <w:tblLayout w:type="fixed"/>
      <w:tblLook w:val="0400" w:firstRow="0" w:lastRow="0" w:firstColumn="0" w:lastColumn="0" w:noHBand="0" w:noVBand="1"/>
    </w:tblPr>
    <w:tblGrid>
      <w:gridCol w:w="1843"/>
      <w:gridCol w:w="8505"/>
    </w:tblGrid>
    <w:tr w:rsidR="00B55A11" w:rsidTr="00C848EB">
      <w:trPr>
        <w:trHeight w:val="1435"/>
      </w:trPr>
      <w:tc>
        <w:tcPr>
          <w:tcW w:w="1843" w:type="dxa"/>
          <w:shd w:val="clear" w:color="auto" w:fill="auto"/>
        </w:tcPr>
        <w:p w:rsidR="00B55A11" w:rsidRDefault="00FD4C44">
          <w:pPr>
            <w:tabs>
              <w:tab w:val="right" w:pos="4273"/>
            </w:tabs>
            <w:rPr>
              <w:rFonts w:ascii="Garamond" w:eastAsia="Garamond" w:hAnsi="Garamond" w:cs="Garamond"/>
              <w:sz w:val="16"/>
              <w:szCs w:val="16"/>
            </w:rPr>
          </w:pPr>
          <w:r>
            <w:rPr>
              <w:rFonts w:ascii="Garamond" w:eastAsia="Garamond" w:hAnsi="Garamond" w:cs="Garamond"/>
              <w:sz w:val="16"/>
              <w:szCs w:val="16"/>
            </w:rPr>
            <w:t xml:space="preserve"> </w:t>
          </w:r>
        </w:p>
      </w:tc>
      <w:tc>
        <w:tcPr>
          <w:tcW w:w="8505" w:type="dxa"/>
          <w:shd w:val="clear" w:color="auto" w:fill="auto"/>
        </w:tcPr>
        <w:tbl>
          <w:tblPr>
            <w:tblStyle w:val="a1"/>
            <w:tblW w:w="6654" w:type="dxa"/>
            <w:tblInd w:w="1728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00" w:firstRow="0" w:lastRow="0" w:firstColumn="0" w:lastColumn="0" w:noHBand="0" w:noVBand="1"/>
          </w:tblPr>
          <w:tblGrid>
            <w:gridCol w:w="2827"/>
            <w:gridCol w:w="3827"/>
          </w:tblGrid>
          <w:tr w:rsidR="00B55A11" w:rsidTr="00C848EB">
            <w:trPr>
              <w:trHeight w:val="338"/>
            </w:trPr>
            <w:tc>
              <w:tcPr>
                <w:tcW w:w="2827" w:type="dxa"/>
              </w:tcPr>
              <w:p w:rsidR="00B55A11" w:rsidRPr="00C848EB" w:rsidRDefault="00FD4C44">
                <w:pPr>
                  <w:tabs>
                    <w:tab w:val="right" w:pos="8838"/>
                  </w:tabs>
                  <w:ind w:right="-105"/>
                  <w:rPr>
                    <w:rFonts w:ascii="Palatino Linotype" w:eastAsia="Palatino Linotype" w:hAnsi="Palatino Linotype" w:cs="Palatino Linotype"/>
                    <w:b/>
                    <w:bCs/>
                    <w:sz w:val="24"/>
                    <w:szCs w:val="22"/>
                  </w:rPr>
                </w:pPr>
                <w:r w:rsidRPr="00C848EB">
                  <w:rPr>
                    <w:rFonts w:ascii="Palatino Linotype" w:eastAsia="Palatino Linotype" w:hAnsi="Palatino Linotype" w:cs="Palatino Linotype"/>
                    <w:b/>
                    <w:bCs/>
                    <w:sz w:val="24"/>
                    <w:szCs w:val="22"/>
                  </w:rPr>
                  <w:t>Recurso de Revisión:</w:t>
                </w:r>
              </w:p>
            </w:tc>
            <w:tc>
              <w:tcPr>
                <w:tcW w:w="3827" w:type="dxa"/>
              </w:tcPr>
              <w:p w:rsidR="00B55A11" w:rsidRPr="00C848EB" w:rsidRDefault="00FD4C44" w:rsidP="00C848EB">
                <w:pPr>
                  <w:tabs>
                    <w:tab w:val="right" w:pos="8838"/>
                  </w:tabs>
                  <w:ind w:right="-105"/>
                  <w:jc w:val="both"/>
                  <w:rPr>
                    <w:rFonts w:ascii="Palatino Linotype" w:eastAsia="Palatino Linotype" w:hAnsi="Palatino Linotype" w:cs="Palatino Linotype"/>
                    <w:bCs/>
                    <w:sz w:val="24"/>
                    <w:szCs w:val="22"/>
                  </w:rPr>
                </w:pPr>
                <w:r w:rsidRPr="00C848EB">
                  <w:rPr>
                    <w:rFonts w:ascii="Palatino Linotype" w:eastAsia="Palatino Linotype" w:hAnsi="Palatino Linotype" w:cs="Palatino Linotype"/>
                    <w:bCs/>
                    <w:sz w:val="24"/>
                    <w:szCs w:val="22"/>
                  </w:rPr>
                  <w:t>09883/INFOEM/IP/RR/2025</w:t>
                </w:r>
              </w:p>
            </w:tc>
          </w:tr>
          <w:tr w:rsidR="00B55A11" w:rsidTr="00C848EB">
            <w:trPr>
              <w:trHeight w:val="283"/>
            </w:trPr>
            <w:tc>
              <w:tcPr>
                <w:tcW w:w="2827" w:type="dxa"/>
              </w:tcPr>
              <w:p w:rsidR="00B55A11" w:rsidRPr="00C848EB" w:rsidRDefault="00FD4C44">
                <w:pPr>
                  <w:tabs>
                    <w:tab w:val="right" w:pos="8838"/>
                  </w:tabs>
                  <w:ind w:right="-105"/>
                  <w:rPr>
                    <w:rFonts w:ascii="Palatino Linotype" w:eastAsia="Palatino Linotype" w:hAnsi="Palatino Linotype" w:cs="Palatino Linotype"/>
                    <w:b/>
                    <w:bCs/>
                    <w:sz w:val="24"/>
                    <w:szCs w:val="22"/>
                  </w:rPr>
                </w:pPr>
                <w:bookmarkStart w:id="13" w:name="_heading=h.t78kk4hf2mzx" w:colFirst="0" w:colLast="0"/>
                <w:bookmarkEnd w:id="13"/>
                <w:r w:rsidRPr="00C848EB">
                  <w:rPr>
                    <w:rFonts w:ascii="Palatino Linotype" w:eastAsia="Palatino Linotype" w:hAnsi="Palatino Linotype" w:cs="Palatino Linotype"/>
                    <w:b/>
                    <w:bCs/>
                    <w:sz w:val="24"/>
                    <w:szCs w:val="22"/>
                  </w:rPr>
                  <w:t>Sujeto Obligado:</w:t>
                </w:r>
              </w:p>
            </w:tc>
            <w:tc>
              <w:tcPr>
                <w:tcW w:w="3827" w:type="dxa"/>
              </w:tcPr>
              <w:p w:rsidR="00B55A11" w:rsidRPr="00C848EB" w:rsidRDefault="00FD4C44" w:rsidP="00C848EB">
                <w:pPr>
                  <w:tabs>
                    <w:tab w:val="left" w:pos="2834"/>
                    <w:tab w:val="right" w:pos="8838"/>
                  </w:tabs>
                  <w:ind w:right="-107"/>
                  <w:jc w:val="both"/>
                  <w:rPr>
                    <w:rFonts w:ascii="Palatino Linotype" w:eastAsia="Palatino Linotype" w:hAnsi="Palatino Linotype" w:cs="Palatino Linotype"/>
                    <w:bCs/>
                    <w:color w:val="000000"/>
                    <w:sz w:val="24"/>
                    <w:szCs w:val="22"/>
                  </w:rPr>
                </w:pPr>
                <w:r w:rsidRPr="00C848EB">
                  <w:rPr>
                    <w:rFonts w:ascii="Palatino Linotype" w:eastAsia="Palatino Linotype" w:hAnsi="Palatino Linotype" w:cs="Palatino Linotype"/>
                    <w:bCs/>
                    <w:color w:val="000000"/>
                    <w:sz w:val="24"/>
                    <w:szCs w:val="22"/>
                  </w:rPr>
                  <w:t>Ayuntamiento de Toluca</w:t>
                </w:r>
              </w:p>
            </w:tc>
          </w:tr>
          <w:tr w:rsidR="00B55A11" w:rsidTr="00C848EB">
            <w:trPr>
              <w:trHeight w:val="283"/>
            </w:trPr>
            <w:tc>
              <w:tcPr>
                <w:tcW w:w="2827" w:type="dxa"/>
              </w:tcPr>
              <w:p w:rsidR="00B55A11" w:rsidRPr="00C848EB" w:rsidRDefault="00FD4C44">
                <w:pPr>
                  <w:tabs>
                    <w:tab w:val="right" w:pos="8838"/>
                  </w:tabs>
                  <w:ind w:right="-105"/>
                  <w:rPr>
                    <w:rFonts w:ascii="Palatino Linotype" w:eastAsia="Palatino Linotype" w:hAnsi="Palatino Linotype" w:cs="Palatino Linotype"/>
                    <w:b/>
                    <w:bCs/>
                    <w:sz w:val="24"/>
                    <w:szCs w:val="22"/>
                  </w:rPr>
                </w:pPr>
                <w:r w:rsidRPr="00C848EB">
                  <w:rPr>
                    <w:rFonts w:ascii="Palatino Linotype" w:eastAsia="Palatino Linotype" w:hAnsi="Palatino Linotype" w:cs="Palatino Linotype"/>
                    <w:b/>
                    <w:bCs/>
                    <w:sz w:val="24"/>
                    <w:szCs w:val="22"/>
                  </w:rPr>
                  <w:t>Comisionada Ponente:</w:t>
                </w:r>
              </w:p>
            </w:tc>
            <w:tc>
              <w:tcPr>
                <w:tcW w:w="3827" w:type="dxa"/>
              </w:tcPr>
              <w:p w:rsidR="00B55A11" w:rsidRPr="00C848EB" w:rsidRDefault="00FD4C44" w:rsidP="00C848EB">
                <w:pPr>
                  <w:tabs>
                    <w:tab w:val="right" w:pos="8838"/>
                  </w:tabs>
                  <w:ind w:right="-105"/>
                  <w:jc w:val="both"/>
                  <w:rPr>
                    <w:rFonts w:ascii="Palatino Linotype" w:eastAsia="Palatino Linotype" w:hAnsi="Palatino Linotype" w:cs="Palatino Linotype"/>
                    <w:bCs/>
                    <w:sz w:val="24"/>
                    <w:szCs w:val="22"/>
                  </w:rPr>
                </w:pPr>
                <w:r w:rsidRPr="00C848EB">
                  <w:rPr>
                    <w:rFonts w:ascii="Palatino Linotype" w:eastAsia="Palatino Linotype" w:hAnsi="Palatino Linotype" w:cs="Palatino Linotype"/>
                    <w:bCs/>
                    <w:sz w:val="24"/>
                    <w:szCs w:val="22"/>
                  </w:rPr>
                  <w:t>María del Rosario Mejía Ayala</w:t>
                </w:r>
              </w:p>
            </w:tc>
          </w:tr>
        </w:tbl>
        <w:p w:rsidR="00B55A11" w:rsidRDefault="00B55A11">
          <w:pPr>
            <w:tabs>
              <w:tab w:val="right" w:pos="8838"/>
            </w:tabs>
            <w:ind w:left="-28"/>
            <w:jc w:val="both"/>
            <w:rPr>
              <w:rFonts w:ascii="Arial" w:eastAsia="Arial" w:hAnsi="Arial" w:cs="Arial"/>
              <w:b/>
              <w:bCs/>
              <w:sz w:val="22"/>
              <w:szCs w:val="22"/>
            </w:rPr>
          </w:pPr>
        </w:p>
      </w:tc>
    </w:tr>
  </w:tbl>
  <w:p w:rsidR="00B55A11" w:rsidRPr="00C848EB" w:rsidRDefault="00674AA9" w:rsidP="00C848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14"/>
        <w:szCs w:val="14"/>
      </w:rPr>
    </w:pPr>
    <w:r>
      <w:rPr>
        <w:color w:val="000000"/>
        <w:sz w:val="14"/>
        <w:szCs w:val="1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-71.2pt;margin-top:-135.85pt;width:663.5pt;height:12in;z-index:-251659776;mso-position-horizontal-relative:margin;mso-position-vertical-relative:margin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2"/>
      <w:tblW w:w="10490" w:type="dxa"/>
      <w:tblInd w:w="0" w:type="dxa"/>
      <w:tblLayout w:type="fixed"/>
      <w:tblLook w:val="0400" w:firstRow="0" w:lastRow="0" w:firstColumn="0" w:lastColumn="0" w:noHBand="0" w:noVBand="1"/>
    </w:tblPr>
    <w:tblGrid>
      <w:gridCol w:w="1560"/>
      <w:gridCol w:w="8930"/>
    </w:tblGrid>
    <w:tr w:rsidR="00B55A11" w:rsidTr="00C848EB">
      <w:trPr>
        <w:trHeight w:val="1435"/>
      </w:trPr>
      <w:tc>
        <w:tcPr>
          <w:tcW w:w="1560" w:type="dxa"/>
          <w:shd w:val="clear" w:color="auto" w:fill="auto"/>
        </w:tcPr>
        <w:p w:rsidR="00B55A11" w:rsidRDefault="00B55A11">
          <w:pPr>
            <w:tabs>
              <w:tab w:val="right" w:pos="4273"/>
            </w:tabs>
            <w:rPr>
              <w:rFonts w:ascii="Garamond" w:eastAsia="Garamond" w:hAnsi="Garamond" w:cs="Garamond"/>
              <w:sz w:val="22"/>
              <w:szCs w:val="22"/>
            </w:rPr>
          </w:pPr>
        </w:p>
      </w:tc>
      <w:tc>
        <w:tcPr>
          <w:tcW w:w="8930" w:type="dxa"/>
          <w:shd w:val="clear" w:color="auto" w:fill="auto"/>
        </w:tcPr>
        <w:tbl>
          <w:tblPr>
            <w:tblStyle w:val="a3"/>
            <w:tblW w:w="6568" w:type="dxa"/>
            <w:tblInd w:w="2153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00" w:firstRow="0" w:lastRow="0" w:firstColumn="0" w:lastColumn="0" w:noHBand="0" w:noVBand="1"/>
          </w:tblPr>
          <w:tblGrid>
            <w:gridCol w:w="2825"/>
            <w:gridCol w:w="3507"/>
            <w:gridCol w:w="236"/>
          </w:tblGrid>
          <w:tr w:rsidR="00B55A11" w:rsidTr="00C848EB">
            <w:trPr>
              <w:trHeight w:val="144"/>
            </w:trPr>
            <w:tc>
              <w:tcPr>
                <w:tcW w:w="2825" w:type="dxa"/>
              </w:tcPr>
              <w:p w:rsidR="00B55A11" w:rsidRPr="00C848EB" w:rsidRDefault="00FD4C44">
                <w:pPr>
                  <w:tabs>
                    <w:tab w:val="right" w:pos="8838"/>
                  </w:tabs>
                  <w:ind w:left="-74" w:right="-105"/>
                  <w:rPr>
                    <w:rFonts w:ascii="Palatino Linotype" w:eastAsia="Palatino Linotype" w:hAnsi="Palatino Linotype" w:cs="Palatino Linotype"/>
                    <w:b/>
                    <w:bCs/>
                    <w:sz w:val="24"/>
                    <w:szCs w:val="24"/>
                  </w:rPr>
                </w:pPr>
                <w:bookmarkStart w:id="14" w:name="_heading=h.wnpeejghmgww" w:colFirst="0" w:colLast="0"/>
                <w:bookmarkEnd w:id="14"/>
                <w:r w:rsidRPr="00C848EB">
                  <w:rPr>
                    <w:rFonts w:ascii="Palatino Linotype" w:eastAsia="Palatino Linotype" w:hAnsi="Palatino Linotype" w:cs="Palatino Linotype"/>
                    <w:b/>
                    <w:bCs/>
                    <w:sz w:val="24"/>
                    <w:szCs w:val="24"/>
                  </w:rPr>
                  <w:t>Recurso de Revisión:</w:t>
                </w:r>
              </w:p>
            </w:tc>
            <w:tc>
              <w:tcPr>
                <w:tcW w:w="3507" w:type="dxa"/>
              </w:tcPr>
              <w:p w:rsidR="00B55A11" w:rsidRPr="00C848EB" w:rsidRDefault="00FD4C44">
                <w:pPr>
                  <w:tabs>
                    <w:tab w:val="right" w:pos="8838"/>
                  </w:tabs>
                  <w:ind w:right="-105"/>
                  <w:jc w:val="both"/>
                  <w:rPr>
                    <w:rFonts w:ascii="Palatino Linotype" w:eastAsia="Palatino Linotype" w:hAnsi="Palatino Linotype" w:cs="Palatino Linotype"/>
                    <w:bCs/>
                    <w:sz w:val="24"/>
                    <w:szCs w:val="24"/>
                  </w:rPr>
                </w:pPr>
                <w:r w:rsidRPr="00C848EB">
                  <w:rPr>
                    <w:rFonts w:ascii="Palatino Linotype" w:eastAsia="Palatino Linotype" w:hAnsi="Palatino Linotype" w:cs="Palatino Linotype"/>
                    <w:bCs/>
                    <w:sz w:val="24"/>
                    <w:szCs w:val="24"/>
                  </w:rPr>
                  <w:t>09883/INFOEM/IP/RR/2025</w:t>
                </w:r>
              </w:p>
            </w:tc>
            <w:tc>
              <w:tcPr>
                <w:tcW w:w="236" w:type="dxa"/>
              </w:tcPr>
              <w:p w:rsidR="00B55A11" w:rsidRDefault="00B55A11">
                <w:pPr>
                  <w:tabs>
                    <w:tab w:val="right" w:pos="8838"/>
                  </w:tabs>
                  <w:ind w:left="-74" w:right="-105"/>
                  <w:jc w:val="both"/>
                  <w:rPr>
                    <w:rFonts w:ascii="Palatino Linotype" w:eastAsia="Palatino Linotype" w:hAnsi="Palatino Linotype" w:cs="Palatino Linotype"/>
                    <w:sz w:val="22"/>
                    <w:szCs w:val="22"/>
                  </w:rPr>
                </w:pPr>
              </w:p>
            </w:tc>
          </w:tr>
          <w:tr w:rsidR="00B55A11" w:rsidTr="00C848EB">
            <w:trPr>
              <w:trHeight w:val="144"/>
            </w:trPr>
            <w:tc>
              <w:tcPr>
                <w:tcW w:w="2825" w:type="dxa"/>
              </w:tcPr>
              <w:p w:rsidR="00B55A11" w:rsidRPr="00C848EB" w:rsidRDefault="00FD4C44">
                <w:pPr>
                  <w:tabs>
                    <w:tab w:val="right" w:pos="8838"/>
                  </w:tabs>
                  <w:ind w:left="-74" w:right="-105"/>
                  <w:rPr>
                    <w:rFonts w:ascii="Palatino Linotype" w:eastAsia="Palatino Linotype" w:hAnsi="Palatino Linotype" w:cs="Palatino Linotype"/>
                    <w:b/>
                    <w:bCs/>
                    <w:sz w:val="24"/>
                    <w:szCs w:val="24"/>
                  </w:rPr>
                </w:pPr>
                <w:bookmarkStart w:id="15" w:name="_heading=h.7zbzthlwpcx8" w:colFirst="0" w:colLast="0"/>
                <w:bookmarkEnd w:id="15"/>
                <w:r w:rsidRPr="00C848EB">
                  <w:rPr>
                    <w:rFonts w:ascii="Palatino Linotype" w:eastAsia="Palatino Linotype" w:hAnsi="Palatino Linotype" w:cs="Palatino Linotype"/>
                    <w:b/>
                    <w:bCs/>
                    <w:sz w:val="24"/>
                    <w:szCs w:val="24"/>
                  </w:rPr>
                  <w:t>Recurrente:</w:t>
                </w:r>
              </w:p>
            </w:tc>
            <w:tc>
              <w:tcPr>
                <w:tcW w:w="3507" w:type="dxa"/>
              </w:tcPr>
              <w:p w:rsidR="00B55A11" w:rsidRPr="00C848EB" w:rsidRDefault="00B55A11">
                <w:pPr>
                  <w:tabs>
                    <w:tab w:val="left" w:pos="3122"/>
                    <w:tab w:val="right" w:pos="8838"/>
                  </w:tabs>
                  <w:ind w:right="1457"/>
                  <w:jc w:val="both"/>
                  <w:rPr>
                    <w:rFonts w:ascii="Palatino Linotype" w:eastAsia="Palatino Linotype" w:hAnsi="Palatino Linotype" w:cs="Palatino Linotype"/>
                    <w:bCs/>
                    <w:sz w:val="24"/>
                    <w:szCs w:val="24"/>
                  </w:rPr>
                </w:pPr>
              </w:p>
            </w:tc>
            <w:tc>
              <w:tcPr>
                <w:tcW w:w="236" w:type="dxa"/>
              </w:tcPr>
              <w:p w:rsidR="00B55A11" w:rsidRDefault="00B55A11">
                <w:pPr>
                  <w:tabs>
                    <w:tab w:val="left" w:pos="3122"/>
                    <w:tab w:val="right" w:pos="8838"/>
                  </w:tabs>
                  <w:ind w:right="-105"/>
                  <w:jc w:val="both"/>
                  <w:rPr>
                    <w:rFonts w:ascii="Palatino Linotype" w:eastAsia="Palatino Linotype" w:hAnsi="Palatino Linotype" w:cs="Palatino Linotype"/>
                    <w:sz w:val="22"/>
                    <w:szCs w:val="22"/>
                  </w:rPr>
                </w:pPr>
              </w:p>
            </w:tc>
          </w:tr>
          <w:tr w:rsidR="00B55A11" w:rsidTr="00C848EB">
            <w:trPr>
              <w:trHeight w:val="283"/>
            </w:trPr>
            <w:tc>
              <w:tcPr>
                <w:tcW w:w="2825" w:type="dxa"/>
              </w:tcPr>
              <w:p w:rsidR="00B55A11" w:rsidRPr="00C848EB" w:rsidRDefault="00FD4C44">
                <w:pPr>
                  <w:tabs>
                    <w:tab w:val="right" w:pos="8838"/>
                  </w:tabs>
                  <w:ind w:left="-74" w:right="-105"/>
                  <w:rPr>
                    <w:rFonts w:ascii="Palatino Linotype" w:eastAsia="Palatino Linotype" w:hAnsi="Palatino Linotype" w:cs="Palatino Linotype"/>
                    <w:b/>
                    <w:bCs/>
                    <w:sz w:val="24"/>
                    <w:szCs w:val="24"/>
                  </w:rPr>
                </w:pPr>
                <w:r w:rsidRPr="00C848EB">
                  <w:rPr>
                    <w:rFonts w:ascii="Palatino Linotype" w:eastAsia="Palatino Linotype" w:hAnsi="Palatino Linotype" w:cs="Palatino Linotype"/>
                    <w:b/>
                    <w:bCs/>
                    <w:sz w:val="24"/>
                    <w:szCs w:val="24"/>
                  </w:rPr>
                  <w:t>Sujeto Obligado:</w:t>
                </w:r>
              </w:p>
            </w:tc>
            <w:tc>
              <w:tcPr>
                <w:tcW w:w="3507" w:type="dxa"/>
              </w:tcPr>
              <w:p w:rsidR="00B55A11" w:rsidRPr="00C848EB" w:rsidRDefault="00FD4C44">
                <w:pPr>
                  <w:tabs>
                    <w:tab w:val="left" w:pos="2834"/>
                    <w:tab w:val="right" w:pos="8838"/>
                  </w:tabs>
                  <w:ind w:left="-3" w:right="-105"/>
                  <w:jc w:val="both"/>
                  <w:rPr>
                    <w:rFonts w:ascii="Palatino Linotype" w:eastAsia="Palatino Linotype" w:hAnsi="Palatino Linotype" w:cs="Palatino Linotype"/>
                    <w:bCs/>
                    <w:sz w:val="24"/>
                    <w:szCs w:val="24"/>
                  </w:rPr>
                </w:pPr>
                <w:r w:rsidRPr="00C848EB">
                  <w:rPr>
                    <w:rFonts w:ascii="Palatino Linotype" w:eastAsia="Palatino Linotype" w:hAnsi="Palatino Linotype" w:cs="Palatino Linotype"/>
                    <w:bCs/>
                    <w:color w:val="000000"/>
                    <w:sz w:val="24"/>
                    <w:szCs w:val="24"/>
                  </w:rPr>
                  <w:t>Ayuntamiento de Toluca</w:t>
                </w:r>
              </w:p>
            </w:tc>
            <w:tc>
              <w:tcPr>
                <w:tcW w:w="236" w:type="dxa"/>
              </w:tcPr>
              <w:p w:rsidR="00B55A11" w:rsidRDefault="00B55A11">
                <w:pPr>
                  <w:tabs>
                    <w:tab w:val="left" w:pos="2834"/>
                    <w:tab w:val="right" w:pos="8838"/>
                  </w:tabs>
                  <w:ind w:left="-74" w:right="-105"/>
                  <w:jc w:val="both"/>
                  <w:rPr>
                    <w:rFonts w:ascii="Palatino Linotype" w:eastAsia="Palatino Linotype" w:hAnsi="Palatino Linotype" w:cs="Palatino Linotype"/>
                    <w:b/>
                    <w:bCs/>
                  </w:rPr>
                </w:pPr>
              </w:p>
            </w:tc>
          </w:tr>
          <w:tr w:rsidR="00B55A11" w:rsidTr="00C848EB">
            <w:trPr>
              <w:trHeight w:val="283"/>
            </w:trPr>
            <w:tc>
              <w:tcPr>
                <w:tcW w:w="2825" w:type="dxa"/>
              </w:tcPr>
              <w:p w:rsidR="00B55A11" w:rsidRPr="00C848EB" w:rsidRDefault="00FD4C44">
                <w:pPr>
                  <w:tabs>
                    <w:tab w:val="right" w:pos="8838"/>
                  </w:tabs>
                  <w:ind w:left="-74" w:right="-105"/>
                  <w:rPr>
                    <w:rFonts w:ascii="Palatino Linotype" w:eastAsia="Palatino Linotype" w:hAnsi="Palatino Linotype" w:cs="Palatino Linotype"/>
                    <w:b/>
                    <w:bCs/>
                    <w:sz w:val="24"/>
                    <w:szCs w:val="24"/>
                  </w:rPr>
                </w:pPr>
                <w:r w:rsidRPr="00C848EB">
                  <w:rPr>
                    <w:rFonts w:ascii="Palatino Linotype" w:eastAsia="Palatino Linotype" w:hAnsi="Palatino Linotype" w:cs="Palatino Linotype"/>
                    <w:b/>
                    <w:bCs/>
                    <w:sz w:val="24"/>
                    <w:szCs w:val="24"/>
                  </w:rPr>
                  <w:t>Comisionada Ponente:</w:t>
                </w:r>
              </w:p>
            </w:tc>
            <w:tc>
              <w:tcPr>
                <w:tcW w:w="3507" w:type="dxa"/>
              </w:tcPr>
              <w:p w:rsidR="00B55A11" w:rsidRPr="00C848EB" w:rsidRDefault="00FD4C44">
                <w:pPr>
                  <w:tabs>
                    <w:tab w:val="right" w:pos="8838"/>
                  </w:tabs>
                  <w:ind w:left="-3" w:right="-105"/>
                  <w:jc w:val="both"/>
                  <w:rPr>
                    <w:rFonts w:ascii="Palatino Linotype" w:eastAsia="Palatino Linotype" w:hAnsi="Palatino Linotype" w:cs="Palatino Linotype"/>
                    <w:bCs/>
                    <w:sz w:val="24"/>
                    <w:szCs w:val="24"/>
                  </w:rPr>
                </w:pPr>
                <w:r w:rsidRPr="00C848EB">
                  <w:rPr>
                    <w:rFonts w:ascii="Palatino Linotype" w:eastAsia="Palatino Linotype" w:hAnsi="Palatino Linotype" w:cs="Palatino Linotype"/>
                    <w:bCs/>
                    <w:sz w:val="24"/>
                    <w:szCs w:val="24"/>
                  </w:rPr>
                  <w:t>María del Rosario Mejía Ayala</w:t>
                </w:r>
              </w:p>
            </w:tc>
            <w:tc>
              <w:tcPr>
                <w:tcW w:w="236" w:type="dxa"/>
              </w:tcPr>
              <w:p w:rsidR="00B55A11" w:rsidRDefault="00B55A11">
                <w:pPr>
                  <w:tabs>
                    <w:tab w:val="right" w:pos="8838"/>
                  </w:tabs>
                  <w:ind w:left="-74" w:right="-105"/>
                  <w:jc w:val="both"/>
                  <w:rPr>
                    <w:rFonts w:ascii="Palatino Linotype" w:eastAsia="Palatino Linotype" w:hAnsi="Palatino Linotype" w:cs="Palatino Linotype"/>
                    <w:b/>
                    <w:bCs/>
                  </w:rPr>
                </w:pPr>
              </w:p>
            </w:tc>
          </w:tr>
        </w:tbl>
        <w:p w:rsidR="00B55A11" w:rsidRDefault="00B55A11">
          <w:pPr>
            <w:tabs>
              <w:tab w:val="right" w:pos="8838"/>
            </w:tabs>
            <w:ind w:left="-28"/>
            <w:jc w:val="both"/>
            <w:rPr>
              <w:rFonts w:ascii="Arial" w:eastAsia="Arial" w:hAnsi="Arial" w:cs="Arial"/>
              <w:b/>
              <w:bCs/>
              <w:sz w:val="22"/>
              <w:szCs w:val="22"/>
            </w:rPr>
          </w:pPr>
        </w:p>
      </w:tc>
    </w:tr>
  </w:tbl>
  <w:p w:rsidR="00B55A11" w:rsidRDefault="00674AA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4522"/>
      </w:tabs>
      <w:rPr>
        <w:color w:val="000000"/>
      </w:rPr>
    </w:pPr>
    <w:r>
      <w:rPr>
        <w:color w:val="000000"/>
        <w:sz w:val="14"/>
        <w:szCs w:val="1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-58.15pt;margin-top:-141.8pt;width:663.5pt;height:12in;z-index:-251658752;mso-position-horizontal-relative:margin;mso-position-vertical-relative:margin">
          <v:imagedata r:id="rId1" o:title="image1"/>
          <w10:wrap anchorx="margin" anchory="margin"/>
        </v:shape>
      </w:pict>
    </w:r>
  </w:p>
  <w:p w:rsidR="00B55A11" w:rsidRDefault="00B55A11"/>
  <w:p w:rsidR="00B55A11" w:rsidRDefault="00B55A1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B5CCE"/>
    <w:multiLevelType w:val="multilevel"/>
    <w:tmpl w:val="3A623D3A"/>
    <w:lvl w:ilvl="0">
      <w:start w:val="29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2E922A0"/>
    <w:multiLevelType w:val="multilevel"/>
    <w:tmpl w:val="1074B9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5F52FE"/>
    <w:multiLevelType w:val="multilevel"/>
    <w:tmpl w:val="67E2AC7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F36485"/>
    <w:multiLevelType w:val="multilevel"/>
    <w:tmpl w:val="187A81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7973337"/>
    <w:multiLevelType w:val="multilevel"/>
    <w:tmpl w:val="FDBEE9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A3673DB"/>
    <w:multiLevelType w:val="multilevel"/>
    <w:tmpl w:val="CE1233AE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B111179"/>
    <w:multiLevelType w:val="multilevel"/>
    <w:tmpl w:val="0EB808FE"/>
    <w:lvl w:ilvl="0">
      <w:start w:val="1"/>
      <w:numFmt w:val="decimal"/>
      <w:pStyle w:val="Listaconvietas2"/>
      <w:lvlText w:val="%1."/>
      <w:lvlJc w:val="left"/>
      <w:pPr>
        <w:ind w:left="501" w:hanging="359"/>
      </w:pPr>
      <w:rPr>
        <w:rFonts w:ascii="Palatino Linotype" w:eastAsia="Palatino Linotype" w:hAnsi="Palatino Linotype" w:cs="Palatino Linotype"/>
        <w:b/>
        <w:bCs/>
        <w:i w:val="0"/>
        <w:iCs w:val="0"/>
        <w:color w:val="000000"/>
        <w:sz w:val="24"/>
        <w:szCs w:val="24"/>
      </w:rPr>
    </w:lvl>
    <w:lvl w:ilvl="1">
      <w:start w:val="1"/>
      <w:numFmt w:val="upperRoman"/>
      <w:lvlText w:val="%2."/>
      <w:lvlJc w:val="right"/>
      <w:pPr>
        <w:ind w:left="7525" w:hanging="720"/>
      </w:pPr>
    </w:lvl>
    <w:lvl w:ilvl="2">
      <w:start w:val="4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04"/>
      <w:numFmt w:val="decimal"/>
      <w:lvlText w:val="%5"/>
      <w:lvlJc w:val="left"/>
      <w:pPr>
        <w:ind w:left="3600" w:hanging="360"/>
      </w:pPr>
      <w:rPr>
        <w:b/>
        <w:bCs/>
      </w:r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A11"/>
    <w:rsid w:val="004222C4"/>
    <w:rsid w:val="00674AA9"/>
    <w:rsid w:val="00832D58"/>
    <w:rsid w:val="00843CDE"/>
    <w:rsid w:val="00992597"/>
    <w:rsid w:val="00B55A11"/>
    <w:rsid w:val="00C848EB"/>
    <w:rsid w:val="00F2627A"/>
    <w:rsid w:val="00FD4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747F0D2B-BFAE-4258-8E72-9CEC94B57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1Car">
    <w:name w:val="Título 1 Car"/>
    <w:basedOn w:val="Fuentedeprrafopredeter"/>
    <w:uiPriority w:val="9"/>
    <w:rsid w:val="00192D2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ES"/>
    </w:rPr>
  </w:style>
  <w:style w:type="character" w:customStyle="1" w:styleId="Ttulo2Car">
    <w:name w:val="Título 2 Car"/>
    <w:basedOn w:val="Fuentedeprrafopredeter"/>
    <w:uiPriority w:val="9"/>
    <w:rsid w:val="00192D2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ES"/>
    </w:rPr>
  </w:style>
  <w:style w:type="paragraph" w:styleId="Encabezado">
    <w:name w:val="header"/>
    <w:basedOn w:val="Normal"/>
    <w:link w:val="EncabezadoCar"/>
    <w:uiPriority w:val="99"/>
    <w:unhideWhenUsed/>
    <w:qFormat/>
    <w:rsid w:val="00192D2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qFormat/>
    <w:rsid w:val="00192D2A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Listaconvietas2">
    <w:name w:val="List Bullet 2"/>
    <w:basedOn w:val="Normal"/>
    <w:uiPriority w:val="99"/>
    <w:unhideWhenUsed/>
    <w:qFormat/>
    <w:rsid w:val="00192D2A"/>
    <w:pPr>
      <w:numPr>
        <w:numId w:val="1"/>
      </w:numPr>
      <w:contextualSpacing/>
    </w:pPr>
  </w:style>
  <w:style w:type="paragraph" w:styleId="Piedepgina">
    <w:name w:val="footer"/>
    <w:basedOn w:val="Normal"/>
    <w:link w:val="PiedepginaCar"/>
    <w:uiPriority w:val="99"/>
    <w:unhideWhenUsed/>
    <w:qFormat/>
    <w:rsid w:val="00192D2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192D2A"/>
    <w:rPr>
      <w:rFonts w:ascii="Times New Roman" w:eastAsia="Times New Roman" w:hAnsi="Times New Roman" w:cs="Times New Roman"/>
      <w:sz w:val="20"/>
      <w:szCs w:val="20"/>
      <w:lang w:eastAsia="es-ES"/>
    </w:rPr>
  </w:style>
  <w:style w:type="table" w:styleId="Tablaconcuadrcula">
    <w:name w:val="Table Grid"/>
    <w:basedOn w:val="Tablanormal"/>
    <w:uiPriority w:val="39"/>
    <w:qFormat/>
    <w:rsid w:val="00192D2A"/>
    <w:rPr>
      <w:rFonts w:eastAsia="SimSu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,Colorful List - Accent 11,Bullet 1,F5 List Paragraph,5.9.1"/>
    <w:basedOn w:val="Normal"/>
    <w:link w:val="PrrafodelistaCar"/>
    <w:uiPriority w:val="34"/>
    <w:qFormat/>
    <w:rsid w:val="00192D2A"/>
    <w:pPr>
      <w:ind w:left="720"/>
      <w:contextualSpacing/>
    </w:pPr>
    <w:rPr>
      <w:rFonts w:ascii="Century Gothic" w:hAnsi="Century Gothic"/>
      <w:sz w:val="22"/>
      <w:szCs w:val="24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basedOn w:val="Fuentedeprrafopredeter"/>
    <w:link w:val="Prrafodelista"/>
    <w:uiPriority w:val="34"/>
    <w:qFormat/>
    <w:rsid w:val="00192D2A"/>
    <w:rPr>
      <w:rFonts w:ascii="Century Gothic" w:eastAsia="Times New Roman" w:hAnsi="Century Gothic" w:cs="Times New Roman"/>
      <w:szCs w:val="24"/>
      <w:lang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weiS8ygupIlFp4DO/xqGXFYsLQ==">CgMxLjAyDmgucXRqeWJsc3p0d3F5MghoLmdqZGd4czIJaC4zMGowemxsMgloLjFmb2I5dGUyCWguM3pueXNoNzIJaC4yZXQ5MnAwMgloLjNkeTZ2a20yDmguaWVlM2drcndoYTJvMg5oLnUzN2hscmU1MGxtYTIOaC4xbng5bTFybmtuMDIyDmgueTJrZjR4dm1pNzN2MghoLnR5amN3dDIOaC50NzhrazRoZjJtengyDmgud25wZWVqZ2htZ3d3Mg5oLjd6Ynp0aGx3cGN4ODgAciExOE9EN3BpVlpDdmtiemg4TFVfM2pyZW5jbXlpRkJTRV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2954</Words>
  <Characters>16248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6</cp:revision>
  <cp:lastPrinted>2026-03-12T23:17:00Z</cp:lastPrinted>
  <dcterms:created xsi:type="dcterms:W3CDTF">2026-03-04T16:57:00Z</dcterms:created>
  <dcterms:modified xsi:type="dcterms:W3CDTF">2026-03-19T19:40:00Z</dcterms:modified>
</cp:coreProperties>
</file>