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0A4D" w:rsidRPr="00D42A51" w:rsidRDefault="00601292">
      <w:pPr>
        <w:tabs>
          <w:tab w:val="left" w:pos="3465"/>
        </w:tabs>
        <w:spacing w:line="360" w:lineRule="auto"/>
        <w:jc w:val="both"/>
        <w:rPr>
          <w:rFonts w:ascii="Palatino Linotype" w:eastAsia="Palatino Linotype" w:hAnsi="Palatino Linotype" w:cs="Palatino Linotype"/>
          <w:b/>
          <w:color w:val="000000"/>
        </w:rPr>
      </w:pPr>
      <w:r w:rsidRPr="00D42A51">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w:t>
      </w:r>
      <w:r w:rsidRPr="00D42A51">
        <w:rPr>
          <w:rFonts w:ascii="Palatino Linotype" w:eastAsia="Palatino Linotype" w:hAnsi="Palatino Linotype" w:cs="Palatino Linotype"/>
          <w:b/>
        </w:rPr>
        <w:t xml:space="preserve">fecha </w:t>
      </w:r>
      <w:r w:rsidR="00006AA0" w:rsidRPr="00D42A51">
        <w:rPr>
          <w:rFonts w:ascii="Palatino Linotype" w:eastAsia="Palatino Linotype" w:hAnsi="Palatino Linotype" w:cs="Palatino Linotype"/>
          <w:b/>
          <w:color w:val="000000"/>
        </w:rPr>
        <w:t>diecisiete</w:t>
      </w:r>
      <w:r w:rsidRPr="00D42A51">
        <w:rPr>
          <w:rFonts w:ascii="Palatino Linotype" w:eastAsia="Palatino Linotype" w:hAnsi="Palatino Linotype" w:cs="Palatino Linotype"/>
          <w:b/>
          <w:color w:val="000000"/>
        </w:rPr>
        <w:t xml:space="preserve"> </w:t>
      </w:r>
      <w:r w:rsidR="00D42A51" w:rsidRPr="00D42A51">
        <w:rPr>
          <w:rFonts w:ascii="Palatino Linotype" w:eastAsia="Palatino Linotype" w:hAnsi="Palatino Linotype" w:cs="Palatino Linotype"/>
          <w:b/>
          <w:color w:val="000000"/>
        </w:rPr>
        <w:t xml:space="preserve">(17) </w:t>
      </w:r>
      <w:r w:rsidRPr="00D42A51">
        <w:rPr>
          <w:rFonts w:ascii="Palatino Linotype" w:eastAsia="Palatino Linotype" w:hAnsi="Palatino Linotype" w:cs="Palatino Linotype"/>
          <w:b/>
          <w:color w:val="000000"/>
        </w:rPr>
        <w:t>de junio de dos mil veintiséis.</w:t>
      </w:r>
    </w:p>
    <w:p w:rsidR="003D0A4D" w:rsidRPr="00D42A51" w:rsidRDefault="003D0A4D">
      <w:pPr>
        <w:tabs>
          <w:tab w:val="left" w:pos="3465"/>
        </w:tabs>
        <w:spacing w:line="360" w:lineRule="auto"/>
        <w:jc w:val="both"/>
        <w:rPr>
          <w:rFonts w:ascii="Palatino Linotype" w:eastAsia="Palatino Linotype" w:hAnsi="Palatino Linotype" w:cs="Palatino Linotype"/>
        </w:rPr>
      </w:pPr>
    </w:p>
    <w:p w:rsidR="003D0A4D" w:rsidRPr="00D42A51" w:rsidRDefault="00601292">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b/>
          <w:bCs/>
          <w:color w:val="000000"/>
        </w:rPr>
        <w:t>VISTO</w:t>
      </w:r>
      <w:r w:rsidRPr="00D42A51">
        <w:rPr>
          <w:rFonts w:ascii="Palatino Linotype" w:eastAsia="Palatino Linotype" w:hAnsi="Palatino Linotype" w:cs="Palatino Linotype"/>
          <w:color w:val="000000"/>
        </w:rPr>
        <w:t xml:space="preserve"> el expediente electrónico formado con motivo del Recurso de Revisión </w:t>
      </w:r>
      <w:r w:rsidRPr="00D42A51">
        <w:rPr>
          <w:rFonts w:ascii="Palatino Linotype" w:eastAsia="Palatino Linotype" w:hAnsi="Palatino Linotype" w:cs="Palatino Linotype"/>
          <w:b/>
          <w:bCs/>
          <w:color w:val="000000"/>
        </w:rPr>
        <w:t>02373/INFOEM/IP/RR/2026</w:t>
      </w:r>
      <w:r w:rsidRPr="00D42A51">
        <w:rPr>
          <w:rFonts w:ascii="Palatino Linotype" w:eastAsia="Palatino Linotype" w:hAnsi="Palatino Linotype" w:cs="Palatino Linotype"/>
          <w:color w:val="000000"/>
        </w:rPr>
        <w:t>,</w:t>
      </w:r>
      <w:r w:rsidRPr="00D42A51">
        <w:rPr>
          <w:rFonts w:ascii="Palatino Linotype" w:eastAsia="Palatino Linotype" w:hAnsi="Palatino Linotype" w:cs="Palatino Linotype"/>
          <w:b/>
          <w:bCs/>
          <w:color w:val="000000"/>
        </w:rPr>
        <w:t xml:space="preserve"> </w:t>
      </w:r>
      <w:r w:rsidRPr="00D42A51">
        <w:rPr>
          <w:rFonts w:ascii="Palatino Linotype" w:eastAsia="Palatino Linotype" w:hAnsi="Palatino Linotype" w:cs="Palatino Linotype"/>
          <w:color w:val="000000"/>
        </w:rPr>
        <w:t xml:space="preserve">promovido por </w:t>
      </w:r>
      <w:r w:rsidR="00FA34FF">
        <w:rPr>
          <w:rFonts w:ascii="Palatino Linotype" w:eastAsia="Palatino Linotype" w:hAnsi="Palatino Linotype" w:cs="Palatino Linotype"/>
          <w:b/>
          <w:bCs/>
          <w:color w:val="000000"/>
        </w:rPr>
        <w:t>XXXX</w:t>
      </w:r>
      <w:r w:rsidRPr="00D42A51">
        <w:rPr>
          <w:rFonts w:ascii="Palatino Linotype" w:eastAsia="Palatino Linotype" w:hAnsi="Palatino Linotype" w:cs="Palatino Linotype"/>
          <w:b/>
          <w:bCs/>
          <w:color w:val="000000"/>
        </w:rPr>
        <w:t>,</w:t>
      </w:r>
      <w:r w:rsidRPr="00D42A51">
        <w:rPr>
          <w:rFonts w:ascii="Palatino Linotype" w:eastAsia="Palatino Linotype" w:hAnsi="Palatino Linotype" w:cs="Palatino Linotype"/>
          <w:color w:val="000000"/>
        </w:rPr>
        <w:t xml:space="preserve"> a quien en lo sucesivo se le identificará como </w:t>
      </w:r>
      <w:r w:rsidRPr="00D42A51">
        <w:rPr>
          <w:rFonts w:ascii="Palatino Linotype" w:eastAsia="Palatino Linotype" w:hAnsi="Palatino Linotype" w:cs="Palatino Linotype"/>
          <w:b/>
          <w:bCs/>
          <w:color w:val="000000"/>
        </w:rPr>
        <w:t>EL RECURRENTE</w:t>
      </w:r>
      <w:r w:rsidRPr="00D42A51">
        <w:rPr>
          <w:rFonts w:ascii="Palatino Linotype" w:eastAsia="Palatino Linotype" w:hAnsi="Palatino Linotype" w:cs="Palatino Linotype"/>
          <w:color w:val="000000"/>
        </w:rPr>
        <w:t xml:space="preserve">, en contra de la respuesta del </w:t>
      </w:r>
      <w:r w:rsidRPr="00D42A51">
        <w:rPr>
          <w:rFonts w:ascii="Palatino Linotype" w:eastAsia="Palatino Linotype" w:hAnsi="Palatino Linotype" w:cs="Palatino Linotype"/>
          <w:b/>
          <w:bCs/>
          <w:color w:val="000000"/>
        </w:rPr>
        <w:t xml:space="preserve">Instituto Mexiquense de la Infraestructura Física Educativa, </w:t>
      </w:r>
      <w:r w:rsidRPr="00D42A51">
        <w:rPr>
          <w:rFonts w:ascii="Palatino Linotype" w:eastAsia="Palatino Linotype" w:hAnsi="Palatino Linotype" w:cs="Palatino Linotype"/>
          <w:color w:val="000000"/>
        </w:rPr>
        <w:t xml:space="preserve">en </w:t>
      </w:r>
      <w:r w:rsidR="00D42A51">
        <w:rPr>
          <w:rFonts w:ascii="Palatino Linotype" w:eastAsia="Palatino Linotype" w:hAnsi="Palatino Linotype" w:cs="Palatino Linotype"/>
          <w:color w:val="000000"/>
        </w:rPr>
        <w:t>adelante</w:t>
      </w:r>
      <w:r w:rsidRPr="00D42A51">
        <w:rPr>
          <w:rFonts w:ascii="Palatino Linotype" w:eastAsia="Palatino Linotype" w:hAnsi="Palatino Linotype" w:cs="Palatino Linotype"/>
          <w:color w:val="000000"/>
        </w:rPr>
        <w:t xml:space="preserve"> el</w:t>
      </w:r>
      <w:r w:rsidRPr="00D42A51">
        <w:rPr>
          <w:rFonts w:ascii="Palatino Linotype" w:eastAsia="Palatino Linotype" w:hAnsi="Palatino Linotype" w:cs="Palatino Linotype"/>
          <w:b/>
          <w:bCs/>
          <w:color w:val="000000"/>
        </w:rPr>
        <w:t xml:space="preserve"> SUJETO OBLIGADO</w:t>
      </w:r>
      <w:r w:rsidRPr="00D42A51">
        <w:rPr>
          <w:rFonts w:ascii="Palatino Linotype" w:eastAsia="Palatino Linotype" w:hAnsi="Palatino Linotype" w:cs="Palatino Linotype"/>
          <w:color w:val="000000"/>
        </w:rPr>
        <w:t>, se procede a dictar la presente Resolución, con base en los siguientes:</w:t>
      </w:r>
    </w:p>
    <w:p w:rsidR="003D0A4D" w:rsidRPr="00D42A51" w:rsidRDefault="003D0A4D">
      <w:pPr>
        <w:spacing w:line="360" w:lineRule="auto"/>
        <w:jc w:val="both"/>
        <w:rPr>
          <w:rFonts w:ascii="Palatino Linotype" w:eastAsia="Palatino Linotype" w:hAnsi="Palatino Linotype" w:cs="Palatino Linotype"/>
        </w:rPr>
      </w:pPr>
    </w:p>
    <w:p w:rsidR="003D0A4D" w:rsidRPr="00D42A51" w:rsidRDefault="00601292">
      <w:pPr>
        <w:pStyle w:val="Ttulo1"/>
        <w:spacing w:before="0" w:line="360" w:lineRule="auto"/>
        <w:jc w:val="center"/>
        <w:rPr>
          <w:rFonts w:ascii="Palatino Linotype" w:eastAsia="Palatino Linotype" w:hAnsi="Palatino Linotype" w:cs="Palatino Linotype"/>
          <w:b/>
          <w:bCs/>
          <w:color w:val="000000"/>
          <w:sz w:val="24"/>
          <w:szCs w:val="24"/>
        </w:rPr>
      </w:pPr>
      <w:bookmarkStart w:id="0" w:name="_heading=h.f9kch0fqw4cd" w:colFirst="0" w:colLast="0"/>
      <w:bookmarkEnd w:id="0"/>
      <w:r w:rsidRPr="00D42A51">
        <w:rPr>
          <w:rFonts w:ascii="Palatino Linotype" w:eastAsia="Palatino Linotype" w:hAnsi="Palatino Linotype" w:cs="Palatino Linotype"/>
          <w:b/>
          <w:bCs/>
          <w:color w:val="000000"/>
          <w:sz w:val="24"/>
          <w:szCs w:val="24"/>
        </w:rPr>
        <w:t>A</w:t>
      </w:r>
      <w:r w:rsidR="00D42A51">
        <w:rPr>
          <w:rFonts w:ascii="Palatino Linotype" w:eastAsia="Palatino Linotype" w:hAnsi="Palatino Linotype" w:cs="Palatino Linotype"/>
          <w:b/>
          <w:bCs/>
          <w:color w:val="000000"/>
          <w:sz w:val="24"/>
          <w:szCs w:val="24"/>
        </w:rPr>
        <w:t xml:space="preserve"> </w:t>
      </w:r>
      <w:r w:rsidRPr="00D42A51">
        <w:rPr>
          <w:rFonts w:ascii="Palatino Linotype" w:eastAsia="Palatino Linotype" w:hAnsi="Palatino Linotype" w:cs="Palatino Linotype"/>
          <w:b/>
          <w:bCs/>
          <w:color w:val="000000"/>
          <w:sz w:val="24"/>
          <w:szCs w:val="24"/>
        </w:rPr>
        <w:t>N</w:t>
      </w:r>
      <w:r w:rsidR="00D42A51">
        <w:rPr>
          <w:rFonts w:ascii="Palatino Linotype" w:eastAsia="Palatino Linotype" w:hAnsi="Palatino Linotype" w:cs="Palatino Linotype"/>
          <w:b/>
          <w:bCs/>
          <w:color w:val="000000"/>
          <w:sz w:val="24"/>
          <w:szCs w:val="24"/>
        </w:rPr>
        <w:t xml:space="preserve"> </w:t>
      </w:r>
      <w:r w:rsidRPr="00D42A51">
        <w:rPr>
          <w:rFonts w:ascii="Palatino Linotype" w:eastAsia="Palatino Linotype" w:hAnsi="Palatino Linotype" w:cs="Palatino Linotype"/>
          <w:b/>
          <w:bCs/>
          <w:color w:val="000000"/>
          <w:sz w:val="24"/>
          <w:szCs w:val="24"/>
        </w:rPr>
        <w:t>T</w:t>
      </w:r>
      <w:r w:rsidR="00D42A51">
        <w:rPr>
          <w:rFonts w:ascii="Palatino Linotype" w:eastAsia="Palatino Linotype" w:hAnsi="Palatino Linotype" w:cs="Palatino Linotype"/>
          <w:b/>
          <w:bCs/>
          <w:color w:val="000000"/>
          <w:sz w:val="24"/>
          <w:szCs w:val="24"/>
        </w:rPr>
        <w:t xml:space="preserve"> </w:t>
      </w:r>
      <w:r w:rsidRPr="00D42A51">
        <w:rPr>
          <w:rFonts w:ascii="Palatino Linotype" w:eastAsia="Palatino Linotype" w:hAnsi="Palatino Linotype" w:cs="Palatino Linotype"/>
          <w:b/>
          <w:bCs/>
          <w:color w:val="000000"/>
          <w:sz w:val="24"/>
          <w:szCs w:val="24"/>
        </w:rPr>
        <w:t>E</w:t>
      </w:r>
      <w:r w:rsidR="00D42A51">
        <w:rPr>
          <w:rFonts w:ascii="Palatino Linotype" w:eastAsia="Palatino Linotype" w:hAnsi="Palatino Linotype" w:cs="Palatino Linotype"/>
          <w:b/>
          <w:bCs/>
          <w:color w:val="000000"/>
          <w:sz w:val="24"/>
          <w:szCs w:val="24"/>
        </w:rPr>
        <w:t xml:space="preserve"> </w:t>
      </w:r>
      <w:r w:rsidRPr="00D42A51">
        <w:rPr>
          <w:rFonts w:ascii="Palatino Linotype" w:eastAsia="Palatino Linotype" w:hAnsi="Palatino Linotype" w:cs="Palatino Linotype"/>
          <w:b/>
          <w:bCs/>
          <w:color w:val="000000"/>
          <w:sz w:val="24"/>
          <w:szCs w:val="24"/>
        </w:rPr>
        <w:t>C</w:t>
      </w:r>
      <w:r w:rsidR="00D42A51">
        <w:rPr>
          <w:rFonts w:ascii="Palatino Linotype" w:eastAsia="Palatino Linotype" w:hAnsi="Palatino Linotype" w:cs="Palatino Linotype"/>
          <w:b/>
          <w:bCs/>
          <w:color w:val="000000"/>
          <w:sz w:val="24"/>
          <w:szCs w:val="24"/>
        </w:rPr>
        <w:t xml:space="preserve"> </w:t>
      </w:r>
      <w:r w:rsidRPr="00D42A51">
        <w:rPr>
          <w:rFonts w:ascii="Palatino Linotype" w:eastAsia="Palatino Linotype" w:hAnsi="Palatino Linotype" w:cs="Palatino Linotype"/>
          <w:b/>
          <w:bCs/>
          <w:color w:val="000000"/>
          <w:sz w:val="24"/>
          <w:szCs w:val="24"/>
        </w:rPr>
        <w:t>E</w:t>
      </w:r>
      <w:r w:rsidR="00D42A51">
        <w:rPr>
          <w:rFonts w:ascii="Palatino Linotype" w:eastAsia="Palatino Linotype" w:hAnsi="Palatino Linotype" w:cs="Palatino Linotype"/>
          <w:b/>
          <w:bCs/>
          <w:color w:val="000000"/>
          <w:sz w:val="24"/>
          <w:szCs w:val="24"/>
        </w:rPr>
        <w:t xml:space="preserve"> </w:t>
      </w:r>
      <w:r w:rsidRPr="00D42A51">
        <w:rPr>
          <w:rFonts w:ascii="Palatino Linotype" w:eastAsia="Palatino Linotype" w:hAnsi="Palatino Linotype" w:cs="Palatino Linotype"/>
          <w:b/>
          <w:bCs/>
          <w:color w:val="000000"/>
          <w:sz w:val="24"/>
          <w:szCs w:val="24"/>
        </w:rPr>
        <w:t>D</w:t>
      </w:r>
      <w:r w:rsidR="00D42A51">
        <w:rPr>
          <w:rFonts w:ascii="Palatino Linotype" w:eastAsia="Palatino Linotype" w:hAnsi="Palatino Linotype" w:cs="Palatino Linotype"/>
          <w:b/>
          <w:bCs/>
          <w:color w:val="000000"/>
          <w:sz w:val="24"/>
          <w:szCs w:val="24"/>
        </w:rPr>
        <w:t xml:space="preserve"> </w:t>
      </w:r>
      <w:r w:rsidRPr="00D42A51">
        <w:rPr>
          <w:rFonts w:ascii="Palatino Linotype" w:eastAsia="Palatino Linotype" w:hAnsi="Palatino Linotype" w:cs="Palatino Linotype"/>
          <w:b/>
          <w:bCs/>
          <w:color w:val="000000"/>
          <w:sz w:val="24"/>
          <w:szCs w:val="24"/>
        </w:rPr>
        <w:t>E</w:t>
      </w:r>
      <w:r w:rsidR="00D42A51">
        <w:rPr>
          <w:rFonts w:ascii="Palatino Linotype" w:eastAsia="Palatino Linotype" w:hAnsi="Palatino Linotype" w:cs="Palatino Linotype"/>
          <w:b/>
          <w:bCs/>
          <w:color w:val="000000"/>
          <w:sz w:val="24"/>
          <w:szCs w:val="24"/>
        </w:rPr>
        <w:t xml:space="preserve"> </w:t>
      </w:r>
      <w:r w:rsidRPr="00D42A51">
        <w:rPr>
          <w:rFonts w:ascii="Palatino Linotype" w:eastAsia="Palatino Linotype" w:hAnsi="Palatino Linotype" w:cs="Palatino Linotype"/>
          <w:b/>
          <w:bCs/>
          <w:color w:val="000000"/>
          <w:sz w:val="24"/>
          <w:szCs w:val="24"/>
        </w:rPr>
        <w:t>N</w:t>
      </w:r>
      <w:r w:rsidR="00D42A51">
        <w:rPr>
          <w:rFonts w:ascii="Palatino Linotype" w:eastAsia="Palatino Linotype" w:hAnsi="Palatino Linotype" w:cs="Palatino Linotype"/>
          <w:b/>
          <w:bCs/>
          <w:color w:val="000000"/>
          <w:sz w:val="24"/>
          <w:szCs w:val="24"/>
        </w:rPr>
        <w:t xml:space="preserve"> </w:t>
      </w:r>
      <w:r w:rsidRPr="00D42A51">
        <w:rPr>
          <w:rFonts w:ascii="Palatino Linotype" w:eastAsia="Palatino Linotype" w:hAnsi="Palatino Linotype" w:cs="Palatino Linotype"/>
          <w:b/>
          <w:bCs/>
          <w:color w:val="000000"/>
          <w:sz w:val="24"/>
          <w:szCs w:val="24"/>
        </w:rPr>
        <w:t>T</w:t>
      </w:r>
      <w:r w:rsidR="00D42A51">
        <w:rPr>
          <w:rFonts w:ascii="Palatino Linotype" w:eastAsia="Palatino Linotype" w:hAnsi="Palatino Linotype" w:cs="Palatino Linotype"/>
          <w:b/>
          <w:bCs/>
          <w:color w:val="000000"/>
          <w:sz w:val="24"/>
          <w:szCs w:val="24"/>
        </w:rPr>
        <w:t xml:space="preserve"> </w:t>
      </w:r>
      <w:r w:rsidRPr="00D42A51">
        <w:rPr>
          <w:rFonts w:ascii="Palatino Linotype" w:eastAsia="Palatino Linotype" w:hAnsi="Palatino Linotype" w:cs="Palatino Linotype"/>
          <w:b/>
          <w:bCs/>
          <w:color w:val="000000"/>
          <w:sz w:val="24"/>
          <w:szCs w:val="24"/>
        </w:rPr>
        <w:t>E</w:t>
      </w:r>
      <w:r w:rsidR="00D42A51">
        <w:rPr>
          <w:rFonts w:ascii="Palatino Linotype" w:eastAsia="Palatino Linotype" w:hAnsi="Palatino Linotype" w:cs="Palatino Linotype"/>
          <w:b/>
          <w:bCs/>
          <w:color w:val="000000"/>
          <w:sz w:val="24"/>
          <w:szCs w:val="24"/>
        </w:rPr>
        <w:t xml:space="preserve"> </w:t>
      </w:r>
      <w:r w:rsidRPr="00D42A51">
        <w:rPr>
          <w:rFonts w:ascii="Palatino Linotype" w:eastAsia="Palatino Linotype" w:hAnsi="Palatino Linotype" w:cs="Palatino Linotype"/>
          <w:b/>
          <w:bCs/>
          <w:color w:val="000000"/>
          <w:sz w:val="24"/>
          <w:szCs w:val="24"/>
        </w:rPr>
        <w:t>S</w:t>
      </w:r>
    </w:p>
    <w:p w:rsidR="003D0A4D" w:rsidRPr="00D42A51" w:rsidRDefault="003D0A4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3D0A4D" w:rsidRPr="00D42A51" w:rsidRDefault="00601292">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 xml:space="preserve">El día </w:t>
      </w:r>
      <w:r w:rsidRPr="00D42A51">
        <w:rPr>
          <w:rFonts w:ascii="Palatino Linotype" w:eastAsia="Palatino Linotype" w:hAnsi="Palatino Linotype" w:cs="Palatino Linotype"/>
          <w:b/>
          <w:bCs/>
          <w:color w:val="000000"/>
        </w:rPr>
        <w:t xml:space="preserve">once de febrero dos mil veintiséis, </w:t>
      </w:r>
      <w:r w:rsidRPr="00D42A51">
        <w:rPr>
          <w:rFonts w:ascii="Palatino Linotype" w:eastAsia="Palatino Linotype" w:hAnsi="Palatino Linotype" w:cs="Palatino Linotype"/>
          <w:color w:val="000000"/>
        </w:rPr>
        <w:t xml:space="preserve">se presentó ante el </w:t>
      </w:r>
      <w:r w:rsidRPr="00D42A51">
        <w:rPr>
          <w:rFonts w:ascii="Palatino Linotype" w:eastAsia="Palatino Linotype" w:hAnsi="Palatino Linotype" w:cs="Palatino Linotype"/>
          <w:b/>
          <w:bCs/>
          <w:color w:val="000000"/>
        </w:rPr>
        <w:t>SUJETO OBLIGADO</w:t>
      </w:r>
      <w:r w:rsidRPr="00D42A51">
        <w:rPr>
          <w:rFonts w:ascii="Palatino Linotype" w:eastAsia="Palatino Linotype" w:hAnsi="Palatino Linotype" w:cs="Palatino Linotype"/>
          <w:color w:val="000000"/>
        </w:rPr>
        <w:t xml:space="preserve"> vía Sistema de Acceso a la Información Mexiquense (SAIMEX), la Solicitud de Información Pública registrada con el número</w:t>
      </w:r>
      <w:r w:rsidRPr="00D42A51">
        <w:rPr>
          <w:rFonts w:ascii="Palatino Linotype" w:eastAsia="Palatino Linotype" w:hAnsi="Palatino Linotype" w:cs="Palatino Linotype"/>
          <w:b/>
          <w:bCs/>
          <w:color w:val="000000"/>
        </w:rPr>
        <w:t xml:space="preserve"> 00004/CIEEM/IP/2026; </w:t>
      </w:r>
      <w:r w:rsidRPr="00D42A51">
        <w:rPr>
          <w:rFonts w:ascii="Palatino Linotype" w:eastAsia="Palatino Linotype" w:hAnsi="Palatino Linotype" w:cs="Palatino Linotype"/>
          <w:color w:val="000000"/>
        </w:rPr>
        <w:t>mediante la cual se solicitó la siguiente información:</w:t>
      </w:r>
    </w:p>
    <w:p w:rsidR="003D0A4D" w:rsidRPr="00D42A51" w:rsidRDefault="003D0A4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3D0A4D" w:rsidRPr="00D42A51" w:rsidRDefault="00601292">
      <w:pPr>
        <w:spacing w:line="360" w:lineRule="auto"/>
        <w:ind w:left="426" w:right="425"/>
        <w:jc w:val="both"/>
        <w:rPr>
          <w:rFonts w:ascii="Palatino Linotype" w:eastAsia="Palatino Linotype" w:hAnsi="Palatino Linotype" w:cs="Palatino Linotype"/>
          <w:i/>
          <w:iCs/>
        </w:rPr>
      </w:pPr>
      <w:r w:rsidRPr="00D42A51">
        <w:rPr>
          <w:rFonts w:ascii="Palatino Linotype" w:eastAsia="Palatino Linotype" w:hAnsi="Palatino Linotype" w:cs="Palatino Linotype"/>
          <w:i/>
          <w:iCs/>
        </w:rPr>
        <w:t>“</w:t>
      </w:r>
      <w:r w:rsidRPr="00D42A51">
        <w:rPr>
          <w:rFonts w:ascii="Palatino Linotype" w:eastAsia="Palatino Linotype" w:hAnsi="Palatino Linotype" w:cs="Palatino Linotype"/>
          <w:i/>
          <w:iCs/>
          <w:color w:val="000000"/>
        </w:rPr>
        <w:t>Se solicita información de los contratos realizados y/o formalizados en el ejercicio 2025, detallando el nombre la empresa contratista, monto contratado, descripción de la contratación y origen del recurso con el cual se realizó la contratación.</w:t>
      </w:r>
      <w:r w:rsidRPr="00D42A51">
        <w:rPr>
          <w:rFonts w:ascii="Palatino Linotype" w:eastAsia="Palatino Linotype" w:hAnsi="Palatino Linotype" w:cs="Palatino Linotype"/>
          <w:i/>
          <w:iCs/>
        </w:rPr>
        <w:t>”</w:t>
      </w:r>
    </w:p>
    <w:p w:rsidR="003D0A4D" w:rsidRPr="00D42A51" w:rsidRDefault="003D0A4D">
      <w:pPr>
        <w:pBdr>
          <w:top w:val="nil"/>
          <w:left w:val="nil"/>
          <w:bottom w:val="nil"/>
          <w:right w:val="nil"/>
          <w:between w:val="nil"/>
        </w:pBdr>
        <w:spacing w:line="360" w:lineRule="auto"/>
        <w:ind w:left="426" w:right="474"/>
        <w:jc w:val="both"/>
        <w:rPr>
          <w:rFonts w:ascii="Palatino Linotype" w:eastAsia="Palatino Linotype" w:hAnsi="Palatino Linotype" w:cs="Palatino Linotype"/>
          <w:i/>
          <w:iCs/>
          <w:color w:val="000000"/>
        </w:rPr>
      </w:pPr>
    </w:p>
    <w:p w:rsidR="003D0A4D" w:rsidRPr="00D42A51" w:rsidRDefault="00601292">
      <w:pPr>
        <w:numPr>
          <w:ilvl w:val="0"/>
          <w:numId w:val="7"/>
        </w:numPr>
        <w:pBdr>
          <w:top w:val="nil"/>
          <w:left w:val="nil"/>
          <w:bottom w:val="nil"/>
          <w:right w:val="nil"/>
          <w:between w:val="nil"/>
        </w:pBdr>
        <w:spacing w:line="360" w:lineRule="auto"/>
        <w:ind w:left="709" w:hanging="284"/>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 xml:space="preserve">Modalidad de entrega de la información: Vía </w:t>
      </w:r>
      <w:r w:rsidRPr="00D42A51">
        <w:rPr>
          <w:rFonts w:ascii="Palatino Linotype" w:eastAsia="Palatino Linotype" w:hAnsi="Palatino Linotype" w:cs="Palatino Linotype"/>
          <w:b/>
          <w:bCs/>
          <w:color w:val="000000"/>
        </w:rPr>
        <w:t>SAIMEX</w:t>
      </w:r>
      <w:r w:rsidRPr="00D42A51">
        <w:rPr>
          <w:rFonts w:ascii="Palatino Linotype" w:eastAsia="Palatino Linotype" w:hAnsi="Palatino Linotype" w:cs="Palatino Linotype"/>
          <w:color w:val="000000"/>
        </w:rPr>
        <w:t>.</w:t>
      </w:r>
    </w:p>
    <w:p w:rsidR="003D0A4D" w:rsidRPr="00D42A51" w:rsidRDefault="00601292">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color w:val="000000"/>
        </w:rPr>
      </w:pPr>
      <w:r w:rsidRPr="00D42A51">
        <w:rPr>
          <w:rFonts w:ascii="Palatino Linotype" w:eastAsia="Palatino Linotype" w:hAnsi="Palatino Linotype" w:cs="Palatino Linotype"/>
          <w:color w:val="000000"/>
        </w:rPr>
        <w:lastRenderedPageBreak/>
        <w:t xml:space="preserve">El </w:t>
      </w:r>
      <w:r w:rsidRPr="00D42A51">
        <w:rPr>
          <w:rFonts w:ascii="Palatino Linotype" w:eastAsia="Palatino Linotype" w:hAnsi="Palatino Linotype" w:cs="Palatino Linotype"/>
          <w:b/>
          <w:bCs/>
          <w:color w:val="000000"/>
        </w:rPr>
        <w:t>dieciséis de marzo de dos mil veintiséis</w:t>
      </w:r>
      <w:r w:rsidRPr="00D42A51">
        <w:rPr>
          <w:rFonts w:ascii="Palatino Linotype" w:eastAsia="Palatino Linotype" w:hAnsi="Palatino Linotype" w:cs="Palatino Linotype"/>
          <w:color w:val="000000"/>
        </w:rPr>
        <w:t xml:space="preserve">, el </w:t>
      </w:r>
      <w:r w:rsidRPr="00D42A51">
        <w:rPr>
          <w:rFonts w:ascii="Palatino Linotype" w:eastAsia="Palatino Linotype" w:hAnsi="Palatino Linotype" w:cs="Palatino Linotype"/>
          <w:b/>
          <w:bCs/>
          <w:color w:val="000000"/>
        </w:rPr>
        <w:t>SUJETO OBLIGADO</w:t>
      </w:r>
      <w:r w:rsidRPr="00D42A51">
        <w:rPr>
          <w:rFonts w:ascii="Palatino Linotype" w:eastAsia="Palatino Linotype" w:hAnsi="Palatino Linotype" w:cs="Palatino Linotype"/>
          <w:color w:val="000000"/>
        </w:rPr>
        <w:t xml:space="preserve"> dio respuesta mediante un archivo denominado </w:t>
      </w:r>
      <w:r w:rsidRPr="00D42A51">
        <w:rPr>
          <w:rFonts w:ascii="Palatino Linotype" w:eastAsia="Palatino Linotype" w:hAnsi="Palatino Linotype" w:cs="Palatino Linotype"/>
          <w:b/>
          <w:bCs/>
          <w:i/>
          <w:iCs/>
          <w:color w:val="000000"/>
        </w:rPr>
        <w:t>R SOL 004-26.pdf</w:t>
      </w:r>
      <w:r w:rsidRPr="00D42A51">
        <w:rPr>
          <w:rFonts w:ascii="Palatino Linotype" w:eastAsia="Palatino Linotype" w:hAnsi="Palatino Linotype" w:cs="Palatino Linotype"/>
          <w:color w:val="000000"/>
        </w:rPr>
        <w:t>, que contiene dos oficios signados por la Titular de la Unidad de Transparencia y del Coordinador de Obra, mediante los cuales, de manera general, se informa al solicitante de un enlace de Internet, en donde se refiere, ya se encuentra publicada la información de interés del entonces solicitante.</w:t>
      </w:r>
    </w:p>
    <w:p w:rsidR="003D0A4D" w:rsidRPr="00D42A51" w:rsidRDefault="003D0A4D">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p>
    <w:p w:rsidR="003D0A4D" w:rsidRPr="00D42A51" w:rsidRDefault="00601292">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 xml:space="preserve">Inconforme con la respuesta emitida, el </w:t>
      </w:r>
      <w:r w:rsidRPr="00D42A51">
        <w:rPr>
          <w:rFonts w:ascii="Palatino Linotype" w:eastAsia="Palatino Linotype" w:hAnsi="Palatino Linotype" w:cs="Palatino Linotype"/>
          <w:b/>
          <w:bCs/>
          <w:color w:val="000000"/>
        </w:rPr>
        <w:t>veinte de febrero de dos mil veintiséis</w:t>
      </w:r>
      <w:r w:rsidRPr="00D42A51">
        <w:rPr>
          <w:rFonts w:ascii="Palatino Linotype" w:eastAsia="Palatino Linotype" w:hAnsi="Palatino Linotype" w:cs="Palatino Linotype"/>
          <w:color w:val="000000"/>
        </w:rPr>
        <w:t xml:space="preserve">, la parte </w:t>
      </w:r>
      <w:r w:rsidRPr="00D42A51">
        <w:rPr>
          <w:rFonts w:ascii="Palatino Linotype" w:eastAsia="Palatino Linotype" w:hAnsi="Palatino Linotype" w:cs="Palatino Linotype"/>
          <w:b/>
          <w:bCs/>
          <w:color w:val="000000"/>
        </w:rPr>
        <w:t>RECURRENTE</w:t>
      </w:r>
      <w:r w:rsidRPr="00D42A51">
        <w:rPr>
          <w:rFonts w:ascii="Palatino Linotype" w:eastAsia="Palatino Linotype" w:hAnsi="Palatino Linotype" w:cs="Palatino Linotype"/>
          <w:color w:val="000000"/>
        </w:rPr>
        <w:t xml:space="preserve"> interpuso su Recurso de Revisión, señalando como acto impugnado y razones o motivos de inconformidad, lo siguiente:</w:t>
      </w:r>
    </w:p>
    <w:p w:rsidR="003D0A4D" w:rsidRPr="00D42A51" w:rsidRDefault="003D0A4D">
      <w:pPr>
        <w:pBdr>
          <w:top w:val="nil"/>
          <w:left w:val="nil"/>
          <w:bottom w:val="nil"/>
          <w:right w:val="nil"/>
          <w:between w:val="nil"/>
        </w:pBdr>
        <w:spacing w:line="360" w:lineRule="auto"/>
        <w:jc w:val="both"/>
        <w:rPr>
          <w:rFonts w:ascii="Palatino Linotype" w:eastAsia="Palatino Linotype" w:hAnsi="Palatino Linotype" w:cs="Palatino Linotype"/>
          <w:i/>
          <w:iCs/>
          <w:color w:val="000000"/>
        </w:rPr>
      </w:pPr>
    </w:p>
    <w:p w:rsidR="003D0A4D" w:rsidRPr="00D42A51" w:rsidRDefault="00601292" w:rsidP="00D42A51">
      <w:pPr>
        <w:pStyle w:val="Prrafodelista"/>
        <w:numPr>
          <w:ilvl w:val="0"/>
          <w:numId w:val="8"/>
        </w:numPr>
        <w:pBdr>
          <w:top w:val="nil"/>
          <w:left w:val="nil"/>
          <w:bottom w:val="nil"/>
          <w:right w:val="nil"/>
          <w:between w:val="nil"/>
        </w:pBdr>
        <w:spacing w:line="360" w:lineRule="auto"/>
        <w:ind w:right="426"/>
        <w:jc w:val="both"/>
        <w:rPr>
          <w:rFonts w:ascii="Palatino Linotype" w:eastAsia="Palatino Linotype" w:hAnsi="Palatino Linotype" w:cs="Palatino Linotype"/>
          <w:b/>
          <w:bCs/>
          <w:color w:val="000000"/>
        </w:rPr>
      </w:pPr>
      <w:bookmarkStart w:id="1" w:name="_heading=h.36t493hvtmsf" w:colFirst="0" w:colLast="0"/>
      <w:bookmarkEnd w:id="1"/>
      <w:r w:rsidRPr="00D42A51">
        <w:rPr>
          <w:rFonts w:ascii="Palatino Linotype" w:eastAsia="Palatino Linotype" w:hAnsi="Palatino Linotype" w:cs="Palatino Linotype"/>
          <w:b/>
          <w:bCs/>
          <w:color w:val="000000"/>
        </w:rPr>
        <w:t>ACTO IMPUGNADO:</w:t>
      </w:r>
    </w:p>
    <w:p w:rsidR="003D0A4D" w:rsidRPr="00D42A51" w:rsidRDefault="00601292">
      <w:pPr>
        <w:pBdr>
          <w:top w:val="nil"/>
          <w:left w:val="nil"/>
          <w:bottom w:val="nil"/>
          <w:right w:val="nil"/>
          <w:between w:val="nil"/>
        </w:pBdr>
        <w:spacing w:line="360" w:lineRule="auto"/>
        <w:ind w:left="426" w:right="426"/>
        <w:jc w:val="both"/>
        <w:rPr>
          <w:rFonts w:ascii="Palatino Linotype" w:eastAsia="Palatino Linotype" w:hAnsi="Palatino Linotype" w:cs="Palatino Linotype"/>
          <w:i/>
          <w:iCs/>
          <w:color w:val="000000"/>
        </w:rPr>
      </w:pPr>
      <w:r w:rsidRPr="00D42A51">
        <w:rPr>
          <w:rFonts w:ascii="Palatino Linotype" w:eastAsia="Palatino Linotype" w:hAnsi="Palatino Linotype" w:cs="Palatino Linotype"/>
          <w:i/>
          <w:iCs/>
          <w:color w:val="000000"/>
        </w:rPr>
        <w:t>“Oficio número: 228C1501020100S/0108/2026, emitido por la Titular de la Unidad de Información, Planeación, Programación, y Evaluación y Titular de la Unidad de Trasparencia, del Instituto Mexiquense de la Infraestructura Física Educativa, mediante el cual trata de dar respuesta a la solicitud de información número 00004/CIEEM/IP/2026.”</w:t>
      </w:r>
    </w:p>
    <w:p w:rsidR="003D0A4D" w:rsidRPr="00D42A51" w:rsidRDefault="003D0A4D">
      <w:pPr>
        <w:pBdr>
          <w:top w:val="nil"/>
          <w:left w:val="nil"/>
          <w:bottom w:val="nil"/>
          <w:right w:val="nil"/>
          <w:between w:val="nil"/>
        </w:pBdr>
        <w:spacing w:line="360" w:lineRule="auto"/>
        <w:ind w:left="426" w:right="426"/>
        <w:jc w:val="both"/>
        <w:rPr>
          <w:rFonts w:ascii="Palatino Linotype" w:eastAsia="Palatino Linotype" w:hAnsi="Palatino Linotype" w:cs="Palatino Linotype"/>
          <w:i/>
          <w:iCs/>
          <w:color w:val="000000"/>
        </w:rPr>
      </w:pPr>
    </w:p>
    <w:p w:rsidR="003D0A4D" w:rsidRPr="00D42A51" w:rsidRDefault="00601292" w:rsidP="00D42A51">
      <w:pPr>
        <w:pStyle w:val="Prrafodelista"/>
        <w:numPr>
          <w:ilvl w:val="0"/>
          <w:numId w:val="8"/>
        </w:numPr>
        <w:pBdr>
          <w:top w:val="nil"/>
          <w:left w:val="nil"/>
          <w:bottom w:val="nil"/>
          <w:right w:val="nil"/>
          <w:between w:val="nil"/>
        </w:pBdr>
        <w:spacing w:line="360" w:lineRule="auto"/>
        <w:ind w:right="426"/>
        <w:jc w:val="both"/>
        <w:rPr>
          <w:rFonts w:ascii="Palatino Linotype" w:eastAsia="Palatino Linotype" w:hAnsi="Palatino Linotype" w:cs="Palatino Linotype"/>
          <w:b/>
          <w:bCs/>
          <w:color w:val="000000"/>
        </w:rPr>
      </w:pPr>
      <w:r w:rsidRPr="00D42A51">
        <w:rPr>
          <w:rFonts w:ascii="Palatino Linotype" w:eastAsia="Palatino Linotype" w:hAnsi="Palatino Linotype" w:cs="Palatino Linotype"/>
          <w:b/>
          <w:bCs/>
          <w:color w:val="000000"/>
        </w:rPr>
        <w:t>RAZONES O MOTIVOS DE LA INCONFORMIDAD</w:t>
      </w:r>
      <w:r w:rsidRPr="00D42A51">
        <w:rPr>
          <w:rFonts w:ascii="Palatino Linotype" w:eastAsia="Palatino Linotype" w:hAnsi="Palatino Linotype" w:cs="Palatino Linotype"/>
          <w:b/>
          <w:bCs/>
          <w:color w:val="000000"/>
        </w:rPr>
        <w:tab/>
      </w:r>
    </w:p>
    <w:p w:rsidR="003D0A4D" w:rsidRPr="00D42A51" w:rsidRDefault="00601292">
      <w:pPr>
        <w:pBdr>
          <w:top w:val="nil"/>
          <w:left w:val="nil"/>
          <w:bottom w:val="nil"/>
          <w:right w:val="nil"/>
          <w:between w:val="nil"/>
        </w:pBdr>
        <w:spacing w:line="360" w:lineRule="auto"/>
        <w:ind w:left="426" w:right="426"/>
        <w:jc w:val="both"/>
        <w:rPr>
          <w:rFonts w:ascii="Palatino Linotype" w:eastAsia="Palatino Linotype" w:hAnsi="Palatino Linotype" w:cs="Palatino Linotype"/>
          <w:i/>
          <w:iCs/>
          <w:color w:val="000000"/>
        </w:rPr>
      </w:pPr>
      <w:r w:rsidRPr="00D42A51">
        <w:rPr>
          <w:rFonts w:ascii="Palatino Linotype" w:eastAsia="Palatino Linotype" w:hAnsi="Palatino Linotype" w:cs="Palatino Linotype"/>
          <w:i/>
          <w:iCs/>
          <w:color w:val="000000"/>
        </w:rPr>
        <w:t xml:space="preserve">“La presente informidad resulta de la opacidad y obscuridad de la respuesta emitida por la Unidad de Trasparencia del Instituto Mexiquense de la Infraestructura Física Educativa, donde hace del conocimiento que la información solicitada por este C. Ciudadano se encuentra publicada en la plataforma IPOMEX 4.0 de ese sujeto obligado, lo anterior conforme al oficio signado por el titular de la Coordinación de Obra, mediante oficio número 228C1501020000L/284/2026. Siendo que, si bien es cierto, dicha plataforma contiene parte </w:t>
      </w:r>
      <w:r w:rsidRPr="00D42A51">
        <w:rPr>
          <w:rFonts w:ascii="Palatino Linotype" w:eastAsia="Palatino Linotype" w:hAnsi="Palatino Linotype" w:cs="Palatino Linotype"/>
          <w:i/>
          <w:iCs/>
          <w:color w:val="000000"/>
        </w:rPr>
        <w:lastRenderedPageBreak/>
        <w:t>de la información solicitada, también lo es que de dicha solicitud de información se requirió al sujeto obligado, que informara y detallara los contratos de obra pública FORMALIZADOS, luego entonces de la revisión realizada en dicha plataforma, de entre variada información, solo se aprecia como documento final el Acta de Fallo, siendo esta imprecisa e ineficaz, para dar respuesta a la solicitud de información solicitada por este C. Ciudadano, ya que como lo establece el Libro Decimo Segundo del Código Administrativo del Estado de México y su Reglamento, existen supuestos en los cuales, los contratos no pueden ser formalizados aun contando con una Acta de Fallo, por lo cual es de vital importancia recalcar al sujeto obligado, que expida un informe detallado de las Contratos de Obra Pública FORMALIZADOS, en el ejercicio 2025, que contenga como mínimo, nombre de la empresa contratista, monto contratado, origen del recurso o suficiencia presupuestal y descripción de la obra contratada. -”</w:t>
      </w:r>
    </w:p>
    <w:p w:rsidR="003D0A4D" w:rsidRPr="00D42A51" w:rsidRDefault="003D0A4D">
      <w:pPr>
        <w:pBdr>
          <w:top w:val="nil"/>
          <w:left w:val="nil"/>
          <w:bottom w:val="nil"/>
          <w:right w:val="nil"/>
          <w:between w:val="nil"/>
        </w:pBdr>
        <w:spacing w:line="360" w:lineRule="auto"/>
        <w:ind w:left="426" w:right="426"/>
        <w:jc w:val="both"/>
        <w:rPr>
          <w:rFonts w:ascii="Palatino Linotype" w:eastAsia="Palatino Linotype" w:hAnsi="Palatino Linotype" w:cs="Palatino Linotype"/>
          <w:i/>
          <w:iCs/>
          <w:color w:val="000000"/>
        </w:rPr>
      </w:pPr>
    </w:p>
    <w:p w:rsidR="003D0A4D" w:rsidRPr="00D42A51" w:rsidRDefault="00601292">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color w:val="000000"/>
        </w:rPr>
      </w:pPr>
      <w:r w:rsidRPr="00D42A51">
        <w:rPr>
          <w:rFonts w:ascii="Palatino Linotype" w:eastAsia="Palatino Linotype" w:hAnsi="Palatino Linotype" w:cs="Palatino Linotype"/>
          <w:color w:val="000000"/>
        </w:rPr>
        <w:t xml:space="preserve">La Comisionada Ponente con fundamento en lo dispuesto por el artículo 185 fracción II de la ley de la materia, a través del acuerdo de admisión de fecha </w:t>
      </w:r>
      <w:r w:rsidRPr="00D42A51">
        <w:rPr>
          <w:rFonts w:ascii="Palatino Linotype" w:eastAsia="Palatino Linotype" w:hAnsi="Palatino Linotype" w:cs="Palatino Linotype"/>
          <w:b/>
          <w:bCs/>
          <w:color w:val="000000"/>
        </w:rPr>
        <w:t>veintisiete de febrero dos mil veintiséis</w:t>
      </w:r>
      <w:r w:rsidRPr="00D42A51">
        <w:rPr>
          <w:rFonts w:ascii="Palatino Linotype" w:eastAsia="Palatino Linotype" w:hAnsi="Palatino Linotype" w:cs="Palatino Linotype"/>
          <w:color w:val="000000"/>
        </w:rPr>
        <w:t xml:space="preserve">, puso a disposición de las partes el expediente electrónico vía </w:t>
      </w:r>
      <w:r w:rsidRPr="00D42A51">
        <w:rPr>
          <w:rFonts w:ascii="Palatino Linotype" w:eastAsia="Palatino Linotype" w:hAnsi="Palatino Linotype" w:cs="Palatino Linotype"/>
          <w:b/>
          <w:bCs/>
          <w:color w:val="000000"/>
        </w:rPr>
        <w:t xml:space="preserve">SAIMEX </w:t>
      </w:r>
      <w:r w:rsidRPr="00D42A51">
        <w:rPr>
          <w:rFonts w:ascii="Palatino Linotype" w:eastAsia="Palatino Linotype" w:hAnsi="Palatino Linotype" w:cs="Palatino Linotype"/>
          <w:color w:val="000000"/>
        </w:rPr>
        <w:t xml:space="preserve">a efecto de que en un plazo máximo de siete días manifestaran lo que a su derecho conviniera, ofrecieran pruebas y alegatos según corresponda a los casos concretos, y el </w:t>
      </w:r>
      <w:r w:rsidRPr="00D42A51">
        <w:rPr>
          <w:rFonts w:ascii="Palatino Linotype" w:eastAsia="Palatino Linotype" w:hAnsi="Palatino Linotype" w:cs="Palatino Linotype"/>
          <w:b/>
          <w:bCs/>
          <w:color w:val="000000"/>
        </w:rPr>
        <w:t>SUJETO OBLIGADO</w:t>
      </w:r>
      <w:r w:rsidRPr="00D42A51">
        <w:rPr>
          <w:rFonts w:ascii="Palatino Linotype" w:eastAsia="Palatino Linotype" w:hAnsi="Palatino Linotype" w:cs="Palatino Linotype"/>
          <w:color w:val="000000"/>
        </w:rPr>
        <w:t xml:space="preserve"> presentará el Informe Justificado procedente.</w:t>
      </w:r>
    </w:p>
    <w:p w:rsidR="003D0A4D" w:rsidRPr="00D42A51" w:rsidRDefault="003D0A4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3D0A4D" w:rsidRPr="00D42A51" w:rsidRDefault="00601292">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 xml:space="preserve">El </w:t>
      </w:r>
      <w:r w:rsidRPr="00D42A51">
        <w:rPr>
          <w:rFonts w:ascii="Palatino Linotype" w:eastAsia="Palatino Linotype" w:hAnsi="Palatino Linotype" w:cs="Palatino Linotype"/>
          <w:b/>
          <w:bCs/>
          <w:color w:val="000000"/>
        </w:rPr>
        <w:t>SUJETO OBLIGADO</w:t>
      </w:r>
      <w:r w:rsidRPr="00D42A51">
        <w:rPr>
          <w:rFonts w:ascii="Palatino Linotype" w:eastAsia="Palatino Linotype" w:hAnsi="Palatino Linotype" w:cs="Palatino Linotype"/>
          <w:color w:val="000000"/>
        </w:rPr>
        <w:t xml:space="preserve"> en fecha tres de marzo del año en curso, rindió informe justificado mediante oficios, nuevamente suscritos por la Titular de la Unidad de Transparencia y el Coordinador de Obra y Servidor Público Habilitado, respectivamente. A </w:t>
      </w:r>
      <w:r w:rsidRPr="00D42A51">
        <w:rPr>
          <w:rFonts w:ascii="Palatino Linotype" w:eastAsia="Palatino Linotype" w:hAnsi="Palatino Linotype" w:cs="Palatino Linotype"/>
          <w:color w:val="000000"/>
        </w:rPr>
        <w:lastRenderedPageBreak/>
        <w:t xml:space="preserve">través de los cuales </w:t>
      </w:r>
      <w:r w:rsidRPr="00D42A51">
        <w:rPr>
          <w:rFonts w:ascii="Palatino Linotype" w:eastAsia="Palatino Linotype" w:hAnsi="Palatino Linotype" w:cs="Palatino Linotype"/>
          <w:i/>
          <w:iCs/>
          <w:color w:val="000000"/>
        </w:rPr>
        <w:t>grosso modo</w:t>
      </w:r>
      <w:r w:rsidRPr="00D42A51">
        <w:rPr>
          <w:rFonts w:ascii="Palatino Linotype" w:eastAsia="Palatino Linotype" w:hAnsi="Palatino Linotype" w:cs="Palatino Linotype"/>
          <w:color w:val="000000"/>
        </w:rPr>
        <w:t xml:space="preserve">, confirman su respuesta inicial, puntualizando al hoy recurrente que el enlace entregado contiene toda la información requerida en la solicitud, a saber: el nombre de la empresa contratista, el monto contratado, la descripción de la contratación y el origen del recurso de los contratos celebrados en el año 2025, datos que pueden ser localizados en los contratos de obra pública, de manera resumida en sus caratulas y en los diferentes rubros requisitados en dicha fracción; toda vez que a su decir, en las caratulas se encuentran el importe del contrato, la denominación de la obra, el origen de los recursos y el nombre del contratista. Por su parte el </w:t>
      </w:r>
      <w:r w:rsidRPr="00D42A51">
        <w:rPr>
          <w:rFonts w:ascii="Palatino Linotype" w:eastAsia="Palatino Linotype" w:hAnsi="Palatino Linotype" w:cs="Palatino Linotype"/>
          <w:b/>
          <w:bCs/>
          <w:color w:val="000000"/>
        </w:rPr>
        <w:t>RECURRENTE</w:t>
      </w:r>
      <w:r w:rsidRPr="00D42A51">
        <w:rPr>
          <w:rFonts w:ascii="Palatino Linotype" w:eastAsia="Palatino Linotype" w:hAnsi="Palatino Linotype" w:cs="Palatino Linotype"/>
          <w:color w:val="000000"/>
        </w:rPr>
        <w:t xml:space="preserve"> no realizó manifestaciones que a su derecho conviniera y asistiera.</w:t>
      </w:r>
    </w:p>
    <w:p w:rsidR="003D0A4D" w:rsidRPr="00D42A51" w:rsidRDefault="003D0A4D">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3D0A4D" w:rsidRPr="00D42A51" w:rsidRDefault="00601292">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 xml:space="preserve">El </w:t>
      </w:r>
      <w:r w:rsidRPr="00D42A51">
        <w:rPr>
          <w:rFonts w:ascii="Palatino Linotype" w:eastAsia="Palatino Linotype" w:hAnsi="Palatino Linotype" w:cs="Palatino Linotype"/>
          <w:b/>
          <w:bCs/>
          <w:color w:val="000000"/>
        </w:rPr>
        <w:t>diez de junio del año en curso</w:t>
      </w:r>
      <w:r w:rsidRPr="00D42A51">
        <w:rPr>
          <w:rFonts w:ascii="Palatino Linotype" w:eastAsia="Palatino Linotype" w:hAnsi="Palatino Linotype" w:cs="Palatino Linotype"/>
          <w:color w:val="000000"/>
        </w:rPr>
        <w:t>, con fundamento en el artículo 181, tercer párrafo, de la Ley de Transparencia y Acceso a la Información Pública del Estado de México y Municipios se notificó que el plazo de treinta días para resolver el Recurso de Revisión sería ampliado por un periodo de quince días hábiles adicionales.</w:t>
      </w:r>
    </w:p>
    <w:p w:rsidR="003D0A4D" w:rsidRPr="00D42A51" w:rsidRDefault="003D0A4D">
      <w:pPr>
        <w:pBdr>
          <w:top w:val="nil"/>
          <w:left w:val="nil"/>
          <w:bottom w:val="nil"/>
          <w:right w:val="nil"/>
          <w:between w:val="nil"/>
        </w:pBdr>
        <w:ind w:left="720"/>
        <w:rPr>
          <w:rFonts w:ascii="Palatino Linotype" w:eastAsia="Palatino Linotype" w:hAnsi="Palatino Linotype" w:cs="Palatino Linotype"/>
          <w:color w:val="000000"/>
        </w:rPr>
      </w:pPr>
    </w:p>
    <w:p w:rsidR="003D0A4D" w:rsidRPr="00D42A51" w:rsidRDefault="00601292">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Este Organismo Garante no pasa por alto explicar que la dilación en la resolución del presente asunto encuentra su justificación en que, el alto número de recursos de revisión recibidos ha incrementado el número de medios de impugnación que deben resolverse por este instituto, circunstancia atípica que ha rebasado las capacidades técnicas y humanas del personal encargado de la elaboración de resoluciones a dichos medios de impugnación.</w:t>
      </w:r>
    </w:p>
    <w:p w:rsidR="003D0A4D" w:rsidRPr="00D42A51" w:rsidRDefault="003D0A4D">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3D0A4D" w:rsidRPr="00D42A51" w:rsidRDefault="00601292">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 xml:space="preserve">Seguidamente al no existir pendientes o diligencia por desahogar, mediante Acuerdo de día </w:t>
      </w:r>
      <w:r w:rsidRPr="00D42A51">
        <w:rPr>
          <w:rFonts w:ascii="Palatino Linotype" w:eastAsia="Palatino Linotype" w:hAnsi="Palatino Linotype" w:cs="Palatino Linotype"/>
          <w:b/>
          <w:bCs/>
          <w:color w:val="000000"/>
        </w:rPr>
        <w:t>dieciséis de junio de dos mil veintiséis</w:t>
      </w:r>
      <w:r w:rsidRPr="00D42A51">
        <w:rPr>
          <w:rFonts w:ascii="Palatino Linotype" w:eastAsia="Palatino Linotype" w:hAnsi="Palatino Linotype" w:cs="Palatino Linotype"/>
          <w:color w:val="000000"/>
        </w:rPr>
        <w:t xml:space="preserve"> se decretó el cierre de instrucción, por lo que: </w:t>
      </w:r>
    </w:p>
    <w:p w:rsidR="003D0A4D" w:rsidRPr="00D42A51" w:rsidRDefault="003D0A4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3D0A4D" w:rsidRPr="00D42A51" w:rsidRDefault="00601292">
      <w:pPr>
        <w:pStyle w:val="Ttulo1"/>
        <w:spacing w:before="0" w:line="360" w:lineRule="auto"/>
        <w:jc w:val="center"/>
        <w:rPr>
          <w:rFonts w:ascii="Palatino Linotype" w:eastAsia="Palatino Linotype" w:hAnsi="Palatino Linotype" w:cs="Palatino Linotype"/>
          <w:b/>
          <w:bCs/>
          <w:color w:val="000000"/>
          <w:sz w:val="24"/>
          <w:szCs w:val="24"/>
        </w:rPr>
      </w:pPr>
      <w:bookmarkStart w:id="2" w:name="_heading=h.tcya5awiiue6" w:colFirst="0" w:colLast="0"/>
      <w:bookmarkEnd w:id="2"/>
      <w:r w:rsidRPr="00D42A51">
        <w:rPr>
          <w:rFonts w:ascii="Palatino Linotype" w:eastAsia="Palatino Linotype" w:hAnsi="Palatino Linotype" w:cs="Palatino Linotype"/>
          <w:b/>
          <w:bCs/>
          <w:color w:val="000000"/>
          <w:sz w:val="24"/>
          <w:szCs w:val="24"/>
        </w:rPr>
        <w:lastRenderedPageBreak/>
        <w:t>C</w:t>
      </w:r>
      <w:r w:rsidR="00D42A51">
        <w:rPr>
          <w:rFonts w:ascii="Palatino Linotype" w:eastAsia="Palatino Linotype" w:hAnsi="Palatino Linotype" w:cs="Palatino Linotype"/>
          <w:b/>
          <w:bCs/>
          <w:color w:val="000000"/>
          <w:sz w:val="24"/>
          <w:szCs w:val="24"/>
        </w:rPr>
        <w:t xml:space="preserve"> </w:t>
      </w:r>
      <w:r w:rsidRPr="00D42A51">
        <w:rPr>
          <w:rFonts w:ascii="Palatino Linotype" w:eastAsia="Palatino Linotype" w:hAnsi="Palatino Linotype" w:cs="Palatino Linotype"/>
          <w:b/>
          <w:bCs/>
          <w:color w:val="000000"/>
          <w:sz w:val="24"/>
          <w:szCs w:val="24"/>
        </w:rPr>
        <w:t>O</w:t>
      </w:r>
      <w:r w:rsidR="00D42A51">
        <w:rPr>
          <w:rFonts w:ascii="Palatino Linotype" w:eastAsia="Palatino Linotype" w:hAnsi="Palatino Linotype" w:cs="Palatino Linotype"/>
          <w:b/>
          <w:bCs/>
          <w:color w:val="000000"/>
          <w:sz w:val="24"/>
          <w:szCs w:val="24"/>
        </w:rPr>
        <w:t xml:space="preserve"> </w:t>
      </w:r>
      <w:r w:rsidRPr="00D42A51">
        <w:rPr>
          <w:rFonts w:ascii="Palatino Linotype" w:eastAsia="Palatino Linotype" w:hAnsi="Palatino Linotype" w:cs="Palatino Linotype"/>
          <w:b/>
          <w:bCs/>
          <w:color w:val="000000"/>
          <w:sz w:val="24"/>
          <w:szCs w:val="24"/>
        </w:rPr>
        <w:t>N</w:t>
      </w:r>
      <w:r w:rsidR="00D42A51">
        <w:rPr>
          <w:rFonts w:ascii="Palatino Linotype" w:eastAsia="Palatino Linotype" w:hAnsi="Palatino Linotype" w:cs="Palatino Linotype"/>
          <w:b/>
          <w:bCs/>
          <w:color w:val="000000"/>
          <w:sz w:val="24"/>
          <w:szCs w:val="24"/>
        </w:rPr>
        <w:t xml:space="preserve"> </w:t>
      </w:r>
      <w:r w:rsidRPr="00D42A51">
        <w:rPr>
          <w:rFonts w:ascii="Palatino Linotype" w:eastAsia="Palatino Linotype" w:hAnsi="Palatino Linotype" w:cs="Palatino Linotype"/>
          <w:b/>
          <w:bCs/>
          <w:color w:val="000000"/>
          <w:sz w:val="24"/>
          <w:szCs w:val="24"/>
        </w:rPr>
        <w:t>S</w:t>
      </w:r>
      <w:r w:rsidR="00D42A51">
        <w:rPr>
          <w:rFonts w:ascii="Palatino Linotype" w:eastAsia="Palatino Linotype" w:hAnsi="Palatino Linotype" w:cs="Palatino Linotype"/>
          <w:b/>
          <w:bCs/>
          <w:color w:val="000000"/>
          <w:sz w:val="24"/>
          <w:szCs w:val="24"/>
        </w:rPr>
        <w:t xml:space="preserve"> </w:t>
      </w:r>
      <w:r w:rsidRPr="00D42A51">
        <w:rPr>
          <w:rFonts w:ascii="Palatino Linotype" w:eastAsia="Palatino Linotype" w:hAnsi="Palatino Linotype" w:cs="Palatino Linotype"/>
          <w:b/>
          <w:bCs/>
          <w:color w:val="000000"/>
          <w:sz w:val="24"/>
          <w:szCs w:val="24"/>
        </w:rPr>
        <w:t>I</w:t>
      </w:r>
      <w:r w:rsidR="00D42A51">
        <w:rPr>
          <w:rFonts w:ascii="Palatino Linotype" w:eastAsia="Palatino Linotype" w:hAnsi="Palatino Linotype" w:cs="Palatino Linotype"/>
          <w:b/>
          <w:bCs/>
          <w:color w:val="000000"/>
          <w:sz w:val="24"/>
          <w:szCs w:val="24"/>
        </w:rPr>
        <w:t xml:space="preserve"> </w:t>
      </w:r>
      <w:r w:rsidRPr="00D42A51">
        <w:rPr>
          <w:rFonts w:ascii="Palatino Linotype" w:eastAsia="Palatino Linotype" w:hAnsi="Palatino Linotype" w:cs="Palatino Linotype"/>
          <w:b/>
          <w:bCs/>
          <w:color w:val="000000"/>
          <w:sz w:val="24"/>
          <w:szCs w:val="24"/>
        </w:rPr>
        <w:t>D</w:t>
      </w:r>
      <w:r w:rsidR="00D42A51">
        <w:rPr>
          <w:rFonts w:ascii="Palatino Linotype" w:eastAsia="Palatino Linotype" w:hAnsi="Palatino Linotype" w:cs="Palatino Linotype"/>
          <w:b/>
          <w:bCs/>
          <w:color w:val="000000"/>
          <w:sz w:val="24"/>
          <w:szCs w:val="24"/>
        </w:rPr>
        <w:t xml:space="preserve"> </w:t>
      </w:r>
      <w:r w:rsidRPr="00D42A51">
        <w:rPr>
          <w:rFonts w:ascii="Palatino Linotype" w:eastAsia="Palatino Linotype" w:hAnsi="Palatino Linotype" w:cs="Palatino Linotype"/>
          <w:b/>
          <w:bCs/>
          <w:color w:val="000000"/>
          <w:sz w:val="24"/>
          <w:szCs w:val="24"/>
        </w:rPr>
        <w:t>E</w:t>
      </w:r>
      <w:r w:rsidR="00D42A51">
        <w:rPr>
          <w:rFonts w:ascii="Palatino Linotype" w:eastAsia="Palatino Linotype" w:hAnsi="Palatino Linotype" w:cs="Palatino Linotype"/>
          <w:b/>
          <w:bCs/>
          <w:color w:val="000000"/>
          <w:sz w:val="24"/>
          <w:szCs w:val="24"/>
        </w:rPr>
        <w:t xml:space="preserve"> </w:t>
      </w:r>
      <w:r w:rsidRPr="00D42A51">
        <w:rPr>
          <w:rFonts w:ascii="Palatino Linotype" w:eastAsia="Palatino Linotype" w:hAnsi="Palatino Linotype" w:cs="Palatino Linotype"/>
          <w:b/>
          <w:bCs/>
          <w:color w:val="000000"/>
          <w:sz w:val="24"/>
          <w:szCs w:val="24"/>
        </w:rPr>
        <w:t>R</w:t>
      </w:r>
      <w:r w:rsidR="00D42A51">
        <w:rPr>
          <w:rFonts w:ascii="Palatino Linotype" w:eastAsia="Palatino Linotype" w:hAnsi="Palatino Linotype" w:cs="Palatino Linotype"/>
          <w:b/>
          <w:bCs/>
          <w:color w:val="000000"/>
          <w:sz w:val="24"/>
          <w:szCs w:val="24"/>
        </w:rPr>
        <w:t xml:space="preserve"> </w:t>
      </w:r>
      <w:r w:rsidRPr="00D42A51">
        <w:rPr>
          <w:rFonts w:ascii="Palatino Linotype" w:eastAsia="Palatino Linotype" w:hAnsi="Palatino Linotype" w:cs="Palatino Linotype"/>
          <w:b/>
          <w:bCs/>
          <w:color w:val="000000"/>
          <w:sz w:val="24"/>
          <w:szCs w:val="24"/>
        </w:rPr>
        <w:t>A</w:t>
      </w:r>
      <w:r w:rsidR="00D42A51">
        <w:rPr>
          <w:rFonts w:ascii="Palatino Linotype" w:eastAsia="Palatino Linotype" w:hAnsi="Palatino Linotype" w:cs="Palatino Linotype"/>
          <w:b/>
          <w:bCs/>
          <w:color w:val="000000"/>
          <w:sz w:val="24"/>
          <w:szCs w:val="24"/>
        </w:rPr>
        <w:t xml:space="preserve"> </w:t>
      </w:r>
      <w:r w:rsidRPr="00D42A51">
        <w:rPr>
          <w:rFonts w:ascii="Palatino Linotype" w:eastAsia="Palatino Linotype" w:hAnsi="Palatino Linotype" w:cs="Palatino Linotype"/>
          <w:b/>
          <w:bCs/>
          <w:color w:val="000000"/>
          <w:sz w:val="24"/>
          <w:szCs w:val="24"/>
        </w:rPr>
        <w:t>N</w:t>
      </w:r>
      <w:r w:rsidR="00D42A51">
        <w:rPr>
          <w:rFonts w:ascii="Palatino Linotype" w:eastAsia="Palatino Linotype" w:hAnsi="Palatino Linotype" w:cs="Palatino Linotype"/>
          <w:b/>
          <w:bCs/>
          <w:color w:val="000000"/>
          <w:sz w:val="24"/>
          <w:szCs w:val="24"/>
        </w:rPr>
        <w:t xml:space="preserve"> </w:t>
      </w:r>
      <w:r w:rsidRPr="00D42A51">
        <w:rPr>
          <w:rFonts w:ascii="Palatino Linotype" w:eastAsia="Palatino Linotype" w:hAnsi="Palatino Linotype" w:cs="Palatino Linotype"/>
          <w:b/>
          <w:bCs/>
          <w:color w:val="000000"/>
          <w:sz w:val="24"/>
          <w:szCs w:val="24"/>
        </w:rPr>
        <w:t>D</w:t>
      </w:r>
      <w:r w:rsidR="00D42A51">
        <w:rPr>
          <w:rFonts w:ascii="Palatino Linotype" w:eastAsia="Palatino Linotype" w:hAnsi="Palatino Linotype" w:cs="Palatino Linotype"/>
          <w:b/>
          <w:bCs/>
          <w:color w:val="000000"/>
          <w:sz w:val="24"/>
          <w:szCs w:val="24"/>
        </w:rPr>
        <w:t xml:space="preserve"> </w:t>
      </w:r>
      <w:r w:rsidRPr="00D42A51">
        <w:rPr>
          <w:rFonts w:ascii="Palatino Linotype" w:eastAsia="Palatino Linotype" w:hAnsi="Palatino Linotype" w:cs="Palatino Linotype"/>
          <w:b/>
          <w:bCs/>
          <w:color w:val="000000"/>
          <w:sz w:val="24"/>
          <w:szCs w:val="24"/>
        </w:rPr>
        <w:t>O</w:t>
      </w:r>
    </w:p>
    <w:p w:rsidR="003D0A4D" w:rsidRPr="00D42A51" w:rsidRDefault="003D0A4D">
      <w:pPr>
        <w:pStyle w:val="Ttulo2"/>
        <w:spacing w:before="0" w:line="360" w:lineRule="auto"/>
        <w:rPr>
          <w:rFonts w:ascii="Palatino Linotype" w:eastAsia="Palatino Linotype" w:hAnsi="Palatino Linotype" w:cs="Palatino Linotype"/>
          <w:b/>
          <w:bCs/>
          <w:color w:val="000000"/>
          <w:sz w:val="24"/>
          <w:szCs w:val="24"/>
        </w:rPr>
      </w:pPr>
      <w:bookmarkStart w:id="3" w:name="_heading=h.6fjz8m9kokd" w:colFirst="0" w:colLast="0"/>
      <w:bookmarkEnd w:id="3"/>
    </w:p>
    <w:p w:rsidR="003D0A4D" w:rsidRPr="00D42A51" w:rsidRDefault="00601292">
      <w:pPr>
        <w:pStyle w:val="Ttulo2"/>
        <w:spacing w:before="0" w:line="360" w:lineRule="auto"/>
        <w:rPr>
          <w:rFonts w:ascii="Palatino Linotype" w:eastAsia="Palatino Linotype" w:hAnsi="Palatino Linotype" w:cs="Palatino Linotype"/>
          <w:b/>
          <w:bCs/>
          <w:color w:val="000000"/>
          <w:sz w:val="24"/>
          <w:szCs w:val="24"/>
        </w:rPr>
      </w:pPr>
      <w:r w:rsidRPr="00D42A51">
        <w:rPr>
          <w:rFonts w:ascii="Palatino Linotype" w:eastAsia="Palatino Linotype" w:hAnsi="Palatino Linotype" w:cs="Palatino Linotype"/>
          <w:b/>
          <w:bCs/>
          <w:color w:val="000000"/>
          <w:sz w:val="24"/>
          <w:szCs w:val="24"/>
        </w:rPr>
        <w:t>PRIMERO. De la competencia</w:t>
      </w:r>
    </w:p>
    <w:p w:rsidR="003D0A4D" w:rsidRPr="00D42A51" w:rsidRDefault="00601292">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3D0A4D" w:rsidRPr="00D42A51" w:rsidRDefault="003D0A4D">
      <w:pPr>
        <w:spacing w:line="360" w:lineRule="auto"/>
        <w:jc w:val="both"/>
        <w:rPr>
          <w:rFonts w:ascii="Palatino Linotype" w:eastAsia="Palatino Linotype" w:hAnsi="Palatino Linotype" w:cs="Palatino Linotype"/>
          <w:color w:val="000000"/>
        </w:rPr>
      </w:pPr>
    </w:p>
    <w:p w:rsidR="003D0A4D" w:rsidRPr="00D42A51" w:rsidRDefault="00601292">
      <w:pPr>
        <w:spacing w:line="360" w:lineRule="auto"/>
        <w:jc w:val="both"/>
        <w:rPr>
          <w:rFonts w:ascii="Palatino Linotype" w:eastAsia="Palatino Linotype" w:hAnsi="Palatino Linotype" w:cs="Palatino Linotype"/>
          <w:b/>
          <w:bCs/>
        </w:rPr>
      </w:pPr>
      <w:bookmarkStart w:id="4" w:name="_heading=h.825vb5e98sub" w:colFirst="0" w:colLast="0"/>
      <w:bookmarkEnd w:id="4"/>
      <w:r w:rsidRPr="00D42A51">
        <w:rPr>
          <w:rFonts w:ascii="Palatino Linotype" w:eastAsia="Palatino Linotype" w:hAnsi="Palatino Linotype" w:cs="Palatino Linotype"/>
          <w:color w:val="000000"/>
        </w:rPr>
        <w:t xml:space="preserve"> </w:t>
      </w:r>
      <w:r w:rsidRPr="00D42A51">
        <w:rPr>
          <w:rFonts w:ascii="Palatino Linotype" w:eastAsia="Palatino Linotype" w:hAnsi="Palatino Linotype" w:cs="Palatino Linotype"/>
          <w:b/>
          <w:bCs/>
        </w:rPr>
        <w:t>SEGUNDO. De la oportunidad y procedencia.</w:t>
      </w:r>
    </w:p>
    <w:p w:rsidR="003D0A4D" w:rsidRPr="00D42A51" w:rsidRDefault="00601292">
      <w:pPr>
        <w:numPr>
          <w:ilvl w:val="0"/>
          <w:numId w:val="1"/>
        </w:numPr>
        <w:spacing w:line="360" w:lineRule="auto"/>
        <w:ind w:left="0" w:firstLine="0"/>
        <w:jc w:val="both"/>
        <w:rPr>
          <w:rFonts w:ascii="Palatino Linotype" w:eastAsia="Palatino Linotype" w:hAnsi="Palatino Linotype" w:cs="Palatino Linotype"/>
        </w:rPr>
      </w:pPr>
      <w:r w:rsidRPr="00D42A51">
        <w:rPr>
          <w:rFonts w:ascii="Palatino Linotype" w:eastAsia="Palatino Linotype" w:hAnsi="Palatino Linotype" w:cs="Palatino Linotype"/>
        </w:rPr>
        <w:t xml:space="preserve">Este Órgano Garante considera que el medio de impugnación reúne los requisitos de procedencia </w:t>
      </w:r>
      <w:r w:rsidRPr="00D42A51">
        <w:rPr>
          <w:rFonts w:ascii="Palatino Linotype" w:eastAsia="Palatino Linotype" w:hAnsi="Palatino Linotype" w:cs="Palatino Linotype"/>
          <w:color w:val="000000"/>
        </w:rPr>
        <w:t xml:space="preserve">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w:t>
      </w:r>
      <w:r w:rsidRPr="00D42A51">
        <w:rPr>
          <w:rFonts w:ascii="Palatino Linotype" w:eastAsia="Palatino Linotype" w:hAnsi="Palatino Linotype" w:cs="Palatino Linotype"/>
          <w:b/>
          <w:bCs/>
          <w:color w:val="000000"/>
        </w:rPr>
        <w:t>LA RECURRENTE</w:t>
      </w:r>
      <w:r w:rsidRPr="00D42A51">
        <w:rPr>
          <w:rFonts w:ascii="Palatino Linotype" w:eastAsia="Palatino Linotype" w:hAnsi="Palatino Linotype" w:cs="Palatino Linotype"/>
          <w:color w:val="000000"/>
        </w:rPr>
        <w:t xml:space="preserve"> ante otra instancia.</w:t>
      </w:r>
    </w:p>
    <w:p w:rsidR="003D0A4D" w:rsidRPr="00D42A51" w:rsidRDefault="003D0A4D">
      <w:pPr>
        <w:spacing w:line="360" w:lineRule="auto"/>
        <w:jc w:val="both"/>
        <w:rPr>
          <w:rFonts w:ascii="Palatino Linotype" w:eastAsia="Palatino Linotype" w:hAnsi="Palatino Linotype" w:cs="Palatino Linotype"/>
        </w:rPr>
      </w:pPr>
    </w:p>
    <w:p w:rsidR="003D0A4D" w:rsidRPr="00D42A51" w:rsidRDefault="00601292">
      <w:pPr>
        <w:numPr>
          <w:ilvl w:val="0"/>
          <w:numId w:val="1"/>
        </w:numPr>
        <w:spacing w:line="360" w:lineRule="auto"/>
        <w:ind w:left="0" w:firstLine="0"/>
        <w:jc w:val="both"/>
        <w:rPr>
          <w:rFonts w:ascii="Palatino Linotype" w:eastAsia="Palatino Linotype" w:hAnsi="Palatino Linotype" w:cs="Palatino Linotype"/>
        </w:rPr>
      </w:pPr>
      <w:r w:rsidRPr="00D42A51">
        <w:rPr>
          <w:rFonts w:ascii="Palatino Linotype" w:eastAsia="Palatino Linotype" w:hAnsi="Palatino Linotype" w:cs="Palatino Linotype"/>
        </w:rPr>
        <w:t xml:space="preserve">Por otro lado, es de suma importancia señalar que la parte recurrente no proporciona un nombre o datos de identificación como se advierte en el detalle de seguimiento del SAIMEX, no obstante lo anterior, no proporcionar el nombre completo no es motivo para </w:t>
      </w:r>
      <w:r w:rsidRPr="00D42A51">
        <w:rPr>
          <w:rFonts w:ascii="Palatino Linotype" w:eastAsia="Palatino Linotype" w:hAnsi="Palatino Linotype" w:cs="Palatino Linotype"/>
        </w:rPr>
        <w:lastRenderedPageBreak/>
        <w:t>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3D0A4D" w:rsidRDefault="00601292">
      <w:pPr>
        <w:spacing w:line="360" w:lineRule="auto"/>
        <w:ind w:left="567" w:right="567"/>
        <w:jc w:val="both"/>
        <w:rPr>
          <w:rFonts w:ascii="Palatino Linotype" w:eastAsia="Palatino Linotype" w:hAnsi="Palatino Linotype" w:cs="Palatino Linotype"/>
          <w:i/>
          <w:iCs/>
        </w:rPr>
      </w:pPr>
      <w:r w:rsidRPr="00D42A51">
        <w:rPr>
          <w:rFonts w:ascii="Palatino Linotype" w:eastAsia="Palatino Linotype" w:hAnsi="Palatino Linotype" w:cs="Palatino Linotype"/>
          <w:i/>
          <w:iCs/>
        </w:rPr>
        <w:t>"</w:t>
      </w:r>
      <w:r w:rsidRPr="00D42A51">
        <w:rPr>
          <w:rFonts w:ascii="Palatino Linotype" w:eastAsia="Palatino Linotype" w:hAnsi="Palatino Linotype" w:cs="Palatino Linotype"/>
          <w:b/>
          <w:bCs/>
          <w:i/>
          <w:iCs/>
        </w:rPr>
        <w:t>Las solicitudes anónimas</w:t>
      </w:r>
      <w:r w:rsidRPr="00D42A51">
        <w:rPr>
          <w:rFonts w:ascii="Palatino Linotype" w:eastAsia="Palatino Linotype" w:hAnsi="Palatino Linotype" w:cs="Palatino Linotype"/>
          <w:i/>
          <w:iCs/>
        </w:rPr>
        <w:t xml:space="preserve">, con nombre incompleto o seudónimo </w:t>
      </w:r>
      <w:r w:rsidRPr="00D42A51">
        <w:rPr>
          <w:rFonts w:ascii="Palatino Linotype" w:eastAsia="Palatino Linotype" w:hAnsi="Palatino Linotype" w:cs="Palatino Linotype"/>
          <w:b/>
          <w:bCs/>
          <w:i/>
          <w:iCs/>
        </w:rPr>
        <w:t>serán procedentes para su trámite por parte del sujeto obligado ante quien se presente</w:t>
      </w:r>
      <w:r w:rsidRPr="00D42A51">
        <w:rPr>
          <w:rFonts w:ascii="Palatino Linotype" w:eastAsia="Palatino Linotype" w:hAnsi="Palatino Linotype" w:cs="Palatino Linotype"/>
          <w:i/>
          <w:iCs/>
        </w:rPr>
        <w:t>. No podrá requerirse información adicional con motivo del nombre proporcionado por el solicitante."</w:t>
      </w:r>
    </w:p>
    <w:p w:rsidR="00D42A51" w:rsidRPr="00D42A51" w:rsidRDefault="00D42A51">
      <w:pPr>
        <w:spacing w:line="360" w:lineRule="auto"/>
        <w:ind w:left="567" w:right="567"/>
        <w:jc w:val="both"/>
        <w:rPr>
          <w:rFonts w:ascii="Palatino Linotype" w:eastAsia="Palatino Linotype" w:hAnsi="Palatino Linotype" w:cs="Palatino Linotype"/>
          <w:i/>
          <w:iCs/>
        </w:rPr>
      </w:pPr>
    </w:p>
    <w:p w:rsidR="003D0A4D" w:rsidRPr="00D42A51" w:rsidRDefault="00601292">
      <w:pPr>
        <w:numPr>
          <w:ilvl w:val="0"/>
          <w:numId w:val="1"/>
        </w:numPr>
        <w:spacing w:line="360" w:lineRule="auto"/>
        <w:ind w:left="0" w:firstLine="0"/>
        <w:jc w:val="both"/>
        <w:rPr>
          <w:rFonts w:ascii="Palatino Linotype" w:eastAsia="Palatino Linotype" w:hAnsi="Palatino Linotype" w:cs="Palatino Linotype"/>
        </w:rPr>
      </w:pPr>
      <w:r w:rsidRPr="00D42A51">
        <w:rPr>
          <w:rFonts w:ascii="Palatino Linotype" w:eastAsia="Palatino Linotype" w:hAnsi="Palatino Linotype" w:cs="Palatino Linotype"/>
        </w:rPr>
        <w:t>Finalmente, el escrito contiene las formalidades previstas por el artículo 180 último párrafo de la citada Ley de la materia, por lo que es procedente que este Instituto conozca y resuelva el presente Recurso.</w:t>
      </w:r>
    </w:p>
    <w:p w:rsidR="003D0A4D" w:rsidRPr="00D42A51" w:rsidRDefault="003D0A4D">
      <w:pPr>
        <w:spacing w:line="360" w:lineRule="auto"/>
        <w:jc w:val="both"/>
        <w:rPr>
          <w:rFonts w:ascii="Palatino Linotype" w:eastAsia="Palatino Linotype" w:hAnsi="Palatino Linotype" w:cs="Palatino Linotype"/>
        </w:rPr>
      </w:pPr>
    </w:p>
    <w:p w:rsidR="003D0A4D" w:rsidRPr="00D42A51" w:rsidRDefault="00601292">
      <w:pPr>
        <w:pStyle w:val="Ttulo2"/>
        <w:spacing w:before="0" w:line="360" w:lineRule="auto"/>
        <w:rPr>
          <w:rFonts w:ascii="Palatino Linotype" w:eastAsia="Palatino Linotype" w:hAnsi="Palatino Linotype" w:cs="Palatino Linotype"/>
          <w:b/>
          <w:bCs/>
          <w:color w:val="000000"/>
          <w:sz w:val="24"/>
          <w:szCs w:val="24"/>
        </w:rPr>
      </w:pPr>
      <w:bookmarkStart w:id="5" w:name="_heading=h.ugwdtydpmi6h" w:colFirst="0" w:colLast="0"/>
      <w:bookmarkEnd w:id="5"/>
      <w:r w:rsidRPr="00D42A51">
        <w:rPr>
          <w:rFonts w:ascii="Palatino Linotype" w:eastAsia="Palatino Linotype" w:hAnsi="Palatino Linotype" w:cs="Palatino Linotype"/>
          <w:b/>
          <w:bCs/>
          <w:color w:val="000000"/>
          <w:sz w:val="24"/>
          <w:szCs w:val="24"/>
        </w:rPr>
        <w:t>TERCERO. Del planteamiento de la</w:t>
      </w:r>
      <w:r w:rsidRPr="00D42A51">
        <w:rPr>
          <w:rFonts w:ascii="Palatino Linotype" w:eastAsia="Palatino Linotype" w:hAnsi="Palatino Linotype" w:cs="Palatino Linotype"/>
          <w:b/>
          <w:bCs/>
          <w:i/>
          <w:iCs/>
          <w:color w:val="000000"/>
          <w:sz w:val="24"/>
          <w:szCs w:val="24"/>
        </w:rPr>
        <w:t xml:space="preserve"> Litis</w:t>
      </w:r>
    </w:p>
    <w:p w:rsidR="003D0A4D" w:rsidRPr="00D42A51" w:rsidRDefault="00601292">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Se solicitó tener acceso, a la información que a continuación se desagrega:</w:t>
      </w:r>
    </w:p>
    <w:p w:rsidR="003D0A4D" w:rsidRPr="00D42A51" w:rsidRDefault="00601292">
      <w:pPr>
        <w:numPr>
          <w:ilvl w:val="0"/>
          <w:numId w:val="4"/>
        </w:numPr>
        <w:pBdr>
          <w:top w:val="nil"/>
          <w:left w:val="nil"/>
          <w:bottom w:val="nil"/>
          <w:right w:val="nil"/>
          <w:between w:val="nil"/>
        </w:pBdr>
        <w:spacing w:line="360" w:lineRule="auto"/>
        <w:ind w:left="851" w:hanging="357"/>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Los contratos celebrados, detallando el nombre la empresa contratista, monto contratado, descripción de la contratación y origen del recurso con el cual se realizó la contratación, del Ejercicio Fiscal 2025</w:t>
      </w:r>
    </w:p>
    <w:p w:rsidR="003D0A4D" w:rsidRPr="00D42A51" w:rsidRDefault="003D0A4D">
      <w:pPr>
        <w:pBdr>
          <w:top w:val="nil"/>
          <w:left w:val="nil"/>
          <w:bottom w:val="nil"/>
          <w:right w:val="nil"/>
          <w:between w:val="nil"/>
        </w:pBdr>
        <w:spacing w:line="360" w:lineRule="auto"/>
        <w:ind w:left="778" w:right="851"/>
        <w:jc w:val="both"/>
        <w:rPr>
          <w:rFonts w:ascii="Palatino Linotype" w:eastAsia="Palatino Linotype" w:hAnsi="Palatino Linotype" w:cs="Palatino Linotype"/>
          <w:b/>
          <w:bCs/>
          <w:color w:val="000000"/>
        </w:rPr>
      </w:pPr>
    </w:p>
    <w:p w:rsidR="003D0A4D" w:rsidRPr="00D42A51" w:rsidRDefault="00601292">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 xml:space="preserve">En respuesta, el </w:t>
      </w:r>
      <w:r w:rsidRPr="00D42A51">
        <w:rPr>
          <w:rFonts w:ascii="Palatino Linotype" w:eastAsia="Palatino Linotype" w:hAnsi="Palatino Linotype" w:cs="Palatino Linotype"/>
          <w:b/>
          <w:bCs/>
          <w:color w:val="000000"/>
        </w:rPr>
        <w:t xml:space="preserve">SUJETO OBLIGADO </w:t>
      </w:r>
      <w:r w:rsidRPr="00D42A51">
        <w:rPr>
          <w:rFonts w:ascii="Palatino Linotype" w:eastAsia="Palatino Linotype" w:hAnsi="Palatino Linotype" w:cs="Palatino Linotype"/>
          <w:color w:val="000000"/>
        </w:rPr>
        <w:t xml:space="preserve">remitió el archivo ya descrito en el anterior Párrafo 2; no obstante el particular se inconformó de manera general por la entrega de información incompleta; en dichas condiciones, la </w:t>
      </w:r>
      <w:r w:rsidRPr="00D42A51">
        <w:rPr>
          <w:rFonts w:ascii="Palatino Linotype" w:eastAsia="Palatino Linotype" w:hAnsi="Palatino Linotype" w:cs="Palatino Linotype"/>
          <w:i/>
          <w:iCs/>
          <w:color w:val="000000"/>
        </w:rPr>
        <w:t>Litis</w:t>
      </w:r>
      <w:r w:rsidRPr="00D42A51">
        <w:rPr>
          <w:rFonts w:ascii="Palatino Linotype" w:eastAsia="Palatino Linotype" w:hAnsi="Palatino Linotype" w:cs="Palatino Linotype"/>
          <w:color w:val="000000"/>
        </w:rPr>
        <w:t xml:space="preserve"> a resolver en el recurso de revisión se circunscribe a determinar si se actualiza la causal de procedencia prevista en el artículo 179, </w:t>
      </w:r>
      <w:r w:rsidRPr="00D42A51">
        <w:rPr>
          <w:rFonts w:ascii="Palatino Linotype" w:eastAsia="Palatino Linotype" w:hAnsi="Palatino Linotype" w:cs="Palatino Linotype"/>
          <w:b/>
          <w:bCs/>
          <w:color w:val="000000"/>
        </w:rPr>
        <w:t xml:space="preserve">fracción V </w:t>
      </w:r>
      <w:r w:rsidRPr="00D42A51">
        <w:rPr>
          <w:rFonts w:ascii="Palatino Linotype" w:eastAsia="Palatino Linotype" w:hAnsi="Palatino Linotype" w:cs="Palatino Linotype"/>
          <w:color w:val="000000"/>
        </w:rPr>
        <w:t xml:space="preserve">de la </w:t>
      </w:r>
      <w:r w:rsidRPr="00D42A51">
        <w:rPr>
          <w:rFonts w:ascii="Palatino Linotype" w:eastAsia="Palatino Linotype" w:hAnsi="Palatino Linotype" w:cs="Palatino Linotype"/>
          <w:b/>
          <w:bCs/>
          <w:color w:val="000000"/>
        </w:rPr>
        <w:t>Ley de Transparencia y Acceso a la Información Pública del Estado de México y Municipios</w:t>
      </w:r>
      <w:r w:rsidRPr="00D42A51">
        <w:rPr>
          <w:rFonts w:ascii="Palatino Linotype" w:eastAsia="Palatino Linotype" w:hAnsi="Palatino Linotype" w:cs="Palatino Linotype"/>
          <w:color w:val="000000"/>
        </w:rPr>
        <w:t xml:space="preserve">; fracción que determina las hipótesis jurídica relativa a la negativa </w:t>
      </w:r>
      <w:r w:rsidRPr="00D42A51">
        <w:rPr>
          <w:rFonts w:ascii="Palatino Linotype" w:eastAsia="Palatino Linotype" w:hAnsi="Palatino Linotype" w:cs="Palatino Linotype"/>
          <w:color w:val="000000"/>
        </w:rPr>
        <w:lastRenderedPageBreak/>
        <w:t xml:space="preserve">de entrega de la información; contexto del cual se dolió </w:t>
      </w:r>
      <w:r w:rsidRPr="00D42A51">
        <w:rPr>
          <w:rFonts w:ascii="Palatino Linotype" w:eastAsia="Palatino Linotype" w:hAnsi="Palatino Linotype" w:cs="Palatino Linotype"/>
          <w:b/>
          <w:bCs/>
          <w:color w:val="000000"/>
        </w:rPr>
        <w:t xml:space="preserve">EL RECURRENTE </w:t>
      </w:r>
      <w:r w:rsidRPr="00D42A51">
        <w:rPr>
          <w:rFonts w:ascii="Palatino Linotype" w:eastAsia="Palatino Linotype" w:hAnsi="Palatino Linotype" w:cs="Palatino Linotype"/>
          <w:color w:val="000000"/>
        </w:rPr>
        <w:t xml:space="preserve">al momento de interponer su inconformidad. </w:t>
      </w:r>
    </w:p>
    <w:p w:rsidR="003D0A4D" w:rsidRPr="00D42A51" w:rsidRDefault="003D0A4D">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3D0A4D" w:rsidRPr="00D42A51" w:rsidRDefault="00601292">
      <w:pPr>
        <w:numPr>
          <w:ilvl w:val="0"/>
          <w:numId w:val="1"/>
        </w:numPr>
        <w:spacing w:line="360" w:lineRule="auto"/>
        <w:ind w:left="0" w:firstLine="0"/>
        <w:jc w:val="both"/>
        <w:rPr>
          <w:rFonts w:ascii="Palatino Linotype" w:eastAsia="Palatino Linotype" w:hAnsi="Palatino Linotype" w:cs="Palatino Linotype"/>
        </w:rPr>
      </w:pPr>
      <w:r w:rsidRPr="00D42A51">
        <w:rPr>
          <w:rFonts w:ascii="Palatino Linotype" w:eastAsia="Palatino Linotype" w:hAnsi="Palatino Linotype" w:cs="Palatino Linotype"/>
          <w:color w:val="000000"/>
        </w:rPr>
        <w:t xml:space="preserve">De modo tal que el presente Recurso de Revisión se abocara en determinar si el </w:t>
      </w:r>
      <w:r w:rsidRPr="00D42A51">
        <w:rPr>
          <w:rFonts w:ascii="Palatino Linotype" w:eastAsia="Palatino Linotype" w:hAnsi="Palatino Linotype" w:cs="Palatino Linotype"/>
          <w:b/>
          <w:bCs/>
          <w:color w:val="000000"/>
        </w:rPr>
        <w:t>SUJETO</w:t>
      </w:r>
      <w:r w:rsidRPr="00D42A51">
        <w:rPr>
          <w:rFonts w:ascii="Palatino Linotype" w:eastAsia="Palatino Linotype" w:hAnsi="Palatino Linotype" w:cs="Palatino Linotype"/>
          <w:color w:val="000000"/>
        </w:rPr>
        <w:t xml:space="preserve"> </w:t>
      </w:r>
      <w:r w:rsidRPr="00D42A51">
        <w:rPr>
          <w:rFonts w:ascii="Palatino Linotype" w:eastAsia="Palatino Linotype" w:hAnsi="Palatino Linotype" w:cs="Palatino Linotype"/>
          <w:b/>
          <w:bCs/>
          <w:color w:val="000000"/>
        </w:rPr>
        <w:t>OBLIGADO</w:t>
      </w:r>
      <w:r w:rsidRPr="00D42A51">
        <w:rPr>
          <w:rFonts w:ascii="Palatino Linotype" w:eastAsia="Palatino Linotype" w:hAnsi="Palatino Linotype" w:cs="Palatino Linotype"/>
          <w:color w:val="000000"/>
        </w:rPr>
        <w:t xml:space="preserve"> con su respuesta ciertamente actualiza la causal de procedencia</w:t>
      </w:r>
      <w:r w:rsidRPr="00D42A51">
        <w:rPr>
          <w:rFonts w:ascii="Palatino Linotype" w:eastAsia="Palatino Linotype" w:hAnsi="Palatino Linotype" w:cs="Palatino Linotype"/>
          <w:b/>
          <w:bCs/>
          <w:color w:val="000000"/>
        </w:rPr>
        <w:t xml:space="preserve"> </w:t>
      </w:r>
      <w:r w:rsidRPr="00D42A51">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3D0A4D" w:rsidRPr="00D42A51" w:rsidRDefault="003D0A4D">
      <w:pPr>
        <w:pBdr>
          <w:top w:val="nil"/>
          <w:left w:val="nil"/>
          <w:bottom w:val="nil"/>
          <w:right w:val="nil"/>
          <w:between w:val="nil"/>
        </w:pBdr>
        <w:ind w:left="720"/>
        <w:rPr>
          <w:rFonts w:ascii="Palatino Linotype" w:eastAsia="Palatino Linotype" w:hAnsi="Palatino Linotype" w:cs="Palatino Linotype"/>
          <w:color w:val="000000"/>
        </w:rPr>
      </w:pPr>
    </w:p>
    <w:p w:rsidR="003D0A4D" w:rsidRPr="00D42A51" w:rsidRDefault="00601292">
      <w:pPr>
        <w:pStyle w:val="Ttulo2"/>
        <w:spacing w:before="0" w:line="360" w:lineRule="auto"/>
        <w:rPr>
          <w:rFonts w:ascii="Palatino Linotype" w:eastAsia="Palatino Linotype" w:hAnsi="Palatino Linotype" w:cs="Palatino Linotype"/>
          <w:b/>
          <w:bCs/>
          <w:color w:val="000000"/>
          <w:sz w:val="24"/>
          <w:szCs w:val="24"/>
        </w:rPr>
      </w:pPr>
      <w:r w:rsidRPr="00D42A51">
        <w:rPr>
          <w:rFonts w:ascii="Palatino Linotype" w:eastAsia="Palatino Linotype" w:hAnsi="Palatino Linotype" w:cs="Palatino Linotype"/>
          <w:b/>
          <w:bCs/>
          <w:color w:val="000000"/>
          <w:sz w:val="24"/>
          <w:szCs w:val="24"/>
        </w:rPr>
        <w:t>CUARTO. Del estudio y resolución del estudio</w:t>
      </w:r>
    </w:p>
    <w:p w:rsidR="003D0A4D" w:rsidRPr="00D42A51" w:rsidRDefault="00601292">
      <w:pPr>
        <w:numPr>
          <w:ilvl w:val="0"/>
          <w:numId w:val="1"/>
        </w:numPr>
        <w:spacing w:line="360" w:lineRule="auto"/>
        <w:ind w:left="0" w:firstLine="0"/>
        <w:jc w:val="both"/>
        <w:rPr>
          <w:rFonts w:ascii="Palatino Linotype" w:eastAsia="Palatino Linotype" w:hAnsi="Palatino Linotype" w:cs="Palatino Linotype"/>
        </w:rPr>
      </w:pPr>
      <w:r w:rsidRPr="00D42A51">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w:t>
      </w:r>
      <w:r w:rsidRPr="00D42A51">
        <w:rPr>
          <w:rFonts w:ascii="Palatino Linotype" w:eastAsia="Palatino Linotype" w:hAnsi="Palatino Linotype" w:cs="Palatino Linotype"/>
          <w:color w:val="000000"/>
        </w:rPr>
        <w:t>Transparencia</w:t>
      </w:r>
      <w:r w:rsidRPr="00D42A51">
        <w:rPr>
          <w:rFonts w:ascii="Palatino Linotype" w:eastAsia="Palatino Linotype" w:hAnsi="Palatino Linotype" w:cs="Palatino Linotype"/>
        </w:rPr>
        <w:t xml:space="preserve">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3D0A4D" w:rsidRPr="00D42A51" w:rsidRDefault="003D0A4D">
      <w:pPr>
        <w:spacing w:line="360" w:lineRule="auto"/>
        <w:jc w:val="both"/>
        <w:rPr>
          <w:rFonts w:ascii="Palatino Linotype" w:eastAsia="Palatino Linotype" w:hAnsi="Palatino Linotype" w:cs="Palatino Linotype"/>
        </w:rPr>
      </w:pPr>
    </w:p>
    <w:p w:rsidR="003D0A4D" w:rsidRPr="00D42A51" w:rsidRDefault="00601292">
      <w:pPr>
        <w:numPr>
          <w:ilvl w:val="0"/>
          <w:numId w:val="1"/>
        </w:numPr>
        <w:spacing w:line="360" w:lineRule="auto"/>
        <w:ind w:left="0" w:firstLine="0"/>
        <w:jc w:val="both"/>
        <w:rPr>
          <w:rFonts w:ascii="Palatino Linotype" w:eastAsia="Palatino Linotype" w:hAnsi="Palatino Linotype" w:cs="Palatino Linotype"/>
        </w:rPr>
      </w:pPr>
      <w:r w:rsidRPr="00D42A51">
        <w:rPr>
          <w:rFonts w:ascii="Palatino Linotype" w:eastAsia="Palatino Linotype" w:hAnsi="Palatino Linotype" w:cs="Palatino Linotype"/>
        </w:rPr>
        <w:t xml:space="preserve">Asimismo, es relevante mencionar que el artículo 19 del ordenamiento local de la materia señala que se presume que la información debe existir si se refiere a las facultades, </w:t>
      </w:r>
      <w:r w:rsidRPr="00D42A51">
        <w:rPr>
          <w:rFonts w:ascii="Palatino Linotype" w:eastAsia="Palatino Linotype" w:hAnsi="Palatino Linotype" w:cs="Palatino Linotype"/>
        </w:rPr>
        <w:lastRenderedPageBreak/>
        <w:t>competencias y funciones que los ordenamientos jurídicos aplicables otorgan a los sujetos obligados y en caso de que dichas facultades no se hayan ejercido, se deberá motivar la respuesta en función de las causas que motivaron tal circunstancia.</w:t>
      </w:r>
    </w:p>
    <w:p w:rsidR="003D0A4D" w:rsidRPr="00D42A51" w:rsidRDefault="003D0A4D">
      <w:pPr>
        <w:spacing w:line="360" w:lineRule="auto"/>
        <w:rPr>
          <w:rFonts w:ascii="Palatino Linotype" w:eastAsia="Palatino Linotype" w:hAnsi="Palatino Linotype" w:cs="Palatino Linotype"/>
        </w:rPr>
      </w:pPr>
    </w:p>
    <w:p w:rsidR="003D0A4D" w:rsidRPr="00D42A51" w:rsidRDefault="00601292">
      <w:pPr>
        <w:numPr>
          <w:ilvl w:val="0"/>
          <w:numId w:val="1"/>
        </w:numPr>
        <w:spacing w:line="360" w:lineRule="auto"/>
        <w:ind w:left="0" w:firstLine="0"/>
        <w:jc w:val="both"/>
        <w:rPr>
          <w:rFonts w:ascii="Palatino Linotype" w:eastAsia="Palatino Linotype" w:hAnsi="Palatino Linotype" w:cs="Palatino Linotype"/>
        </w:rPr>
      </w:pPr>
      <w:r w:rsidRPr="00D42A51">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3D0A4D" w:rsidRPr="00D42A51" w:rsidRDefault="003D0A4D">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p>
    <w:p w:rsidR="003D0A4D" w:rsidRPr="00D42A51" w:rsidRDefault="00601292">
      <w:pPr>
        <w:numPr>
          <w:ilvl w:val="0"/>
          <w:numId w:val="1"/>
        </w:numPr>
        <w:spacing w:line="360" w:lineRule="auto"/>
        <w:ind w:left="0" w:firstLine="0"/>
        <w:jc w:val="both"/>
        <w:rPr>
          <w:rFonts w:ascii="Palatino Linotype" w:eastAsia="Palatino Linotype" w:hAnsi="Palatino Linotype" w:cs="Palatino Linotype"/>
        </w:rPr>
      </w:pPr>
      <w:r w:rsidRPr="00D42A51">
        <w:rPr>
          <w:rFonts w:ascii="Palatino Linotype" w:eastAsia="Palatino Linotype" w:hAnsi="Palatino Linotype" w:cs="Palatino Linotype"/>
        </w:rPr>
        <w:t xml:space="preserve">Acotado lo anterior, es dable primeramente recordar que el </w:t>
      </w:r>
      <w:r w:rsidRPr="00D42A51">
        <w:rPr>
          <w:rFonts w:ascii="Palatino Linotype" w:eastAsia="Palatino Linotype" w:hAnsi="Palatino Linotype" w:cs="Palatino Linotype"/>
          <w:b/>
          <w:bCs/>
        </w:rPr>
        <w:t>SUJETO OBLIGADO</w:t>
      </w:r>
      <w:r w:rsidRPr="00D42A51">
        <w:rPr>
          <w:rFonts w:ascii="Palatino Linotype" w:eastAsia="Palatino Linotype" w:hAnsi="Palatino Linotype" w:cs="Palatino Linotype"/>
        </w:rPr>
        <w:t xml:space="preserve"> emitió una respuesta conforme a lo dispuesto en el artículo 161 de la Ley de la Materia, a saber:</w:t>
      </w:r>
    </w:p>
    <w:p w:rsidR="003D0A4D" w:rsidRPr="00D42A51" w:rsidRDefault="00601292">
      <w:pPr>
        <w:pBdr>
          <w:top w:val="nil"/>
          <w:left w:val="nil"/>
          <w:bottom w:val="nil"/>
          <w:right w:val="nil"/>
          <w:between w:val="nil"/>
        </w:pBdr>
        <w:spacing w:line="360" w:lineRule="auto"/>
        <w:ind w:left="567" w:right="616"/>
        <w:jc w:val="both"/>
        <w:rPr>
          <w:rFonts w:ascii="Palatino Linotype" w:eastAsia="Palatino Linotype" w:hAnsi="Palatino Linotype" w:cs="Palatino Linotype"/>
          <w:b/>
          <w:bCs/>
          <w:i/>
          <w:iCs/>
          <w:color w:val="000000"/>
          <w:u w:val="single"/>
        </w:rPr>
      </w:pPr>
      <w:r w:rsidRPr="00D42A51">
        <w:rPr>
          <w:rFonts w:ascii="Palatino Linotype" w:eastAsia="Palatino Linotype" w:hAnsi="Palatino Linotype" w:cs="Palatino Linotype"/>
          <w:i/>
          <w:iCs/>
        </w:rPr>
        <w:t>“</w:t>
      </w:r>
      <w:r w:rsidRPr="00D42A51">
        <w:rPr>
          <w:rFonts w:ascii="Palatino Linotype" w:eastAsia="Palatino Linotype" w:hAnsi="Palatino Linotype" w:cs="Palatino Linotype"/>
          <w:b/>
          <w:bCs/>
          <w:i/>
          <w:iCs/>
          <w:color w:val="000000"/>
        </w:rPr>
        <w:t>Artículo 161.</w:t>
      </w:r>
      <w:r w:rsidRPr="00D42A51">
        <w:rPr>
          <w:rFonts w:ascii="Palatino Linotype" w:eastAsia="Palatino Linotype" w:hAnsi="Palatino Linotype" w:cs="Palatino Linotype"/>
          <w:i/>
          <w:iCs/>
          <w:color w:val="000000"/>
        </w:rPr>
        <w:t xml:space="preserve"> </w:t>
      </w:r>
      <w:r w:rsidRPr="00D42A51">
        <w:rPr>
          <w:rFonts w:ascii="Palatino Linotype" w:eastAsia="Palatino Linotype" w:hAnsi="Palatino Linotype" w:cs="Palatino Linotype"/>
          <w:b/>
          <w:bCs/>
          <w:i/>
          <w:iCs/>
          <w:color w:val="000000"/>
          <w:u w:val="single"/>
        </w:rPr>
        <w:t>Cuando la información requerida por el solicitante ya esté</w:t>
      </w:r>
      <w:r w:rsidRPr="00D42A51">
        <w:rPr>
          <w:rFonts w:ascii="Palatino Linotype" w:eastAsia="Palatino Linotype" w:hAnsi="Palatino Linotype" w:cs="Palatino Linotype"/>
          <w:i/>
          <w:iCs/>
          <w:color w:val="000000"/>
        </w:rPr>
        <w:t xml:space="preserve"> disponible al público en medios impresos, tales como libros, compendios, trípticos, registros públicos, en formatos electrónicos </w:t>
      </w:r>
      <w:r w:rsidRPr="00D42A51">
        <w:rPr>
          <w:rFonts w:ascii="Palatino Linotype" w:eastAsia="Palatino Linotype" w:hAnsi="Palatino Linotype" w:cs="Palatino Linotype"/>
          <w:b/>
          <w:bCs/>
          <w:i/>
          <w:iCs/>
          <w:color w:val="000000"/>
          <w:u w:val="single"/>
        </w:rPr>
        <w:t>disponibles en Internet</w:t>
      </w:r>
      <w:r w:rsidRPr="00D42A51">
        <w:rPr>
          <w:rFonts w:ascii="Palatino Linotype" w:eastAsia="Palatino Linotype" w:hAnsi="Palatino Linotype" w:cs="Palatino Linotype"/>
          <w:i/>
          <w:iCs/>
          <w:color w:val="000000"/>
        </w:rPr>
        <w:t xml:space="preserve"> o en cualquier otro medio, </w:t>
      </w:r>
      <w:r w:rsidRPr="00D42A51">
        <w:rPr>
          <w:rFonts w:ascii="Palatino Linotype" w:eastAsia="Palatino Linotype" w:hAnsi="Palatino Linotype" w:cs="Palatino Linotype"/>
          <w:b/>
          <w:bCs/>
          <w:i/>
          <w:iCs/>
          <w:color w:val="000000"/>
          <w:u w:val="single"/>
        </w:rPr>
        <w:t xml:space="preserve">se le hará saber por el medio requerido por el solicitante la fuente, el lugar y la forma en que puede consultar, reproducir o adquirir dicha información en </w:t>
      </w:r>
      <w:r w:rsidRPr="00D42A51">
        <w:rPr>
          <w:rFonts w:ascii="Palatino Linotype" w:eastAsia="Palatino Linotype" w:hAnsi="Palatino Linotype" w:cs="Palatino Linotype"/>
          <w:b/>
          <w:bCs/>
          <w:i/>
          <w:iCs/>
          <w:color w:val="000000"/>
          <w:u w:val="single"/>
        </w:rPr>
        <w:lastRenderedPageBreak/>
        <w:t>un plazo no mayor a cinco días hábiles. La fuente deberá ser precisa y concreta y no debe implicar que el solicitante realice una búsqueda en toda la información que se encuentre disponible.”</w:t>
      </w:r>
    </w:p>
    <w:p w:rsidR="003D0A4D" w:rsidRPr="00D42A51" w:rsidRDefault="003D0A4D">
      <w:pPr>
        <w:spacing w:line="360" w:lineRule="auto"/>
        <w:jc w:val="both"/>
        <w:rPr>
          <w:rFonts w:ascii="Palatino Linotype" w:eastAsia="Palatino Linotype" w:hAnsi="Palatino Linotype" w:cs="Palatino Linotype"/>
        </w:rPr>
      </w:pPr>
    </w:p>
    <w:p w:rsidR="003D0A4D" w:rsidRPr="00D42A51" w:rsidRDefault="00601292">
      <w:pPr>
        <w:numPr>
          <w:ilvl w:val="0"/>
          <w:numId w:val="1"/>
        </w:numPr>
        <w:spacing w:line="360" w:lineRule="auto"/>
        <w:ind w:left="0" w:firstLine="0"/>
        <w:jc w:val="both"/>
        <w:rPr>
          <w:rFonts w:ascii="Palatino Linotype" w:eastAsia="Palatino Linotype" w:hAnsi="Palatino Linotype" w:cs="Palatino Linotype"/>
        </w:rPr>
      </w:pPr>
      <w:r w:rsidRPr="00D42A51">
        <w:rPr>
          <w:rFonts w:ascii="Palatino Linotype" w:eastAsia="Palatino Linotype" w:hAnsi="Palatino Linotype" w:cs="Palatino Linotype"/>
        </w:rPr>
        <w:t>Efectivamente, dicho precepto legal, contempla el supuesto, para el caso de que la información ya existe en un medio público, los sujetos obligados pueden señalar en el término de cinco días hábiles indicar al solicitante la fuente, el lugar, y la forma en que puede consultarla, reproducirla o adquirirla, como ocurrió en el presente asunto.</w:t>
      </w:r>
    </w:p>
    <w:p w:rsidR="003D0A4D" w:rsidRPr="00D42A51" w:rsidRDefault="003D0A4D">
      <w:pPr>
        <w:spacing w:line="360" w:lineRule="auto"/>
        <w:jc w:val="both"/>
        <w:rPr>
          <w:rFonts w:ascii="Palatino Linotype" w:eastAsia="Palatino Linotype" w:hAnsi="Palatino Linotype" w:cs="Palatino Linotype"/>
        </w:rPr>
      </w:pPr>
    </w:p>
    <w:p w:rsidR="003D0A4D" w:rsidRPr="00D42A51" w:rsidRDefault="00601292">
      <w:pPr>
        <w:numPr>
          <w:ilvl w:val="0"/>
          <w:numId w:val="1"/>
        </w:numPr>
        <w:spacing w:line="360" w:lineRule="auto"/>
        <w:ind w:left="0" w:firstLine="0"/>
        <w:jc w:val="both"/>
        <w:rPr>
          <w:rFonts w:ascii="Palatino Linotype" w:eastAsia="Palatino Linotype" w:hAnsi="Palatino Linotype" w:cs="Palatino Linotype"/>
        </w:rPr>
      </w:pPr>
      <w:r w:rsidRPr="00D42A51">
        <w:rPr>
          <w:rFonts w:ascii="Palatino Linotype" w:eastAsia="Palatino Linotype" w:hAnsi="Palatino Linotype" w:cs="Palatino Linotype"/>
        </w:rPr>
        <w:t>Esto para garantizar que el ciudadano pueda localizar la información de manera fácil, clara y accesible, pero, si bien es cierto, el artículo 161 de la Ley de Transparencia y Acceso a la Información Pública del Estado de México y Municipios establece una regla práctica para los sujetos obligados cuando la información que solicita una persona ya se encuentra públicamente disponible; también lo es que debe privilegiarse (en ciertos casos) la entrega mediante el sistema SAIMEX porque dicho sistema materializa varios principios fundamentales del derecho de acceso a la información.</w:t>
      </w:r>
    </w:p>
    <w:p w:rsidR="003D0A4D" w:rsidRPr="00D42A51" w:rsidRDefault="003D0A4D">
      <w:pPr>
        <w:pBdr>
          <w:top w:val="nil"/>
          <w:left w:val="nil"/>
          <w:bottom w:val="nil"/>
          <w:right w:val="nil"/>
          <w:between w:val="nil"/>
        </w:pBdr>
        <w:ind w:left="720"/>
        <w:rPr>
          <w:rFonts w:ascii="Palatino Linotype" w:eastAsia="Palatino Linotype" w:hAnsi="Palatino Linotype" w:cs="Palatino Linotype"/>
          <w:color w:val="000000"/>
        </w:rPr>
      </w:pPr>
    </w:p>
    <w:p w:rsidR="003D0A4D" w:rsidRPr="00D42A51" w:rsidRDefault="00601292">
      <w:pPr>
        <w:numPr>
          <w:ilvl w:val="0"/>
          <w:numId w:val="1"/>
        </w:numPr>
        <w:spacing w:line="360" w:lineRule="auto"/>
        <w:ind w:left="0" w:firstLine="0"/>
        <w:jc w:val="both"/>
        <w:rPr>
          <w:rFonts w:ascii="Palatino Linotype" w:eastAsia="Palatino Linotype" w:hAnsi="Palatino Linotype" w:cs="Palatino Linotype"/>
        </w:rPr>
      </w:pPr>
      <w:r w:rsidRPr="00D42A51">
        <w:rPr>
          <w:rFonts w:ascii="Palatino Linotype" w:eastAsia="Palatino Linotype" w:hAnsi="Palatino Linotype" w:cs="Palatino Linotype"/>
        </w:rPr>
        <w:t>Dicho precepto, no tiene el objetivo de únicamente “cumplir” formalmente con una respuesta, sino asegurar que la persona realmente pueda acceder a la información solicitada.</w:t>
      </w:r>
    </w:p>
    <w:p w:rsidR="003D0A4D" w:rsidRPr="00D42A51" w:rsidRDefault="003D0A4D">
      <w:pPr>
        <w:spacing w:line="360" w:lineRule="auto"/>
        <w:jc w:val="both"/>
        <w:rPr>
          <w:rFonts w:ascii="Palatino Linotype" w:eastAsia="Palatino Linotype" w:hAnsi="Palatino Linotype" w:cs="Palatino Linotype"/>
        </w:rPr>
      </w:pPr>
    </w:p>
    <w:p w:rsidR="003D0A4D" w:rsidRPr="00D42A51" w:rsidRDefault="00601292">
      <w:pPr>
        <w:numPr>
          <w:ilvl w:val="0"/>
          <w:numId w:val="1"/>
        </w:numPr>
        <w:spacing w:line="360" w:lineRule="auto"/>
        <w:ind w:left="0" w:firstLine="0"/>
        <w:jc w:val="both"/>
        <w:rPr>
          <w:rFonts w:ascii="Palatino Linotype" w:eastAsia="Palatino Linotype" w:hAnsi="Palatino Linotype" w:cs="Palatino Linotype"/>
        </w:rPr>
      </w:pPr>
      <w:r w:rsidRPr="00D42A51">
        <w:rPr>
          <w:rFonts w:ascii="Palatino Linotype" w:eastAsia="Palatino Linotype" w:hAnsi="Palatino Linotype" w:cs="Palatino Linotype"/>
        </w:rPr>
        <w:t xml:space="preserve">Luego entonces, si bien es cierto en las caratulas ciertamente se puede consultar información de la solicitada y que en ese sentido la solicitud, requiere conocer </w:t>
      </w:r>
      <w:r w:rsidRPr="00D42A51">
        <w:rPr>
          <w:rFonts w:ascii="Palatino Linotype" w:eastAsia="Palatino Linotype" w:hAnsi="Palatino Linotype" w:cs="Palatino Linotype"/>
          <w:i/>
          <w:iCs/>
        </w:rPr>
        <w:t xml:space="preserve">información de los contratos </w:t>
      </w:r>
      <w:r w:rsidRPr="00D42A51">
        <w:rPr>
          <w:rFonts w:ascii="Palatino Linotype" w:eastAsia="Palatino Linotype" w:hAnsi="Palatino Linotype" w:cs="Palatino Linotype"/>
        </w:rPr>
        <w:t xml:space="preserve">(sin que se mencione que en estricto sentido requiere que se le entreguen los contratos); también lo es que se colige, si se requieren los contratos. Por lo que sumado a los </w:t>
      </w:r>
      <w:r w:rsidRPr="00D42A51">
        <w:rPr>
          <w:rFonts w:ascii="Palatino Linotype" w:eastAsia="Palatino Linotype" w:hAnsi="Palatino Linotype" w:cs="Palatino Linotype"/>
        </w:rPr>
        <w:lastRenderedPageBreak/>
        <w:t xml:space="preserve">argumentos vertidos en el escrito recursal y, que el acceso a la información pública es un derecho que versa sobre documentos, el cual se colma con la entrega del soporte documental, se considera que debieron ser remitidos los contratos y no únicamente conocer cuáles son. </w:t>
      </w:r>
    </w:p>
    <w:p w:rsidR="003D0A4D" w:rsidRPr="00D42A51" w:rsidRDefault="003D0A4D">
      <w:pPr>
        <w:pBdr>
          <w:top w:val="nil"/>
          <w:left w:val="nil"/>
          <w:bottom w:val="nil"/>
          <w:right w:val="nil"/>
          <w:between w:val="nil"/>
        </w:pBdr>
        <w:ind w:left="720"/>
        <w:rPr>
          <w:rFonts w:ascii="Palatino Linotype" w:eastAsia="Palatino Linotype" w:hAnsi="Palatino Linotype" w:cs="Palatino Linotype"/>
          <w:color w:val="000000"/>
        </w:rPr>
      </w:pPr>
    </w:p>
    <w:p w:rsidR="003D0A4D" w:rsidRPr="00D42A51" w:rsidRDefault="00601292">
      <w:pPr>
        <w:numPr>
          <w:ilvl w:val="0"/>
          <w:numId w:val="1"/>
        </w:numPr>
        <w:spacing w:line="360" w:lineRule="auto"/>
        <w:ind w:left="0" w:firstLine="0"/>
        <w:jc w:val="both"/>
        <w:rPr>
          <w:rFonts w:ascii="Palatino Linotype" w:eastAsia="Palatino Linotype" w:hAnsi="Palatino Linotype" w:cs="Palatino Linotype"/>
        </w:rPr>
      </w:pPr>
      <w:r w:rsidRPr="00D42A51">
        <w:rPr>
          <w:rFonts w:ascii="Palatino Linotype" w:eastAsia="Palatino Linotype" w:hAnsi="Palatino Linotype" w:cs="Palatino Linotype"/>
        </w:rPr>
        <w:t xml:space="preserve">Lo que deriva en que la respuesta ciertamente no sea completa y colme a cabalidad el derecho del ahora </w:t>
      </w:r>
      <w:r w:rsidRPr="00D42A51">
        <w:rPr>
          <w:rFonts w:ascii="Palatino Linotype" w:eastAsia="Palatino Linotype" w:hAnsi="Palatino Linotype" w:cs="Palatino Linotype"/>
          <w:b/>
          <w:bCs/>
        </w:rPr>
        <w:t xml:space="preserve">RECURRENTE. </w:t>
      </w:r>
      <w:r w:rsidRPr="00D42A51">
        <w:rPr>
          <w:rFonts w:ascii="Palatino Linotype" w:eastAsia="Palatino Linotype" w:hAnsi="Palatino Linotype" w:cs="Palatino Linotype"/>
        </w:rPr>
        <w:t xml:space="preserve">Otro aspecto relevante que se desprende de la respuesta emitida, corresponde al hecho, de que el </w:t>
      </w:r>
      <w:r w:rsidRPr="00D42A51">
        <w:rPr>
          <w:rFonts w:ascii="Palatino Linotype" w:eastAsia="Palatino Linotype" w:hAnsi="Palatino Linotype" w:cs="Palatino Linotype"/>
          <w:b/>
          <w:bCs/>
        </w:rPr>
        <w:t>SUJETO OBLIGADO</w:t>
      </w:r>
      <w:r w:rsidRPr="00D42A51">
        <w:rPr>
          <w:rFonts w:ascii="Palatino Linotype" w:eastAsia="Palatino Linotype" w:hAnsi="Palatino Linotype" w:cs="Palatino Linotype"/>
        </w:rPr>
        <w:t xml:space="preserve"> </w:t>
      </w:r>
      <w:r w:rsidRPr="00D42A51">
        <w:rPr>
          <w:rFonts w:ascii="Palatino Linotype" w:eastAsia="Palatino Linotype" w:hAnsi="Palatino Linotype" w:cs="Palatino Linotype"/>
          <w:u w:val="single"/>
        </w:rPr>
        <w:t>asume expresamente</w:t>
      </w:r>
      <w:r w:rsidRPr="00D42A51">
        <w:rPr>
          <w:rFonts w:ascii="Palatino Linotype" w:eastAsia="Palatino Linotype" w:hAnsi="Palatino Linotype" w:cs="Palatino Linotype"/>
        </w:rPr>
        <w:t xml:space="preserve"> contar con lo solicitado, tan es así que manifiesta ya se encuentra publicada, por lo que </w:t>
      </w:r>
      <w:r w:rsidRPr="00D42A51">
        <w:rPr>
          <w:rFonts w:ascii="Palatino Linotype" w:eastAsia="Palatino Linotype" w:hAnsi="Palatino Linotype" w:cs="Palatino Linotype"/>
          <w:u w:val="single"/>
        </w:rPr>
        <w:t>resultaría infructuoso realizar un análisis pormenorizado de su fuente obligacional,</w:t>
      </w:r>
      <w:r w:rsidRPr="00D42A51">
        <w:rPr>
          <w:rFonts w:ascii="Palatino Linotype" w:eastAsia="Palatino Linotype" w:hAnsi="Palatino Linotype" w:cs="Palatino Linotype"/>
        </w:rPr>
        <w:t xml:space="preserve"> para determinar, si genera, posee o administra lo solicitado, pues se insiste, está ya fue asumida, sin embargo ello no es impedimento para realizar las siguientes acotaciones.</w:t>
      </w:r>
    </w:p>
    <w:p w:rsidR="003D0A4D" w:rsidRPr="00D42A51" w:rsidRDefault="003D0A4D">
      <w:pPr>
        <w:pBdr>
          <w:top w:val="nil"/>
          <w:left w:val="nil"/>
          <w:bottom w:val="nil"/>
          <w:right w:val="nil"/>
          <w:between w:val="nil"/>
        </w:pBdr>
        <w:ind w:left="720"/>
        <w:rPr>
          <w:rFonts w:ascii="Palatino Linotype" w:eastAsia="Palatino Linotype" w:hAnsi="Palatino Linotype" w:cs="Palatino Linotype"/>
          <w:color w:val="000000"/>
        </w:rPr>
      </w:pPr>
    </w:p>
    <w:p w:rsidR="003D0A4D" w:rsidRDefault="00601292">
      <w:pPr>
        <w:numPr>
          <w:ilvl w:val="0"/>
          <w:numId w:val="1"/>
        </w:numPr>
        <w:spacing w:line="360" w:lineRule="auto"/>
        <w:ind w:left="0" w:firstLine="0"/>
        <w:jc w:val="both"/>
        <w:rPr>
          <w:rFonts w:ascii="Palatino Linotype" w:eastAsia="Palatino Linotype" w:hAnsi="Palatino Linotype" w:cs="Palatino Linotype"/>
        </w:rPr>
      </w:pPr>
      <w:r w:rsidRPr="00D42A51">
        <w:rPr>
          <w:rFonts w:ascii="Palatino Linotype" w:eastAsia="Palatino Linotype" w:hAnsi="Palatino Linotype" w:cs="Palatino Linotype"/>
        </w:rPr>
        <w:t xml:space="preserve">Retomando la respuesta que versó en la entrega de un enlace del Sistema de Información Pública de Oficio Mexiquense; adicional a los datos referidos por el </w:t>
      </w:r>
      <w:r w:rsidRPr="00D42A51">
        <w:rPr>
          <w:rFonts w:ascii="Palatino Linotype" w:eastAsia="Palatino Linotype" w:hAnsi="Palatino Linotype" w:cs="Palatino Linotype"/>
          <w:b/>
          <w:bCs/>
        </w:rPr>
        <w:t>SUJETO OBLIGADO</w:t>
      </w:r>
      <w:r w:rsidRPr="00D42A51">
        <w:rPr>
          <w:rFonts w:ascii="Palatino Linotype" w:eastAsia="Palatino Linotype" w:hAnsi="Palatino Linotype" w:cs="Palatino Linotype"/>
        </w:rPr>
        <w:t xml:space="preserve"> en su informe justificado (importe del contrato, la denominación de la obra, el origen de los recursos y el nombre del contratista), los contratos también corresponden a información pública de oficio, en virtud de lo siguiente.</w:t>
      </w:r>
    </w:p>
    <w:p w:rsidR="00D42A51" w:rsidRPr="00D42A51" w:rsidRDefault="00D42A51" w:rsidP="00D42A51">
      <w:pPr>
        <w:spacing w:line="360" w:lineRule="auto"/>
        <w:jc w:val="both"/>
        <w:rPr>
          <w:rFonts w:ascii="Palatino Linotype" w:eastAsia="Palatino Linotype" w:hAnsi="Palatino Linotype" w:cs="Palatino Linotype"/>
        </w:rPr>
      </w:pPr>
    </w:p>
    <w:p w:rsidR="003D0A4D" w:rsidRPr="00D42A51" w:rsidRDefault="00601292">
      <w:pPr>
        <w:numPr>
          <w:ilvl w:val="0"/>
          <w:numId w:val="1"/>
        </w:numP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 xml:space="preserve">La Ley de la Contratación Pública del Estado de México y Municipios, tiene por objeto regular los actos relativos a la planeación, programación, presupuestación, ejecución y control de la adquisición, enajenación y arrendamiento de bienes, y la contratación de servicios de cualquier naturaleza, que realicen los Ayuntamientos del Estado; los cuales se </w:t>
      </w:r>
      <w:r w:rsidRPr="00D42A51">
        <w:rPr>
          <w:rFonts w:ascii="Palatino Linotype" w:eastAsia="Palatino Linotype" w:hAnsi="Palatino Linotype" w:cs="Palatino Linotype"/>
        </w:rPr>
        <w:lastRenderedPageBreak/>
        <w:t>adjudicarán</w:t>
      </w:r>
      <w:r w:rsidRPr="00D42A51">
        <w:rPr>
          <w:rFonts w:ascii="Palatino Linotype" w:eastAsia="Palatino Linotype" w:hAnsi="Palatino Linotype" w:cs="Palatino Linotype"/>
          <w:color w:val="000000"/>
        </w:rPr>
        <w:t xml:space="preserve"> a través de </w:t>
      </w:r>
      <w:r w:rsidRPr="00D42A51">
        <w:rPr>
          <w:rFonts w:ascii="Palatino Linotype" w:eastAsia="Palatino Linotype" w:hAnsi="Palatino Linotype" w:cs="Palatino Linotype"/>
          <w:color w:val="000000"/>
          <w:u w:val="single"/>
        </w:rPr>
        <w:t>licitaciones públicas</w:t>
      </w:r>
      <w:r w:rsidRPr="00D42A51">
        <w:rPr>
          <w:rFonts w:ascii="Palatino Linotype" w:eastAsia="Palatino Linotype" w:hAnsi="Palatino Linotype" w:cs="Palatino Linotype"/>
          <w:color w:val="000000"/>
        </w:rPr>
        <w:t>, i</w:t>
      </w:r>
      <w:r w:rsidRPr="00D42A51">
        <w:rPr>
          <w:rFonts w:ascii="Palatino Linotype" w:eastAsia="Palatino Linotype" w:hAnsi="Palatino Linotype" w:cs="Palatino Linotype"/>
          <w:color w:val="000000"/>
          <w:u w:val="single"/>
        </w:rPr>
        <w:t>nvitación restringida o adjudicación directa,</w:t>
      </w:r>
      <w:r w:rsidRPr="00D42A51">
        <w:rPr>
          <w:rFonts w:ascii="Palatino Linotype" w:eastAsia="Palatino Linotype" w:hAnsi="Palatino Linotype" w:cs="Palatino Linotype"/>
          <w:color w:val="000000"/>
        </w:rPr>
        <w:t xml:space="preserve"> mediante convocatoria pública, tal y como lo establecen los artículos 4, 26 y 27 de dicha Ley, los cuales son del tenor siguiente:</w:t>
      </w:r>
    </w:p>
    <w:p w:rsidR="003D0A4D" w:rsidRPr="00D42A51" w:rsidRDefault="00601292">
      <w:pPr>
        <w:spacing w:line="360" w:lineRule="auto"/>
        <w:ind w:left="851" w:right="822"/>
        <w:jc w:val="both"/>
        <w:rPr>
          <w:rFonts w:ascii="Palatino Linotype" w:eastAsia="Palatino Linotype" w:hAnsi="Palatino Linotype" w:cs="Palatino Linotype"/>
          <w:i/>
          <w:iCs/>
        </w:rPr>
      </w:pPr>
      <w:r w:rsidRPr="00D42A51">
        <w:rPr>
          <w:rFonts w:ascii="Palatino Linotype" w:eastAsia="Palatino Linotype" w:hAnsi="Palatino Linotype" w:cs="Palatino Linotype"/>
          <w:i/>
          <w:iCs/>
        </w:rPr>
        <w:t>“</w:t>
      </w:r>
      <w:r w:rsidRPr="00D42A51">
        <w:rPr>
          <w:rFonts w:ascii="Palatino Linotype" w:eastAsia="Palatino Linotype" w:hAnsi="Palatino Linotype" w:cs="Palatino Linotype"/>
          <w:b/>
          <w:bCs/>
          <w:i/>
          <w:iCs/>
        </w:rPr>
        <w:t>Artículo 4.-</w:t>
      </w:r>
      <w:r w:rsidRPr="00D42A51">
        <w:rPr>
          <w:rFonts w:ascii="Palatino Linotype" w:eastAsia="Palatino Linotype" w:hAnsi="Palatino Linotype" w:cs="Palatino Linotype"/>
          <w:i/>
          <w:iCs/>
        </w:rPr>
        <w:t xml:space="preserve"> Para los efectos de esta Ley, en las adquisiciones, enajenaciones, arrendamientos y servicios, quedan comprendidos: </w:t>
      </w:r>
    </w:p>
    <w:p w:rsidR="003D0A4D" w:rsidRPr="00D42A51" w:rsidRDefault="00601292">
      <w:pPr>
        <w:spacing w:line="360" w:lineRule="auto"/>
        <w:ind w:left="851" w:right="822"/>
        <w:jc w:val="both"/>
        <w:rPr>
          <w:rFonts w:ascii="Palatino Linotype" w:eastAsia="Palatino Linotype" w:hAnsi="Palatino Linotype" w:cs="Palatino Linotype"/>
          <w:i/>
          <w:iCs/>
        </w:rPr>
      </w:pPr>
      <w:r w:rsidRPr="00D42A51">
        <w:rPr>
          <w:rFonts w:ascii="Palatino Linotype" w:eastAsia="Palatino Linotype" w:hAnsi="Palatino Linotype" w:cs="Palatino Linotype"/>
          <w:i/>
          <w:iCs/>
        </w:rPr>
        <w:t xml:space="preserve">I. La adquisición de bienes muebles. </w:t>
      </w:r>
    </w:p>
    <w:p w:rsidR="003D0A4D" w:rsidRPr="00D42A51" w:rsidRDefault="00601292">
      <w:pPr>
        <w:spacing w:line="360" w:lineRule="auto"/>
        <w:ind w:left="851" w:right="822"/>
        <w:jc w:val="both"/>
        <w:rPr>
          <w:rFonts w:ascii="Palatino Linotype" w:eastAsia="Palatino Linotype" w:hAnsi="Palatino Linotype" w:cs="Palatino Linotype"/>
          <w:i/>
          <w:iCs/>
        </w:rPr>
      </w:pPr>
      <w:r w:rsidRPr="00D42A51">
        <w:rPr>
          <w:rFonts w:ascii="Palatino Linotype" w:eastAsia="Palatino Linotype" w:hAnsi="Palatino Linotype" w:cs="Palatino Linotype"/>
          <w:i/>
          <w:iCs/>
        </w:rPr>
        <w:t xml:space="preserve">II. La adquisición de bienes inmuebles, a través de compraventa. </w:t>
      </w:r>
    </w:p>
    <w:p w:rsidR="003D0A4D" w:rsidRPr="00D42A51" w:rsidRDefault="00601292">
      <w:pPr>
        <w:spacing w:line="360" w:lineRule="auto"/>
        <w:ind w:left="851" w:right="822"/>
        <w:jc w:val="both"/>
        <w:rPr>
          <w:rFonts w:ascii="Palatino Linotype" w:eastAsia="Palatino Linotype" w:hAnsi="Palatino Linotype" w:cs="Palatino Linotype"/>
          <w:i/>
          <w:iCs/>
        </w:rPr>
      </w:pPr>
      <w:r w:rsidRPr="00D42A51">
        <w:rPr>
          <w:rFonts w:ascii="Palatino Linotype" w:eastAsia="Palatino Linotype" w:hAnsi="Palatino Linotype" w:cs="Palatino Linotype"/>
          <w:i/>
          <w:iCs/>
        </w:rPr>
        <w:t xml:space="preserve">III. La enajenación de bienes muebles e inmuebles. </w:t>
      </w:r>
    </w:p>
    <w:p w:rsidR="003D0A4D" w:rsidRPr="00D42A51" w:rsidRDefault="00601292">
      <w:pPr>
        <w:spacing w:line="360" w:lineRule="auto"/>
        <w:ind w:left="851" w:right="822"/>
        <w:jc w:val="both"/>
        <w:rPr>
          <w:rFonts w:ascii="Palatino Linotype" w:eastAsia="Palatino Linotype" w:hAnsi="Palatino Linotype" w:cs="Palatino Linotype"/>
          <w:i/>
          <w:iCs/>
        </w:rPr>
      </w:pPr>
      <w:r w:rsidRPr="00D42A51">
        <w:rPr>
          <w:rFonts w:ascii="Palatino Linotype" w:eastAsia="Palatino Linotype" w:hAnsi="Palatino Linotype" w:cs="Palatino Linotype"/>
          <w:i/>
          <w:iCs/>
        </w:rPr>
        <w:t xml:space="preserve">IV. El arrendamiento de bienes muebles e inmuebles. </w:t>
      </w:r>
    </w:p>
    <w:p w:rsidR="003D0A4D" w:rsidRPr="00D42A51" w:rsidRDefault="00601292">
      <w:pPr>
        <w:spacing w:line="360" w:lineRule="auto"/>
        <w:ind w:left="851" w:right="822"/>
        <w:jc w:val="both"/>
        <w:rPr>
          <w:rFonts w:ascii="Palatino Linotype" w:eastAsia="Palatino Linotype" w:hAnsi="Palatino Linotype" w:cs="Palatino Linotype"/>
          <w:i/>
          <w:iCs/>
        </w:rPr>
      </w:pPr>
      <w:r w:rsidRPr="00D42A51">
        <w:rPr>
          <w:rFonts w:ascii="Palatino Linotype" w:eastAsia="Palatino Linotype" w:hAnsi="Palatino Linotype" w:cs="Palatino Linotype"/>
          <w:i/>
          <w:iCs/>
        </w:rPr>
        <w:t xml:space="preserve">V. La contratación de los servicios, relacionados con bienes muebles que se encuentran incorporados o adheridos a bienes inmuebles, cuya instalación o mantenimiento no implique modificación al bien inmueble. </w:t>
      </w:r>
    </w:p>
    <w:p w:rsidR="003D0A4D" w:rsidRPr="00D42A51" w:rsidRDefault="00601292">
      <w:pPr>
        <w:spacing w:line="360" w:lineRule="auto"/>
        <w:ind w:left="851" w:right="822"/>
        <w:jc w:val="both"/>
        <w:rPr>
          <w:rFonts w:ascii="Palatino Linotype" w:eastAsia="Palatino Linotype" w:hAnsi="Palatino Linotype" w:cs="Palatino Linotype"/>
          <w:i/>
          <w:iCs/>
        </w:rPr>
      </w:pPr>
      <w:r w:rsidRPr="00D42A51">
        <w:rPr>
          <w:rFonts w:ascii="Palatino Linotype" w:eastAsia="Palatino Linotype" w:hAnsi="Palatino Linotype" w:cs="Palatino Linotype"/>
          <w:i/>
          <w:iCs/>
        </w:rPr>
        <w:t xml:space="preserve">VI. La contratación de los servicios de reconstrucción y mantenimiento de bienes muebles. </w:t>
      </w:r>
    </w:p>
    <w:p w:rsidR="003D0A4D" w:rsidRPr="00D42A51" w:rsidRDefault="00601292">
      <w:pPr>
        <w:spacing w:line="360" w:lineRule="auto"/>
        <w:ind w:left="851" w:right="822"/>
        <w:jc w:val="both"/>
        <w:rPr>
          <w:rFonts w:ascii="Palatino Linotype" w:eastAsia="Palatino Linotype" w:hAnsi="Palatino Linotype" w:cs="Palatino Linotype"/>
          <w:i/>
          <w:iCs/>
        </w:rPr>
      </w:pPr>
      <w:r w:rsidRPr="00D42A51">
        <w:rPr>
          <w:rFonts w:ascii="Palatino Linotype" w:eastAsia="Palatino Linotype" w:hAnsi="Palatino Linotype" w:cs="Palatino Linotype"/>
          <w:i/>
          <w:iCs/>
        </w:rPr>
        <w:t>VII. La contratación de los servicios de maquila, seguros y transportación, así como de los de limpieza y vigilancia de bienes inmuebles</w:t>
      </w:r>
    </w:p>
    <w:p w:rsidR="003D0A4D" w:rsidRPr="00D42A51" w:rsidRDefault="00601292">
      <w:pPr>
        <w:spacing w:line="360" w:lineRule="auto"/>
        <w:ind w:left="851" w:right="822"/>
        <w:jc w:val="both"/>
        <w:rPr>
          <w:rFonts w:ascii="Palatino Linotype" w:eastAsia="Palatino Linotype" w:hAnsi="Palatino Linotype" w:cs="Palatino Linotype"/>
          <w:b/>
          <w:bCs/>
          <w:i/>
          <w:iCs/>
          <w:u w:val="single"/>
        </w:rPr>
      </w:pPr>
      <w:r w:rsidRPr="00D42A51">
        <w:rPr>
          <w:rFonts w:ascii="Palatino Linotype" w:eastAsia="Palatino Linotype" w:hAnsi="Palatino Linotype" w:cs="Palatino Linotype"/>
          <w:b/>
          <w:bCs/>
          <w:i/>
          <w:iCs/>
          <w:u w:val="single"/>
        </w:rPr>
        <w:t xml:space="preserve">VIII. La prestación de servicios profesionales, la contratación de consultorías, asesorías y estudios e investigaciones, excepto la contratación de servicios personales de personas físicas bajo el régimen de honorarios. </w:t>
      </w:r>
    </w:p>
    <w:p w:rsidR="003D0A4D" w:rsidRPr="00D42A51" w:rsidRDefault="00601292">
      <w:pPr>
        <w:spacing w:line="360" w:lineRule="auto"/>
        <w:ind w:left="851" w:right="822"/>
        <w:jc w:val="both"/>
        <w:rPr>
          <w:rFonts w:ascii="Palatino Linotype" w:eastAsia="Palatino Linotype" w:hAnsi="Palatino Linotype" w:cs="Palatino Linotype"/>
          <w:b/>
          <w:bCs/>
          <w:i/>
          <w:iCs/>
          <w:u w:val="single"/>
        </w:rPr>
      </w:pPr>
      <w:r w:rsidRPr="00D42A51">
        <w:rPr>
          <w:rFonts w:ascii="Palatino Linotype" w:eastAsia="Palatino Linotype" w:hAnsi="Palatino Linotype" w:cs="Palatino Linotype"/>
          <w:b/>
          <w:bCs/>
          <w:i/>
          <w:iCs/>
          <w:u w:val="single"/>
        </w:rPr>
        <w:t>En general, otros actos que impliquen la contratación de servicios de cualquier naturaleza.</w:t>
      </w:r>
    </w:p>
    <w:p w:rsidR="003D0A4D" w:rsidRPr="00D42A51" w:rsidRDefault="003D0A4D">
      <w:pPr>
        <w:spacing w:line="360" w:lineRule="auto"/>
        <w:ind w:left="851" w:right="822"/>
        <w:jc w:val="both"/>
        <w:rPr>
          <w:rFonts w:ascii="Palatino Linotype" w:eastAsia="Palatino Linotype" w:hAnsi="Palatino Linotype" w:cs="Palatino Linotype"/>
          <w:b/>
          <w:bCs/>
          <w:i/>
          <w:iCs/>
          <w:u w:val="single"/>
        </w:rPr>
      </w:pPr>
    </w:p>
    <w:p w:rsidR="003D0A4D" w:rsidRPr="00D42A51" w:rsidRDefault="00601292">
      <w:pPr>
        <w:spacing w:line="360" w:lineRule="auto"/>
        <w:ind w:left="851" w:right="822"/>
        <w:jc w:val="both"/>
        <w:rPr>
          <w:rFonts w:ascii="Palatino Linotype" w:eastAsia="Palatino Linotype" w:hAnsi="Palatino Linotype" w:cs="Palatino Linotype"/>
          <w:b/>
          <w:bCs/>
          <w:i/>
          <w:iCs/>
        </w:rPr>
      </w:pPr>
      <w:r w:rsidRPr="00D42A51">
        <w:rPr>
          <w:rFonts w:ascii="Palatino Linotype" w:eastAsia="Palatino Linotype" w:hAnsi="Palatino Linotype" w:cs="Palatino Linotype"/>
          <w:b/>
          <w:bCs/>
          <w:i/>
          <w:iCs/>
        </w:rPr>
        <w:lastRenderedPageBreak/>
        <w:t>Artículo 26.- Las adquisiciones, arrendam</w:t>
      </w:r>
      <w:bookmarkStart w:id="6" w:name="_GoBack"/>
      <w:bookmarkEnd w:id="6"/>
      <w:r w:rsidRPr="00D42A51">
        <w:rPr>
          <w:rFonts w:ascii="Palatino Linotype" w:eastAsia="Palatino Linotype" w:hAnsi="Palatino Linotype" w:cs="Palatino Linotype"/>
          <w:b/>
          <w:bCs/>
          <w:i/>
          <w:iCs/>
        </w:rPr>
        <w:t>ientos y servicios se adjudicarán a través de licitaciones públicas, mediante convocatoria pública.</w:t>
      </w:r>
    </w:p>
    <w:p w:rsidR="003D0A4D" w:rsidRPr="00D42A51" w:rsidRDefault="003D0A4D">
      <w:pPr>
        <w:spacing w:line="360" w:lineRule="auto"/>
        <w:ind w:left="851" w:right="822"/>
        <w:jc w:val="both"/>
        <w:rPr>
          <w:rFonts w:ascii="Palatino Linotype" w:eastAsia="Palatino Linotype" w:hAnsi="Palatino Linotype" w:cs="Palatino Linotype"/>
          <w:b/>
          <w:bCs/>
          <w:i/>
          <w:iCs/>
        </w:rPr>
      </w:pPr>
    </w:p>
    <w:p w:rsidR="003D0A4D" w:rsidRPr="00D42A51" w:rsidRDefault="00601292">
      <w:pPr>
        <w:spacing w:line="360" w:lineRule="auto"/>
        <w:ind w:left="851" w:right="822"/>
        <w:jc w:val="both"/>
        <w:rPr>
          <w:rFonts w:ascii="Palatino Linotype" w:eastAsia="Palatino Linotype" w:hAnsi="Palatino Linotype" w:cs="Palatino Linotype"/>
          <w:i/>
          <w:iCs/>
        </w:rPr>
      </w:pPr>
      <w:r w:rsidRPr="00D42A51">
        <w:rPr>
          <w:rFonts w:ascii="Palatino Linotype" w:eastAsia="Palatino Linotype" w:hAnsi="Palatino Linotype" w:cs="Palatino Linotype"/>
          <w:b/>
          <w:bCs/>
          <w:i/>
          <w:iCs/>
        </w:rPr>
        <w:t xml:space="preserve">Artículo 27.- </w:t>
      </w:r>
      <w:r w:rsidRPr="00D42A51">
        <w:rPr>
          <w:rFonts w:ascii="Palatino Linotype" w:eastAsia="Palatino Linotype" w:hAnsi="Palatino Linotype" w:cs="Palatino Linotype"/>
          <w:i/>
          <w:iCs/>
        </w:rPr>
        <w:t xml:space="preserve">La Secretaría, las entidades, los tribunales administrativos y </w:t>
      </w:r>
      <w:r w:rsidRPr="00D42A51">
        <w:rPr>
          <w:rFonts w:ascii="Palatino Linotype" w:eastAsia="Palatino Linotype" w:hAnsi="Palatino Linotype" w:cs="Palatino Linotype"/>
          <w:b/>
          <w:bCs/>
          <w:i/>
          <w:iCs/>
        </w:rPr>
        <w:t>los ayuntamientos</w:t>
      </w:r>
      <w:r w:rsidRPr="00D42A51">
        <w:rPr>
          <w:rFonts w:ascii="Palatino Linotype" w:eastAsia="Palatino Linotype" w:hAnsi="Palatino Linotype" w:cs="Palatino Linotype"/>
          <w:i/>
          <w:iCs/>
        </w:rPr>
        <w:t xml:space="preserve"> podrán adjudicar adquisiciones, arrendamientos y servicios, mediante las excepciones al procedimiento de licitación que a continuación se señalan: </w:t>
      </w:r>
    </w:p>
    <w:p w:rsidR="003D0A4D" w:rsidRPr="00D42A51" w:rsidRDefault="00601292">
      <w:pPr>
        <w:spacing w:line="360" w:lineRule="auto"/>
        <w:ind w:left="851" w:right="822"/>
        <w:jc w:val="both"/>
        <w:rPr>
          <w:rFonts w:ascii="Palatino Linotype" w:eastAsia="Palatino Linotype" w:hAnsi="Palatino Linotype" w:cs="Palatino Linotype"/>
          <w:b/>
          <w:bCs/>
          <w:i/>
          <w:iCs/>
        </w:rPr>
      </w:pPr>
      <w:r w:rsidRPr="00D42A51">
        <w:rPr>
          <w:rFonts w:ascii="Palatino Linotype" w:eastAsia="Palatino Linotype" w:hAnsi="Palatino Linotype" w:cs="Palatino Linotype"/>
          <w:b/>
          <w:bCs/>
          <w:i/>
          <w:iCs/>
        </w:rPr>
        <w:t xml:space="preserve">I. Invitación restringida. </w:t>
      </w:r>
    </w:p>
    <w:p w:rsidR="003D0A4D" w:rsidRPr="00D42A51" w:rsidRDefault="00601292">
      <w:pPr>
        <w:spacing w:line="360" w:lineRule="auto"/>
        <w:ind w:left="851" w:right="822"/>
        <w:jc w:val="both"/>
        <w:rPr>
          <w:rFonts w:ascii="Palatino Linotype" w:eastAsia="Palatino Linotype" w:hAnsi="Palatino Linotype" w:cs="Palatino Linotype"/>
          <w:b/>
          <w:bCs/>
          <w:i/>
          <w:iCs/>
        </w:rPr>
      </w:pPr>
      <w:r w:rsidRPr="00D42A51">
        <w:rPr>
          <w:rFonts w:ascii="Palatino Linotype" w:eastAsia="Palatino Linotype" w:hAnsi="Palatino Linotype" w:cs="Palatino Linotype"/>
          <w:b/>
          <w:bCs/>
          <w:i/>
          <w:iCs/>
        </w:rPr>
        <w:t>II. Adjudicación directa.”</w:t>
      </w:r>
    </w:p>
    <w:p w:rsidR="003D0A4D" w:rsidRPr="00D42A51" w:rsidRDefault="00601292">
      <w:pPr>
        <w:spacing w:line="360" w:lineRule="auto"/>
        <w:ind w:left="851" w:right="567"/>
        <w:rPr>
          <w:rFonts w:ascii="Palatino Linotype" w:eastAsia="Palatino Linotype" w:hAnsi="Palatino Linotype" w:cs="Palatino Linotype"/>
        </w:rPr>
      </w:pPr>
      <w:r w:rsidRPr="00D42A51">
        <w:rPr>
          <w:rFonts w:ascii="Palatino Linotype" w:eastAsia="Palatino Linotype" w:hAnsi="Palatino Linotype" w:cs="Palatino Linotype"/>
        </w:rPr>
        <w:t xml:space="preserve">(Énfasis añadido) </w:t>
      </w:r>
    </w:p>
    <w:p w:rsidR="003D0A4D" w:rsidRPr="00D42A51" w:rsidRDefault="003D0A4D">
      <w:pPr>
        <w:spacing w:line="360" w:lineRule="auto"/>
        <w:jc w:val="both"/>
        <w:rPr>
          <w:rFonts w:ascii="Palatino Linotype" w:eastAsia="Palatino Linotype" w:hAnsi="Palatino Linotype" w:cs="Palatino Linotype"/>
        </w:rPr>
      </w:pPr>
    </w:p>
    <w:p w:rsidR="003D0A4D" w:rsidRPr="00D42A51" w:rsidRDefault="00601292">
      <w:pPr>
        <w:numPr>
          <w:ilvl w:val="0"/>
          <w:numId w:val="1"/>
        </w:numP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Asimismo, en las licitaciones se debe seguir el procedimiento marcado en el Artículo 35 del precitado ordenamiento, que literalmente establece:</w:t>
      </w:r>
    </w:p>
    <w:p w:rsidR="003D0A4D" w:rsidRPr="00D42A51" w:rsidRDefault="00601292">
      <w:pPr>
        <w:spacing w:line="360" w:lineRule="auto"/>
        <w:ind w:left="567" w:right="567"/>
        <w:jc w:val="both"/>
        <w:rPr>
          <w:rFonts w:ascii="Palatino Linotype" w:eastAsia="Palatino Linotype" w:hAnsi="Palatino Linotype" w:cs="Palatino Linotype"/>
          <w:i/>
          <w:iCs/>
        </w:rPr>
      </w:pPr>
      <w:r w:rsidRPr="00D42A51">
        <w:rPr>
          <w:rFonts w:ascii="Palatino Linotype" w:eastAsia="Palatino Linotype" w:hAnsi="Palatino Linotype" w:cs="Palatino Linotype"/>
          <w:b/>
          <w:bCs/>
          <w:i/>
          <w:iCs/>
        </w:rPr>
        <w:t>“Artículo 35</w:t>
      </w:r>
      <w:r w:rsidRPr="00D42A51">
        <w:rPr>
          <w:rFonts w:ascii="Palatino Linotype" w:eastAsia="Palatino Linotype" w:hAnsi="Palatino Linotype" w:cs="Palatino Linotype"/>
          <w:i/>
          <w:iCs/>
        </w:rPr>
        <w:t>.- En los procedimientos de licitación pública se observará lo siguiente:</w:t>
      </w:r>
    </w:p>
    <w:p w:rsidR="003D0A4D" w:rsidRPr="00D42A51" w:rsidRDefault="00601292">
      <w:pPr>
        <w:spacing w:line="360" w:lineRule="auto"/>
        <w:ind w:left="567" w:right="567"/>
        <w:jc w:val="both"/>
        <w:rPr>
          <w:rFonts w:ascii="Palatino Linotype" w:eastAsia="Palatino Linotype" w:hAnsi="Palatino Linotype" w:cs="Palatino Linotype"/>
          <w:i/>
          <w:iCs/>
        </w:rPr>
      </w:pPr>
      <w:r w:rsidRPr="00D42A51">
        <w:rPr>
          <w:rFonts w:ascii="Palatino Linotype" w:eastAsia="Palatino Linotype" w:hAnsi="Palatino Linotype" w:cs="Palatino Linotype"/>
          <w:i/>
          <w:iCs/>
        </w:rPr>
        <w:t>I. El acto de presentación y apertura de propuestas se llevará a cabo por el servidor público que designe la convocante, conforme al procedimiento que se establezca en el reglamento de esta Ley.</w:t>
      </w:r>
    </w:p>
    <w:p w:rsidR="003D0A4D" w:rsidRPr="00D42A51" w:rsidRDefault="00601292">
      <w:pPr>
        <w:spacing w:line="360" w:lineRule="auto"/>
        <w:ind w:left="567" w:right="567"/>
        <w:jc w:val="both"/>
        <w:rPr>
          <w:rFonts w:ascii="Palatino Linotype" w:eastAsia="Palatino Linotype" w:hAnsi="Palatino Linotype" w:cs="Palatino Linotype"/>
          <w:i/>
          <w:iCs/>
        </w:rPr>
      </w:pPr>
      <w:r w:rsidRPr="00D42A51">
        <w:rPr>
          <w:rFonts w:ascii="Palatino Linotype" w:eastAsia="Palatino Linotype" w:hAnsi="Palatino Linotype" w:cs="Palatino Linotype"/>
          <w:i/>
          <w:iCs/>
        </w:rPr>
        <w:t>II. El comité de adquisiciones y servicios evaluará y analizará las propuestas técnicas y económicas presentadas por los licitantes en el ámbito de las respectivas competencias de sus integrantes, y emitirá el dictamen de adjudicación.</w:t>
      </w:r>
    </w:p>
    <w:p w:rsidR="003D0A4D" w:rsidRPr="00D42A51" w:rsidRDefault="00601292">
      <w:pPr>
        <w:spacing w:line="360" w:lineRule="auto"/>
        <w:ind w:left="567" w:right="567"/>
        <w:jc w:val="both"/>
        <w:rPr>
          <w:rFonts w:ascii="Palatino Linotype" w:eastAsia="Palatino Linotype" w:hAnsi="Palatino Linotype" w:cs="Palatino Linotype"/>
          <w:i/>
          <w:iCs/>
          <w:u w:val="single"/>
        </w:rPr>
      </w:pPr>
      <w:r w:rsidRPr="00D42A51">
        <w:rPr>
          <w:rFonts w:ascii="Palatino Linotype" w:eastAsia="Palatino Linotype" w:hAnsi="Palatino Linotype" w:cs="Palatino Linotype"/>
          <w:i/>
          <w:iCs/>
          <w:u w:val="single"/>
        </w:rPr>
        <w:t xml:space="preserve">III. Las bases de licitación se pondrán a la venta a partir de la fecha de publicación de la convocatoria y hasta el día hábil anterior a la fecha de celebración </w:t>
      </w:r>
      <w:r w:rsidRPr="00D42A51">
        <w:rPr>
          <w:rFonts w:ascii="Palatino Linotype" w:eastAsia="Palatino Linotype" w:hAnsi="Palatino Linotype" w:cs="Palatino Linotype"/>
          <w:b/>
          <w:bCs/>
          <w:i/>
          <w:iCs/>
          <w:u w:val="single"/>
        </w:rPr>
        <w:t>de la junta de aclaraciones</w:t>
      </w:r>
      <w:r w:rsidRPr="00D42A51">
        <w:rPr>
          <w:rFonts w:ascii="Palatino Linotype" w:eastAsia="Palatino Linotype" w:hAnsi="Palatino Linotype" w:cs="Palatino Linotype"/>
          <w:i/>
          <w:iCs/>
          <w:u w:val="single"/>
        </w:rPr>
        <w:t xml:space="preserve"> o, en su defecto, del acto de presentación y apertura de propuestas.</w:t>
      </w:r>
    </w:p>
    <w:p w:rsidR="003D0A4D" w:rsidRPr="00D42A51" w:rsidRDefault="00601292">
      <w:pPr>
        <w:spacing w:line="360" w:lineRule="auto"/>
        <w:ind w:left="567" w:right="567"/>
        <w:jc w:val="both"/>
        <w:rPr>
          <w:rFonts w:ascii="Palatino Linotype" w:eastAsia="Palatino Linotype" w:hAnsi="Palatino Linotype" w:cs="Palatino Linotype"/>
          <w:i/>
          <w:iCs/>
        </w:rPr>
      </w:pPr>
      <w:r w:rsidRPr="00D42A51">
        <w:rPr>
          <w:rFonts w:ascii="Palatino Linotype" w:eastAsia="Palatino Linotype" w:hAnsi="Palatino Linotype" w:cs="Palatino Linotype"/>
          <w:i/>
          <w:iCs/>
        </w:rPr>
        <w:lastRenderedPageBreak/>
        <w:t>IV. Las convocantes podrán modificar los plazos y términos establecidos en la convocatoria o en las bases de licitación, hasta cinco días hábiles anteriores a la fecha de la celebración del acto de presentación y apertura de propuestas.</w:t>
      </w:r>
    </w:p>
    <w:p w:rsidR="003D0A4D" w:rsidRPr="00D42A51" w:rsidRDefault="00601292">
      <w:pPr>
        <w:spacing w:line="360" w:lineRule="auto"/>
        <w:ind w:left="567" w:right="567"/>
        <w:jc w:val="both"/>
        <w:rPr>
          <w:rFonts w:ascii="Palatino Linotype" w:eastAsia="Palatino Linotype" w:hAnsi="Palatino Linotype" w:cs="Palatino Linotype"/>
          <w:i/>
          <w:iCs/>
        </w:rPr>
      </w:pPr>
      <w:r w:rsidRPr="00D42A51">
        <w:rPr>
          <w:rFonts w:ascii="Palatino Linotype" w:eastAsia="Palatino Linotype" w:hAnsi="Palatino Linotype" w:cs="Palatino Linotype"/>
          <w:i/>
          <w:iCs/>
        </w:rPr>
        <w:t>V. Las modificaciones no podrán limitar el número de licitantes, sustituir o variar sustancialmente los bienes o servicios convocados originalmente, ni adicionar otros  distintos.</w:t>
      </w:r>
    </w:p>
    <w:p w:rsidR="003D0A4D" w:rsidRPr="00D42A51" w:rsidRDefault="00601292">
      <w:pPr>
        <w:spacing w:line="360" w:lineRule="auto"/>
        <w:ind w:left="567" w:right="567"/>
        <w:jc w:val="both"/>
        <w:rPr>
          <w:rFonts w:ascii="Palatino Linotype" w:eastAsia="Palatino Linotype" w:hAnsi="Palatino Linotype" w:cs="Palatino Linotype"/>
          <w:i/>
          <w:iCs/>
        </w:rPr>
      </w:pPr>
      <w:r w:rsidRPr="00D42A51">
        <w:rPr>
          <w:rFonts w:ascii="Palatino Linotype" w:eastAsia="Palatino Linotype" w:hAnsi="Palatino Linotype" w:cs="Palatino Linotype"/>
          <w:i/>
          <w:iCs/>
        </w:rPr>
        <w:t>VI. Las modificaciones a la convocatoria o a las bases se harán del conocimiento de los interesados hasta tres días hábiles antes de la fecha señalada para el acto de presentación y apertura de propuestas.</w:t>
      </w:r>
    </w:p>
    <w:p w:rsidR="003D0A4D" w:rsidRPr="00D42A51" w:rsidRDefault="00601292">
      <w:pPr>
        <w:spacing w:line="360" w:lineRule="auto"/>
        <w:ind w:left="567" w:right="567"/>
        <w:jc w:val="both"/>
        <w:rPr>
          <w:rFonts w:ascii="Palatino Linotype" w:eastAsia="Palatino Linotype" w:hAnsi="Palatino Linotype" w:cs="Palatino Linotype"/>
          <w:i/>
          <w:iCs/>
        </w:rPr>
      </w:pPr>
      <w:r w:rsidRPr="00D42A51">
        <w:rPr>
          <w:rFonts w:ascii="Palatino Linotype" w:eastAsia="Palatino Linotype" w:hAnsi="Palatino Linotype" w:cs="Palatino Linotype"/>
          <w:i/>
          <w:iCs/>
        </w:rPr>
        <w:t>VII. Se emitirá el fallo dentro de los 15 días hábiles siguientes a la publicación de la convocatoria.</w:t>
      </w:r>
    </w:p>
    <w:p w:rsidR="003D0A4D" w:rsidRPr="00D42A51" w:rsidRDefault="00601292">
      <w:pPr>
        <w:spacing w:line="360" w:lineRule="auto"/>
        <w:ind w:left="567" w:right="567"/>
        <w:jc w:val="both"/>
        <w:rPr>
          <w:rFonts w:ascii="Palatino Linotype" w:eastAsia="Palatino Linotype" w:hAnsi="Palatino Linotype" w:cs="Palatino Linotype"/>
          <w:i/>
          <w:iCs/>
        </w:rPr>
      </w:pPr>
      <w:r w:rsidRPr="00D42A51">
        <w:rPr>
          <w:rFonts w:ascii="Palatino Linotype" w:eastAsia="Palatino Linotype" w:hAnsi="Palatino Linotype" w:cs="Palatino Linotype"/>
          <w:i/>
          <w:iCs/>
        </w:rPr>
        <w:t>VIII. Los licitantes se podrán registrar hasta el día y la hora fijados para el acto de presentación y apertura de propuestas.</w:t>
      </w:r>
      <w:r w:rsidRPr="00D42A51">
        <w:rPr>
          <w:rFonts w:ascii="Palatino Linotype" w:eastAsia="Palatino Linotype" w:hAnsi="Palatino Linotype" w:cs="Palatino Linotype"/>
          <w:b/>
          <w:bCs/>
          <w:i/>
          <w:iCs/>
        </w:rPr>
        <w:t>”</w:t>
      </w:r>
    </w:p>
    <w:p w:rsidR="003D0A4D" w:rsidRPr="00D42A51" w:rsidRDefault="00601292">
      <w:pPr>
        <w:spacing w:line="360" w:lineRule="auto"/>
        <w:ind w:left="567" w:right="567"/>
        <w:rPr>
          <w:rFonts w:ascii="Palatino Linotype" w:eastAsia="Palatino Linotype" w:hAnsi="Palatino Linotype" w:cs="Palatino Linotype"/>
        </w:rPr>
      </w:pPr>
      <w:r w:rsidRPr="00D42A51">
        <w:rPr>
          <w:rFonts w:ascii="Palatino Linotype" w:eastAsia="Palatino Linotype" w:hAnsi="Palatino Linotype" w:cs="Palatino Linotype"/>
        </w:rPr>
        <w:t>(Énfasis añadido)</w:t>
      </w:r>
    </w:p>
    <w:p w:rsidR="003D0A4D" w:rsidRPr="00D42A51" w:rsidRDefault="003D0A4D">
      <w:pPr>
        <w:spacing w:line="360" w:lineRule="auto"/>
        <w:ind w:left="567" w:right="567"/>
        <w:jc w:val="right"/>
        <w:rPr>
          <w:rFonts w:ascii="Palatino Linotype" w:eastAsia="Palatino Linotype" w:hAnsi="Palatino Linotype" w:cs="Palatino Linotype"/>
        </w:rPr>
      </w:pPr>
    </w:p>
    <w:p w:rsidR="003D0A4D" w:rsidRPr="00D42A51" w:rsidRDefault="00601292">
      <w:pPr>
        <w:numPr>
          <w:ilvl w:val="0"/>
          <w:numId w:val="1"/>
        </w:numP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Del precepto legal, se desprende que, los comités de adquisiciones y servicios, les corresponde evaluar y analizar las propuestas técnicas y económicas presentadas por los licitantes en el ámbito de las respectivas competencias de sus integrantes, debiendo emitir para ello un dictamen de adjudicación y conforme a dicho dictamen se deberá emitir el fallo dentro de los quince días hábiles siguientes a la publicación de la convocatoria.</w:t>
      </w:r>
    </w:p>
    <w:p w:rsidR="003D0A4D" w:rsidRPr="00D42A51" w:rsidRDefault="003D0A4D">
      <w:pPr>
        <w:spacing w:line="360" w:lineRule="auto"/>
        <w:ind w:left="502"/>
        <w:jc w:val="both"/>
        <w:rPr>
          <w:rFonts w:ascii="Palatino Linotype" w:eastAsia="Palatino Linotype" w:hAnsi="Palatino Linotype" w:cs="Palatino Linotype"/>
        </w:rPr>
      </w:pPr>
    </w:p>
    <w:p w:rsidR="003D0A4D" w:rsidRPr="00D42A51" w:rsidRDefault="00601292">
      <w:pPr>
        <w:numPr>
          <w:ilvl w:val="0"/>
          <w:numId w:val="1"/>
        </w:numP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 xml:space="preserve">Ahora bien, por cuanto hace a la invitación restringida el artículo 44 de la Ley de la Contratación Pública del Estado de México y Municipios, dispone que podrá realizarse </w:t>
      </w:r>
      <w:r w:rsidRPr="00D42A51">
        <w:rPr>
          <w:rFonts w:ascii="Palatino Linotype" w:eastAsia="Palatino Linotype" w:hAnsi="Palatino Linotype" w:cs="Palatino Linotype"/>
          <w:color w:val="000000"/>
        </w:rPr>
        <w:lastRenderedPageBreak/>
        <w:t xml:space="preserve">cuando se hubiere declarado desierto un procedimiento de licitación o cuando el importe de la operación no exceda de los montos establecidos por el Presupuesto de Egresos del Gobierno del Estado de México del ejercicio correspondiente. </w:t>
      </w:r>
    </w:p>
    <w:p w:rsidR="003D0A4D" w:rsidRPr="00D42A51" w:rsidRDefault="003D0A4D">
      <w:pPr>
        <w:spacing w:line="360" w:lineRule="auto"/>
        <w:jc w:val="both"/>
        <w:rPr>
          <w:rFonts w:ascii="Palatino Linotype" w:eastAsia="Palatino Linotype" w:hAnsi="Palatino Linotype" w:cs="Palatino Linotype"/>
          <w:color w:val="000000"/>
        </w:rPr>
      </w:pPr>
    </w:p>
    <w:p w:rsidR="003D0A4D" w:rsidRPr="00D42A51" w:rsidRDefault="00601292">
      <w:pPr>
        <w:numPr>
          <w:ilvl w:val="0"/>
          <w:numId w:val="1"/>
        </w:numP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 xml:space="preserve">En este sentido, debe decirse que los expedientes de las adquisiciones, arrendamientos, enajenaciones y servicios, </w:t>
      </w:r>
      <w:r w:rsidRPr="00D42A51">
        <w:rPr>
          <w:rFonts w:ascii="Palatino Linotype" w:eastAsia="Palatino Linotype" w:hAnsi="Palatino Linotype" w:cs="Palatino Linotype"/>
          <w:b/>
          <w:bCs/>
          <w:color w:val="000000"/>
        </w:rPr>
        <w:t>se encuentra considerada como una de las obligaciones de transparencias comunes que los sujetos obligados</w:t>
      </w:r>
      <w:r w:rsidRPr="00D42A51">
        <w:rPr>
          <w:rFonts w:ascii="Palatino Linotype" w:eastAsia="Palatino Linotype" w:hAnsi="Palatino Linotype" w:cs="Palatino Linotype"/>
          <w:color w:val="000000"/>
        </w:rPr>
        <w:t xml:space="preserve"> </w:t>
      </w:r>
      <w:r w:rsidRPr="00D42A51">
        <w:rPr>
          <w:rFonts w:ascii="Palatino Linotype" w:eastAsia="Palatino Linotype" w:hAnsi="Palatino Linotype" w:cs="Palatino Linotype"/>
          <w:b/>
          <w:bCs/>
          <w:color w:val="000000"/>
        </w:rPr>
        <w:t>tienen el deber de poner a disposición del público de manera permanente y actualizada</w:t>
      </w:r>
      <w:r w:rsidRPr="00D42A51">
        <w:rPr>
          <w:rFonts w:ascii="Palatino Linotype" w:eastAsia="Palatino Linotype" w:hAnsi="Palatino Linotype" w:cs="Palatino Linotype"/>
          <w:color w:val="000000"/>
        </w:rPr>
        <w:t xml:space="preserve"> de forma sencilla, precisa y entendible, en los respectivos medios electrónicos, de acuerdo con sus facultades, atribuciones, funciones u objeto social, según corresponda; esto conforme a lo establecido en el artículo 92 de la de la Ley de Transparencia y Acceso a la Información Pública del Estado de México y Municipios, en su fracción XXIX, dispone lo siguiente:</w:t>
      </w:r>
    </w:p>
    <w:p w:rsidR="003D0A4D" w:rsidRPr="00D42A51" w:rsidRDefault="00601292">
      <w:pPr>
        <w:spacing w:line="360" w:lineRule="auto"/>
        <w:ind w:left="851" w:right="822"/>
        <w:jc w:val="both"/>
        <w:rPr>
          <w:rFonts w:ascii="Palatino Linotype" w:eastAsia="Palatino Linotype" w:hAnsi="Palatino Linotype" w:cs="Palatino Linotype"/>
        </w:rPr>
      </w:pPr>
      <w:r w:rsidRPr="00D42A51">
        <w:rPr>
          <w:rFonts w:ascii="Palatino Linotype" w:eastAsia="Palatino Linotype" w:hAnsi="Palatino Linotype" w:cs="Palatino Linotype"/>
          <w:b/>
          <w:bCs/>
          <w:i/>
          <w:iCs/>
        </w:rPr>
        <w:t>“Artículo 92. </w:t>
      </w:r>
      <w:r w:rsidRPr="00D42A51">
        <w:rPr>
          <w:rFonts w:ascii="Palatino Linotype" w:eastAsia="Palatino Linotype" w:hAnsi="Palatino Linotype" w:cs="Palatino Linotype"/>
          <w:i/>
          <w:iCs/>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3D0A4D" w:rsidRPr="00D42A51" w:rsidRDefault="00601292">
      <w:pPr>
        <w:spacing w:line="360" w:lineRule="auto"/>
        <w:ind w:left="851" w:right="822"/>
        <w:jc w:val="both"/>
        <w:rPr>
          <w:rFonts w:ascii="Palatino Linotype" w:eastAsia="Palatino Linotype" w:hAnsi="Palatino Linotype" w:cs="Palatino Linotype"/>
        </w:rPr>
      </w:pPr>
      <w:r w:rsidRPr="00D42A51">
        <w:rPr>
          <w:rFonts w:ascii="Palatino Linotype" w:eastAsia="Palatino Linotype" w:hAnsi="Palatino Linotype" w:cs="Palatino Linotype"/>
          <w:i/>
          <w:iCs/>
        </w:rPr>
        <w:t>(…)</w:t>
      </w:r>
    </w:p>
    <w:p w:rsidR="003D0A4D" w:rsidRPr="00D42A51" w:rsidRDefault="003D0A4D">
      <w:pPr>
        <w:spacing w:line="360" w:lineRule="auto"/>
        <w:ind w:left="851" w:right="822"/>
        <w:jc w:val="both"/>
        <w:rPr>
          <w:rFonts w:ascii="Palatino Linotype" w:eastAsia="Palatino Linotype" w:hAnsi="Palatino Linotype" w:cs="Palatino Linotype"/>
          <w:b/>
          <w:bCs/>
          <w:i/>
          <w:iCs/>
        </w:rPr>
      </w:pPr>
    </w:p>
    <w:p w:rsidR="003D0A4D" w:rsidRPr="00D42A51" w:rsidRDefault="00601292">
      <w:pPr>
        <w:spacing w:line="360" w:lineRule="auto"/>
        <w:ind w:left="851" w:right="822"/>
        <w:jc w:val="both"/>
        <w:rPr>
          <w:rFonts w:ascii="Palatino Linotype" w:eastAsia="Palatino Linotype" w:hAnsi="Palatino Linotype" w:cs="Palatino Linotype"/>
        </w:rPr>
      </w:pPr>
      <w:r w:rsidRPr="00D42A51">
        <w:rPr>
          <w:rFonts w:ascii="Palatino Linotype" w:eastAsia="Palatino Linotype" w:hAnsi="Palatino Linotype" w:cs="Palatino Linotype"/>
          <w:b/>
          <w:bCs/>
          <w:i/>
          <w:iCs/>
        </w:rPr>
        <w:t>XXIX. </w:t>
      </w:r>
      <w:r w:rsidRPr="00D42A51">
        <w:rPr>
          <w:rFonts w:ascii="Palatino Linotype" w:eastAsia="Palatino Linotype" w:hAnsi="Palatino Linotype" w:cs="Palatino Linotype"/>
          <w:i/>
          <w:iCs/>
        </w:rPr>
        <w:t>La información sobre los procesos y resultados sobre procedimientos de adjudicación directa, invitación restringida y licitación de cualquier naturaleza, </w:t>
      </w:r>
      <w:r w:rsidRPr="00D42A51">
        <w:rPr>
          <w:rFonts w:ascii="Palatino Linotype" w:eastAsia="Palatino Linotype" w:hAnsi="Palatino Linotype" w:cs="Palatino Linotype"/>
          <w:b/>
          <w:bCs/>
          <w:i/>
          <w:iCs/>
          <w:u w:val="single"/>
        </w:rPr>
        <w:t>incluyendo la versión pública del expediente respectivo y de los contratos</w:t>
      </w:r>
      <w:r w:rsidRPr="00D42A51">
        <w:rPr>
          <w:rFonts w:ascii="Palatino Linotype" w:eastAsia="Palatino Linotype" w:hAnsi="Palatino Linotype" w:cs="Palatino Linotype"/>
          <w:i/>
          <w:iCs/>
        </w:rPr>
        <w:t> celebrados, que deberán contener, por los menos, lo siguiente:</w:t>
      </w:r>
    </w:p>
    <w:p w:rsidR="003D0A4D" w:rsidRPr="00D42A51" w:rsidRDefault="00601292">
      <w:pPr>
        <w:spacing w:line="360" w:lineRule="auto"/>
        <w:ind w:left="851" w:right="822"/>
        <w:jc w:val="both"/>
        <w:rPr>
          <w:rFonts w:ascii="Palatino Linotype" w:eastAsia="Palatino Linotype" w:hAnsi="Palatino Linotype" w:cs="Palatino Linotype"/>
        </w:rPr>
      </w:pPr>
      <w:r w:rsidRPr="00D42A51">
        <w:rPr>
          <w:rFonts w:ascii="Palatino Linotype" w:eastAsia="Palatino Linotype" w:hAnsi="Palatino Linotype" w:cs="Palatino Linotype"/>
          <w:b/>
          <w:bCs/>
          <w:i/>
          <w:iCs/>
        </w:rPr>
        <w:lastRenderedPageBreak/>
        <w:t>a) </w:t>
      </w:r>
      <w:r w:rsidRPr="00D42A51">
        <w:rPr>
          <w:rFonts w:ascii="Palatino Linotype" w:eastAsia="Palatino Linotype" w:hAnsi="Palatino Linotype" w:cs="Palatino Linotype"/>
          <w:i/>
          <w:iCs/>
        </w:rPr>
        <w:t>De licitaciones públicas o procedimientos de invitación restringida:</w:t>
      </w:r>
    </w:p>
    <w:p w:rsidR="003D0A4D" w:rsidRPr="00D42A51" w:rsidRDefault="00601292">
      <w:pPr>
        <w:spacing w:line="360" w:lineRule="auto"/>
        <w:ind w:left="851" w:right="822"/>
        <w:jc w:val="both"/>
        <w:rPr>
          <w:rFonts w:ascii="Palatino Linotype" w:eastAsia="Palatino Linotype" w:hAnsi="Palatino Linotype" w:cs="Palatino Linotype"/>
        </w:rPr>
      </w:pPr>
      <w:r w:rsidRPr="00D42A51">
        <w:rPr>
          <w:rFonts w:ascii="Palatino Linotype" w:eastAsia="Palatino Linotype" w:hAnsi="Palatino Linotype" w:cs="Palatino Linotype"/>
          <w:b/>
          <w:bCs/>
          <w:i/>
          <w:iCs/>
        </w:rPr>
        <w:t>1)</w:t>
      </w:r>
      <w:r w:rsidRPr="00D42A51">
        <w:rPr>
          <w:rFonts w:ascii="Palatino Linotype" w:eastAsia="Palatino Linotype" w:hAnsi="Palatino Linotype" w:cs="Palatino Linotype"/>
          <w:i/>
          <w:iCs/>
        </w:rPr>
        <w:t> La convocatoria o invitación emitida, así como los fundamentos legales aplicados para llevarla a cabo;</w:t>
      </w:r>
    </w:p>
    <w:p w:rsidR="003D0A4D" w:rsidRPr="00D42A51" w:rsidRDefault="00601292">
      <w:pPr>
        <w:spacing w:line="360" w:lineRule="auto"/>
        <w:ind w:left="851" w:right="822"/>
        <w:jc w:val="both"/>
        <w:rPr>
          <w:rFonts w:ascii="Palatino Linotype" w:eastAsia="Palatino Linotype" w:hAnsi="Palatino Linotype" w:cs="Palatino Linotype"/>
        </w:rPr>
      </w:pPr>
      <w:r w:rsidRPr="00D42A51">
        <w:rPr>
          <w:rFonts w:ascii="Palatino Linotype" w:eastAsia="Palatino Linotype" w:hAnsi="Palatino Linotype" w:cs="Palatino Linotype"/>
          <w:b/>
          <w:bCs/>
          <w:i/>
          <w:iCs/>
        </w:rPr>
        <w:t>2) </w:t>
      </w:r>
      <w:r w:rsidRPr="00D42A51">
        <w:rPr>
          <w:rFonts w:ascii="Palatino Linotype" w:eastAsia="Palatino Linotype" w:hAnsi="Palatino Linotype" w:cs="Palatino Linotype"/>
          <w:i/>
          <w:iCs/>
        </w:rPr>
        <w:t>Los nombres de los participantes o invitados;</w:t>
      </w:r>
    </w:p>
    <w:p w:rsidR="003D0A4D" w:rsidRPr="00D42A51" w:rsidRDefault="00601292">
      <w:pPr>
        <w:spacing w:line="360" w:lineRule="auto"/>
        <w:ind w:left="851" w:right="822"/>
        <w:jc w:val="both"/>
        <w:rPr>
          <w:rFonts w:ascii="Palatino Linotype" w:eastAsia="Palatino Linotype" w:hAnsi="Palatino Linotype" w:cs="Palatino Linotype"/>
        </w:rPr>
      </w:pPr>
      <w:r w:rsidRPr="00D42A51">
        <w:rPr>
          <w:rFonts w:ascii="Palatino Linotype" w:eastAsia="Palatino Linotype" w:hAnsi="Palatino Linotype" w:cs="Palatino Linotype"/>
          <w:b/>
          <w:bCs/>
          <w:i/>
          <w:iCs/>
        </w:rPr>
        <w:t>3)</w:t>
      </w:r>
      <w:r w:rsidRPr="00D42A51">
        <w:rPr>
          <w:rFonts w:ascii="Palatino Linotype" w:eastAsia="Palatino Linotype" w:hAnsi="Palatino Linotype" w:cs="Palatino Linotype"/>
          <w:i/>
          <w:iCs/>
        </w:rPr>
        <w:t> El nombre del ganador y las razones que lo justifican;</w:t>
      </w:r>
    </w:p>
    <w:p w:rsidR="003D0A4D" w:rsidRPr="00D42A51" w:rsidRDefault="00601292">
      <w:pPr>
        <w:spacing w:line="360" w:lineRule="auto"/>
        <w:ind w:left="851" w:right="822"/>
        <w:jc w:val="both"/>
        <w:rPr>
          <w:rFonts w:ascii="Palatino Linotype" w:eastAsia="Palatino Linotype" w:hAnsi="Palatino Linotype" w:cs="Palatino Linotype"/>
        </w:rPr>
      </w:pPr>
      <w:r w:rsidRPr="00D42A51">
        <w:rPr>
          <w:rFonts w:ascii="Palatino Linotype" w:eastAsia="Palatino Linotype" w:hAnsi="Palatino Linotype" w:cs="Palatino Linotype"/>
          <w:b/>
          <w:bCs/>
          <w:i/>
          <w:iCs/>
        </w:rPr>
        <w:t>4) </w:t>
      </w:r>
      <w:r w:rsidRPr="00D42A51">
        <w:rPr>
          <w:rFonts w:ascii="Palatino Linotype" w:eastAsia="Palatino Linotype" w:hAnsi="Palatino Linotype" w:cs="Palatino Linotype"/>
          <w:i/>
          <w:iCs/>
        </w:rPr>
        <w:t>El área solicitante y la responsable de su ejecución;</w:t>
      </w:r>
    </w:p>
    <w:p w:rsidR="003D0A4D" w:rsidRPr="00D42A51" w:rsidRDefault="00601292">
      <w:pPr>
        <w:spacing w:line="360" w:lineRule="auto"/>
        <w:ind w:left="851" w:right="822"/>
        <w:jc w:val="both"/>
        <w:rPr>
          <w:rFonts w:ascii="Palatino Linotype" w:eastAsia="Palatino Linotype" w:hAnsi="Palatino Linotype" w:cs="Palatino Linotype"/>
        </w:rPr>
      </w:pPr>
      <w:r w:rsidRPr="00D42A51">
        <w:rPr>
          <w:rFonts w:ascii="Palatino Linotype" w:eastAsia="Palatino Linotype" w:hAnsi="Palatino Linotype" w:cs="Palatino Linotype"/>
          <w:b/>
          <w:bCs/>
          <w:i/>
          <w:iCs/>
        </w:rPr>
        <w:t>5) </w:t>
      </w:r>
      <w:r w:rsidRPr="00D42A51">
        <w:rPr>
          <w:rFonts w:ascii="Palatino Linotype" w:eastAsia="Palatino Linotype" w:hAnsi="Palatino Linotype" w:cs="Palatino Linotype"/>
          <w:i/>
          <w:iCs/>
        </w:rPr>
        <w:t>Las convocatorias e invitaciones emitidas;</w:t>
      </w:r>
    </w:p>
    <w:p w:rsidR="003D0A4D" w:rsidRPr="00D42A51" w:rsidRDefault="00601292">
      <w:pPr>
        <w:spacing w:line="360" w:lineRule="auto"/>
        <w:ind w:left="851" w:right="822"/>
        <w:jc w:val="both"/>
        <w:rPr>
          <w:rFonts w:ascii="Palatino Linotype" w:eastAsia="Palatino Linotype" w:hAnsi="Palatino Linotype" w:cs="Palatino Linotype"/>
          <w:i/>
          <w:iCs/>
        </w:rPr>
      </w:pPr>
      <w:r w:rsidRPr="00D42A51">
        <w:rPr>
          <w:rFonts w:ascii="Palatino Linotype" w:eastAsia="Palatino Linotype" w:hAnsi="Palatino Linotype" w:cs="Palatino Linotype"/>
          <w:i/>
          <w:iCs/>
        </w:rPr>
        <w:t>6) Los dictámenes y fallo de adjudicación;</w:t>
      </w:r>
    </w:p>
    <w:p w:rsidR="003D0A4D" w:rsidRPr="00D42A51" w:rsidRDefault="00601292">
      <w:pPr>
        <w:spacing w:line="360" w:lineRule="auto"/>
        <w:ind w:left="851" w:right="822"/>
        <w:jc w:val="both"/>
        <w:rPr>
          <w:rFonts w:ascii="Palatino Linotype" w:eastAsia="Palatino Linotype" w:hAnsi="Palatino Linotype" w:cs="Palatino Linotype"/>
          <w:b/>
          <w:bCs/>
          <w:i/>
          <w:iCs/>
        </w:rPr>
      </w:pPr>
      <w:r w:rsidRPr="00D42A51">
        <w:rPr>
          <w:rFonts w:ascii="Palatino Linotype" w:eastAsia="Palatino Linotype" w:hAnsi="Palatino Linotype" w:cs="Palatino Linotype"/>
          <w:b/>
          <w:bCs/>
          <w:i/>
          <w:iCs/>
          <w:u w:val="single"/>
        </w:rPr>
        <w:t>7) El contrato y, en su caso, sus anexos</w:t>
      </w:r>
      <w:r w:rsidRPr="00D42A51">
        <w:rPr>
          <w:rFonts w:ascii="Palatino Linotype" w:eastAsia="Palatino Linotype" w:hAnsi="Palatino Linotype" w:cs="Palatino Linotype"/>
          <w:b/>
          <w:bCs/>
          <w:i/>
          <w:iCs/>
        </w:rPr>
        <w:t>;</w:t>
      </w:r>
    </w:p>
    <w:p w:rsidR="003D0A4D" w:rsidRPr="00D42A51" w:rsidRDefault="00601292">
      <w:pPr>
        <w:spacing w:line="360" w:lineRule="auto"/>
        <w:ind w:left="851" w:right="822"/>
        <w:jc w:val="both"/>
        <w:rPr>
          <w:rFonts w:ascii="Palatino Linotype" w:eastAsia="Palatino Linotype" w:hAnsi="Palatino Linotype" w:cs="Palatino Linotype"/>
          <w:i/>
          <w:iCs/>
        </w:rPr>
      </w:pPr>
      <w:r w:rsidRPr="00D42A51">
        <w:rPr>
          <w:rFonts w:ascii="Palatino Linotype" w:eastAsia="Palatino Linotype" w:hAnsi="Palatino Linotype" w:cs="Palatino Linotype"/>
          <w:i/>
          <w:iCs/>
        </w:rPr>
        <w:t>8) Los mecanismos de vigilancia y supervisión, incluyendo en su caso, los estudios de impacto urbano y ambiental, según corresponda;</w:t>
      </w:r>
    </w:p>
    <w:p w:rsidR="003D0A4D" w:rsidRPr="00D42A51" w:rsidRDefault="00601292">
      <w:pPr>
        <w:spacing w:line="360" w:lineRule="auto"/>
        <w:ind w:left="851" w:right="822"/>
        <w:jc w:val="both"/>
        <w:rPr>
          <w:rFonts w:ascii="Palatino Linotype" w:eastAsia="Palatino Linotype" w:hAnsi="Palatino Linotype" w:cs="Palatino Linotype"/>
        </w:rPr>
      </w:pPr>
      <w:r w:rsidRPr="00D42A51">
        <w:rPr>
          <w:rFonts w:ascii="Palatino Linotype" w:eastAsia="Palatino Linotype" w:hAnsi="Palatino Linotype" w:cs="Palatino Linotype"/>
          <w:b/>
          <w:bCs/>
          <w:i/>
          <w:iCs/>
        </w:rPr>
        <w:t>9) </w:t>
      </w:r>
      <w:r w:rsidRPr="00D42A51">
        <w:rPr>
          <w:rFonts w:ascii="Palatino Linotype" w:eastAsia="Palatino Linotype" w:hAnsi="Palatino Linotype" w:cs="Palatino Linotype"/>
          <w:i/>
          <w:iCs/>
        </w:rPr>
        <w:t>La partida presupuestal, de conformidad con el clasificador por objeto del gasto, en el caso de ser aplicable;</w:t>
      </w:r>
    </w:p>
    <w:p w:rsidR="003D0A4D" w:rsidRPr="00D42A51" w:rsidRDefault="00601292">
      <w:pPr>
        <w:spacing w:line="360" w:lineRule="auto"/>
        <w:ind w:left="851" w:right="822"/>
        <w:jc w:val="both"/>
        <w:rPr>
          <w:rFonts w:ascii="Palatino Linotype" w:eastAsia="Palatino Linotype" w:hAnsi="Palatino Linotype" w:cs="Palatino Linotype"/>
        </w:rPr>
      </w:pPr>
      <w:r w:rsidRPr="00D42A51">
        <w:rPr>
          <w:rFonts w:ascii="Palatino Linotype" w:eastAsia="Palatino Linotype" w:hAnsi="Palatino Linotype" w:cs="Palatino Linotype"/>
          <w:i/>
          <w:iCs/>
        </w:rPr>
        <w:t>10) Origen de los recursos especificando si son federales, estatales o municipales, así como el tipo de fondo de participación o aportación respectiva;</w:t>
      </w:r>
    </w:p>
    <w:p w:rsidR="003D0A4D" w:rsidRPr="00D42A51" w:rsidRDefault="00601292">
      <w:pPr>
        <w:spacing w:line="360" w:lineRule="auto"/>
        <w:ind w:left="851" w:right="822"/>
        <w:jc w:val="both"/>
        <w:rPr>
          <w:rFonts w:ascii="Palatino Linotype" w:eastAsia="Palatino Linotype" w:hAnsi="Palatino Linotype" w:cs="Palatino Linotype"/>
        </w:rPr>
      </w:pPr>
      <w:r w:rsidRPr="00D42A51">
        <w:rPr>
          <w:rFonts w:ascii="Palatino Linotype" w:eastAsia="Palatino Linotype" w:hAnsi="Palatino Linotype" w:cs="Palatino Linotype"/>
          <w:b/>
          <w:bCs/>
          <w:i/>
          <w:iCs/>
        </w:rPr>
        <w:t>11) </w:t>
      </w:r>
      <w:r w:rsidRPr="00D42A51">
        <w:rPr>
          <w:rFonts w:ascii="Palatino Linotype" w:eastAsia="Palatino Linotype" w:hAnsi="Palatino Linotype" w:cs="Palatino Linotype"/>
          <w:i/>
          <w:iCs/>
        </w:rPr>
        <w:t>Los convenios modificatorios que, en su caso, sean firmados, precisando el objeto y la fecha de celebración;</w:t>
      </w:r>
    </w:p>
    <w:p w:rsidR="003D0A4D" w:rsidRPr="00D42A51" w:rsidRDefault="00601292">
      <w:pPr>
        <w:spacing w:line="360" w:lineRule="auto"/>
        <w:ind w:left="851" w:right="822"/>
        <w:jc w:val="both"/>
        <w:rPr>
          <w:rFonts w:ascii="Palatino Linotype" w:eastAsia="Palatino Linotype" w:hAnsi="Palatino Linotype" w:cs="Palatino Linotype"/>
        </w:rPr>
      </w:pPr>
      <w:r w:rsidRPr="00D42A51">
        <w:rPr>
          <w:rFonts w:ascii="Palatino Linotype" w:eastAsia="Palatino Linotype" w:hAnsi="Palatino Linotype" w:cs="Palatino Linotype"/>
          <w:b/>
          <w:bCs/>
          <w:i/>
          <w:iCs/>
        </w:rPr>
        <w:t>12) </w:t>
      </w:r>
      <w:r w:rsidRPr="00D42A51">
        <w:rPr>
          <w:rFonts w:ascii="Palatino Linotype" w:eastAsia="Palatino Linotype" w:hAnsi="Palatino Linotype" w:cs="Palatino Linotype"/>
          <w:i/>
          <w:iCs/>
        </w:rPr>
        <w:t>Los informes de avance físico y financiero sobre las obras o servicios contratados;</w:t>
      </w:r>
    </w:p>
    <w:p w:rsidR="003D0A4D" w:rsidRPr="00D42A51" w:rsidRDefault="00601292">
      <w:pPr>
        <w:spacing w:line="360" w:lineRule="auto"/>
        <w:ind w:left="851" w:right="822"/>
        <w:jc w:val="both"/>
        <w:rPr>
          <w:rFonts w:ascii="Palatino Linotype" w:eastAsia="Palatino Linotype" w:hAnsi="Palatino Linotype" w:cs="Palatino Linotype"/>
        </w:rPr>
      </w:pPr>
      <w:r w:rsidRPr="00D42A51">
        <w:rPr>
          <w:rFonts w:ascii="Palatino Linotype" w:eastAsia="Palatino Linotype" w:hAnsi="Palatino Linotype" w:cs="Palatino Linotype"/>
          <w:b/>
          <w:bCs/>
          <w:i/>
          <w:iCs/>
        </w:rPr>
        <w:t>13) </w:t>
      </w:r>
      <w:r w:rsidRPr="00D42A51">
        <w:rPr>
          <w:rFonts w:ascii="Palatino Linotype" w:eastAsia="Palatino Linotype" w:hAnsi="Palatino Linotype" w:cs="Palatino Linotype"/>
          <w:i/>
          <w:iCs/>
        </w:rPr>
        <w:t>El convenio de terminación; y</w:t>
      </w:r>
    </w:p>
    <w:p w:rsidR="003D0A4D" w:rsidRPr="00D42A51" w:rsidRDefault="00601292">
      <w:pPr>
        <w:spacing w:line="360" w:lineRule="auto"/>
        <w:ind w:left="851" w:right="822"/>
        <w:jc w:val="both"/>
        <w:rPr>
          <w:rFonts w:ascii="Palatino Linotype" w:eastAsia="Palatino Linotype" w:hAnsi="Palatino Linotype" w:cs="Palatino Linotype"/>
        </w:rPr>
      </w:pPr>
      <w:r w:rsidRPr="00D42A51">
        <w:rPr>
          <w:rFonts w:ascii="Palatino Linotype" w:eastAsia="Palatino Linotype" w:hAnsi="Palatino Linotype" w:cs="Palatino Linotype"/>
          <w:b/>
          <w:bCs/>
          <w:i/>
          <w:iCs/>
        </w:rPr>
        <w:t>14) </w:t>
      </w:r>
      <w:r w:rsidRPr="00D42A51">
        <w:rPr>
          <w:rFonts w:ascii="Palatino Linotype" w:eastAsia="Palatino Linotype" w:hAnsi="Palatino Linotype" w:cs="Palatino Linotype"/>
          <w:i/>
          <w:iCs/>
        </w:rPr>
        <w:t>El finiquito.</w:t>
      </w:r>
    </w:p>
    <w:p w:rsidR="003D0A4D" w:rsidRPr="00D42A51" w:rsidRDefault="00601292">
      <w:pPr>
        <w:spacing w:line="360" w:lineRule="auto"/>
        <w:ind w:left="851" w:right="822"/>
        <w:jc w:val="both"/>
        <w:rPr>
          <w:rFonts w:ascii="Palatino Linotype" w:eastAsia="Palatino Linotype" w:hAnsi="Palatino Linotype" w:cs="Palatino Linotype"/>
          <w:b/>
          <w:bCs/>
        </w:rPr>
      </w:pPr>
      <w:r w:rsidRPr="00D42A51">
        <w:rPr>
          <w:rFonts w:ascii="Palatino Linotype" w:eastAsia="Palatino Linotype" w:hAnsi="Palatino Linotype" w:cs="Palatino Linotype"/>
          <w:b/>
          <w:bCs/>
          <w:i/>
          <w:iCs/>
        </w:rPr>
        <w:t>b) De las adjudicaciones directas:</w:t>
      </w:r>
    </w:p>
    <w:p w:rsidR="003D0A4D" w:rsidRPr="00D42A51" w:rsidRDefault="00601292">
      <w:pPr>
        <w:spacing w:line="360" w:lineRule="auto"/>
        <w:ind w:left="851" w:right="822"/>
        <w:jc w:val="both"/>
        <w:rPr>
          <w:rFonts w:ascii="Palatino Linotype" w:eastAsia="Palatino Linotype" w:hAnsi="Palatino Linotype" w:cs="Palatino Linotype"/>
        </w:rPr>
      </w:pPr>
      <w:r w:rsidRPr="00D42A51">
        <w:rPr>
          <w:rFonts w:ascii="Palatino Linotype" w:eastAsia="Palatino Linotype" w:hAnsi="Palatino Linotype" w:cs="Palatino Linotype"/>
          <w:b/>
          <w:bCs/>
          <w:i/>
          <w:iCs/>
        </w:rPr>
        <w:t>1) </w:t>
      </w:r>
      <w:r w:rsidRPr="00D42A51">
        <w:rPr>
          <w:rFonts w:ascii="Palatino Linotype" w:eastAsia="Palatino Linotype" w:hAnsi="Palatino Linotype" w:cs="Palatino Linotype"/>
          <w:i/>
          <w:iCs/>
        </w:rPr>
        <w:t>La propuesta enviada por el participante;</w:t>
      </w:r>
    </w:p>
    <w:p w:rsidR="003D0A4D" w:rsidRPr="00D42A51" w:rsidRDefault="00601292">
      <w:pPr>
        <w:spacing w:line="360" w:lineRule="auto"/>
        <w:ind w:left="851" w:right="822"/>
        <w:jc w:val="both"/>
        <w:rPr>
          <w:rFonts w:ascii="Palatino Linotype" w:eastAsia="Palatino Linotype" w:hAnsi="Palatino Linotype" w:cs="Palatino Linotype"/>
        </w:rPr>
      </w:pPr>
      <w:r w:rsidRPr="00D42A51">
        <w:rPr>
          <w:rFonts w:ascii="Palatino Linotype" w:eastAsia="Palatino Linotype" w:hAnsi="Palatino Linotype" w:cs="Palatino Linotype"/>
          <w:b/>
          <w:bCs/>
          <w:i/>
          <w:iCs/>
        </w:rPr>
        <w:t>2) </w:t>
      </w:r>
      <w:r w:rsidRPr="00D42A51">
        <w:rPr>
          <w:rFonts w:ascii="Palatino Linotype" w:eastAsia="Palatino Linotype" w:hAnsi="Palatino Linotype" w:cs="Palatino Linotype"/>
          <w:i/>
          <w:iCs/>
        </w:rPr>
        <w:t>Los motivos y fundamentos legales aplicados para llevarla a cabo;</w:t>
      </w:r>
    </w:p>
    <w:p w:rsidR="003D0A4D" w:rsidRPr="00D42A51" w:rsidRDefault="00601292">
      <w:pPr>
        <w:spacing w:line="360" w:lineRule="auto"/>
        <w:ind w:left="851" w:right="822"/>
        <w:jc w:val="both"/>
        <w:rPr>
          <w:rFonts w:ascii="Palatino Linotype" w:eastAsia="Palatino Linotype" w:hAnsi="Palatino Linotype" w:cs="Palatino Linotype"/>
        </w:rPr>
      </w:pPr>
      <w:r w:rsidRPr="00D42A51">
        <w:rPr>
          <w:rFonts w:ascii="Palatino Linotype" w:eastAsia="Palatino Linotype" w:hAnsi="Palatino Linotype" w:cs="Palatino Linotype"/>
          <w:b/>
          <w:bCs/>
          <w:i/>
          <w:iCs/>
        </w:rPr>
        <w:lastRenderedPageBreak/>
        <w:t>3) </w:t>
      </w:r>
      <w:r w:rsidRPr="00D42A51">
        <w:rPr>
          <w:rFonts w:ascii="Palatino Linotype" w:eastAsia="Palatino Linotype" w:hAnsi="Palatino Linotype" w:cs="Palatino Linotype"/>
          <w:i/>
          <w:iCs/>
        </w:rPr>
        <w:t>La autorización del ejercicio de la opción;</w:t>
      </w:r>
    </w:p>
    <w:p w:rsidR="003D0A4D" w:rsidRPr="00D42A51" w:rsidRDefault="00601292">
      <w:pPr>
        <w:spacing w:line="360" w:lineRule="auto"/>
        <w:ind w:left="851" w:right="822"/>
        <w:jc w:val="both"/>
        <w:rPr>
          <w:rFonts w:ascii="Palatino Linotype" w:eastAsia="Palatino Linotype" w:hAnsi="Palatino Linotype" w:cs="Palatino Linotype"/>
        </w:rPr>
      </w:pPr>
      <w:r w:rsidRPr="00D42A51">
        <w:rPr>
          <w:rFonts w:ascii="Palatino Linotype" w:eastAsia="Palatino Linotype" w:hAnsi="Palatino Linotype" w:cs="Palatino Linotype"/>
          <w:i/>
          <w:iCs/>
        </w:rPr>
        <w:t>4) En su caso, las cotizaciones consideradas, especificando los nombres de los proveedores y sus montos;</w:t>
      </w:r>
    </w:p>
    <w:p w:rsidR="003D0A4D" w:rsidRPr="00D42A51" w:rsidRDefault="00601292">
      <w:pPr>
        <w:spacing w:line="360" w:lineRule="auto"/>
        <w:ind w:left="851" w:right="822"/>
        <w:jc w:val="both"/>
        <w:rPr>
          <w:rFonts w:ascii="Palatino Linotype" w:eastAsia="Palatino Linotype" w:hAnsi="Palatino Linotype" w:cs="Palatino Linotype"/>
        </w:rPr>
      </w:pPr>
      <w:r w:rsidRPr="00D42A51">
        <w:rPr>
          <w:rFonts w:ascii="Palatino Linotype" w:eastAsia="Palatino Linotype" w:hAnsi="Palatino Linotype" w:cs="Palatino Linotype"/>
          <w:b/>
          <w:bCs/>
          <w:i/>
          <w:iCs/>
        </w:rPr>
        <w:t>5) </w:t>
      </w:r>
      <w:r w:rsidRPr="00D42A51">
        <w:rPr>
          <w:rFonts w:ascii="Palatino Linotype" w:eastAsia="Palatino Linotype" w:hAnsi="Palatino Linotype" w:cs="Palatino Linotype"/>
          <w:i/>
          <w:iCs/>
        </w:rPr>
        <w:t>El nombre de la persona física o jurídica colectiva adjudicada;</w:t>
      </w:r>
    </w:p>
    <w:p w:rsidR="003D0A4D" w:rsidRPr="00D42A51" w:rsidRDefault="00601292">
      <w:pPr>
        <w:spacing w:line="360" w:lineRule="auto"/>
        <w:ind w:left="851" w:right="822"/>
        <w:jc w:val="both"/>
        <w:rPr>
          <w:rFonts w:ascii="Palatino Linotype" w:eastAsia="Palatino Linotype" w:hAnsi="Palatino Linotype" w:cs="Palatino Linotype"/>
        </w:rPr>
      </w:pPr>
      <w:r w:rsidRPr="00D42A51">
        <w:rPr>
          <w:rFonts w:ascii="Palatino Linotype" w:eastAsia="Palatino Linotype" w:hAnsi="Palatino Linotype" w:cs="Palatino Linotype"/>
          <w:b/>
          <w:bCs/>
          <w:i/>
          <w:iCs/>
        </w:rPr>
        <w:t>6) </w:t>
      </w:r>
      <w:r w:rsidRPr="00D42A51">
        <w:rPr>
          <w:rFonts w:ascii="Palatino Linotype" w:eastAsia="Palatino Linotype" w:hAnsi="Palatino Linotype" w:cs="Palatino Linotype"/>
          <w:i/>
          <w:iCs/>
        </w:rPr>
        <w:t>La unidad administrativa solicitante y la responsable de su ejecución;</w:t>
      </w:r>
    </w:p>
    <w:p w:rsidR="003D0A4D" w:rsidRPr="00D42A51" w:rsidRDefault="00601292">
      <w:pPr>
        <w:spacing w:line="360" w:lineRule="auto"/>
        <w:ind w:left="851" w:right="822"/>
        <w:jc w:val="both"/>
        <w:rPr>
          <w:rFonts w:ascii="Palatino Linotype" w:eastAsia="Palatino Linotype" w:hAnsi="Palatino Linotype" w:cs="Palatino Linotype"/>
        </w:rPr>
      </w:pPr>
      <w:r w:rsidRPr="00D42A51">
        <w:rPr>
          <w:rFonts w:ascii="Palatino Linotype" w:eastAsia="Palatino Linotype" w:hAnsi="Palatino Linotype" w:cs="Palatino Linotype"/>
          <w:b/>
          <w:bCs/>
          <w:i/>
          <w:iCs/>
        </w:rPr>
        <w:t>7)</w:t>
      </w:r>
      <w:r w:rsidRPr="00D42A51">
        <w:rPr>
          <w:rFonts w:ascii="Palatino Linotype" w:eastAsia="Palatino Linotype" w:hAnsi="Palatino Linotype" w:cs="Palatino Linotype"/>
          <w:i/>
          <w:iCs/>
        </w:rPr>
        <w:t> El número, fecha, el monto del contrato y el plazo de entrega o de ejecución de los servicios u obra;</w:t>
      </w:r>
    </w:p>
    <w:p w:rsidR="003D0A4D" w:rsidRPr="00D42A51" w:rsidRDefault="00601292">
      <w:pPr>
        <w:spacing w:line="360" w:lineRule="auto"/>
        <w:ind w:left="851" w:right="822"/>
        <w:jc w:val="both"/>
        <w:rPr>
          <w:rFonts w:ascii="Palatino Linotype" w:eastAsia="Palatino Linotype" w:hAnsi="Palatino Linotype" w:cs="Palatino Linotype"/>
        </w:rPr>
      </w:pPr>
      <w:r w:rsidRPr="00D42A51">
        <w:rPr>
          <w:rFonts w:ascii="Palatino Linotype" w:eastAsia="Palatino Linotype" w:hAnsi="Palatino Linotype" w:cs="Palatino Linotype"/>
          <w:b/>
          <w:bCs/>
          <w:i/>
          <w:iCs/>
        </w:rPr>
        <w:t>8) </w:t>
      </w:r>
      <w:r w:rsidRPr="00D42A51">
        <w:rPr>
          <w:rFonts w:ascii="Palatino Linotype" w:eastAsia="Palatino Linotype" w:hAnsi="Palatino Linotype" w:cs="Palatino Linotype"/>
          <w:i/>
          <w:iCs/>
        </w:rPr>
        <w:t>Los mecanismos de vigilancia y supervisión, incluyendo, en su caso, los estudios de impacto urbano y ambiental, según corresponda;</w:t>
      </w:r>
    </w:p>
    <w:p w:rsidR="003D0A4D" w:rsidRPr="00D42A51" w:rsidRDefault="00601292">
      <w:pPr>
        <w:spacing w:line="360" w:lineRule="auto"/>
        <w:ind w:left="851" w:right="822"/>
        <w:jc w:val="both"/>
        <w:rPr>
          <w:rFonts w:ascii="Palatino Linotype" w:eastAsia="Palatino Linotype" w:hAnsi="Palatino Linotype" w:cs="Palatino Linotype"/>
        </w:rPr>
      </w:pPr>
      <w:r w:rsidRPr="00D42A51">
        <w:rPr>
          <w:rFonts w:ascii="Palatino Linotype" w:eastAsia="Palatino Linotype" w:hAnsi="Palatino Linotype" w:cs="Palatino Linotype"/>
          <w:b/>
          <w:bCs/>
          <w:i/>
          <w:iCs/>
        </w:rPr>
        <w:t>9) </w:t>
      </w:r>
      <w:r w:rsidRPr="00D42A51">
        <w:rPr>
          <w:rFonts w:ascii="Palatino Linotype" w:eastAsia="Palatino Linotype" w:hAnsi="Palatino Linotype" w:cs="Palatino Linotype"/>
          <w:i/>
          <w:iCs/>
        </w:rPr>
        <w:t>Los informes de avance sobre las obras o servicios contratados;</w:t>
      </w:r>
    </w:p>
    <w:p w:rsidR="003D0A4D" w:rsidRPr="00D42A51" w:rsidRDefault="00601292">
      <w:pPr>
        <w:spacing w:line="360" w:lineRule="auto"/>
        <w:ind w:left="851" w:right="822"/>
        <w:jc w:val="both"/>
        <w:rPr>
          <w:rFonts w:ascii="Palatino Linotype" w:eastAsia="Palatino Linotype" w:hAnsi="Palatino Linotype" w:cs="Palatino Linotype"/>
        </w:rPr>
      </w:pPr>
      <w:r w:rsidRPr="00D42A51">
        <w:rPr>
          <w:rFonts w:ascii="Palatino Linotype" w:eastAsia="Palatino Linotype" w:hAnsi="Palatino Linotype" w:cs="Palatino Linotype"/>
          <w:b/>
          <w:bCs/>
          <w:i/>
          <w:iCs/>
        </w:rPr>
        <w:t>10) </w:t>
      </w:r>
      <w:r w:rsidRPr="00D42A51">
        <w:rPr>
          <w:rFonts w:ascii="Palatino Linotype" w:eastAsia="Palatino Linotype" w:hAnsi="Palatino Linotype" w:cs="Palatino Linotype"/>
          <w:i/>
          <w:iCs/>
        </w:rPr>
        <w:t>El convenio de terminación; y</w:t>
      </w:r>
    </w:p>
    <w:p w:rsidR="003D0A4D" w:rsidRPr="00D42A51" w:rsidRDefault="00601292">
      <w:pPr>
        <w:spacing w:line="360" w:lineRule="auto"/>
        <w:ind w:left="851" w:right="822"/>
        <w:jc w:val="both"/>
        <w:rPr>
          <w:rFonts w:ascii="Palatino Linotype" w:eastAsia="Palatino Linotype" w:hAnsi="Palatino Linotype" w:cs="Palatino Linotype"/>
          <w:b/>
          <w:bCs/>
          <w:i/>
          <w:iCs/>
        </w:rPr>
      </w:pPr>
      <w:r w:rsidRPr="00D42A51">
        <w:rPr>
          <w:rFonts w:ascii="Palatino Linotype" w:eastAsia="Palatino Linotype" w:hAnsi="Palatino Linotype" w:cs="Palatino Linotype"/>
          <w:b/>
          <w:bCs/>
          <w:i/>
          <w:iCs/>
        </w:rPr>
        <w:t>11) </w:t>
      </w:r>
      <w:r w:rsidRPr="00D42A51">
        <w:rPr>
          <w:rFonts w:ascii="Palatino Linotype" w:eastAsia="Palatino Linotype" w:hAnsi="Palatino Linotype" w:cs="Palatino Linotype"/>
          <w:i/>
          <w:iCs/>
        </w:rPr>
        <w:t>El finiquito.</w:t>
      </w:r>
      <w:r w:rsidRPr="00D42A51">
        <w:rPr>
          <w:rFonts w:ascii="Palatino Linotype" w:eastAsia="Palatino Linotype" w:hAnsi="Palatino Linotype" w:cs="Palatino Linotype"/>
          <w:b/>
          <w:bCs/>
          <w:i/>
          <w:iCs/>
        </w:rPr>
        <w:t>”</w:t>
      </w:r>
    </w:p>
    <w:p w:rsidR="003D0A4D" w:rsidRPr="00D42A51" w:rsidRDefault="003D0A4D">
      <w:pPr>
        <w:spacing w:line="360" w:lineRule="auto"/>
        <w:ind w:left="851" w:right="850"/>
        <w:jc w:val="both"/>
        <w:rPr>
          <w:rFonts w:ascii="Palatino Linotype" w:eastAsia="Palatino Linotype" w:hAnsi="Palatino Linotype" w:cs="Palatino Linotype"/>
        </w:rPr>
      </w:pPr>
    </w:p>
    <w:p w:rsidR="003D0A4D" w:rsidRPr="00D42A51" w:rsidRDefault="00601292">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 xml:space="preserve">En consecuencia, se determina que los sujetos obligados están obligados a poner a disposición del público de manera constante y actualizada, de forma sencilla, precisa y entendible, en los respectivos medios electrónicos, la información referente a los procesos y resultados sobre procedimientos de adjudicación directa, invitación restringida y licitación de cualquier naturaleza, en el que se debe contener dentro de la versión pública del expediente respectivo toda la información relativa a dichos procedimientos, desde la convocatoria hasta el fallo de adjudicación, </w:t>
      </w:r>
      <w:r w:rsidRPr="00D42A51">
        <w:rPr>
          <w:rFonts w:ascii="Palatino Linotype" w:eastAsia="Palatino Linotype" w:hAnsi="Palatino Linotype" w:cs="Palatino Linotype"/>
          <w:b/>
          <w:bCs/>
          <w:color w:val="000000"/>
        </w:rPr>
        <w:t>contratos</w:t>
      </w:r>
      <w:r w:rsidRPr="00D42A51">
        <w:rPr>
          <w:rFonts w:ascii="Palatino Linotype" w:eastAsia="Palatino Linotype" w:hAnsi="Palatino Linotype" w:cs="Palatino Linotype"/>
          <w:color w:val="000000"/>
        </w:rPr>
        <w:t xml:space="preserve"> y demás información, conforme a lo dispuesto en la normatividad en la materia.</w:t>
      </w:r>
    </w:p>
    <w:p w:rsidR="003D0A4D" w:rsidRPr="00D42A51" w:rsidRDefault="003D0A4D">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3D0A4D" w:rsidRPr="00D42A51" w:rsidRDefault="00601292">
      <w:pPr>
        <w:numPr>
          <w:ilvl w:val="0"/>
          <w:numId w:val="1"/>
        </w:numP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lastRenderedPageBreak/>
        <w:t xml:space="preserve">En ese sentido, también se concluye que el </w:t>
      </w:r>
      <w:r w:rsidRPr="00D42A51">
        <w:rPr>
          <w:rFonts w:ascii="Palatino Linotype" w:eastAsia="Palatino Linotype" w:hAnsi="Palatino Linotype" w:cs="Palatino Linotype"/>
          <w:b/>
          <w:bCs/>
        </w:rPr>
        <w:t>SUJETO</w:t>
      </w:r>
      <w:r w:rsidRPr="00D42A51">
        <w:rPr>
          <w:rFonts w:ascii="Palatino Linotype" w:eastAsia="Palatino Linotype" w:hAnsi="Palatino Linotype" w:cs="Palatino Linotype"/>
          <w:b/>
          <w:bCs/>
          <w:color w:val="000000"/>
        </w:rPr>
        <w:t xml:space="preserve"> OBLIGADO</w:t>
      </w:r>
      <w:r w:rsidRPr="00D42A51">
        <w:rPr>
          <w:rFonts w:ascii="Palatino Linotype" w:eastAsia="Palatino Linotype" w:hAnsi="Palatino Linotype" w:cs="Palatino Linotype"/>
          <w:color w:val="000000"/>
        </w:rPr>
        <w:t xml:space="preserve"> está en posibilidad de entregar los contratos celebrados vía SAIMEX, o como ocurrió en la respuesta e informe justificado en el presente asunto, a través de la fuente en la que ya </w:t>
      </w:r>
      <w:r w:rsidRPr="00D42A51">
        <w:rPr>
          <w:rFonts w:ascii="Palatino Linotype" w:eastAsia="Palatino Linotype" w:hAnsi="Palatino Linotype" w:cs="Palatino Linotype"/>
        </w:rPr>
        <w:t>obra</w:t>
      </w:r>
      <w:r w:rsidRPr="00D42A51">
        <w:rPr>
          <w:rFonts w:ascii="Palatino Linotype" w:eastAsia="Palatino Linotype" w:hAnsi="Palatino Linotype" w:cs="Palatino Linotype"/>
          <w:color w:val="000000"/>
        </w:rPr>
        <w:t xml:space="preserve"> publicada. </w:t>
      </w:r>
    </w:p>
    <w:p w:rsidR="003D0A4D" w:rsidRPr="00D42A51" w:rsidRDefault="003D0A4D">
      <w:pPr>
        <w:pBdr>
          <w:top w:val="nil"/>
          <w:left w:val="nil"/>
          <w:bottom w:val="nil"/>
          <w:right w:val="nil"/>
          <w:between w:val="nil"/>
        </w:pBdr>
        <w:ind w:left="720"/>
        <w:rPr>
          <w:rFonts w:ascii="Palatino Linotype" w:eastAsia="Palatino Linotype" w:hAnsi="Palatino Linotype" w:cs="Palatino Linotype"/>
          <w:color w:val="000000"/>
        </w:rPr>
      </w:pPr>
    </w:p>
    <w:p w:rsidR="003D0A4D" w:rsidRPr="00D42A51" w:rsidRDefault="00601292">
      <w:pPr>
        <w:numPr>
          <w:ilvl w:val="0"/>
          <w:numId w:val="1"/>
        </w:numP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No pasando desapercibido que para el caso de inclinarse por dicha opción, la fuente deberá ser clara y precisa, a diferencia de cómo se pretendió modificar la respuesta en calidad de informe justificado, únicamente señalando cuestiones como:</w:t>
      </w:r>
      <w:r w:rsidRPr="00D42A51">
        <w:rPr>
          <w:rFonts w:ascii="Palatino Linotype" w:eastAsia="Palatino Linotype" w:hAnsi="Palatino Linotype" w:cs="Palatino Linotype"/>
          <w:i/>
          <w:iCs/>
          <w:color w:val="000000"/>
        </w:rPr>
        <w:t xml:space="preserve"> "...la fuente y el lugar donde se localiza la información, se encuentra verificada y direcciona al particular a la página de IPOMEX 4.0 de este Instituto, en la fracción XXIX de citado artículo 92; también se le indicó la forma en que podría consultarla, reproducirla o adquirirla especificando que en el apartado de "consulta de periodos anteriores", debía colocar el año y periodo de búsqueda de la información para visualizarla conforme al trimestre correspondiente."</w:t>
      </w:r>
    </w:p>
    <w:p w:rsidR="003D0A4D" w:rsidRPr="00D42A51" w:rsidRDefault="003D0A4D">
      <w:pPr>
        <w:pBdr>
          <w:top w:val="nil"/>
          <w:left w:val="nil"/>
          <w:bottom w:val="nil"/>
          <w:right w:val="nil"/>
          <w:between w:val="nil"/>
        </w:pBdr>
        <w:ind w:left="720"/>
        <w:rPr>
          <w:rFonts w:ascii="Palatino Linotype" w:eastAsia="Palatino Linotype" w:hAnsi="Palatino Linotype" w:cs="Palatino Linotype"/>
          <w:color w:val="000000"/>
        </w:rPr>
      </w:pPr>
    </w:p>
    <w:p w:rsidR="003D0A4D" w:rsidRPr="00D42A51" w:rsidRDefault="00601292">
      <w:pPr>
        <w:numPr>
          <w:ilvl w:val="0"/>
          <w:numId w:val="1"/>
        </w:numP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 xml:space="preserve">Toda vez que no basta con simplemente entregar enlaces que remitan a </w:t>
      </w:r>
      <w:r w:rsidRPr="00D42A51">
        <w:rPr>
          <w:rFonts w:ascii="Palatino Linotype" w:eastAsia="Palatino Linotype" w:hAnsi="Palatino Linotype" w:cs="Palatino Linotype"/>
          <w:i/>
          <w:iCs/>
          <w:color w:val="000000"/>
        </w:rPr>
        <w:t>páginas de inicio</w:t>
      </w:r>
      <w:r w:rsidRPr="00D42A51">
        <w:rPr>
          <w:rFonts w:ascii="Palatino Linotype" w:eastAsia="Palatino Linotype" w:hAnsi="Palatino Linotype" w:cs="Palatino Linotype"/>
          <w:color w:val="000000"/>
        </w:rPr>
        <w:t xml:space="preserve"> o instrucciones como la de referencia; toda vez que</w:t>
      </w:r>
      <w:r w:rsidRPr="00D42A51">
        <w:rPr>
          <w:rFonts w:ascii="Palatino Linotype" w:eastAsia="Palatino Linotype" w:hAnsi="Palatino Linotype" w:cs="Palatino Linotype"/>
        </w:rPr>
        <w:t xml:space="preserve"> los artículos 11 y 161 (antes transcrito) de la Ley de Transparencia </w:t>
      </w:r>
      <w:r w:rsidRPr="00D42A51">
        <w:rPr>
          <w:rFonts w:ascii="Palatino Linotype" w:eastAsia="Palatino Linotype" w:hAnsi="Palatino Linotype" w:cs="Palatino Linotype"/>
          <w:color w:val="000000"/>
        </w:rPr>
        <w:t>Estatal</w:t>
      </w:r>
      <w:r w:rsidRPr="00D42A51">
        <w:rPr>
          <w:rFonts w:ascii="Palatino Linotype" w:eastAsia="Palatino Linotype" w:hAnsi="Palatino Linotype" w:cs="Palatino Linotype"/>
        </w:rPr>
        <w:t>, señalan las características que debe disfrutar toda información entregada por los sujetos obligados desde el momento de su generación, publicación y entrega vía hipervínculo, así como la forma en que se deberá consultar la información, señalando una fuente precisa y concreta, como se observa a continuación:</w:t>
      </w:r>
    </w:p>
    <w:p w:rsidR="003D0A4D" w:rsidRPr="00D42A51" w:rsidRDefault="00601292">
      <w:pPr>
        <w:pBdr>
          <w:top w:val="nil"/>
          <w:left w:val="nil"/>
          <w:bottom w:val="nil"/>
          <w:right w:val="nil"/>
          <w:between w:val="nil"/>
        </w:pBdr>
        <w:spacing w:line="360" w:lineRule="auto"/>
        <w:ind w:left="567" w:right="616"/>
        <w:jc w:val="both"/>
        <w:rPr>
          <w:rFonts w:ascii="Palatino Linotype" w:eastAsia="Palatino Linotype" w:hAnsi="Palatino Linotype" w:cs="Palatino Linotype"/>
          <w:i/>
          <w:iCs/>
          <w:color w:val="000000"/>
        </w:rPr>
      </w:pPr>
      <w:r w:rsidRPr="00D42A51">
        <w:rPr>
          <w:rFonts w:ascii="Palatino Linotype" w:eastAsia="Palatino Linotype" w:hAnsi="Palatino Linotype" w:cs="Palatino Linotype"/>
          <w:b/>
          <w:bCs/>
          <w:i/>
          <w:iCs/>
          <w:color w:val="000000"/>
        </w:rPr>
        <w:t>Artículo 11.</w:t>
      </w:r>
      <w:r w:rsidRPr="00D42A51">
        <w:rPr>
          <w:rFonts w:ascii="Palatino Linotype" w:eastAsia="Palatino Linotype" w:hAnsi="Palatino Linotype" w:cs="Palatino Linotype"/>
          <w:i/>
          <w:iCs/>
          <w:color w:val="000000"/>
        </w:rPr>
        <w:t xml:space="preserve"> </w:t>
      </w:r>
      <w:r w:rsidRPr="00D42A51">
        <w:rPr>
          <w:rFonts w:ascii="Palatino Linotype" w:eastAsia="Palatino Linotype" w:hAnsi="Palatino Linotype" w:cs="Palatino Linotype"/>
          <w:b/>
          <w:bCs/>
          <w:i/>
          <w:iCs/>
          <w:color w:val="000000"/>
          <w:u w:val="single"/>
        </w:rPr>
        <w:t>En la generación, publicación y entrega de información se deberá garantizar que ésta sea accesible</w:t>
      </w:r>
      <w:r w:rsidRPr="00D42A51">
        <w:rPr>
          <w:rFonts w:ascii="Palatino Linotype" w:eastAsia="Palatino Linotype" w:hAnsi="Palatino Linotype" w:cs="Palatino Linotype"/>
          <w:i/>
          <w:iCs/>
          <w:color w:val="000000"/>
        </w:rPr>
        <w:t xml:space="preserve">, actualizada, completa, congruente, confiable, verificable, veraz, integral, oportuna y expedita, sujeta a un claro régimen de excepciones que deberá estar definido y ser además legítima y estrictamente necesaria en una sociedad </w:t>
      </w:r>
      <w:r w:rsidRPr="00D42A51">
        <w:rPr>
          <w:rFonts w:ascii="Palatino Linotype" w:eastAsia="Palatino Linotype" w:hAnsi="Palatino Linotype" w:cs="Palatino Linotype"/>
          <w:i/>
          <w:iCs/>
          <w:color w:val="000000"/>
        </w:rPr>
        <w:lastRenderedPageBreak/>
        <w:t>democrática, por lo que atenderá las necesidades del derecho de acceso a la información de toda persona.</w:t>
      </w:r>
    </w:p>
    <w:p w:rsidR="003D0A4D" w:rsidRPr="00D42A51" w:rsidRDefault="00601292">
      <w:pPr>
        <w:pBdr>
          <w:top w:val="nil"/>
          <w:left w:val="nil"/>
          <w:bottom w:val="nil"/>
          <w:right w:val="nil"/>
          <w:between w:val="nil"/>
        </w:pBdr>
        <w:spacing w:line="360" w:lineRule="auto"/>
        <w:ind w:left="567" w:right="-929"/>
        <w:jc w:val="both"/>
        <w:rPr>
          <w:rFonts w:ascii="Palatino Linotype" w:eastAsia="Palatino Linotype" w:hAnsi="Palatino Linotype" w:cs="Palatino Linotype"/>
          <w:i/>
          <w:iCs/>
          <w:color w:val="000000"/>
        </w:rPr>
      </w:pPr>
      <w:r w:rsidRPr="00D42A51">
        <w:rPr>
          <w:rFonts w:ascii="Palatino Linotype" w:eastAsia="Palatino Linotype" w:hAnsi="Palatino Linotype" w:cs="Palatino Linotype"/>
          <w:i/>
          <w:iCs/>
          <w:color w:val="000000"/>
        </w:rPr>
        <w:t>(…)</w:t>
      </w:r>
    </w:p>
    <w:p w:rsidR="003D0A4D" w:rsidRPr="00D42A51" w:rsidRDefault="003D0A4D">
      <w:pPr>
        <w:pBdr>
          <w:top w:val="nil"/>
          <w:left w:val="nil"/>
          <w:bottom w:val="nil"/>
          <w:right w:val="nil"/>
          <w:between w:val="nil"/>
        </w:pBdr>
        <w:spacing w:line="360" w:lineRule="auto"/>
        <w:ind w:left="426" w:right="-929"/>
        <w:jc w:val="both"/>
        <w:rPr>
          <w:rFonts w:ascii="Palatino Linotype" w:eastAsia="Palatino Linotype" w:hAnsi="Palatino Linotype" w:cs="Palatino Linotype"/>
          <w:i/>
          <w:iCs/>
          <w:color w:val="000000"/>
        </w:rPr>
      </w:pPr>
    </w:p>
    <w:p w:rsidR="003D0A4D" w:rsidRPr="00D42A51" w:rsidRDefault="00601292">
      <w:pPr>
        <w:numPr>
          <w:ilvl w:val="0"/>
          <w:numId w:val="1"/>
        </w:numPr>
        <w:spacing w:line="360" w:lineRule="auto"/>
        <w:ind w:left="0" w:firstLine="0"/>
        <w:jc w:val="both"/>
        <w:rPr>
          <w:rFonts w:ascii="Palatino Linotype" w:eastAsia="Palatino Linotype" w:hAnsi="Palatino Linotype" w:cs="Palatino Linotype"/>
        </w:rPr>
      </w:pPr>
      <w:r w:rsidRPr="00D42A51">
        <w:rPr>
          <w:rFonts w:ascii="Palatino Linotype" w:eastAsia="Palatino Linotype" w:hAnsi="Palatino Linotype" w:cs="Palatino Linotype"/>
        </w:rPr>
        <w:t xml:space="preserve">De los artículos transcritos, se establecen las características que debe tener la </w:t>
      </w:r>
      <w:r w:rsidRPr="00D42A51">
        <w:rPr>
          <w:rFonts w:ascii="Palatino Linotype" w:eastAsia="Palatino Linotype" w:hAnsi="Palatino Linotype" w:cs="Palatino Linotype"/>
          <w:color w:val="000000"/>
        </w:rPr>
        <w:t>información</w:t>
      </w:r>
      <w:r w:rsidRPr="00D42A51">
        <w:rPr>
          <w:rFonts w:ascii="Palatino Linotype" w:eastAsia="Palatino Linotype" w:hAnsi="Palatino Linotype" w:cs="Palatino Linotype"/>
        </w:rPr>
        <w:t xml:space="preserve"> desde el momento de su generación, publicación y entrega, de igual manera se </w:t>
      </w:r>
      <w:r w:rsidRPr="00D42A51">
        <w:rPr>
          <w:rFonts w:ascii="Palatino Linotype" w:eastAsia="Palatino Linotype" w:hAnsi="Palatino Linotype" w:cs="Palatino Linotype"/>
          <w:color w:val="000000"/>
        </w:rPr>
        <w:t>contempla</w:t>
      </w:r>
      <w:r w:rsidRPr="00D42A51">
        <w:rPr>
          <w:rFonts w:ascii="Palatino Linotype" w:eastAsia="Palatino Linotype" w:hAnsi="Palatino Linotype" w:cs="Palatino Linotype"/>
        </w:rPr>
        <w:t xml:space="preserve"> el procedimiento a seguir por los sujetos obligados para informar a los solicitantes sobre información que se encuentre disponible en libros, compendios, formatos electrónicos, entre otros, haciéndole saber al solicitante como podrá consultar, reproducir o adquirir la información, en un plazo no mayor a cinco días hábiles, comprendiendo:</w:t>
      </w:r>
    </w:p>
    <w:p w:rsidR="003D0A4D" w:rsidRPr="00D42A51" w:rsidRDefault="00601292">
      <w:pPr>
        <w:numPr>
          <w:ilvl w:val="0"/>
          <w:numId w:val="5"/>
        </w:numPr>
        <w:pBdr>
          <w:top w:val="nil"/>
          <w:left w:val="nil"/>
          <w:bottom w:val="nil"/>
          <w:right w:val="nil"/>
          <w:between w:val="nil"/>
        </w:pBdr>
        <w:spacing w:line="360" w:lineRule="auto"/>
        <w:ind w:right="-929" w:hanging="425"/>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La fuente,</w:t>
      </w:r>
    </w:p>
    <w:p w:rsidR="003D0A4D" w:rsidRPr="00D42A51" w:rsidRDefault="00601292">
      <w:pPr>
        <w:numPr>
          <w:ilvl w:val="0"/>
          <w:numId w:val="5"/>
        </w:numPr>
        <w:pBdr>
          <w:top w:val="nil"/>
          <w:left w:val="nil"/>
          <w:bottom w:val="nil"/>
          <w:right w:val="nil"/>
          <w:between w:val="nil"/>
        </w:pBdr>
        <w:spacing w:line="360" w:lineRule="auto"/>
        <w:ind w:right="-929" w:hanging="425"/>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El lugar, y</w:t>
      </w:r>
    </w:p>
    <w:p w:rsidR="003D0A4D" w:rsidRPr="00D42A51" w:rsidRDefault="00601292">
      <w:pPr>
        <w:numPr>
          <w:ilvl w:val="0"/>
          <w:numId w:val="5"/>
        </w:numPr>
        <w:pBdr>
          <w:top w:val="nil"/>
          <w:left w:val="nil"/>
          <w:bottom w:val="nil"/>
          <w:right w:val="nil"/>
          <w:between w:val="nil"/>
        </w:pBdr>
        <w:spacing w:line="360" w:lineRule="auto"/>
        <w:ind w:right="-929" w:hanging="425"/>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 xml:space="preserve">La forma. </w:t>
      </w:r>
    </w:p>
    <w:p w:rsidR="003D0A4D" w:rsidRPr="00D42A51" w:rsidRDefault="003D0A4D">
      <w:pPr>
        <w:pBdr>
          <w:top w:val="nil"/>
          <w:left w:val="nil"/>
          <w:bottom w:val="nil"/>
          <w:right w:val="nil"/>
          <w:between w:val="nil"/>
        </w:pBdr>
        <w:spacing w:line="360" w:lineRule="auto"/>
        <w:ind w:left="709" w:right="-929"/>
        <w:jc w:val="both"/>
        <w:rPr>
          <w:rFonts w:ascii="Palatino Linotype" w:eastAsia="Palatino Linotype" w:hAnsi="Palatino Linotype" w:cs="Palatino Linotype"/>
          <w:color w:val="000000"/>
        </w:rPr>
      </w:pPr>
    </w:p>
    <w:p w:rsidR="003D0A4D" w:rsidRPr="00D42A51" w:rsidRDefault="00601292">
      <w:pPr>
        <w:numPr>
          <w:ilvl w:val="0"/>
          <w:numId w:val="1"/>
        </w:numPr>
        <w:spacing w:line="360" w:lineRule="auto"/>
        <w:ind w:left="0" w:firstLine="0"/>
        <w:jc w:val="both"/>
        <w:rPr>
          <w:rFonts w:ascii="Palatino Linotype" w:eastAsia="Palatino Linotype" w:hAnsi="Palatino Linotype" w:cs="Palatino Linotype"/>
        </w:rPr>
      </w:pPr>
      <w:r w:rsidRPr="00D42A51">
        <w:rPr>
          <w:rFonts w:ascii="Palatino Linotype" w:eastAsia="Palatino Linotype" w:hAnsi="Palatino Linotype" w:cs="Palatino Linotype"/>
        </w:rPr>
        <w:t>Asimismo, se establece que la fuente de la información deberá ser:</w:t>
      </w:r>
    </w:p>
    <w:p w:rsidR="003D0A4D" w:rsidRPr="00D42A51" w:rsidRDefault="00601292">
      <w:pPr>
        <w:numPr>
          <w:ilvl w:val="0"/>
          <w:numId w:val="6"/>
        </w:numPr>
        <w:pBdr>
          <w:top w:val="nil"/>
          <w:left w:val="nil"/>
          <w:bottom w:val="nil"/>
          <w:right w:val="nil"/>
          <w:between w:val="nil"/>
        </w:pBdr>
        <w:spacing w:line="360" w:lineRule="auto"/>
        <w:ind w:right="-929" w:hanging="425"/>
        <w:jc w:val="both"/>
        <w:rPr>
          <w:rFonts w:ascii="Palatino Linotype" w:eastAsia="Palatino Linotype" w:hAnsi="Palatino Linotype" w:cs="Palatino Linotype"/>
          <w:b/>
          <w:bCs/>
          <w:color w:val="000000"/>
        </w:rPr>
      </w:pPr>
      <w:r w:rsidRPr="00D42A51">
        <w:rPr>
          <w:rFonts w:ascii="Palatino Linotype" w:eastAsia="Palatino Linotype" w:hAnsi="Palatino Linotype" w:cs="Palatino Linotype"/>
          <w:b/>
          <w:bCs/>
          <w:color w:val="000000"/>
        </w:rPr>
        <w:t>Precisa,</w:t>
      </w:r>
    </w:p>
    <w:p w:rsidR="003D0A4D" w:rsidRPr="00D42A51" w:rsidRDefault="00601292">
      <w:pPr>
        <w:numPr>
          <w:ilvl w:val="0"/>
          <w:numId w:val="6"/>
        </w:numPr>
        <w:pBdr>
          <w:top w:val="nil"/>
          <w:left w:val="nil"/>
          <w:bottom w:val="nil"/>
          <w:right w:val="nil"/>
          <w:between w:val="nil"/>
        </w:pBdr>
        <w:spacing w:line="360" w:lineRule="auto"/>
        <w:ind w:right="-929" w:hanging="425"/>
        <w:jc w:val="both"/>
        <w:rPr>
          <w:rFonts w:ascii="Palatino Linotype" w:eastAsia="Palatino Linotype" w:hAnsi="Palatino Linotype" w:cs="Palatino Linotype"/>
          <w:b/>
          <w:bCs/>
          <w:color w:val="000000"/>
        </w:rPr>
      </w:pPr>
      <w:r w:rsidRPr="00D42A51">
        <w:rPr>
          <w:rFonts w:ascii="Palatino Linotype" w:eastAsia="Palatino Linotype" w:hAnsi="Palatino Linotype" w:cs="Palatino Linotype"/>
          <w:b/>
          <w:bCs/>
          <w:color w:val="000000"/>
        </w:rPr>
        <w:t>Concreta,</w:t>
      </w:r>
    </w:p>
    <w:p w:rsidR="003D0A4D" w:rsidRPr="00D42A51" w:rsidRDefault="00601292">
      <w:pPr>
        <w:numPr>
          <w:ilvl w:val="0"/>
          <w:numId w:val="6"/>
        </w:numPr>
        <w:pBdr>
          <w:top w:val="nil"/>
          <w:left w:val="nil"/>
          <w:bottom w:val="nil"/>
          <w:right w:val="nil"/>
          <w:between w:val="nil"/>
        </w:pBdr>
        <w:spacing w:line="360" w:lineRule="auto"/>
        <w:ind w:right="758" w:hanging="425"/>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Y no debe implicar que el solicitante realice una búsqueda en toda la información que se encuentre disponible.</w:t>
      </w:r>
    </w:p>
    <w:p w:rsidR="003D0A4D" w:rsidRPr="00D42A51" w:rsidRDefault="003D0A4D">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3D0A4D" w:rsidRPr="00D42A51" w:rsidRDefault="00601292">
      <w:pPr>
        <w:numPr>
          <w:ilvl w:val="0"/>
          <w:numId w:val="1"/>
        </w:numP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 xml:space="preserve">Luego entonces, el enlace que eventualmente se entregue deberá ser primeramente en formato abierto, que no implique al particular capturar las direcciones electrónicas de manera manual sin que para tal efecto medie error en su captura; que se pueda acceder a su </w:t>
      </w:r>
      <w:r w:rsidRPr="00D42A51">
        <w:rPr>
          <w:rFonts w:ascii="Palatino Linotype" w:eastAsia="Palatino Linotype" w:hAnsi="Palatino Linotype" w:cs="Palatino Linotype"/>
          <w:color w:val="000000"/>
        </w:rPr>
        <w:lastRenderedPageBreak/>
        <w:t>contenido con solo dar clic, sin que ello implique que el particular realice una búsqueda en el universo de información que eventualmente obre en la página entregada.</w:t>
      </w:r>
    </w:p>
    <w:p w:rsidR="003D0A4D" w:rsidRPr="00D42A51" w:rsidRDefault="003D0A4D">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3D0A4D" w:rsidRPr="00D42A51" w:rsidRDefault="00601292">
      <w:pPr>
        <w:numPr>
          <w:ilvl w:val="0"/>
          <w:numId w:val="1"/>
        </w:numP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 xml:space="preserve">Luego entonces, es procedente ordenar los contratos celebrados en el Ejercicio Fiscal 2025, de los cuales </w:t>
      </w:r>
      <w:r w:rsidRPr="00D42A51">
        <w:rPr>
          <w:rFonts w:ascii="Palatino Linotype" w:eastAsia="Palatino Linotype" w:hAnsi="Palatino Linotype" w:cs="Palatino Linotype"/>
          <w:color w:val="000000"/>
          <w:u w:val="single"/>
        </w:rPr>
        <w:t>dada su propia y especial naturaleza, naturalmente colmaran los rubros de, el nombre la empresa contratista, monto contratado, descripción de la contratación.</w:t>
      </w:r>
      <w:r w:rsidRPr="00D42A51">
        <w:rPr>
          <w:rFonts w:ascii="Palatino Linotype" w:eastAsia="Palatino Linotype" w:hAnsi="Palatino Linotype" w:cs="Palatino Linotype"/>
          <w:color w:val="000000"/>
        </w:rPr>
        <w:t xml:space="preserve"> Por cuanto hace al origen de los recursos, corresponderá al soporte documental en que conste o se advierta y, que de conformidad a lo vertido en el informe justificado, puede corresponder de manera enunciativa mas no limitativa a las caratulas, también asumidas de manera expresa.</w:t>
      </w:r>
    </w:p>
    <w:p w:rsidR="003D0A4D" w:rsidRPr="00D42A51" w:rsidRDefault="003D0A4D">
      <w:pPr>
        <w:pBdr>
          <w:top w:val="nil"/>
          <w:left w:val="nil"/>
          <w:bottom w:val="nil"/>
          <w:right w:val="nil"/>
          <w:between w:val="nil"/>
        </w:pBdr>
        <w:ind w:left="720"/>
        <w:rPr>
          <w:rFonts w:ascii="Palatino Linotype" w:eastAsia="Palatino Linotype" w:hAnsi="Palatino Linotype" w:cs="Palatino Linotype"/>
          <w:color w:val="000000"/>
        </w:rPr>
      </w:pPr>
    </w:p>
    <w:p w:rsidR="003D0A4D" w:rsidRPr="00D42A51" w:rsidRDefault="00601292">
      <w:pPr>
        <w:numPr>
          <w:ilvl w:val="0"/>
          <w:numId w:val="1"/>
        </w:numP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 xml:space="preserve">Con la determinación anterior quedará por colmado el derecho de acceso a la información del ahora Recurrente; toda vez que el Derecho que tutela este Órgano Garante </w:t>
      </w:r>
      <w:r w:rsidRPr="00D42A51">
        <w:rPr>
          <w:rFonts w:ascii="Palatino Linotype" w:eastAsia="Palatino Linotype" w:hAnsi="Palatino Linotype" w:cs="Palatino Linotype"/>
        </w:rPr>
        <w:t>corresponde</w:t>
      </w:r>
      <w:r w:rsidRPr="00D42A51">
        <w:rPr>
          <w:rFonts w:ascii="Palatino Linotype" w:eastAsia="Palatino Linotype" w:hAnsi="Palatino Linotype" w:cs="Palatino Linotype"/>
          <w:color w:val="000000"/>
        </w:rPr>
        <w:t xml:space="preserve"> a la  </w:t>
      </w:r>
      <w:r w:rsidRPr="00D42A51">
        <w:rPr>
          <w:rFonts w:ascii="Palatino Linotype" w:eastAsia="Palatino Linotype" w:hAnsi="Palatino Linotype" w:cs="Palatino Linotype"/>
          <w:i/>
          <w:iCs/>
          <w:color w:val="000000"/>
        </w:rPr>
        <w:t>igualdad de oportunidades para recibir, buscar e impartir información</w:t>
      </w:r>
      <w:r w:rsidRPr="00D42A51">
        <w:rPr>
          <w:rFonts w:ascii="Palatino Linotype" w:eastAsia="Palatino Linotype" w:hAnsi="Palatino Linotype" w:cs="Palatino Linotype"/>
          <w:i/>
          <w:iCs/>
          <w:color w:val="000000"/>
          <w:vertAlign w:val="superscript"/>
        </w:rPr>
        <w:footnoteReference w:id="1"/>
      </w:r>
      <w:r w:rsidRPr="00D42A51">
        <w:rPr>
          <w:rFonts w:ascii="Palatino Linotype" w:eastAsia="Palatino Linotype" w:hAnsi="Palatino Linotype" w:cs="Palatino Linotype"/>
          <w:i/>
          <w:iCs/>
          <w:color w:val="000000"/>
        </w:rPr>
        <w:t xml:space="preserve"> en posesión de cualquier autoridad, entidad, órgano y organismo de los </w:t>
      </w:r>
      <w:r w:rsidRPr="00D42A51">
        <w:rPr>
          <w:rFonts w:ascii="Palatino Linotype" w:eastAsia="Palatino Linotype" w:hAnsi="Palatino Linotype" w:cs="Palatino Linotype"/>
          <w:color w:val="000000"/>
        </w:rPr>
        <w:t>poderes</w:t>
      </w:r>
      <w:r w:rsidRPr="00D42A51">
        <w:rPr>
          <w:rFonts w:ascii="Palatino Linotype" w:eastAsia="Palatino Linotype" w:hAnsi="Palatino Linotype" w:cs="Palatino Linotype"/>
          <w:i/>
          <w:iCs/>
          <w:color w:val="000000"/>
        </w:rPr>
        <w:t xml:space="preserve">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D42A51">
        <w:rPr>
          <w:rFonts w:ascii="Palatino Linotype" w:eastAsia="Palatino Linotype" w:hAnsi="Palatino Linotype" w:cs="Palatino Linotype"/>
          <w:color w:val="000000"/>
          <w:vertAlign w:val="superscript"/>
        </w:rPr>
        <w:footnoteReference w:id="2"/>
      </w:r>
      <w:r w:rsidRPr="00D42A51">
        <w:rPr>
          <w:rFonts w:ascii="Palatino Linotype" w:eastAsia="Palatino Linotype" w:hAnsi="Palatino Linotype" w:cs="Palatino Linotype"/>
          <w:i/>
          <w:iCs/>
          <w:color w:val="000000"/>
        </w:rPr>
        <w:t xml:space="preserve"> </w:t>
      </w:r>
      <w:r w:rsidRPr="00D42A51">
        <w:rPr>
          <w:rFonts w:ascii="Palatino Linotype" w:eastAsia="Palatino Linotype" w:hAnsi="Palatino Linotype" w:cs="Palatino Linotype"/>
          <w:color w:val="000000"/>
        </w:rPr>
        <w:t xml:space="preserve">que se constituye como una herramienta fundamental para </w:t>
      </w:r>
      <w:r w:rsidRPr="00D42A51">
        <w:rPr>
          <w:rFonts w:ascii="Palatino Linotype" w:eastAsia="Palatino Linotype" w:hAnsi="Palatino Linotype" w:cs="Palatino Linotype"/>
          <w:i/>
          <w:iCs/>
          <w:color w:val="000000"/>
        </w:rPr>
        <w:t>ejercer control democrático de las gestiones estatales, de forma tal que puedan cuestionar, indagar y considerar si se está dando un adecuado cumplimiento de las funciones públicas,</w:t>
      </w:r>
      <w:r w:rsidRPr="00D42A51">
        <w:rPr>
          <w:rFonts w:ascii="Palatino Linotype" w:eastAsia="Palatino Linotype" w:hAnsi="Palatino Linotype" w:cs="Palatino Linotype"/>
          <w:i/>
          <w:iCs/>
          <w:color w:val="000000"/>
          <w:vertAlign w:val="superscript"/>
        </w:rPr>
        <w:footnoteReference w:id="3"/>
      </w:r>
      <w:r w:rsidRPr="00D42A51">
        <w:rPr>
          <w:rFonts w:ascii="Palatino Linotype" w:eastAsia="Palatino Linotype" w:hAnsi="Palatino Linotype" w:cs="Palatino Linotype"/>
          <w:color w:val="000000"/>
        </w:rPr>
        <w:t>fomentando</w:t>
      </w:r>
      <w:r w:rsidRPr="00D42A51">
        <w:rPr>
          <w:rFonts w:ascii="Palatino Linotype" w:eastAsia="Palatino Linotype" w:hAnsi="Palatino Linotype" w:cs="Palatino Linotype"/>
          <w:i/>
          <w:iCs/>
          <w:color w:val="000000"/>
        </w:rPr>
        <w:t xml:space="preserve"> la </w:t>
      </w:r>
      <w:r w:rsidRPr="00D42A51">
        <w:rPr>
          <w:rFonts w:ascii="Palatino Linotype" w:eastAsia="Palatino Linotype" w:hAnsi="Palatino Linotype" w:cs="Palatino Linotype"/>
          <w:i/>
          <w:iCs/>
          <w:color w:val="000000"/>
        </w:rPr>
        <w:lastRenderedPageBreak/>
        <w:t>transparencia de las actividades estatales y</w:t>
      </w:r>
      <w:r w:rsidRPr="00D42A51">
        <w:rPr>
          <w:rFonts w:ascii="Palatino Linotype" w:eastAsia="Palatino Linotype" w:hAnsi="Palatino Linotype" w:cs="Palatino Linotype"/>
          <w:color w:val="000000"/>
        </w:rPr>
        <w:t xml:space="preserve"> promoviendo</w:t>
      </w:r>
      <w:r w:rsidRPr="00D42A51">
        <w:rPr>
          <w:rFonts w:ascii="Palatino Linotype" w:eastAsia="Palatino Linotype" w:hAnsi="Palatino Linotype" w:cs="Palatino Linotype"/>
          <w:i/>
          <w:iCs/>
          <w:color w:val="000000"/>
        </w:rPr>
        <w:t xml:space="preserve"> la responsabilidad de los funcionarios sobre su gestión pública</w:t>
      </w:r>
      <w:r w:rsidRPr="00D42A51">
        <w:rPr>
          <w:rFonts w:ascii="Palatino Linotype" w:eastAsia="Palatino Linotype" w:hAnsi="Palatino Linotype" w:cs="Palatino Linotype"/>
          <w:i/>
          <w:iCs/>
          <w:color w:val="000000"/>
          <w:vertAlign w:val="superscript"/>
        </w:rPr>
        <w:footnoteReference w:id="4"/>
      </w:r>
      <w:r w:rsidRPr="00D42A51">
        <w:rPr>
          <w:rFonts w:ascii="Palatino Linotype" w:eastAsia="Palatino Linotype" w:hAnsi="Palatino Linotype" w:cs="Palatino Linotype"/>
          <w:i/>
          <w:iCs/>
          <w:color w:val="000000"/>
        </w:rPr>
        <w:t xml:space="preserve"> </w:t>
      </w:r>
      <w:r w:rsidRPr="00D42A51">
        <w:rPr>
          <w:rFonts w:ascii="Palatino Linotype" w:eastAsia="Palatino Linotype" w:hAnsi="Palatino Linotype" w:cs="Palatino Linotype"/>
          <w:color w:val="000000"/>
        </w:rPr>
        <w:t>que permite</w:t>
      </w:r>
      <w:r w:rsidRPr="00D42A51">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r w:rsidRPr="00D42A51">
        <w:rPr>
          <w:rFonts w:ascii="Palatino Linotype" w:eastAsia="Palatino Linotype" w:hAnsi="Palatino Linotype" w:cs="Palatino Linotype"/>
          <w:i/>
          <w:iCs/>
          <w:color w:val="000000"/>
          <w:vertAlign w:val="superscript"/>
        </w:rPr>
        <w:footnoteReference w:id="5"/>
      </w:r>
      <w:r w:rsidRPr="00D42A51">
        <w:rPr>
          <w:rFonts w:ascii="Palatino Linotype" w:eastAsia="Palatino Linotype" w:hAnsi="Palatino Linotype" w:cs="Palatino Linotype"/>
          <w:color w:val="000000"/>
        </w:rPr>
        <w:t xml:space="preserve"> ”</w:t>
      </w:r>
    </w:p>
    <w:p w:rsidR="003D0A4D" w:rsidRPr="00D42A51" w:rsidRDefault="003D0A4D">
      <w:pPr>
        <w:spacing w:line="360" w:lineRule="auto"/>
        <w:jc w:val="both"/>
        <w:rPr>
          <w:rFonts w:ascii="Palatino Linotype" w:eastAsia="Palatino Linotype" w:hAnsi="Palatino Linotype" w:cs="Palatino Linotype"/>
          <w:color w:val="000000"/>
        </w:rPr>
      </w:pPr>
    </w:p>
    <w:p w:rsidR="003D0A4D" w:rsidRPr="00D42A51" w:rsidRDefault="00601292">
      <w:pPr>
        <w:numPr>
          <w:ilvl w:val="0"/>
          <w:numId w:val="1"/>
        </w:numPr>
        <w:spacing w:line="360" w:lineRule="auto"/>
        <w:ind w:left="0" w:firstLine="0"/>
        <w:jc w:val="both"/>
        <w:rPr>
          <w:rFonts w:ascii="Palatino Linotype" w:eastAsia="Palatino Linotype" w:hAnsi="Palatino Linotype" w:cs="Palatino Linotype"/>
          <w:i/>
          <w:iCs/>
          <w:color w:val="000000"/>
        </w:rPr>
      </w:pPr>
      <w:r w:rsidRPr="00D42A51">
        <w:rPr>
          <w:rFonts w:ascii="Palatino Linotype" w:eastAsia="Palatino Linotype" w:hAnsi="Palatino Linotype" w:cs="Palatino Linotype"/>
          <w:color w:val="000000"/>
        </w:rPr>
        <w:t>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3D0A4D" w:rsidRPr="00D42A51" w:rsidRDefault="00601292">
      <w:pPr>
        <w:spacing w:line="360" w:lineRule="auto"/>
        <w:ind w:left="426" w:right="474"/>
        <w:jc w:val="both"/>
        <w:rPr>
          <w:rFonts w:ascii="Palatino Linotype" w:eastAsia="Palatino Linotype" w:hAnsi="Palatino Linotype" w:cs="Palatino Linotype"/>
          <w:b/>
          <w:bCs/>
          <w:i/>
          <w:iCs/>
          <w:color w:val="000000"/>
        </w:rPr>
      </w:pPr>
      <w:r w:rsidRPr="00D42A51">
        <w:rPr>
          <w:rFonts w:ascii="Palatino Linotype" w:eastAsia="Palatino Linotype" w:hAnsi="Palatino Linotype" w:cs="Palatino Linotype"/>
          <w:b/>
          <w:bCs/>
          <w:i/>
          <w:iCs/>
          <w:color w:val="000000"/>
        </w:rPr>
        <w:t>“CRITERIO 0002-11</w:t>
      </w:r>
    </w:p>
    <w:p w:rsidR="003D0A4D" w:rsidRPr="00D42A51" w:rsidRDefault="00601292">
      <w:pPr>
        <w:spacing w:line="360" w:lineRule="auto"/>
        <w:ind w:left="426" w:right="474"/>
        <w:jc w:val="both"/>
        <w:rPr>
          <w:rFonts w:ascii="Palatino Linotype" w:eastAsia="Palatino Linotype" w:hAnsi="Palatino Linotype" w:cs="Palatino Linotype"/>
          <w:i/>
          <w:iCs/>
          <w:color w:val="000000"/>
        </w:rPr>
      </w:pPr>
      <w:r w:rsidRPr="00D42A51">
        <w:rPr>
          <w:rFonts w:ascii="Palatino Linotype" w:eastAsia="Palatino Linotype" w:hAnsi="Palatino Linotype" w:cs="Palatino Linotype"/>
          <w:b/>
          <w:bCs/>
          <w:i/>
          <w:iCs/>
          <w:color w:val="000000"/>
        </w:rPr>
        <w:t>INFORMACIÓN PÚBLICA, CONCEPTO DE, EN MATERIA DE TRANSPARENCIA. INTERPRETACIÓN TEMÁTICA DE LOS ARTÍCULOS 2, FRACCIÓN V, XV, Y XVI, 3, 4,11 Y 41.</w:t>
      </w:r>
      <w:r w:rsidRPr="00D42A51">
        <w:rPr>
          <w:rFonts w:ascii="Palatino Linotype" w:eastAsia="Palatino Linotype" w:hAnsi="Palatino Linotype" w:cs="Palatino Linotype"/>
          <w:i/>
          <w:iCs/>
          <w:color w:val="000000"/>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3D0A4D" w:rsidRPr="00D42A51" w:rsidRDefault="00601292">
      <w:pPr>
        <w:spacing w:line="360" w:lineRule="auto"/>
        <w:ind w:left="426" w:right="474"/>
        <w:jc w:val="both"/>
        <w:rPr>
          <w:rFonts w:ascii="Palatino Linotype" w:eastAsia="Palatino Linotype" w:hAnsi="Palatino Linotype" w:cs="Palatino Linotype"/>
          <w:i/>
          <w:iCs/>
          <w:color w:val="000000"/>
        </w:rPr>
      </w:pPr>
      <w:r w:rsidRPr="00D42A51">
        <w:rPr>
          <w:rFonts w:ascii="Palatino Linotype" w:eastAsia="Palatino Linotype" w:hAnsi="Palatino Linotype" w:cs="Palatino Linotype"/>
          <w:i/>
          <w:iCs/>
          <w:color w:val="000000"/>
        </w:rPr>
        <w:t>En consecuencia el acceso a la información se refiere a que se cumplan cualquiera de los siguientes tres supuestos:</w:t>
      </w:r>
    </w:p>
    <w:p w:rsidR="003D0A4D" w:rsidRPr="00D42A51" w:rsidRDefault="00601292">
      <w:pPr>
        <w:spacing w:line="360" w:lineRule="auto"/>
        <w:ind w:left="426" w:right="474"/>
        <w:jc w:val="both"/>
        <w:rPr>
          <w:rFonts w:ascii="Palatino Linotype" w:eastAsia="Palatino Linotype" w:hAnsi="Palatino Linotype" w:cs="Palatino Linotype"/>
          <w:i/>
          <w:iCs/>
          <w:color w:val="000000"/>
        </w:rPr>
      </w:pPr>
      <w:r w:rsidRPr="00D42A51">
        <w:rPr>
          <w:rFonts w:ascii="Palatino Linotype" w:eastAsia="Palatino Linotype" w:hAnsi="Palatino Linotype" w:cs="Palatino Linotype"/>
          <w:i/>
          <w:iCs/>
          <w:color w:val="000000"/>
        </w:rPr>
        <w:lastRenderedPageBreak/>
        <w:t>Que se trate de información registrada en cualquier soporte documental, que en ejercicio de las atribuciones conferidas, sea generada por los Sujetos Obligados;</w:t>
      </w:r>
    </w:p>
    <w:p w:rsidR="003D0A4D" w:rsidRPr="00D42A51" w:rsidRDefault="00601292">
      <w:pPr>
        <w:spacing w:line="360" w:lineRule="auto"/>
        <w:ind w:left="426" w:right="474"/>
        <w:jc w:val="both"/>
        <w:rPr>
          <w:rFonts w:ascii="Palatino Linotype" w:eastAsia="Palatino Linotype" w:hAnsi="Palatino Linotype" w:cs="Palatino Linotype"/>
          <w:i/>
          <w:iCs/>
          <w:color w:val="000000"/>
        </w:rPr>
      </w:pPr>
      <w:r w:rsidRPr="00D42A51">
        <w:rPr>
          <w:rFonts w:ascii="Palatino Linotype" w:eastAsia="Palatino Linotype" w:hAnsi="Palatino Linotype" w:cs="Palatino Linotype"/>
          <w:i/>
          <w:iCs/>
          <w:color w:val="000000"/>
        </w:rPr>
        <w:t>Que se trate de información registrada en cualquier soporte documental, que en ejercicio de las atribuciones conferidas, sea administrada por los Sujetos Obligados, y</w:t>
      </w:r>
    </w:p>
    <w:p w:rsidR="003D0A4D" w:rsidRPr="00D42A51" w:rsidRDefault="00601292">
      <w:pPr>
        <w:spacing w:line="360" w:lineRule="auto"/>
        <w:ind w:left="426" w:right="474"/>
        <w:jc w:val="both"/>
        <w:rPr>
          <w:rFonts w:ascii="Palatino Linotype" w:eastAsia="Palatino Linotype" w:hAnsi="Palatino Linotype" w:cs="Palatino Linotype"/>
          <w:i/>
          <w:iCs/>
          <w:color w:val="000000"/>
        </w:rPr>
      </w:pPr>
      <w:r w:rsidRPr="00D42A51">
        <w:rPr>
          <w:rFonts w:ascii="Palatino Linotype" w:eastAsia="Palatino Linotype" w:hAnsi="Palatino Linotype" w:cs="Palatino Linotype"/>
          <w:i/>
          <w:iCs/>
          <w:color w:val="000000"/>
        </w:rPr>
        <w:t>Que se trate de información registrada en cualquier soporte documental, que en ejercicio de las atribuciones conferidas, se encuentre en posesión de los Sujetos Obligados.”</w:t>
      </w:r>
    </w:p>
    <w:p w:rsidR="003D0A4D" w:rsidRPr="00D42A51" w:rsidRDefault="003D0A4D">
      <w:pPr>
        <w:spacing w:line="360" w:lineRule="auto"/>
        <w:ind w:left="567" w:right="567"/>
        <w:jc w:val="both"/>
        <w:rPr>
          <w:rFonts w:ascii="Palatino Linotype" w:eastAsia="Palatino Linotype" w:hAnsi="Palatino Linotype" w:cs="Palatino Linotype"/>
          <w:i/>
          <w:iCs/>
          <w:color w:val="000000"/>
        </w:rPr>
      </w:pPr>
    </w:p>
    <w:p w:rsidR="003D0A4D" w:rsidRPr="00D42A51" w:rsidRDefault="00601292">
      <w:pPr>
        <w:numPr>
          <w:ilvl w:val="0"/>
          <w:numId w:val="1"/>
        </w:numP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El derecho de acceso a la información encuentra su materia elemental en los documentos, y la Ley de Transparencia local  nos brinda el siguiente concepto, para darnos un mejor panorama:</w:t>
      </w:r>
    </w:p>
    <w:p w:rsidR="003D0A4D" w:rsidRPr="00D42A51" w:rsidRDefault="00601292">
      <w:pPr>
        <w:spacing w:line="360" w:lineRule="auto"/>
        <w:ind w:left="426" w:right="474"/>
        <w:jc w:val="both"/>
        <w:rPr>
          <w:rFonts w:ascii="Palatino Linotype" w:eastAsia="Palatino Linotype" w:hAnsi="Palatino Linotype" w:cs="Palatino Linotype"/>
          <w:i/>
          <w:iCs/>
          <w:color w:val="000000"/>
        </w:rPr>
      </w:pPr>
      <w:r w:rsidRPr="00D42A51">
        <w:rPr>
          <w:rFonts w:ascii="Palatino Linotype" w:eastAsia="Palatino Linotype" w:hAnsi="Palatino Linotype" w:cs="Palatino Linotype"/>
          <w:b/>
          <w:bCs/>
          <w:i/>
          <w:iCs/>
          <w:color w:val="000000"/>
        </w:rPr>
        <w:t xml:space="preserve">XI. Documento: </w:t>
      </w:r>
      <w:r w:rsidRPr="00D42A51">
        <w:rPr>
          <w:rFonts w:ascii="Palatino Linotype" w:eastAsia="Palatino Linotype" w:hAnsi="Palatino Linotype" w:cs="Palatino Linotype"/>
          <w:i/>
          <w:iCs/>
          <w:color w:val="000000"/>
        </w:rPr>
        <w:t xml:space="preserve">Los expedientes, reportes, estudios, actas, resoluciones, oficios, correspondencia, acuerdos, directivas, directrices, circulares, contratos, convenios, instructivos, notas, memorandos, estadísticas o bien, </w:t>
      </w:r>
      <w:r w:rsidRPr="00D42A51">
        <w:rPr>
          <w:rFonts w:ascii="Palatino Linotype" w:eastAsia="Palatino Linotype" w:hAnsi="Palatino Linotype" w:cs="Palatino Linotype"/>
          <w:b/>
          <w:bCs/>
          <w:i/>
          <w:iCs/>
          <w:color w:val="000000"/>
        </w:rPr>
        <w:t>cualquier otro registro</w:t>
      </w:r>
      <w:r w:rsidRPr="00D42A51">
        <w:rPr>
          <w:rFonts w:ascii="Palatino Linotype" w:eastAsia="Palatino Linotype" w:hAnsi="Palatino Linotype" w:cs="Palatino Linotype"/>
          <w:i/>
          <w:iCs/>
          <w:color w:val="000000"/>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3D0A4D" w:rsidRPr="00D42A51" w:rsidRDefault="003D0A4D">
      <w:pPr>
        <w:spacing w:line="360" w:lineRule="auto"/>
        <w:ind w:left="567" w:right="567"/>
        <w:jc w:val="both"/>
        <w:rPr>
          <w:rFonts w:ascii="Palatino Linotype" w:eastAsia="Palatino Linotype" w:hAnsi="Palatino Linotype" w:cs="Palatino Linotype"/>
          <w:i/>
          <w:iCs/>
          <w:color w:val="000000"/>
        </w:rPr>
      </w:pPr>
    </w:p>
    <w:p w:rsidR="003D0A4D" w:rsidRPr="00D42A51" w:rsidRDefault="00601292">
      <w:pPr>
        <w:numPr>
          <w:ilvl w:val="0"/>
          <w:numId w:val="1"/>
        </w:numP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 xml:space="preserve">Es así que, todos los actos de autoridad que realicen los Sujetos Obligados </w:t>
      </w:r>
      <w:r w:rsidRPr="00D42A51">
        <w:rPr>
          <w:rFonts w:ascii="Palatino Linotype" w:eastAsia="Palatino Linotype" w:hAnsi="Palatino Linotype" w:cs="Palatino Linotype"/>
          <w:b/>
          <w:bCs/>
          <w:color w:val="000000"/>
        </w:rPr>
        <w:t xml:space="preserve">deben estar </w:t>
      </w:r>
      <w:r w:rsidRPr="00D42A51">
        <w:rPr>
          <w:rFonts w:ascii="Palatino Linotype" w:eastAsia="Palatino Linotype" w:hAnsi="Palatino Linotype" w:cs="Palatino Linotype"/>
          <w:color w:val="000000"/>
        </w:rPr>
        <w:t>documentados y, bajo el más alto estándar de transparencia deberán poner toda la información que se encuentre en su posesión, a disposición de los particulares que la soliciten.</w:t>
      </w:r>
    </w:p>
    <w:p w:rsidR="003D0A4D" w:rsidRPr="00D42A51" w:rsidRDefault="003D0A4D">
      <w:pPr>
        <w:pBdr>
          <w:top w:val="nil"/>
          <w:left w:val="nil"/>
          <w:bottom w:val="nil"/>
          <w:right w:val="nil"/>
          <w:between w:val="nil"/>
        </w:pBdr>
        <w:tabs>
          <w:tab w:val="left" w:pos="284"/>
        </w:tabs>
        <w:spacing w:line="360" w:lineRule="auto"/>
        <w:ind w:right="51"/>
        <w:jc w:val="both"/>
        <w:rPr>
          <w:rFonts w:ascii="Palatino Linotype" w:eastAsia="Palatino Linotype" w:hAnsi="Palatino Linotype" w:cs="Palatino Linotype"/>
          <w:color w:val="000000"/>
        </w:rPr>
      </w:pPr>
    </w:p>
    <w:p w:rsidR="003D0A4D" w:rsidRPr="00D42A51" w:rsidRDefault="00601292">
      <w:pPr>
        <w:numPr>
          <w:ilvl w:val="0"/>
          <w:numId w:val="1"/>
        </w:numP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lastRenderedPageBreak/>
        <w:t>Además, debemos tomar en cuenta los artículos 4 y 12 (antes transcrito), de la Ley de Transparencia y Acceso a la Información Pública del Estado de México y Municipios, los cuales establecen lo siguiente:</w:t>
      </w:r>
    </w:p>
    <w:p w:rsidR="003D0A4D" w:rsidRPr="00D42A51" w:rsidRDefault="00601292">
      <w:pPr>
        <w:spacing w:line="360" w:lineRule="auto"/>
        <w:ind w:left="426" w:right="567"/>
        <w:jc w:val="both"/>
        <w:rPr>
          <w:rFonts w:ascii="Palatino Linotype" w:eastAsia="Palatino Linotype" w:hAnsi="Palatino Linotype" w:cs="Palatino Linotype"/>
          <w:i/>
          <w:iCs/>
          <w:color w:val="000000"/>
        </w:rPr>
      </w:pPr>
      <w:r w:rsidRPr="00D42A51">
        <w:rPr>
          <w:rFonts w:ascii="Palatino Linotype" w:eastAsia="Palatino Linotype" w:hAnsi="Palatino Linotype" w:cs="Palatino Linotype"/>
          <w:b/>
          <w:bCs/>
          <w:i/>
          <w:iCs/>
          <w:color w:val="000000"/>
        </w:rPr>
        <w:t xml:space="preserve">“Artículo 4. </w:t>
      </w:r>
      <w:r w:rsidRPr="00D42A51">
        <w:rPr>
          <w:rFonts w:ascii="Palatino Linotype" w:eastAsia="Palatino Linotype" w:hAnsi="Palatino Linotype" w:cs="Palatino Linotype"/>
          <w:i/>
          <w:iCs/>
          <w:color w:val="000000"/>
        </w:rPr>
        <w:t>El derecho humano de acceso a la información pública es la prerrogativa de las personas para buscar, difundir, investigar, recabar, recibir y solicitar información pública, sin necesidad de acreditar personalidad ni interés jurídico.</w:t>
      </w:r>
    </w:p>
    <w:p w:rsidR="003D0A4D" w:rsidRPr="00D42A51" w:rsidRDefault="00601292">
      <w:pPr>
        <w:spacing w:line="360" w:lineRule="auto"/>
        <w:ind w:left="426" w:right="567"/>
        <w:jc w:val="both"/>
        <w:rPr>
          <w:rFonts w:ascii="Palatino Linotype" w:eastAsia="Palatino Linotype" w:hAnsi="Palatino Linotype" w:cs="Palatino Linotype"/>
          <w:i/>
          <w:iCs/>
          <w:color w:val="000000"/>
        </w:rPr>
      </w:pPr>
      <w:r w:rsidRPr="00D42A51">
        <w:rPr>
          <w:rFonts w:ascii="Palatino Linotype" w:eastAsia="Palatino Linotype" w:hAnsi="Palatino Linotype" w:cs="Palatino Linotype"/>
          <w:b/>
          <w:bCs/>
          <w:i/>
          <w:iCs/>
          <w:color w:val="000000"/>
        </w:rPr>
        <w:t>Toda la información</w:t>
      </w:r>
      <w:r w:rsidRPr="00D42A51">
        <w:rPr>
          <w:rFonts w:ascii="Palatino Linotype" w:eastAsia="Palatino Linotype" w:hAnsi="Palatino Linotype" w:cs="Palatino Linotype"/>
          <w:i/>
          <w:iCs/>
          <w:color w:val="000000"/>
        </w:rPr>
        <w:t xml:space="preserve"> generada, obtenida, adquirida, transformada, administrada o </w:t>
      </w:r>
      <w:r w:rsidRPr="00D42A51">
        <w:rPr>
          <w:rFonts w:ascii="Palatino Linotype" w:eastAsia="Palatino Linotype" w:hAnsi="Palatino Linotype" w:cs="Palatino Linotype"/>
          <w:b/>
          <w:bCs/>
          <w:i/>
          <w:iCs/>
          <w:color w:val="000000"/>
        </w:rPr>
        <w:t>en posesión de los sujetos obligados es pública</w:t>
      </w:r>
      <w:r w:rsidRPr="00D42A51">
        <w:rPr>
          <w:rFonts w:ascii="Palatino Linotype" w:eastAsia="Palatino Linotype" w:hAnsi="Palatino Linotype" w:cs="Palatino Linotype"/>
          <w:i/>
          <w:iCs/>
          <w:color w:val="000000"/>
        </w:rPr>
        <w:t xml:space="preserve">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3D0A4D" w:rsidRPr="00D42A51" w:rsidRDefault="00601292">
      <w:pPr>
        <w:spacing w:line="360" w:lineRule="auto"/>
        <w:ind w:left="426" w:right="567"/>
        <w:jc w:val="both"/>
        <w:rPr>
          <w:rFonts w:ascii="Palatino Linotype" w:eastAsia="Palatino Linotype" w:hAnsi="Palatino Linotype" w:cs="Palatino Linotype"/>
          <w:i/>
          <w:iCs/>
          <w:color w:val="000000"/>
        </w:rPr>
      </w:pPr>
      <w:r w:rsidRPr="00D42A51">
        <w:rPr>
          <w:rFonts w:ascii="Palatino Linotype" w:eastAsia="Palatino Linotype" w:hAnsi="Palatino Linotype" w:cs="Palatino Linotype"/>
          <w:i/>
          <w:iCs/>
          <w:color w:val="000000"/>
        </w:rPr>
        <w:t>Los sujetos obligados deben poner en práctica, políticas y programas de acceso a la información que se apeguen a criterios de publicidad, veracidad, oportunidad, precisión y suficiencia en beneficio de los solicitantes.”</w:t>
      </w:r>
    </w:p>
    <w:p w:rsidR="003D0A4D" w:rsidRPr="00D42A51" w:rsidRDefault="003D0A4D">
      <w:pPr>
        <w:spacing w:line="360" w:lineRule="auto"/>
        <w:ind w:left="567" w:right="567"/>
        <w:jc w:val="both"/>
        <w:rPr>
          <w:rFonts w:ascii="Palatino Linotype" w:eastAsia="Palatino Linotype" w:hAnsi="Palatino Linotype" w:cs="Palatino Linotype"/>
          <w:i/>
          <w:iCs/>
          <w:color w:val="000000"/>
        </w:rPr>
      </w:pPr>
    </w:p>
    <w:p w:rsidR="003D0A4D" w:rsidRDefault="00601292">
      <w:pPr>
        <w:numPr>
          <w:ilvl w:val="0"/>
          <w:numId w:val="1"/>
        </w:numP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D42A51">
        <w:rPr>
          <w:rFonts w:ascii="Palatino Linotype" w:eastAsia="Palatino Linotype" w:hAnsi="Palatino Linotype" w:cs="Palatino Linotype"/>
          <w:color w:val="000000"/>
          <w:vertAlign w:val="superscript"/>
        </w:rPr>
        <w:footnoteReference w:id="6"/>
      </w:r>
      <w:r w:rsidRPr="00D42A51">
        <w:rPr>
          <w:rFonts w:ascii="Palatino Linotype" w:eastAsia="Palatino Linotype" w:hAnsi="Palatino Linotype" w:cs="Palatino Linotype"/>
          <w:color w:val="000000"/>
        </w:rPr>
        <w:t xml:space="preserve"> y máxima publicidad, </w:t>
      </w:r>
      <w:r w:rsidRPr="00D42A51">
        <w:rPr>
          <w:rFonts w:ascii="Palatino Linotype" w:eastAsia="Palatino Linotype" w:hAnsi="Palatino Linotype" w:cs="Palatino Linotype"/>
          <w:color w:val="000000"/>
        </w:rPr>
        <w:lastRenderedPageBreak/>
        <w:t>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D42A51" w:rsidRPr="00D42A51" w:rsidRDefault="00D42A51" w:rsidP="00D42A51">
      <w:pPr>
        <w:spacing w:line="360" w:lineRule="auto"/>
        <w:jc w:val="both"/>
        <w:rPr>
          <w:rFonts w:ascii="Palatino Linotype" w:eastAsia="Palatino Linotype" w:hAnsi="Palatino Linotype" w:cs="Palatino Linotype"/>
          <w:color w:val="000000"/>
        </w:rPr>
      </w:pPr>
    </w:p>
    <w:p w:rsidR="003D0A4D" w:rsidRPr="00D42A51" w:rsidRDefault="00601292">
      <w:pPr>
        <w:numPr>
          <w:ilvl w:val="0"/>
          <w:numId w:val="1"/>
        </w:numP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3D0A4D" w:rsidRPr="00D42A51" w:rsidRDefault="00601292">
      <w:pPr>
        <w:pBdr>
          <w:top w:val="nil"/>
          <w:left w:val="nil"/>
          <w:bottom w:val="nil"/>
          <w:right w:val="nil"/>
          <w:between w:val="nil"/>
        </w:pBdr>
        <w:tabs>
          <w:tab w:val="left" w:pos="851"/>
        </w:tabs>
        <w:spacing w:line="360" w:lineRule="auto"/>
        <w:ind w:left="425" w:right="476"/>
        <w:jc w:val="both"/>
        <w:rPr>
          <w:rFonts w:ascii="Palatino Linotype" w:eastAsia="Palatino Linotype" w:hAnsi="Palatino Linotype" w:cs="Palatino Linotype"/>
          <w:i/>
          <w:iCs/>
          <w:color w:val="000000"/>
        </w:rPr>
      </w:pPr>
      <w:r w:rsidRPr="00D42A51">
        <w:rPr>
          <w:rFonts w:ascii="Palatino Linotype" w:eastAsia="Palatino Linotype" w:hAnsi="Palatino Linotype" w:cs="Palatino Linotype"/>
          <w:b/>
          <w:bCs/>
          <w:i/>
          <w:iCs/>
          <w:color w:val="000000"/>
        </w:rPr>
        <w:t>ACCESO A LA INFORMACIÓN. IMPLICACIÓN DEL PRINCIPIO DE MÁXIMA PUBLICIDAD EN EL DERECHO FUNDAMENTAL RELATIVO.</w:t>
      </w:r>
      <w:r w:rsidRPr="00D42A51">
        <w:rPr>
          <w:rFonts w:ascii="Palatino Linotype" w:eastAsia="Palatino Linotype" w:hAnsi="Palatino Linotype" w:cs="Palatino Linotype"/>
          <w:i/>
          <w:iCs/>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w:t>
      </w:r>
      <w:r w:rsidRPr="00D42A51">
        <w:rPr>
          <w:rFonts w:ascii="Palatino Linotype" w:eastAsia="Palatino Linotype" w:hAnsi="Palatino Linotype" w:cs="Palatino Linotype"/>
          <w:i/>
          <w:iCs/>
          <w:color w:val="000000"/>
        </w:rPr>
        <w:lastRenderedPageBreak/>
        <w:t>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3D0A4D" w:rsidRPr="00D42A51" w:rsidRDefault="003D0A4D">
      <w:pPr>
        <w:spacing w:line="360" w:lineRule="auto"/>
        <w:ind w:left="567" w:right="900"/>
        <w:jc w:val="both"/>
        <w:rPr>
          <w:rFonts w:ascii="Palatino Linotype" w:eastAsia="Palatino Linotype" w:hAnsi="Palatino Linotype" w:cs="Palatino Linotype"/>
          <w:color w:val="000000"/>
        </w:rPr>
      </w:pPr>
    </w:p>
    <w:p w:rsidR="003D0A4D" w:rsidRPr="00D42A51" w:rsidRDefault="00601292">
      <w:pPr>
        <w:pBdr>
          <w:top w:val="nil"/>
          <w:left w:val="nil"/>
          <w:bottom w:val="nil"/>
          <w:right w:val="nil"/>
          <w:between w:val="nil"/>
        </w:pBdr>
        <w:tabs>
          <w:tab w:val="left" w:pos="284"/>
          <w:tab w:val="left" w:pos="426"/>
        </w:tabs>
        <w:spacing w:line="360" w:lineRule="auto"/>
        <w:ind w:right="49"/>
        <w:jc w:val="both"/>
        <w:rPr>
          <w:rFonts w:ascii="Palatino Linotype" w:eastAsia="Palatino Linotype" w:hAnsi="Palatino Linotype" w:cs="Palatino Linotype"/>
          <w:b/>
          <w:bCs/>
          <w:color w:val="000000"/>
        </w:rPr>
      </w:pPr>
      <w:r w:rsidRPr="00D42A51">
        <w:rPr>
          <w:rFonts w:ascii="Palatino Linotype" w:eastAsia="Palatino Linotype" w:hAnsi="Palatino Linotype" w:cs="Palatino Linotype"/>
          <w:b/>
          <w:bCs/>
          <w:color w:val="000000"/>
        </w:rPr>
        <w:t>QUINTO. De la versión pública.</w:t>
      </w:r>
    </w:p>
    <w:p w:rsidR="003D0A4D" w:rsidRPr="00D42A51" w:rsidRDefault="00601292">
      <w:pPr>
        <w:numPr>
          <w:ilvl w:val="0"/>
          <w:numId w:val="1"/>
        </w:numP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 xml:space="preserve">Finalmente, debe señalarse que dada la propia y especial naturaleza de lo solicitado, eminentemente contiene múltiples datos personales que deberán ser protegidos como ya quedó asentado en el Considerando anterior del presente proveído. Para dar cumplimiento a la presente resolución, contengan datos que deban ser clasificados, el </w:t>
      </w:r>
      <w:r w:rsidRPr="00D42A51">
        <w:rPr>
          <w:rFonts w:ascii="Palatino Linotype" w:eastAsia="Palatino Linotype" w:hAnsi="Palatino Linotype" w:cs="Palatino Linotype"/>
          <w:b/>
          <w:bCs/>
          <w:color w:val="000000"/>
        </w:rPr>
        <w:t>SUJETO OBLIGADO</w:t>
      </w:r>
      <w:r w:rsidRPr="00D42A51">
        <w:rPr>
          <w:rFonts w:ascii="Palatino Linotype" w:eastAsia="Palatino Linotype" w:hAnsi="Palatino Linotype" w:cs="Palatino Linotype"/>
          <w:color w:val="000000"/>
        </w:rPr>
        <w:t xml:space="preserve"> deberá hacer la elaboración de la versión pública de tales documentos a fin de satisfacer el derecho de acceso a la información pública del recurrente sin menoscabo al derecho a la protección de los datos personales de terceros.</w:t>
      </w:r>
    </w:p>
    <w:p w:rsidR="003D0A4D" w:rsidRPr="00D42A51" w:rsidRDefault="003D0A4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3D0A4D" w:rsidRPr="00D42A51" w:rsidRDefault="00601292">
      <w:pPr>
        <w:numPr>
          <w:ilvl w:val="0"/>
          <w:numId w:val="1"/>
        </w:numP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Por lo que, para efectos de la elaboración de la versión pública se deberá observar lo dispuesto por los artículos 3 fracciones IX, XX, XXI, XXXII y XLV; 6, 49 fracción VIII, 91, 137, 143 Fracción I, de la Ley de Transparencia y Acceso a la Información Pública del Estado de México y Municipios vigente, que establecen:</w:t>
      </w:r>
    </w:p>
    <w:p w:rsidR="003D0A4D" w:rsidRPr="00D42A51" w:rsidRDefault="00601292">
      <w:pPr>
        <w:spacing w:line="360" w:lineRule="auto"/>
        <w:ind w:left="993" w:right="1041"/>
        <w:jc w:val="both"/>
        <w:rPr>
          <w:rFonts w:ascii="Palatino Linotype" w:eastAsia="Palatino Linotype" w:hAnsi="Palatino Linotype" w:cs="Palatino Linotype"/>
          <w:b/>
          <w:bCs/>
          <w:i/>
          <w:iCs/>
        </w:rPr>
      </w:pPr>
      <w:r w:rsidRPr="00D42A51">
        <w:rPr>
          <w:rFonts w:ascii="Palatino Linotype" w:eastAsia="Palatino Linotype" w:hAnsi="Palatino Linotype" w:cs="Palatino Linotype"/>
          <w:b/>
          <w:bCs/>
          <w:i/>
          <w:iCs/>
        </w:rPr>
        <w:lastRenderedPageBreak/>
        <w:t xml:space="preserve"> “Artículo 3. Para los efectos de la presente Ley se entenderá por:</w:t>
      </w:r>
    </w:p>
    <w:p w:rsidR="003D0A4D" w:rsidRPr="00D42A51" w:rsidRDefault="00601292">
      <w:pPr>
        <w:spacing w:line="360" w:lineRule="auto"/>
        <w:ind w:left="993" w:right="1041"/>
        <w:jc w:val="both"/>
        <w:rPr>
          <w:rFonts w:ascii="Palatino Linotype" w:eastAsia="Palatino Linotype" w:hAnsi="Palatino Linotype" w:cs="Palatino Linotype"/>
          <w:i/>
          <w:iCs/>
        </w:rPr>
      </w:pPr>
      <w:r w:rsidRPr="00D42A51">
        <w:rPr>
          <w:rFonts w:ascii="Palatino Linotype" w:eastAsia="Palatino Linotype" w:hAnsi="Palatino Linotype" w:cs="Palatino Linotype"/>
          <w:b/>
          <w:bCs/>
          <w:i/>
          <w:iCs/>
        </w:rPr>
        <w:t>IX. Datos personales:</w:t>
      </w:r>
      <w:r w:rsidRPr="00D42A51">
        <w:rPr>
          <w:rFonts w:ascii="Palatino Linotype" w:eastAsia="Palatino Linotype" w:hAnsi="Palatino Linotype" w:cs="Palatino Linotype"/>
          <w:i/>
          <w:iCs/>
        </w:rPr>
        <w:t xml:space="preserve"> </w:t>
      </w:r>
      <w:r w:rsidRPr="00D42A51">
        <w:rPr>
          <w:rFonts w:ascii="Palatino Linotype" w:eastAsia="Palatino Linotype" w:hAnsi="Palatino Linotype" w:cs="Palatino Linotype"/>
          <w:b/>
          <w:bCs/>
          <w:i/>
          <w:iCs/>
        </w:rPr>
        <w:t>La información concerniente a una persona, identificada o identificable</w:t>
      </w:r>
      <w:r w:rsidRPr="00D42A51">
        <w:rPr>
          <w:rFonts w:ascii="Palatino Linotype" w:eastAsia="Palatino Linotype" w:hAnsi="Palatino Linotype" w:cs="Palatino Linotype"/>
          <w:i/>
          <w:iCs/>
        </w:rPr>
        <w:t xml:space="preserve"> según lo dispuesto por la Ley de Protección de Datos Personales del Estado de México;</w:t>
      </w:r>
    </w:p>
    <w:p w:rsidR="003D0A4D" w:rsidRPr="00D42A51" w:rsidRDefault="00601292">
      <w:pPr>
        <w:spacing w:line="360" w:lineRule="auto"/>
        <w:ind w:left="993" w:right="1041"/>
        <w:jc w:val="both"/>
        <w:rPr>
          <w:rFonts w:ascii="Palatino Linotype" w:eastAsia="Palatino Linotype" w:hAnsi="Palatino Linotype" w:cs="Palatino Linotype"/>
          <w:i/>
          <w:iCs/>
        </w:rPr>
      </w:pPr>
      <w:r w:rsidRPr="00D42A51">
        <w:rPr>
          <w:rFonts w:ascii="Palatino Linotype" w:eastAsia="Palatino Linotype" w:hAnsi="Palatino Linotype" w:cs="Palatino Linotype"/>
          <w:b/>
          <w:bCs/>
          <w:i/>
          <w:iCs/>
        </w:rPr>
        <w:t>XX. Información clasificada:</w:t>
      </w:r>
      <w:r w:rsidRPr="00D42A51">
        <w:rPr>
          <w:rFonts w:ascii="Palatino Linotype" w:eastAsia="Palatino Linotype" w:hAnsi="Palatino Linotype" w:cs="Palatino Linotype"/>
          <w:i/>
          <w:iCs/>
        </w:rPr>
        <w:t xml:space="preserve"> Aquella considerada por la presente Ley como reservada o confidencial;</w:t>
      </w:r>
    </w:p>
    <w:p w:rsidR="003D0A4D" w:rsidRPr="00D42A51" w:rsidRDefault="00601292">
      <w:pPr>
        <w:spacing w:line="360" w:lineRule="auto"/>
        <w:ind w:left="993" w:right="1041"/>
        <w:jc w:val="both"/>
        <w:rPr>
          <w:rFonts w:ascii="Palatino Linotype" w:eastAsia="Palatino Linotype" w:hAnsi="Palatino Linotype" w:cs="Palatino Linotype"/>
          <w:i/>
          <w:iCs/>
        </w:rPr>
      </w:pPr>
      <w:r w:rsidRPr="00D42A51">
        <w:rPr>
          <w:rFonts w:ascii="Palatino Linotype" w:eastAsia="Palatino Linotype" w:hAnsi="Palatino Linotype" w:cs="Palatino Linotype"/>
          <w:b/>
          <w:bCs/>
          <w:i/>
          <w:iCs/>
        </w:rPr>
        <w:t>XXXII. Protección de Datos Personales:</w:t>
      </w:r>
      <w:r w:rsidRPr="00D42A51">
        <w:rPr>
          <w:rFonts w:ascii="Palatino Linotype" w:eastAsia="Palatino Linotype" w:hAnsi="Palatino Linotype" w:cs="Palatino Linotype"/>
          <w:i/>
          <w:iCs/>
        </w:rPr>
        <w:t xml:space="preserve"> Derecho humano que tutela la privacidad de datos personales en poder de los sujetos obligados y sujetos particulares;</w:t>
      </w:r>
    </w:p>
    <w:p w:rsidR="003D0A4D" w:rsidRPr="00D42A51" w:rsidRDefault="00601292">
      <w:pPr>
        <w:spacing w:line="360" w:lineRule="auto"/>
        <w:ind w:left="993" w:right="1041"/>
        <w:jc w:val="both"/>
        <w:rPr>
          <w:rFonts w:ascii="Palatino Linotype" w:eastAsia="Palatino Linotype" w:hAnsi="Palatino Linotype" w:cs="Palatino Linotype"/>
          <w:i/>
          <w:iCs/>
        </w:rPr>
      </w:pPr>
      <w:r w:rsidRPr="00D42A51">
        <w:rPr>
          <w:rFonts w:ascii="Palatino Linotype" w:eastAsia="Palatino Linotype" w:hAnsi="Palatino Linotype" w:cs="Palatino Linotype"/>
          <w:b/>
          <w:bCs/>
          <w:i/>
          <w:iCs/>
        </w:rPr>
        <w:t>XLV. Versión pública</w:t>
      </w:r>
      <w:r w:rsidRPr="00D42A51">
        <w:rPr>
          <w:rFonts w:ascii="Palatino Linotype" w:eastAsia="Palatino Linotype" w:hAnsi="Palatino Linotype" w:cs="Palatino Linotype"/>
          <w:i/>
          <w:iCs/>
        </w:rPr>
        <w:t>: Documento en el que se elimine, suprime o borra la información clasificada como reservada o confidencial para permitir su acceso.”</w:t>
      </w:r>
    </w:p>
    <w:p w:rsidR="003D0A4D" w:rsidRPr="00D42A51" w:rsidRDefault="003D0A4D">
      <w:pPr>
        <w:spacing w:line="360" w:lineRule="auto"/>
        <w:ind w:left="993" w:right="1041"/>
        <w:jc w:val="both"/>
        <w:rPr>
          <w:rFonts w:ascii="Palatino Linotype" w:eastAsia="Palatino Linotype" w:hAnsi="Palatino Linotype" w:cs="Palatino Linotype"/>
          <w:i/>
          <w:iCs/>
        </w:rPr>
      </w:pPr>
    </w:p>
    <w:p w:rsidR="003D0A4D" w:rsidRPr="00D42A51" w:rsidRDefault="00601292">
      <w:pPr>
        <w:spacing w:line="360" w:lineRule="auto"/>
        <w:ind w:left="993" w:right="1041"/>
        <w:jc w:val="both"/>
        <w:rPr>
          <w:rFonts w:ascii="Palatino Linotype" w:eastAsia="Palatino Linotype" w:hAnsi="Palatino Linotype" w:cs="Palatino Linotype"/>
          <w:i/>
          <w:iCs/>
        </w:rPr>
      </w:pPr>
      <w:r w:rsidRPr="00D42A51">
        <w:rPr>
          <w:rFonts w:ascii="Palatino Linotype" w:eastAsia="Palatino Linotype" w:hAnsi="Palatino Linotype" w:cs="Palatino Linotype"/>
          <w:b/>
          <w:bCs/>
          <w:i/>
          <w:iCs/>
        </w:rPr>
        <w:t>“Artículo 6.</w:t>
      </w:r>
      <w:r w:rsidRPr="00D42A51">
        <w:rPr>
          <w:rFonts w:ascii="Palatino Linotype" w:eastAsia="Palatino Linotype" w:hAnsi="Palatino Linotype" w:cs="Palatino Linotype"/>
          <w:i/>
          <w:iCs/>
        </w:rPr>
        <w:t xml:space="preserve">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rsidR="003D0A4D" w:rsidRPr="00D42A51" w:rsidRDefault="003D0A4D">
      <w:pPr>
        <w:spacing w:line="360" w:lineRule="auto"/>
        <w:ind w:left="993" w:right="1041"/>
        <w:jc w:val="both"/>
        <w:rPr>
          <w:rFonts w:ascii="Palatino Linotype" w:eastAsia="Palatino Linotype" w:hAnsi="Palatino Linotype" w:cs="Palatino Linotype"/>
          <w:i/>
          <w:iCs/>
        </w:rPr>
      </w:pPr>
    </w:p>
    <w:p w:rsidR="003D0A4D" w:rsidRPr="00D42A51" w:rsidRDefault="00601292">
      <w:pPr>
        <w:spacing w:line="360" w:lineRule="auto"/>
        <w:ind w:left="993" w:right="1041"/>
        <w:jc w:val="both"/>
        <w:rPr>
          <w:rFonts w:ascii="Palatino Linotype" w:eastAsia="Palatino Linotype" w:hAnsi="Palatino Linotype" w:cs="Palatino Linotype"/>
          <w:i/>
          <w:iCs/>
        </w:rPr>
      </w:pPr>
      <w:r w:rsidRPr="00D42A51">
        <w:rPr>
          <w:rFonts w:ascii="Palatino Linotype" w:eastAsia="Palatino Linotype" w:hAnsi="Palatino Linotype" w:cs="Palatino Linotype"/>
          <w:i/>
          <w:iCs/>
        </w:rPr>
        <w:t> </w:t>
      </w:r>
      <w:r w:rsidRPr="00D42A51">
        <w:rPr>
          <w:rFonts w:ascii="Palatino Linotype" w:eastAsia="Palatino Linotype" w:hAnsi="Palatino Linotype" w:cs="Palatino Linotype"/>
          <w:b/>
          <w:bCs/>
          <w:i/>
          <w:iCs/>
        </w:rPr>
        <w:t>Artículo 49.</w:t>
      </w:r>
      <w:r w:rsidRPr="00D42A51">
        <w:rPr>
          <w:rFonts w:ascii="Palatino Linotype" w:eastAsia="Palatino Linotype" w:hAnsi="Palatino Linotype" w:cs="Palatino Linotype"/>
          <w:i/>
          <w:iCs/>
        </w:rPr>
        <w:t> Los Comités de Transparencia tendrán las siguientes atribuciones:</w:t>
      </w:r>
    </w:p>
    <w:p w:rsidR="003D0A4D" w:rsidRPr="00D42A51" w:rsidRDefault="00601292">
      <w:pPr>
        <w:spacing w:line="360" w:lineRule="auto"/>
        <w:ind w:left="993" w:right="1041"/>
        <w:jc w:val="both"/>
        <w:rPr>
          <w:rFonts w:ascii="Palatino Linotype" w:eastAsia="Palatino Linotype" w:hAnsi="Palatino Linotype" w:cs="Palatino Linotype"/>
          <w:i/>
          <w:iCs/>
        </w:rPr>
      </w:pPr>
      <w:r w:rsidRPr="00D42A51">
        <w:rPr>
          <w:rFonts w:ascii="Palatino Linotype" w:eastAsia="Palatino Linotype" w:hAnsi="Palatino Linotype" w:cs="Palatino Linotype"/>
          <w:i/>
          <w:iCs/>
        </w:rPr>
        <w:lastRenderedPageBreak/>
        <w:t>(…)</w:t>
      </w:r>
    </w:p>
    <w:p w:rsidR="003D0A4D" w:rsidRPr="00D42A51" w:rsidRDefault="00601292">
      <w:pPr>
        <w:spacing w:line="360" w:lineRule="auto"/>
        <w:ind w:left="993" w:right="1041"/>
        <w:jc w:val="both"/>
        <w:rPr>
          <w:rFonts w:ascii="Palatino Linotype" w:eastAsia="Palatino Linotype" w:hAnsi="Palatino Linotype" w:cs="Palatino Linotype"/>
          <w:i/>
          <w:iCs/>
        </w:rPr>
      </w:pPr>
      <w:r w:rsidRPr="00D42A51">
        <w:rPr>
          <w:rFonts w:ascii="Palatino Linotype" w:eastAsia="Palatino Linotype" w:hAnsi="Palatino Linotype" w:cs="Palatino Linotype"/>
          <w:b/>
          <w:bCs/>
          <w:i/>
          <w:iCs/>
        </w:rPr>
        <w:t>VIII</w:t>
      </w:r>
      <w:r w:rsidRPr="00D42A51">
        <w:rPr>
          <w:rFonts w:ascii="Palatino Linotype" w:eastAsia="Palatino Linotype" w:hAnsi="Palatino Linotype" w:cs="Palatino Linotype"/>
          <w:i/>
          <w:iCs/>
        </w:rPr>
        <w:t>. Aprobar, modificar o revocar la clasificación de la información;</w:t>
      </w:r>
    </w:p>
    <w:p w:rsidR="003D0A4D" w:rsidRPr="00D42A51" w:rsidRDefault="00601292">
      <w:pPr>
        <w:spacing w:line="360" w:lineRule="auto"/>
        <w:ind w:left="993" w:right="1041"/>
        <w:jc w:val="both"/>
        <w:rPr>
          <w:rFonts w:ascii="Palatino Linotype" w:eastAsia="Palatino Linotype" w:hAnsi="Palatino Linotype" w:cs="Palatino Linotype"/>
          <w:i/>
          <w:iCs/>
        </w:rPr>
      </w:pPr>
      <w:r w:rsidRPr="00D42A51">
        <w:rPr>
          <w:rFonts w:ascii="Palatino Linotype" w:eastAsia="Palatino Linotype" w:hAnsi="Palatino Linotype" w:cs="Palatino Linotype"/>
          <w:i/>
          <w:iCs/>
        </w:rPr>
        <w:t>(…)</w:t>
      </w:r>
    </w:p>
    <w:p w:rsidR="003D0A4D" w:rsidRPr="00D42A51" w:rsidRDefault="00601292">
      <w:pPr>
        <w:spacing w:line="360" w:lineRule="auto"/>
        <w:ind w:left="993" w:right="1041"/>
        <w:jc w:val="both"/>
        <w:rPr>
          <w:rFonts w:ascii="Palatino Linotype" w:eastAsia="Palatino Linotype" w:hAnsi="Palatino Linotype" w:cs="Palatino Linotype"/>
          <w:i/>
          <w:iCs/>
        </w:rPr>
      </w:pPr>
      <w:r w:rsidRPr="00D42A51">
        <w:rPr>
          <w:rFonts w:ascii="Palatino Linotype" w:eastAsia="Palatino Linotype" w:hAnsi="Palatino Linotype" w:cs="Palatino Linotype"/>
          <w:b/>
          <w:bCs/>
          <w:i/>
          <w:iCs/>
        </w:rPr>
        <w:t xml:space="preserve">Artículo 91. </w:t>
      </w:r>
      <w:r w:rsidRPr="00D42A51">
        <w:rPr>
          <w:rFonts w:ascii="Palatino Linotype" w:eastAsia="Palatino Linotype" w:hAnsi="Palatino Linotype" w:cs="Palatino Linotype"/>
          <w:i/>
          <w:iCs/>
        </w:rPr>
        <w:t>El acceso a la información pública será restringido excepcionalmente, cuando ésta sea clasificada como reservada o confidencial.</w:t>
      </w:r>
    </w:p>
    <w:p w:rsidR="003D0A4D" w:rsidRPr="00D42A51" w:rsidRDefault="003D0A4D">
      <w:pPr>
        <w:spacing w:line="360" w:lineRule="auto"/>
        <w:ind w:left="993" w:right="1041"/>
        <w:jc w:val="both"/>
        <w:rPr>
          <w:rFonts w:ascii="Palatino Linotype" w:eastAsia="Palatino Linotype" w:hAnsi="Palatino Linotype" w:cs="Palatino Linotype"/>
          <w:i/>
          <w:iCs/>
        </w:rPr>
      </w:pPr>
    </w:p>
    <w:p w:rsidR="003D0A4D" w:rsidRPr="00D42A51" w:rsidRDefault="00601292">
      <w:pPr>
        <w:spacing w:line="360" w:lineRule="auto"/>
        <w:ind w:left="993" w:right="1041"/>
        <w:jc w:val="both"/>
        <w:rPr>
          <w:rFonts w:ascii="Palatino Linotype" w:eastAsia="Palatino Linotype" w:hAnsi="Palatino Linotype" w:cs="Palatino Linotype"/>
          <w:b/>
          <w:bCs/>
          <w:i/>
          <w:iCs/>
        </w:rPr>
      </w:pPr>
      <w:r w:rsidRPr="00D42A51">
        <w:rPr>
          <w:rFonts w:ascii="Palatino Linotype" w:eastAsia="Palatino Linotype" w:hAnsi="Palatino Linotype" w:cs="Palatino Linotype"/>
          <w:b/>
          <w:bCs/>
          <w:i/>
          <w:iCs/>
        </w:rPr>
        <w:t>“Artículo 137.</w:t>
      </w:r>
      <w:r w:rsidRPr="00D42A51">
        <w:rPr>
          <w:rFonts w:ascii="Palatino Linotype" w:eastAsia="Palatino Linotype" w:hAnsi="Palatino Linotype" w:cs="Palatino Linotype"/>
          <w:i/>
          <w:iCs/>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rsidR="003D0A4D" w:rsidRPr="00D42A51" w:rsidRDefault="003D0A4D">
      <w:pPr>
        <w:spacing w:line="360" w:lineRule="auto"/>
        <w:ind w:left="993" w:right="1041"/>
        <w:jc w:val="both"/>
        <w:rPr>
          <w:rFonts w:ascii="Palatino Linotype" w:eastAsia="Palatino Linotype" w:hAnsi="Palatino Linotype" w:cs="Palatino Linotype"/>
          <w:b/>
          <w:bCs/>
          <w:i/>
          <w:iCs/>
        </w:rPr>
      </w:pPr>
    </w:p>
    <w:p w:rsidR="003D0A4D" w:rsidRPr="00D42A51" w:rsidRDefault="00601292">
      <w:pPr>
        <w:spacing w:line="360" w:lineRule="auto"/>
        <w:ind w:left="993" w:right="1041"/>
        <w:jc w:val="both"/>
        <w:rPr>
          <w:rFonts w:ascii="Palatino Linotype" w:eastAsia="Palatino Linotype" w:hAnsi="Palatino Linotype" w:cs="Palatino Linotype"/>
          <w:i/>
          <w:iCs/>
        </w:rPr>
      </w:pPr>
      <w:r w:rsidRPr="00D42A51">
        <w:rPr>
          <w:rFonts w:ascii="Palatino Linotype" w:eastAsia="Palatino Linotype" w:hAnsi="Palatino Linotype" w:cs="Palatino Linotype"/>
          <w:b/>
          <w:bCs/>
          <w:i/>
          <w:iCs/>
        </w:rPr>
        <w:t>“Artículo 143</w:t>
      </w:r>
      <w:r w:rsidRPr="00D42A51">
        <w:rPr>
          <w:rFonts w:ascii="Palatino Linotype" w:eastAsia="Palatino Linotype" w:hAnsi="Palatino Linotype" w:cs="Palatino Linotype"/>
          <w:i/>
          <w:iCs/>
        </w:rPr>
        <w:t>. Para los efectos de esta Ley se considera información confidencial, la clasificada como tal, de manera permanente, por su naturaleza, cuando:</w:t>
      </w:r>
    </w:p>
    <w:p w:rsidR="003D0A4D" w:rsidRPr="00D42A51" w:rsidRDefault="00601292">
      <w:pPr>
        <w:spacing w:line="360" w:lineRule="auto"/>
        <w:ind w:left="993" w:right="1041"/>
        <w:jc w:val="both"/>
        <w:rPr>
          <w:rFonts w:ascii="Palatino Linotype" w:eastAsia="Palatino Linotype" w:hAnsi="Palatino Linotype" w:cs="Palatino Linotype"/>
          <w:i/>
          <w:iCs/>
        </w:rPr>
      </w:pPr>
      <w:r w:rsidRPr="00D42A51">
        <w:rPr>
          <w:rFonts w:ascii="Palatino Linotype" w:eastAsia="Palatino Linotype" w:hAnsi="Palatino Linotype" w:cs="Palatino Linotype"/>
          <w:b/>
          <w:bCs/>
          <w:i/>
          <w:iCs/>
        </w:rPr>
        <w:t>I.</w:t>
      </w:r>
      <w:r w:rsidRPr="00D42A51">
        <w:rPr>
          <w:rFonts w:ascii="Palatino Linotype" w:eastAsia="Palatino Linotype" w:hAnsi="Palatino Linotype" w:cs="Palatino Linotype"/>
          <w:i/>
          <w:iCs/>
        </w:rPr>
        <w:t xml:space="preserve"> Se refiera a la información privada y los datos personales concernientes a una persona física o jurídica colectiva identificada o identificable;</w:t>
      </w:r>
    </w:p>
    <w:p w:rsidR="003D0A4D" w:rsidRPr="00D42A51" w:rsidRDefault="00601292">
      <w:pPr>
        <w:spacing w:line="360" w:lineRule="auto"/>
        <w:ind w:left="993" w:right="1041"/>
        <w:jc w:val="both"/>
        <w:rPr>
          <w:rFonts w:ascii="Palatino Linotype" w:eastAsia="Palatino Linotype" w:hAnsi="Palatino Linotype" w:cs="Palatino Linotype"/>
          <w:i/>
          <w:iCs/>
        </w:rPr>
      </w:pPr>
      <w:r w:rsidRPr="00D42A51">
        <w:rPr>
          <w:rFonts w:ascii="Palatino Linotype" w:eastAsia="Palatino Linotype" w:hAnsi="Palatino Linotype" w:cs="Palatino Linotype"/>
          <w:i/>
          <w:iCs/>
        </w:rPr>
        <w:t>II. Los secretos bancario, fiduciario, industrial, comercial, fiscal, bursátil y postal, cuya titularidad corresponda a particulares, sujetos de derecho internacional o a sujetos obligados cuando no involucren el ejercicio de recursos públicos; y</w:t>
      </w:r>
    </w:p>
    <w:p w:rsidR="003D0A4D" w:rsidRPr="00D42A51" w:rsidRDefault="00601292">
      <w:pPr>
        <w:spacing w:line="360" w:lineRule="auto"/>
        <w:ind w:left="993" w:right="1041"/>
        <w:jc w:val="both"/>
        <w:rPr>
          <w:rFonts w:ascii="Palatino Linotype" w:eastAsia="Palatino Linotype" w:hAnsi="Palatino Linotype" w:cs="Palatino Linotype"/>
          <w:i/>
          <w:iCs/>
        </w:rPr>
      </w:pPr>
      <w:r w:rsidRPr="00D42A51">
        <w:rPr>
          <w:rFonts w:ascii="Palatino Linotype" w:eastAsia="Palatino Linotype" w:hAnsi="Palatino Linotype" w:cs="Palatino Linotype"/>
          <w:i/>
          <w:iCs/>
        </w:rPr>
        <w:t xml:space="preserve">III. La que presenten los particulares a los sujetos obligados, de conformidad con lo dispuesto por las leyes o los tratados internacionales.” </w:t>
      </w:r>
    </w:p>
    <w:p w:rsidR="003D0A4D" w:rsidRPr="00D42A51" w:rsidRDefault="00601292">
      <w:pPr>
        <w:numPr>
          <w:ilvl w:val="0"/>
          <w:numId w:val="1"/>
        </w:numP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lastRenderedPageBreak/>
        <w:t>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Sujeto Obligado deberá proceder a testar los datos personales que se encuentren contenidos en los documentos a entregar por parte del Sujeto Obligado para satisfacer el derecho de acceso a la información pública de la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 que señala la fracción XII del artículo 4 de la Ley de Protección de Datos Personales en Posesión de Sujetos Obligados del Estado de México.</w:t>
      </w:r>
    </w:p>
    <w:p w:rsidR="00D42A51" w:rsidRDefault="00D42A51" w:rsidP="00D42A51">
      <w:pPr>
        <w:pBdr>
          <w:top w:val="nil"/>
          <w:left w:val="nil"/>
          <w:bottom w:val="nil"/>
          <w:right w:val="nil"/>
          <w:between w:val="nil"/>
        </w:pBdr>
        <w:spacing w:line="360" w:lineRule="auto"/>
        <w:jc w:val="both"/>
        <w:rPr>
          <w:rFonts w:ascii="Palatino Linotype" w:eastAsia="Palatino Linotype" w:hAnsi="Palatino Linotype" w:cs="Palatino Linotype"/>
        </w:rPr>
      </w:pPr>
    </w:p>
    <w:p w:rsidR="003D0A4D" w:rsidRPr="00D42A51" w:rsidRDefault="00601292" w:rsidP="00D42A51">
      <w:pPr>
        <w:pStyle w:val="Prrafodelista"/>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rsidR="003D0A4D" w:rsidRPr="00D42A51" w:rsidRDefault="003D0A4D">
      <w:pPr>
        <w:spacing w:line="360" w:lineRule="auto"/>
        <w:ind w:right="50"/>
        <w:jc w:val="both"/>
        <w:rPr>
          <w:rFonts w:ascii="Palatino Linotype" w:eastAsia="Palatino Linotype" w:hAnsi="Palatino Linotype" w:cs="Palatino Linotype"/>
        </w:rPr>
      </w:pPr>
    </w:p>
    <w:p w:rsidR="003D0A4D" w:rsidRPr="00D42A51" w:rsidRDefault="00601292" w:rsidP="00D42A5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 xml:space="preserve">En ese contexto,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w:t>
      </w:r>
      <w:r w:rsidRPr="00D42A51">
        <w:rPr>
          <w:rFonts w:ascii="Palatino Linotype" w:eastAsia="Palatino Linotype" w:hAnsi="Palatino Linotype" w:cs="Palatino Linotype"/>
          <w:color w:val="000000"/>
        </w:rPr>
        <w:lastRenderedPageBreak/>
        <w:t>fracción VIII, 53, fracción X y 59, fracción V, de la Ley en consulta, cuyo sentido literal es el siguiente:</w:t>
      </w:r>
    </w:p>
    <w:p w:rsidR="003D0A4D" w:rsidRPr="00D42A51" w:rsidRDefault="00601292">
      <w:pPr>
        <w:spacing w:line="360" w:lineRule="auto"/>
        <w:ind w:left="851" w:right="1043"/>
        <w:jc w:val="both"/>
        <w:rPr>
          <w:rFonts w:ascii="Palatino Linotype" w:eastAsia="Palatino Linotype" w:hAnsi="Palatino Linotype" w:cs="Palatino Linotype"/>
          <w:i/>
          <w:iCs/>
        </w:rPr>
      </w:pPr>
      <w:r w:rsidRPr="00D42A51">
        <w:rPr>
          <w:rFonts w:ascii="Palatino Linotype" w:eastAsia="Palatino Linotype" w:hAnsi="Palatino Linotype" w:cs="Palatino Linotype"/>
          <w:b/>
          <w:bCs/>
          <w:i/>
          <w:iCs/>
        </w:rPr>
        <w:t>“Artículo 49.</w:t>
      </w:r>
      <w:r w:rsidRPr="00D42A51">
        <w:rPr>
          <w:rFonts w:ascii="Palatino Linotype" w:eastAsia="Palatino Linotype" w:hAnsi="Palatino Linotype" w:cs="Palatino Linotype"/>
          <w:i/>
          <w:iCs/>
        </w:rPr>
        <w:t xml:space="preserve"> </w:t>
      </w:r>
      <w:r w:rsidRPr="00D42A51">
        <w:rPr>
          <w:rFonts w:ascii="Palatino Linotype" w:eastAsia="Palatino Linotype" w:hAnsi="Palatino Linotype" w:cs="Palatino Linotype"/>
          <w:b/>
          <w:bCs/>
          <w:i/>
          <w:iCs/>
        </w:rPr>
        <w:t>Los Comités de Transparencia</w:t>
      </w:r>
      <w:r w:rsidRPr="00D42A51">
        <w:rPr>
          <w:rFonts w:ascii="Palatino Linotype" w:eastAsia="Palatino Linotype" w:hAnsi="Palatino Linotype" w:cs="Palatino Linotype"/>
          <w:i/>
          <w:iCs/>
        </w:rPr>
        <w:t xml:space="preserve"> tendrán las siguientes atribuciones:</w:t>
      </w:r>
    </w:p>
    <w:p w:rsidR="003D0A4D" w:rsidRPr="00D42A51" w:rsidRDefault="00601292">
      <w:pPr>
        <w:spacing w:line="360" w:lineRule="auto"/>
        <w:ind w:left="851" w:right="1043"/>
        <w:jc w:val="both"/>
        <w:rPr>
          <w:rFonts w:ascii="Palatino Linotype" w:eastAsia="Palatino Linotype" w:hAnsi="Palatino Linotype" w:cs="Palatino Linotype"/>
          <w:i/>
          <w:iCs/>
        </w:rPr>
      </w:pPr>
      <w:r w:rsidRPr="00D42A51">
        <w:rPr>
          <w:rFonts w:ascii="Palatino Linotype" w:eastAsia="Palatino Linotype" w:hAnsi="Palatino Linotype" w:cs="Palatino Linotype"/>
          <w:b/>
          <w:bCs/>
          <w:i/>
          <w:iCs/>
        </w:rPr>
        <w:t>VIII. Aprobar, modificar o revocar la clasificación de la información</w:t>
      </w:r>
      <w:r w:rsidRPr="00D42A51">
        <w:rPr>
          <w:rFonts w:ascii="Palatino Linotype" w:eastAsia="Palatino Linotype" w:hAnsi="Palatino Linotype" w:cs="Palatino Linotype"/>
          <w:i/>
          <w:iCs/>
        </w:rPr>
        <w:t>…”</w:t>
      </w:r>
    </w:p>
    <w:p w:rsidR="003D0A4D" w:rsidRPr="00D42A51" w:rsidRDefault="00601292">
      <w:pPr>
        <w:spacing w:line="360" w:lineRule="auto"/>
        <w:ind w:left="851" w:right="1043"/>
        <w:jc w:val="both"/>
        <w:rPr>
          <w:rFonts w:ascii="Palatino Linotype" w:eastAsia="Palatino Linotype" w:hAnsi="Palatino Linotype" w:cs="Palatino Linotype"/>
          <w:i/>
          <w:iCs/>
        </w:rPr>
      </w:pPr>
      <w:r w:rsidRPr="00D42A51">
        <w:rPr>
          <w:rFonts w:ascii="Palatino Linotype" w:eastAsia="Palatino Linotype" w:hAnsi="Palatino Linotype" w:cs="Palatino Linotype"/>
          <w:i/>
          <w:iCs/>
        </w:rPr>
        <w:t>“</w:t>
      </w:r>
      <w:r w:rsidRPr="00D42A51">
        <w:rPr>
          <w:rFonts w:ascii="Palatino Linotype" w:eastAsia="Palatino Linotype" w:hAnsi="Palatino Linotype" w:cs="Palatino Linotype"/>
          <w:b/>
          <w:bCs/>
          <w:i/>
          <w:iCs/>
        </w:rPr>
        <w:t>Artículo 53.</w:t>
      </w:r>
      <w:r w:rsidRPr="00D42A51">
        <w:rPr>
          <w:rFonts w:ascii="Palatino Linotype" w:eastAsia="Palatino Linotype" w:hAnsi="Palatino Linotype" w:cs="Palatino Linotype"/>
          <w:i/>
          <w:iCs/>
        </w:rPr>
        <w:t xml:space="preserve"> Las </w:t>
      </w:r>
      <w:r w:rsidRPr="00D42A51">
        <w:rPr>
          <w:rFonts w:ascii="Palatino Linotype" w:eastAsia="Palatino Linotype" w:hAnsi="Palatino Linotype" w:cs="Palatino Linotype"/>
          <w:b/>
          <w:bCs/>
          <w:i/>
          <w:iCs/>
        </w:rPr>
        <w:t>Unidades de Transparencia</w:t>
      </w:r>
      <w:r w:rsidRPr="00D42A51">
        <w:rPr>
          <w:rFonts w:ascii="Palatino Linotype" w:eastAsia="Palatino Linotype" w:hAnsi="Palatino Linotype" w:cs="Palatino Linotype"/>
          <w:i/>
          <w:iCs/>
        </w:rPr>
        <w:t xml:space="preserve"> tendrán las siguientes </w:t>
      </w:r>
      <w:r w:rsidRPr="00D42A51">
        <w:rPr>
          <w:rFonts w:ascii="Palatino Linotype" w:eastAsia="Palatino Linotype" w:hAnsi="Palatino Linotype" w:cs="Palatino Linotype"/>
          <w:b/>
          <w:bCs/>
          <w:i/>
          <w:iCs/>
        </w:rPr>
        <w:t>funciones</w:t>
      </w:r>
      <w:r w:rsidRPr="00D42A51">
        <w:rPr>
          <w:rFonts w:ascii="Palatino Linotype" w:eastAsia="Palatino Linotype" w:hAnsi="Palatino Linotype" w:cs="Palatino Linotype"/>
          <w:i/>
          <w:iCs/>
        </w:rPr>
        <w:t>:</w:t>
      </w:r>
    </w:p>
    <w:p w:rsidR="003D0A4D" w:rsidRPr="00D42A51" w:rsidRDefault="00601292">
      <w:pPr>
        <w:spacing w:line="360" w:lineRule="auto"/>
        <w:ind w:left="851" w:right="1043"/>
        <w:jc w:val="both"/>
        <w:rPr>
          <w:rFonts w:ascii="Palatino Linotype" w:eastAsia="Palatino Linotype" w:hAnsi="Palatino Linotype" w:cs="Palatino Linotype"/>
          <w:i/>
          <w:iCs/>
        </w:rPr>
      </w:pPr>
      <w:r w:rsidRPr="00D42A51">
        <w:rPr>
          <w:rFonts w:ascii="Palatino Linotype" w:eastAsia="Palatino Linotype" w:hAnsi="Palatino Linotype" w:cs="Palatino Linotype"/>
          <w:b/>
          <w:bCs/>
          <w:i/>
          <w:iCs/>
        </w:rPr>
        <w:t>X. Presentar ante el Comité, el proyecto de clasificación de información</w:t>
      </w:r>
      <w:r w:rsidRPr="00D42A51">
        <w:rPr>
          <w:rFonts w:ascii="Palatino Linotype" w:eastAsia="Palatino Linotype" w:hAnsi="Palatino Linotype" w:cs="Palatino Linotype"/>
          <w:i/>
          <w:iCs/>
        </w:rPr>
        <w:t xml:space="preserve">…” </w:t>
      </w:r>
    </w:p>
    <w:p w:rsidR="003D0A4D" w:rsidRPr="00D42A51" w:rsidRDefault="00601292">
      <w:pPr>
        <w:spacing w:line="360" w:lineRule="auto"/>
        <w:ind w:left="851" w:right="1043"/>
        <w:jc w:val="both"/>
        <w:rPr>
          <w:rFonts w:ascii="Palatino Linotype" w:eastAsia="Palatino Linotype" w:hAnsi="Palatino Linotype" w:cs="Palatino Linotype"/>
          <w:i/>
          <w:iCs/>
        </w:rPr>
      </w:pPr>
      <w:r w:rsidRPr="00D42A51">
        <w:rPr>
          <w:rFonts w:ascii="Palatino Linotype" w:eastAsia="Palatino Linotype" w:hAnsi="Palatino Linotype" w:cs="Palatino Linotype"/>
          <w:b/>
          <w:bCs/>
          <w:i/>
          <w:iCs/>
        </w:rPr>
        <w:t>“Artículo 59.</w:t>
      </w:r>
      <w:r w:rsidRPr="00D42A51">
        <w:rPr>
          <w:rFonts w:ascii="Palatino Linotype" w:eastAsia="Palatino Linotype" w:hAnsi="Palatino Linotype" w:cs="Palatino Linotype"/>
          <w:i/>
          <w:iCs/>
        </w:rPr>
        <w:t xml:space="preserve"> Los </w:t>
      </w:r>
      <w:r w:rsidRPr="00D42A51">
        <w:rPr>
          <w:rFonts w:ascii="Palatino Linotype" w:eastAsia="Palatino Linotype" w:hAnsi="Palatino Linotype" w:cs="Palatino Linotype"/>
          <w:b/>
          <w:bCs/>
          <w:i/>
          <w:iCs/>
        </w:rPr>
        <w:t>servidores públicos habilitados</w:t>
      </w:r>
      <w:r w:rsidRPr="00D42A51">
        <w:rPr>
          <w:rFonts w:ascii="Palatino Linotype" w:eastAsia="Palatino Linotype" w:hAnsi="Palatino Linotype" w:cs="Palatino Linotype"/>
          <w:i/>
          <w:iCs/>
        </w:rPr>
        <w:t xml:space="preserve"> tendrán las </w:t>
      </w:r>
      <w:r w:rsidRPr="00D42A51">
        <w:rPr>
          <w:rFonts w:ascii="Palatino Linotype" w:eastAsia="Palatino Linotype" w:hAnsi="Palatino Linotype" w:cs="Palatino Linotype"/>
          <w:b/>
          <w:bCs/>
          <w:i/>
          <w:iCs/>
        </w:rPr>
        <w:t>funciones</w:t>
      </w:r>
      <w:r w:rsidRPr="00D42A51">
        <w:rPr>
          <w:rFonts w:ascii="Palatino Linotype" w:eastAsia="Palatino Linotype" w:hAnsi="Palatino Linotype" w:cs="Palatino Linotype"/>
          <w:i/>
          <w:iCs/>
        </w:rPr>
        <w:t xml:space="preserve"> siguientes:</w:t>
      </w:r>
    </w:p>
    <w:p w:rsidR="003D0A4D" w:rsidRPr="00D42A51" w:rsidRDefault="00601292">
      <w:pPr>
        <w:spacing w:line="360" w:lineRule="auto"/>
        <w:ind w:left="851" w:right="1043"/>
        <w:jc w:val="both"/>
        <w:rPr>
          <w:rFonts w:ascii="Palatino Linotype" w:eastAsia="Palatino Linotype" w:hAnsi="Palatino Linotype" w:cs="Palatino Linotype"/>
          <w:i/>
          <w:iCs/>
        </w:rPr>
      </w:pPr>
      <w:r w:rsidRPr="00D42A51">
        <w:rPr>
          <w:rFonts w:ascii="Palatino Linotype" w:eastAsia="Palatino Linotype" w:hAnsi="Palatino Linotype" w:cs="Palatino Linotype"/>
          <w:b/>
          <w:bCs/>
          <w:i/>
          <w:iCs/>
        </w:rPr>
        <w:t>V. Integrar y presentar al responsable de la Unidad de Transparencia la propuesta de clasificación de información</w:t>
      </w:r>
      <w:r w:rsidRPr="00D42A51">
        <w:rPr>
          <w:rFonts w:ascii="Palatino Linotype" w:eastAsia="Palatino Linotype" w:hAnsi="Palatino Linotype" w:cs="Palatino Linotype"/>
          <w:i/>
          <w:iCs/>
        </w:rPr>
        <w:t>, la cual tendrá los fundamentos y argumentos en que se basa dicha propuesta…”</w:t>
      </w:r>
    </w:p>
    <w:p w:rsidR="003D0A4D" w:rsidRPr="00D42A51" w:rsidRDefault="003D0A4D">
      <w:pPr>
        <w:spacing w:line="360" w:lineRule="auto"/>
        <w:ind w:left="851" w:right="1043"/>
        <w:jc w:val="both"/>
        <w:rPr>
          <w:rFonts w:ascii="Palatino Linotype" w:eastAsia="Palatino Linotype" w:hAnsi="Palatino Linotype" w:cs="Palatino Linotype"/>
          <w:i/>
          <w:iCs/>
        </w:rPr>
      </w:pPr>
    </w:p>
    <w:p w:rsidR="003D0A4D" w:rsidRPr="00D42A51" w:rsidRDefault="00601292" w:rsidP="00D42A5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rsidR="003D0A4D" w:rsidRPr="00D42A51" w:rsidRDefault="00601292" w:rsidP="00D42A5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lastRenderedPageBreak/>
        <w:t>Para lo cual, a su vez en el caso de información de carácter confidencial, se debe atender a lo que señala el artículo 149 de la Ley de Transparencia Local vigente, que se lee como sigue:</w:t>
      </w:r>
    </w:p>
    <w:p w:rsidR="003D0A4D" w:rsidRPr="00D42A51" w:rsidRDefault="00601292">
      <w:pPr>
        <w:spacing w:line="360" w:lineRule="auto"/>
        <w:ind w:left="993" w:right="1041"/>
        <w:jc w:val="both"/>
        <w:rPr>
          <w:rFonts w:ascii="Palatino Linotype" w:eastAsia="Palatino Linotype" w:hAnsi="Palatino Linotype" w:cs="Palatino Linotype"/>
          <w:i/>
          <w:iCs/>
        </w:rPr>
      </w:pPr>
      <w:r w:rsidRPr="00D42A51">
        <w:rPr>
          <w:rFonts w:ascii="Palatino Linotype" w:eastAsia="Palatino Linotype" w:hAnsi="Palatino Linotype" w:cs="Palatino Linotype"/>
          <w:i/>
          <w:iCs/>
        </w:rPr>
        <w:t>“</w:t>
      </w:r>
      <w:r w:rsidRPr="00D42A51">
        <w:rPr>
          <w:rFonts w:ascii="Palatino Linotype" w:eastAsia="Palatino Linotype" w:hAnsi="Palatino Linotype" w:cs="Palatino Linotype"/>
          <w:b/>
          <w:bCs/>
          <w:i/>
          <w:iCs/>
        </w:rPr>
        <w:t>Artículo 149.</w:t>
      </w:r>
      <w:r w:rsidRPr="00D42A51">
        <w:rPr>
          <w:rFonts w:ascii="Palatino Linotype" w:eastAsia="Palatino Linotype" w:hAnsi="Palatino Linotype" w:cs="Palatino Linotype"/>
          <w:i/>
          <w:iCs/>
        </w:rPr>
        <w:t xml:space="preserve"> El </w:t>
      </w:r>
      <w:r w:rsidRPr="00D42A51">
        <w:rPr>
          <w:rFonts w:ascii="Palatino Linotype" w:eastAsia="Palatino Linotype" w:hAnsi="Palatino Linotype" w:cs="Palatino Linotype"/>
          <w:b/>
          <w:bCs/>
          <w:i/>
          <w:iCs/>
        </w:rPr>
        <w:t>acuerdo que clasifique la información como confidencial</w:t>
      </w:r>
      <w:r w:rsidRPr="00D42A51">
        <w:rPr>
          <w:rFonts w:ascii="Palatino Linotype" w:eastAsia="Palatino Linotype" w:hAnsi="Palatino Linotype" w:cs="Palatino Linotype"/>
          <w:i/>
          <w:iCs/>
        </w:rPr>
        <w:t xml:space="preserve"> deberá contener un razonamiento lógico en el que demuestre que la información se encuentra en alguna o algunas de las hipótesis previstas en la presente Ley.”</w:t>
      </w:r>
    </w:p>
    <w:p w:rsidR="003D0A4D" w:rsidRPr="00D42A51" w:rsidRDefault="003D0A4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3D0A4D" w:rsidRPr="00D42A51" w:rsidRDefault="00601292" w:rsidP="00D42A5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Es decir, el Sujeto Obligado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parte solicitante.</w:t>
      </w:r>
    </w:p>
    <w:p w:rsidR="003D0A4D" w:rsidRPr="00D42A51" w:rsidRDefault="003D0A4D">
      <w:pPr>
        <w:spacing w:line="360" w:lineRule="auto"/>
        <w:ind w:right="-93"/>
        <w:jc w:val="both"/>
        <w:rPr>
          <w:rFonts w:ascii="Palatino Linotype" w:eastAsia="Palatino Linotype" w:hAnsi="Palatino Linotype" w:cs="Palatino Linotype"/>
        </w:rPr>
      </w:pPr>
    </w:p>
    <w:p w:rsidR="003D0A4D" w:rsidRPr="00D42A51" w:rsidRDefault="00601292" w:rsidP="00D42A5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 xml:space="preserve">Al </w:t>
      </w:r>
      <w:r w:rsidRPr="00D42A51">
        <w:rPr>
          <w:rFonts w:ascii="Palatino Linotype" w:eastAsia="Palatino Linotype" w:hAnsi="Palatino Linotype" w:cs="Palatino Linotype"/>
          <w:color w:val="222222"/>
        </w:rPr>
        <w:t>respecto</w:t>
      </w:r>
      <w:r w:rsidRPr="00D42A51">
        <w:rPr>
          <w:rFonts w:ascii="Palatino Linotype" w:eastAsia="Palatino Linotype" w:hAnsi="Palatino Linotype" w:cs="Palatino Linotype"/>
          <w:color w:val="000000"/>
        </w:rPr>
        <w:t xml:space="preserve">, es de señalar que </w:t>
      </w:r>
      <w:r w:rsidRPr="00D42A51">
        <w:rPr>
          <w:rFonts w:ascii="Palatino Linotype" w:eastAsia="Palatino Linotype" w:hAnsi="Palatino Linotype" w:cs="Palatino Linotype"/>
          <w:b/>
          <w:bCs/>
          <w:color w:val="000000"/>
        </w:rPr>
        <w:t xml:space="preserve">la firma </w:t>
      </w:r>
      <w:r w:rsidRPr="00D42A51">
        <w:rPr>
          <w:rFonts w:ascii="Palatino Linotype" w:eastAsia="Palatino Linotype" w:hAnsi="Palatino Linotype" w:cs="Palatino Linotype"/>
          <w:color w:val="000000"/>
        </w:rPr>
        <w:t xml:space="preserve">es considerada un dato personal, al tratarse de información gráfica a través de la cual su titular exterioriza su voluntad en actos públicos y privados. </w:t>
      </w:r>
    </w:p>
    <w:p w:rsidR="003D0A4D" w:rsidRPr="00D42A51" w:rsidRDefault="003D0A4D">
      <w:pPr>
        <w:spacing w:line="360" w:lineRule="auto"/>
        <w:ind w:right="-93"/>
        <w:jc w:val="both"/>
        <w:rPr>
          <w:rFonts w:ascii="Palatino Linotype" w:eastAsia="Palatino Linotype" w:hAnsi="Palatino Linotype" w:cs="Palatino Linotype"/>
        </w:rPr>
      </w:pPr>
    </w:p>
    <w:p w:rsidR="003D0A4D" w:rsidRPr="00D42A51" w:rsidRDefault="00601292" w:rsidP="00D42A5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 xml:space="preserve">Al respecto, este Instituto, considera que entregar la firmas del servidor público, si abona a la transparencia, dado que con esta se acredita que fue emitida por autoridad </w:t>
      </w:r>
      <w:r w:rsidRPr="00D42A51">
        <w:rPr>
          <w:rFonts w:ascii="Palatino Linotype" w:eastAsia="Palatino Linotype" w:hAnsi="Palatino Linotype" w:cs="Palatino Linotype"/>
          <w:color w:val="000000"/>
        </w:rPr>
        <w:lastRenderedPageBreak/>
        <w:t>competente en uso de las facultades que le otorga la legislación; por lo que, guarda cierto interés público dar a conocer la firma, dado que le da validez al documento.</w:t>
      </w:r>
    </w:p>
    <w:p w:rsidR="003D0A4D" w:rsidRPr="00D42A51" w:rsidRDefault="003D0A4D">
      <w:pPr>
        <w:spacing w:line="360" w:lineRule="auto"/>
        <w:ind w:right="-93"/>
        <w:jc w:val="both"/>
        <w:rPr>
          <w:rFonts w:ascii="Palatino Linotype" w:eastAsia="Palatino Linotype" w:hAnsi="Palatino Linotype" w:cs="Palatino Linotype"/>
        </w:rPr>
      </w:pPr>
    </w:p>
    <w:p w:rsidR="003D0A4D" w:rsidRPr="00D42A51" w:rsidRDefault="00601292" w:rsidP="00D42A5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Por lo que, se considera que, en el presente caso, al dar validez al documento en cuestión, la firma del servidor público guarda el carácter de público y, por lo tanto, no actualiza la causal de clasificación prevista en el artículo 143, fracción I, de la Ley de Transparencia y Acceso a la Información Pública del Estado de México y Municipios.</w:t>
      </w:r>
    </w:p>
    <w:p w:rsidR="003D0A4D" w:rsidRPr="00D42A51" w:rsidRDefault="003D0A4D">
      <w:pPr>
        <w:pBdr>
          <w:top w:val="nil"/>
          <w:left w:val="nil"/>
          <w:bottom w:val="nil"/>
          <w:right w:val="nil"/>
          <w:between w:val="nil"/>
        </w:pBdr>
        <w:ind w:left="720"/>
        <w:rPr>
          <w:rFonts w:ascii="Palatino Linotype" w:eastAsia="Palatino Linotype" w:hAnsi="Palatino Linotype" w:cs="Palatino Linotype"/>
          <w:color w:val="000000"/>
        </w:rPr>
      </w:pPr>
    </w:p>
    <w:p w:rsidR="003D0A4D" w:rsidRPr="00D42A51" w:rsidRDefault="00601292" w:rsidP="00D42A5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Sirve de sustento a lo anterior el Criterio de Interpretación 02/19 emitido por el Instituto Nacional de Transparencia, Acceso a la Información y Protección de Datos Personales, cuyo rubro y texto establecen lo siguiente:</w:t>
      </w:r>
    </w:p>
    <w:p w:rsidR="003D0A4D" w:rsidRPr="00D42A51" w:rsidRDefault="00601292">
      <w:pPr>
        <w:spacing w:line="360" w:lineRule="auto"/>
        <w:ind w:left="1134" w:right="1041"/>
        <w:jc w:val="both"/>
        <w:rPr>
          <w:rFonts w:ascii="Palatino Linotype" w:eastAsia="Palatino Linotype" w:hAnsi="Palatino Linotype" w:cs="Palatino Linotype"/>
          <w:i/>
          <w:iCs/>
        </w:rPr>
      </w:pPr>
      <w:r w:rsidRPr="00D42A51">
        <w:rPr>
          <w:rFonts w:ascii="Palatino Linotype" w:eastAsia="Palatino Linotype" w:hAnsi="Palatino Linotype" w:cs="Palatino Linotype"/>
          <w:i/>
          <w:iCs/>
        </w:rPr>
        <w:t>“</w:t>
      </w:r>
      <w:r w:rsidRPr="00D42A51">
        <w:rPr>
          <w:rFonts w:ascii="Palatino Linotype" w:eastAsia="Palatino Linotype" w:hAnsi="Palatino Linotype" w:cs="Palatino Linotype"/>
          <w:b/>
          <w:bCs/>
          <w:i/>
          <w:iCs/>
        </w:rPr>
        <w:t>FIRMA Y RÚBRICA DE SERVIDORES PÚBLICOS.</w:t>
      </w:r>
      <w:r w:rsidRPr="00D42A51">
        <w:rPr>
          <w:rFonts w:ascii="Palatino Linotype" w:eastAsia="Palatino Linotype" w:hAnsi="Palatino Linotype" w:cs="Palatino Linotype"/>
          <w:i/>
          <w:iCs/>
        </w:rPr>
        <w:t xml:space="preserve"> Si bien la firma y la rúbrica son datos personales confidenciales, cuando un servidor público emite un acto como autoridad, en ejercicio de las funciones que tiene conferidas, la firma o rúbrica mediante la cual se valida dicho acto es pública.”</w:t>
      </w:r>
    </w:p>
    <w:p w:rsidR="003D0A4D" w:rsidRPr="00D42A51" w:rsidRDefault="003D0A4D">
      <w:pPr>
        <w:spacing w:line="360" w:lineRule="auto"/>
        <w:ind w:left="1134" w:right="1041"/>
        <w:jc w:val="both"/>
        <w:rPr>
          <w:rFonts w:ascii="Palatino Linotype" w:eastAsia="Palatino Linotype" w:hAnsi="Palatino Linotype" w:cs="Palatino Linotype"/>
          <w:i/>
          <w:iCs/>
        </w:rPr>
      </w:pPr>
    </w:p>
    <w:p w:rsidR="003D0A4D" w:rsidRPr="00D42A51" w:rsidRDefault="00601292" w:rsidP="00D42A5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highlight w:val="white"/>
        </w:rPr>
      </w:pPr>
      <w:r w:rsidRPr="00D42A51">
        <w:rPr>
          <w:rFonts w:ascii="Palatino Linotype" w:eastAsia="Palatino Linotype" w:hAnsi="Palatino Linotype" w:cs="Palatino Linotype"/>
          <w:color w:val="000000"/>
        </w:rPr>
        <w:t xml:space="preserve">Al respecto, se destaca que la versión pública que elabore el </w:t>
      </w:r>
      <w:r w:rsidRPr="00D42A51">
        <w:rPr>
          <w:rFonts w:ascii="Palatino Linotype" w:eastAsia="Palatino Linotype" w:hAnsi="Palatino Linotype" w:cs="Palatino Linotype"/>
          <w:b/>
          <w:bCs/>
          <w:color w:val="000000"/>
        </w:rPr>
        <w:t>SUJETO OBLIGADO</w:t>
      </w:r>
      <w:r w:rsidRPr="00D42A51">
        <w:rPr>
          <w:rFonts w:ascii="Palatino Linotype" w:eastAsia="Palatino Linotype" w:hAnsi="Palatino Linotype" w:cs="Palatino Linotype"/>
          <w:color w:val="000000"/>
        </w:rPr>
        <w:t xml:space="preserve"> debe cumplir con las formalidades exigidas en la Ley, por lo que para tal efecto emitirá el Acuerdo del Comité de Transparencia en términos de la Ley de Transparencia y Acceso a la Información Pública del Estado de México y Municipios, y los Lineamientos Generales en Materia de Clasificación y Desclasificación de la Información, Así como para la elaboración de versiones públicas emitidos por el Consejo Nacional de Transparencia, con el cual sustentara la clasificación de datos y con ello la "versión pública" de los documentos materia de las solicitudes</w:t>
      </w:r>
      <w:r w:rsidRPr="00D42A51">
        <w:rPr>
          <w:rFonts w:ascii="Palatino Linotype" w:eastAsia="Palatino Linotype" w:hAnsi="Palatino Linotype" w:cs="Palatino Linotype"/>
          <w:color w:val="000000"/>
          <w:highlight w:val="white"/>
        </w:rPr>
        <w:t>.</w:t>
      </w:r>
    </w:p>
    <w:p w:rsidR="003D0A4D" w:rsidRPr="00D42A51" w:rsidRDefault="00601292" w:rsidP="00D42A5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42A51">
        <w:rPr>
          <w:rFonts w:ascii="Palatino Linotype" w:eastAsia="Palatino Linotype" w:hAnsi="Palatino Linotype" w:cs="Palatino Linotype"/>
        </w:rPr>
        <w:lastRenderedPageBreak/>
        <w:t xml:space="preserve">Respecto del RFC de proveedores, no puede considerarse como clasificado aun siendo de personas físicas ya que </w:t>
      </w:r>
      <w:r w:rsidRPr="00D42A51">
        <w:rPr>
          <w:rFonts w:ascii="Palatino Linotype" w:eastAsia="Palatino Linotype" w:hAnsi="Palatino Linotype" w:cs="Palatino Linotype"/>
          <w:color w:val="000000"/>
        </w:rPr>
        <w:t>corresponde</w:t>
      </w:r>
      <w:r w:rsidRPr="00D42A51">
        <w:rPr>
          <w:rFonts w:ascii="Palatino Linotype" w:eastAsia="Palatino Linotype" w:hAnsi="Palatino Linotype" w:cs="Palatino Linotype"/>
        </w:rPr>
        <w:t xml:space="preserve"> a un requisito indispensable para ser </w:t>
      </w:r>
      <w:r w:rsidRPr="00D42A51">
        <w:rPr>
          <w:rFonts w:ascii="Palatino Linotype" w:eastAsia="Palatino Linotype" w:hAnsi="Palatino Linotype" w:cs="Palatino Linotype"/>
          <w:color w:val="000000"/>
        </w:rPr>
        <w:t>contratista</w:t>
      </w:r>
      <w:r w:rsidRPr="00D42A51">
        <w:rPr>
          <w:rFonts w:ascii="Palatino Linotype" w:eastAsia="Palatino Linotype" w:hAnsi="Palatino Linotype" w:cs="Palatino Linotype"/>
        </w:rPr>
        <w:t xml:space="preserve"> y/o proveedor y llevar a cabo actividades comerciales con los sujetos obligados de la Entidad, ya que sin este, no se pueden realizar, por lo que su entrega es un elemento adicional que respalda la legalidad de los procesos de contratación de obra pública, como corresponde a lo solicitado.</w:t>
      </w:r>
    </w:p>
    <w:p w:rsidR="003D0A4D" w:rsidRPr="00D42A51" w:rsidRDefault="003D0A4D">
      <w:pPr>
        <w:spacing w:line="360" w:lineRule="auto"/>
        <w:ind w:right="-91"/>
        <w:jc w:val="both"/>
        <w:rPr>
          <w:rFonts w:ascii="Palatino Linotype" w:eastAsia="Palatino Linotype" w:hAnsi="Palatino Linotype" w:cs="Palatino Linotype"/>
        </w:rPr>
      </w:pPr>
    </w:p>
    <w:p w:rsidR="003D0A4D" w:rsidRPr="00D42A51" w:rsidRDefault="00601292" w:rsidP="00D42A5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42A51">
        <w:rPr>
          <w:rFonts w:ascii="Palatino Linotype" w:eastAsia="Palatino Linotype" w:hAnsi="Palatino Linotype" w:cs="Palatino Linotype"/>
        </w:rPr>
        <w:t>En ese contexto, entregar el Registro Federal de Contribuyentes de personas físicas cuando aceptan realizar la construcción de obras públicas con recursos del erario, favorece la rendición de cuentas, al permitir verificar que se cumplió con uno de los requisitos necesarios conforme a la normatividad aplicable en materia de contrataciones, lo cual, transparenta el correcto ejercicio de recursos públicos por parte de los sujetos obligados, lo que es acorde con el principio de máxima publicidad.</w:t>
      </w:r>
    </w:p>
    <w:p w:rsidR="003D0A4D" w:rsidRPr="00D42A51" w:rsidRDefault="003D0A4D">
      <w:pPr>
        <w:spacing w:line="360" w:lineRule="auto"/>
        <w:ind w:right="-91"/>
        <w:jc w:val="both"/>
        <w:rPr>
          <w:rFonts w:ascii="Palatino Linotype" w:eastAsia="Palatino Linotype" w:hAnsi="Palatino Linotype" w:cs="Palatino Linotype"/>
        </w:rPr>
      </w:pPr>
    </w:p>
    <w:p w:rsidR="003D0A4D" w:rsidRPr="00D42A51" w:rsidRDefault="00601292" w:rsidP="00D42A5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42A51">
        <w:rPr>
          <w:rFonts w:ascii="Palatino Linotype" w:eastAsia="Palatino Linotype" w:hAnsi="Palatino Linotype" w:cs="Palatino Linotype"/>
        </w:rPr>
        <w:t>No debe dejarse de lado, que cualquier persona que pretenda tener cualquier tipo de relación, laboral, empresarial, de trámites, servicios o comercial, para el caso que nos ocupa, debe en cierta medida ceder información relacionada con su vida, en aras de obtener el beneficio pretendido, como formar parte de los proveedores gubernamentales, al respecto, la información sobre la que se debe conceder publicidad sólo es aquella relacionada con el ejercicio de recursos públicos o de funciones y las facturas, pólizas y documentos en donde constan las transferencias bancarias de pagos de sujetos obligados, están vinculadas directamente con el ejercicio de recursos públicos.</w:t>
      </w:r>
    </w:p>
    <w:p w:rsidR="003D0A4D" w:rsidRPr="00D42A51" w:rsidRDefault="003D0A4D">
      <w:pPr>
        <w:spacing w:line="360" w:lineRule="auto"/>
        <w:ind w:right="-91"/>
        <w:jc w:val="both"/>
        <w:rPr>
          <w:rFonts w:ascii="Palatino Linotype" w:eastAsia="Palatino Linotype" w:hAnsi="Palatino Linotype" w:cs="Palatino Linotype"/>
        </w:rPr>
      </w:pPr>
    </w:p>
    <w:p w:rsidR="003D0A4D" w:rsidRPr="00D42A51" w:rsidRDefault="00601292" w:rsidP="00D42A5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42A51">
        <w:rPr>
          <w:rFonts w:ascii="Palatino Linotype" w:eastAsia="Palatino Linotype" w:hAnsi="Palatino Linotype" w:cs="Palatino Linotype"/>
        </w:rPr>
        <w:lastRenderedPageBreak/>
        <w:t>Por lo que refiere al RFC de personas jurídico-colectivas, se reitera que no constituyen información confidencial, tal y como lo estableció el entonces Instituto Nacional de Transparencia, Acceso a la Información Pública y Protección de Datos Personales –INAI-, en su Criterio histórico 1/2014.</w:t>
      </w:r>
    </w:p>
    <w:p w:rsidR="003D0A4D" w:rsidRPr="00D42A51" w:rsidRDefault="00601292">
      <w:pPr>
        <w:spacing w:line="360" w:lineRule="auto"/>
        <w:ind w:left="567" w:right="539"/>
        <w:jc w:val="both"/>
        <w:rPr>
          <w:rFonts w:ascii="Palatino Linotype" w:eastAsia="Palatino Linotype" w:hAnsi="Palatino Linotype" w:cs="Palatino Linotype"/>
          <w:i/>
          <w:iCs/>
        </w:rPr>
      </w:pPr>
      <w:r w:rsidRPr="00D42A51">
        <w:rPr>
          <w:rFonts w:ascii="Palatino Linotype" w:eastAsia="Palatino Linotype" w:hAnsi="Palatino Linotype" w:cs="Palatino Linotype"/>
          <w:b/>
          <w:bCs/>
          <w:i/>
          <w:iCs/>
        </w:rPr>
        <w:t>Denominación o razón social, y Registro Federal de Contribuyentes de personas morales, no constituyen información confidencial</w:t>
      </w:r>
      <w:r w:rsidRPr="00D42A51">
        <w:rPr>
          <w:rFonts w:ascii="Palatino Linotype" w:eastAsia="Palatino Linotype" w:hAnsi="Palatino Linotype" w:cs="Palatino Linotype"/>
          <w:i/>
          <w:iCs/>
        </w:rPr>
        <w:t>. La denominación o razón social de personas morales es pública, por encontrarse inscritas en el Registro Público de Comercio. Por lo que respecta a su Registro Federal de Contribuyentes (RFC), en principio, también es público, ya que no se refiere a hechos o actos de carácter económico, contable, jurídico o administrativo que sean útiles o representen una ventaja a sus competidores, en términos de lo dispuesto en el artículo 18, fracción I de la Ley Federal de Transparencia y Acceso a la Información Pública Gubernamental y en el Trigésimo Sexto de los Lineamientos Generales para la clasificación y desclasificación de la información de las dependencias y entidades de la Administración Pública Federal; aunado al hecho de que tampoco se trata de información concerniente a personas físicas, por lo que no puede considerarse un dato personal, con fundamento en lo previsto en el artículo 18, fracción II de ese ordenamiento legal. Por lo anterior, la denominación o razón social, así como el RFC de personas morales, no constituye información confidencial.</w:t>
      </w:r>
    </w:p>
    <w:p w:rsidR="003D0A4D" w:rsidRPr="00D42A51" w:rsidRDefault="003D0A4D">
      <w:pPr>
        <w:spacing w:line="360" w:lineRule="auto"/>
        <w:ind w:right="-91"/>
        <w:jc w:val="both"/>
        <w:rPr>
          <w:rFonts w:ascii="Palatino Linotype" w:eastAsia="Palatino Linotype" w:hAnsi="Palatino Linotype" w:cs="Palatino Linotype"/>
        </w:rPr>
      </w:pPr>
    </w:p>
    <w:p w:rsidR="003D0A4D" w:rsidRPr="00D42A51" w:rsidRDefault="00601292" w:rsidP="00D42A5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42A51">
        <w:rPr>
          <w:rFonts w:ascii="Palatino Linotype" w:eastAsia="Palatino Linotype" w:hAnsi="Palatino Linotype" w:cs="Palatino Linotype"/>
        </w:rPr>
        <w:t>Por consiguiente, no procede clasificar como confidencial con fundamento en el artículo 143, fracción I, de la Ley de Transparencia y Acceso a la Información Pública del Estado de México y Municipios y, eliminar RFC de personas físicas ni de personas jurídico-colectivas en los documentos que pudiera proporcionar el Sujeto Obligado.</w:t>
      </w:r>
    </w:p>
    <w:p w:rsidR="003D0A4D" w:rsidRPr="00D42A51" w:rsidRDefault="00601292" w:rsidP="00D42A5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42A51">
        <w:rPr>
          <w:rFonts w:ascii="Palatino Linotype" w:eastAsia="Palatino Linotype" w:hAnsi="Palatino Linotype" w:cs="Palatino Linotype"/>
        </w:rPr>
        <w:lastRenderedPageBreak/>
        <w:t xml:space="preserve">Igualmente, resulta importante destacar que el </w:t>
      </w:r>
      <w:r w:rsidRPr="00D42A51">
        <w:rPr>
          <w:rFonts w:ascii="Palatino Linotype" w:eastAsia="Palatino Linotype" w:hAnsi="Palatino Linotype" w:cs="Palatino Linotype"/>
          <w:i/>
          <w:iCs/>
        </w:rPr>
        <w:t>número de cuenta bancaria</w:t>
      </w:r>
      <w:r w:rsidRPr="00D42A51">
        <w:rPr>
          <w:rFonts w:ascii="Palatino Linotype" w:eastAsia="Palatino Linotype" w:hAnsi="Palatino Linotype" w:cs="Palatino Linotype"/>
        </w:rPr>
        <w:t xml:space="preserve"> de las personas físicas o jurídico-colectivas es información que sólo su titular o personas autorizadas poseen para el acceso o consulta de información patrimonial, o para la realización de operaciones bancarias de diversa naturaleza, por lo que la difusión pública del mismo facilitaría la afectación al patrimonio del titular de la cuenta.</w:t>
      </w:r>
    </w:p>
    <w:p w:rsidR="003D0A4D" w:rsidRPr="00D42A51" w:rsidRDefault="003D0A4D">
      <w:pPr>
        <w:pBdr>
          <w:top w:val="nil"/>
          <w:left w:val="nil"/>
          <w:bottom w:val="nil"/>
          <w:right w:val="nil"/>
          <w:between w:val="nil"/>
        </w:pBdr>
        <w:ind w:left="720"/>
        <w:rPr>
          <w:rFonts w:ascii="Palatino Linotype" w:eastAsia="Palatino Linotype" w:hAnsi="Palatino Linotype" w:cs="Palatino Linotype"/>
          <w:color w:val="000000"/>
        </w:rPr>
      </w:pPr>
    </w:p>
    <w:p w:rsidR="003D0A4D" w:rsidRPr="00D42A51" w:rsidRDefault="00601292" w:rsidP="00D42A5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42A51">
        <w:rPr>
          <w:rFonts w:ascii="Palatino Linotype" w:eastAsia="Palatino Linotype" w:hAnsi="Palatino Linotype" w:cs="Palatino Linotype"/>
        </w:rPr>
        <w:t>Por lo anterior, el número de cuenta bancaria debe ser clasificado como confidencial con fundamento en las fracciones I y II del artículo 143 de la Ley de la Materia de la Entidad; en razón de que, con su difusión se estaría poniendo en riesgo la seguridad de su titular.</w:t>
      </w:r>
    </w:p>
    <w:p w:rsidR="003D0A4D" w:rsidRPr="00D42A51" w:rsidRDefault="003D0A4D">
      <w:pPr>
        <w:spacing w:line="360" w:lineRule="auto"/>
        <w:ind w:right="50"/>
        <w:jc w:val="both"/>
        <w:rPr>
          <w:rFonts w:ascii="Palatino Linotype" w:eastAsia="Palatino Linotype" w:hAnsi="Palatino Linotype" w:cs="Palatino Linotype"/>
        </w:rPr>
      </w:pPr>
    </w:p>
    <w:p w:rsidR="003D0A4D" w:rsidRDefault="00601292" w:rsidP="00D42A5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42A51">
        <w:rPr>
          <w:rFonts w:ascii="Palatino Linotype" w:eastAsia="Palatino Linotype" w:hAnsi="Palatino Linotype" w:cs="Palatino Linotype"/>
        </w:rPr>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rsidR="00D42A51" w:rsidRPr="00D42A51" w:rsidRDefault="00D42A51" w:rsidP="00D42A51">
      <w:pPr>
        <w:pBdr>
          <w:top w:val="nil"/>
          <w:left w:val="nil"/>
          <w:bottom w:val="nil"/>
          <w:right w:val="nil"/>
          <w:between w:val="nil"/>
        </w:pBdr>
        <w:spacing w:line="360" w:lineRule="auto"/>
        <w:jc w:val="both"/>
        <w:rPr>
          <w:rFonts w:ascii="Palatino Linotype" w:eastAsia="Palatino Linotype" w:hAnsi="Palatino Linotype" w:cs="Palatino Linotype"/>
        </w:rPr>
      </w:pPr>
    </w:p>
    <w:p w:rsidR="003D0A4D" w:rsidRDefault="00601292" w:rsidP="00D42A5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42A51">
        <w:rPr>
          <w:rFonts w:ascii="Palatino Linotype" w:eastAsia="Palatino Linotype" w:hAnsi="Palatino Linotype" w:cs="Palatino Linotype"/>
        </w:rPr>
        <w:t xml:space="preserve">En esa virtud, este Pleno determina que dicha información no puede ser del dominio público, toda vez que se podría dar un uso inadecuado a la misma o cometer algún ilícito o fraude como ya ha sido expuesto. </w:t>
      </w:r>
    </w:p>
    <w:p w:rsidR="00D42A51" w:rsidRPr="00D42A51" w:rsidRDefault="00D42A51" w:rsidP="00D42A51">
      <w:pPr>
        <w:pBdr>
          <w:top w:val="nil"/>
          <w:left w:val="nil"/>
          <w:bottom w:val="nil"/>
          <w:right w:val="nil"/>
          <w:between w:val="nil"/>
        </w:pBdr>
        <w:spacing w:line="360" w:lineRule="auto"/>
        <w:jc w:val="both"/>
        <w:rPr>
          <w:rFonts w:ascii="Palatino Linotype" w:eastAsia="Palatino Linotype" w:hAnsi="Palatino Linotype" w:cs="Palatino Linotype"/>
        </w:rPr>
      </w:pPr>
    </w:p>
    <w:p w:rsidR="003D0A4D" w:rsidRPr="00D42A51" w:rsidRDefault="00601292" w:rsidP="00D42A5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42A51">
        <w:rPr>
          <w:rFonts w:ascii="Palatino Linotype" w:eastAsia="Palatino Linotype" w:hAnsi="Palatino Linotype" w:cs="Palatino Linotype"/>
        </w:rPr>
        <w:lastRenderedPageBreak/>
        <w:t>Es por esta razón que se debe omitir el o los números de cuentas bancarias de particulares en las versiones públicas que de las facturas se hagan, para ser entregadas.</w:t>
      </w:r>
    </w:p>
    <w:p w:rsidR="003D0A4D" w:rsidRPr="00D42A51" w:rsidRDefault="003D0A4D">
      <w:pPr>
        <w:spacing w:line="360" w:lineRule="auto"/>
        <w:ind w:right="50"/>
        <w:jc w:val="both"/>
        <w:rPr>
          <w:rFonts w:ascii="Palatino Linotype" w:eastAsia="Palatino Linotype" w:hAnsi="Palatino Linotype" w:cs="Palatino Linotype"/>
        </w:rPr>
      </w:pPr>
    </w:p>
    <w:p w:rsidR="003D0A4D" w:rsidRPr="00D42A51" w:rsidRDefault="00601292" w:rsidP="00D42A5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42A51">
        <w:rPr>
          <w:rFonts w:ascii="Palatino Linotype" w:eastAsia="Palatino Linotype" w:hAnsi="Palatino Linotype" w:cs="Palatino Linotype"/>
        </w:rPr>
        <w:t>Lo anterior, no es así tratándose de las cuentas bancarias o claves interbancarias de los Sujetos Obligados ya que su publicidad cede a la rendición de cuentas al transparentar la forma en que son administrados los recursos públicos.</w:t>
      </w:r>
    </w:p>
    <w:p w:rsidR="003D0A4D" w:rsidRPr="00D42A51" w:rsidRDefault="003D0A4D">
      <w:pPr>
        <w:pBdr>
          <w:top w:val="nil"/>
          <w:left w:val="nil"/>
          <w:bottom w:val="nil"/>
          <w:right w:val="nil"/>
          <w:between w:val="nil"/>
        </w:pBdr>
        <w:ind w:left="720"/>
        <w:rPr>
          <w:rFonts w:ascii="Palatino Linotype" w:eastAsia="Palatino Linotype" w:hAnsi="Palatino Linotype" w:cs="Palatino Linotype"/>
          <w:color w:val="000000"/>
        </w:rPr>
      </w:pPr>
    </w:p>
    <w:p w:rsidR="003D0A4D" w:rsidRPr="00D42A51" w:rsidRDefault="00601292" w:rsidP="00D42A5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42A51">
        <w:rPr>
          <w:rFonts w:ascii="Palatino Linotype" w:eastAsia="Palatino Linotype" w:hAnsi="Palatino Linotype" w:cs="Palatino Linotype"/>
        </w:rPr>
        <w:t>Lo argumentado encuentra sustento en los criterios 10/17 y 11/17 emitidos por el Instituto Nacional de Transparencia, Acceso a la Información y Protección de Datos Personales, INAI, que llevan por rubro y texto los siguientes:</w:t>
      </w:r>
    </w:p>
    <w:p w:rsidR="003D0A4D" w:rsidRPr="00D42A51" w:rsidRDefault="00601292">
      <w:pPr>
        <w:spacing w:after="240" w:line="276" w:lineRule="auto"/>
        <w:ind w:left="851" w:right="900"/>
        <w:jc w:val="both"/>
        <w:rPr>
          <w:rFonts w:ascii="Palatino Linotype" w:eastAsia="Palatino Linotype" w:hAnsi="Palatino Linotype" w:cs="Palatino Linotype"/>
          <w:i/>
          <w:iCs/>
        </w:rPr>
      </w:pPr>
      <w:r w:rsidRPr="00D42A51">
        <w:rPr>
          <w:rFonts w:ascii="Palatino Linotype" w:eastAsia="Palatino Linotype" w:hAnsi="Palatino Linotype" w:cs="Palatino Linotype"/>
          <w:b/>
          <w:bCs/>
          <w:i/>
          <w:iCs/>
        </w:rPr>
        <w:t>“Cuentas bancarias y/o CLABE interbancaria de personas físicas y morales privadas.</w:t>
      </w:r>
      <w:r w:rsidRPr="00D42A51">
        <w:rPr>
          <w:rFonts w:ascii="Palatino Linotype" w:eastAsia="Palatino Linotype" w:hAnsi="Palatino Linotype" w:cs="Palatino Linotype"/>
          <w:i/>
          <w:iCs/>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rsidR="003D0A4D" w:rsidRPr="00D42A51" w:rsidRDefault="00601292">
      <w:pPr>
        <w:spacing w:before="240" w:line="276" w:lineRule="auto"/>
        <w:ind w:left="851" w:right="900"/>
        <w:jc w:val="both"/>
        <w:rPr>
          <w:rFonts w:ascii="Palatino Linotype" w:eastAsia="Palatino Linotype" w:hAnsi="Palatino Linotype" w:cs="Palatino Linotype"/>
          <w:i/>
          <w:iCs/>
        </w:rPr>
      </w:pPr>
      <w:r w:rsidRPr="00D42A51">
        <w:rPr>
          <w:rFonts w:ascii="Palatino Linotype" w:eastAsia="Palatino Linotype" w:hAnsi="Palatino Linotype" w:cs="Palatino Linotype"/>
          <w:b/>
          <w:bCs/>
          <w:i/>
          <w:iCs/>
        </w:rPr>
        <w:t>Cuentas bancarias y/o CLABE interbancaria de sujetos obligados que reciben y/o transfieren recursos públicos, son información pública</w:t>
      </w:r>
      <w:r w:rsidRPr="00D42A51">
        <w:rPr>
          <w:rFonts w:ascii="Palatino Linotype" w:eastAsia="Palatino Linotype" w:hAnsi="Palatino Linotype" w:cs="Palatino Linotype"/>
          <w:i/>
          <w:iCs/>
        </w:rPr>
        <w:t>.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rsidR="003D0A4D" w:rsidRPr="00D42A51" w:rsidRDefault="003D0A4D">
      <w:pPr>
        <w:spacing w:line="360" w:lineRule="auto"/>
        <w:ind w:left="851" w:right="900"/>
        <w:jc w:val="both"/>
        <w:rPr>
          <w:rFonts w:ascii="Palatino Linotype" w:eastAsia="Palatino Linotype" w:hAnsi="Palatino Linotype" w:cs="Palatino Linotype"/>
          <w:i/>
          <w:iCs/>
        </w:rPr>
      </w:pPr>
    </w:p>
    <w:p w:rsidR="003D0A4D" w:rsidRPr="00D42A51" w:rsidRDefault="00601292" w:rsidP="00D42A5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42A51">
        <w:rPr>
          <w:rFonts w:ascii="Palatino Linotype" w:eastAsia="Palatino Linotype" w:hAnsi="Palatino Linotype" w:cs="Palatino Linotype"/>
        </w:rPr>
        <w:lastRenderedPageBreak/>
        <w:t xml:space="preserve">Relacionado con lo anterior, el </w:t>
      </w:r>
      <w:r w:rsidRPr="00D42A51">
        <w:rPr>
          <w:rFonts w:ascii="Palatino Linotype" w:eastAsia="Palatino Linotype" w:hAnsi="Palatino Linotype" w:cs="Palatino Linotype"/>
          <w:b/>
          <w:bCs/>
        </w:rPr>
        <w:t>nombre de las personas físicas</w:t>
      </w:r>
      <w:r w:rsidRPr="00D42A51">
        <w:rPr>
          <w:rFonts w:ascii="Palatino Linotype" w:eastAsia="Palatino Linotype" w:hAnsi="Palatino Linotype" w:cs="Palatino Linotype"/>
        </w:rPr>
        <w:t xml:space="preserve"> o los </w:t>
      </w:r>
      <w:r w:rsidRPr="00D42A51">
        <w:rPr>
          <w:rFonts w:ascii="Palatino Linotype" w:eastAsia="Palatino Linotype" w:hAnsi="Palatino Linotype" w:cs="Palatino Linotype"/>
          <w:b/>
          <w:bCs/>
        </w:rPr>
        <w:t>representantes legales de las personas morales</w:t>
      </w:r>
      <w:r w:rsidRPr="00D42A51">
        <w:rPr>
          <w:rFonts w:ascii="Palatino Linotype" w:eastAsia="Palatino Linotype" w:hAnsi="Palatino Linotype" w:cs="Palatino Linotype"/>
        </w:rPr>
        <w:t>, en su calidad de proveedores, contratistas o prestadores de servicios, y la firma y rúbrica de estos, que participen en algún  proceso de adjudicación en cualquiera de sus modalidades, debe mencionarse que con base en el artículo 23 párrafo segundo y 24 fracción XVIII  de la Ley de Transparencia y Acceso a la Información Pública del Estado de México y Municipios, los entes públicos tienen la obligación de difundir toda aquella información relativa a los montos y las personas a quienes entreguen, por cualquier motivo, recursos públicos, así como los informes que dichas personas entreguen sobre el uso y destino de dichos recursos, motivo por el cual los datos del representante legal de la persona moral que resultó favorecida con el procedimiento de licitación no conservan el carácter de confidencial y por tanto no deben ser testados.</w:t>
      </w:r>
    </w:p>
    <w:p w:rsidR="003D0A4D" w:rsidRPr="00D42A51" w:rsidRDefault="003D0A4D">
      <w:pPr>
        <w:spacing w:line="360" w:lineRule="auto"/>
        <w:ind w:right="51"/>
        <w:jc w:val="both"/>
        <w:rPr>
          <w:rFonts w:ascii="Palatino Linotype" w:eastAsia="Palatino Linotype" w:hAnsi="Palatino Linotype" w:cs="Palatino Linotype"/>
        </w:rPr>
      </w:pPr>
    </w:p>
    <w:p w:rsidR="003D0A4D" w:rsidRPr="00D42A51" w:rsidRDefault="00601292" w:rsidP="00D42A5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42A51">
        <w:rPr>
          <w:rFonts w:ascii="Palatino Linotype" w:eastAsia="Palatino Linotype" w:hAnsi="Palatino Linotype" w:cs="Palatino Linotype"/>
        </w:rPr>
        <w:t>Argumentación que guarda sustento en lo estipulado por el artículo 23 de la Ley de Transparencia y Acceso a la Información Pública del Estado de México y Municipios en su penúltimo párrafo, mismo que es del tenor literal siguiente:</w:t>
      </w:r>
    </w:p>
    <w:p w:rsidR="003D0A4D" w:rsidRPr="00D42A51" w:rsidRDefault="00601292">
      <w:pPr>
        <w:spacing w:after="120" w:line="276" w:lineRule="auto"/>
        <w:ind w:left="851" w:right="902"/>
        <w:jc w:val="both"/>
        <w:rPr>
          <w:rFonts w:ascii="Palatino Linotype" w:eastAsia="Palatino Linotype" w:hAnsi="Palatino Linotype" w:cs="Palatino Linotype"/>
          <w:i/>
          <w:iCs/>
        </w:rPr>
      </w:pPr>
      <w:r w:rsidRPr="00D42A51">
        <w:rPr>
          <w:rFonts w:ascii="Palatino Linotype" w:eastAsia="Palatino Linotype" w:hAnsi="Palatino Linotype" w:cs="Palatino Linotype"/>
          <w:i/>
          <w:iCs/>
        </w:rPr>
        <w:t>“</w:t>
      </w:r>
      <w:r w:rsidRPr="00D42A51">
        <w:rPr>
          <w:rFonts w:ascii="Palatino Linotype" w:eastAsia="Palatino Linotype" w:hAnsi="Palatino Linotype" w:cs="Palatino Linotype"/>
          <w:b/>
          <w:bCs/>
          <w:i/>
          <w:iCs/>
        </w:rPr>
        <w:t>Artículo 23.</w:t>
      </w:r>
      <w:r w:rsidRPr="00D42A51">
        <w:rPr>
          <w:rFonts w:ascii="Palatino Linotype" w:eastAsia="Palatino Linotype" w:hAnsi="Palatino Linotype" w:cs="Palatino Linotype"/>
          <w:i/>
          <w:iCs/>
        </w:rPr>
        <w:t xml:space="preserve"> (…)</w:t>
      </w:r>
    </w:p>
    <w:p w:rsidR="003D0A4D" w:rsidRPr="00D42A51" w:rsidRDefault="00601292">
      <w:pPr>
        <w:spacing w:before="120" w:line="276" w:lineRule="auto"/>
        <w:ind w:left="851" w:right="902"/>
        <w:jc w:val="both"/>
        <w:rPr>
          <w:rFonts w:ascii="Palatino Linotype" w:eastAsia="Palatino Linotype" w:hAnsi="Palatino Linotype" w:cs="Palatino Linotype"/>
          <w:i/>
          <w:iCs/>
        </w:rPr>
      </w:pPr>
      <w:r w:rsidRPr="00D42A51">
        <w:rPr>
          <w:rFonts w:ascii="Palatino Linotype" w:eastAsia="Palatino Linotype" w:hAnsi="Palatino Linotype" w:cs="Palatino Linotype"/>
          <w:i/>
          <w:iCs/>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rsidR="003D0A4D" w:rsidRPr="00D42A51" w:rsidRDefault="003D0A4D">
      <w:pPr>
        <w:spacing w:before="120" w:line="276" w:lineRule="auto"/>
        <w:ind w:left="851" w:right="902"/>
        <w:jc w:val="both"/>
        <w:rPr>
          <w:rFonts w:ascii="Palatino Linotype" w:eastAsia="Palatino Linotype" w:hAnsi="Palatino Linotype" w:cs="Palatino Linotype"/>
          <w:i/>
          <w:iCs/>
        </w:rPr>
      </w:pPr>
    </w:p>
    <w:p w:rsidR="003D0A4D" w:rsidRPr="00D42A51" w:rsidRDefault="00601292" w:rsidP="00D42A5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42A51">
        <w:rPr>
          <w:rFonts w:ascii="Palatino Linotype" w:eastAsia="Palatino Linotype" w:hAnsi="Palatino Linotype" w:cs="Palatino Linotype"/>
        </w:rPr>
        <w:t>Asimismo, resulta aplicable el contenido del Criterio de interpretación 01/19 emitido por el entonces Instituto Nacional de Transparencia, Acceso a la Información, y Protección de Datos Personales, INAI, que lleva por rubro y texto los siguientes</w:t>
      </w:r>
    </w:p>
    <w:p w:rsidR="003D0A4D" w:rsidRPr="00D42A51" w:rsidRDefault="00601292">
      <w:pPr>
        <w:spacing w:line="276" w:lineRule="auto"/>
        <w:ind w:left="851" w:right="900"/>
        <w:jc w:val="both"/>
        <w:rPr>
          <w:rFonts w:ascii="Palatino Linotype" w:eastAsia="Palatino Linotype" w:hAnsi="Palatino Linotype" w:cs="Palatino Linotype"/>
          <w:i/>
          <w:iCs/>
        </w:rPr>
      </w:pPr>
      <w:r w:rsidRPr="00D42A51">
        <w:rPr>
          <w:rFonts w:ascii="Palatino Linotype" w:eastAsia="Palatino Linotype" w:hAnsi="Palatino Linotype" w:cs="Palatino Linotype"/>
          <w:b/>
          <w:bCs/>
          <w:i/>
          <w:iCs/>
        </w:rPr>
        <w:lastRenderedPageBreak/>
        <w:t>“Datos de identificación del representante o apoderado legal.</w:t>
      </w:r>
      <w:r w:rsidRPr="00D42A51">
        <w:rPr>
          <w:rFonts w:ascii="Palatino Linotype" w:eastAsia="Palatino Linotype" w:hAnsi="Palatino Linotype" w:cs="Palatino Linotype"/>
          <w:i/>
          <w:iCs/>
        </w:rPr>
        <w:t xml:space="preserve"> </w:t>
      </w:r>
      <w:r w:rsidRPr="00D42A51">
        <w:rPr>
          <w:rFonts w:ascii="Palatino Linotype" w:eastAsia="Palatino Linotype" w:hAnsi="Palatino Linotype" w:cs="Palatino Linotype"/>
          <w:b/>
          <w:bCs/>
          <w:i/>
          <w:iCs/>
        </w:rPr>
        <w:t xml:space="preserve">Naturaleza jurídica. </w:t>
      </w:r>
      <w:r w:rsidRPr="00D42A51">
        <w:rPr>
          <w:rFonts w:ascii="Palatino Linotype" w:eastAsia="Palatino Linotype" w:hAnsi="Palatino Linotype" w:cs="Palatino Linotype"/>
          <w:i/>
          <w:iCs/>
        </w:rPr>
        <w:t xml:space="preserve">El nombre, la firma y la rúbrica de una persona física, que actúe como representante o apoderado legal de un tercero que haya celebrado un acto jurídico, con algún sujeto obligado, </w:t>
      </w:r>
      <w:r w:rsidRPr="00D42A51">
        <w:rPr>
          <w:rFonts w:ascii="Palatino Linotype" w:eastAsia="Palatino Linotype" w:hAnsi="Palatino Linotype" w:cs="Palatino Linotype"/>
          <w:b/>
          <w:bCs/>
          <w:i/>
          <w:iCs/>
        </w:rPr>
        <w:t>es información pública, en razón de que tales datos fueron proporcionados con el objeto de expresar el consentimiento obligacional del tercero y otorgar validez a dicho instrumento jurídico</w:t>
      </w:r>
      <w:r w:rsidRPr="00D42A51">
        <w:rPr>
          <w:rFonts w:ascii="Palatino Linotype" w:eastAsia="Palatino Linotype" w:hAnsi="Palatino Linotype" w:cs="Palatino Linotype"/>
          <w:i/>
          <w:iCs/>
        </w:rPr>
        <w:t>.”</w:t>
      </w:r>
    </w:p>
    <w:p w:rsidR="003D0A4D" w:rsidRPr="00D42A51" w:rsidRDefault="003D0A4D">
      <w:pPr>
        <w:spacing w:line="360" w:lineRule="auto"/>
        <w:ind w:right="-93"/>
        <w:jc w:val="both"/>
        <w:rPr>
          <w:rFonts w:ascii="Palatino Linotype" w:eastAsia="Palatino Linotype" w:hAnsi="Palatino Linotype" w:cs="Palatino Linotype"/>
        </w:rPr>
      </w:pPr>
    </w:p>
    <w:p w:rsidR="003D0A4D" w:rsidRPr="00D42A51" w:rsidRDefault="00601292" w:rsidP="00D42A5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Por lo tanto, la entrega de documentos en su versión pública debe acompañarse necesariamente del Acuerdo del Comité de Transparencia que la sustente, en el que se expongan los fundamentos y razonamientos que llevaron al </w:t>
      </w:r>
      <w:r w:rsidRPr="00D42A51">
        <w:rPr>
          <w:rFonts w:ascii="Palatino Linotype" w:eastAsia="Palatino Linotype" w:hAnsi="Palatino Linotype" w:cs="Palatino Linotype"/>
          <w:b/>
          <w:bCs/>
          <w:color w:val="000000"/>
        </w:rPr>
        <w:t>SUJETO OBLIGADO</w:t>
      </w:r>
      <w:r w:rsidRPr="00D42A51">
        <w:rPr>
          <w:rFonts w:ascii="Palatino Linotype" w:eastAsia="Palatino Linotype" w:hAnsi="Palatino Linotype" w:cs="Palatino Linotype"/>
          <w:color w:val="000000"/>
        </w:rPr>
        <w:t>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 por lo que el acuerdo respectivo, deberá hacerse del conocimiento del </w:t>
      </w:r>
      <w:r w:rsidRPr="00D42A51">
        <w:rPr>
          <w:rFonts w:ascii="Palatino Linotype" w:eastAsia="Palatino Linotype" w:hAnsi="Palatino Linotype" w:cs="Palatino Linotype"/>
          <w:b/>
          <w:bCs/>
          <w:color w:val="000000"/>
        </w:rPr>
        <w:t>RECURRENTE.</w:t>
      </w:r>
    </w:p>
    <w:p w:rsidR="003D0A4D" w:rsidRPr="00D42A51" w:rsidRDefault="003D0A4D">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3D0A4D" w:rsidRPr="00D42A51" w:rsidRDefault="00601292" w:rsidP="00D42A5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los servidores públicos. </w:t>
      </w:r>
    </w:p>
    <w:p w:rsidR="003D0A4D" w:rsidRPr="00D42A51" w:rsidRDefault="003D0A4D">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3D0A4D" w:rsidRPr="00D42A51" w:rsidRDefault="00601292" w:rsidP="00D42A5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lastRenderedPageBreak/>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rsidR="003D0A4D" w:rsidRPr="00D42A51" w:rsidRDefault="003D0A4D">
      <w:pPr>
        <w:pBdr>
          <w:top w:val="nil"/>
          <w:left w:val="nil"/>
          <w:bottom w:val="nil"/>
          <w:right w:val="nil"/>
          <w:between w:val="nil"/>
        </w:pBdr>
        <w:spacing w:line="360" w:lineRule="auto"/>
        <w:ind w:left="720"/>
        <w:jc w:val="both"/>
        <w:rPr>
          <w:rFonts w:ascii="Palatino Linotype" w:eastAsia="Palatino Linotype" w:hAnsi="Palatino Linotype" w:cs="Palatino Linotype"/>
        </w:rPr>
      </w:pPr>
    </w:p>
    <w:p w:rsidR="003D0A4D" w:rsidRPr="00D42A51" w:rsidRDefault="00601292" w:rsidP="00D42A5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Entorno a lo que aquí nos interesa, los Lineamientos Quincuagésimo sexto, Quincuagésimo séptimo y Quincuagésimo octavo, establecen lo siguiente:</w:t>
      </w:r>
    </w:p>
    <w:p w:rsidR="003D0A4D" w:rsidRPr="00D42A51" w:rsidRDefault="00601292">
      <w:pPr>
        <w:spacing w:line="360" w:lineRule="auto"/>
        <w:ind w:left="851" w:right="902"/>
        <w:jc w:val="both"/>
        <w:rPr>
          <w:rFonts w:ascii="Palatino Linotype" w:eastAsia="Palatino Linotype" w:hAnsi="Palatino Linotype" w:cs="Palatino Linotype"/>
          <w:i/>
          <w:iCs/>
        </w:rPr>
      </w:pPr>
      <w:r w:rsidRPr="00D42A51">
        <w:rPr>
          <w:rFonts w:ascii="Palatino Linotype" w:eastAsia="Palatino Linotype" w:hAnsi="Palatino Linotype" w:cs="Palatino Linotype"/>
          <w:i/>
          <w:iCs/>
        </w:rPr>
        <w:t>“Quincuagésimo sexto</w:t>
      </w:r>
      <w:r w:rsidRPr="00D42A51">
        <w:rPr>
          <w:rFonts w:ascii="Palatino Linotype" w:eastAsia="Palatino Linotype" w:hAnsi="Palatino Linotype" w:cs="Palatino Linotype"/>
          <w:b/>
          <w:bCs/>
          <w:i/>
          <w:iCs/>
        </w:rPr>
        <w:t>.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rsidR="003D0A4D" w:rsidRPr="00D42A51" w:rsidRDefault="00601292">
      <w:pPr>
        <w:spacing w:line="360" w:lineRule="auto"/>
        <w:ind w:left="851" w:right="902"/>
        <w:jc w:val="both"/>
        <w:rPr>
          <w:rFonts w:ascii="Palatino Linotype" w:eastAsia="Palatino Linotype" w:hAnsi="Palatino Linotype" w:cs="Palatino Linotype"/>
          <w:i/>
          <w:iCs/>
        </w:rPr>
      </w:pPr>
      <w:r w:rsidRPr="00D42A51">
        <w:rPr>
          <w:rFonts w:ascii="Palatino Linotype" w:eastAsia="Palatino Linotype" w:hAnsi="Palatino Linotype" w:cs="Palatino Linotype"/>
          <w:i/>
          <w:iCs/>
        </w:rPr>
        <w:t xml:space="preserve">Quincuagésimo séptimo. Se considera, en principio, como información pública y no podrá omitirse de las versiones públicas la siguiente: </w:t>
      </w:r>
    </w:p>
    <w:p w:rsidR="003D0A4D" w:rsidRPr="00D42A51" w:rsidRDefault="00601292">
      <w:pPr>
        <w:spacing w:line="360" w:lineRule="auto"/>
        <w:ind w:left="851" w:right="902"/>
        <w:jc w:val="both"/>
        <w:rPr>
          <w:rFonts w:ascii="Palatino Linotype" w:eastAsia="Palatino Linotype" w:hAnsi="Palatino Linotype" w:cs="Palatino Linotype"/>
          <w:i/>
          <w:iCs/>
        </w:rPr>
      </w:pPr>
      <w:r w:rsidRPr="00D42A51">
        <w:rPr>
          <w:rFonts w:ascii="Palatino Linotype" w:eastAsia="Palatino Linotype" w:hAnsi="Palatino Linotype" w:cs="Palatino Linotype"/>
          <w:i/>
          <w:iCs/>
        </w:rPr>
        <w:t xml:space="preserve">I. La relativa a las Obligaciones de Transparencia que contempla el Título V de la Ley General y las demás disposiciones legales aplicables; </w:t>
      </w:r>
    </w:p>
    <w:p w:rsidR="003D0A4D" w:rsidRPr="00D42A51" w:rsidRDefault="00601292">
      <w:pPr>
        <w:spacing w:line="360" w:lineRule="auto"/>
        <w:ind w:left="851" w:right="902"/>
        <w:jc w:val="both"/>
        <w:rPr>
          <w:rFonts w:ascii="Palatino Linotype" w:eastAsia="Palatino Linotype" w:hAnsi="Palatino Linotype" w:cs="Palatino Linotype"/>
          <w:i/>
          <w:iCs/>
        </w:rPr>
      </w:pPr>
      <w:r w:rsidRPr="00D42A51">
        <w:rPr>
          <w:rFonts w:ascii="Palatino Linotype" w:eastAsia="Palatino Linotype" w:hAnsi="Palatino Linotype" w:cs="Palatino Linotype"/>
          <w:i/>
          <w:iCs/>
        </w:rPr>
        <w:t xml:space="preserve">II. El nombre de los servidores públicos en los documentos, y sus firmas autógrafas, cuando sean utilizados en el ejercicio de las facultades conferidas para el desempeño del servicio público, y </w:t>
      </w:r>
    </w:p>
    <w:p w:rsidR="003D0A4D" w:rsidRPr="00D42A51" w:rsidRDefault="00601292">
      <w:pPr>
        <w:spacing w:line="360" w:lineRule="auto"/>
        <w:ind w:left="851" w:right="902"/>
        <w:jc w:val="both"/>
        <w:rPr>
          <w:rFonts w:ascii="Palatino Linotype" w:eastAsia="Palatino Linotype" w:hAnsi="Palatino Linotype" w:cs="Palatino Linotype"/>
          <w:i/>
          <w:iCs/>
        </w:rPr>
      </w:pPr>
      <w:r w:rsidRPr="00D42A51">
        <w:rPr>
          <w:rFonts w:ascii="Palatino Linotype" w:eastAsia="Palatino Linotype" w:hAnsi="Palatino Linotype" w:cs="Palatino Linotype"/>
          <w:i/>
          <w:iCs/>
        </w:rPr>
        <w:lastRenderedPageBreak/>
        <w:t>III. La información que documente decisiones y los actos de autoridad concluidos de los sujetos obligados, así como el ejercicio de las facultades o actividades de los servidores públicos, de manera que se pueda valorar el desempeño de los mismos.</w:t>
      </w:r>
    </w:p>
    <w:p w:rsidR="003D0A4D" w:rsidRPr="00D42A51" w:rsidRDefault="00601292">
      <w:pPr>
        <w:spacing w:line="360" w:lineRule="auto"/>
        <w:ind w:left="851" w:right="902"/>
        <w:jc w:val="both"/>
        <w:rPr>
          <w:rFonts w:ascii="Palatino Linotype" w:eastAsia="Palatino Linotype" w:hAnsi="Palatino Linotype" w:cs="Palatino Linotype"/>
          <w:i/>
          <w:iCs/>
        </w:rPr>
      </w:pPr>
      <w:r w:rsidRPr="00D42A51">
        <w:rPr>
          <w:rFonts w:ascii="Palatino Linotype" w:eastAsia="Palatino Linotype" w:hAnsi="Palatino Linotype" w:cs="Palatino Linotype"/>
          <w:i/>
          <w:iCs/>
        </w:rPr>
        <w:t xml:space="preserve">Lo anterior, siempre y cuando no se acredite alguna causal de clasificación, prevista en las leyes o en los tratados internaciones suscritos por el Estado mexicano. </w:t>
      </w:r>
    </w:p>
    <w:p w:rsidR="003D0A4D" w:rsidRPr="00D42A51" w:rsidRDefault="00601292">
      <w:pPr>
        <w:spacing w:line="360" w:lineRule="auto"/>
        <w:ind w:left="851" w:right="902"/>
        <w:jc w:val="both"/>
        <w:rPr>
          <w:rFonts w:ascii="Palatino Linotype" w:eastAsia="Palatino Linotype" w:hAnsi="Palatino Linotype" w:cs="Palatino Linotype"/>
          <w:i/>
          <w:iCs/>
        </w:rPr>
      </w:pPr>
      <w:r w:rsidRPr="00D42A51">
        <w:rPr>
          <w:rFonts w:ascii="Palatino Linotype" w:eastAsia="Palatino Linotype" w:hAnsi="Palatino Linotype" w:cs="Palatino Linotype"/>
          <w:i/>
          <w:iCs/>
        </w:rPr>
        <w:t>Quincuagésimo octavo. Los sujetos obligados garantizarán que los sistemas o medios empleados para eliminar la información en las versiones públicas no permitan la recuperación o visualización de la misma.”</w:t>
      </w:r>
    </w:p>
    <w:p w:rsidR="003D0A4D" w:rsidRPr="00D42A51" w:rsidRDefault="003D0A4D">
      <w:pPr>
        <w:spacing w:line="360" w:lineRule="auto"/>
        <w:ind w:left="851" w:right="902"/>
        <w:jc w:val="both"/>
        <w:rPr>
          <w:rFonts w:ascii="Palatino Linotype" w:eastAsia="Palatino Linotype" w:hAnsi="Palatino Linotype" w:cs="Palatino Linotype"/>
          <w:i/>
          <w:iCs/>
        </w:rPr>
      </w:pPr>
    </w:p>
    <w:p w:rsidR="003D0A4D" w:rsidRPr="00D42A51" w:rsidRDefault="00601292" w:rsidP="00D42A5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 xml:space="preserve">Por lo tanto, </w:t>
      </w:r>
      <w:r w:rsidRPr="00D42A51">
        <w:rPr>
          <w:rFonts w:ascii="Palatino Linotype" w:eastAsia="Palatino Linotype" w:hAnsi="Palatino Linotype" w:cs="Palatino Linotype"/>
          <w:b/>
          <w:bCs/>
          <w:color w:val="000000"/>
        </w:rPr>
        <w:t xml:space="preserve">la entrega de documentos en su versión pública debe </w:t>
      </w:r>
      <w:r w:rsidRPr="00D42A51">
        <w:rPr>
          <w:rFonts w:ascii="Palatino Linotype" w:eastAsia="Palatino Linotype" w:hAnsi="Palatino Linotype" w:cs="Palatino Linotype"/>
          <w:color w:val="000000"/>
        </w:rPr>
        <w:t>acompañarse</w:t>
      </w:r>
      <w:r w:rsidRPr="00D42A51">
        <w:rPr>
          <w:rFonts w:ascii="Palatino Linotype" w:eastAsia="Palatino Linotype" w:hAnsi="Palatino Linotype" w:cs="Palatino Linotype"/>
          <w:b/>
          <w:bCs/>
          <w:color w:val="000000"/>
        </w:rPr>
        <w:t xml:space="preserve"> </w:t>
      </w:r>
      <w:r w:rsidRPr="00D42A51">
        <w:rPr>
          <w:rFonts w:ascii="Palatino Linotype" w:eastAsia="Palatino Linotype" w:hAnsi="Palatino Linotype" w:cs="Palatino Linotype"/>
          <w:color w:val="000000"/>
        </w:rPr>
        <w:t>necesariamente</w:t>
      </w:r>
      <w:r w:rsidRPr="00D42A51">
        <w:rPr>
          <w:rFonts w:ascii="Palatino Linotype" w:eastAsia="Palatino Linotype" w:hAnsi="Palatino Linotype" w:cs="Palatino Linotype"/>
          <w:b/>
          <w:bCs/>
          <w:color w:val="000000"/>
        </w:rPr>
        <w:t xml:space="preserve"> del Acuerdo del Comité de Transparencia que la sustente el cual debe estar debidamente fundado y motivado, en el que se expongan los fundamentos y razonamientos que llevaron al Sujeto Obligado a testar, suprimir o eliminar datos de dicho soporte documental</w:t>
      </w:r>
      <w:r w:rsidRPr="00D42A51">
        <w:rPr>
          <w:rFonts w:ascii="Palatino Linotype" w:eastAsia="Palatino Linotype" w:hAnsi="Palatino Linotype" w:cs="Palatino Linotype"/>
          <w:color w:val="000000"/>
        </w:rPr>
        <w:t>,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3D0A4D" w:rsidRPr="00D42A51" w:rsidRDefault="003D0A4D">
      <w:pPr>
        <w:pBdr>
          <w:top w:val="nil"/>
          <w:left w:val="nil"/>
          <w:bottom w:val="nil"/>
          <w:right w:val="nil"/>
          <w:between w:val="nil"/>
        </w:pBdr>
        <w:tabs>
          <w:tab w:val="left" w:pos="284"/>
          <w:tab w:val="left" w:pos="426"/>
        </w:tabs>
        <w:spacing w:line="360" w:lineRule="auto"/>
        <w:ind w:right="49"/>
        <w:jc w:val="both"/>
        <w:rPr>
          <w:rFonts w:ascii="Palatino Linotype" w:eastAsia="Palatino Linotype" w:hAnsi="Palatino Linotype" w:cs="Palatino Linotype"/>
          <w:color w:val="000000"/>
        </w:rPr>
      </w:pPr>
    </w:p>
    <w:p w:rsidR="003D0A4D" w:rsidRPr="00D42A51" w:rsidRDefault="00601292" w:rsidP="00D42A51">
      <w:pPr>
        <w:pStyle w:val="Prrafodelista"/>
        <w:numPr>
          <w:ilvl w:val="0"/>
          <w:numId w:val="9"/>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Los sujetos obligados</w:t>
      </w:r>
      <w:r w:rsidRPr="00D42A51">
        <w:rPr>
          <w:rFonts w:ascii="Palatino Linotype" w:eastAsia="Palatino Linotype" w:hAnsi="Palatino Linotype" w:cs="Palatino Linotype"/>
          <w:b/>
          <w:bCs/>
          <w:color w:val="000000"/>
        </w:rPr>
        <w:t xml:space="preserve"> </w:t>
      </w:r>
      <w:r w:rsidRPr="00D42A51">
        <w:rPr>
          <w:rFonts w:ascii="Palatino Linotype" w:eastAsia="Palatino Linotype" w:hAnsi="Palatino Linotype" w:cs="Palatino Linotype"/>
          <w:color w:val="000000"/>
        </w:rPr>
        <w:t xml:space="preserve">serán responsables de los datos personales en su posesión y que, en caso de localizarse datos concernientes a terceros, éstos no podrán difundir, distribuir o comercializar los datos personales.  Cabe destacar que, para la realización de la </w:t>
      </w:r>
      <w:r w:rsidRPr="00D42A51">
        <w:rPr>
          <w:rFonts w:ascii="Palatino Linotype" w:eastAsia="Palatino Linotype" w:hAnsi="Palatino Linotype" w:cs="Palatino Linotype"/>
          <w:color w:val="000000"/>
        </w:rPr>
        <w:lastRenderedPageBreak/>
        <w:t>clasificación de la información, se deben seguir una serie de pasos y procedimientos, por lo que es menester reiterar los mismos:</w:t>
      </w:r>
    </w:p>
    <w:tbl>
      <w:tblPr>
        <w:tblStyle w:val="a"/>
        <w:tblW w:w="991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229"/>
      </w:tblGrid>
      <w:tr w:rsidR="003D0A4D" w:rsidRPr="00D42A51" w:rsidTr="00D42A51">
        <w:tc>
          <w:tcPr>
            <w:tcW w:w="2689" w:type="dxa"/>
          </w:tcPr>
          <w:p w:rsidR="003D0A4D" w:rsidRPr="00D42A51" w:rsidRDefault="00601292">
            <w:pPr>
              <w:tabs>
                <w:tab w:val="left" w:pos="284"/>
              </w:tabs>
              <w:rPr>
                <w:rFonts w:ascii="Palatino Linotype" w:eastAsia="Palatino Linotype" w:hAnsi="Palatino Linotype" w:cs="Palatino Linotype"/>
              </w:rPr>
            </w:pPr>
            <w:r w:rsidRPr="00D42A51">
              <w:rPr>
                <w:rFonts w:ascii="Palatino Linotype" w:eastAsia="Palatino Linotype" w:hAnsi="Palatino Linotype" w:cs="Palatino Linotype"/>
              </w:rPr>
              <w:t>a) Requisitos previos.</w:t>
            </w:r>
          </w:p>
        </w:tc>
        <w:tc>
          <w:tcPr>
            <w:tcW w:w="7229" w:type="dxa"/>
          </w:tcPr>
          <w:p w:rsidR="003D0A4D" w:rsidRPr="00D42A51" w:rsidRDefault="00601292">
            <w:pPr>
              <w:tabs>
                <w:tab w:val="left" w:pos="284"/>
              </w:tabs>
              <w:ind w:right="49"/>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3D0A4D" w:rsidRPr="00D42A51" w:rsidRDefault="00601292">
            <w:pPr>
              <w:tabs>
                <w:tab w:val="left" w:pos="284"/>
              </w:tabs>
              <w:ind w:right="49"/>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3D0A4D" w:rsidRPr="00D42A51" w:rsidRDefault="00601292">
            <w:pPr>
              <w:tabs>
                <w:tab w:val="left" w:pos="284"/>
              </w:tabs>
              <w:ind w:right="49"/>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3D0A4D" w:rsidRPr="00D42A51" w:rsidRDefault="00601292">
            <w:pPr>
              <w:tabs>
                <w:tab w:val="left" w:pos="284"/>
              </w:tabs>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D42A51">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D42A51">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p w:rsidR="003D0A4D" w:rsidRPr="00D42A51" w:rsidRDefault="003D0A4D">
            <w:pPr>
              <w:tabs>
                <w:tab w:val="left" w:pos="284"/>
              </w:tabs>
              <w:jc w:val="both"/>
              <w:rPr>
                <w:rFonts w:ascii="Palatino Linotype" w:eastAsia="Palatino Linotype" w:hAnsi="Palatino Linotype" w:cs="Palatino Linotype"/>
              </w:rPr>
            </w:pPr>
          </w:p>
        </w:tc>
      </w:tr>
      <w:tr w:rsidR="003D0A4D" w:rsidRPr="00D42A51" w:rsidTr="00D42A51">
        <w:tc>
          <w:tcPr>
            <w:tcW w:w="2689" w:type="dxa"/>
          </w:tcPr>
          <w:p w:rsidR="003D0A4D" w:rsidRPr="00D42A51" w:rsidRDefault="00601292">
            <w:pPr>
              <w:tabs>
                <w:tab w:val="left" w:pos="284"/>
              </w:tabs>
              <w:rPr>
                <w:rFonts w:ascii="Palatino Linotype" w:eastAsia="Palatino Linotype" w:hAnsi="Palatino Linotype" w:cs="Palatino Linotype"/>
              </w:rPr>
            </w:pPr>
            <w:r w:rsidRPr="00D42A51">
              <w:rPr>
                <w:rFonts w:ascii="Palatino Linotype" w:eastAsia="Palatino Linotype" w:hAnsi="Palatino Linotype" w:cs="Palatino Linotype"/>
              </w:rPr>
              <w:t>b) Supuestos de clasificación.</w:t>
            </w:r>
          </w:p>
        </w:tc>
        <w:tc>
          <w:tcPr>
            <w:tcW w:w="7229" w:type="dxa"/>
          </w:tcPr>
          <w:p w:rsidR="003D0A4D" w:rsidRPr="00D42A51" w:rsidRDefault="00601292">
            <w:pPr>
              <w:tabs>
                <w:tab w:val="left" w:pos="284"/>
              </w:tabs>
              <w:ind w:right="49"/>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3D0A4D" w:rsidRPr="00D42A51" w:rsidRDefault="00601292">
            <w:pPr>
              <w:tabs>
                <w:tab w:val="left" w:pos="284"/>
              </w:tabs>
              <w:ind w:right="49"/>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3D0A4D" w:rsidRPr="00D42A51" w:rsidRDefault="00601292">
            <w:pPr>
              <w:tabs>
                <w:tab w:val="left" w:pos="284"/>
              </w:tabs>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lastRenderedPageBreak/>
              <w:t xml:space="preserve">El </w:t>
            </w:r>
            <w:r w:rsidRPr="00D42A51">
              <w:rPr>
                <w:rFonts w:ascii="Palatino Linotype" w:eastAsia="Palatino Linotype" w:hAnsi="Palatino Linotype" w:cs="Palatino Linotype"/>
                <w:b/>
                <w:bCs/>
                <w:color w:val="000000"/>
              </w:rPr>
              <w:t>Sujeto Obligado</w:t>
            </w:r>
            <w:r w:rsidRPr="00D42A51">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p w:rsidR="003D0A4D" w:rsidRPr="00D42A51" w:rsidRDefault="003D0A4D">
            <w:pPr>
              <w:tabs>
                <w:tab w:val="left" w:pos="284"/>
              </w:tabs>
              <w:jc w:val="both"/>
              <w:rPr>
                <w:rFonts w:ascii="Palatino Linotype" w:eastAsia="Palatino Linotype" w:hAnsi="Palatino Linotype" w:cs="Palatino Linotype"/>
              </w:rPr>
            </w:pPr>
          </w:p>
        </w:tc>
      </w:tr>
      <w:tr w:rsidR="003D0A4D" w:rsidRPr="00D42A51" w:rsidTr="00D42A51">
        <w:tc>
          <w:tcPr>
            <w:tcW w:w="2689" w:type="dxa"/>
          </w:tcPr>
          <w:p w:rsidR="003D0A4D" w:rsidRPr="00D42A51" w:rsidRDefault="00601292">
            <w:pPr>
              <w:tabs>
                <w:tab w:val="left" w:pos="284"/>
              </w:tabs>
              <w:rPr>
                <w:rFonts w:ascii="Palatino Linotype" w:eastAsia="Palatino Linotype" w:hAnsi="Palatino Linotype" w:cs="Palatino Linotype"/>
              </w:rPr>
            </w:pPr>
            <w:r w:rsidRPr="00D42A51">
              <w:rPr>
                <w:rFonts w:ascii="Palatino Linotype" w:eastAsia="Palatino Linotype" w:hAnsi="Palatino Linotype" w:cs="Palatino Linotype"/>
              </w:rPr>
              <w:lastRenderedPageBreak/>
              <w:t>c) Formalidades para emitir el acuerdo de clasificación.</w:t>
            </w:r>
          </w:p>
        </w:tc>
        <w:tc>
          <w:tcPr>
            <w:tcW w:w="7229" w:type="dxa"/>
          </w:tcPr>
          <w:p w:rsidR="003D0A4D" w:rsidRPr="00D42A51" w:rsidRDefault="00601292">
            <w:pPr>
              <w:tabs>
                <w:tab w:val="left" w:pos="284"/>
              </w:tabs>
              <w:ind w:right="49"/>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3D0A4D" w:rsidRPr="00D42A51" w:rsidRDefault="00601292">
            <w:pPr>
              <w:tabs>
                <w:tab w:val="left" w:pos="284"/>
              </w:tabs>
              <w:ind w:right="49"/>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 xml:space="preserve">Es necesario que </w:t>
            </w:r>
            <w:r w:rsidRPr="00D42A51">
              <w:rPr>
                <w:rFonts w:ascii="Palatino Linotype" w:eastAsia="Palatino Linotype" w:hAnsi="Palatino Linotype" w:cs="Palatino Linotype"/>
                <w:b/>
                <w:bCs/>
                <w:color w:val="000000"/>
                <w:u w:val="single"/>
              </w:rPr>
              <w:t>el acto reúna con los requisitos elementales</w:t>
            </w:r>
            <w:r w:rsidRPr="00D42A51">
              <w:rPr>
                <w:rFonts w:ascii="Palatino Linotype" w:eastAsia="Palatino Linotype" w:hAnsi="Palatino Linotype" w:cs="Palatino Linotype"/>
                <w:color w:val="000000"/>
              </w:rPr>
              <w:t>, entre ellos, que la autoridad que va a emitir el acto de autoridad sea la legalmente facultada para ello.</w:t>
            </w:r>
          </w:p>
          <w:p w:rsidR="003D0A4D" w:rsidRPr="00D42A51" w:rsidRDefault="00601292">
            <w:pPr>
              <w:tabs>
                <w:tab w:val="left" w:pos="284"/>
              </w:tabs>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rsidR="003D0A4D" w:rsidRPr="00D42A51" w:rsidRDefault="003D0A4D">
            <w:pPr>
              <w:tabs>
                <w:tab w:val="left" w:pos="284"/>
              </w:tabs>
              <w:jc w:val="both"/>
              <w:rPr>
                <w:rFonts w:ascii="Palatino Linotype" w:eastAsia="Palatino Linotype" w:hAnsi="Palatino Linotype" w:cs="Palatino Linotype"/>
              </w:rPr>
            </w:pPr>
          </w:p>
        </w:tc>
      </w:tr>
      <w:tr w:rsidR="003D0A4D" w:rsidRPr="00D42A51" w:rsidTr="00D42A51">
        <w:tc>
          <w:tcPr>
            <w:tcW w:w="2689" w:type="dxa"/>
          </w:tcPr>
          <w:p w:rsidR="003D0A4D" w:rsidRPr="00D42A51" w:rsidRDefault="003D0A4D">
            <w:pPr>
              <w:tabs>
                <w:tab w:val="left" w:pos="284"/>
              </w:tabs>
              <w:rPr>
                <w:rFonts w:ascii="Palatino Linotype" w:eastAsia="Palatino Linotype" w:hAnsi="Palatino Linotype" w:cs="Palatino Linotype"/>
              </w:rPr>
            </w:pPr>
          </w:p>
          <w:p w:rsidR="003D0A4D" w:rsidRPr="00D42A51" w:rsidRDefault="00601292">
            <w:pPr>
              <w:tabs>
                <w:tab w:val="left" w:pos="284"/>
              </w:tabs>
              <w:jc w:val="both"/>
              <w:rPr>
                <w:rFonts w:ascii="Palatino Linotype" w:eastAsia="Palatino Linotype" w:hAnsi="Palatino Linotype" w:cs="Palatino Linotype"/>
              </w:rPr>
            </w:pPr>
            <w:r w:rsidRPr="00D42A51">
              <w:rPr>
                <w:rFonts w:ascii="Palatino Linotype" w:eastAsia="Palatino Linotype" w:hAnsi="Palatino Linotype" w:cs="Palatino Linotype"/>
                <w:color w:val="000000"/>
              </w:rPr>
              <w:t xml:space="preserve">d) Requisitos de fondo del acuerdo de clasificación. </w:t>
            </w:r>
          </w:p>
        </w:tc>
        <w:tc>
          <w:tcPr>
            <w:tcW w:w="7229" w:type="dxa"/>
          </w:tcPr>
          <w:p w:rsidR="003D0A4D" w:rsidRPr="00D42A51" w:rsidRDefault="00601292">
            <w:pPr>
              <w:tabs>
                <w:tab w:val="left" w:pos="284"/>
              </w:tabs>
              <w:ind w:right="49"/>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D42A51">
              <w:rPr>
                <w:rFonts w:ascii="Palatino Linotype" w:eastAsia="Palatino Linotype" w:hAnsi="Palatino Linotype" w:cs="Palatino Linotype"/>
                <w:b/>
                <w:bCs/>
                <w:color w:val="000000"/>
              </w:rPr>
              <w:t>Sujetos Obligados</w:t>
            </w:r>
            <w:r w:rsidRPr="00D42A51">
              <w:rPr>
                <w:rFonts w:ascii="Palatino Linotype" w:eastAsia="Palatino Linotype" w:hAnsi="Palatino Linotype" w:cs="Palatino Linotype"/>
                <w:color w:val="000000"/>
              </w:rPr>
              <w:t xml:space="preserve">, por lo que deberán fundar y motivar debidamente la clasificación. </w:t>
            </w:r>
          </w:p>
          <w:p w:rsidR="003D0A4D" w:rsidRPr="00D42A51" w:rsidRDefault="00601292">
            <w:pPr>
              <w:tabs>
                <w:tab w:val="left" w:pos="284"/>
              </w:tabs>
              <w:ind w:right="49"/>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 xml:space="preserve">De lo anterior, se desprende que para una correcta </w:t>
            </w:r>
            <w:r w:rsidRPr="00D42A51">
              <w:rPr>
                <w:rFonts w:ascii="Palatino Linotype" w:eastAsia="Palatino Linotype" w:hAnsi="Palatino Linotype" w:cs="Palatino Linotype"/>
                <w:b/>
                <w:bCs/>
                <w:color w:val="000000"/>
              </w:rPr>
              <w:t>clasificación total o parcial</w:t>
            </w:r>
            <w:r w:rsidRPr="00D42A51">
              <w:rPr>
                <w:rFonts w:ascii="Palatino Linotype" w:eastAsia="Palatino Linotype" w:hAnsi="Palatino Linotype" w:cs="Palatino Linotype"/>
                <w:color w:val="000000"/>
              </w:rPr>
              <w:t xml:space="preserve">, esto es determinar los datos que se suprimen en las versiones públicas, es necesario fundar y motivar, de manera correcta, la clasificación; considerando que todo acto que la autoridad pronuncie en el ejercicio de sus atribuciones, debe </w:t>
            </w:r>
            <w:r w:rsidRPr="00D42A51">
              <w:rPr>
                <w:rFonts w:ascii="Palatino Linotype" w:eastAsia="Palatino Linotype" w:hAnsi="Palatino Linotype" w:cs="Palatino Linotype"/>
                <w:color w:val="000000"/>
              </w:rPr>
              <w:lastRenderedPageBreak/>
              <w:t>expresar los fundamentos legales que le dieron origen y las razones por las que se deben aplicar al caso concreto.</w:t>
            </w:r>
          </w:p>
          <w:p w:rsidR="003D0A4D" w:rsidRPr="00D42A51" w:rsidRDefault="00601292">
            <w:pPr>
              <w:tabs>
                <w:tab w:val="left" w:pos="284"/>
              </w:tabs>
              <w:ind w:right="49"/>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3D0A4D" w:rsidRPr="00D42A51" w:rsidRDefault="00601292">
            <w:pPr>
              <w:tabs>
                <w:tab w:val="left" w:pos="284"/>
              </w:tabs>
              <w:ind w:right="49"/>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3D0A4D" w:rsidRPr="00D42A51" w:rsidRDefault="00601292">
            <w:pPr>
              <w:tabs>
                <w:tab w:val="left" w:pos="284"/>
              </w:tabs>
              <w:ind w:right="49"/>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 xml:space="preserve">Ahora bien, </w:t>
            </w:r>
            <w:r w:rsidRPr="00D42A51">
              <w:rPr>
                <w:rFonts w:ascii="Palatino Linotype" w:eastAsia="Palatino Linotype" w:hAnsi="Palatino Linotype" w:cs="Palatino Linotype"/>
                <w:b/>
                <w:bCs/>
                <w:color w:val="000000"/>
                <w:u w:val="single"/>
              </w:rPr>
              <w:t>para cada caso además de fundar y motivar</w:t>
            </w:r>
            <w:r w:rsidRPr="00D42A51">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p w:rsidR="003D0A4D" w:rsidRPr="00D42A51" w:rsidRDefault="003D0A4D">
            <w:pPr>
              <w:tabs>
                <w:tab w:val="left" w:pos="284"/>
              </w:tabs>
              <w:ind w:right="49"/>
              <w:jc w:val="both"/>
              <w:rPr>
                <w:rFonts w:ascii="Palatino Linotype" w:eastAsia="Palatino Linotype" w:hAnsi="Palatino Linotype" w:cs="Palatino Linotype"/>
                <w:color w:val="000000"/>
              </w:rPr>
            </w:pPr>
          </w:p>
        </w:tc>
      </w:tr>
      <w:tr w:rsidR="003D0A4D" w:rsidRPr="00D42A51" w:rsidTr="00D42A51">
        <w:tc>
          <w:tcPr>
            <w:tcW w:w="2689" w:type="dxa"/>
          </w:tcPr>
          <w:p w:rsidR="003D0A4D" w:rsidRPr="00D42A51" w:rsidRDefault="00601292">
            <w:pPr>
              <w:tabs>
                <w:tab w:val="left" w:pos="284"/>
              </w:tabs>
              <w:ind w:right="49"/>
              <w:jc w:val="both"/>
              <w:rPr>
                <w:rFonts w:ascii="Palatino Linotype" w:eastAsia="Palatino Linotype" w:hAnsi="Palatino Linotype" w:cs="Palatino Linotype"/>
              </w:rPr>
            </w:pPr>
            <w:r w:rsidRPr="00D42A51">
              <w:rPr>
                <w:rFonts w:ascii="Palatino Linotype" w:eastAsia="Palatino Linotype" w:hAnsi="Palatino Linotype" w:cs="Palatino Linotype"/>
              </w:rPr>
              <w:lastRenderedPageBreak/>
              <w:t xml:space="preserve">e) Condiciones especiales de la clasificación de la información como confidencial. </w:t>
            </w:r>
          </w:p>
        </w:tc>
        <w:tc>
          <w:tcPr>
            <w:tcW w:w="7229" w:type="dxa"/>
          </w:tcPr>
          <w:p w:rsidR="003D0A4D" w:rsidRPr="00D42A51" w:rsidRDefault="00601292">
            <w:pPr>
              <w:tabs>
                <w:tab w:val="left" w:pos="284"/>
              </w:tabs>
              <w:ind w:right="49"/>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3D0A4D" w:rsidRPr="00D42A51" w:rsidRDefault="00601292">
            <w:pPr>
              <w:tabs>
                <w:tab w:val="left" w:pos="284"/>
              </w:tabs>
              <w:ind w:right="49"/>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3D0A4D" w:rsidRPr="00D42A51" w:rsidRDefault="00601292">
            <w:pPr>
              <w:tabs>
                <w:tab w:val="left" w:pos="284"/>
              </w:tabs>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 xml:space="preserve">Pero si la información que se pretende clasificar como confidencial no se encuentra en los supuestos de los artículos señalados y es posible, se deberá consultar al titular de los datos </w:t>
            </w:r>
            <w:r w:rsidRPr="00D42A51">
              <w:rPr>
                <w:rFonts w:ascii="Palatino Linotype" w:eastAsia="Palatino Linotype" w:hAnsi="Palatino Linotype" w:cs="Palatino Linotype"/>
                <w:color w:val="000000"/>
              </w:rPr>
              <w:lastRenderedPageBreak/>
              <w:t>si permite o no el acceso. De no ser posible, la realización de la consulta, procede, fundando y motivando, la clasificación.</w:t>
            </w:r>
          </w:p>
          <w:p w:rsidR="003D0A4D" w:rsidRPr="00D42A51" w:rsidRDefault="003D0A4D">
            <w:pPr>
              <w:tabs>
                <w:tab w:val="left" w:pos="284"/>
              </w:tabs>
              <w:rPr>
                <w:rFonts w:ascii="Palatino Linotype" w:eastAsia="Palatino Linotype" w:hAnsi="Palatino Linotype" w:cs="Palatino Linotype"/>
              </w:rPr>
            </w:pPr>
          </w:p>
        </w:tc>
      </w:tr>
    </w:tbl>
    <w:p w:rsidR="003D0A4D" w:rsidRPr="00D42A51" w:rsidRDefault="003D0A4D">
      <w:pPr>
        <w:tabs>
          <w:tab w:val="left" w:pos="284"/>
        </w:tabs>
        <w:spacing w:line="360" w:lineRule="auto"/>
        <w:rPr>
          <w:rFonts w:ascii="Palatino Linotype" w:eastAsia="Palatino Linotype" w:hAnsi="Palatino Linotype" w:cs="Palatino Linotype"/>
          <w:color w:val="000000"/>
        </w:rPr>
      </w:pPr>
    </w:p>
    <w:p w:rsidR="003D0A4D" w:rsidRPr="00D42A51" w:rsidRDefault="00601292" w:rsidP="00D42A51">
      <w:pPr>
        <w:numPr>
          <w:ilvl w:val="0"/>
          <w:numId w:val="9"/>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3D0A4D" w:rsidRPr="00D42A51" w:rsidRDefault="003D0A4D">
      <w:pPr>
        <w:pBdr>
          <w:top w:val="nil"/>
          <w:left w:val="nil"/>
          <w:bottom w:val="nil"/>
          <w:right w:val="nil"/>
          <w:between w:val="nil"/>
        </w:pBdr>
        <w:tabs>
          <w:tab w:val="left" w:pos="851"/>
        </w:tabs>
        <w:spacing w:line="360" w:lineRule="auto"/>
        <w:ind w:right="476"/>
        <w:jc w:val="both"/>
        <w:rPr>
          <w:rFonts w:ascii="Palatino Linotype" w:eastAsia="Palatino Linotype" w:hAnsi="Palatino Linotype" w:cs="Palatino Linotype"/>
          <w:i/>
          <w:iCs/>
          <w:color w:val="000000"/>
        </w:rPr>
      </w:pPr>
    </w:p>
    <w:p w:rsidR="003D0A4D" w:rsidRPr="00D42A51" w:rsidRDefault="00601292" w:rsidP="00D42A51">
      <w:pPr>
        <w:numPr>
          <w:ilvl w:val="0"/>
          <w:numId w:val="9"/>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42A51">
        <w:rPr>
          <w:rFonts w:ascii="Palatino Linotype" w:eastAsia="Palatino Linotype" w:hAnsi="Palatino Linotype" w:cs="Palatino Linotype"/>
          <w:color w:val="000000"/>
        </w:rPr>
        <w:t>Por</w:t>
      </w:r>
      <w:r w:rsidRPr="00D42A51">
        <w:rPr>
          <w:rFonts w:ascii="Palatino Linotype" w:eastAsia="Palatino Linotype" w:hAnsi="Palatino Linotype" w:cs="Palatino Linotype"/>
          <w:color w:val="222222"/>
        </w:rPr>
        <w:t xml:space="preserve"> lo </w:t>
      </w:r>
      <w:r w:rsidRPr="00D42A51">
        <w:rPr>
          <w:rFonts w:ascii="Palatino Linotype" w:eastAsia="Palatino Linotype" w:hAnsi="Palatino Linotype" w:cs="Palatino Linotype"/>
        </w:rPr>
        <w:t>anteriormente</w:t>
      </w:r>
      <w:r w:rsidRPr="00D42A51">
        <w:rPr>
          <w:rFonts w:ascii="Palatino Linotype" w:eastAsia="Palatino Linotype" w:hAnsi="Palatino Linotype" w:cs="Palatino Linotype"/>
          <w:color w:val="222222"/>
        </w:rPr>
        <w:t xml:space="preserve"> expuesto y fundado, este </w:t>
      </w:r>
      <w:r w:rsidRPr="00D42A51">
        <w:rPr>
          <w:rFonts w:ascii="Palatino Linotype" w:eastAsia="Palatino Linotype" w:hAnsi="Palatino Linotype" w:cs="Palatino Linotype"/>
          <w:b/>
          <w:bCs/>
          <w:color w:val="222222"/>
        </w:rPr>
        <w:t>ÓRGANO GARANTE</w:t>
      </w:r>
      <w:r w:rsidRPr="00D42A51">
        <w:rPr>
          <w:rFonts w:ascii="Palatino Linotype" w:eastAsia="Palatino Linotype" w:hAnsi="Palatino Linotype" w:cs="Palatino Linotype"/>
          <w:color w:val="222222"/>
        </w:rPr>
        <w:t xml:space="preserve"> emite los </w:t>
      </w:r>
      <w:r w:rsidRPr="00D42A51">
        <w:rPr>
          <w:rFonts w:ascii="Palatino Linotype" w:eastAsia="Palatino Linotype" w:hAnsi="Palatino Linotype" w:cs="Palatino Linotype"/>
        </w:rPr>
        <w:t>siguientes</w:t>
      </w:r>
      <w:r w:rsidRPr="00D42A51">
        <w:rPr>
          <w:rFonts w:ascii="Palatino Linotype" w:eastAsia="Palatino Linotype" w:hAnsi="Palatino Linotype" w:cs="Palatino Linotype"/>
          <w:color w:val="222222"/>
        </w:rPr>
        <w:t>:</w:t>
      </w:r>
    </w:p>
    <w:p w:rsidR="003D0A4D" w:rsidRPr="00D42A51" w:rsidRDefault="003D0A4D">
      <w:pPr>
        <w:pBdr>
          <w:top w:val="nil"/>
          <w:left w:val="nil"/>
          <w:bottom w:val="nil"/>
          <w:right w:val="nil"/>
          <w:between w:val="nil"/>
        </w:pBdr>
        <w:spacing w:line="360" w:lineRule="auto"/>
        <w:jc w:val="both"/>
        <w:rPr>
          <w:rFonts w:ascii="Palatino Linotype" w:eastAsia="Palatino Linotype" w:hAnsi="Palatino Linotype" w:cs="Palatino Linotype"/>
        </w:rPr>
      </w:pPr>
    </w:p>
    <w:p w:rsidR="003D0A4D" w:rsidRPr="00D42A51" w:rsidRDefault="00601292">
      <w:pPr>
        <w:keepNext/>
        <w:keepLines/>
        <w:spacing w:line="360" w:lineRule="auto"/>
        <w:jc w:val="center"/>
        <w:rPr>
          <w:rFonts w:ascii="Palatino Linotype" w:eastAsia="Palatino Linotype" w:hAnsi="Palatino Linotype" w:cs="Palatino Linotype"/>
          <w:b/>
          <w:bCs/>
          <w:color w:val="000000"/>
        </w:rPr>
      </w:pPr>
      <w:r w:rsidRPr="00D42A51">
        <w:rPr>
          <w:rFonts w:ascii="Palatino Linotype" w:eastAsia="Palatino Linotype" w:hAnsi="Palatino Linotype" w:cs="Palatino Linotype"/>
          <w:b/>
          <w:bCs/>
          <w:color w:val="000000"/>
        </w:rPr>
        <w:t>R E S O L U T I V O S</w:t>
      </w:r>
    </w:p>
    <w:p w:rsidR="003D0A4D" w:rsidRPr="00D42A51" w:rsidRDefault="00601292">
      <w:pPr>
        <w:spacing w:line="360" w:lineRule="auto"/>
        <w:ind w:right="-929"/>
        <w:jc w:val="both"/>
        <w:rPr>
          <w:rFonts w:ascii="Palatino Linotype" w:eastAsia="Palatino Linotype" w:hAnsi="Palatino Linotype" w:cs="Palatino Linotype"/>
          <w:b/>
          <w:bCs/>
        </w:rPr>
      </w:pPr>
      <w:r w:rsidRPr="00D42A51">
        <w:rPr>
          <w:rFonts w:ascii="Palatino Linotype" w:eastAsia="Palatino Linotype" w:hAnsi="Palatino Linotype" w:cs="Palatino Linotype"/>
          <w:b/>
          <w:bCs/>
        </w:rPr>
        <w:tab/>
      </w:r>
    </w:p>
    <w:p w:rsidR="003D0A4D" w:rsidRPr="00D42A51" w:rsidRDefault="00601292">
      <w:pPr>
        <w:spacing w:line="360" w:lineRule="auto"/>
        <w:jc w:val="both"/>
        <w:rPr>
          <w:rFonts w:ascii="Palatino Linotype" w:eastAsia="Palatino Linotype" w:hAnsi="Palatino Linotype" w:cs="Palatino Linotype"/>
        </w:rPr>
      </w:pPr>
      <w:r w:rsidRPr="00D42A51">
        <w:rPr>
          <w:rFonts w:ascii="Palatino Linotype" w:eastAsia="Palatino Linotype" w:hAnsi="Palatino Linotype" w:cs="Palatino Linotype"/>
          <w:b/>
          <w:bCs/>
        </w:rPr>
        <w:t>PRIMERO</w:t>
      </w:r>
      <w:r w:rsidRPr="00D42A51">
        <w:rPr>
          <w:rFonts w:ascii="Palatino Linotype" w:eastAsia="Palatino Linotype" w:hAnsi="Palatino Linotype" w:cs="Palatino Linotype"/>
        </w:rPr>
        <w:t xml:space="preserve">. Resultan fundadas las razones o motivos de inconformidad hechos valer en el Recurso de Revisión </w:t>
      </w:r>
      <w:r w:rsidRPr="00D42A51">
        <w:rPr>
          <w:rFonts w:ascii="Palatino Linotype" w:eastAsia="Palatino Linotype" w:hAnsi="Palatino Linotype" w:cs="Palatino Linotype"/>
          <w:b/>
          <w:bCs/>
        </w:rPr>
        <w:t xml:space="preserve">02373/INFOEM/IP/RR/2026, </w:t>
      </w:r>
      <w:r w:rsidRPr="00D42A51">
        <w:rPr>
          <w:rFonts w:ascii="Palatino Linotype" w:eastAsia="Palatino Linotype" w:hAnsi="Palatino Linotype" w:cs="Palatino Linotype"/>
        </w:rPr>
        <w:t xml:space="preserve">en términos de los </w:t>
      </w:r>
      <w:r w:rsidRPr="00D42A51">
        <w:rPr>
          <w:rFonts w:ascii="Palatino Linotype" w:eastAsia="Palatino Linotype" w:hAnsi="Palatino Linotype" w:cs="Palatino Linotype"/>
          <w:b/>
          <w:bCs/>
        </w:rPr>
        <w:t>Considerandos</w:t>
      </w:r>
      <w:r w:rsidRPr="00D42A51">
        <w:rPr>
          <w:rFonts w:ascii="Palatino Linotype" w:eastAsia="Palatino Linotype" w:hAnsi="Palatino Linotype" w:cs="Palatino Linotype"/>
        </w:rPr>
        <w:t xml:space="preserve"> </w:t>
      </w:r>
      <w:r w:rsidRPr="00D42A51">
        <w:rPr>
          <w:rFonts w:ascii="Palatino Linotype" w:eastAsia="Palatino Linotype" w:hAnsi="Palatino Linotype" w:cs="Palatino Linotype"/>
          <w:b/>
          <w:bCs/>
        </w:rPr>
        <w:t xml:space="preserve">Cuarto y Quinto </w:t>
      </w:r>
      <w:r w:rsidRPr="00D42A51">
        <w:rPr>
          <w:rFonts w:ascii="Palatino Linotype" w:eastAsia="Palatino Linotype" w:hAnsi="Palatino Linotype" w:cs="Palatino Linotype"/>
        </w:rPr>
        <w:t>de la presente Resolución.</w:t>
      </w:r>
    </w:p>
    <w:p w:rsidR="003D0A4D" w:rsidRPr="00D42A51" w:rsidRDefault="003D0A4D">
      <w:pPr>
        <w:spacing w:line="360" w:lineRule="auto"/>
        <w:jc w:val="both"/>
        <w:rPr>
          <w:rFonts w:ascii="Palatino Linotype" w:eastAsia="Palatino Linotype" w:hAnsi="Palatino Linotype" w:cs="Palatino Linotype"/>
        </w:rPr>
      </w:pPr>
    </w:p>
    <w:p w:rsidR="003D0A4D" w:rsidRPr="00D42A51" w:rsidRDefault="00601292">
      <w:pPr>
        <w:spacing w:line="360" w:lineRule="auto"/>
        <w:jc w:val="both"/>
        <w:rPr>
          <w:rFonts w:ascii="Palatino Linotype" w:eastAsia="Palatino Linotype" w:hAnsi="Palatino Linotype" w:cs="Palatino Linotype"/>
        </w:rPr>
      </w:pPr>
      <w:r w:rsidRPr="00D42A51">
        <w:rPr>
          <w:rFonts w:ascii="Palatino Linotype" w:eastAsia="Palatino Linotype" w:hAnsi="Palatino Linotype" w:cs="Palatino Linotype"/>
          <w:b/>
          <w:bCs/>
        </w:rPr>
        <w:t xml:space="preserve">SEGUNDO. </w:t>
      </w:r>
      <w:r w:rsidRPr="00D42A51">
        <w:rPr>
          <w:rFonts w:ascii="Palatino Linotype" w:eastAsia="Palatino Linotype" w:hAnsi="Palatino Linotype" w:cs="Palatino Linotype"/>
          <w:color w:val="000000"/>
        </w:rPr>
        <w:t xml:space="preserve">Se </w:t>
      </w:r>
      <w:r w:rsidRPr="00D42A51">
        <w:rPr>
          <w:rFonts w:ascii="Palatino Linotype" w:eastAsia="Palatino Linotype" w:hAnsi="Palatino Linotype" w:cs="Palatino Linotype"/>
          <w:b/>
          <w:bCs/>
          <w:color w:val="000000"/>
        </w:rPr>
        <w:t xml:space="preserve">MODIFICA </w:t>
      </w:r>
      <w:r w:rsidRPr="00D42A51">
        <w:rPr>
          <w:rFonts w:ascii="Palatino Linotype" w:eastAsia="Palatino Linotype" w:hAnsi="Palatino Linotype" w:cs="Palatino Linotype"/>
          <w:color w:val="000000"/>
        </w:rPr>
        <w:t xml:space="preserve">la respuesta emitida por el </w:t>
      </w:r>
      <w:r w:rsidRPr="00D42A51">
        <w:rPr>
          <w:rFonts w:ascii="Palatino Linotype" w:eastAsia="Palatino Linotype" w:hAnsi="Palatino Linotype" w:cs="Palatino Linotype"/>
          <w:b/>
          <w:bCs/>
          <w:color w:val="000000"/>
        </w:rPr>
        <w:t>Instituto Mexiquense de la Infraestructura Física Educativa</w:t>
      </w:r>
      <w:r w:rsidRPr="00D42A51">
        <w:rPr>
          <w:rFonts w:ascii="Palatino Linotype" w:eastAsia="Palatino Linotype" w:hAnsi="Palatino Linotype" w:cs="Palatino Linotype"/>
          <w:b/>
          <w:bCs/>
        </w:rPr>
        <w:t>;</w:t>
      </w:r>
      <w:r w:rsidRPr="00D42A51">
        <w:rPr>
          <w:rFonts w:ascii="Palatino Linotype" w:eastAsia="Palatino Linotype" w:hAnsi="Palatino Linotype" w:cs="Palatino Linotype"/>
        </w:rPr>
        <w:t xml:space="preserve"> por lo que</w:t>
      </w:r>
      <w:r w:rsidRPr="00D42A51">
        <w:rPr>
          <w:rFonts w:ascii="Palatino Linotype" w:eastAsia="Palatino Linotype" w:hAnsi="Palatino Linotype" w:cs="Palatino Linotype"/>
          <w:color w:val="000000"/>
        </w:rPr>
        <w:t xml:space="preserve"> se </w:t>
      </w:r>
      <w:r w:rsidRPr="00D42A51">
        <w:rPr>
          <w:rFonts w:ascii="Palatino Linotype" w:eastAsia="Palatino Linotype" w:hAnsi="Palatino Linotype" w:cs="Palatino Linotype"/>
          <w:b/>
          <w:bCs/>
          <w:color w:val="000000"/>
        </w:rPr>
        <w:t>ORDENA</w:t>
      </w:r>
      <w:r w:rsidRPr="00D42A51">
        <w:rPr>
          <w:rFonts w:ascii="Palatino Linotype" w:eastAsia="Palatino Linotype" w:hAnsi="Palatino Linotype" w:cs="Palatino Linotype"/>
          <w:color w:val="000000"/>
        </w:rPr>
        <w:t xml:space="preserve"> entregar vía Sistema de Acceso a la Información Mexiquense (</w:t>
      </w:r>
      <w:r w:rsidRPr="00D42A51">
        <w:rPr>
          <w:rFonts w:ascii="Palatino Linotype" w:eastAsia="Palatino Linotype" w:hAnsi="Palatino Linotype" w:cs="Palatino Linotype"/>
          <w:b/>
          <w:bCs/>
          <w:color w:val="000000"/>
        </w:rPr>
        <w:t>SAIMEX</w:t>
      </w:r>
      <w:r w:rsidRPr="00D42A51">
        <w:rPr>
          <w:rFonts w:ascii="Palatino Linotype" w:eastAsia="Palatino Linotype" w:hAnsi="Palatino Linotype" w:cs="Palatino Linotype"/>
          <w:color w:val="000000"/>
        </w:rPr>
        <w:t xml:space="preserve">), la siguiente información, de ser el caso en versión pública, correspondiente al </w:t>
      </w:r>
      <w:r w:rsidRPr="00D42A51">
        <w:rPr>
          <w:rFonts w:ascii="Palatino Linotype" w:eastAsia="Palatino Linotype" w:hAnsi="Palatino Linotype" w:cs="Palatino Linotype"/>
          <w:b/>
          <w:bCs/>
          <w:color w:val="000000"/>
        </w:rPr>
        <w:t>Ejercicio Fiscal 2025</w:t>
      </w:r>
      <w:r w:rsidRPr="00D42A51">
        <w:rPr>
          <w:rFonts w:ascii="Palatino Linotype" w:eastAsia="Palatino Linotype" w:hAnsi="Palatino Linotype" w:cs="Palatino Linotype"/>
        </w:rPr>
        <w:t>:</w:t>
      </w:r>
    </w:p>
    <w:p w:rsidR="003D0A4D" w:rsidRPr="00D42A51" w:rsidRDefault="003D0A4D">
      <w:pPr>
        <w:spacing w:line="360" w:lineRule="auto"/>
        <w:jc w:val="both"/>
        <w:rPr>
          <w:rFonts w:ascii="Palatino Linotype" w:eastAsia="Palatino Linotype" w:hAnsi="Palatino Linotype" w:cs="Palatino Linotype"/>
        </w:rPr>
      </w:pPr>
    </w:p>
    <w:p w:rsidR="003D0A4D" w:rsidRPr="00D42A51" w:rsidRDefault="00601292">
      <w:pPr>
        <w:numPr>
          <w:ilvl w:val="0"/>
          <w:numId w:val="3"/>
        </w:numPr>
        <w:pBdr>
          <w:top w:val="nil"/>
          <w:left w:val="nil"/>
          <w:bottom w:val="nil"/>
          <w:right w:val="nil"/>
          <w:between w:val="nil"/>
        </w:pBdr>
        <w:spacing w:line="360" w:lineRule="auto"/>
        <w:ind w:right="567"/>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t xml:space="preserve">Los contratos celebrados; y </w:t>
      </w:r>
    </w:p>
    <w:p w:rsidR="003D0A4D" w:rsidRPr="00D42A51" w:rsidRDefault="00601292">
      <w:pPr>
        <w:numPr>
          <w:ilvl w:val="0"/>
          <w:numId w:val="3"/>
        </w:numPr>
        <w:pBdr>
          <w:top w:val="nil"/>
          <w:left w:val="nil"/>
          <w:bottom w:val="nil"/>
          <w:right w:val="nil"/>
          <w:between w:val="nil"/>
        </w:pBdr>
        <w:spacing w:line="360" w:lineRule="auto"/>
        <w:ind w:right="567"/>
        <w:jc w:val="both"/>
        <w:rPr>
          <w:rFonts w:ascii="Palatino Linotype" w:eastAsia="Palatino Linotype" w:hAnsi="Palatino Linotype" w:cs="Palatino Linotype"/>
          <w:color w:val="000000"/>
        </w:rPr>
      </w:pPr>
      <w:r w:rsidRPr="00D42A51">
        <w:rPr>
          <w:rFonts w:ascii="Palatino Linotype" w:eastAsia="Palatino Linotype" w:hAnsi="Palatino Linotype" w:cs="Palatino Linotype"/>
          <w:color w:val="000000"/>
        </w:rPr>
        <w:lastRenderedPageBreak/>
        <w:t>La expresión documental en la que conste o pueda advertirse el origen, procedencia o fuente de financiamiento de los recursos con los cuales fueron efectuadas las contrataciones.</w:t>
      </w:r>
    </w:p>
    <w:p w:rsidR="003D0A4D" w:rsidRPr="00D42A51" w:rsidRDefault="00601292">
      <w:pPr>
        <w:pBdr>
          <w:top w:val="nil"/>
          <w:left w:val="nil"/>
          <w:bottom w:val="nil"/>
          <w:right w:val="nil"/>
          <w:between w:val="nil"/>
        </w:pBdr>
        <w:spacing w:line="360" w:lineRule="auto"/>
        <w:ind w:left="851" w:right="567"/>
        <w:jc w:val="both"/>
        <w:rPr>
          <w:rFonts w:ascii="Palatino Linotype" w:eastAsia="Palatino Linotype" w:hAnsi="Palatino Linotype" w:cs="Palatino Linotype"/>
          <w:b/>
          <w:bCs/>
          <w:color w:val="000000"/>
        </w:rPr>
      </w:pPr>
      <w:r w:rsidRPr="00D42A51">
        <w:rPr>
          <w:rFonts w:ascii="Palatino Linotype" w:eastAsia="Palatino Linotype" w:hAnsi="Palatino Linotype" w:cs="Palatino Linotype"/>
          <w:b/>
          <w:bCs/>
          <w:color w:val="000000"/>
        </w:rPr>
        <w:t xml:space="preserve"> </w:t>
      </w:r>
    </w:p>
    <w:p w:rsidR="003D0A4D" w:rsidRPr="00D42A51" w:rsidRDefault="00601292">
      <w:pPr>
        <w:spacing w:line="360" w:lineRule="auto"/>
        <w:jc w:val="both"/>
        <w:rPr>
          <w:rFonts w:ascii="Palatino Linotype" w:eastAsia="Palatino Linotype" w:hAnsi="Palatino Linotype" w:cs="Palatino Linotype"/>
        </w:rPr>
      </w:pPr>
      <w:r w:rsidRPr="00D42A51">
        <w:rPr>
          <w:rFonts w:ascii="Palatino Linotype" w:eastAsia="Palatino Linotype" w:hAnsi="Palatino Linotype" w:cs="Palatino Linotype"/>
        </w:rPr>
        <w:t>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 la parte Recurrente.</w:t>
      </w:r>
    </w:p>
    <w:p w:rsidR="003D0A4D" w:rsidRPr="00D42A51" w:rsidRDefault="003D0A4D">
      <w:pPr>
        <w:spacing w:line="360" w:lineRule="auto"/>
        <w:jc w:val="both"/>
        <w:rPr>
          <w:rFonts w:ascii="Palatino Linotype" w:eastAsia="Palatino Linotype" w:hAnsi="Palatino Linotype" w:cs="Palatino Linotype"/>
        </w:rPr>
      </w:pPr>
    </w:p>
    <w:p w:rsidR="003D0A4D" w:rsidRPr="00D42A51" w:rsidRDefault="00601292">
      <w:pPr>
        <w:spacing w:line="360" w:lineRule="auto"/>
        <w:ind w:right="51"/>
        <w:jc w:val="both"/>
        <w:rPr>
          <w:rFonts w:ascii="Palatino Linotype" w:eastAsia="Palatino Linotype" w:hAnsi="Palatino Linotype" w:cs="Palatino Linotype"/>
        </w:rPr>
      </w:pPr>
      <w:r w:rsidRPr="00D42A51">
        <w:rPr>
          <w:rFonts w:ascii="Palatino Linotype" w:eastAsia="Palatino Linotype" w:hAnsi="Palatino Linotype" w:cs="Palatino Linotype"/>
          <w:b/>
          <w:bCs/>
        </w:rPr>
        <w:t xml:space="preserve">TERCERO. Notifíquese </w:t>
      </w:r>
      <w:r w:rsidRPr="00D42A51">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D42A51">
        <w:rPr>
          <w:rFonts w:ascii="Palatino Linotype" w:eastAsia="Palatino Linotype" w:hAnsi="Palatino Linotype" w:cs="Palatino Linotype"/>
          <w:b/>
          <w:bCs/>
        </w:rPr>
        <w:t>dé cumplimiento a lo ordenado dentro del plazo de diez días hábiles,</w:t>
      </w:r>
      <w:r w:rsidRPr="00D42A51">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3D0A4D" w:rsidRPr="00D42A51" w:rsidRDefault="003D0A4D">
      <w:pPr>
        <w:spacing w:line="360" w:lineRule="auto"/>
        <w:ind w:right="51"/>
        <w:jc w:val="both"/>
        <w:rPr>
          <w:rFonts w:ascii="Palatino Linotype" w:eastAsia="Palatino Linotype" w:hAnsi="Palatino Linotype" w:cs="Palatino Linotype"/>
        </w:rPr>
      </w:pPr>
    </w:p>
    <w:p w:rsidR="003D0A4D" w:rsidRPr="00D42A51" w:rsidRDefault="00601292">
      <w:pPr>
        <w:spacing w:line="360" w:lineRule="auto"/>
        <w:ind w:right="51"/>
        <w:jc w:val="both"/>
        <w:rPr>
          <w:rFonts w:ascii="Palatino Linotype" w:eastAsia="Palatino Linotype" w:hAnsi="Palatino Linotype" w:cs="Palatino Linotype"/>
        </w:rPr>
      </w:pPr>
      <w:r w:rsidRPr="00D42A51">
        <w:rPr>
          <w:rFonts w:ascii="Palatino Linotype" w:eastAsia="Palatino Linotype" w:hAnsi="Palatino Linotype" w:cs="Palatino Linotype"/>
          <w:b/>
          <w:bCs/>
        </w:rPr>
        <w:lastRenderedPageBreak/>
        <w:t xml:space="preserve">CUARTO. </w:t>
      </w:r>
      <w:r w:rsidRPr="00D42A51">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D42A51">
        <w:rPr>
          <w:rFonts w:ascii="Palatino Linotype" w:eastAsia="Palatino Linotype" w:hAnsi="Palatino Linotype" w:cs="Palatino Linotype"/>
          <w:b/>
          <w:bCs/>
        </w:rPr>
        <w:t>SUJETO OBLIGADO</w:t>
      </w:r>
      <w:r w:rsidRPr="00D42A51">
        <w:rPr>
          <w:rFonts w:ascii="Palatino Linotype" w:eastAsia="Palatino Linotype" w:hAnsi="Palatino Linotype" w:cs="Palatino Linotype"/>
        </w:rPr>
        <w:t xml:space="preserve"> de manera fundada y motivada, podrá solicitar una ampliación de plazo para el cumplimiento de la presente Resolución.</w:t>
      </w:r>
    </w:p>
    <w:p w:rsidR="003D0A4D" w:rsidRPr="00D42A51" w:rsidRDefault="003D0A4D">
      <w:pPr>
        <w:spacing w:line="360" w:lineRule="auto"/>
        <w:ind w:right="51"/>
        <w:jc w:val="both"/>
        <w:rPr>
          <w:rFonts w:ascii="Palatino Linotype" w:eastAsia="Palatino Linotype" w:hAnsi="Palatino Linotype" w:cs="Palatino Linotype"/>
        </w:rPr>
      </w:pPr>
    </w:p>
    <w:p w:rsidR="003D0A4D" w:rsidRPr="00D42A51" w:rsidRDefault="00601292">
      <w:pPr>
        <w:tabs>
          <w:tab w:val="left" w:pos="8080"/>
        </w:tabs>
        <w:spacing w:line="360" w:lineRule="auto"/>
        <w:ind w:right="51"/>
        <w:jc w:val="both"/>
        <w:rPr>
          <w:rFonts w:ascii="Palatino Linotype" w:eastAsia="Palatino Linotype" w:hAnsi="Palatino Linotype" w:cs="Palatino Linotype"/>
        </w:rPr>
      </w:pPr>
      <w:r w:rsidRPr="00D42A51">
        <w:rPr>
          <w:rFonts w:ascii="Palatino Linotype" w:eastAsia="Palatino Linotype" w:hAnsi="Palatino Linotype" w:cs="Palatino Linotype"/>
          <w:b/>
          <w:bCs/>
        </w:rPr>
        <w:t xml:space="preserve">QUINTO. </w:t>
      </w:r>
      <w:r w:rsidRPr="00D42A51">
        <w:rPr>
          <w:rFonts w:ascii="Palatino Linotype" w:eastAsia="Palatino Linotype" w:hAnsi="Palatino Linotype" w:cs="Palatino Linotype"/>
        </w:rPr>
        <w:t xml:space="preserve">Notifíquese al </w:t>
      </w:r>
      <w:r w:rsidRPr="00D42A51">
        <w:rPr>
          <w:rFonts w:ascii="Palatino Linotype" w:eastAsia="Palatino Linotype" w:hAnsi="Palatino Linotype" w:cs="Palatino Linotype"/>
          <w:b/>
          <w:bCs/>
        </w:rPr>
        <w:t>RECURRENTE</w:t>
      </w:r>
      <w:r w:rsidRPr="00D42A51">
        <w:rPr>
          <w:rFonts w:ascii="Palatino Linotype" w:eastAsia="Palatino Linotype" w:hAnsi="Palatino Linotype" w:cs="Palatino Linotype"/>
        </w:rPr>
        <w:t xml:space="preserve"> la presente Resolución, vía </w:t>
      </w:r>
      <w:r w:rsidRPr="00D42A51">
        <w:rPr>
          <w:rFonts w:ascii="Palatino Linotype" w:eastAsia="Palatino Linotype" w:hAnsi="Palatino Linotype" w:cs="Palatino Linotype"/>
          <w:b/>
          <w:bCs/>
        </w:rPr>
        <w:t>SAIMEX</w:t>
      </w:r>
      <w:r w:rsidRPr="00D42A51">
        <w:rPr>
          <w:rFonts w:ascii="Palatino Linotype" w:eastAsia="Palatino Linotype" w:hAnsi="Palatino Linotype" w:cs="Palatino Linotype"/>
        </w:rPr>
        <w:t>.</w:t>
      </w:r>
    </w:p>
    <w:p w:rsidR="003D0A4D" w:rsidRPr="00D42A51" w:rsidRDefault="003D0A4D">
      <w:pPr>
        <w:tabs>
          <w:tab w:val="left" w:pos="8080"/>
        </w:tabs>
        <w:spacing w:line="360" w:lineRule="auto"/>
        <w:ind w:right="51"/>
        <w:jc w:val="both"/>
        <w:rPr>
          <w:rFonts w:ascii="Palatino Linotype" w:eastAsia="Palatino Linotype" w:hAnsi="Palatino Linotype" w:cs="Palatino Linotype"/>
        </w:rPr>
      </w:pPr>
    </w:p>
    <w:p w:rsidR="003D0A4D" w:rsidRPr="00D42A51" w:rsidRDefault="00601292">
      <w:pPr>
        <w:shd w:val="clear" w:color="auto" w:fill="FFFFFF"/>
        <w:spacing w:line="360" w:lineRule="auto"/>
        <w:ind w:right="51"/>
        <w:jc w:val="both"/>
        <w:rPr>
          <w:rFonts w:ascii="Palatino Linotype" w:eastAsia="Palatino Linotype" w:hAnsi="Palatino Linotype" w:cs="Palatino Linotype"/>
        </w:rPr>
      </w:pPr>
      <w:bookmarkStart w:id="7" w:name="_heading=h.gwqby30j5nq" w:colFirst="0" w:colLast="0"/>
      <w:bookmarkEnd w:id="7"/>
      <w:r w:rsidRPr="00D42A51">
        <w:rPr>
          <w:rFonts w:ascii="Palatino Linotype" w:eastAsia="Palatino Linotype" w:hAnsi="Palatino Linotype" w:cs="Palatino Linotype"/>
          <w:b/>
          <w:bCs/>
        </w:rPr>
        <w:t xml:space="preserve">SEXTO. </w:t>
      </w:r>
      <w:r w:rsidRPr="00D42A51">
        <w:rPr>
          <w:rFonts w:ascii="Palatino Linotype" w:eastAsia="Palatino Linotype" w:hAnsi="Palatino Linotype" w:cs="Palatino Linotype"/>
        </w:rPr>
        <w:t>Se hace del conocimiento del</w:t>
      </w:r>
      <w:r w:rsidRPr="00D42A51">
        <w:rPr>
          <w:rFonts w:ascii="Palatino Linotype" w:eastAsia="Palatino Linotype" w:hAnsi="Palatino Linotype" w:cs="Palatino Linotype"/>
          <w:b/>
          <w:bCs/>
        </w:rPr>
        <w:t xml:space="preserve"> RECURRENTE </w:t>
      </w:r>
      <w:r w:rsidRPr="00D42A51">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3D0A4D" w:rsidRPr="00D42A51" w:rsidRDefault="003D0A4D">
      <w:pPr>
        <w:shd w:val="clear" w:color="auto" w:fill="FFFFFF"/>
        <w:spacing w:line="360" w:lineRule="auto"/>
        <w:jc w:val="both"/>
        <w:rPr>
          <w:rFonts w:ascii="Palatino Linotype" w:eastAsia="Palatino Linotype" w:hAnsi="Palatino Linotype" w:cs="Palatino Linotype"/>
        </w:rPr>
      </w:pPr>
    </w:p>
    <w:p w:rsidR="00006AA0" w:rsidRPr="00D42A51" w:rsidRDefault="00006AA0" w:rsidP="00006AA0">
      <w:pPr>
        <w:spacing w:before="240" w:after="240" w:line="360" w:lineRule="auto"/>
        <w:ind w:firstLine="1"/>
        <w:jc w:val="both"/>
        <w:rPr>
          <w:rFonts w:ascii="Palatino Linotype" w:hAnsi="Palatino Linotype"/>
        </w:rPr>
      </w:pPr>
      <w:bookmarkStart w:id="8" w:name="_Hlk99014733"/>
      <w:r w:rsidRPr="00D42A51">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SEGUNDA SESIÓN ORDINARIA, CELEBRADA EL DIECISIETE (17) DE JUNIO DE DOS MIL VEINTISÉIS, ANTE EL SECRETARIO TÉCNICO DEL PLENO </w:t>
      </w:r>
      <w:r w:rsidRPr="00D42A51">
        <w:rPr>
          <w:rFonts w:ascii="Palatino Linotype" w:hAnsi="Palatino Linotype" w:cs="Palatino Linotype"/>
          <w:color w:val="000000" w:themeColor="text1"/>
        </w:rPr>
        <w:t>ALEXIS TAPIA RAMÍREZ.</w:t>
      </w:r>
    </w:p>
    <w:bookmarkEnd w:id="8"/>
    <w:p w:rsidR="003D0A4D" w:rsidRPr="00D42A51" w:rsidRDefault="003D0A4D">
      <w:pPr>
        <w:spacing w:line="360" w:lineRule="auto"/>
        <w:rPr>
          <w:rFonts w:ascii="Palatino Linotype" w:eastAsia="Palatino Linotype" w:hAnsi="Palatino Linotype" w:cs="Palatino Linotype"/>
        </w:rPr>
      </w:pPr>
    </w:p>
    <w:p w:rsidR="003D0A4D" w:rsidRPr="00D42A51" w:rsidRDefault="003D0A4D">
      <w:pPr>
        <w:spacing w:line="360" w:lineRule="auto"/>
        <w:rPr>
          <w:rFonts w:ascii="Palatino Linotype" w:eastAsia="Palatino Linotype" w:hAnsi="Palatino Linotype" w:cs="Palatino Linotype"/>
        </w:rPr>
      </w:pPr>
    </w:p>
    <w:p w:rsidR="003D0A4D" w:rsidRPr="00D42A51" w:rsidRDefault="003D0A4D">
      <w:pPr>
        <w:spacing w:line="360" w:lineRule="auto"/>
        <w:rPr>
          <w:rFonts w:ascii="Palatino Linotype" w:eastAsia="Palatino Linotype" w:hAnsi="Palatino Linotype" w:cs="Palatino Linotype"/>
        </w:rPr>
      </w:pPr>
    </w:p>
    <w:p w:rsidR="003D0A4D" w:rsidRPr="00D42A51" w:rsidRDefault="003D0A4D">
      <w:pPr>
        <w:spacing w:line="360" w:lineRule="auto"/>
        <w:rPr>
          <w:rFonts w:ascii="Palatino Linotype" w:eastAsia="Palatino Linotype" w:hAnsi="Palatino Linotype" w:cs="Palatino Linotype"/>
        </w:rPr>
      </w:pPr>
    </w:p>
    <w:p w:rsidR="003D0A4D" w:rsidRPr="00D42A51" w:rsidRDefault="00601292">
      <w:pPr>
        <w:tabs>
          <w:tab w:val="left" w:pos="3374"/>
        </w:tabs>
        <w:spacing w:line="360" w:lineRule="auto"/>
        <w:rPr>
          <w:rFonts w:ascii="Palatino Linotype" w:eastAsia="Palatino Linotype" w:hAnsi="Palatino Linotype" w:cs="Palatino Linotype"/>
        </w:rPr>
      </w:pPr>
      <w:r w:rsidRPr="00D42A51">
        <w:rPr>
          <w:rFonts w:ascii="Palatino Linotype" w:eastAsia="Palatino Linotype" w:hAnsi="Palatino Linotype" w:cs="Palatino Linotype"/>
        </w:rPr>
        <w:tab/>
      </w:r>
    </w:p>
    <w:p w:rsidR="003D0A4D" w:rsidRPr="00D42A51" w:rsidRDefault="003D0A4D">
      <w:pPr>
        <w:tabs>
          <w:tab w:val="left" w:pos="3374"/>
        </w:tabs>
        <w:spacing w:line="360" w:lineRule="auto"/>
        <w:rPr>
          <w:rFonts w:ascii="Palatino Linotype" w:eastAsia="Palatino Linotype" w:hAnsi="Palatino Linotype" w:cs="Palatino Linotype"/>
        </w:rPr>
      </w:pPr>
    </w:p>
    <w:p w:rsidR="003D0A4D" w:rsidRPr="00D42A51" w:rsidRDefault="003D0A4D">
      <w:pPr>
        <w:tabs>
          <w:tab w:val="left" w:pos="3374"/>
        </w:tabs>
        <w:spacing w:line="360" w:lineRule="auto"/>
        <w:rPr>
          <w:rFonts w:ascii="Palatino Linotype" w:eastAsia="Palatino Linotype" w:hAnsi="Palatino Linotype" w:cs="Palatino Linotype"/>
        </w:rPr>
      </w:pPr>
    </w:p>
    <w:p w:rsidR="003D0A4D" w:rsidRPr="00D42A51" w:rsidRDefault="003D0A4D">
      <w:pPr>
        <w:tabs>
          <w:tab w:val="left" w:pos="3374"/>
        </w:tabs>
        <w:spacing w:line="360" w:lineRule="auto"/>
        <w:rPr>
          <w:rFonts w:ascii="Palatino Linotype" w:eastAsia="Palatino Linotype" w:hAnsi="Palatino Linotype" w:cs="Palatino Linotype"/>
        </w:rPr>
      </w:pPr>
    </w:p>
    <w:p w:rsidR="003D0A4D" w:rsidRPr="00D42A51" w:rsidRDefault="003D0A4D">
      <w:pPr>
        <w:tabs>
          <w:tab w:val="left" w:pos="3374"/>
        </w:tabs>
        <w:spacing w:line="360" w:lineRule="auto"/>
        <w:rPr>
          <w:rFonts w:ascii="Palatino Linotype" w:eastAsia="Palatino Linotype" w:hAnsi="Palatino Linotype" w:cs="Palatino Linotype"/>
        </w:rPr>
      </w:pPr>
    </w:p>
    <w:p w:rsidR="003D0A4D" w:rsidRPr="00D42A51" w:rsidRDefault="003D0A4D">
      <w:pPr>
        <w:tabs>
          <w:tab w:val="left" w:pos="3374"/>
        </w:tabs>
        <w:spacing w:line="360" w:lineRule="auto"/>
        <w:rPr>
          <w:rFonts w:ascii="Palatino Linotype" w:eastAsia="Palatino Linotype" w:hAnsi="Palatino Linotype" w:cs="Palatino Linotype"/>
        </w:rPr>
      </w:pPr>
    </w:p>
    <w:p w:rsidR="003D0A4D" w:rsidRPr="00D42A51" w:rsidRDefault="003D0A4D">
      <w:pPr>
        <w:tabs>
          <w:tab w:val="left" w:pos="3374"/>
        </w:tabs>
        <w:spacing w:line="360" w:lineRule="auto"/>
        <w:rPr>
          <w:rFonts w:ascii="Palatino Linotype" w:eastAsia="Palatino Linotype" w:hAnsi="Palatino Linotype" w:cs="Palatino Linotype"/>
        </w:rPr>
      </w:pPr>
    </w:p>
    <w:p w:rsidR="003D0A4D" w:rsidRPr="00D42A51" w:rsidRDefault="003D0A4D">
      <w:pPr>
        <w:tabs>
          <w:tab w:val="left" w:pos="3374"/>
        </w:tabs>
        <w:spacing w:line="360" w:lineRule="auto"/>
        <w:rPr>
          <w:rFonts w:ascii="Palatino Linotype" w:eastAsia="Palatino Linotype" w:hAnsi="Palatino Linotype" w:cs="Palatino Linotype"/>
        </w:rPr>
      </w:pPr>
    </w:p>
    <w:p w:rsidR="003D0A4D" w:rsidRPr="00D42A51" w:rsidRDefault="003D0A4D">
      <w:pPr>
        <w:tabs>
          <w:tab w:val="left" w:pos="3374"/>
        </w:tabs>
        <w:spacing w:line="360" w:lineRule="auto"/>
        <w:rPr>
          <w:rFonts w:ascii="Palatino Linotype" w:eastAsia="Palatino Linotype" w:hAnsi="Palatino Linotype" w:cs="Palatino Linotype"/>
        </w:rPr>
      </w:pPr>
    </w:p>
    <w:p w:rsidR="003D0A4D" w:rsidRPr="00D42A51" w:rsidRDefault="003D0A4D">
      <w:pPr>
        <w:tabs>
          <w:tab w:val="left" w:pos="3374"/>
        </w:tabs>
        <w:spacing w:line="360" w:lineRule="auto"/>
        <w:rPr>
          <w:rFonts w:ascii="Palatino Linotype" w:eastAsia="Palatino Linotype" w:hAnsi="Palatino Linotype" w:cs="Palatino Linotype"/>
        </w:rPr>
      </w:pPr>
    </w:p>
    <w:p w:rsidR="003D0A4D" w:rsidRPr="00D42A51" w:rsidRDefault="003D0A4D">
      <w:pPr>
        <w:tabs>
          <w:tab w:val="left" w:pos="3374"/>
        </w:tabs>
        <w:spacing w:line="360" w:lineRule="auto"/>
        <w:rPr>
          <w:rFonts w:ascii="Palatino Linotype" w:eastAsia="Palatino Linotype" w:hAnsi="Palatino Linotype" w:cs="Palatino Linotype"/>
        </w:rPr>
      </w:pPr>
    </w:p>
    <w:p w:rsidR="003D0A4D" w:rsidRPr="00D42A51" w:rsidRDefault="003D0A4D">
      <w:pPr>
        <w:spacing w:line="360" w:lineRule="auto"/>
        <w:rPr>
          <w:rFonts w:ascii="Palatino Linotype" w:eastAsia="Palatino Linotype" w:hAnsi="Palatino Linotype" w:cs="Palatino Linotype"/>
        </w:rPr>
      </w:pPr>
    </w:p>
    <w:p w:rsidR="003D0A4D" w:rsidRPr="00D42A51" w:rsidRDefault="003D0A4D">
      <w:pPr>
        <w:spacing w:line="360" w:lineRule="auto"/>
        <w:rPr>
          <w:rFonts w:ascii="Palatino Linotype" w:eastAsia="Palatino Linotype" w:hAnsi="Palatino Linotype" w:cs="Palatino Linotype"/>
        </w:rPr>
      </w:pPr>
    </w:p>
    <w:p w:rsidR="003D0A4D" w:rsidRPr="00D42A51" w:rsidRDefault="003D0A4D">
      <w:pPr>
        <w:spacing w:line="360" w:lineRule="auto"/>
        <w:rPr>
          <w:rFonts w:ascii="Palatino Linotype" w:eastAsia="Palatino Linotype" w:hAnsi="Palatino Linotype" w:cs="Palatino Linotype"/>
        </w:rPr>
      </w:pPr>
    </w:p>
    <w:p w:rsidR="003D0A4D" w:rsidRPr="00D42A51" w:rsidRDefault="003D0A4D">
      <w:pPr>
        <w:spacing w:line="360" w:lineRule="auto"/>
        <w:rPr>
          <w:rFonts w:ascii="Palatino Linotype" w:eastAsia="Palatino Linotype" w:hAnsi="Palatino Linotype" w:cs="Palatino Linotype"/>
        </w:rPr>
      </w:pPr>
    </w:p>
    <w:sectPr w:rsidR="003D0A4D" w:rsidRPr="00D42A51" w:rsidSect="00D42A51">
      <w:headerReference w:type="even" r:id="rId8"/>
      <w:headerReference w:type="default" r:id="rId9"/>
      <w:footerReference w:type="default" r:id="rId10"/>
      <w:headerReference w:type="first" r:id="rId11"/>
      <w:footerReference w:type="first" r:id="rId12"/>
      <w:pgSz w:w="12240" w:h="15840"/>
      <w:pgMar w:top="2269" w:right="900" w:bottom="2127"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4D52" w:rsidRDefault="00504D52">
      <w:r>
        <w:separator/>
      </w:r>
    </w:p>
  </w:endnote>
  <w:endnote w:type="continuationSeparator" w:id="0">
    <w:p w:rsidR="00504D52" w:rsidRDefault="00504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embedRegular r:id="rId1" w:fontKey="{00325FDA-522B-4396-A420-C1D8FB192454}"/>
  </w:font>
  <w:font w:name="Palatino Linotype">
    <w:panose1 w:val="02040502050505030304"/>
    <w:charset w:val="00"/>
    <w:family w:val="roman"/>
    <w:pitch w:val="variable"/>
    <w:sig w:usb0="E0000287" w:usb1="40000013" w:usb2="00000000" w:usb3="00000000" w:csb0="0000019F" w:csb1="00000000"/>
    <w:embedRegular r:id="rId2" w:fontKey="{BB050633-E8D6-4742-A40B-242106DD1134}"/>
    <w:embedBold r:id="rId3" w:fontKey="{9F3F4FFF-75E4-4B0B-8B5B-C168A5DEC0B7}"/>
    <w:embedItalic r:id="rId4" w:fontKey="{0CECBC28-B73E-4DC6-ABAD-0E779B499D0E}"/>
    <w:embedBoldItalic r:id="rId5" w:fontKey="{EE03BFE8-67EB-4035-BBD9-900021DB1681}"/>
  </w:font>
  <w:font w:name="Calibri">
    <w:panose1 w:val="020F0502020204030204"/>
    <w:charset w:val="00"/>
    <w:family w:val="swiss"/>
    <w:pitch w:val="variable"/>
    <w:sig w:usb0="E4002EFF" w:usb1="C200247B" w:usb2="00000009" w:usb3="00000000" w:csb0="000001FF" w:csb1="00000000"/>
    <w:embedRegular r:id="rId6" w:fontKey="{F1A7F31C-A123-49F8-BE4F-C20A05DBA1D0}"/>
    <w:embedBold r:id="rId7" w:fontKey="{D4EAFD88-330B-4BB1-A8B7-1C3A8EC9C763}"/>
  </w:font>
  <w:font w:name="Georgia">
    <w:panose1 w:val="02040502050405020303"/>
    <w:charset w:val="00"/>
    <w:family w:val="roman"/>
    <w:pitch w:val="variable"/>
    <w:sig w:usb0="00000287" w:usb1="00000000" w:usb2="00000000" w:usb3="00000000" w:csb0="0000009F" w:csb1="00000000"/>
    <w:embedItalic r:id="rId8" w:fontKey="{CBD31F4F-7278-477F-A9C7-F61131EC8082}"/>
  </w:font>
  <w:font w:name="Cambria">
    <w:panose1 w:val="02040503050406030204"/>
    <w:charset w:val="00"/>
    <w:family w:val="roman"/>
    <w:pitch w:val="variable"/>
    <w:sig w:usb0="E00006FF" w:usb1="420024FF" w:usb2="02000000" w:usb3="00000000" w:csb0="0000019F" w:csb1="00000000"/>
    <w:embedRegular r:id="rId9" w:fontKey="{84FB4001-A18F-4905-86DD-67AF36CB111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A4D" w:rsidRPr="00D42A51" w:rsidRDefault="00601292">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D42A51">
      <w:rPr>
        <w:rFonts w:ascii="Palatino Linotype" w:eastAsia="Palatino Linotype" w:hAnsi="Palatino Linotype" w:cs="Palatino Linotype"/>
        <w:color w:val="000000"/>
        <w:sz w:val="22"/>
        <w:szCs w:val="20"/>
      </w:rPr>
      <w:t xml:space="preserve">Página </w:t>
    </w:r>
    <w:r w:rsidRPr="00D42A51">
      <w:rPr>
        <w:rFonts w:ascii="Palatino Linotype" w:eastAsia="Palatino Linotype" w:hAnsi="Palatino Linotype" w:cs="Palatino Linotype"/>
        <w:color w:val="000000"/>
        <w:sz w:val="22"/>
        <w:szCs w:val="20"/>
      </w:rPr>
      <w:fldChar w:fldCharType="begin"/>
    </w:r>
    <w:r w:rsidRPr="00D42A51">
      <w:rPr>
        <w:rFonts w:ascii="Palatino Linotype" w:eastAsia="Palatino Linotype" w:hAnsi="Palatino Linotype" w:cs="Palatino Linotype"/>
        <w:color w:val="000000"/>
        <w:sz w:val="22"/>
        <w:szCs w:val="20"/>
      </w:rPr>
      <w:instrText>PAGE</w:instrText>
    </w:r>
    <w:r w:rsidRPr="00D42A51">
      <w:rPr>
        <w:rFonts w:ascii="Palatino Linotype" w:eastAsia="Palatino Linotype" w:hAnsi="Palatino Linotype" w:cs="Palatino Linotype"/>
        <w:color w:val="000000"/>
        <w:sz w:val="22"/>
        <w:szCs w:val="20"/>
      </w:rPr>
      <w:fldChar w:fldCharType="separate"/>
    </w:r>
    <w:r w:rsidR="00FA34FF">
      <w:rPr>
        <w:rFonts w:ascii="Palatino Linotype" w:eastAsia="Palatino Linotype" w:hAnsi="Palatino Linotype" w:cs="Palatino Linotype"/>
        <w:noProof/>
        <w:color w:val="000000"/>
        <w:sz w:val="22"/>
        <w:szCs w:val="20"/>
      </w:rPr>
      <w:t>10</w:t>
    </w:r>
    <w:r w:rsidRPr="00D42A51">
      <w:rPr>
        <w:rFonts w:ascii="Palatino Linotype" w:eastAsia="Palatino Linotype" w:hAnsi="Palatino Linotype" w:cs="Palatino Linotype"/>
        <w:color w:val="000000"/>
        <w:sz w:val="22"/>
        <w:szCs w:val="20"/>
      </w:rPr>
      <w:fldChar w:fldCharType="end"/>
    </w:r>
    <w:r w:rsidRPr="00D42A51">
      <w:rPr>
        <w:rFonts w:ascii="Palatino Linotype" w:eastAsia="Palatino Linotype" w:hAnsi="Palatino Linotype" w:cs="Palatino Linotype"/>
        <w:color w:val="000000"/>
        <w:sz w:val="22"/>
        <w:szCs w:val="20"/>
      </w:rPr>
      <w:t xml:space="preserve"> de </w:t>
    </w:r>
    <w:r w:rsidRPr="00D42A51">
      <w:rPr>
        <w:rFonts w:ascii="Palatino Linotype" w:eastAsia="Palatino Linotype" w:hAnsi="Palatino Linotype" w:cs="Palatino Linotype"/>
        <w:color w:val="000000"/>
        <w:sz w:val="22"/>
        <w:szCs w:val="20"/>
      </w:rPr>
      <w:fldChar w:fldCharType="begin"/>
    </w:r>
    <w:r w:rsidRPr="00D42A51">
      <w:rPr>
        <w:rFonts w:ascii="Palatino Linotype" w:eastAsia="Palatino Linotype" w:hAnsi="Palatino Linotype" w:cs="Palatino Linotype"/>
        <w:color w:val="000000"/>
        <w:sz w:val="22"/>
        <w:szCs w:val="20"/>
      </w:rPr>
      <w:instrText>NUMPAGES</w:instrText>
    </w:r>
    <w:r w:rsidRPr="00D42A51">
      <w:rPr>
        <w:rFonts w:ascii="Palatino Linotype" w:eastAsia="Palatino Linotype" w:hAnsi="Palatino Linotype" w:cs="Palatino Linotype"/>
        <w:color w:val="000000"/>
        <w:sz w:val="22"/>
        <w:szCs w:val="20"/>
      </w:rPr>
      <w:fldChar w:fldCharType="separate"/>
    </w:r>
    <w:r w:rsidR="00FA34FF">
      <w:rPr>
        <w:rFonts w:ascii="Palatino Linotype" w:eastAsia="Palatino Linotype" w:hAnsi="Palatino Linotype" w:cs="Palatino Linotype"/>
        <w:noProof/>
        <w:color w:val="000000"/>
        <w:sz w:val="22"/>
        <w:szCs w:val="20"/>
      </w:rPr>
      <w:t>45</w:t>
    </w:r>
    <w:r w:rsidRPr="00D42A51">
      <w:rPr>
        <w:rFonts w:ascii="Palatino Linotype" w:eastAsia="Palatino Linotype" w:hAnsi="Palatino Linotype" w:cs="Palatino Linotype"/>
        <w:color w:val="000000"/>
        <w:sz w:val="22"/>
        <w:szCs w:val="20"/>
      </w:rPr>
      <w:fldChar w:fldCharType="end"/>
    </w:r>
  </w:p>
  <w:p w:rsidR="003D0A4D" w:rsidRDefault="003D0A4D">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A4D" w:rsidRPr="00D42A51" w:rsidRDefault="00601292">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D42A51">
      <w:rPr>
        <w:rFonts w:ascii="Palatino Linotype" w:eastAsia="Palatino Linotype" w:hAnsi="Palatino Linotype" w:cs="Palatino Linotype"/>
        <w:color w:val="000000"/>
        <w:sz w:val="22"/>
        <w:szCs w:val="20"/>
      </w:rPr>
      <w:t xml:space="preserve">Página </w:t>
    </w:r>
    <w:r w:rsidRPr="00D42A51">
      <w:rPr>
        <w:rFonts w:ascii="Palatino Linotype" w:eastAsia="Palatino Linotype" w:hAnsi="Palatino Linotype" w:cs="Palatino Linotype"/>
        <w:color w:val="000000"/>
        <w:sz w:val="22"/>
        <w:szCs w:val="20"/>
      </w:rPr>
      <w:fldChar w:fldCharType="begin"/>
    </w:r>
    <w:r w:rsidRPr="00D42A51">
      <w:rPr>
        <w:rFonts w:ascii="Palatino Linotype" w:eastAsia="Palatino Linotype" w:hAnsi="Palatino Linotype" w:cs="Palatino Linotype"/>
        <w:color w:val="000000"/>
        <w:sz w:val="22"/>
        <w:szCs w:val="20"/>
      </w:rPr>
      <w:instrText>PAGE</w:instrText>
    </w:r>
    <w:r w:rsidRPr="00D42A51">
      <w:rPr>
        <w:rFonts w:ascii="Palatino Linotype" w:eastAsia="Palatino Linotype" w:hAnsi="Palatino Linotype" w:cs="Palatino Linotype"/>
        <w:color w:val="000000"/>
        <w:sz w:val="22"/>
        <w:szCs w:val="20"/>
      </w:rPr>
      <w:fldChar w:fldCharType="separate"/>
    </w:r>
    <w:r w:rsidR="00FA34FF">
      <w:rPr>
        <w:rFonts w:ascii="Palatino Linotype" w:eastAsia="Palatino Linotype" w:hAnsi="Palatino Linotype" w:cs="Palatino Linotype"/>
        <w:noProof/>
        <w:color w:val="000000"/>
        <w:sz w:val="22"/>
        <w:szCs w:val="20"/>
      </w:rPr>
      <w:t>1</w:t>
    </w:r>
    <w:r w:rsidRPr="00D42A51">
      <w:rPr>
        <w:rFonts w:ascii="Palatino Linotype" w:eastAsia="Palatino Linotype" w:hAnsi="Palatino Linotype" w:cs="Palatino Linotype"/>
        <w:color w:val="000000"/>
        <w:sz w:val="22"/>
        <w:szCs w:val="20"/>
      </w:rPr>
      <w:fldChar w:fldCharType="end"/>
    </w:r>
    <w:r w:rsidRPr="00D42A51">
      <w:rPr>
        <w:rFonts w:ascii="Palatino Linotype" w:eastAsia="Palatino Linotype" w:hAnsi="Palatino Linotype" w:cs="Palatino Linotype"/>
        <w:color w:val="000000"/>
        <w:sz w:val="22"/>
        <w:szCs w:val="20"/>
      </w:rPr>
      <w:t xml:space="preserve"> de </w:t>
    </w:r>
    <w:r w:rsidRPr="00D42A51">
      <w:rPr>
        <w:rFonts w:ascii="Palatino Linotype" w:eastAsia="Palatino Linotype" w:hAnsi="Palatino Linotype" w:cs="Palatino Linotype"/>
        <w:color w:val="000000"/>
        <w:sz w:val="22"/>
        <w:szCs w:val="20"/>
      </w:rPr>
      <w:fldChar w:fldCharType="begin"/>
    </w:r>
    <w:r w:rsidRPr="00D42A51">
      <w:rPr>
        <w:rFonts w:ascii="Palatino Linotype" w:eastAsia="Palatino Linotype" w:hAnsi="Palatino Linotype" w:cs="Palatino Linotype"/>
        <w:color w:val="000000"/>
        <w:sz w:val="22"/>
        <w:szCs w:val="20"/>
      </w:rPr>
      <w:instrText>NUMPAGES</w:instrText>
    </w:r>
    <w:r w:rsidRPr="00D42A51">
      <w:rPr>
        <w:rFonts w:ascii="Palatino Linotype" w:eastAsia="Palatino Linotype" w:hAnsi="Palatino Linotype" w:cs="Palatino Linotype"/>
        <w:color w:val="000000"/>
        <w:sz w:val="22"/>
        <w:szCs w:val="20"/>
      </w:rPr>
      <w:fldChar w:fldCharType="separate"/>
    </w:r>
    <w:r w:rsidR="00FA34FF">
      <w:rPr>
        <w:rFonts w:ascii="Palatino Linotype" w:eastAsia="Palatino Linotype" w:hAnsi="Palatino Linotype" w:cs="Palatino Linotype"/>
        <w:noProof/>
        <w:color w:val="000000"/>
        <w:sz w:val="22"/>
        <w:szCs w:val="20"/>
      </w:rPr>
      <w:t>45</w:t>
    </w:r>
    <w:r w:rsidRPr="00D42A51">
      <w:rPr>
        <w:rFonts w:ascii="Palatino Linotype" w:eastAsia="Palatino Linotype" w:hAnsi="Palatino Linotype" w:cs="Palatino Linotype"/>
        <w:color w:val="000000"/>
        <w:sz w:val="22"/>
        <w:szCs w:val="20"/>
      </w:rPr>
      <w:fldChar w:fldCharType="end"/>
    </w:r>
  </w:p>
  <w:p w:rsidR="003D0A4D" w:rsidRDefault="003D0A4D">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4D52" w:rsidRDefault="00504D52">
      <w:r>
        <w:separator/>
      </w:r>
    </w:p>
  </w:footnote>
  <w:footnote w:type="continuationSeparator" w:id="0">
    <w:p w:rsidR="00504D52" w:rsidRDefault="00504D52">
      <w:r>
        <w:continuationSeparator/>
      </w:r>
    </w:p>
  </w:footnote>
  <w:footnote w:id="1">
    <w:p w:rsidR="003D0A4D" w:rsidRDefault="00601292">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3D0A4D" w:rsidRDefault="00601292">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3D0A4D" w:rsidRDefault="00601292">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Corte Interamericana de Derechos Humanos. Caso Claude Reyes y otros vs Chile. Sentencia de 19 de septiembre de 2006. Serie C. No. 151. Párr. 86.</w:t>
      </w:r>
    </w:p>
  </w:footnote>
  <w:footnote w:id="4">
    <w:p w:rsidR="003D0A4D" w:rsidRDefault="00601292">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Ibídem. Párr. 87.</w:t>
      </w:r>
    </w:p>
  </w:footnote>
  <w:footnote w:id="5">
    <w:p w:rsidR="003D0A4D" w:rsidRDefault="00601292">
      <w:pPr>
        <w:pBdr>
          <w:top w:val="nil"/>
          <w:left w:val="nil"/>
          <w:bottom w:val="nil"/>
          <w:right w:val="nil"/>
          <w:between w:val="nil"/>
        </w:pBdr>
        <w:rPr>
          <w:color w:val="000000"/>
          <w:sz w:val="20"/>
          <w:szCs w:val="20"/>
        </w:rPr>
      </w:pPr>
      <w:r>
        <w:rPr>
          <w:vertAlign w:val="superscript"/>
        </w:rPr>
        <w:footnoteRef/>
      </w:r>
      <w:r>
        <w:rPr>
          <w:rFonts w:ascii="Palatino Linotype" w:eastAsia="Palatino Linotype" w:hAnsi="Palatino Linotype" w:cs="Palatino Linotype"/>
          <w:color w:val="000000"/>
          <w:sz w:val="18"/>
          <w:szCs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r>
          <w:rPr>
            <w:rFonts w:ascii="Palatino Linotype" w:eastAsia="Palatino Linotype" w:hAnsi="Palatino Linotype" w:cs="Palatino Linotype"/>
            <w:color w:val="0000FF"/>
            <w:sz w:val="18"/>
            <w:szCs w:val="18"/>
            <w:u w:val="single"/>
          </w:rPr>
          <w:t>http://www.oas.org/es/cidh/expresion/documentos_basicos/declaraciones.asp</w:t>
        </w:r>
      </w:hyperlink>
      <w:r>
        <w:rPr>
          <w:rFonts w:ascii="Palatino Linotype" w:eastAsia="Palatino Linotype" w:hAnsi="Palatino Linotype" w:cs="Palatino Linotype"/>
          <w:color w:val="000000"/>
          <w:sz w:val="18"/>
          <w:szCs w:val="18"/>
        </w:rPr>
        <w:t>.</w:t>
      </w:r>
    </w:p>
  </w:footnote>
  <w:footnote w:id="6">
    <w:p w:rsidR="003D0A4D" w:rsidRDefault="00601292">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Ley de Transparencia y Acceso a la Información Pública del Estado de México y Municipios. Artículo 9. …</w:t>
      </w:r>
    </w:p>
    <w:p w:rsidR="003D0A4D" w:rsidRDefault="00601292">
      <w:pPr>
        <w:pBdr>
          <w:top w:val="nil"/>
          <w:left w:val="nil"/>
          <w:bottom w:val="nil"/>
          <w:right w:val="nil"/>
          <w:between w:val="nil"/>
        </w:pBdr>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II. Eficacia: Obligación del Instituto para tutelar, de manera efectiva, el derecho de acceso a la información;</w:t>
      </w:r>
    </w:p>
    <w:p w:rsidR="003D0A4D" w:rsidRDefault="00601292">
      <w:pPr>
        <w:pBdr>
          <w:top w:val="nil"/>
          <w:left w:val="nil"/>
          <w:bottom w:val="nil"/>
          <w:right w:val="nil"/>
          <w:between w:val="nil"/>
        </w:pBdr>
        <w:rPr>
          <w:color w:val="000000"/>
          <w:sz w:val="20"/>
          <w:szCs w:val="20"/>
        </w:rPr>
      </w:pPr>
      <w:r>
        <w:rPr>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A4D" w:rsidRDefault="00504D52">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229" w:type="dxa"/>
      <w:tblInd w:w="3119" w:type="dxa"/>
      <w:tblLayout w:type="fixed"/>
      <w:tblLook w:val="0400" w:firstRow="0" w:lastRow="0" w:firstColumn="0" w:lastColumn="0" w:noHBand="0" w:noVBand="1"/>
    </w:tblPr>
    <w:tblGrid>
      <w:gridCol w:w="2976"/>
      <w:gridCol w:w="4253"/>
    </w:tblGrid>
    <w:tr w:rsidR="003D0A4D" w:rsidRPr="00D42A51" w:rsidTr="00D42A51">
      <w:trPr>
        <w:trHeight w:val="227"/>
      </w:trPr>
      <w:tc>
        <w:tcPr>
          <w:tcW w:w="2976" w:type="dxa"/>
          <w:vAlign w:val="center"/>
        </w:tcPr>
        <w:p w:rsidR="003D0A4D" w:rsidRPr="00D42A51" w:rsidRDefault="00601292">
          <w:pPr>
            <w:ind w:right="34"/>
            <w:jc w:val="right"/>
            <w:rPr>
              <w:rFonts w:ascii="Palatino Linotype" w:eastAsia="Palatino Linotype" w:hAnsi="Palatino Linotype" w:cs="Palatino Linotype"/>
              <w:b/>
              <w:bCs/>
              <w:szCs w:val="22"/>
            </w:rPr>
          </w:pPr>
          <w:r w:rsidRPr="00D42A51">
            <w:rPr>
              <w:rFonts w:ascii="Palatino Linotype" w:eastAsia="Palatino Linotype" w:hAnsi="Palatino Linotype" w:cs="Palatino Linotype"/>
              <w:b/>
              <w:bCs/>
              <w:szCs w:val="22"/>
            </w:rPr>
            <w:t>Recurso de Revisión:</w:t>
          </w:r>
        </w:p>
      </w:tc>
      <w:tc>
        <w:tcPr>
          <w:tcW w:w="4253" w:type="dxa"/>
          <w:vAlign w:val="center"/>
        </w:tcPr>
        <w:p w:rsidR="003D0A4D" w:rsidRPr="00D42A51" w:rsidRDefault="00601292" w:rsidP="00D42A51">
          <w:pPr>
            <w:pBdr>
              <w:top w:val="nil"/>
              <w:left w:val="nil"/>
              <w:bottom w:val="nil"/>
              <w:right w:val="nil"/>
              <w:between w:val="nil"/>
            </w:pBdr>
            <w:tabs>
              <w:tab w:val="right" w:pos="8838"/>
            </w:tabs>
            <w:rPr>
              <w:rFonts w:ascii="Palatino Linotype" w:eastAsia="Palatino Linotype" w:hAnsi="Palatino Linotype" w:cs="Palatino Linotype"/>
              <w:bCs/>
              <w:color w:val="000000"/>
              <w:szCs w:val="22"/>
            </w:rPr>
          </w:pPr>
          <w:r w:rsidRPr="00D42A51">
            <w:rPr>
              <w:rFonts w:ascii="Palatino Linotype" w:eastAsia="Palatino Linotype" w:hAnsi="Palatino Linotype" w:cs="Palatino Linotype"/>
              <w:bCs/>
              <w:color w:val="000000"/>
              <w:szCs w:val="22"/>
            </w:rPr>
            <w:t>02373/INFOEM/IP/RR/2026</w:t>
          </w:r>
        </w:p>
      </w:tc>
    </w:tr>
    <w:tr w:rsidR="003D0A4D" w:rsidRPr="00D42A51" w:rsidTr="00D42A51">
      <w:trPr>
        <w:trHeight w:val="242"/>
      </w:trPr>
      <w:tc>
        <w:tcPr>
          <w:tcW w:w="2976" w:type="dxa"/>
          <w:vAlign w:val="center"/>
        </w:tcPr>
        <w:p w:rsidR="003D0A4D" w:rsidRPr="00D42A51" w:rsidRDefault="00601292">
          <w:pPr>
            <w:ind w:right="34"/>
            <w:jc w:val="right"/>
            <w:rPr>
              <w:rFonts w:ascii="Palatino Linotype" w:eastAsia="Palatino Linotype" w:hAnsi="Palatino Linotype" w:cs="Palatino Linotype"/>
              <w:b/>
              <w:bCs/>
              <w:szCs w:val="22"/>
            </w:rPr>
          </w:pPr>
          <w:r w:rsidRPr="00D42A51">
            <w:rPr>
              <w:rFonts w:ascii="Palatino Linotype" w:eastAsia="Palatino Linotype" w:hAnsi="Palatino Linotype" w:cs="Palatino Linotype"/>
              <w:b/>
              <w:bCs/>
              <w:szCs w:val="22"/>
            </w:rPr>
            <w:t>Sujeto Obligado:</w:t>
          </w:r>
        </w:p>
      </w:tc>
      <w:tc>
        <w:tcPr>
          <w:tcW w:w="4253" w:type="dxa"/>
          <w:vAlign w:val="center"/>
        </w:tcPr>
        <w:p w:rsidR="003D0A4D" w:rsidRPr="00D42A51" w:rsidRDefault="00601292" w:rsidP="00D42A51">
          <w:pPr>
            <w:pBdr>
              <w:top w:val="nil"/>
              <w:left w:val="nil"/>
              <w:bottom w:val="nil"/>
              <w:right w:val="nil"/>
              <w:between w:val="nil"/>
            </w:pBdr>
            <w:tabs>
              <w:tab w:val="right" w:pos="8838"/>
            </w:tabs>
            <w:ind w:right="212"/>
            <w:rPr>
              <w:rFonts w:ascii="Palatino Linotype" w:eastAsia="Palatino Linotype" w:hAnsi="Palatino Linotype" w:cs="Palatino Linotype"/>
              <w:bCs/>
              <w:color w:val="000000"/>
              <w:szCs w:val="22"/>
            </w:rPr>
          </w:pPr>
          <w:r w:rsidRPr="00D42A51">
            <w:rPr>
              <w:rFonts w:ascii="Palatino Linotype" w:eastAsia="Palatino Linotype" w:hAnsi="Palatino Linotype" w:cs="Palatino Linotype"/>
              <w:bCs/>
              <w:color w:val="000000"/>
              <w:szCs w:val="22"/>
            </w:rPr>
            <w:t>Instituto Mexiquense de la Infraestructura Física Educativa</w:t>
          </w:r>
        </w:p>
      </w:tc>
    </w:tr>
    <w:tr w:rsidR="003D0A4D" w:rsidRPr="00D42A51" w:rsidTr="00D42A51">
      <w:trPr>
        <w:trHeight w:val="342"/>
      </w:trPr>
      <w:tc>
        <w:tcPr>
          <w:tcW w:w="2976" w:type="dxa"/>
          <w:vAlign w:val="center"/>
        </w:tcPr>
        <w:p w:rsidR="003D0A4D" w:rsidRPr="00D42A51" w:rsidRDefault="00601292">
          <w:pPr>
            <w:ind w:right="34"/>
            <w:jc w:val="right"/>
            <w:rPr>
              <w:rFonts w:ascii="Palatino Linotype" w:eastAsia="Palatino Linotype" w:hAnsi="Palatino Linotype" w:cs="Palatino Linotype"/>
              <w:b/>
              <w:bCs/>
              <w:szCs w:val="22"/>
            </w:rPr>
          </w:pPr>
          <w:r w:rsidRPr="00D42A51">
            <w:rPr>
              <w:rFonts w:ascii="Palatino Linotype" w:eastAsia="Palatino Linotype" w:hAnsi="Palatino Linotype" w:cs="Palatino Linotype"/>
              <w:b/>
              <w:bCs/>
              <w:szCs w:val="22"/>
            </w:rPr>
            <w:t>Comisionada Ponente:</w:t>
          </w:r>
        </w:p>
      </w:tc>
      <w:tc>
        <w:tcPr>
          <w:tcW w:w="4253" w:type="dxa"/>
          <w:vAlign w:val="center"/>
        </w:tcPr>
        <w:p w:rsidR="003D0A4D" w:rsidRPr="00D42A51" w:rsidRDefault="00601292" w:rsidP="00D42A51">
          <w:pPr>
            <w:pBdr>
              <w:top w:val="nil"/>
              <w:left w:val="nil"/>
              <w:bottom w:val="nil"/>
              <w:right w:val="nil"/>
              <w:between w:val="nil"/>
            </w:pBdr>
            <w:tabs>
              <w:tab w:val="right" w:pos="8838"/>
            </w:tabs>
            <w:rPr>
              <w:rFonts w:ascii="Palatino Linotype" w:eastAsia="Palatino Linotype" w:hAnsi="Palatino Linotype" w:cs="Palatino Linotype"/>
              <w:bCs/>
              <w:color w:val="000000"/>
              <w:szCs w:val="22"/>
            </w:rPr>
          </w:pPr>
          <w:r w:rsidRPr="00D42A51">
            <w:rPr>
              <w:rFonts w:ascii="Palatino Linotype" w:eastAsia="Palatino Linotype" w:hAnsi="Palatino Linotype" w:cs="Palatino Linotype"/>
              <w:bCs/>
              <w:color w:val="000000"/>
              <w:szCs w:val="22"/>
            </w:rPr>
            <w:t>María del Rosario Mejía Ayala</w:t>
          </w:r>
        </w:p>
      </w:tc>
    </w:tr>
  </w:tbl>
  <w:p w:rsidR="003D0A4D" w:rsidRDefault="00504D52">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A4D" w:rsidRDefault="003D0A4D">
    <w:pPr>
      <w:widowControl w:val="0"/>
      <w:pBdr>
        <w:top w:val="nil"/>
        <w:left w:val="nil"/>
        <w:bottom w:val="nil"/>
        <w:right w:val="nil"/>
        <w:between w:val="nil"/>
      </w:pBdr>
      <w:spacing w:line="276" w:lineRule="auto"/>
      <w:rPr>
        <w:color w:val="000000"/>
        <w:sz w:val="14"/>
        <w:szCs w:val="14"/>
      </w:rPr>
    </w:pPr>
  </w:p>
  <w:tbl>
    <w:tblPr>
      <w:tblStyle w:val="a1"/>
      <w:tblW w:w="6660" w:type="dxa"/>
      <w:tblInd w:w="3261" w:type="dxa"/>
      <w:tblLayout w:type="fixed"/>
      <w:tblLook w:val="0400" w:firstRow="0" w:lastRow="0" w:firstColumn="0" w:lastColumn="0" w:noHBand="0" w:noVBand="1"/>
    </w:tblPr>
    <w:tblGrid>
      <w:gridCol w:w="2977"/>
      <w:gridCol w:w="3683"/>
    </w:tblGrid>
    <w:tr w:rsidR="003D0A4D" w:rsidTr="00D42A51">
      <w:trPr>
        <w:trHeight w:val="227"/>
      </w:trPr>
      <w:tc>
        <w:tcPr>
          <w:tcW w:w="2977" w:type="dxa"/>
          <w:vAlign w:val="center"/>
        </w:tcPr>
        <w:p w:rsidR="003D0A4D" w:rsidRPr="00D42A51" w:rsidRDefault="00601292">
          <w:pPr>
            <w:jc w:val="right"/>
            <w:rPr>
              <w:rFonts w:ascii="Palatino Linotype" w:eastAsia="Palatino Linotype" w:hAnsi="Palatino Linotype" w:cs="Palatino Linotype"/>
              <w:b/>
              <w:bCs/>
            </w:rPr>
          </w:pPr>
          <w:r w:rsidRPr="00D42A51">
            <w:rPr>
              <w:rFonts w:ascii="Palatino Linotype" w:eastAsia="Palatino Linotype" w:hAnsi="Palatino Linotype" w:cs="Palatino Linotype"/>
              <w:b/>
              <w:bCs/>
            </w:rPr>
            <w:t>Recurso de Revisión:</w:t>
          </w:r>
        </w:p>
      </w:tc>
      <w:tc>
        <w:tcPr>
          <w:tcW w:w="3683" w:type="dxa"/>
          <w:vAlign w:val="center"/>
        </w:tcPr>
        <w:p w:rsidR="003D0A4D" w:rsidRPr="00D42A51" w:rsidRDefault="00601292" w:rsidP="00D42A51">
          <w:pPr>
            <w:pBdr>
              <w:top w:val="nil"/>
              <w:left w:val="nil"/>
              <w:bottom w:val="nil"/>
              <w:right w:val="nil"/>
              <w:between w:val="nil"/>
            </w:pBdr>
            <w:tabs>
              <w:tab w:val="center" w:pos="4419"/>
              <w:tab w:val="right" w:pos="8838"/>
            </w:tabs>
            <w:rPr>
              <w:rFonts w:ascii="Palatino Linotype" w:eastAsia="Palatino Linotype" w:hAnsi="Palatino Linotype" w:cs="Palatino Linotype"/>
              <w:bCs/>
              <w:color w:val="000000"/>
            </w:rPr>
          </w:pPr>
          <w:r w:rsidRPr="00D42A51">
            <w:rPr>
              <w:rFonts w:ascii="Palatino Linotype" w:eastAsia="Palatino Linotype" w:hAnsi="Palatino Linotype" w:cs="Palatino Linotype"/>
              <w:bCs/>
              <w:color w:val="000000"/>
            </w:rPr>
            <w:t>02373/INFOEM/IP/RR/2026</w:t>
          </w:r>
        </w:p>
      </w:tc>
    </w:tr>
    <w:tr w:rsidR="003D0A4D" w:rsidTr="00D42A51">
      <w:trPr>
        <w:trHeight w:val="242"/>
      </w:trPr>
      <w:tc>
        <w:tcPr>
          <w:tcW w:w="2977" w:type="dxa"/>
          <w:vAlign w:val="center"/>
        </w:tcPr>
        <w:p w:rsidR="003D0A4D" w:rsidRPr="00D42A51" w:rsidRDefault="00601292">
          <w:pPr>
            <w:jc w:val="right"/>
            <w:rPr>
              <w:rFonts w:ascii="Palatino Linotype" w:eastAsia="Palatino Linotype" w:hAnsi="Palatino Linotype" w:cs="Palatino Linotype"/>
              <w:b/>
              <w:bCs/>
            </w:rPr>
          </w:pPr>
          <w:r w:rsidRPr="00D42A51">
            <w:rPr>
              <w:rFonts w:ascii="Palatino Linotype" w:eastAsia="Palatino Linotype" w:hAnsi="Palatino Linotype" w:cs="Palatino Linotype"/>
              <w:b/>
              <w:bCs/>
            </w:rPr>
            <w:t>Recurrente:</w:t>
          </w:r>
        </w:p>
      </w:tc>
      <w:tc>
        <w:tcPr>
          <w:tcW w:w="3683" w:type="dxa"/>
        </w:tcPr>
        <w:p w:rsidR="003D0A4D" w:rsidRPr="00D42A51" w:rsidRDefault="00FA34FF" w:rsidP="00D42A51">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bCs/>
              <w:color w:val="000000"/>
            </w:rPr>
          </w:pPr>
          <w:r>
            <w:rPr>
              <w:rFonts w:ascii="Palatino Linotype" w:eastAsia="Palatino Linotype" w:hAnsi="Palatino Linotype" w:cs="Palatino Linotype"/>
              <w:bCs/>
              <w:color w:val="000000"/>
            </w:rPr>
            <w:t>XXXX</w:t>
          </w:r>
        </w:p>
      </w:tc>
    </w:tr>
    <w:tr w:rsidR="003D0A4D" w:rsidTr="00D42A51">
      <w:trPr>
        <w:trHeight w:val="342"/>
      </w:trPr>
      <w:tc>
        <w:tcPr>
          <w:tcW w:w="2977" w:type="dxa"/>
          <w:vAlign w:val="center"/>
        </w:tcPr>
        <w:p w:rsidR="003D0A4D" w:rsidRPr="00D42A51" w:rsidRDefault="00601292">
          <w:pPr>
            <w:jc w:val="right"/>
            <w:rPr>
              <w:rFonts w:ascii="Palatino Linotype" w:eastAsia="Palatino Linotype" w:hAnsi="Palatino Linotype" w:cs="Palatino Linotype"/>
              <w:b/>
              <w:bCs/>
            </w:rPr>
          </w:pPr>
          <w:r w:rsidRPr="00D42A51">
            <w:rPr>
              <w:rFonts w:ascii="Palatino Linotype" w:eastAsia="Palatino Linotype" w:hAnsi="Palatino Linotype" w:cs="Palatino Linotype"/>
              <w:b/>
              <w:bCs/>
            </w:rPr>
            <w:t>Sujeto Obligado:</w:t>
          </w:r>
        </w:p>
      </w:tc>
      <w:tc>
        <w:tcPr>
          <w:tcW w:w="3683" w:type="dxa"/>
          <w:vAlign w:val="center"/>
        </w:tcPr>
        <w:p w:rsidR="003D0A4D" w:rsidRPr="00D42A51" w:rsidRDefault="00601292" w:rsidP="00D42A51">
          <w:pPr>
            <w:pBdr>
              <w:top w:val="nil"/>
              <w:left w:val="nil"/>
              <w:bottom w:val="nil"/>
              <w:right w:val="nil"/>
              <w:between w:val="nil"/>
            </w:pBdr>
            <w:tabs>
              <w:tab w:val="center" w:pos="4419"/>
              <w:tab w:val="right" w:pos="8838"/>
            </w:tabs>
            <w:rPr>
              <w:rFonts w:ascii="Palatino Linotype" w:eastAsia="Palatino Linotype" w:hAnsi="Palatino Linotype" w:cs="Palatino Linotype"/>
              <w:bCs/>
              <w:color w:val="000000"/>
            </w:rPr>
          </w:pPr>
          <w:r w:rsidRPr="00D42A51">
            <w:rPr>
              <w:rFonts w:ascii="Palatino Linotype" w:eastAsia="Palatino Linotype" w:hAnsi="Palatino Linotype" w:cs="Palatino Linotype"/>
              <w:bCs/>
              <w:color w:val="000000"/>
            </w:rPr>
            <w:t>Instituto Mexiquense de la Infraestructura Física Educativa</w:t>
          </w:r>
        </w:p>
      </w:tc>
    </w:tr>
    <w:tr w:rsidR="003D0A4D" w:rsidTr="00D42A51">
      <w:trPr>
        <w:trHeight w:val="342"/>
      </w:trPr>
      <w:tc>
        <w:tcPr>
          <w:tcW w:w="2977" w:type="dxa"/>
          <w:vAlign w:val="center"/>
        </w:tcPr>
        <w:p w:rsidR="003D0A4D" w:rsidRPr="00D42A51" w:rsidRDefault="00601292">
          <w:pPr>
            <w:jc w:val="right"/>
            <w:rPr>
              <w:rFonts w:ascii="Palatino Linotype" w:eastAsia="Palatino Linotype" w:hAnsi="Palatino Linotype" w:cs="Palatino Linotype"/>
              <w:b/>
              <w:bCs/>
            </w:rPr>
          </w:pPr>
          <w:r w:rsidRPr="00D42A51">
            <w:rPr>
              <w:rFonts w:ascii="Palatino Linotype" w:eastAsia="Palatino Linotype" w:hAnsi="Palatino Linotype" w:cs="Palatino Linotype"/>
              <w:b/>
              <w:bCs/>
            </w:rPr>
            <w:t>Comisionada Ponente:</w:t>
          </w:r>
        </w:p>
      </w:tc>
      <w:tc>
        <w:tcPr>
          <w:tcW w:w="3683" w:type="dxa"/>
          <w:vAlign w:val="center"/>
        </w:tcPr>
        <w:p w:rsidR="003D0A4D" w:rsidRPr="00D42A51" w:rsidRDefault="00601292" w:rsidP="00D42A51">
          <w:pPr>
            <w:pBdr>
              <w:top w:val="nil"/>
              <w:left w:val="nil"/>
              <w:bottom w:val="nil"/>
              <w:right w:val="nil"/>
              <w:between w:val="nil"/>
            </w:pBdr>
            <w:tabs>
              <w:tab w:val="center" w:pos="4419"/>
              <w:tab w:val="right" w:pos="8838"/>
            </w:tabs>
            <w:rPr>
              <w:rFonts w:ascii="Palatino Linotype" w:eastAsia="Palatino Linotype" w:hAnsi="Palatino Linotype" w:cs="Palatino Linotype"/>
              <w:bCs/>
              <w:color w:val="000000"/>
            </w:rPr>
          </w:pPr>
          <w:r w:rsidRPr="00D42A51">
            <w:rPr>
              <w:rFonts w:ascii="Palatino Linotype" w:eastAsia="Palatino Linotype" w:hAnsi="Palatino Linotype" w:cs="Palatino Linotype"/>
              <w:bCs/>
              <w:color w:val="000000"/>
            </w:rPr>
            <w:t>María del Rosario Mejía Ayala</w:t>
          </w:r>
        </w:p>
      </w:tc>
    </w:tr>
  </w:tbl>
  <w:p w:rsidR="003D0A4D" w:rsidRDefault="00504D52">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4.55pt;margin-top:-122.3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14DE6"/>
    <w:multiLevelType w:val="multilevel"/>
    <w:tmpl w:val="82B4B01A"/>
    <w:lvl w:ilvl="0">
      <w:start w:val="1"/>
      <w:numFmt w:val="lowerLetter"/>
      <w:lvlText w:val="%1)"/>
      <w:lvlJc w:val="left"/>
      <w:pPr>
        <w:ind w:left="778"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E31758"/>
    <w:multiLevelType w:val="hybridMultilevel"/>
    <w:tmpl w:val="B28C4A4A"/>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2" w15:restartNumberingAfterBreak="0">
    <w:nsid w:val="0A645032"/>
    <w:multiLevelType w:val="multilevel"/>
    <w:tmpl w:val="90849ECC"/>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3" w15:restartNumberingAfterBreak="0">
    <w:nsid w:val="0B6018A4"/>
    <w:multiLevelType w:val="multilevel"/>
    <w:tmpl w:val="1F4AE2E2"/>
    <w:lvl w:ilvl="0">
      <w:start w:val="1"/>
      <w:numFmt w:val="lowerLetter"/>
      <w:lvlText w:val="%1)"/>
      <w:lvlJc w:val="left"/>
      <w:pPr>
        <w:ind w:left="709" w:hanging="42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8184FD5"/>
    <w:multiLevelType w:val="multilevel"/>
    <w:tmpl w:val="ABA69EC2"/>
    <w:lvl w:ilvl="0">
      <w:start w:val="1"/>
      <w:numFmt w:val="lowerLetter"/>
      <w:lvlText w:val="%1)"/>
      <w:lvlJc w:val="left"/>
      <w:pPr>
        <w:ind w:left="1498" w:hanging="360"/>
      </w:pPr>
    </w:lvl>
    <w:lvl w:ilvl="1">
      <w:start w:val="1"/>
      <w:numFmt w:val="lowerLetter"/>
      <w:lvlText w:val="%2."/>
      <w:lvlJc w:val="left"/>
      <w:pPr>
        <w:ind w:left="2218" w:hanging="360"/>
      </w:pPr>
    </w:lvl>
    <w:lvl w:ilvl="2">
      <w:start w:val="1"/>
      <w:numFmt w:val="lowerRoman"/>
      <w:lvlText w:val="%3."/>
      <w:lvlJc w:val="right"/>
      <w:pPr>
        <w:ind w:left="2938" w:hanging="180"/>
      </w:pPr>
    </w:lvl>
    <w:lvl w:ilvl="3">
      <w:start w:val="1"/>
      <w:numFmt w:val="decimal"/>
      <w:lvlText w:val="%4."/>
      <w:lvlJc w:val="left"/>
      <w:pPr>
        <w:ind w:left="3658" w:hanging="360"/>
      </w:pPr>
    </w:lvl>
    <w:lvl w:ilvl="4">
      <w:start w:val="1"/>
      <w:numFmt w:val="lowerLetter"/>
      <w:lvlText w:val="%5."/>
      <w:lvlJc w:val="left"/>
      <w:pPr>
        <w:ind w:left="4378" w:hanging="360"/>
      </w:pPr>
    </w:lvl>
    <w:lvl w:ilvl="5">
      <w:start w:val="1"/>
      <w:numFmt w:val="lowerRoman"/>
      <w:lvlText w:val="%6."/>
      <w:lvlJc w:val="right"/>
      <w:pPr>
        <w:ind w:left="5098" w:hanging="180"/>
      </w:pPr>
    </w:lvl>
    <w:lvl w:ilvl="6">
      <w:start w:val="1"/>
      <w:numFmt w:val="decimal"/>
      <w:lvlText w:val="%7."/>
      <w:lvlJc w:val="left"/>
      <w:pPr>
        <w:ind w:left="5818" w:hanging="360"/>
      </w:pPr>
    </w:lvl>
    <w:lvl w:ilvl="7">
      <w:start w:val="1"/>
      <w:numFmt w:val="lowerLetter"/>
      <w:lvlText w:val="%8."/>
      <w:lvlJc w:val="left"/>
      <w:pPr>
        <w:ind w:left="6538" w:hanging="360"/>
      </w:pPr>
    </w:lvl>
    <w:lvl w:ilvl="8">
      <w:start w:val="1"/>
      <w:numFmt w:val="lowerRoman"/>
      <w:lvlText w:val="%9."/>
      <w:lvlJc w:val="right"/>
      <w:pPr>
        <w:ind w:left="7258" w:hanging="180"/>
      </w:pPr>
    </w:lvl>
  </w:abstractNum>
  <w:abstractNum w:abstractNumId="5" w15:restartNumberingAfterBreak="0">
    <w:nsid w:val="2D432024"/>
    <w:multiLevelType w:val="multilevel"/>
    <w:tmpl w:val="5CCA0D92"/>
    <w:lvl w:ilvl="0">
      <w:start w:val="24"/>
      <w:numFmt w:val="decimal"/>
      <w:lvlText w:val="%1."/>
      <w:lvlJc w:val="left"/>
      <w:pPr>
        <w:ind w:left="644" w:hanging="359"/>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EC718BB"/>
    <w:multiLevelType w:val="multilevel"/>
    <w:tmpl w:val="C3786FB8"/>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73D07E5"/>
    <w:multiLevelType w:val="multilevel"/>
    <w:tmpl w:val="F38A9D10"/>
    <w:lvl w:ilvl="0">
      <w:start w:val="1"/>
      <w:numFmt w:val="lowerLetter"/>
      <w:lvlText w:val="%1)"/>
      <w:lvlJc w:val="left"/>
      <w:pPr>
        <w:ind w:left="709" w:hanging="42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86913A2"/>
    <w:multiLevelType w:val="hybridMultilevel"/>
    <w:tmpl w:val="D98673D6"/>
    <w:lvl w:ilvl="0" w:tplc="6A8AB812">
      <w:start w:val="80"/>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4"/>
  </w:num>
  <w:num w:numId="5">
    <w:abstractNumId w:val="3"/>
  </w:num>
  <w:num w:numId="6">
    <w:abstractNumId w:val="7"/>
  </w:num>
  <w:num w:numId="7">
    <w:abstractNumId w:val="2"/>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A4D"/>
    <w:rsid w:val="00006AA0"/>
    <w:rsid w:val="001E281E"/>
    <w:rsid w:val="003D0A4D"/>
    <w:rsid w:val="00504D52"/>
    <w:rsid w:val="00601292"/>
    <w:rsid w:val="00A85BED"/>
    <w:rsid w:val="00D42A51"/>
    <w:rsid w:val="00F21484"/>
    <w:rsid w:val="00FA34F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7FFDD39E-E934-4ECF-8ADB-D4EA75469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40"/>
      <w:outlineLvl w:val="2"/>
    </w:pPr>
    <w:rPr>
      <w:color w:val="1F3863"/>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paragraph" w:styleId="Piedepgina">
    <w:name w:val="footer"/>
    <w:basedOn w:val="Normal"/>
    <w:link w:val="PiedepginaCar"/>
    <w:uiPriority w:val="99"/>
    <w:unhideWhenUsed/>
    <w:rsid w:val="00D42A51"/>
    <w:pPr>
      <w:tabs>
        <w:tab w:val="center" w:pos="4419"/>
        <w:tab w:val="right" w:pos="8838"/>
      </w:tabs>
    </w:pPr>
  </w:style>
  <w:style w:type="character" w:customStyle="1" w:styleId="PiedepginaCar">
    <w:name w:val="Pie de página Car"/>
    <w:basedOn w:val="Fuentedeprrafopredeter"/>
    <w:link w:val="Piedepgina"/>
    <w:uiPriority w:val="99"/>
    <w:rsid w:val="00D42A51"/>
  </w:style>
  <w:style w:type="paragraph" w:styleId="Prrafodelista">
    <w:name w:val="List Paragraph"/>
    <w:basedOn w:val="Normal"/>
    <w:uiPriority w:val="34"/>
    <w:qFormat/>
    <w:rsid w:val="00D42A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Zrwz6ZeEWyE19xGCmBwzFfCvXQ==">CgMxLjAyDmguZjlrY2gwZnF3NGNkMg5oLjM2dDQ5M2h2dG1zZjIOaC50Y3lhNWF3aWl1ZTYyDWguNmZqejhtOWtva2QyDmguODI1dmI1ZTk4c3ViMg5oLnVnd2R0eWRwbWk2aDINaC5nd3FieTMwajVucTgAciExTUVqOGhKb1ljd21LSERfZHM3OWFyZjlkTHNLUzRsUkg=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45</Pages>
  <Words>10568</Words>
  <Characters>58127</Characters>
  <Application>Microsoft Office Word</Application>
  <DocSecurity>0</DocSecurity>
  <Lines>484</Lines>
  <Paragraphs>137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68558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6</cp:revision>
  <cp:lastPrinted>2026-06-18T18:42:00Z</cp:lastPrinted>
  <dcterms:created xsi:type="dcterms:W3CDTF">2026-06-16T23:45:00Z</dcterms:created>
  <dcterms:modified xsi:type="dcterms:W3CDTF">2026-06-23T20:08:00Z</dcterms:modified>
</cp:coreProperties>
</file>