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455" w:rsidRDefault="00D07455">
      <w:pPr>
        <w:widowControl w:val="0"/>
        <w:pBdr>
          <w:top w:val="nil"/>
          <w:left w:val="nil"/>
          <w:bottom w:val="nil"/>
          <w:right w:val="nil"/>
          <w:between w:val="nil"/>
        </w:pBdr>
        <w:spacing w:after="0" w:line="276" w:lineRule="auto"/>
        <w:jc w:val="left"/>
      </w:pPr>
    </w:p>
    <w:p w:rsidR="00D07455" w:rsidRDefault="00F53554">
      <w:pPr>
        <w:keepNext/>
        <w:keepLines/>
        <w:pBdr>
          <w:top w:val="nil"/>
          <w:left w:val="nil"/>
          <w:bottom w:val="nil"/>
          <w:right w:val="nil"/>
          <w:between w:val="nil"/>
        </w:pBdr>
        <w:spacing w:after="0" w:line="360" w:lineRule="auto"/>
        <w:jc w:val="center"/>
        <w:rPr>
          <w:color w:val="000000"/>
          <w:sz w:val="20"/>
          <w:szCs w:val="20"/>
        </w:rPr>
      </w:pPr>
      <w:r>
        <w:rPr>
          <w:color w:val="000000"/>
          <w:sz w:val="20"/>
          <w:szCs w:val="20"/>
        </w:rPr>
        <w:t xml:space="preserve">    </w:t>
      </w:r>
    </w:p>
    <w:p w:rsidR="00D07455" w:rsidRDefault="00F53554">
      <w:pPr>
        <w:keepNext/>
        <w:keepLines/>
        <w:pBdr>
          <w:top w:val="nil"/>
          <w:left w:val="nil"/>
          <w:bottom w:val="nil"/>
          <w:right w:val="nil"/>
          <w:between w:val="nil"/>
        </w:pBdr>
        <w:spacing w:after="0" w:line="360" w:lineRule="auto"/>
        <w:jc w:val="center"/>
        <w:rPr>
          <w:color w:val="000000"/>
        </w:rPr>
      </w:pPr>
      <w:r>
        <w:rPr>
          <w:color w:val="000000"/>
        </w:rPr>
        <w:t>RESOLUCIÓN DEL RECURSO DE REVISIÓN 04486/INFOEM/IP/RR/2025</w:t>
      </w:r>
    </w:p>
    <w:p w:rsidR="00D07455" w:rsidRDefault="00D07455">
      <w:pPr>
        <w:tabs>
          <w:tab w:val="left" w:pos="8931"/>
        </w:tabs>
        <w:spacing w:after="0" w:line="360" w:lineRule="auto"/>
        <w:rPr>
          <w:color w:val="FF0000"/>
        </w:rPr>
      </w:pPr>
    </w:p>
    <w:sdt>
      <w:sdtPr>
        <w:rPr>
          <w:lang w:val="es-ES"/>
        </w:rPr>
        <w:id w:val="2084632248"/>
        <w:docPartObj>
          <w:docPartGallery w:val="Table of Contents"/>
          <w:docPartUnique/>
        </w:docPartObj>
      </w:sdtPr>
      <w:sdtEndPr/>
      <w:sdtContent>
        <w:p w:rsidR="00305CC1" w:rsidRPr="00305CC1" w:rsidRDefault="00305CC1" w:rsidP="00305CC1">
          <w:pPr>
            <w:tabs>
              <w:tab w:val="right" w:pos="8838"/>
            </w:tabs>
            <w:spacing w:line="256" w:lineRule="auto"/>
            <w:ind w:left="-111" w:right="-32"/>
            <w:jc w:val="center"/>
          </w:pPr>
        </w:p>
        <w:p w:rsidR="00305CC1" w:rsidRPr="00305CC1" w:rsidRDefault="00305CC1">
          <w:pPr>
            <w:pStyle w:val="TDC1"/>
            <w:rPr>
              <w:rFonts w:asciiTheme="minorHAnsi" w:eastAsiaTheme="minorEastAsia" w:hAnsiTheme="minorHAnsi" w:cstheme="minorBidi"/>
              <w:noProof/>
              <w:sz w:val="22"/>
              <w:szCs w:val="22"/>
              <w:lang w:eastAsia="es-MX"/>
            </w:rPr>
          </w:pPr>
          <w:r w:rsidRPr="00305CC1">
            <w:rPr>
              <w:sz w:val="22"/>
              <w:szCs w:val="22"/>
            </w:rPr>
            <w:fldChar w:fldCharType="begin"/>
          </w:r>
          <w:r w:rsidRPr="00305CC1">
            <w:rPr>
              <w:sz w:val="22"/>
              <w:szCs w:val="22"/>
            </w:rPr>
            <w:instrText xml:space="preserve"> TOC \o "1-8" \h \z \u </w:instrText>
          </w:r>
          <w:r w:rsidRPr="00305CC1">
            <w:rPr>
              <w:sz w:val="22"/>
              <w:szCs w:val="22"/>
            </w:rPr>
            <w:fldChar w:fldCharType="separate"/>
          </w:r>
          <w:hyperlink w:anchor="_Toc224833176" w:history="1">
            <w:r w:rsidRPr="00305CC1">
              <w:rPr>
                <w:rStyle w:val="Hipervnculo"/>
                <w:rFonts w:ascii="Palatino Linotype" w:eastAsia="Palatino Linotype" w:hAnsi="Palatino Linotype" w:cs="Palatino Linotype"/>
                <w:bCs/>
                <w:noProof/>
                <w:sz w:val="22"/>
                <w:szCs w:val="22"/>
              </w:rPr>
              <w:t>A N T E C E D E N T E S</w:t>
            </w:r>
            <w:r w:rsidRPr="00305CC1">
              <w:rPr>
                <w:noProof/>
                <w:webHidden/>
                <w:sz w:val="22"/>
                <w:szCs w:val="22"/>
              </w:rPr>
              <w:tab/>
            </w:r>
            <w:r w:rsidRPr="00305CC1">
              <w:rPr>
                <w:noProof/>
                <w:webHidden/>
                <w:sz w:val="22"/>
                <w:szCs w:val="22"/>
              </w:rPr>
              <w:fldChar w:fldCharType="begin"/>
            </w:r>
            <w:r w:rsidRPr="00305CC1">
              <w:rPr>
                <w:noProof/>
                <w:webHidden/>
                <w:sz w:val="22"/>
                <w:szCs w:val="22"/>
              </w:rPr>
              <w:instrText xml:space="preserve"> PAGEREF _Toc224833176 \h </w:instrText>
            </w:r>
            <w:r w:rsidRPr="00305CC1">
              <w:rPr>
                <w:noProof/>
                <w:webHidden/>
                <w:sz w:val="22"/>
                <w:szCs w:val="22"/>
              </w:rPr>
            </w:r>
            <w:r w:rsidRPr="00305CC1">
              <w:rPr>
                <w:noProof/>
                <w:webHidden/>
                <w:sz w:val="22"/>
                <w:szCs w:val="22"/>
              </w:rPr>
              <w:fldChar w:fldCharType="separate"/>
            </w:r>
            <w:r w:rsidR="00580F5D">
              <w:rPr>
                <w:noProof/>
                <w:webHidden/>
                <w:sz w:val="22"/>
                <w:szCs w:val="22"/>
              </w:rPr>
              <w:t>2</w:t>
            </w:r>
            <w:r w:rsidRPr="00305CC1">
              <w:rPr>
                <w:noProof/>
                <w:webHidden/>
                <w:sz w:val="22"/>
                <w:szCs w:val="22"/>
              </w:rPr>
              <w:fldChar w:fldCharType="end"/>
            </w:r>
          </w:hyperlink>
        </w:p>
        <w:p w:rsidR="00305CC1" w:rsidRPr="00305CC1" w:rsidRDefault="00577AD5">
          <w:pPr>
            <w:pStyle w:val="TDC2"/>
            <w:tabs>
              <w:tab w:val="right" w:leader="dot" w:pos="8921"/>
            </w:tabs>
            <w:rPr>
              <w:rFonts w:asciiTheme="minorHAnsi" w:eastAsiaTheme="minorEastAsia" w:hAnsiTheme="minorHAnsi" w:cstheme="minorBidi"/>
              <w:noProof/>
              <w:sz w:val="22"/>
              <w:szCs w:val="22"/>
              <w:lang w:eastAsia="es-MX"/>
            </w:rPr>
          </w:pPr>
          <w:hyperlink w:anchor="_Toc224833177" w:history="1">
            <w:r w:rsidR="00305CC1" w:rsidRPr="00305CC1">
              <w:rPr>
                <w:rStyle w:val="Hipervnculo"/>
                <w:rFonts w:ascii="Palatino Linotype" w:eastAsia="Palatino Linotype" w:hAnsi="Palatino Linotype" w:cs="Palatino Linotype"/>
                <w:bCs/>
                <w:noProof/>
                <w:sz w:val="22"/>
                <w:szCs w:val="22"/>
              </w:rPr>
              <w:t>I. Presentación de la solicitud de información</w:t>
            </w:r>
            <w:r w:rsidR="00305CC1" w:rsidRPr="00305CC1">
              <w:rPr>
                <w:noProof/>
                <w:webHidden/>
                <w:sz w:val="22"/>
                <w:szCs w:val="22"/>
              </w:rPr>
              <w:tab/>
            </w:r>
            <w:r w:rsidR="00305CC1" w:rsidRPr="00305CC1">
              <w:rPr>
                <w:noProof/>
                <w:webHidden/>
                <w:sz w:val="22"/>
                <w:szCs w:val="22"/>
              </w:rPr>
              <w:fldChar w:fldCharType="begin"/>
            </w:r>
            <w:r w:rsidR="00305CC1" w:rsidRPr="00305CC1">
              <w:rPr>
                <w:noProof/>
                <w:webHidden/>
                <w:sz w:val="22"/>
                <w:szCs w:val="22"/>
              </w:rPr>
              <w:instrText xml:space="preserve"> PAGEREF _Toc224833177 \h </w:instrText>
            </w:r>
            <w:r w:rsidR="00305CC1" w:rsidRPr="00305CC1">
              <w:rPr>
                <w:noProof/>
                <w:webHidden/>
                <w:sz w:val="22"/>
                <w:szCs w:val="22"/>
              </w:rPr>
            </w:r>
            <w:r w:rsidR="00305CC1" w:rsidRPr="00305CC1">
              <w:rPr>
                <w:noProof/>
                <w:webHidden/>
                <w:sz w:val="22"/>
                <w:szCs w:val="22"/>
              </w:rPr>
              <w:fldChar w:fldCharType="separate"/>
            </w:r>
            <w:r w:rsidR="00580F5D">
              <w:rPr>
                <w:noProof/>
                <w:webHidden/>
                <w:sz w:val="22"/>
                <w:szCs w:val="22"/>
              </w:rPr>
              <w:t>2</w:t>
            </w:r>
            <w:r w:rsidR="00305CC1" w:rsidRPr="00305CC1">
              <w:rPr>
                <w:noProof/>
                <w:webHidden/>
                <w:sz w:val="22"/>
                <w:szCs w:val="22"/>
              </w:rPr>
              <w:fldChar w:fldCharType="end"/>
            </w:r>
          </w:hyperlink>
        </w:p>
        <w:p w:rsidR="00305CC1" w:rsidRPr="00305CC1" w:rsidRDefault="00577AD5">
          <w:pPr>
            <w:pStyle w:val="TDC2"/>
            <w:tabs>
              <w:tab w:val="right" w:leader="dot" w:pos="8921"/>
            </w:tabs>
            <w:rPr>
              <w:rFonts w:asciiTheme="minorHAnsi" w:eastAsiaTheme="minorEastAsia" w:hAnsiTheme="minorHAnsi" w:cstheme="minorBidi"/>
              <w:noProof/>
              <w:sz w:val="22"/>
              <w:szCs w:val="22"/>
              <w:lang w:eastAsia="es-MX"/>
            </w:rPr>
          </w:pPr>
          <w:hyperlink w:anchor="_Toc224833178" w:history="1">
            <w:r w:rsidR="00305CC1" w:rsidRPr="00305CC1">
              <w:rPr>
                <w:rStyle w:val="Hipervnculo"/>
                <w:rFonts w:ascii="Palatino Linotype" w:eastAsia="Palatino Linotype" w:hAnsi="Palatino Linotype" w:cs="Palatino Linotype"/>
                <w:bCs/>
                <w:noProof/>
                <w:sz w:val="22"/>
                <w:szCs w:val="22"/>
              </w:rPr>
              <w:t>V. Respuesta del Sujeto Obligado</w:t>
            </w:r>
            <w:r w:rsidR="00305CC1" w:rsidRPr="00305CC1">
              <w:rPr>
                <w:noProof/>
                <w:webHidden/>
                <w:sz w:val="22"/>
                <w:szCs w:val="22"/>
              </w:rPr>
              <w:tab/>
            </w:r>
            <w:r w:rsidR="00305CC1" w:rsidRPr="00305CC1">
              <w:rPr>
                <w:noProof/>
                <w:webHidden/>
                <w:sz w:val="22"/>
                <w:szCs w:val="22"/>
              </w:rPr>
              <w:fldChar w:fldCharType="begin"/>
            </w:r>
            <w:r w:rsidR="00305CC1" w:rsidRPr="00305CC1">
              <w:rPr>
                <w:noProof/>
                <w:webHidden/>
                <w:sz w:val="22"/>
                <w:szCs w:val="22"/>
              </w:rPr>
              <w:instrText xml:space="preserve"> PAGEREF _Toc224833178 \h </w:instrText>
            </w:r>
            <w:r w:rsidR="00305CC1" w:rsidRPr="00305CC1">
              <w:rPr>
                <w:noProof/>
                <w:webHidden/>
                <w:sz w:val="22"/>
                <w:szCs w:val="22"/>
              </w:rPr>
            </w:r>
            <w:r w:rsidR="00305CC1" w:rsidRPr="00305CC1">
              <w:rPr>
                <w:noProof/>
                <w:webHidden/>
                <w:sz w:val="22"/>
                <w:szCs w:val="22"/>
              </w:rPr>
              <w:fldChar w:fldCharType="separate"/>
            </w:r>
            <w:r w:rsidR="00580F5D">
              <w:rPr>
                <w:noProof/>
                <w:webHidden/>
                <w:sz w:val="22"/>
                <w:szCs w:val="22"/>
              </w:rPr>
              <w:t>4</w:t>
            </w:r>
            <w:r w:rsidR="00305CC1" w:rsidRPr="00305CC1">
              <w:rPr>
                <w:noProof/>
                <w:webHidden/>
                <w:sz w:val="22"/>
                <w:szCs w:val="22"/>
              </w:rPr>
              <w:fldChar w:fldCharType="end"/>
            </w:r>
          </w:hyperlink>
        </w:p>
        <w:p w:rsidR="00305CC1" w:rsidRPr="00305CC1" w:rsidRDefault="00577AD5">
          <w:pPr>
            <w:pStyle w:val="TDC2"/>
            <w:tabs>
              <w:tab w:val="right" w:leader="dot" w:pos="8921"/>
            </w:tabs>
            <w:rPr>
              <w:rFonts w:asciiTheme="minorHAnsi" w:eastAsiaTheme="minorEastAsia" w:hAnsiTheme="minorHAnsi" w:cstheme="minorBidi"/>
              <w:noProof/>
              <w:sz w:val="22"/>
              <w:szCs w:val="22"/>
              <w:lang w:eastAsia="es-MX"/>
            </w:rPr>
          </w:pPr>
          <w:hyperlink w:anchor="_Toc224833179" w:history="1">
            <w:r w:rsidR="00305CC1" w:rsidRPr="00305CC1">
              <w:rPr>
                <w:rStyle w:val="Hipervnculo"/>
                <w:rFonts w:ascii="Palatino Linotype" w:eastAsia="Palatino Linotype" w:hAnsi="Palatino Linotype" w:cs="Palatino Linotype"/>
                <w:bCs/>
                <w:noProof/>
                <w:sz w:val="22"/>
                <w:szCs w:val="22"/>
              </w:rPr>
              <w:t>VI. Interposición del Recurso de Revisión</w:t>
            </w:r>
            <w:r w:rsidR="00305CC1" w:rsidRPr="00305CC1">
              <w:rPr>
                <w:noProof/>
                <w:webHidden/>
                <w:sz w:val="22"/>
                <w:szCs w:val="22"/>
              </w:rPr>
              <w:tab/>
            </w:r>
            <w:r w:rsidR="00305CC1" w:rsidRPr="00305CC1">
              <w:rPr>
                <w:noProof/>
                <w:webHidden/>
                <w:sz w:val="22"/>
                <w:szCs w:val="22"/>
              </w:rPr>
              <w:fldChar w:fldCharType="begin"/>
            </w:r>
            <w:r w:rsidR="00305CC1" w:rsidRPr="00305CC1">
              <w:rPr>
                <w:noProof/>
                <w:webHidden/>
                <w:sz w:val="22"/>
                <w:szCs w:val="22"/>
              </w:rPr>
              <w:instrText xml:space="preserve"> PAGEREF _Toc224833179 \h </w:instrText>
            </w:r>
            <w:r w:rsidR="00305CC1" w:rsidRPr="00305CC1">
              <w:rPr>
                <w:noProof/>
                <w:webHidden/>
                <w:sz w:val="22"/>
                <w:szCs w:val="22"/>
              </w:rPr>
            </w:r>
            <w:r w:rsidR="00305CC1" w:rsidRPr="00305CC1">
              <w:rPr>
                <w:noProof/>
                <w:webHidden/>
                <w:sz w:val="22"/>
                <w:szCs w:val="22"/>
              </w:rPr>
              <w:fldChar w:fldCharType="separate"/>
            </w:r>
            <w:r w:rsidR="00580F5D">
              <w:rPr>
                <w:noProof/>
                <w:webHidden/>
                <w:sz w:val="22"/>
                <w:szCs w:val="22"/>
              </w:rPr>
              <w:t>10</w:t>
            </w:r>
            <w:r w:rsidR="00305CC1" w:rsidRPr="00305CC1">
              <w:rPr>
                <w:noProof/>
                <w:webHidden/>
                <w:sz w:val="22"/>
                <w:szCs w:val="22"/>
              </w:rPr>
              <w:fldChar w:fldCharType="end"/>
            </w:r>
          </w:hyperlink>
        </w:p>
        <w:p w:rsidR="00305CC1" w:rsidRPr="00305CC1" w:rsidRDefault="00577AD5">
          <w:pPr>
            <w:pStyle w:val="TDC2"/>
            <w:tabs>
              <w:tab w:val="right" w:leader="dot" w:pos="8921"/>
            </w:tabs>
            <w:rPr>
              <w:rFonts w:asciiTheme="minorHAnsi" w:eastAsiaTheme="minorEastAsia" w:hAnsiTheme="minorHAnsi" w:cstheme="minorBidi"/>
              <w:noProof/>
              <w:sz w:val="22"/>
              <w:szCs w:val="22"/>
              <w:lang w:eastAsia="es-MX"/>
            </w:rPr>
          </w:pPr>
          <w:hyperlink w:anchor="_Toc224833180" w:history="1">
            <w:r w:rsidR="00305CC1" w:rsidRPr="00305CC1">
              <w:rPr>
                <w:rStyle w:val="Hipervnculo"/>
                <w:rFonts w:ascii="Palatino Linotype" w:eastAsia="Palatino Linotype" w:hAnsi="Palatino Linotype" w:cs="Palatino Linotype"/>
                <w:bCs/>
                <w:noProof/>
                <w:sz w:val="22"/>
                <w:szCs w:val="22"/>
              </w:rPr>
              <w:t>VII. Trámite del Recurso de Revisión ante este Instituto</w:t>
            </w:r>
            <w:r w:rsidR="00305CC1" w:rsidRPr="00305CC1">
              <w:rPr>
                <w:noProof/>
                <w:webHidden/>
                <w:sz w:val="22"/>
                <w:szCs w:val="22"/>
              </w:rPr>
              <w:tab/>
            </w:r>
            <w:r w:rsidR="00305CC1" w:rsidRPr="00305CC1">
              <w:rPr>
                <w:noProof/>
                <w:webHidden/>
                <w:sz w:val="22"/>
                <w:szCs w:val="22"/>
              </w:rPr>
              <w:fldChar w:fldCharType="begin"/>
            </w:r>
            <w:r w:rsidR="00305CC1" w:rsidRPr="00305CC1">
              <w:rPr>
                <w:noProof/>
                <w:webHidden/>
                <w:sz w:val="22"/>
                <w:szCs w:val="22"/>
              </w:rPr>
              <w:instrText xml:space="preserve"> PAGEREF _Toc224833180 \h </w:instrText>
            </w:r>
            <w:r w:rsidR="00305CC1" w:rsidRPr="00305CC1">
              <w:rPr>
                <w:noProof/>
                <w:webHidden/>
                <w:sz w:val="22"/>
                <w:szCs w:val="22"/>
              </w:rPr>
            </w:r>
            <w:r w:rsidR="00305CC1" w:rsidRPr="00305CC1">
              <w:rPr>
                <w:noProof/>
                <w:webHidden/>
                <w:sz w:val="22"/>
                <w:szCs w:val="22"/>
              </w:rPr>
              <w:fldChar w:fldCharType="separate"/>
            </w:r>
            <w:r w:rsidR="00580F5D">
              <w:rPr>
                <w:noProof/>
                <w:webHidden/>
                <w:sz w:val="22"/>
                <w:szCs w:val="22"/>
              </w:rPr>
              <w:t>10</w:t>
            </w:r>
            <w:r w:rsidR="00305CC1" w:rsidRPr="00305CC1">
              <w:rPr>
                <w:noProof/>
                <w:webHidden/>
                <w:sz w:val="22"/>
                <w:szCs w:val="22"/>
              </w:rPr>
              <w:fldChar w:fldCharType="end"/>
            </w:r>
          </w:hyperlink>
        </w:p>
        <w:p w:rsidR="00305CC1" w:rsidRPr="00305CC1" w:rsidRDefault="00577AD5">
          <w:pPr>
            <w:pStyle w:val="TDC1"/>
            <w:rPr>
              <w:rFonts w:asciiTheme="minorHAnsi" w:eastAsiaTheme="minorEastAsia" w:hAnsiTheme="minorHAnsi" w:cstheme="minorBidi"/>
              <w:noProof/>
              <w:sz w:val="22"/>
              <w:szCs w:val="22"/>
              <w:lang w:eastAsia="es-MX"/>
            </w:rPr>
          </w:pPr>
          <w:hyperlink w:anchor="_Toc224833181" w:history="1">
            <w:r w:rsidR="00305CC1" w:rsidRPr="00305CC1">
              <w:rPr>
                <w:rStyle w:val="Hipervnculo"/>
                <w:rFonts w:ascii="Palatino Linotype" w:eastAsia="Palatino Linotype" w:hAnsi="Palatino Linotype" w:cs="Palatino Linotype"/>
                <w:bCs/>
                <w:noProof/>
                <w:sz w:val="22"/>
                <w:szCs w:val="22"/>
              </w:rPr>
              <w:t>C O N S I D E R A N D O S</w:t>
            </w:r>
            <w:r w:rsidR="00305CC1" w:rsidRPr="00305CC1">
              <w:rPr>
                <w:noProof/>
                <w:webHidden/>
                <w:sz w:val="22"/>
                <w:szCs w:val="22"/>
              </w:rPr>
              <w:tab/>
            </w:r>
            <w:r w:rsidR="00305CC1" w:rsidRPr="00305CC1">
              <w:rPr>
                <w:noProof/>
                <w:webHidden/>
                <w:sz w:val="22"/>
                <w:szCs w:val="22"/>
              </w:rPr>
              <w:fldChar w:fldCharType="begin"/>
            </w:r>
            <w:r w:rsidR="00305CC1" w:rsidRPr="00305CC1">
              <w:rPr>
                <w:noProof/>
                <w:webHidden/>
                <w:sz w:val="22"/>
                <w:szCs w:val="22"/>
              </w:rPr>
              <w:instrText xml:space="preserve"> PAGEREF _Toc224833181 \h </w:instrText>
            </w:r>
            <w:r w:rsidR="00305CC1" w:rsidRPr="00305CC1">
              <w:rPr>
                <w:noProof/>
                <w:webHidden/>
                <w:sz w:val="22"/>
                <w:szCs w:val="22"/>
              </w:rPr>
            </w:r>
            <w:r w:rsidR="00305CC1" w:rsidRPr="00305CC1">
              <w:rPr>
                <w:noProof/>
                <w:webHidden/>
                <w:sz w:val="22"/>
                <w:szCs w:val="22"/>
              </w:rPr>
              <w:fldChar w:fldCharType="separate"/>
            </w:r>
            <w:r w:rsidR="00580F5D">
              <w:rPr>
                <w:noProof/>
                <w:webHidden/>
                <w:sz w:val="22"/>
                <w:szCs w:val="22"/>
              </w:rPr>
              <w:t>12</w:t>
            </w:r>
            <w:r w:rsidR="00305CC1" w:rsidRPr="00305CC1">
              <w:rPr>
                <w:noProof/>
                <w:webHidden/>
                <w:sz w:val="22"/>
                <w:szCs w:val="22"/>
              </w:rPr>
              <w:fldChar w:fldCharType="end"/>
            </w:r>
          </w:hyperlink>
        </w:p>
        <w:p w:rsidR="00305CC1" w:rsidRPr="00305CC1" w:rsidRDefault="00577AD5">
          <w:pPr>
            <w:pStyle w:val="TDC2"/>
            <w:tabs>
              <w:tab w:val="right" w:leader="dot" w:pos="8921"/>
            </w:tabs>
            <w:rPr>
              <w:rFonts w:asciiTheme="minorHAnsi" w:eastAsiaTheme="minorEastAsia" w:hAnsiTheme="minorHAnsi" w:cstheme="minorBidi"/>
              <w:noProof/>
              <w:sz w:val="22"/>
              <w:szCs w:val="22"/>
              <w:lang w:eastAsia="es-MX"/>
            </w:rPr>
          </w:pPr>
          <w:hyperlink w:anchor="_Toc224833182" w:history="1">
            <w:r w:rsidR="00305CC1" w:rsidRPr="00305CC1">
              <w:rPr>
                <w:rStyle w:val="Hipervnculo"/>
                <w:rFonts w:ascii="Palatino Linotype" w:eastAsia="Palatino Linotype" w:hAnsi="Palatino Linotype" w:cs="Palatino Linotype"/>
                <w:bCs/>
                <w:noProof/>
                <w:sz w:val="22"/>
                <w:szCs w:val="22"/>
              </w:rPr>
              <w:t>PRIMERO. Competencia</w:t>
            </w:r>
            <w:r w:rsidR="00305CC1" w:rsidRPr="00305CC1">
              <w:rPr>
                <w:noProof/>
                <w:webHidden/>
                <w:sz w:val="22"/>
                <w:szCs w:val="22"/>
              </w:rPr>
              <w:tab/>
            </w:r>
            <w:r w:rsidR="00305CC1" w:rsidRPr="00305CC1">
              <w:rPr>
                <w:noProof/>
                <w:webHidden/>
                <w:sz w:val="22"/>
                <w:szCs w:val="22"/>
              </w:rPr>
              <w:fldChar w:fldCharType="begin"/>
            </w:r>
            <w:r w:rsidR="00305CC1" w:rsidRPr="00305CC1">
              <w:rPr>
                <w:noProof/>
                <w:webHidden/>
                <w:sz w:val="22"/>
                <w:szCs w:val="22"/>
              </w:rPr>
              <w:instrText xml:space="preserve"> PAGEREF _Toc224833182 \h </w:instrText>
            </w:r>
            <w:r w:rsidR="00305CC1" w:rsidRPr="00305CC1">
              <w:rPr>
                <w:noProof/>
                <w:webHidden/>
                <w:sz w:val="22"/>
                <w:szCs w:val="22"/>
              </w:rPr>
            </w:r>
            <w:r w:rsidR="00305CC1" w:rsidRPr="00305CC1">
              <w:rPr>
                <w:noProof/>
                <w:webHidden/>
                <w:sz w:val="22"/>
                <w:szCs w:val="22"/>
              </w:rPr>
              <w:fldChar w:fldCharType="separate"/>
            </w:r>
            <w:r w:rsidR="00580F5D">
              <w:rPr>
                <w:noProof/>
                <w:webHidden/>
                <w:sz w:val="22"/>
                <w:szCs w:val="22"/>
              </w:rPr>
              <w:t>12</w:t>
            </w:r>
            <w:r w:rsidR="00305CC1" w:rsidRPr="00305CC1">
              <w:rPr>
                <w:noProof/>
                <w:webHidden/>
                <w:sz w:val="22"/>
                <w:szCs w:val="22"/>
              </w:rPr>
              <w:fldChar w:fldCharType="end"/>
            </w:r>
          </w:hyperlink>
        </w:p>
        <w:p w:rsidR="00305CC1" w:rsidRPr="00305CC1" w:rsidRDefault="00577AD5">
          <w:pPr>
            <w:pStyle w:val="TDC2"/>
            <w:tabs>
              <w:tab w:val="right" w:leader="dot" w:pos="8921"/>
            </w:tabs>
            <w:rPr>
              <w:rFonts w:asciiTheme="minorHAnsi" w:eastAsiaTheme="minorEastAsia" w:hAnsiTheme="minorHAnsi" w:cstheme="minorBidi"/>
              <w:noProof/>
              <w:sz w:val="22"/>
              <w:szCs w:val="22"/>
              <w:lang w:eastAsia="es-MX"/>
            </w:rPr>
          </w:pPr>
          <w:hyperlink w:anchor="_Toc224833183" w:history="1">
            <w:r w:rsidR="00305CC1" w:rsidRPr="00305CC1">
              <w:rPr>
                <w:rStyle w:val="Hipervnculo"/>
                <w:rFonts w:ascii="Palatino Linotype" w:eastAsia="Palatino Linotype" w:hAnsi="Palatino Linotype" w:cs="Palatino Linotype"/>
                <w:bCs/>
                <w:noProof/>
                <w:sz w:val="22"/>
                <w:szCs w:val="22"/>
              </w:rPr>
              <w:t>SEGUNDO. Causales de improcedencia y sobreseimiento</w:t>
            </w:r>
            <w:r w:rsidR="00305CC1" w:rsidRPr="00305CC1">
              <w:rPr>
                <w:noProof/>
                <w:webHidden/>
                <w:sz w:val="22"/>
                <w:szCs w:val="22"/>
              </w:rPr>
              <w:tab/>
            </w:r>
            <w:r w:rsidR="00305CC1" w:rsidRPr="00305CC1">
              <w:rPr>
                <w:noProof/>
                <w:webHidden/>
                <w:sz w:val="22"/>
                <w:szCs w:val="22"/>
              </w:rPr>
              <w:fldChar w:fldCharType="begin"/>
            </w:r>
            <w:r w:rsidR="00305CC1" w:rsidRPr="00305CC1">
              <w:rPr>
                <w:noProof/>
                <w:webHidden/>
                <w:sz w:val="22"/>
                <w:szCs w:val="22"/>
              </w:rPr>
              <w:instrText xml:space="preserve"> PAGEREF _Toc224833183 \h </w:instrText>
            </w:r>
            <w:r w:rsidR="00305CC1" w:rsidRPr="00305CC1">
              <w:rPr>
                <w:noProof/>
                <w:webHidden/>
                <w:sz w:val="22"/>
                <w:szCs w:val="22"/>
              </w:rPr>
            </w:r>
            <w:r w:rsidR="00305CC1" w:rsidRPr="00305CC1">
              <w:rPr>
                <w:noProof/>
                <w:webHidden/>
                <w:sz w:val="22"/>
                <w:szCs w:val="22"/>
              </w:rPr>
              <w:fldChar w:fldCharType="separate"/>
            </w:r>
            <w:r w:rsidR="00580F5D">
              <w:rPr>
                <w:noProof/>
                <w:webHidden/>
                <w:sz w:val="22"/>
                <w:szCs w:val="22"/>
              </w:rPr>
              <w:t>13</w:t>
            </w:r>
            <w:r w:rsidR="00305CC1" w:rsidRPr="00305CC1">
              <w:rPr>
                <w:noProof/>
                <w:webHidden/>
                <w:sz w:val="22"/>
                <w:szCs w:val="22"/>
              </w:rPr>
              <w:fldChar w:fldCharType="end"/>
            </w:r>
          </w:hyperlink>
        </w:p>
        <w:p w:rsidR="00305CC1" w:rsidRPr="00305CC1" w:rsidRDefault="00577AD5">
          <w:pPr>
            <w:pStyle w:val="TDC2"/>
            <w:tabs>
              <w:tab w:val="right" w:leader="dot" w:pos="8921"/>
            </w:tabs>
            <w:rPr>
              <w:rFonts w:asciiTheme="minorHAnsi" w:eastAsiaTheme="minorEastAsia" w:hAnsiTheme="minorHAnsi" w:cstheme="minorBidi"/>
              <w:noProof/>
              <w:sz w:val="22"/>
              <w:szCs w:val="22"/>
              <w:lang w:eastAsia="es-MX"/>
            </w:rPr>
          </w:pPr>
          <w:hyperlink w:anchor="_Toc224833184" w:history="1">
            <w:r w:rsidR="00305CC1" w:rsidRPr="00305CC1">
              <w:rPr>
                <w:rStyle w:val="Hipervnculo"/>
                <w:rFonts w:ascii="Palatino Linotype" w:eastAsia="Palatino Linotype" w:hAnsi="Palatino Linotype" w:cs="Palatino Linotype"/>
                <w:bCs/>
                <w:noProof/>
                <w:sz w:val="22"/>
                <w:szCs w:val="22"/>
              </w:rPr>
              <w:t>TERCERO. Determinación de la Controversia</w:t>
            </w:r>
            <w:r w:rsidR="00305CC1" w:rsidRPr="00305CC1">
              <w:rPr>
                <w:noProof/>
                <w:webHidden/>
                <w:sz w:val="22"/>
                <w:szCs w:val="22"/>
              </w:rPr>
              <w:tab/>
            </w:r>
            <w:r w:rsidR="00305CC1" w:rsidRPr="00305CC1">
              <w:rPr>
                <w:noProof/>
                <w:webHidden/>
                <w:sz w:val="22"/>
                <w:szCs w:val="22"/>
              </w:rPr>
              <w:fldChar w:fldCharType="begin"/>
            </w:r>
            <w:r w:rsidR="00305CC1" w:rsidRPr="00305CC1">
              <w:rPr>
                <w:noProof/>
                <w:webHidden/>
                <w:sz w:val="22"/>
                <w:szCs w:val="22"/>
              </w:rPr>
              <w:instrText xml:space="preserve"> PAGEREF _Toc224833184 \h </w:instrText>
            </w:r>
            <w:r w:rsidR="00305CC1" w:rsidRPr="00305CC1">
              <w:rPr>
                <w:noProof/>
                <w:webHidden/>
                <w:sz w:val="22"/>
                <w:szCs w:val="22"/>
              </w:rPr>
            </w:r>
            <w:r w:rsidR="00305CC1" w:rsidRPr="00305CC1">
              <w:rPr>
                <w:noProof/>
                <w:webHidden/>
                <w:sz w:val="22"/>
                <w:szCs w:val="22"/>
              </w:rPr>
              <w:fldChar w:fldCharType="separate"/>
            </w:r>
            <w:r w:rsidR="00580F5D">
              <w:rPr>
                <w:noProof/>
                <w:webHidden/>
                <w:sz w:val="22"/>
                <w:szCs w:val="22"/>
              </w:rPr>
              <w:t>14</w:t>
            </w:r>
            <w:r w:rsidR="00305CC1" w:rsidRPr="00305CC1">
              <w:rPr>
                <w:noProof/>
                <w:webHidden/>
                <w:sz w:val="22"/>
                <w:szCs w:val="22"/>
              </w:rPr>
              <w:fldChar w:fldCharType="end"/>
            </w:r>
          </w:hyperlink>
        </w:p>
        <w:p w:rsidR="00305CC1" w:rsidRPr="00305CC1" w:rsidRDefault="00577AD5">
          <w:pPr>
            <w:pStyle w:val="TDC2"/>
            <w:tabs>
              <w:tab w:val="right" w:leader="dot" w:pos="8921"/>
            </w:tabs>
            <w:rPr>
              <w:rFonts w:asciiTheme="minorHAnsi" w:eastAsiaTheme="minorEastAsia" w:hAnsiTheme="minorHAnsi" w:cstheme="minorBidi"/>
              <w:noProof/>
              <w:sz w:val="22"/>
              <w:szCs w:val="22"/>
              <w:lang w:eastAsia="es-MX"/>
            </w:rPr>
          </w:pPr>
          <w:hyperlink w:anchor="_Toc224833185" w:history="1">
            <w:r w:rsidR="00305CC1" w:rsidRPr="00305CC1">
              <w:rPr>
                <w:rStyle w:val="Hipervnculo"/>
                <w:rFonts w:ascii="Palatino Linotype" w:eastAsia="Palatino Linotype" w:hAnsi="Palatino Linotype" w:cs="Palatino Linotype"/>
                <w:bCs/>
                <w:noProof/>
                <w:sz w:val="22"/>
                <w:szCs w:val="22"/>
              </w:rPr>
              <w:t>CUARTO. Marco normativo aplicable en materia de transparencia y acceso a la información pública</w:t>
            </w:r>
            <w:r w:rsidR="00305CC1" w:rsidRPr="00305CC1">
              <w:rPr>
                <w:noProof/>
                <w:webHidden/>
                <w:sz w:val="22"/>
                <w:szCs w:val="22"/>
              </w:rPr>
              <w:tab/>
            </w:r>
            <w:r w:rsidR="00305CC1" w:rsidRPr="00305CC1">
              <w:rPr>
                <w:noProof/>
                <w:webHidden/>
                <w:sz w:val="22"/>
                <w:szCs w:val="22"/>
              </w:rPr>
              <w:fldChar w:fldCharType="begin"/>
            </w:r>
            <w:r w:rsidR="00305CC1" w:rsidRPr="00305CC1">
              <w:rPr>
                <w:noProof/>
                <w:webHidden/>
                <w:sz w:val="22"/>
                <w:szCs w:val="22"/>
              </w:rPr>
              <w:instrText xml:space="preserve"> PAGEREF _Toc224833185 \h </w:instrText>
            </w:r>
            <w:r w:rsidR="00305CC1" w:rsidRPr="00305CC1">
              <w:rPr>
                <w:noProof/>
                <w:webHidden/>
                <w:sz w:val="22"/>
                <w:szCs w:val="22"/>
              </w:rPr>
            </w:r>
            <w:r w:rsidR="00305CC1" w:rsidRPr="00305CC1">
              <w:rPr>
                <w:noProof/>
                <w:webHidden/>
                <w:sz w:val="22"/>
                <w:szCs w:val="22"/>
              </w:rPr>
              <w:fldChar w:fldCharType="separate"/>
            </w:r>
            <w:r w:rsidR="00580F5D">
              <w:rPr>
                <w:noProof/>
                <w:webHidden/>
                <w:sz w:val="22"/>
                <w:szCs w:val="22"/>
              </w:rPr>
              <w:t>16</w:t>
            </w:r>
            <w:r w:rsidR="00305CC1" w:rsidRPr="00305CC1">
              <w:rPr>
                <w:noProof/>
                <w:webHidden/>
                <w:sz w:val="22"/>
                <w:szCs w:val="22"/>
              </w:rPr>
              <w:fldChar w:fldCharType="end"/>
            </w:r>
          </w:hyperlink>
        </w:p>
        <w:p w:rsidR="00305CC1" w:rsidRPr="00305CC1" w:rsidRDefault="00577AD5">
          <w:pPr>
            <w:pStyle w:val="TDC2"/>
            <w:tabs>
              <w:tab w:val="right" w:leader="dot" w:pos="8921"/>
            </w:tabs>
            <w:rPr>
              <w:rFonts w:asciiTheme="minorHAnsi" w:eastAsiaTheme="minorEastAsia" w:hAnsiTheme="minorHAnsi" w:cstheme="minorBidi"/>
              <w:noProof/>
              <w:sz w:val="22"/>
              <w:szCs w:val="22"/>
              <w:lang w:eastAsia="es-MX"/>
            </w:rPr>
          </w:pPr>
          <w:hyperlink w:anchor="_Toc224833186" w:history="1">
            <w:r w:rsidR="00305CC1" w:rsidRPr="00305CC1">
              <w:rPr>
                <w:rStyle w:val="Hipervnculo"/>
                <w:rFonts w:ascii="Palatino Linotype" w:eastAsia="Palatino Linotype" w:hAnsi="Palatino Linotype" w:cs="Palatino Linotype"/>
                <w:bCs/>
                <w:noProof/>
                <w:sz w:val="22"/>
                <w:szCs w:val="22"/>
              </w:rPr>
              <w:t>QUINTO. Estudio de Fondo</w:t>
            </w:r>
            <w:r w:rsidR="00305CC1" w:rsidRPr="00305CC1">
              <w:rPr>
                <w:noProof/>
                <w:webHidden/>
                <w:sz w:val="22"/>
                <w:szCs w:val="22"/>
              </w:rPr>
              <w:tab/>
            </w:r>
            <w:r w:rsidR="00305CC1" w:rsidRPr="00305CC1">
              <w:rPr>
                <w:noProof/>
                <w:webHidden/>
                <w:sz w:val="22"/>
                <w:szCs w:val="22"/>
              </w:rPr>
              <w:fldChar w:fldCharType="begin"/>
            </w:r>
            <w:r w:rsidR="00305CC1" w:rsidRPr="00305CC1">
              <w:rPr>
                <w:noProof/>
                <w:webHidden/>
                <w:sz w:val="22"/>
                <w:szCs w:val="22"/>
              </w:rPr>
              <w:instrText xml:space="preserve"> PAGEREF _Toc224833186 \h </w:instrText>
            </w:r>
            <w:r w:rsidR="00305CC1" w:rsidRPr="00305CC1">
              <w:rPr>
                <w:noProof/>
                <w:webHidden/>
                <w:sz w:val="22"/>
                <w:szCs w:val="22"/>
              </w:rPr>
            </w:r>
            <w:r w:rsidR="00305CC1" w:rsidRPr="00305CC1">
              <w:rPr>
                <w:noProof/>
                <w:webHidden/>
                <w:sz w:val="22"/>
                <w:szCs w:val="22"/>
              </w:rPr>
              <w:fldChar w:fldCharType="separate"/>
            </w:r>
            <w:r w:rsidR="00580F5D">
              <w:rPr>
                <w:noProof/>
                <w:webHidden/>
                <w:sz w:val="22"/>
                <w:szCs w:val="22"/>
              </w:rPr>
              <w:t>17</w:t>
            </w:r>
            <w:r w:rsidR="00305CC1" w:rsidRPr="00305CC1">
              <w:rPr>
                <w:noProof/>
                <w:webHidden/>
                <w:sz w:val="22"/>
                <w:szCs w:val="22"/>
              </w:rPr>
              <w:fldChar w:fldCharType="end"/>
            </w:r>
          </w:hyperlink>
        </w:p>
        <w:p w:rsidR="00305CC1" w:rsidRPr="00305CC1" w:rsidRDefault="00577AD5">
          <w:pPr>
            <w:pStyle w:val="TDC2"/>
            <w:tabs>
              <w:tab w:val="right" w:leader="dot" w:pos="8921"/>
            </w:tabs>
            <w:rPr>
              <w:rFonts w:asciiTheme="minorHAnsi" w:eastAsiaTheme="minorEastAsia" w:hAnsiTheme="minorHAnsi" w:cstheme="minorBidi"/>
              <w:noProof/>
              <w:sz w:val="22"/>
              <w:szCs w:val="22"/>
              <w:lang w:eastAsia="es-MX"/>
            </w:rPr>
          </w:pPr>
          <w:hyperlink w:anchor="_Toc224833187" w:history="1">
            <w:r w:rsidR="00305CC1" w:rsidRPr="00305CC1">
              <w:rPr>
                <w:rStyle w:val="Hipervnculo"/>
                <w:rFonts w:ascii="Palatino Linotype" w:eastAsia="Palatino Linotype" w:hAnsi="Palatino Linotype" w:cs="Palatino Linotype"/>
                <w:bCs/>
                <w:noProof/>
                <w:sz w:val="22"/>
                <w:szCs w:val="22"/>
              </w:rPr>
              <w:t>SEXTO. Decisión.</w:t>
            </w:r>
            <w:r w:rsidR="00305CC1" w:rsidRPr="00305CC1">
              <w:rPr>
                <w:noProof/>
                <w:webHidden/>
                <w:sz w:val="22"/>
                <w:szCs w:val="22"/>
              </w:rPr>
              <w:tab/>
            </w:r>
            <w:r w:rsidR="00305CC1" w:rsidRPr="00305CC1">
              <w:rPr>
                <w:noProof/>
                <w:webHidden/>
                <w:sz w:val="22"/>
                <w:szCs w:val="22"/>
              </w:rPr>
              <w:fldChar w:fldCharType="begin"/>
            </w:r>
            <w:r w:rsidR="00305CC1" w:rsidRPr="00305CC1">
              <w:rPr>
                <w:noProof/>
                <w:webHidden/>
                <w:sz w:val="22"/>
                <w:szCs w:val="22"/>
              </w:rPr>
              <w:instrText xml:space="preserve"> PAGEREF _Toc224833187 \h </w:instrText>
            </w:r>
            <w:r w:rsidR="00305CC1" w:rsidRPr="00305CC1">
              <w:rPr>
                <w:noProof/>
                <w:webHidden/>
                <w:sz w:val="22"/>
                <w:szCs w:val="22"/>
              </w:rPr>
            </w:r>
            <w:r w:rsidR="00305CC1" w:rsidRPr="00305CC1">
              <w:rPr>
                <w:noProof/>
                <w:webHidden/>
                <w:sz w:val="22"/>
                <w:szCs w:val="22"/>
              </w:rPr>
              <w:fldChar w:fldCharType="separate"/>
            </w:r>
            <w:r w:rsidR="00580F5D">
              <w:rPr>
                <w:noProof/>
                <w:webHidden/>
                <w:sz w:val="22"/>
                <w:szCs w:val="22"/>
              </w:rPr>
              <w:t>63</w:t>
            </w:r>
            <w:r w:rsidR="00305CC1" w:rsidRPr="00305CC1">
              <w:rPr>
                <w:noProof/>
                <w:webHidden/>
                <w:sz w:val="22"/>
                <w:szCs w:val="22"/>
              </w:rPr>
              <w:fldChar w:fldCharType="end"/>
            </w:r>
          </w:hyperlink>
        </w:p>
        <w:p w:rsidR="00305CC1" w:rsidRPr="00305CC1" w:rsidRDefault="00577AD5">
          <w:pPr>
            <w:pStyle w:val="TDC1"/>
            <w:rPr>
              <w:rFonts w:asciiTheme="minorHAnsi" w:eastAsiaTheme="minorEastAsia" w:hAnsiTheme="minorHAnsi" w:cstheme="minorBidi"/>
              <w:noProof/>
              <w:sz w:val="22"/>
              <w:szCs w:val="22"/>
              <w:lang w:eastAsia="es-MX"/>
            </w:rPr>
          </w:pPr>
          <w:hyperlink w:anchor="_Toc224833188" w:history="1">
            <w:r w:rsidR="00305CC1" w:rsidRPr="00305CC1">
              <w:rPr>
                <w:rStyle w:val="Hipervnculo"/>
                <w:rFonts w:ascii="Palatino Linotype" w:eastAsia="Palatino Linotype" w:hAnsi="Palatino Linotype" w:cs="Palatino Linotype"/>
                <w:bCs/>
                <w:noProof/>
                <w:sz w:val="22"/>
                <w:szCs w:val="22"/>
              </w:rPr>
              <w:t>R E S U E L V E:</w:t>
            </w:r>
            <w:r w:rsidR="00305CC1" w:rsidRPr="00305CC1">
              <w:rPr>
                <w:noProof/>
                <w:webHidden/>
                <w:sz w:val="22"/>
                <w:szCs w:val="22"/>
              </w:rPr>
              <w:tab/>
            </w:r>
            <w:r w:rsidR="00305CC1" w:rsidRPr="00305CC1">
              <w:rPr>
                <w:noProof/>
                <w:webHidden/>
                <w:sz w:val="22"/>
                <w:szCs w:val="22"/>
              </w:rPr>
              <w:fldChar w:fldCharType="begin"/>
            </w:r>
            <w:r w:rsidR="00305CC1" w:rsidRPr="00305CC1">
              <w:rPr>
                <w:noProof/>
                <w:webHidden/>
                <w:sz w:val="22"/>
                <w:szCs w:val="22"/>
              </w:rPr>
              <w:instrText xml:space="preserve"> PAGEREF _Toc224833188 \h </w:instrText>
            </w:r>
            <w:r w:rsidR="00305CC1" w:rsidRPr="00305CC1">
              <w:rPr>
                <w:noProof/>
                <w:webHidden/>
                <w:sz w:val="22"/>
                <w:szCs w:val="22"/>
              </w:rPr>
            </w:r>
            <w:r w:rsidR="00305CC1" w:rsidRPr="00305CC1">
              <w:rPr>
                <w:noProof/>
                <w:webHidden/>
                <w:sz w:val="22"/>
                <w:szCs w:val="22"/>
              </w:rPr>
              <w:fldChar w:fldCharType="separate"/>
            </w:r>
            <w:r w:rsidR="00580F5D">
              <w:rPr>
                <w:noProof/>
                <w:webHidden/>
                <w:sz w:val="22"/>
                <w:szCs w:val="22"/>
              </w:rPr>
              <w:t>64</w:t>
            </w:r>
            <w:r w:rsidR="00305CC1" w:rsidRPr="00305CC1">
              <w:rPr>
                <w:noProof/>
                <w:webHidden/>
                <w:sz w:val="22"/>
                <w:szCs w:val="22"/>
              </w:rPr>
              <w:fldChar w:fldCharType="end"/>
            </w:r>
          </w:hyperlink>
        </w:p>
        <w:p w:rsidR="00305CC1" w:rsidRPr="00305CC1" w:rsidRDefault="00305CC1" w:rsidP="00305CC1">
          <w:pPr>
            <w:spacing w:line="256" w:lineRule="auto"/>
            <w:rPr>
              <w:b/>
              <w:bCs/>
              <w:lang w:val="es-ES"/>
            </w:rPr>
          </w:pPr>
          <w:r w:rsidRPr="00305CC1">
            <w:fldChar w:fldCharType="end"/>
          </w:r>
        </w:p>
      </w:sdtContent>
    </w:sdt>
    <w:p w:rsidR="00D07455" w:rsidRDefault="00D07455">
      <w:pPr>
        <w:tabs>
          <w:tab w:val="left" w:pos="8931"/>
        </w:tabs>
        <w:spacing w:after="0" w:line="360" w:lineRule="auto"/>
        <w:rPr>
          <w:color w:val="FF0000"/>
        </w:rPr>
      </w:pPr>
    </w:p>
    <w:p w:rsidR="00305CC1" w:rsidRDefault="00305CC1">
      <w:pPr>
        <w:tabs>
          <w:tab w:val="left" w:pos="8931"/>
        </w:tabs>
        <w:spacing w:after="0" w:line="360" w:lineRule="auto"/>
        <w:rPr>
          <w:color w:val="FF0000"/>
        </w:rPr>
      </w:pPr>
    </w:p>
    <w:p w:rsidR="00305CC1" w:rsidRDefault="00305CC1">
      <w:pPr>
        <w:tabs>
          <w:tab w:val="left" w:pos="8931"/>
        </w:tabs>
        <w:spacing w:after="0" w:line="360" w:lineRule="auto"/>
        <w:rPr>
          <w:color w:val="FF0000"/>
        </w:rPr>
      </w:pPr>
    </w:p>
    <w:p w:rsidR="00305CC1" w:rsidRDefault="00305CC1">
      <w:pPr>
        <w:tabs>
          <w:tab w:val="left" w:pos="8931"/>
        </w:tabs>
        <w:spacing w:after="0" w:line="360" w:lineRule="auto"/>
        <w:rPr>
          <w:color w:val="FF0000"/>
        </w:rPr>
      </w:pPr>
    </w:p>
    <w:p w:rsidR="00305CC1" w:rsidRDefault="00305CC1">
      <w:pPr>
        <w:tabs>
          <w:tab w:val="left" w:pos="8931"/>
        </w:tabs>
        <w:spacing w:after="0" w:line="360" w:lineRule="auto"/>
        <w:rPr>
          <w:color w:val="FF0000"/>
        </w:rPr>
      </w:pPr>
    </w:p>
    <w:p w:rsidR="00D07455" w:rsidRDefault="00D07455">
      <w:pPr>
        <w:tabs>
          <w:tab w:val="left" w:pos="8931"/>
        </w:tabs>
        <w:spacing w:after="0" w:line="360" w:lineRule="auto"/>
        <w:rPr>
          <w:color w:val="000000"/>
        </w:rPr>
      </w:pPr>
    </w:p>
    <w:p w:rsidR="00D07455" w:rsidRDefault="00F53554">
      <w:pPr>
        <w:tabs>
          <w:tab w:val="left" w:pos="8931"/>
        </w:tabs>
        <w:spacing w:after="0" w:line="360" w:lineRule="auto"/>
        <w:rPr>
          <w:color w:val="000000"/>
        </w:rPr>
      </w:pPr>
      <w:r>
        <w:rPr>
          <w:color w:val="000000"/>
        </w:rPr>
        <w:lastRenderedPageBreak/>
        <w:t>Resolución del Pleno del Instituto de Transparencia, Acceso a la Información Pública y Protección de Datos Personales del Estado de México y Municipios, con domicilio en Metepec, Estado de México, de fecha diecinueve de marzo de dos mil veintiséis</w:t>
      </w:r>
    </w:p>
    <w:p w:rsidR="00D07455" w:rsidRDefault="00F53554">
      <w:pPr>
        <w:tabs>
          <w:tab w:val="left" w:pos="2340"/>
        </w:tabs>
        <w:spacing w:after="0" w:line="360" w:lineRule="auto"/>
        <w:rPr>
          <w:b/>
          <w:bCs/>
          <w:color w:val="FF0000"/>
        </w:rPr>
      </w:pPr>
      <w:r>
        <w:rPr>
          <w:b/>
          <w:bCs/>
          <w:color w:val="FF0000"/>
        </w:rPr>
        <w:tab/>
      </w:r>
    </w:p>
    <w:p w:rsidR="00D07455" w:rsidRDefault="00F53554">
      <w:pPr>
        <w:tabs>
          <w:tab w:val="right" w:pos="8838"/>
        </w:tabs>
        <w:spacing w:after="0" w:line="360" w:lineRule="auto"/>
        <w:ind w:left="-113" w:right="-32"/>
      </w:pPr>
      <w:r>
        <w:rPr>
          <w:b/>
          <w:bCs/>
          <w:color w:val="000000"/>
        </w:rPr>
        <w:t xml:space="preserve">VISTO </w:t>
      </w:r>
      <w:r>
        <w:rPr>
          <w:color w:val="000000"/>
        </w:rPr>
        <w:t xml:space="preserve">el expediente electrónico conformado con motivo del Recurso de Revisión </w:t>
      </w:r>
      <w:r>
        <w:rPr>
          <w:b/>
          <w:bCs/>
          <w:color w:val="000000"/>
        </w:rPr>
        <w:t>04486/INFOEM/IP/RR/2025</w:t>
      </w:r>
      <w:r>
        <w:rPr>
          <w:color w:val="000000"/>
        </w:rPr>
        <w:t xml:space="preserve">, en contra de la respuesta del Sujeto Obligado, </w:t>
      </w:r>
      <w:r>
        <w:rPr>
          <w:b/>
          <w:bCs/>
          <w:color w:val="000000"/>
        </w:rPr>
        <w:t>Ayuntamiento de Toluca</w:t>
      </w:r>
      <w:r>
        <w:rPr>
          <w:color w:val="000000"/>
        </w:rPr>
        <w:t xml:space="preserve"> a la solicitud de acceso a la información pública </w:t>
      </w:r>
      <w:r>
        <w:t>00957/TOLUCA/IP/2025</w:t>
      </w:r>
      <w:r>
        <w:tab/>
        <w:t xml:space="preserve"> </w:t>
      </w:r>
      <w:r>
        <w:rPr>
          <w:color w:val="000000"/>
        </w:rPr>
        <w:t>se emite la presente Resolución, con base en los Antecedentes y Considerandos que se exponen a continuación:</w:t>
      </w:r>
    </w:p>
    <w:p w:rsidR="00D07455" w:rsidRDefault="00F53554">
      <w:pPr>
        <w:tabs>
          <w:tab w:val="left" w:pos="1965"/>
        </w:tabs>
        <w:spacing w:after="0" w:line="360" w:lineRule="auto"/>
        <w:rPr>
          <w:b/>
          <w:bCs/>
          <w:color w:val="FF0000"/>
        </w:rPr>
      </w:pPr>
      <w:r>
        <w:rPr>
          <w:b/>
          <w:bCs/>
          <w:color w:val="FF0000"/>
        </w:rPr>
        <w:tab/>
      </w:r>
    </w:p>
    <w:p w:rsidR="00D07455" w:rsidRDefault="00F53554">
      <w:pPr>
        <w:pStyle w:val="Ttulo1"/>
        <w:spacing w:before="0" w:line="360" w:lineRule="auto"/>
        <w:jc w:val="center"/>
        <w:rPr>
          <w:rFonts w:ascii="Palatino Linotype" w:eastAsia="Palatino Linotype" w:hAnsi="Palatino Linotype" w:cs="Palatino Linotype"/>
          <w:b/>
          <w:bCs/>
          <w:color w:val="000000"/>
          <w:sz w:val="22"/>
          <w:szCs w:val="22"/>
        </w:rPr>
      </w:pPr>
      <w:bookmarkStart w:id="0" w:name="_Toc224833176"/>
      <w:r>
        <w:rPr>
          <w:rFonts w:ascii="Palatino Linotype" w:eastAsia="Palatino Linotype" w:hAnsi="Palatino Linotype" w:cs="Palatino Linotype"/>
          <w:b/>
          <w:bCs/>
          <w:color w:val="000000"/>
          <w:sz w:val="22"/>
          <w:szCs w:val="22"/>
        </w:rPr>
        <w:t>A N T E C E D E N T E S</w:t>
      </w:r>
      <w:bookmarkEnd w:id="0"/>
    </w:p>
    <w:p w:rsidR="00D07455" w:rsidRDefault="00D07455">
      <w:pPr>
        <w:spacing w:after="0" w:line="360" w:lineRule="auto"/>
        <w:jc w:val="center"/>
        <w:rPr>
          <w:b/>
          <w:bCs/>
          <w:color w:val="000000"/>
        </w:rPr>
      </w:pPr>
    </w:p>
    <w:p w:rsidR="00D07455" w:rsidRDefault="00F53554">
      <w:pPr>
        <w:pStyle w:val="Ttulo2"/>
        <w:spacing w:before="0" w:line="360" w:lineRule="auto"/>
        <w:rPr>
          <w:rFonts w:ascii="Palatino Linotype" w:eastAsia="Palatino Linotype" w:hAnsi="Palatino Linotype" w:cs="Palatino Linotype"/>
          <w:b/>
          <w:bCs/>
          <w:color w:val="000000"/>
          <w:sz w:val="22"/>
          <w:szCs w:val="22"/>
        </w:rPr>
      </w:pPr>
      <w:bookmarkStart w:id="1" w:name="_Toc224833177"/>
      <w:r>
        <w:rPr>
          <w:rFonts w:ascii="Palatino Linotype" w:eastAsia="Palatino Linotype" w:hAnsi="Palatino Linotype" w:cs="Palatino Linotype"/>
          <w:b/>
          <w:bCs/>
          <w:color w:val="000000"/>
          <w:sz w:val="22"/>
          <w:szCs w:val="22"/>
        </w:rPr>
        <w:t>I. Presentación de la solicitud de información</w:t>
      </w:r>
      <w:bookmarkEnd w:id="1"/>
    </w:p>
    <w:p w:rsidR="00D07455" w:rsidRDefault="00D07455">
      <w:pPr>
        <w:spacing w:after="0" w:line="360" w:lineRule="auto"/>
        <w:rPr>
          <w:b/>
          <w:bCs/>
          <w:color w:val="000000"/>
        </w:rPr>
      </w:pPr>
    </w:p>
    <w:p w:rsidR="00D07455" w:rsidRDefault="00F53554">
      <w:pPr>
        <w:spacing w:after="0" w:line="360" w:lineRule="auto"/>
        <w:rPr>
          <w:color w:val="000000"/>
        </w:rPr>
      </w:pPr>
      <w:r>
        <w:rPr>
          <w:color w:val="000000"/>
        </w:rPr>
        <w:t>Con fecha desiste de febrero de dos mil veinticinco, la persona Solicitante presentó un requerimiento de acceso a la información, a través del Sistema de Acceso a la Información Mexiquense (SAIMEX), ante el Ayuntamiento de Toluca,</w:t>
      </w:r>
      <w:r>
        <w:rPr>
          <w:b/>
          <w:bCs/>
          <w:color w:val="000000"/>
        </w:rPr>
        <w:t xml:space="preserve"> </w:t>
      </w:r>
      <w:r>
        <w:rPr>
          <w:color w:val="000000"/>
        </w:rPr>
        <w:t>en los siguientes términos:</w:t>
      </w:r>
    </w:p>
    <w:p w:rsidR="00D07455" w:rsidRDefault="00D07455">
      <w:pPr>
        <w:tabs>
          <w:tab w:val="left" w:pos="4667"/>
        </w:tabs>
        <w:spacing w:after="0" w:line="360" w:lineRule="auto"/>
        <w:ind w:right="567"/>
        <w:rPr>
          <w:b/>
          <w:bCs/>
          <w:i/>
          <w:iCs/>
          <w:color w:val="FF0000"/>
        </w:rPr>
      </w:pPr>
    </w:p>
    <w:p w:rsidR="00D07455" w:rsidRDefault="00F53554">
      <w:pPr>
        <w:spacing w:after="0" w:line="360" w:lineRule="auto"/>
        <w:ind w:left="567" w:right="567"/>
        <w:rPr>
          <w:b/>
          <w:bCs/>
          <w:i/>
          <w:iCs/>
          <w:color w:val="000000"/>
          <w:sz w:val="20"/>
          <w:szCs w:val="20"/>
        </w:rPr>
      </w:pPr>
      <w:r>
        <w:rPr>
          <w:b/>
          <w:bCs/>
          <w:i/>
          <w:iCs/>
          <w:color w:val="000000"/>
          <w:sz w:val="20"/>
          <w:szCs w:val="20"/>
        </w:rPr>
        <w:t>“DESCRIPCIÓN CLARA Y PRECISA DE LA INFORMACIÓN SOLICITADA.</w:t>
      </w:r>
    </w:p>
    <w:p w:rsidR="00D07455" w:rsidRDefault="00F53554">
      <w:pPr>
        <w:spacing w:after="0" w:line="360" w:lineRule="auto"/>
        <w:ind w:left="567" w:right="567"/>
        <w:rPr>
          <w:i/>
          <w:iCs/>
          <w:color w:val="000000"/>
          <w:sz w:val="20"/>
          <w:szCs w:val="20"/>
        </w:rPr>
      </w:pPr>
      <w:r>
        <w:rPr>
          <w:i/>
          <w:iCs/>
          <w:color w:val="000000"/>
          <w:sz w:val="20"/>
          <w:szCs w:val="20"/>
        </w:rPr>
        <w:t xml:space="preserve">Nombre completo y copias de sus títulos y grados académicos así como de las respectivas cédulas profesionales Copia de su último comprobante de pago y el respectivo comprobante del depósito en la cuenta bancaria correspondiente o transferencia electrónica Informe de las actividades realizadas en el último mes Copia de la más reciente manifestación de bienes o versión pública de la misma Detalle de su domicilio particular y teléfono de casa Copia de su nombramiento oficial Copia del último informe de actividades que realizó Copia de la actividad más reciente que tiene proyectado realizar en beneficio de la sociedad (Sic) </w:t>
      </w:r>
    </w:p>
    <w:p w:rsidR="00D07455" w:rsidRDefault="00F53554">
      <w:pPr>
        <w:spacing w:after="0" w:line="360" w:lineRule="auto"/>
        <w:ind w:right="567"/>
        <w:rPr>
          <w:i/>
          <w:iCs/>
          <w:color w:val="000000"/>
          <w:sz w:val="20"/>
          <w:szCs w:val="20"/>
        </w:rPr>
      </w:pPr>
      <w:r>
        <w:rPr>
          <w:i/>
          <w:iCs/>
          <w:color w:val="000000"/>
          <w:sz w:val="20"/>
          <w:szCs w:val="20"/>
        </w:rPr>
        <w:t xml:space="preserve">   </w:t>
      </w:r>
    </w:p>
    <w:p w:rsidR="00D07455" w:rsidRDefault="00F53554">
      <w:pPr>
        <w:spacing w:after="0" w:line="360" w:lineRule="auto"/>
        <w:ind w:left="567" w:right="567"/>
        <w:rPr>
          <w:b/>
          <w:bCs/>
          <w:i/>
          <w:iCs/>
          <w:color w:val="000000"/>
          <w:sz w:val="20"/>
          <w:szCs w:val="20"/>
        </w:rPr>
      </w:pPr>
      <w:r>
        <w:rPr>
          <w:b/>
          <w:bCs/>
          <w:i/>
          <w:iCs/>
          <w:color w:val="000000"/>
          <w:sz w:val="20"/>
          <w:szCs w:val="20"/>
        </w:rPr>
        <w:lastRenderedPageBreak/>
        <w:t>“MODALIDAD DE ENTREGA</w:t>
      </w:r>
    </w:p>
    <w:p w:rsidR="00D07455" w:rsidRDefault="00F53554">
      <w:pPr>
        <w:spacing w:after="0" w:line="360" w:lineRule="auto"/>
        <w:ind w:left="567" w:right="567"/>
        <w:rPr>
          <w:i/>
          <w:iCs/>
          <w:color w:val="000000"/>
          <w:sz w:val="20"/>
          <w:szCs w:val="20"/>
        </w:rPr>
      </w:pPr>
      <w:r>
        <w:rPr>
          <w:i/>
          <w:iCs/>
          <w:color w:val="000000"/>
          <w:sz w:val="20"/>
          <w:szCs w:val="20"/>
        </w:rPr>
        <w:t>A través del SAIMEX”</w:t>
      </w:r>
    </w:p>
    <w:p w:rsidR="00D07455" w:rsidRDefault="00D07455">
      <w:pPr>
        <w:spacing w:after="0" w:line="360" w:lineRule="auto"/>
        <w:ind w:left="567" w:right="567"/>
        <w:rPr>
          <w:i/>
          <w:iCs/>
          <w:color w:val="000000"/>
          <w:sz w:val="20"/>
          <w:szCs w:val="20"/>
        </w:rPr>
      </w:pPr>
    </w:p>
    <w:p w:rsidR="00D07455" w:rsidRDefault="00F53554">
      <w:pPr>
        <w:keepNext/>
        <w:keepLines/>
        <w:spacing w:after="0" w:line="360" w:lineRule="auto"/>
        <w:rPr>
          <w:b/>
          <w:bCs/>
          <w:color w:val="000000"/>
        </w:rPr>
      </w:pPr>
      <w:r>
        <w:rPr>
          <w:b/>
          <w:bCs/>
          <w:color w:val="000000"/>
        </w:rPr>
        <w:t>II. Requerimiento de aclaración a la solicitud de acceso a la información</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El veinticuatro de febrero de dos mil veinticinco, la Unidad de Transparencia del Ayuntamiento de Toluca, notificó al Particular, mediante el Sistema de Acceso a la Información Mexiquense (SAIMEX), un requerimiento de información adicional a la solicitud de información previamente referida, en los siguientes términos:</w:t>
      </w:r>
    </w:p>
    <w:p w:rsidR="00D07455" w:rsidRDefault="00D07455">
      <w:pPr>
        <w:spacing w:after="0" w:line="360" w:lineRule="auto"/>
        <w:rPr>
          <w:color w:val="000000"/>
        </w:rPr>
      </w:pPr>
    </w:p>
    <w:p w:rsidR="00D07455" w:rsidRDefault="00F53554">
      <w:pPr>
        <w:tabs>
          <w:tab w:val="left" w:pos="4667"/>
        </w:tabs>
        <w:spacing w:after="0" w:line="360" w:lineRule="auto"/>
        <w:ind w:left="567" w:right="567"/>
        <w:rPr>
          <w:i/>
          <w:iCs/>
          <w:color w:val="000000"/>
          <w:sz w:val="20"/>
          <w:szCs w:val="20"/>
        </w:rPr>
      </w:pPr>
      <w:r>
        <w:rPr>
          <w:i/>
          <w:iCs/>
          <w:color w:val="000000"/>
          <w:sz w:val="20"/>
          <w:szCs w:val="20"/>
        </w:rPr>
        <w:t>“…</w:t>
      </w:r>
    </w:p>
    <w:p w:rsidR="00D07455" w:rsidRDefault="00F53554">
      <w:pPr>
        <w:tabs>
          <w:tab w:val="left" w:pos="4667"/>
        </w:tabs>
        <w:spacing w:after="0" w:line="360" w:lineRule="auto"/>
        <w:ind w:left="567" w:right="567"/>
        <w:rPr>
          <w:i/>
          <w:iCs/>
          <w:color w:val="000000"/>
          <w:sz w:val="20"/>
          <w:szCs w:val="20"/>
        </w:rPr>
      </w:pPr>
      <w:r>
        <w:rPr>
          <w:i/>
          <w:iCs/>
          <w:color w:val="000000"/>
          <w:sz w:val="20"/>
          <w:szCs w:val="20"/>
        </w:rPr>
        <w:t xml:space="preserve">III. Por lo anterior y con la finalidad de entregar la información referida en su petición, solicito a Usted de la forma más atenta, tenga a bien informar a la que suscribe a que </w:t>
      </w:r>
      <w:r>
        <w:rPr>
          <w:i/>
          <w:iCs/>
          <w:color w:val="000000"/>
          <w:sz w:val="20"/>
          <w:szCs w:val="20"/>
          <w:u w:val="single"/>
        </w:rPr>
        <w:t xml:space="preserve">"qué información específicamente requiere </w:t>
      </w:r>
      <w:r>
        <w:rPr>
          <w:b/>
          <w:bCs/>
          <w:i/>
          <w:iCs/>
          <w:color w:val="000000"/>
          <w:sz w:val="20"/>
          <w:szCs w:val="20"/>
          <w:u w:val="single"/>
        </w:rPr>
        <w:t>“persona se refiere</w:t>
      </w:r>
      <w:r>
        <w:rPr>
          <w:b/>
          <w:bCs/>
          <w:i/>
          <w:iCs/>
          <w:color w:val="000000"/>
          <w:sz w:val="20"/>
          <w:szCs w:val="20"/>
        </w:rPr>
        <w:t>;</w:t>
      </w:r>
      <w:r>
        <w:rPr>
          <w:i/>
          <w:iCs/>
          <w:color w:val="000000"/>
          <w:sz w:val="20"/>
          <w:szCs w:val="20"/>
        </w:rPr>
        <w:t xml:space="preserve"> lo anterior, para que este Sujeto Obligado pueda realizar una búsqueda exhaustiva de la información que solicita y así estar en aptitud de responder de forma veraz y eficiente su solicitud.</w:t>
      </w:r>
    </w:p>
    <w:p w:rsidR="00D07455" w:rsidRDefault="00D07455">
      <w:pPr>
        <w:tabs>
          <w:tab w:val="left" w:pos="4667"/>
        </w:tabs>
        <w:spacing w:after="0" w:line="360" w:lineRule="auto"/>
        <w:ind w:left="567" w:right="567"/>
        <w:rPr>
          <w:i/>
          <w:iCs/>
          <w:color w:val="000000"/>
          <w:sz w:val="20"/>
          <w:szCs w:val="20"/>
        </w:rPr>
      </w:pPr>
    </w:p>
    <w:p w:rsidR="00D07455" w:rsidRDefault="00F53554">
      <w:pPr>
        <w:tabs>
          <w:tab w:val="left" w:pos="4667"/>
        </w:tabs>
        <w:spacing w:after="0" w:line="360" w:lineRule="auto"/>
        <w:ind w:left="567" w:right="567"/>
        <w:rPr>
          <w:i/>
          <w:iCs/>
          <w:color w:val="000000"/>
          <w:sz w:val="20"/>
          <w:szCs w:val="20"/>
        </w:rPr>
      </w:pPr>
      <w:r>
        <w:rPr>
          <w:i/>
          <w:iCs/>
          <w:color w:val="000000"/>
          <w:sz w:val="20"/>
          <w:szCs w:val="20"/>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D07455" w:rsidRDefault="00F53554">
      <w:pPr>
        <w:tabs>
          <w:tab w:val="left" w:pos="4667"/>
        </w:tabs>
        <w:spacing w:after="0" w:line="360" w:lineRule="auto"/>
        <w:ind w:left="567" w:right="567"/>
        <w:rPr>
          <w:i/>
          <w:iCs/>
          <w:color w:val="000000"/>
          <w:sz w:val="20"/>
          <w:szCs w:val="20"/>
        </w:rPr>
      </w:pPr>
      <w:r>
        <w:rPr>
          <w:i/>
          <w:iCs/>
          <w:color w:val="000000"/>
          <w:sz w:val="20"/>
          <w:szCs w:val="20"/>
        </w:rPr>
        <w:t>…”</w:t>
      </w:r>
    </w:p>
    <w:p w:rsidR="00D07455" w:rsidRDefault="00D07455">
      <w:pPr>
        <w:keepNext/>
        <w:keepLines/>
        <w:spacing w:after="0" w:line="360" w:lineRule="auto"/>
        <w:rPr>
          <w:b/>
          <w:bCs/>
          <w:color w:val="000000"/>
        </w:rPr>
      </w:pPr>
    </w:p>
    <w:p w:rsidR="00D07455" w:rsidRDefault="00F53554">
      <w:pPr>
        <w:keepNext/>
        <w:keepLines/>
        <w:spacing w:after="0" w:line="360" w:lineRule="auto"/>
        <w:rPr>
          <w:b/>
          <w:bCs/>
          <w:color w:val="000000"/>
        </w:rPr>
      </w:pPr>
      <w:r>
        <w:rPr>
          <w:b/>
          <w:bCs/>
          <w:color w:val="000000"/>
        </w:rPr>
        <w:t>III. Contestación al requerimiento de aclaración</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El veinticuatro de febrero de dos mil veinticinco, el Particular respondió al requerimiento de aclaración referido, mediante el Sistema de Acceso a la Información Mexiquense (SAIMEX), en los términos siguientes:</w:t>
      </w:r>
    </w:p>
    <w:p w:rsidR="00D07455" w:rsidRDefault="00D07455">
      <w:pPr>
        <w:spacing w:after="0" w:line="360" w:lineRule="auto"/>
        <w:rPr>
          <w:color w:val="000000"/>
        </w:rPr>
      </w:pPr>
    </w:p>
    <w:p w:rsidR="00D07455" w:rsidRDefault="00F53554">
      <w:pPr>
        <w:tabs>
          <w:tab w:val="left" w:pos="4667"/>
        </w:tabs>
        <w:spacing w:after="0" w:line="360" w:lineRule="auto"/>
        <w:ind w:left="567" w:right="567"/>
        <w:rPr>
          <w:i/>
          <w:iCs/>
          <w:color w:val="000000"/>
          <w:sz w:val="20"/>
          <w:szCs w:val="20"/>
        </w:rPr>
      </w:pPr>
      <w:r>
        <w:rPr>
          <w:i/>
          <w:iCs/>
          <w:color w:val="000000"/>
          <w:sz w:val="20"/>
          <w:szCs w:val="20"/>
        </w:rPr>
        <w:lastRenderedPageBreak/>
        <w:t>“Del presidente, cabildo, directores, coordinadores y titularse, Secretario del Ayuntamiento” (Sic)</w:t>
      </w:r>
    </w:p>
    <w:p w:rsidR="00D07455" w:rsidRDefault="00D07455">
      <w:pPr>
        <w:spacing w:after="0" w:line="360" w:lineRule="auto"/>
        <w:ind w:right="567"/>
        <w:rPr>
          <w:i/>
          <w:iCs/>
          <w:color w:val="000000"/>
          <w:sz w:val="20"/>
          <w:szCs w:val="20"/>
        </w:rPr>
      </w:pPr>
    </w:p>
    <w:p w:rsidR="00D07455" w:rsidRDefault="00F53554">
      <w:pPr>
        <w:keepNext/>
        <w:keepLines/>
        <w:spacing w:after="0" w:line="360" w:lineRule="auto"/>
        <w:rPr>
          <w:color w:val="000000"/>
        </w:rPr>
      </w:pPr>
      <w:r>
        <w:rPr>
          <w:b/>
          <w:bCs/>
          <w:color w:val="000000"/>
        </w:rPr>
        <w:t xml:space="preserve">IV. Prórroga </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 xml:space="preserve">Con fecha diecinueve de marzo de dos mil veinticinco, el Sujeto Obligado, a través del Sistema de Acceso a la Información Mexiquense (SAIMEX), y mediante el Titular de la Unidad de Transparencia del Sujeto Obligado, proporcionó el Acta de la Ducentésima Quincuagésima Sesión Extraordinaria del Comité de Transparencia, por medio del cual se aprobó una prórroga por siete días para atender las solicitudes de información, a través del Acuerdo CT/SE/250/01/2025. </w:t>
      </w:r>
    </w:p>
    <w:p w:rsidR="00D07455" w:rsidRDefault="00D07455">
      <w:pPr>
        <w:spacing w:after="0" w:line="360" w:lineRule="auto"/>
        <w:rPr>
          <w:b/>
          <w:bCs/>
          <w:color w:val="000000"/>
        </w:rPr>
      </w:pPr>
    </w:p>
    <w:p w:rsidR="00D07455" w:rsidRDefault="00F53554">
      <w:pPr>
        <w:pStyle w:val="Ttulo2"/>
        <w:spacing w:before="0" w:line="360" w:lineRule="auto"/>
        <w:rPr>
          <w:rFonts w:ascii="Palatino Linotype" w:eastAsia="Palatino Linotype" w:hAnsi="Palatino Linotype" w:cs="Palatino Linotype"/>
          <w:b/>
          <w:bCs/>
          <w:color w:val="000000"/>
          <w:sz w:val="22"/>
          <w:szCs w:val="22"/>
        </w:rPr>
      </w:pPr>
      <w:bookmarkStart w:id="2" w:name="_Toc224833178"/>
      <w:r>
        <w:rPr>
          <w:rFonts w:ascii="Palatino Linotype" w:eastAsia="Palatino Linotype" w:hAnsi="Palatino Linotype" w:cs="Palatino Linotype"/>
          <w:b/>
          <w:bCs/>
          <w:color w:val="000000"/>
          <w:sz w:val="22"/>
          <w:szCs w:val="22"/>
        </w:rPr>
        <w:t>V. Respuesta del Sujeto Obligado</w:t>
      </w:r>
      <w:bookmarkEnd w:id="2"/>
    </w:p>
    <w:p w:rsidR="00D07455" w:rsidRDefault="00F53554">
      <w:pPr>
        <w:spacing w:after="0" w:line="360" w:lineRule="auto"/>
        <w:rPr>
          <w:b/>
          <w:bCs/>
          <w:color w:val="FF0000"/>
        </w:rPr>
      </w:pPr>
      <w:r>
        <w:rPr>
          <w:b/>
          <w:bCs/>
          <w:color w:val="FF0000"/>
        </w:rPr>
        <w:t xml:space="preserve">  </w:t>
      </w:r>
    </w:p>
    <w:p w:rsidR="00D07455" w:rsidRDefault="00F53554">
      <w:pPr>
        <w:spacing w:after="0" w:line="360" w:lineRule="auto"/>
        <w:rPr>
          <w:color w:val="000000"/>
        </w:rPr>
      </w:pPr>
      <w:bookmarkStart w:id="3" w:name="_heading=h.q5xlec8arevm" w:colFirst="0" w:colLast="0"/>
      <w:bookmarkEnd w:id="3"/>
      <w:r>
        <w:rPr>
          <w:color w:val="000000"/>
        </w:rPr>
        <w:t>Con fecha veintiocho de marzo de dos mil veinticinco, el Ayuntamiento de Toluca, notificó la respuesta a la solicitud, a través del Sistema de Acceso a la Información Mexiquense (SAIMEX), mediante la digitalización de los siguientes documentos:</w:t>
      </w:r>
    </w:p>
    <w:p w:rsidR="00D07455" w:rsidRDefault="00D07455">
      <w:pPr>
        <w:spacing w:after="0" w:line="360" w:lineRule="auto"/>
        <w:rPr>
          <w:color w:val="FF0000"/>
        </w:rPr>
      </w:pPr>
    </w:p>
    <w:p w:rsidR="00D07455" w:rsidRDefault="00F53554">
      <w:pPr>
        <w:spacing w:after="0" w:line="360" w:lineRule="auto"/>
        <w:rPr>
          <w:color w:val="000000"/>
        </w:rPr>
      </w:pPr>
      <w:r>
        <w:rPr>
          <w:color w:val="000000"/>
        </w:rPr>
        <w:t>i) Oficio sin número, de la misma fecha de recepción, suscrito por el al Titular de la Unidad de Transparencia y dirigido al Solicitante, por medio del cual precisó lo siguiente:</w:t>
      </w:r>
    </w:p>
    <w:p w:rsidR="00D07455" w:rsidRDefault="00D07455">
      <w:pPr>
        <w:spacing w:after="0" w:line="360" w:lineRule="auto"/>
        <w:rPr>
          <w:color w:val="000000"/>
        </w:rPr>
      </w:pPr>
    </w:p>
    <w:p w:rsidR="00D07455" w:rsidRDefault="00F53554">
      <w:pPr>
        <w:spacing w:after="0" w:line="360" w:lineRule="auto"/>
        <w:ind w:left="567" w:right="567"/>
        <w:rPr>
          <w:i/>
          <w:iCs/>
          <w:color w:val="000000"/>
          <w:sz w:val="20"/>
          <w:szCs w:val="20"/>
        </w:rPr>
      </w:pPr>
      <w:r>
        <w:rPr>
          <w:i/>
          <w:iCs/>
          <w:color w:val="000000"/>
          <w:sz w:val="20"/>
          <w:szCs w:val="20"/>
        </w:rPr>
        <w:t xml:space="preserve">“… hago de su conocimiento que la </w:t>
      </w:r>
      <w:r>
        <w:rPr>
          <w:b/>
          <w:bCs/>
          <w:i/>
          <w:iCs/>
          <w:color w:val="000000"/>
          <w:sz w:val="20"/>
          <w:szCs w:val="20"/>
        </w:rPr>
        <w:t>Dirección General de Administración y Servidora Pública Habilitada</w:t>
      </w:r>
      <w:r>
        <w:rPr>
          <w:i/>
          <w:iCs/>
          <w:color w:val="000000"/>
          <w:sz w:val="20"/>
          <w:szCs w:val="20"/>
        </w:rPr>
        <w:t xml:space="preserve">, informó que después de una búsqueda exhaustiva y razonable en los archivos que guarda el Departamento de Administración de Personal, se anexa la información referente a </w:t>
      </w:r>
      <w:r>
        <w:rPr>
          <w:b/>
          <w:bCs/>
          <w:i/>
          <w:iCs/>
          <w:color w:val="000000"/>
          <w:sz w:val="20"/>
          <w:szCs w:val="20"/>
        </w:rPr>
        <w:t>“... Nombre completo y copias de sus títulos y grados académicos así como de las respectivas cedulas profesionales, Copia de su nombramiento oficial... ".</w:t>
      </w:r>
    </w:p>
    <w:p w:rsidR="00D07455" w:rsidRDefault="00F53554">
      <w:pPr>
        <w:spacing w:after="0" w:line="360" w:lineRule="auto"/>
        <w:ind w:left="567" w:right="567"/>
        <w:rPr>
          <w:i/>
          <w:iCs/>
          <w:color w:val="000000"/>
          <w:sz w:val="20"/>
          <w:szCs w:val="20"/>
        </w:rPr>
      </w:pPr>
      <w:r>
        <w:rPr>
          <w:i/>
          <w:iCs/>
          <w:color w:val="000000"/>
          <w:sz w:val="20"/>
          <w:szCs w:val="20"/>
        </w:rPr>
        <w:t xml:space="preserve"> …</w:t>
      </w:r>
    </w:p>
    <w:p w:rsidR="00D07455" w:rsidRDefault="00F53554">
      <w:pPr>
        <w:spacing w:after="0" w:line="360" w:lineRule="auto"/>
        <w:ind w:left="567" w:right="567"/>
        <w:rPr>
          <w:i/>
          <w:iCs/>
          <w:color w:val="000000"/>
          <w:sz w:val="20"/>
          <w:szCs w:val="20"/>
        </w:rPr>
      </w:pPr>
      <w:r>
        <w:rPr>
          <w:i/>
          <w:iCs/>
          <w:color w:val="000000"/>
          <w:sz w:val="20"/>
          <w:szCs w:val="20"/>
        </w:rPr>
        <w:lastRenderedPageBreak/>
        <w:t xml:space="preserve">Por lo que respecta a: </w:t>
      </w:r>
      <w:r>
        <w:rPr>
          <w:b/>
          <w:bCs/>
          <w:i/>
          <w:iCs/>
          <w:color w:val="000000"/>
          <w:sz w:val="20"/>
          <w:szCs w:val="20"/>
        </w:rPr>
        <w:t>“... el respectivo comprobante del depósito en la cuenta bancaria correspondiente o transferencia electrónica... Detalle de su domicilio particular y teléfono de casa Copia del último informe de actividades que realizo Copia de la actividad más reciente que tiene proyectado realizar en beneficio de la sociedad. ‘‘(Sic)</w:t>
      </w:r>
      <w:r>
        <w:rPr>
          <w:i/>
          <w:iCs/>
          <w:color w:val="000000"/>
          <w:sz w:val="20"/>
          <w:szCs w:val="20"/>
        </w:rPr>
        <w:t xml:space="preserve">. Se hace de su conocimiento que la Dirección </w:t>
      </w:r>
      <w:r>
        <w:rPr>
          <w:i/>
          <w:iCs/>
          <w:color w:val="000000"/>
          <w:sz w:val="20"/>
          <w:szCs w:val="20"/>
          <w:u w:val="single"/>
        </w:rPr>
        <w:t>no cuenta con dicha información, toda vez que no se encuentra dentro de sus funciones y atribuciones, referidas en el manual de Organización</w:t>
      </w:r>
      <w:r>
        <w:rPr>
          <w:i/>
          <w:iCs/>
          <w:color w:val="000000"/>
          <w:sz w:val="20"/>
          <w:szCs w:val="20"/>
        </w:rPr>
        <w:t xml:space="preserve"> de la Dirección General de Administración, por lo que no es posible otorgarla.</w:t>
      </w:r>
    </w:p>
    <w:p w:rsidR="00D07455" w:rsidRDefault="00D07455">
      <w:pPr>
        <w:spacing w:after="0" w:line="360" w:lineRule="auto"/>
        <w:ind w:left="567" w:right="567"/>
        <w:rPr>
          <w:i/>
          <w:iCs/>
          <w:color w:val="000000"/>
          <w:sz w:val="20"/>
          <w:szCs w:val="20"/>
        </w:rPr>
      </w:pPr>
    </w:p>
    <w:p w:rsidR="00D07455" w:rsidRDefault="00F53554">
      <w:pPr>
        <w:spacing w:after="0" w:line="360" w:lineRule="auto"/>
        <w:ind w:left="567" w:right="567"/>
        <w:rPr>
          <w:i/>
          <w:iCs/>
          <w:color w:val="000000"/>
          <w:sz w:val="20"/>
          <w:szCs w:val="20"/>
        </w:rPr>
      </w:pPr>
      <w:r>
        <w:rPr>
          <w:i/>
          <w:iCs/>
          <w:color w:val="000000"/>
          <w:sz w:val="20"/>
          <w:szCs w:val="20"/>
        </w:rPr>
        <w:t xml:space="preserve">En cuanto a: </w:t>
      </w:r>
      <w:r>
        <w:rPr>
          <w:b/>
          <w:bCs/>
          <w:i/>
          <w:iCs/>
          <w:color w:val="000000"/>
          <w:sz w:val="20"/>
          <w:szCs w:val="20"/>
        </w:rPr>
        <w:t>“... Copia de la más reciente manifestación de bienes o versión publica de la misma”</w:t>
      </w:r>
      <w:r>
        <w:rPr>
          <w:i/>
          <w:iCs/>
          <w:color w:val="000000"/>
          <w:sz w:val="20"/>
          <w:szCs w:val="20"/>
        </w:rPr>
        <w:t xml:space="preserve"> le informo que </w:t>
      </w:r>
      <w:r>
        <w:rPr>
          <w:i/>
          <w:iCs/>
          <w:color w:val="000000"/>
          <w:sz w:val="20"/>
          <w:szCs w:val="20"/>
          <w:u w:val="single"/>
        </w:rPr>
        <w:t>la Secretaria de la Contraloría del Gobierno del Estado de México es la dependencia encargada de la vigilancia y control de la declaración patrimonial, de intereses y constancia de presentación de la declaración fiscal de los servidores públicos</w:t>
      </w:r>
      <w:r>
        <w:rPr>
          <w:i/>
          <w:iCs/>
          <w:color w:val="000000"/>
          <w:sz w:val="20"/>
          <w:szCs w:val="20"/>
        </w:rPr>
        <w:t>, la anterior con fundamento en el artículo 38 bis de la Ley Orgánica de la administración pública del estado de México.</w:t>
      </w:r>
    </w:p>
    <w:p w:rsidR="00D07455" w:rsidRDefault="00D07455">
      <w:pPr>
        <w:spacing w:after="0" w:line="360" w:lineRule="auto"/>
        <w:ind w:left="567" w:right="567"/>
        <w:rPr>
          <w:i/>
          <w:iCs/>
          <w:color w:val="000000"/>
          <w:sz w:val="20"/>
          <w:szCs w:val="20"/>
        </w:rPr>
      </w:pPr>
    </w:p>
    <w:p w:rsidR="00D07455" w:rsidRDefault="00F53554">
      <w:pPr>
        <w:spacing w:after="0" w:line="360" w:lineRule="auto"/>
        <w:ind w:left="567" w:right="567"/>
        <w:rPr>
          <w:i/>
          <w:iCs/>
          <w:color w:val="000000"/>
          <w:sz w:val="20"/>
          <w:szCs w:val="20"/>
        </w:rPr>
      </w:pPr>
      <w:r>
        <w:rPr>
          <w:i/>
          <w:iCs/>
          <w:color w:val="000000"/>
          <w:sz w:val="20"/>
          <w:szCs w:val="20"/>
        </w:rPr>
        <w:t xml:space="preserve">Lo anterior, de conformidad en los artículos 12 y 24 de la Ley de Transparencia, Acceso a la Información Pública del Estado de México y Municipios…” </w:t>
      </w:r>
    </w:p>
    <w:p w:rsidR="00D07455" w:rsidRDefault="00D07455">
      <w:pPr>
        <w:spacing w:after="0" w:line="360" w:lineRule="auto"/>
        <w:rPr>
          <w:i/>
          <w:iCs/>
          <w:color w:val="000000"/>
          <w:sz w:val="20"/>
          <w:szCs w:val="20"/>
        </w:rPr>
      </w:pPr>
    </w:p>
    <w:p w:rsidR="00D07455" w:rsidRDefault="00F53554">
      <w:pPr>
        <w:spacing w:after="0" w:line="360" w:lineRule="auto"/>
      </w:pPr>
      <w:r>
        <w:rPr>
          <w:color w:val="000000"/>
        </w:rPr>
        <w:t xml:space="preserve">ii) Adjuntó la digitalización de ciento dieciséis comprobantes de estudios (Títulos profesionales, constancia de estudios, cédulas profesionales, certificado de estudios, diplomas y hojas de trayectoria académica, y cartas de pasante) en versión pública, no obstante, cabe precisar que se dejaron datos visibles </w:t>
      </w:r>
      <w:r>
        <w:t xml:space="preserve">como número de cuentas, matrículas. De conformidad con lo siguiente: </w:t>
      </w:r>
    </w:p>
    <w:p w:rsidR="00D07455" w:rsidRDefault="00D07455">
      <w:pPr>
        <w:spacing w:after="0" w:line="360" w:lineRule="auto"/>
      </w:pP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Carla Elizabeth Allende Peña-Título de Maestría. </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José Luis Álvarez Orozco- </w:t>
      </w:r>
      <w:proofErr w:type="spellStart"/>
      <w:r>
        <w:rPr>
          <w:color w:val="000000"/>
        </w:rPr>
        <w:t>Títutlo</w:t>
      </w:r>
      <w:proofErr w:type="spellEnd"/>
      <w:r>
        <w:rPr>
          <w:color w:val="000000"/>
        </w:rPr>
        <w:t xml:space="preserve"> Profesional  </w:t>
      </w:r>
    </w:p>
    <w:p w:rsidR="00D07455" w:rsidRDefault="00F53554">
      <w:pPr>
        <w:numPr>
          <w:ilvl w:val="0"/>
          <w:numId w:val="5"/>
        </w:numPr>
        <w:pBdr>
          <w:top w:val="nil"/>
          <w:left w:val="nil"/>
          <w:bottom w:val="nil"/>
          <w:right w:val="nil"/>
          <w:between w:val="nil"/>
        </w:pBdr>
        <w:spacing w:after="0" w:line="360" w:lineRule="auto"/>
        <w:rPr>
          <w:color w:val="000000"/>
        </w:rPr>
      </w:pPr>
      <w:proofErr w:type="spellStart"/>
      <w:r>
        <w:rPr>
          <w:color w:val="000000"/>
        </w:rPr>
        <w:t>Abrahan</w:t>
      </w:r>
      <w:proofErr w:type="spellEnd"/>
      <w:r>
        <w:rPr>
          <w:color w:val="000000"/>
        </w:rPr>
        <w:t xml:space="preserve"> Amaro Álvarez- Título Profesional </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Gustavo Anaya Maya- Carta de pasante</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lastRenderedPageBreak/>
        <w:t xml:space="preserve">Emma Estefanía Andrade Gallegos-Cédula Profesional </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Javier Andrés Flores- Título Profesional </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Fernando Arellano Fuentes-Título Profesional </w:t>
      </w:r>
    </w:p>
    <w:p w:rsidR="00D07455" w:rsidRDefault="00F53554">
      <w:pPr>
        <w:numPr>
          <w:ilvl w:val="0"/>
          <w:numId w:val="5"/>
        </w:numPr>
        <w:pBdr>
          <w:top w:val="nil"/>
          <w:left w:val="nil"/>
          <w:bottom w:val="nil"/>
          <w:right w:val="nil"/>
          <w:between w:val="nil"/>
        </w:pBdr>
        <w:spacing w:after="0" w:line="360" w:lineRule="auto"/>
        <w:rPr>
          <w:color w:val="000000"/>
        </w:rPr>
      </w:pPr>
      <w:proofErr w:type="spellStart"/>
      <w:r>
        <w:rPr>
          <w:color w:val="000000"/>
        </w:rPr>
        <w:t>Yudel</w:t>
      </w:r>
      <w:proofErr w:type="spellEnd"/>
      <w:r>
        <w:rPr>
          <w:color w:val="000000"/>
        </w:rPr>
        <w:t xml:space="preserve"> Arreola Rubio-</w:t>
      </w:r>
      <w:proofErr w:type="spellStart"/>
      <w:r>
        <w:rPr>
          <w:color w:val="000000"/>
        </w:rPr>
        <w:t>Titulo</w:t>
      </w:r>
      <w:proofErr w:type="spellEnd"/>
      <w:r>
        <w:rPr>
          <w:color w:val="000000"/>
        </w:rPr>
        <w:t xml:space="preserve"> Profesional </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José Luis </w:t>
      </w:r>
      <w:proofErr w:type="spellStart"/>
      <w:r>
        <w:rPr>
          <w:color w:val="000000"/>
        </w:rPr>
        <w:t>Arzaluz</w:t>
      </w:r>
      <w:proofErr w:type="spellEnd"/>
      <w:r>
        <w:rPr>
          <w:color w:val="000000"/>
        </w:rPr>
        <w:t xml:space="preserve"> Rodríguez-Cédula Profesional</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Jorge Alberto Ayón Monsalve- Título Profesional </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Laura Fernanda Barbosa </w:t>
      </w:r>
      <w:proofErr w:type="spellStart"/>
      <w:r>
        <w:rPr>
          <w:color w:val="000000"/>
        </w:rPr>
        <w:t>Eguiliz</w:t>
      </w:r>
      <w:proofErr w:type="spellEnd"/>
      <w:r>
        <w:rPr>
          <w:color w:val="000000"/>
        </w:rPr>
        <w:t xml:space="preserve">- Cédula Profesional </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José Alberto Barroso Rodríguez-</w:t>
      </w:r>
      <w:proofErr w:type="spellStart"/>
      <w:r>
        <w:rPr>
          <w:color w:val="000000"/>
        </w:rPr>
        <w:t>Títutlo</w:t>
      </w:r>
      <w:proofErr w:type="spellEnd"/>
      <w:r>
        <w:rPr>
          <w:color w:val="000000"/>
        </w:rPr>
        <w:t xml:space="preserve"> Profesional </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José Alberto Barroso Rodríguez-Certificado de Estudios</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Cruz Elena Becerra Zavaleta- Título Profesional </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Maximino Bueno Gutiérrez- Título Profesional</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Jesús Antonio Caballero Díaz- Título Profesional</w:t>
      </w:r>
    </w:p>
    <w:p w:rsidR="00D07455" w:rsidRDefault="00F53554">
      <w:pPr>
        <w:numPr>
          <w:ilvl w:val="0"/>
          <w:numId w:val="5"/>
        </w:numPr>
        <w:pBdr>
          <w:top w:val="nil"/>
          <w:left w:val="nil"/>
          <w:bottom w:val="nil"/>
          <w:right w:val="nil"/>
          <w:between w:val="nil"/>
        </w:pBdr>
        <w:spacing w:after="0" w:line="360" w:lineRule="auto"/>
        <w:rPr>
          <w:color w:val="000000"/>
        </w:rPr>
      </w:pPr>
      <w:proofErr w:type="spellStart"/>
      <w:r>
        <w:rPr>
          <w:color w:val="000000"/>
        </w:rPr>
        <w:t>Yasmin</w:t>
      </w:r>
      <w:proofErr w:type="spellEnd"/>
      <w:r>
        <w:rPr>
          <w:color w:val="000000"/>
        </w:rPr>
        <w:t xml:space="preserve"> Castillo </w:t>
      </w:r>
      <w:proofErr w:type="spellStart"/>
      <w:r>
        <w:rPr>
          <w:color w:val="000000"/>
        </w:rPr>
        <w:t>Chaqueco</w:t>
      </w:r>
      <w:proofErr w:type="spellEnd"/>
      <w:r>
        <w:rPr>
          <w:color w:val="000000"/>
        </w:rPr>
        <w:t xml:space="preserve">- Cédula Profesional </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Alberto Antonio Corona Garrido- Cédula Profesional</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Erik </w:t>
      </w:r>
      <w:proofErr w:type="spellStart"/>
      <w:r>
        <w:rPr>
          <w:color w:val="000000"/>
        </w:rPr>
        <w:t>Yael</w:t>
      </w:r>
      <w:proofErr w:type="spellEnd"/>
      <w:r>
        <w:rPr>
          <w:color w:val="000000"/>
        </w:rPr>
        <w:t xml:space="preserve"> Cortes Osorio-Constancia de Estudios Bachillerato</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Jesús Eliezer Dávila Monroy-Certificado de Estudios </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Jesús Eliezer Dávila Monroy- Título Profesional</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Jesús Eliezer Dávila Monroy-Cédula Profesional </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Erick Pedro de la Rosa Hernández- Título Profesional</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Augusto Diego de la Vega Hernández- Certificado de estudios </w:t>
      </w:r>
    </w:p>
    <w:p w:rsidR="00D07455" w:rsidRDefault="00F53554">
      <w:pPr>
        <w:numPr>
          <w:ilvl w:val="0"/>
          <w:numId w:val="5"/>
        </w:numPr>
        <w:pBdr>
          <w:top w:val="nil"/>
          <w:left w:val="nil"/>
          <w:bottom w:val="nil"/>
          <w:right w:val="nil"/>
          <w:between w:val="nil"/>
        </w:pBdr>
        <w:spacing w:after="0" w:line="360" w:lineRule="auto"/>
        <w:rPr>
          <w:color w:val="000000"/>
        </w:rPr>
      </w:pPr>
      <w:proofErr w:type="spellStart"/>
      <w:r>
        <w:rPr>
          <w:color w:val="000000"/>
        </w:rPr>
        <w:t>Shamara</w:t>
      </w:r>
      <w:proofErr w:type="spellEnd"/>
      <w:r>
        <w:rPr>
          <w:color w:val="000000"/>
        </w:rPr>
        <w:t xml:space="preserve"> de León García- Título Profesional</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Kimberly Daniela Díaz Meza- Manifestación de no contar con estudios básicos y profesionales </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Víctor Manuel Días Reyes- Título Profesional</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Jesús Alberto Díaz Yáñez- Título Profesional</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Edgar Eduardo Escobar Rivera- Título Profesional</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lastRenderedPageBreak/>
        <w:t xml:space="preserve">Jorge Leonardo Espinoza López- </w:t>
      </w:r>
      <w:proofErr w:type="spellStart"/>
      <w:r>
        <w:rPr>
          <w:color w:val="000000"/>
        </w:rPr>
        <w:t>Títutlo</w:t>
      </w:r>
      <w:proofErr w:type="spellEnd"/>
      <w:r>
        <w:rPr>
          <w:color w:val="000000"/>
        </w:rPr>
        <w:t xml:space="preserve"> Lic. En Derecho integra</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Ana Yolanda Esquivel Jaramillo- Título Lic. En Derecho integra</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Ana Yolanda Esquivel Jaramillo-título electrónico número de cédula profesional y otro </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Sandra </w:t>
      </w:r>
      <w:proofErr w:type="spellStart"/>
      <w:r>
        <w:rPr>
          <w:color w:val="000000"/>
        </w:rPr>
        <w:t>America</w:t>
      </w:r>
      <w:proofErr w:type="spellEnd"/>
      <w:r>
        <w:rPr>
          <w:color w:val="000000"/>
        </w:rPr>
        <w:t xml:space="preserve"> Fuentes </w:t>
      </w:r>
      <w:proofErr w:type="spellStart"/>
      <w:r>
        <w:rPr>
          <w:color w:val="000000"/>
        </w:rPr>
        <w:t>Rodíguez</w:t>
      </w:r>
      <w:proofErr w:type="spellEnd"/>
      <w:r>
        <w:rPr>
          <w:color w:val="000000"/>
        </w:rPr>
        <w:t xml:space="preserve">- </w:t>
      </w:r>
      <w:proofErr w:type="spellStart"/>
      <w:r>
        <w:rPr>
          <w:color w:val="000000"/>
        </w:rPr>
        <w:t>títutlo</w:t>
      </w:r>
      <w:proofErr w:type="spellEnd"/>
      <w:r>
        <w:rPr>
          <w:color w:val="000000"/>
        </w:rPr>
        <w:t xml:space="preserve"> electrónico integra</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Belem Garay Garduño- Título Lic. Odontología integra</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Hugo Mauricio García </w:t>
      </w:r>
      <w:proofErr w:type="spellStart"/>
      <w:r>
        <w:rPr>
          <w:color w:val="000000"/>
        </w:rPr>
        <w:t>Olivarez</w:t>
      </w:r>
      <w:proofErr w:type="spellEnd"/>
      <w:r>
        <w:rPr>
          <w:color w:val="000000"/>
        </w:rPr>
        <w:t xml:space="preserve">- título Lic. En </w:t>
      </w:r>
      <w:proofErr w:type="spellStart"/>
      <w:r>
        <w:rPr>
          <w:color w:val="000000"/>
        </w:rPr>
        <w:t>Admin</w:t>
      </w:r>
      <w:proofErr w:type="spellEnd"/>
      <w:r>
        <w:rPr>
          <w:color w:val="000000"/>
        </w:rPr>
        <w:t xml:space="preserve"> clasificó firma del alumno</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Alexis </w:t>
      </w:r>
      <w:proofErr w:type="spellStart"/>
      <w:r>
        <w:rPr>
          <w:color w:val="000000"/>
        </w:rPr>
        <w:t>Garciarivas</w:t>
      </w:r>
      <w:proofErr w:type="spellEnd"/>
      <w:r>
        <w:rPr>
          <w:color w:val="000000"/>
        </w:rPr>
        <w:t xml:space="preserve"> Colín- título Lic. En Derecho integra</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David Ricardo </w:t>
      </w:r>
      <w:proofErr w:type="spellStart"/>
      <w:r>
        <w:rPr>
          <w:color w:val="000000"/>
        </w:rPr>
        <w:t>Comez</w:t>
      </w:r>
      <w:proofErr w:type="spellEnd"/>
      <w:r>
        <w:rPr>
          <w:color w:val="000000"/>
        </w:rPr>
        <w:t xml:space="preserve"> </w:t>
      </w:r>
      <w:proofErr w:type="spellStart"/>
      <w:r>
        <w:rPr>
          <w:color w:val="000000"/>
        </w:rPr>
        <w:t>Davila</w:t>
      </w:r>
      <w:proofErr w:type="spellEnd"/>
      <w:r>
        <w:rPr>
          <w:color w:val="000000"/>
        </w:rPr>
        <w:t>- Diploma de conclusión estudios Bachillerato integra</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David Ricardo </w:t>
      </w:r>
      <w:r>
        <w:t>Gómez</w:t>
      </w:r>
      <w:r>
        <w:rPr>
          <w:color w:val="000000"/>
        </w:rPr>
        <w:t xml:space="preserve"> </w:t>
      </w:r>
      <w:proofErr w:type="spellStart"/>
      <w:r>
        <w:rPr>
          <w:color w:val="000000"/>
        </w:rPr>
        <w:t>Davila</w:t>
      </w:r>
      <w:proofErr w:type="spellEnd"/>
      <w:r>
        <w:rPr>
          <w:color w:val="000000"/>
        </w:rPr>
        <w:t xml:space="preserve">-Trayectoria Académica Bachillerato clasificó calificación y número de créditos </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Karla Gómez Garduño-cédula profesional ILEGIBLE </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José Juan Gómez Urbina- </w:t>
      </w:r>
      <w:proofErr w:type="spellStart"/>
      <w:r>
        <w:rPr>
          <w:color w:val="000000"/>
        </w:rPr>
        <w:t>Títutlo</w:t>
      </w:r>
      <w:proofErr w:type="spellEnd"/>
      <w:r>
        <w:rPr>
          <w:color w:val="000000"/>
        </w:rPr>
        <w:t xml:space="preserve"> Lic. En Ciencias Políticas integra</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María Fernanda González Colín- título Lic. En Derecho integra</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Carlos </w:t>
      </w:r>
      <w:proofErr w:type="spellStart"/>
      <w:r>
        <w:rPr>
          <w:color w:val="000000"/>
        </w:rPr>
        <w:t>Aldahir</w:t>
      </w:r>
      <w:proofErr w:type="spellEnd"/>
      <w:r>
        <w:rPr>
          <w:color w:val="000000"/>
        </w:rPr>
        <w:t xml:space="preserve"> González </w:t>
      </w:r>
      <w:proofErr w:type="spellStart"/>
      <w:r>
        <w:rPr>
          <w:color w:val="000000"/>
        </w:rPr>
        <w:t>Garcia</w:t>
      </w:r>
      <w:proofErr w:type="spellEnd"/>
      <w:r>
        <w:rPr>
          <w:color w:val="000000"/>
        </w:rPr>
        <w:t>- Cédula electrónica integra</w:t>
      </w:r>
    </w:p>
    <w:p w:rsidR="00D07455" w:rsidRDefault="00F53554">
      <w:pPr>
        <w:numPr>
          <w:ilvl w:val="0"/>
          <w:numId w:val="5"/>
        </w:numPr>
        <w:pBdr>
          <w:top w:val="nil"/>
          <w:left w:val="nil"/>
          <w:bottom w:val="nil"/>
          <w:right w:val="nil"/>
          <w:between w:val="nil"/>
        </w:pBdr>
        <w:spacing w:after="0" w:line="360" w:lineRule="auto"/>
        <w:rPr>
          <w:color w:val="000000"/>
        </w:rPr>
      </w:pPr>
      <w:proofErr w:type="spellStart"/>
      <w:r>
        <w:rPr>
          <w:color w:val="000000"/>
        </w:rPr>
        <w:t>Fatima</w:t>
      </w:r>
      <w:proofErr w:type="spellEnd"/>
      <w:r>
        <w:rPr>
          <w:color w:val="000000"/>
        </w:rPr>
        <w:t xml:space="preserve"> Grecia Guadalupe González García-</w:t>
      </w:r>
      <w:r>
        <w:t>Título</w:t>
      </w:r>
      <w:r>
        <w:rPr>
          <w:color w:val="000000"/>
        </w:rPr>
        <w:t xml:space="preserve"> profesional integra</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Eduardo González Munguía- Título Lic. En Derecho clasificó firma del alumno</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Marco Antonio </w:t>
      </w:r>
      <w:r>
        <w:t>Guadarrama</w:t>
      </w:r>
      <w:r>
        <w:rPr>
          <w:color w:val="000000"/>
        </w:rPr>
        <w:t xml:space="preserve">-Título </w:t>
      </w:r>
      <w:proofErr w:type="spellStart"/>
      <w:r>
        <w:rPr>
          <w:color w:val="000000"/>
        </w:rPr>
        <w:t>Lic</w:t>
      </w:r>
      <w:proofErr w:type="spellEnd"/>
      <w:r>
        <w:rPr>
          <w:color w:val="000000"/>
        </w:rPr>
        <w:t xml:space="preserve"> en Derecho integra</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Pablo Iván Guadarrama Ramírez- título electrónico integra</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Emilio Guerra Estévez-título Lic. En derecho clasificó firma del alumno</w:t>
      </w:r>
    </w:p>
    <w:p w:rsidR="00D07455" w:rsidRDefault="00F53554">
      <w:pPr>
        <w:numPr>
          <w:ilvl w:val="0"/>
          <w:numId w:val="5"/>
        </w:numPr>
        <w:pBdr>
          <w:top w:val="nil"/>
          <w:left w:val="nil"/>
          <w:bottom w:val="nil"/>
          <w:right w:val="nil"/>
          <w:between w:val="nil"/>
        </w:pBdr>
        <w:spacing w:after="0" w:line="360" w:lineRule="auto"/>
        <w:rPr>
          <w:color w:val="000000"/>
        </w:rPr>
      </w:pPr>
      <w:proofErr w:type="spellStart"/>
      <w:r>
        <w:rPr>
          <w:color w:val="000000"/>
        </w:rPr>
        <w:t>Rocio</w:t>
      </w:r>
      <w:proofErr w:type="spellEnd"/>
      <w:r>
        <w:rPr>
          <w:color w:val="000000"/>
        </w:rPr>
        <w:t xml:space="preserve"> Guerrero </w:t>
      </w:r>
      <w:proofErr w:type="spellStart"/>
      <w:r>
        <w:rPr>
          <w:color w:val="000000"/>
        </w:rPr>
        <w:t>Alvarez</w:t>
      </w:r>
      <w:proofErr w:type="spellEnd"/>
      <w:r>
        <w:rPr>
          <w:color w:val="000000"/>
        </w:rPr>
        <w:t>—título clasificó firma del alumno</w:t>
      </w:r>
    </w:p>
    <w:p w:rsidR="00D07455" w:rsidRDefault="00F53554">
      <w:pPr>
        <w:numPr>
          <w:ilvl w:val="0"/>
          <w:numId w:val="5"/>
        </w:numPr>
        <w:pBdr>
          <w:top w:val="nil"/>
          <w:left w:val="nil"/>
          <w:bottom w:val="nil"/>
          <w:right w:val="nil"/>
          <w:between w:val="nil"/>
        </w:pBdr>
        <w:spacing w:after="0" w:line="360" w:lineRule="auto"/>
        <w:rPr>
          <w:color w:val="000000"/>
        </w:rPr>
      </w:pPr>
      <w:proofErr w:type="spellStart"/>
      <w:r>
        <w:rPr>
          <w:color w:val="000000"/>
        </w:rPr>
        <w:t>Elfego</w:t>
      </w:r>
      <w:proofErr w:type="spellEnd"/>
      <w:r>
        <w:rPr>
          <w:color w:val="000000"/>
        </w:rPr>
        <w:t xml:space="preserve"> </w:t>
      </w:r>
      <w:proofErr w:type="spellStart"/>
      <w:r>
        <w:rPr>
          <w:color w:val="000000"/>
        </w:rPr>
        <w:t>Guitierrez</w:t>
      </w:r>
      <w:proofErr w:type="spellEnd"/>
      <w:r>
        <w:rPr>
          <w:color w:val="000000"/>
        </w:rPr>
        <w:t xml:space="preserve"> </w:t>
      </w:r>
      <w:proofErr w:type="spellStart"/>
      <w:r>
        <w:rPr>
          <w:color w:val="000000"/>
        </w:rPr>
        <w:t>Galvan</w:t>
      </w:r>
      <w:proofErr w:type="spellEnd"/>
      <w:r>
        <w:rPr>
          <w:color w:val="000000"/>
        </w:rPr>
        <w:t>- Carta de Pasante integra</w:t>
      </w:r>
    </w:p>
    <w:p w:rsidR="00D07455" w:rsidRDefault="00F53554">
      <w:pPr>
        <w:numPr>
          <w:ilvl w:val="0"/>
          <w:numId w:val="5"/>
        </w:numPr>
        <w:pBdr>
          <w:top w:val="nil"/>
          <w:left w:val="nil"/>
          <w:bottom w:val="nil"/>
          <w:right w:val="nil"/>
          <w:between w:val="nil"/>
        </w:pBdr>
        <w:spacing w:after="0" w:line="360" w:lineRule="auto"/>
        <w:rPr>
          <w:color w:val="000000"/>
        </w:rPr>
      </w:pPr>
      <w:proofErr w:type="spellStart"/>
      <w:r>
        <w:rPr>
          <w:color w:val="000000"/>
        </w:rPr>
        <w:t>Aleandro</w:t>
      </w:r>
      <w:proofErr w:type="spellEnd"/>
      <w:r>
        <w:rPr>
          <w:color w:val="000000"/>
        </w:rPr>
        <w:t xml:space="preserve"> Gutiérrez Luna- título de Maestría clasificó firma del alumno</w:t>
      </w:r>
    </w:p>
    <w:p w:rsidR="00D07455" w:rsidRDefault="00F53554">
      <w:pPr>
        <w:numPr>
          <w:ilvl w:val="0"/>
          <w:numId w:val="5"/>
        </w:numPr>
        <w:pBdr>
          <w:top w:val="nil"/>
          <w:left w:val="nil"/>
          <w:bottom w:val="nil"/>
          <w:right w:val="nil"/>
          <w:between w:val="nil"/>
        </w:pBdr>
        <w:spacing w:after="0" w:line="360" w:lineRule="auto"/>
        <w:rPr>
          <w:color w:val="000000"/>
        </w:rPr>
      </w:pPr>
      <w:proofErr w:type="spellStart"/>
      <w:r>
        <w:rPr>
          <w:color w:val="000000"/>
        </w:rPr>
        <w:t>Aleandro</w:t>
      </w:r>
      <w:proofErr w:type="spellEnd"/>
      <w:r>
        <w:rPr>
          <w:color w:val="000000"/>
        </w:rPr>
        <w:t xml:space="preserve"> Gutiérrez Luna- título en derecho </w:t>
      </w:r>
    </w:p>
    <w:p w:rsidR="00D07455" w:rsidRDefault="00F53554">
      <w:pPr>
        <w:numPr>
          <w:ilvl w:val="0"/>
          <w:numId w:val="5"/>
        </w:numPr>
        <w:pBdr>
          <w:top w:val="nil"/>
          <w:left w:val="nil"/>
          <w:bottom w:val="nil"/>
          <w:right w:val="nil"/>
          <w:between w:val="nil"/>
        </w:pBdr>
        <w:spacing w:after="0" w:line="360" w:lineRule="auto"/>
        <w:rPr>
          <w:color w:val="000000"/>
        </w:rPr>
      </w:pPr>
      <w:proofErr w:type="spellStart"/>
      <w:r>
        <w:rPr>
          <w:color w:val="000000"/>
        </w:rPr>
        <w:t>Raul</w:t>
      </w:r>
      <w:proofErr w:type="spellEnd"/>
      <w:r>
        <w:rPr>
          <w:color w:val="000000"/>
        </w:rPr>
        <w:t xml:space="preserve"> Herrera Sánchez-título contador  </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Alfredo Hurtado Cisneros-Título de Doctor en Derecho </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lastRenderedPageBreak/>
        <w:t xml:space="preserve">José Luis Jaime Correa- Cédula Profesional </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Luis C. López Cortes- Título Profesional</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Liliana Angélica López Salgado- Título Profesional</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Miguel Ángel Luna Modesto- Título Profesional</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Mario Magno Díaz- Cédula Profesional </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Rosario Selene </w:t>
      </w:r>
      <w:proofErr w:type="spellStart"/>
      <w:r>
        <w:rPr>
          <w:color w:val="000000"/>
        </w:rPr>
        <w:t>Marquez</w:t>
      </w:r>
      <w:proofErr w:type="spellEnd"/>
      <w:r>
        <w:rPr>
          <w:color w:val="000000"/>
        </w:rPr>
        <w:t xml:space="preserve"> Hernández- Título Profesional</w:t>
      </w:r>
    </w:p>
    <w:p w:rsidR="00D07455" w:rsidRDefault="00F53554">
      <w:pPr>
        <w:numPr>
          <w:ilvl w:val="0"/>
          <w:numId w:val="5"/>
        </w:numPr>
        <w:pBdr>
          <w:top w:val="nil"/>
          <w:left w:val="nil"/>
          <w:bottom w:val="nil"/>
          <w:right w:val="nil"/>
          <w:between w:val="nil"/>
        </w:pBdr>
        <w:spacing w:after="0" w:line="360" w:lineRule="auto"/>
        <w:rPr>
          <w:color w:val="000000"/>
        </w:rPr>
      </w:pPr>
      <w:proofErr w:type="spellStart"/>
      <w:r>
        <w:rPr>
          <w:color w:val="000000"/>
        </w:rPr>
        <w:t>Raul</w:t>
      </w:r>
      <w:proofErr w:type="spellEnd"/>
      <w:r>
        <w:rPr>
          <w:color w:val="000000"/>
        </w:rPr>
        <w:t xml:space="preserve"> Martínez </w:t>
      </w:r>
      <w:proofErr w:type="spellStart"/>
      <w:r>
        <w:rPr>
          <w:color w:val="000000"/>
        </w:rPr>
        <w:t>Guzman</w:t>
      </w:r>
      <w:proofErr w:type="spellEnd"/>
      <w:r>
        <w:rPr>
          <w:color w:val="000000"/>
        </w:rPr>
        <w:t xml:space="preserve">- Certificado de Estudios </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Sagrario Martínez Hernández- Título Profesional</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Miguel </w:t>
      </w:r>
      <w:proofErr w:type="spellStart"/>
      <w:r>
        <w:rPr>
          <w:color w:val="000000"/>
        </w:rPr>
        <w:t>Mrtinez</w:t>
      </w:r>
      <w:proofErr w:type="spellEnd"/>
      <w:r>
        <w:rPr>
          <w:color w:val="000000"/>
        </w:rPr>
        <w:t xml:space="preserve"> Tapia- Cédula Profesional</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 Lucia Martínez Valencia- Título Profesional</w:t>
      </w:r>
    </w:p>
    <w:p w:rsidR="00D07455" w:rsidRDefault="00F53554">
      <w:pPr>
        <w:numPr>
          <w:ilvl w:val="0"/>
          <w:numId w:val="5"/>
        </w:numPr>
        <w:pBdr>
          <w:top w:val="nil"/>
          <w:left w:val="nil"/>
          <w:bottom w:val="nil"/>
          <w:right w:val="nil"/>
          <w:between w:val="nil"/>
        </w:pBdr>
        <w:spacing w:after="0" w:line="360" w:lineRule="auto"/>
        <w:rPr>
          <w:color w:val="000000"/>
        </w:rPr>
      </w:pPr>
      <w:proofErr w:type="spellStart"/>
      <w:r>
        <w:rPr>
          <w:color w:val="000000"/>
        </w:rPr>
        <w:t>Nestor</w:t>
      </w:r>
      <w:proofErr w:type="spellEnd"/>
      <w:r>
        <w:rPr>
          <w:color w:val="000000"/>
        </w:rPr>
        <w:t xml:space="preserve"> Medina Cisneros- Título Profesional</w:t>
      </w:r>
    </w:p>
    <w:p w:rsidR="00D07455" w:rsidRDefault="00F53554">
      <w:pPr>
        <w:numPr>
          <w:ilvl w:val="0"/>
          <w:numId w:val="5"/>
        </w:numPr>
        <w:pBdr>
          <w:top w:val="nil"/>
          <w:left w:val="nil"/>
          <w:bottom w:val="nil"/>
          <w:right w:val="nil"/>
          <w:between w:val="nil"/>
        </w:pBdr>
        <w:spacing w:after="0" w:line="360" w:lineRule="auto"/>
        <w:rPr>
          <w:color w:val="000000"/>
        </w:rPr>
      </w:pPr>
      <w:proofErr w:type="spellStart"/>
      <w:r>
        <w:rPr>
          <w:color w:val="000000"/>
        </w:rPr>
        <w:t>Eliud</w:t>
      </w:r>
      <w:proofErr w:type="spellEnd"/>
      <w:r>
        <w:rPr>
          <w:color w:val="000000"/>
        </w:rPr>
        <w:t xml:space="preserve"> Gabriel Medina Peralta- Título Profesional</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Pedro Alberto Mejía Sanabria- Título Profesional</w:t>
      </w:r>
    </w:p>
    <w:p w:rsidR="00D07455" w:rsidRDefault="00F53554">
      <w:pPr>
        <w:numPr>
          <w:ilvl w:val="0"/>
          <w:numId w:val="5"/>
        </w:numPr>
        <w:pBdr>
          <w:top w:val="nil"/>
          <w:left w:val="nil"/>
          <w:bottom w:val="nil"/>
          <w:right w:val="nil"/>
          <w:between w:val="nil"/>
        </w:pBdr>
        <w:spacing w:after="0" w:line="360" w:lineRule="auto"/>
        <w:rPr>
          <w:color w:val="000000"/>
        </w:rPr>
      </w:pPr>
      <w:proofErr w:type="spellStart"/>
      <w:r>
        <w:rPr>
          <w:color w:val="000000"/>
        </w:rPr>
        <w:t>Nahum</w:t>
      </w:r>
      <w:proofErr w:type="spellEnd"/>
      <w:r>
        <w:rPr>
          <w:color w:val="000000"/>
        </w:rPr>
        <w:t xml:space="preserve"> Miguel Mendoza Morales- Título Profesional</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Miguel Ángel Mercado Reyna- Cédula Profesional </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Andrea Ma. Del </w:t>
      </w:r>
      <w:proofErr w:type="spellStart"/>
      <w:r>
        <w:rPr>
          <w:color w:val="000000"/>
        </w:rPr>
        <w:t>Rocio</w:t>
      </w:r>
      <w:proofErr w:type="spellEnd"/>
      <w:r>
        <w:rPr>
          <w:color w:val="000000"/>
        </w:rPr>
        <w:t xml:space="preserve"> Merlos </w:t>
      </w:r>
      <w:proofErr w:type="spellStart"/>
      <w:r>
        <w:rPr>
          <w:color w:val="000000"/>
        </w:rPr>
        <w:t>Najera</w:t>
      </w:r>
      <w:proofErr w:type="spellEnd"/>
      <w:r>
        <w:rPr>
          <w:color w:val="000000"/>
        </w:rPr>
        <w:t>-Título Profesional</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Humberto </w:t>
      </w:r>
      <w:proofErr w:type="spellStart"/>
      <w:r>
        <w:rPr>
          <w:color w:val="000000"/>
        </w:rPr>
        <w:t>Mirafuentes</w:t>
      </w:r>
      <w:proofErr w:type="spellEnd"/>
      <w:r>
        <w:rPr>
          <w:color w:val="000000"/>
        </w:rPr>
        <w:t xml:space="preserve"> Menchaca – Título Profesional</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José Luis Molina Reynoso- Cédula Profesional </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Paula Martina </w:t>
      </w:r>
      <w:proofErr w:type="spellStart"/>
      <w:r>
        <w:rPr>
          <w:color w:val="000000"/>
        </w:rPr>
        <w:t>Monrroy</w:t>
      </w:r>
      <w:proofErr w:type="spellEnd"/>
      <w:r>
        <w:rPr>
          <w:color w:val="000000"/>
        </w:rPr>
        <w:t xml:space="preserve"> </w:t>
      </w:r>
      <w:proofErr w:type="spellStart"/>
      <w:r>
        <w:rPr>
          <w:color w:val="000000"/>
        </w:rPr>
        <w:t>Cordva</w:t>
      </w:r>
      <w:proofErr w:type="spellEnd"/>
      <w:r>
        <w:rPr>
          <w:color w:val="000000"/>
        </w:rPr>
        <w:t>- Título Profesional</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Patricia Montes López- Cédula Profesional </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Ricardo Moreno Bastida- Título Profesional</w:t>
      </w:r>
    </w:p>
    <w:p w:rsidR="00D07455" w:rsidRDefault="00F53554">
      <w:pPr>
        <w:numPr>
          <w:ilvl w:val="0"/>
          <w:numId w:val="5"/>
        </w:numPr>
        <w:pBdr>
          <w:top w:val="nil"/>
          <w:left w:val="nil"/>
          <w:bottom w:val="nil"/>
          <w:right w:val="nil"/>
          <w:between w:val="nil"/>
        </w:pBdr>
        <w:spacing w:after="0" w:line="360" w:lineRule="auto"/>
        <w:rPr>
          <w:color w:val="000000"/>
        </w:rPr>
      </w:pPr>
      <w:proofErr w:type="spellStart"/>
      <w:r>
        <w:rPr>
          <w:color w:val="000000"/>
        </w:rPr>
        <w:t>Yazmin</w:t>
      </w:r>
      <w:proofErr w:type="spellEnd"/>
      <w:r>
        <w:rPr>
          <w:color w:val="000000"/>
        </w:rPr>
        <w:t xml:space="preserve"> </w:t>
      </w:r>
      <w:proofErr w:type="spellStart"/>
      <w:r>
        <w:rPr>
          <w:color w:val="000000"/>
        </w:rPr>
        <w:t>Najera</w:t>
      </w:r>
      <w:proofErr w:type="spellEnd"/>
      <w:r>
        <w:rPr>
          <w:color w:val="000000"/>
        </w:rPr>
        <w:t xml:space="preserve"> Romero- Cédula Profesional </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Alfredo Nava Mejía- Cédula Profesional</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José Alberto Nava Reyes- Título Profesional </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Angélica </w:t>
      </w:r>
      <w:proofErr w:type="spellStart"/>
      <w:r>
        <w:rPr>
          <w:color w:val="000000"/>
        </w:rPr>
        <w:t>Annel</w:t>
      </w:r>
      <w:proofErr w:type="spellEnd"/>
      <w:r>
        <w:rPr>
          <w:color w:val="000000"/>
        </w:rPr>
        <w:t xml:space="preserve"> Neri Villavicencio-Carta de Pasante</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Francisco Núñez Reyes- Título Profesional</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lastRenderedPageBreak/>
        <w:t xml:space="preserve">Justo Núñez </w:t>
      </w:r>
      <w:proofErr w:type="spellStart"/>
      <w:r>
        <w:rPr>
          <w:color w:val="000000"/>
        </w:rPr>
        <w:t>Skinfill</w:t>
      </w:r>
      <w:proofErr w:type="spellEnd"/>
      <w:r>
        <w:rPr>
          <w:color w:val="000000"/>
        </w:rPr>
        <w:t xml:space="preserve">-Cédula Profesional (ilegible) </w:t>
      </w:r>
    </w:p>
    <w:p w:rsidR="00D07455" w:rsidRDefault="00F53554">
      <w:pPr>
        <w:numPr>
          <w:ilvl w:val="0"/>
          <w:numId w:val="5"/>
        </w:numPr>
        <w:pBdr>
          <w:top w:val="nil"/>
          <w:left w:val="nil"/>
          <w:bottom w:val="nil"/>
          <w:right w:val="nil"/>
          <w:between w:val="nil"/>
        </w:pBdr>
        <w:spacing w:after="0" w:line="360" w:lineRule="auto"/>
        <w:rPr>
          <w:color w:val="000000"/>
        </w:rPr>
      </w:pPr>
      <w:proofErr w:type="spellStart"/>
      <w:r>
        <w:rPr>
          <w:color w:val="000000"/>
        </w:rPr>
        <w:t>Juritzy</w:t>
      </w:r>
      <w:proofErr w:type="spellEnd"/>
      <w:r>
        <w:rPr>
          <w:color w:val="000000"/>
        </w:rPr>
        <w:t xml:space="preserve"> </w:t>
      </w:r>
      <w:proofErr w:type="spellStart"/>
      <w:r>
        <w:rPr>
          <w:color w:val="000000"/>
        </w:rPr>
        <w:t>Nute</w:t>
      </w:r>
      <w:proofErr w:type="spellEnd"/>
      <w:r>
        <w:rPr>
          <w:color w:val="000000"/>
        </w:rPr>
        <w:t xml:space="preserve"> </w:t>
      </w:r>
      <w:proofErr w:type="spellStart"/>
      <w:r>
        <w:rPr>
          <w:color w:val="000000"/>
        </w:rPr>
        <w:t>Santin</w:t>
      </w:r>
      <w:proofErr w:type="spellEnd"/>
      <w:r>
        <w:rPr>
          <w:color w:val="000000"/>
        </w:rPr>
        <w:t xml:space="preserve">- Carta de pasante </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José césar </w:t>
      </w:r>
      <w:proofErr w:type="spellStart"/>
      <w:r>
        <w:rPr>
          <w:color w:val="000000"/>
        </w:rPr>
        <w:t>Olivarez</w:t>
      </w:r>
      <w:proofErr w:type="spellEnd"/>
      <w:r>
        <w:rPr>
          <w:color w:val="000000"/>
        </w:rPr>
        <w:t xml:space="preserve"> Plata- Carta pasante</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Jimena Ortega Pichardo- Carta pasante </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Olga Esther Ortiz Martínez-Título Profesional </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Gilberto Ortiz torres- Título Profesional</w:t>
      </w:r>
    </w:p>
    <w:p w:rsidR="00D07455" w:rsidRDefault="00F53554">
      <w:pPr>
        <w:numPr>
          <w:ilvl w:val="0"/>
          <w:numId w:val="5"/>
        </w:numPr>
        <w:pBdr>
          <w:top w:val="nil"/>
          <w:left w:val="nil"/>
          <w:bottom w:val="nil"/>
          <w:right w:val="nil"/>
          <w:between w:val="nil"/>
        </w:pBdr>
        <w:spacing w:after="0" w:line="360" w:lineRule="auto"/>
        <w:rPr>
          <w:color w:val="000000"/>
        </w:rPr>
      </w:pPr>
      <w:proofErr w:type="spellStart"/>
      <w:r>
        <w:rPr>
          <w:color w:val="000000"/>
        </w:rPr>
        <w:t>Rolani</w:t>
      </w:r>
      <w:proofErr w:type="spellEnd"/>
      <w:r>
        <w:rPr>
          <w:color w:val="000000"/>
        </w:rPr>
        <w:t xml:space="preserve"> Pastor Guadarrama- Certificado Estudios </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José Alfredo Peña </w:t>
      </w:r>
      <w:proofErr w:type="spellStart"/>
      <w:r>
        <w:rPr>
          <w:color w:val="000000"/>
        </w:rPr>
        <w:t>Bernandez</w:t>
      </w:r>
      <w:proofErr w:type="spellEnd"/>
      <w:r>
        <w:rPr>
          <w:color w:val="000000"/>
        </w:rPr>
        <w:t xml:space="preserve">- Cédula Profesional </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Ana Victoria Pliego Tapia- Diploma de estudios </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Juan Misael ramiro Barrera- Título Profesional</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Salvador Reyes Orta- Título Profesional</w:t>
      </w:r>
    </w:p>
    <w:p w:rsidR="00D07455" w:rsidRDefault="00F53554">
      <w:pPr>
        <w:numPr>
          <w:ilvl w:val="0"/>
          <w:numId w:val="5"/>
        </w:numPr>
        <w:pBdr>
          <w:top w:val="nil"/>
          <w:left w:val="nil"/>
          <w:bottom w:val="nil"/>
          <w:right w:val="nil"/>
          <w:between w:val="nil"/>
        </w:pBdr>
        <w:spacing w:after="0" w:line="360" w:lineRule="auto"/>
        <w:rPr>
          <w:color w:val="000000"/>
        </w:rPr>
      </w:pPr>
      <w:proofErr w:type="spellStart"/>
      <w:r>
        <w:rPr>
          <w:color w:val="000000"/>
        </w:rPr>
        <w:t>Irai</w:t>
      </w:r>
      <w:proofErr w:type="spellEnd"/>
      <w:r>
        <w:rPr>
          <w:color w:val="000000"/>
        </w:rPr>
        <w:t xml:space="preserve"> Rivera García- Cédula Profesional</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Beatriz Adriana Rodríguez Gamboa- Cédula Profesional</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Camilo Rojas Morales- Manifestación de no contar con estudios básicos y profesionales </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Abel Iván Rosado López- Cédula Profesional</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Guadalupe Salgado Esquivel- Título Profesional</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Lauren Paola Sanabria Becerril- Título Profesional</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Luis Ángel Sánchez Caballero- Cédula Profesional</w:t>
      </w:r>
    </w:p>
    <w:p w:rsidR="00D07455" w:rsidRDefault="00F53554">
      <w:pPr>
        <w:numPr>
          <w:ilvl w:val="0"/>
          <w:numId w:val="5"/>
        </w:numPr>
        <w:pBdr>
          <w:top w:val="nil"/>
          <w:left w:val="nil"/>
          <w:bottom w:val="nil"/>
          <w:right w:val="nil"/>
          <w:between w:val="nil"/>
        </w:pBdr>
        <w:spacing w:after="0" w:line="360" w:lineRule="auto"/>
        <w:rPr>
          <w:color w:val="000000"/>
        </w:rPr>
      </w:pPr>
      <w:proofErr w:type="spellStart"/>
      <w:r>
        <w:rPr>
          <w:color w:val="000000"/>
        </w:rPr>
        <w:t>Lizeth</w:t>
      </w:r>
      <w:proofErr w:type="spellEnd"/>
      <w:r>
        <w:rPr>
          <w:color w:val="000000"/>
        </w:rPr>
        <w:t xml:space="preserve"> Sánchez Domínguez- Título Profesional</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Victoria Sánchez Gómez- Título Profesional</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Alejandro Sánchez Hernández- Título Profesional</w:t>
      </w:r>
    </w:p>
    <w:p w:rsidR="00D07455" w:rsidRDefault="00F53554">
      <w:pPr>
        <w:numPr>
          <w:ilvl w:val="0"/>
          <w:numId w:val="5"/>
        </w:numPr>
        <w:pBdr>
          <w:top w:val="nil"/>
          <w:left w:val="nil"/>
          <w:bottom w:val="nil"/>
          <w:right w:val="nil"/>
          <w:between w:val="nil"/>
        </w:pBdr>
        <w:spacing w:after="0" w:line="360" w:lineRule="auto"/>
        <w:rPr>
          <w:color w:val="000000"/>
        </w:rPr>
      </w:pPr>
      <w:proofErr w:type="spellStart"/>
      <w:r>
        <w:rPr>
          <w:color w:val="000000"/>
        </w:rPr>
        <w:t>Jose</w:t>
      </w:r>
      <w:proofErr w:type="spellEnd"/>
      <w:r>
        <w:rPr>
          <w:color w:val="000000"/>
        </w:rPr>
        <w:t xml:space="preserve"> Ramón Fernando Santana- Certificado Estudios </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Enrique Séptimo Rodríguez- Cédula electrónica</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Ma. Del Carmen Soto Garduño- Título Profesional</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Leticia Socorro </w:t>
      </w:r>
      <w:proofErr w:type="spellStart"/>
      <w:r>
        <w:rPr>
          <w:color w:val="000000"/>
        </w:rPr>
        <w:t>Ilserralde</w:t>
      </w:r>
      <w:proofErr w:type="spellEnd"/>
      <w:r>
        <w:rPr>
          <w:color w:val="000000"/>
        </w:rPr>
        <w:t xml:space="preserve"> Gordillo- Título Profesional</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lastRenderedPageBreak/>
        <w:t>Abigail Valdez Nieto- Título Profesional</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 Florencio </w:t>
      </w:r>
      <w:proofErr w:type="spellStart"/>
      <w:r>
        <w:rPr>
          <w:color w:val="000000"/>
        </w:rPr>
        <w:t>Balladarez</w:t>
      </w:r>
      <w:proofErr w:type="spellEnd"/>
      <w:r>
        <w:rPr>
          <w:color w:val="000000"/>
        </w:rPr>
        <w:t xml:space="preserve"> Zambrano- Título Profesional</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Jorge Antonio Velázquez </w:t>
      </w:r>
      <w:proofErr w:type="spellStart"/>
      <w:r>
        <w:rPr>
          <w:color w:val="000000"/>
        </w:rPr>
        <w:t>Velázquez</w:t>
      </w:r>
      <w:proofErr w:type="spellEnd"/>
      <w:r>
        <w:rPr>
          <w:color w:val="000000"/>
        </w:rPr>
        <w:t>- Título Profesional</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Elizabeth Villaseñor Ovando- Título Profesional</w:t>
      </w:r>
    </w:p>
    <w:p w:rsidR="00D07455" w:rsidRDefault="00D07455">
      <w:pPr>
        <w:spacing w:after="0" w:line="360" w:lineRule="auto"/>
      </w:pPr>
    </w:p>
    <w:p w:rsidR="00D07455" w:rsidRDefault="00F53554">
      <w:pPr>
        <w:spacing w:after="0" w:line="360" w:lineRule="auto"/>
        <w:rPr>
          <w:color w:val="000000"/>
        </w:rPr>
      </w:pPr>
      <w:r>
        <w:rPr>
          <w:color w:val="000000"/>
        </w:rPr>
        <w:t xml:space="preserve">iii) Adjuntó la digitalización de noventa y tres nombramientos y constancias de mayoría para la Administración Pública Municipal 2025-2027. </w:t>
      </w:r>
    </w:p>
    <w:p w:rsidR="00D07455" w:rsidRDefault="00D07455">
      <w:pPr>
        <w:spacing w:after="0" w:line="360" w:lineRule="auto"/>
        <w:ind w:right="567"/>
        <w:rPr>
          <w:color w:val="FF0000"/>
        </w:rPr>
      </w:pPr>
    </w:p>
    <w:p w:rsidR="00D07455" w:rsidRDefault="00F53554">
      <w:pPr>
        <w:pStyle w:val="Ttulo2"/>
        <w:spacing w:before="0" w:line="360" w:lineRule="auto"/>
        <w:rPr>
          <w:rFonts w:ascii="Palatino Linotype" w:eastAsia="Palatino Linotype" w:hAnsi="Palatino Linotype" w:cs="Palatino Linotype"/>
          <w:b/>
          <w:bCs/>
          <w:color w:val="000000"/>
          <w:sz w:val="22"/>
          <w:szCs w:val="22"/>
        </w:rPr>
      </w:pPr>
      <w:bookmarkStart w:id="4" w:name="_Toc224833179"/>
      <w:r>
        <w:rPr>
          <w:rFonts w:ascii="Palatino Linotype" w:eastAsia="Palatino Linotype" w:hAnsi="Palatino Linotype" w:cs="Palatino Linotype"/>
          <w:b/>
          <w:bCs/>
          <w:color w:val="000000"/>
          <w:sz w:val="22"/>
          <w:szCs w:val="22"/>
        </w:rPr>
        <w:t>VI. Interposición del Recurso de Revisión</w:t>
      </w:r>
      <w:bookmarkEnd w:id="4"/>
    </w:p>
    <w:p w:rsidR="00D07455" w:rsidRDefault="00F53554">
      <w:pPr>
        <w:spacing w:after="0" w:line="360" w:lineRule="auto"/>
        <w:rPr>
          <w:color w:val="FF0000"/>
        </w:rPr>
      </w:pPr>
      <w:r>
        <w:rPr>
          <w:color w:val="FF0000"/>
        </w:rPr>
        <w:t xml:space="preserve"> </w:t>
      </w:r>
    </w:p>
    <w:p w:rsidR="00D07455" w:rsidRDefault="00F53554">
      <w:pPr>
        <w:widowControl w:val="0"/>
        <w:spacing w:after="0" w:line="360" w:lineRule="auto"/>
        <w:rPr>
          <w:color w:val="000000"/>
        </w:rPr>
      </w:pPr>
      <w:r>
        <w:rPr>
          <w:color w:val="000000"/>
        </w:rPr>
        <w:t>Con fecha veintiuno de abril de dos mil veinticinco, (ya que, si bien se recibió el veinte del mismo mes y año, tan bien es que, fue día inhábil), se recibió en este Instituto, a través del Sistema de Acceso a la Información Mexiquense (SAIMEX), el Recurso de Revisión interpuesto por la parte Recurrente, en contra de la respuesta del Sujeto Obligado, en los siguientes términos:</w:t>
      </w:r>
    </w:p>
    <w:p w:rsidR="00D07455" w:rsidRDefault="00D07455">
      <w:pPr>
        <w:tabs>
          <w:tab w:val="left" w:pos="4667"/>
        </w:tabs>
        <w:spacing w:after="0" w:line="360" w:lineRule="auto"/>
        <w:ind w:left="567" w:right="567"/>
        <w:rPr>
          <w:b/>
          <w:bCs/>
          <w:i/>
          <w:iCs/>
          <w:color w:val="FF0000"/>
          <w:sz w:val="20"/>
          <w:szCs w:val="20"/>
        </w:rPr>
      </w:pPr>
    </w:p>
    <w:p w:rsidR="00D07455" w:rsidRDefault="00F53554">
      <w:pPr>
        <w:tabs>
          <w:tab w:val="left" w:pos="4667"/>
        </w:tabs>
        <w:spacing w:after="0" w:line="360" w:lineRule="auto"/>
        <w:ind w:left="567" w:right="567"/>
        <w:rPr>
          <w:b/>
          <w:bCs/>
          <w:i/>
          <w:iCs/>
          <w:color w:val="000000"/>
          <w:sz w:val="20"/>
          <w:szCs w:val="20"/>
        </w:rPr>
      </w:pPr>
      <w:r>
        <w:rPr>
          <w:b/>
          <w:bCs/>
          <w:i/>
          <w:iCs/>
          <w:color w:val="000000"/>
          <w:sz w:val="20"/>
          <w:szCs w:val="20"/>
        </w:rPr>
        <w:t>“ACTO IMPUGNADO</w:t>
      </w:r>
    </w:p>
    <w:p w:rsidR="00D07455" w:rsidRDefault="00F53554">
      <w:pPr>
        <w:tabs>
          <w:tab w:val="left" w:pos="4667"/>
        </w:tabs>
        <w:spacing w:after="0" w:line="360" w:lineRule="auto"/>
        <w:ind w:left="567" w:right="567"/>
        <w:rPr>
          <w:i/>
          <w:iCs/>
          <w:color w:val="000000"/>
          <w:sz w:val="20"/>
          <w:szCs w:val="20"/>
        </w:rPr>
      </w:pPr>
      <w:proofErr w:type="gramStart"/>
      <w:r>
        <w:rPr>
          <w:i/>
          <w:iCs/>
          <w:color w:val="000000"/>
          <w:sz w:val="20"/>
          <w:szCs w:val="20"/>
        </w:rPr>
        <w:t>la</w:t>
      </w:r>
      <w:proofErr w:type="gramEnd"/>
      <w:r>
        <w:rPr>
          <w:i/>
          <w:iCs/>
          <w:color w:val="000000"/>
          <w:sz w:val="20"/>
          <w:szCs w:val="20"/>
        </w:rPr>
        <w:t xml:space="preserve"> respuesta </w:t>
      </w:r>
      <w:proofErr w:type="spellStart"/>
      <w:r>
        <w:rPr>
          <w:i/>
          <w:iCs/>
          <w:color w:val="000000"/>
          <w:sz w:val="20"/>
          <w:szCs w:val="20"/>
        </w:rPr>
        <w:t>esta</w:t>
      </w:r>
      <w:proofErr w:type="spellEnd"/>
      <w:r>
        <w:rPr>
          <w:i/>
          <w:iCs/>
          <w:color w:val="000000"/>
          <w:sz w:val="20"/>
          <w:szCs w:val="20"/>
        </w:rPr>
        <w:t xml:space="preserve"> incompleta verifiquen </w:t>
      </w:r>
      <w:proofErr w:type="spellStart"/>
      <w:r>
        <w:rPr>
          <w:i/>
          <w:iCs/>
          <w:color w:val="000000"/>
          <w:sz w:val="20"/>
          <w:szCs w:val="20"/>
        </w:rPr>
        <w:t>loq</w:t>
      </w:r>
      <w:proofErr w:type="spellEnd"/>
      <w:r>
        <w:rPr>
          <w:i/>
          <w:iCs/>
          <w:color w:val="000000"/>
          <w:sz w:val="20"/>
          <w:szCs w:val="20"/>
        </w:rPr>
        <w:t xml:space="preserve"> </w:t>
      </w:r>
      <w:proofErr w:type="spellStart"/>
      <w:r>
        <w:rPr>
          <w:i/>
          <w:iCs/>
          <w:color w:val="000000"/>
          <w:sz w:val="20"/>
          <w:szCs w:val="20"/>
        </w:rPr>
        <w:t>ue</w:t>
      </w:r>
      <w:proofErr w:type="spellEnd"/>
      <w:r>
        <w:rPr>
          <w:i/>
          <w:iCs/>
          <w:color w:val="000000"/>
          <w:sz w:val="20"/>
          <w:szCs w:val="20"/>
        </w:rPr>
        <w:t xml:space="preserve"> entregan” (Sic.)</w:t>
      </w:r>
    </w:p>
    <w:p w:rsidR="00D07455" w:rsidRDefault="00D07455">
      <w:pPr>
        <w:tabs>
          <w:tab w:val="left" w:pos="4667"/>
        </w:tabs>
        <w:spacing w:after="0" w:line="360" w:lineRule="auto"/>
        <w:ind w:left="567" w:right="567"/>
        <w:rPr>
          <w:i/>
          <w:iCs/>
          <w:color w:val="FF0000"/>
          <w:sz w:val="20"/>
          <w:szCs w:val="20"/>
        </w:rPr>
      </w:pPr>
    </w:p>
    <w:p w:rsidR="00D07455" w:rsidRDefault="00F53554">
      <w:pPr>
        <w:tabs>
          <w:tab w:val="left" w:pos="4667"/>
        </w:tabs>
        <w:spacing w:after="0" w:line="360" w:lineRule="auto"/>
        <w:ind w:left="567" w:right="567"/>
        <w:rPr>
          <w:b/>
          <w:bCs/>
          <w:i/>
          <w:iCs/>
          <w:color w:val="000000"/>
          <w:sz w:val="20"/>
          <w:szCs w:val="20"/>
        </w:rPr>
      </w:pPr>
      <w:r>
        <w:rPr>
          <w:b/>
          <w:bCs/>
          <w:i/>
          <w:iCs/>
          <w:color w:val="000000"/>
          <w:sz w:val="20"/>
          <w:szCs w:val="20"/>
        </w:rPr>
        <w:t>“RAZONES O MOTIVOS DE LA INCONFORMIDAD</w:t>
      </w:r>
    </w:p>
    <w:p w:rsidR="00D07455" w:rsidRDefault="00F53554">
      <w:pPr>
        <w:tabs>
          <w:tab w:val="left" w:pos="4667"/>
        </w:tabs>
        <w:spacing w:after="0" w:line="360" w:lineRule="auto"/>
        <w:ind w:left="567" w:right="567"/>
        <w:jc w:val="left"/>
        <w:rPr>
          <w:i/>
          <w:iCs/>
          <w:color w:val="000000"/>
          <w:sz w:val="20"/>
          <w:szCs w:val="20"/>
        </w:rPr>
      </w:pPr>
      <w:proofErr w:type="gramStart"/>
      <w:r>
        <w:rPr>
          <w:i/>
          <w:iCs/>
          <w:color w:val="000000"/>
          <w:sz w:val="20"/>
          <w:szCs w:val="20"/>
        </w:rPr>
        <w:t>no</w:t>
      </w:r>
      <w:proofErr w:type="gramEnd"/>
      <w:r>
        <w:rPr>
          <w:i/>
          <w:iCs/>
          <w:color w:val="000000"/>
          <w:sz w:val="20"/>
          <w:szCs w:val="20"/>
        </w:rPr>
        <w:t xml:space="preserve"> entrega toda la información completa” (Sic.)</w:t>
      </w:r>
    </w:p>
    <w:p w:rsidR="00D07455" w:rsidRDefault="00D07455">
      <w:pPr>
        <w:tabs>
          <w:tab w:val="left" w:pos="4667"/>
        </w:tabs>
        <w:spacing w:after="0" w:line="360" w:lineRule="auto"/>
        <w:ind w:right="567"/>
        <w:rPr>
          <w:i/>
          <w:iCs/>
          <w:color w:val="000000"/>
          <w:sz w:val="20"/>
          <w:szCs w:val="20"/>
        </w:rPr>
      </w:pPr>
    </w:p>
    <w:p w:rsidR="00D07455" w:rsidRDefault="00F53554">
      <w:pPr>
        <w:pStyle w:val="Ttulo2"/>
        <w:spacing w:before="0" w:line="360" w:lineRule="auto"/>
        <w:rPr>
          <w:rFonts w:ascii="Palatino Linotype" w:eastAsia="Palatino Linotype" w:hAnsi="Palatino Linotype" w:cs="Palatino Linotype"/>
          <w:b/>
          <w:bCs/>
          <w:color w:val="000000"/>
          <w:sz w:val="22"/>
          <w:szCs w:val="22"/>
        </w:rPr>
      </w:pPr>
      <w:bookmarkStart w:id="5" w:name="_Toc224833180"/>
      <w:r>
        <w:rPr>
          <w:rFonts w:ascii="Palatino Linotype" w:eastAsia="Palatino Linotype" w:hAnsi="Palatino Linotype" w:cs="Palatino Linotype"/>
          <w:b/>
          <w:bCs/>
          <w:color w:val="000000"/>
          <w:sz w:val="22"/>
          <w:szCs w:val="22"/>
        </w:rPr>
        <w:t>VII. Trámite del Recurso de Revisión ante este Instituto</w:t>
      </w:r>
      <w:bookmarkEnd w:id="5"/>
    </w:p>
    <w:p w:rsidR="00D07455" w:rsidRDefault="00D07455">
      <w:pPr>
        <w:spacing w:after="0" w:line="360" w:lineRule="auto"/>
        <w:rPr>
          <w:b/>
          <w:bCs/>
          <w:color w:val="FF0000"/>
        </w:rPr>
      </w:pPr>
    </w:p>
    <w:p w:rsidR="00D07455" w:rsidRDefault="00F53554">
      <w:pPr>
        <w:spacing w:after="0" w:line="360" w:lineRule="auto"/>
        <w:rPr>
          <w:b/>
          <w:bCs/>
          <w:color w:val="000000"/>
        </w:rPr>
      </w:pPr>
      <w:bookmarkStart w:id="6" w:name="_heading=h.3mwvmtes2wbb" w:colFirst="0" w:colLast="0"/>
      <w:bookmarkEnd w:id="6"/>
      <w:r>
        <w:rPr>
          <w:b/>
          <w:bCs/>
          <w:color w:val="000000"/>
        </w:rPr>
        <w:t>a) Turno del Medio de Impugnación.</w:t>
      </w:r>
      <w:r>
        <w:rPr>
          <w:b/>
          <w:bCs/>
        </w:rPr>
        <w:t xml:space="preserve"> </w:t>
      </w:r>
      <w:r>
        <w:rPr>
          <w:color w:val="000000"/>
        </w:rPr>
        <w:t xml:space="preserve">El veinte de abril de dos mil veinticinco, el Sistema de Acceso a la Información Mexiquense (SAIMEX), asignó el número de expediente </w:t>
      </w:r>
      <w:r>
        <w:rPr>
          <w:b/>
          <w:bCs/>
          <w:color w:val="000000"/>
        </w:rPr>
        <w:t>04486/INFOEM/IP/RR/2025</w:t>
      </w:r>
      <w:r>
        <w:rPr>
          <w:color w:val="000000"/>
        </w:rPr>
        <w:t xml:space="preserve">, al Medio de Impugnación que nos ocupa, con base en el sistema </w:t>
      </w:r>
      <w:r>
        <w:rPr>
          <w:color w:val="000000"/>
        </w:rPr>
        <w:lastRenderedPageBreak/>
        <w:t xml:space="preserve">aprobado por el Pleno de este Órgano Garante y lo turnó al </w:t>
      </w:r>
      <w:r>
        <w:rPr>
          <w:b/>
          <w:bCs/>
          <w:color w:val="000000"/>
        </w:rPr>
        <w:t>Comisionado Ponente Luis Gustavo Parra Noriega</w:t>
      </w:r>
      <w:r>
        <w:rPr>
          <w:color w:val="000000"/>
        </w:rPr>
        <w:t>, para los efectos del artículo 185, fracción I de la Ley de Transparencia y Acceso a la Información Pública del Estado de México y Municipios.</w:t>
      </w:r>
    </w:p>
    <w:p w:rsidR="00D07455" w:rsidRDefault="00D07455">
      <w:pPr>
        <w:spacing w:after="0" w:line="360" w:lineRule="auto"/>
        <w:rPr>
          <w:color w:val="FF0000"/>
        </w:rPr>
      </w:pPr>
    </w:p>
    <w:p w:rsidR="00D07455" w:rsidRDefault="00F53554">
      <w:pPr>
        <w:spacing w:after="0" w:line="360" w:lineRule="auto"/>
        <w:rPr>
          <w:color w:val="000000"/>
        </w:rPr>
      </w:pPr>
      <w:bookmarkStart w:id="7" w:name="_heading=h.3a5aks3bvpht" w:colFirst="0" w:colLast="0"/>
      <w:bookmarkEnd w:id="7"/>
      <w:r>
        <w:rPr>
          <w:b/>
          <w:bCs/>
          <w:color w:val="000000"/>
        </w:rPr>
        <w:t>b) Admisión del Recurso de Revisión.</w:t>
      </w:r>
      <w:r>
        <w:rPr>
          <w:b/>
          <w:bCs/>
        </w:rPr>
        <w:t xml:space="preserve"> </w:t>
      </w:r>
      <w:r>
        <w:rPr>
          <w:color w:val="000000"/>
        </w:rPr>
        <w:t xml:space="preserve">El veinticuatro de abril de dos mil veinticinco, se acordó la admisión del Recurso de Revisión interpuesto por el Recurrente en contra del Sujeto Obligado, en términos del artículo 185, fracciones I y II de la Ley de Transparencia y Acceso a la Información Pública del Estado de México y Municipios, el cual fue debidamente notificado a las partes, el mismo día, a través del Sistema de Acceso a la Información Mexiquense (SAIMEX), en el que se les otorgó un plazo de siete días hábiles posteriores a la misma, para que manifestaran lo que a su derecho conviniera y formularan alegatos. </w:t>
      </w:r>
    </w:p>
    <w:p w:rsidR="00D07455" w:rsidRDefault="00D07455">
      <w:pPr>
        <w:spacing w:after="0" w:line="360" w:lineRule="auto"/>
        <w:rPr>
          <w:b/>
          <w:bCs/>
          <w:color w:val="000000"/>
        </w:rPr>
      </w:pPr>
    </w:p>
    <w:p w:rsidR="00D07455" w:rsidRDefault="00F53554">
      <w:pPr>
        <w:tabs>
          <w:tab w:val="left" w:pos="3261"/>
        </w:tabs>
        <w:spacing w:after="0" w:line="360" w:lineRule="auto"/>
        <w:rPr>
          <w:color w:val="000000"/>
        </w:rPr>
      </w:pPr>
      <w:bookmarkStart w:id="8" w:name="_heading=h.w1jocqw85xi1" w:colFirst="0" w:colLast="0"/>
      <w:bookmarkEnd w:id="8"/>
      <w:r>
        <w:rPr>
          <w:b/>
          <w:bCs/>
          <w:color w:val="000000"/>
        </w:rPr>
        <w:t>c) Informe Justificado.</w:t>
      </w:r>
      <w:r>
        <w:t xml:space="preserve"> </w:t>
      </w:r>
      <w:r>
        <w:rPr>
          <w:color w:val="000000"/>
        </w:rPr>
        <w:t xml:space="preserve">El ocho de mayo de dos mil veinticinco, a través del Sistema de Acceso a la Información Mexiquense (SAIMEX), se recibió en este Instituto el informe justificado, a través de un oficio sin número, del ocho de mayo de dos mil veinticinco, suscrito por el Titular de la Unidad de Transparencia y dirigido al Comisionado Ponente, por medio del cual ratificó la respuesta emitida por la Dirección General de Administración.  </w:t>
      </w:r>
    </w:p>
    <w:p w:rsidR="00D07455" w:rsidRDefault="00D07455">
      <w:pPr>
        <w:tabs>
          <w:tab w:val="left" w:pos="3261"/>
        </w:tabs>
        <w:spacing w:after="0" w:line="360" w:lineRule="auto"/>
        <w:rPr>
          <w:color w:val="000000"/>
        </w:rPr>
      </w:pPr>
    </w:p>
    <w:p w:rsidR="00D07455" w:rsidRDefault="00F53554">
      <w:pPr>
        <w:spacing w:after="0" w:line="360" w:lineRule="auto"/>
        <w:rPr>
          <w:b/>
          <w:bCs/>
          <w:color w:val="000000"/>
        </w:rPr>
      </w:pPr>
      <w:r>
        <w:rPr>
          <w:b/>
          <w:bCs/>
          <w:color w:val="000000"/>
        </w:rPr>
        <w:t xml:space="preserve">d) Vista del Informe Justificado. </w:t>
      </w:r>
      <w:r>
        <w:rPr>
          <w:color w:val="000000"/>
        </w:rPr>
        <w:t xml:space="preserve">El diez de marzo de dos mil veintiséis, se dictó acuerdo por medio del cual se puso a la vista de la persona Recurrente el Informe Justificado entregado por el Sujeto Obligado, el cual fue notificado a las partes, el mismo día, a través del Sistema de Acceso a la Información Mexiquense (SAIMEX). </w:t>
      </w:r>
      <w:r>
        <w:rPr>
          <w:b/>
          <w:bCs/>
          <w:color w:val="000000"/>
        </w:rPr>
        <w:t>Cabe señalar que el Particular fue omiso en realizar manifestación alguna.</w:t>
      </w:r>
    </w:p>
    <w:p w:rsidR="00D07455" w:rsidRDefault="00D07455">
      <w:pPr>
        <w:spacing w:after="0" w:line="360" w:lineRule="auto"/>
        <w:rPr>
          <w:b/>
          <w:bCs/>
          <w:color w:val="000000"/>
        </w:rPr>
      </w:pPr>
    </w:p>
    <w:p w:rsidR="00D07455" w:rsidRDefault="00F53554">
      <w:pPr>
        <w:spacing w:after="0" w:line="360" w:lineRule="auto"/>
      </w:pPr>
      <w:r>
        <w:rPr>
          <w:b/>
          <w:bCs/>
        </w:rPr>
        <w:t>e) Ampliación de plazo para resolver.</w:t>
      </w:r>
      <w:r>
        <w:t xml:space="preserve"> El diez de marzo de dos mil veintiséis, el Comisionado Ponente, con fundamento en lo dispuesto por el artículo 181, párrafo tercero, de la Ley de </w:t>
      </w:r>
      <w:r>
        <w:lastRenderedPageBreak/>
        <w:t>Transparencia y Acceso a la Información Pública del Estado de México y Municipios, acordó ampliar por un plazo razonable, el plazo para resolver el Recurso de Revisión que nos ocupa; acto que fue notificado a las partes el dieciocho del mismo mes y año, mediante el Sistema de Acceso a la Información Mexiquense (SAIMEX)</w:t>
      </w:r>
    </w:p>
    <w:p w:rsidR="00D07455" w:rsidRDefault="00D07455">
      <w:pPr>
        <w:spacing w:after="0" w:line="360" w:lineRule="auto"/>
        <w:rPr>
          <w:b/>
          <w:bCs/>
          <w:color w:val="000000"/>
        </w:rPr>
      </w:pPr>
    </w:p>
    <w:p w:rsidR="00D07455" w:rsidRDefault="00F53554">
      <w:pPr>
        <w:spacing w:after="0" w:line="360" w:lineRule="auto"/>
        <w:ind w:right="-28"/>
        <w:rPr>
          <w:color w:val="000000"/>
        </w:rPr>
      </w:pPr>
      <w:bookmarkStart w:id="9" w:name="_heading=h.14931bbxx6p9" w:colFirst="0" w:colLast="0"/>
      <w:bookmarkEnd w:id="9"/>
      <w:r>
        <w:rPr>
          <w:b/>
          <w:bCs/>
          <w:color w:val="000000"/>
        </w:rPr>
        <w:t>f) Cierre de instrucción.</w:t>
      </w:r>
      <w:r>
        <w:rPr>
          <w:color w:val="000000"/>
        </w:rPr>
        <w:t xml:space="preserve"> El d</w:t>
      </w:r>
      <w:r>
        <w:t>iecinueve</w:t>
      </w:r>
      <w:r>
        <w:rPr>
          <w:color w:val="000000"/>
        </w:rPr>
        <w:t xml:space="preserve"> de marzo de dos mil veintiséis, al no existir diligencias pendientes por desahogar, se emitió el acuerdo por medio del cual se declaró cerrada la instrucción y se determinó pasar los expedientes a resolución, en términos de lo dispuesto e n los artículos 185, fracciones VI y VIII, de la Ley de Transparencia y Acceso a la Información Pública del Estado de México y Municipios, mismo que fue notificado a las partes el dieciocho del mismo mes y año, a través del Sistema de Acceso a la Información Mexiquense (SAIMEX). </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rsidR="00D07455" w:rsidRDefault="00D07455">
      <w:pPr>
        <w:spacing w:after="0" w:line="360" w:lineRule="auto"/>
        <w:rPr>
          <w:color w:val="000000"/>
        </w:rPr>
      </w:pPr>
    </w:p>
    <w:p w:rsidR="00D07455" w:rsidRDefault="00F53554">
      <w:pPr>
        <w:pStyle w:val="Ttulo1"/>
        <w:spacing w:before="0" w:line="360" w:lineRule="auto"/>
        <w:jc w:val="center"/>
        <w:rPr>
          <w:rFonts w:ascii="Palatino Linotype" w:eastAsia="Palatino Linotype" w:hAnsi="Palatino Linotype" w:cs="Palatino Linotype"/>
          <w:b/>
          <w:bCs/>
          <w:color w:val="000000"/>
          <w:sz w:val="22"/>
          <w:szCs w:val="22"/>
        </w:rPr>
      </w:pPr>
      <w:bookmarkStart w:id="10" w:name="_Toc224833181"/>
      <w:r>
        <w:rPr>
          <w:rFonts w:ascii="Palatino Linotype" w:eastAsia="Palatino Linotype" w:hAnsi="Palatino Linotype" w:cs="Palatino Linotype"/>
          <w:b/>
          <w:bCs/>
          <w:color w:val="000000"/>
          <w:sz w:val="22"/>
          <w:szCs w:val="22"/>
        </w:rPr>
        <w:t>C O N S I D E R A N D O S</w:t>
      </w:r>
      <w:bookmarkEnd w:id="10"/>
    </w:p>
    <w:p w:rsidR="00D07455" w:rsidRDefault="00D07455">
      <w:pPr>
        <w:spacing w:after="0" w:line="360" w:lineRule="auto"/>
        <w:jc w:val="center"/>
        <w:rPr>
          <w:b/>
          <w:bCs/>
          <w:color w:val="000000"/>
        </w:rPr>
      </w:pPr>
    </w:p>
    <w:p w:rsidR="00D07455" w:rsidRDefault="00F53554">
      <w:pPr>
        <w:pStyle w:val="Ttulo2"/>
        <w:spacing w:before="0" w:line="360" w:lineRule="auto"/>
        <w:rPr>
          <w:rFonts w:ascii="Palatino Linotype" w:eastAsia="Palatino Linotype" w:hAnsi="Palatino Linotype" w:cs="Palatino Linotype"/>
          <w:b/>
          <w:bCs/>
          <w:color w:val="000000"/>
          <w:sz w:val="22"/>
          <w:szCs w:val="22"/>
        </w:rPr>
      </w:pPr>
      <w:bookmarkStart w:id="11" w:name="_Toc224833182"/>
      <w:r>
        <w:rPr>
          <w:rFonts w:ascii="Palatino Linotype" w:eastAsia="Palatino Linotype" w:hAnsi="Palatino Linotype" w:cs="Palatino Linotype"/>
          <w:b/>
          <w:bCs/>
          <w:color w:val="000000"/>
          <w:sz w:val="22"/>
          <w:szCs w:val="22"/>
        </w:rPr>
        <w:t>PRIMERO. Competencia</w:t>
      </w:r>
      <w:bookmarkEnd w:id="11"/>
    </w:p>
    <w:p w:rsidR="00D07455" w:rsidRDefault="00D07455">
      <w:pPr>
        <w:spacing w:after="0" w:line="360" w:lineRule="auto"/>
        <w:rPr>
          <w:b/>
          <w:bCs/>
          <w:color w:val="FF0000"/>
        </w:rPr>
      </w:pPr>
    </w:p>
    <w:p w:rsidR="00D07455" w:rsidRDefault="00F53554">
      <w:pPr>
        <w:spacing w:after="0" w:line="360" w:lineRule="auto"/>
        <w:rPr>
          <w:color w:val="000000"/>
        </w:rPr>
      </w:pPr>
      <w:r>
        <w:rPr>
          <w:color w:val="000000"/>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w:t>
      </w:r>
      <w:r>
        <w:rPr>
          <w:color w:val="000000"/>
        </w:rPr>
        <w:lastRenderedPageBreak/>
        <w:t>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D07455" w:rsidRDefault="00D07455">
      <w:pPr>
        <w:spacing w:after="0" w:line="360" w:lineRule="auto"/>
        <w:rPr>
          <w:b/>
          <w:bCs/>
          <w:color w:val="000000"/>
        </w:rPr>
      </w:pPr>
    </w:p>
    <w:p w:rsidR="00D07455" w:rsidRDefault="00F53554">
      <w:pPr>
        <w:pStyle w:val="Ttulo2"/>
        <w:spacing w:before="0" w:line="360" w:lineRule="auto"/>
        <w:rPr>
          <w:rFonts w:ascii="Palatino Linotype" w:eastAsia="Palatino Linotype" w:hAnsi="Palatino Linotype" w:cs="Palatino Linotype"/>
          <w:b/>
          <w:bCs/>
          <w:color w:val="000000"/>
          <w:sz w:val="22"/>
          <w:szCs w:val="22"/>
        </w:rPr>
      </w:pPr>
      <w:bookmarkStart w:id="12" w:name="_Toc224833183"/>
      <w:r>
        <w:rPr>
          <w:rFonts w:ascii="Palatino Linotype" w:eastAsia="Palatino Linotype" w:hAnsi="Palatino Linotype" w:cs="Palatino Linotype"/>
          <w:b/>
          <w:bCs/>
          <w:color w:val="000000"/>
          <w:sz w:val="22"/>
          <w:szCs w:val="22"/>
        </w:rPr>
        <w:t>SEGUNDO. Causales de improcedencia y sobreseimiento</w:t>
      </w:r>
      <w:bookmarkEnd w:id="12"/>
      <w:r>
        <w:rPr>
          <w:rFonts w:ascii="Palatino Linotype" w:eastAsia="Palatino Linotype" w:hAnsi="Palatino Linotype" w:cs="Palatino Linotype"/>
          <w:b/>
          <w:bCs/>
          <w:color w:val="000000"/>
          <w:sz w:val="22"/>
          <w:szCs w:val="22"/>
        </w:rPr>
        <w:t xml:space="preserve"> </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 xml:space="preserve">De las constancias que forma parte del Recurso de Revisión que se analiza, se advierte que previo al estudio del fondo de la </w:t>
      </w:r>
      <w:proofErr w:type="spellStart"/>
      <w:r>
        <w:rPr>
          <w:i/>
          <w:iCs/>
          <w:color w:val="000000"/>
        </w:rPr>
        <w:t>litis</w:t>
      </w:r>
      <w:proofErr w:type="spellEnd"/>
      <w:r>
        <w:rPr>
          <w:color w:val="000000"/>
        </w:rPr>
        <w:t>, es necesario estudiar las causales de improcedencia y sobreseimiento que se adviertan, para determinar lo que en Derecho proceda.</w:t>
      </w:r>
    </w:p>
    <w:p w:rsidR="00D07455" w:rsidRDefault="00D07455">
      <w:pPr>
        <w:spacing w:after="0" w:line="360" w:lineRule="auto"/>
        <w:rPr>
          <w:b/>
          <w:bCs/>
          <w:color w:val="000000"/>
        </w:rPr>
      </w:pPr>
    </w:p>
    <w:p w:rsidR="00D07455" w:rsidRDefault="00F53554">
      <w:pPr>
        <w:spacing w:after="0" w:line="360" w:lineRule="auto"/>
        <w:rPr>
          <w:b/>
          <w:bCs/>
          <w:color w:val="000000"/>
        </w:rPr>
      </w:pPr>
      <w:r>
        <w:rPr>
          <w:b/>
          <w:bCs/>
          <w:color w:val="000000"/>
        </w:rPr>
        <w:t>Causales de improcedencia</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En el presente caso, </w:t>
      </w:r>
      <w:r>
        <w:rPr>
          <w:b/>
          <w:bCs/>
          <w:color w:val="000000"/>
        </w:rPr>
        <w:t>no se actualiza ninguna de las causales de improcedencia</w:t>
      </w:r>
      <w:r>
        <w:rPr>
          <w:color w:val="000000"/>
        </w:rPr>
        <w:t xml:space="preserve"> establecidas en el ordenamiento jurídico previamente señalado, toda vez que: este Instituto no tiene conocimiento de que se encuentre en trámite algún medio de defensa presentado por la </w:t>
      </w:r>
      <w:r>
        <w:rPr>
          <w:color w:val="000000"/>
        </w:rPr>
        <w:lastRenderedPageBreak/>
        <w:t>Recurrente ante otra instancia; no existió prevención alguna; la veracidad de la respuesta no formó parte del agravio; ni se realizó una consulta o ampliación a los alcances del requerimiento informativo.</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 xml:space="preserve">Conforme a lo anterior, se actualiza la causal de procedencia señalada en el artículo 179, fracción V, de la Ley de la materia, toda vez que el Solicitante se inconformó con la entrega de información incompleta. </w:t>
      </w:r>
    </w:p>
    <w:p w:rsidR="00D07455" w:rsidRDefault="00D07455">
      <w:pPr>
        <w:spacing w:after="0" w:line="360" w:lineRule="auto"/>
        <w:rPr>
          <w:color w:val="000000"/>
        </w:rPr>
      </w:pPr>
    </w:p>
    <w:p w:rsidR="00D07455" w:rsidRDefault="00F53554">
      <w:pPr>
        <w:spacing w:after="0" w:line="360" w:lineRule="auto"/>
        <w:rPr>
          <w:color w:val="0D0D0D"/>
        </w:rPr>
      </w:pPr>
      <w:r>
        <w:rPr>
          <w:b/>
          <w:bCs/>
          <w:color w:val="0D0D0D"/>
        </w:rPr>
        <w:t>Causales de sobreseimiento</w:t>
      </w:r>
    </w:p>
    <w:p w:rsidR="00D07455" w:rsidRDefault="00D07455">
      <w:pPr>
        <w:spacing w:after="0" w:line="360" w:lineRule="auto"/>
        <w:rPr>
          <w:color w:val="0D0D0D"/>
        </w:rPr>
      </w:pPr>
    </w:p>
    <w:p w:rsidR="00D07455" w:rsidRDefault="00F53554">
      <w:pPr>
        <w:spacing w:after="0" w:line="360" w:lineRule="auto"/>
        <w:rPr>
          <w:color w:val="0D0D0D"/>
        </w:rPr>
      </w:pPr>
      <w:r>
        <w:rPr>
          <w:color w:val="0D0D0D"/>
        </w:rPr>
        <w:t>Por ser de previo y especial pronunciamiento, este Instituto analiza si se actualiza alguna causal de sobreseimiento.</w:t>
      </w:r>
    </w:p>
    <w:p w:rsidR="00D07455" w:rsidRDefault="00D07455">
      <w:pPr>
        <w:spacing w:after="0" w:line="360" w:lineRule="auto"/>
        <w:rPr>
          <w:color w:val="0D0D0D"/>
        </w:rPr>
      </w:pPr>
    </w:p>
    <w:p w:rsidR="00D07455" w:rsidRDefault="00F53554">
      <w:pPr>
        <w:spacing w:after="0" w:line="360" w:lineRule="auto"/>
        <w:rPr>
          <w:color w:val="000000"/>
        </w:rPr>
      </w:pPr>
      <w:r>
        <w:rPr>
          <w:color w:val="0D0D0D"/>
        </w:rPr>
        <w:t>Sobre el tema, e</w:t>
      </w:r>
      <w:r>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rsidR="00D07455" w:rsidRDefault="00D07455">
      <w:pPr>
        <w:spacing w:after="0" w:line="360" w:lineRule="auto"/>
        <w:rPr>
          <w:color w:val="000000"/>
        </w:rPr>
      </w:pPr>
    </w:p>
    <w:p w:rsidR="00D07455" w:rsidRDefault="00F53554">
      <w:pPr>
        <w:spacing w:after="0" w:line="360" w:lineRule="auto"/>
        <w:rPr>
          <w:color w:val="0D0D0D"/>
        </w:rPr>
      </w:pPr>
      <w:r>
        <w:rPr>
          <w:color w:val="0D0D0D"/>
        </w:rPr>
        <w:t xml:space="preserve">Por tales motivos, se considera procedente entrar al fondo del presente asunto. </w:t>
      </w:r>
    </w:p>
    <w:p w:rsidR="00D07455" w:rsidRDefault="00D07455">
      <w:pPr>
        <w:spacing w:after="0" w:line="360" w:lineRule="auto"/>
        <w:rPr>
          <w:b/>
          <w:bCs/>
          <w:color w:val="000000"/>
        </w:rPr>
      </w:pPr>
    </w:p>
    <w:p w:rsidR="00D07455" w:rsidRDefault="00F53554">
      <w:pPr>
        <w:pStyle w:val="Ttulo2"/>
        <w:spacing w:before="0" w:line="360" w:lineRule="auto"/>
        <w:rPr>
          <w:rFonts w:ascii="Palatino Linotype" w:eastAsia="Palatino Linotype" w:hAnsi="Palatino Linotype" w:cs="Palatino Linotype"/>
          <w:b/>
          <w:bCs/>
          <w:color w:val="000000"/>
          <w:sz w:val="22"/>
          <w:szCs w:val="22"/>
        </w:rPr>
      </w:pPr>
      <w:bookmarkStart w:id="13" w:name="_Toc224833184"/>
      <w:r>
        <w:rPr>
          <w:rFonts w:ascii="Palatino Linotype" w:eastAsia="Palatino Linotype" w:hAnsi="Palatino Linotype" w:cs="Palatino Linotype"/>
          <w:b/>
          <w:bCs/>
          <w:color w:val="000000"/>
          <w:sz w:val="22"/>
          <w:szCs w:val="22"/>
        </w:rPr>
        <w:t>TERCERO. Determinación de la Controversia</w:t>
      </w:r>
      <w:bookmarkEnd w:id="13"/>
    </w:p>
    <w:p w:rsidR="00D07455" w:rsidRDefault="00D07455">
      <w:pPr>
        <w:spacing w:after="0" w:line="360" w:lineRule="auto"/>
        <w:rPr>
          <w:color w:val="FF0000"/>
        </w:rPr>
      </w:pPr>
    </w:p>
    <w:p w:rsidR="00D07455" w:rsidRDefault="00F53554">
      <w:pPr>
        <w:spacing w:after="0" w:line="360" w:lineRule="auto"/>
        <w:rPr>
          <w:color w:val="000000"/>
        </w:rPr>
      </w:pPr>
      <w:r>
        <w:rPr>
          <w:color w:val="000000"/>
        </w:rPr>
        <w:lastRenderedPageBreak/>
        <w:t xml:space="preserve">Una vez realizado el estudio de las constancias que integran el expediente en que se actúa, se desprende que el Recurrente requirió del Presidente Municipal, Cabildo, Secretario del Ayuntamiento, Directores, Coordinadores y titulares al diecisiete de febrero de dos mil veinticinco, lo siguiente: </w:t>
      </w:r>
    </w:p>
    <w:p w:rsidR="00D07455" w:rsidRDefault="00D07455">
      <w:pPr>
        <w:spacing w:after="0" w:line="360" w:lineRule="auto"/>
        <w:rPr>
          <w:color w:val="000000"/>
        </w:rPr>
      </w:pPr>
    </w:p>
    <w:p w:rsidR="00D07455" w:rsidRDefault="00F53554">
      <w:pPr>
        <w:numPr>
          <w:ilvl w:val="0"/>
          <w:numId w:val="2"/>
        </w:numPr>
        <w:pBdr>
          <w:top w:val="nil"/>
          <w:left w:val="nil"/>
          <w:bottom w:val="nil"/>
          <w:right w:val="nil"/>
          <w:between w:val="nil"/>
        </w:pBdr>
        <w:spacing w:after="0" w:line="360" w:lineRule="auto"/>
        <w:rPr>
          <w:color w:val="000000"/>
        </w:rPr>
      </w:pPr>
      <w:r>
        <w:rPr>
          <w:color w:val="000000"/>
        </w:rPr>
        <w:t>Nombre completo, título, grado académico y cédula profesional;</w:t>
      </w:r>
    </w:p>
    <w:p w:rsidR="00D07455" w:rsidRDefault="00F53554">
      <w:pPr>
        <w:numPr>
          <w:ilvl w:val="0"/>
          <w:numId w:val="2"/>
        </w:numPr>
        <w:pBdr>
          <w:top w:val="nil"/>
          <w:left w:val="nil"/>
          <w:bottom w:val="nil"/>
          <w:right w:val="nil"/>
          <w:between w:val="nil"/>
        </w:pBdr>
        <w:spacing w:after="0" w:line="360" w:lineRule="auto"/>
        <w:rPr>
          <w:color w:val="000000"/>
        </w:rPr>
      </w:pPr>
      <w:r>
        <w:rPr>
          <w:color w:val="000000"/>
        </w:rPr>
        <w:t>Comprobante del último pago y comprobante del depósito en la cuenta bancaria correspondiente o transferencia electrónica;</w:t>
      </w:r>
    </w:p>
    <w:p w:rsidR="00D07455" w:rsidRDefault="00F53554">
      <w:pPr>
        <w:numPr>
          <w:ilvl w:val="0"/>
          <w:numId w:val="2"/>
        </w:numPr>
        <w:pBdr>
          <w:top w:val="nil"/>
          <w:left w:val="nil"/>
          <w:bottom w:val="nil"/>
          <w:right w:val="nil"/>
          <w:between w:val="nil"/>
        </w:pBdr>
        <w:spacing w:after="0" w:line="360" w:lineRule="auto"/>
        <w:rPr>
          <w:color w:val="000000"/>
        </w:rPr>
      </w:pPr>
      <w:r>
        <w:rPr>
          <w:color w:val="000000"/>
        </w:rPr>
        <w:t xml:space="preserve">Informe de las actividades realizadas en el último mes; </w:t>
      </w:r>
    </w:p>
    <w:p w:rsidR="00D07455" w:rsidRDefault="00F53554">
      <w:pPr>
        <w:numPr>
          <w:ilvl w:val="0"/>
          <w:numId w:val="2"/>
        </w:numPr>
        <w:pBdr>
          <w:top w:val="nil"/>
          <w:left w:val="nil"/>
          <w:bottom w:val="nil"/>
          <w:right w:val="nil"/>
          <w:between w:val="nil"/>
        </w:pBdr>
        <w:spacing w:after="0" w:line="360" w:lineRule="auto"/>
        <w:rPr>
          <w:color w:val="000000"/>
        </w:rPr>
      </w:pPr>
      <w:r>
        <w:rPr>
          <w:color w:val="000000"/>
        </w:rPr>
        <w:t xml:space="preserve">Copia en versión pública de la manifestación de bienes; </w:t>
      </w:r>
    </w:p>
    <w:p w:rsidR="00D07455" w:rsidRDefault="00F53554">
      <w:pPr>
        <w:numPr>
          <w:ilvl w:val="0"/>
          <w:numId w:val="2"/>
        </w:numPr>
        <w:pBdr>
          <w:top w:val="nil"/>
          <w:left w:val="nil"/>
          <w:bottom w:val="nil"/>
          <w:right w:val="nil"/>
          <w:between w:val="nil"/>
        </w:pBdr>
        <w:spacing w:after="0" w:line="360" w:lineRule="auto"/>
        <w:rPr>
          <w:color w:val="000000"/>
        </w:rPr>
      </w:pPr>
      <w:r>
        <w:rPr>
          <w:color w:val="000000"/>
        </w:rPr>
        <w:t xml:space="preserve">Detalle de su domicilio particular y teléfono de casa; </w:t>
      </w:r>
    </w:p>
    <w:p w:rsidR="00D07455" w:rsidRDefault="00F53554">
      <w:pPr>
        <w:numPr>
          <w:ilvl w:val="0"/>
          <w:numId w:val="2"/>
        </w:numPr>
        <w:pBdr>
          <w:top w:val="nil"/>
          <w:left w:val="nil"/>
          <w:bottom w:val="nil"/>
          <w:right w:val="nil"/>
          <w:between w:val="nil"/>
        </w:pBdr>
        <w:spacing w:after="0" w:line="360" w:lineRule="auto"/>
        <w:rPr>
          <w:color w:val="000000"/>
        </w:rPr>
      </w:pPr>
      <w:r>
        <w:rPr>
          <w:color w:val="000000"/>
        </w:rPr>
        <w:t>Nombramientos;</w:t>
      </w:r>
    </w:p>
    <w:p w:rsidR="00D07455" w:rsidRDefault="00F53554">
      <w:pPr>
        <w:numPr>
          <w:ilvl w:val="0"/>
          <w:numId w:val="2"/>
        </w:numPr>
        <w:pBdr>
          <w:top w:val="nil"/>
          <w:left w:val="nil"/>
          <w:bottom w:val="nil"/>
          <w:right w:val="nil"/>
          <w:between w:val="nil"/>
        </w:pBdr>
        <w:spacing w:after="0" w:line="360" w:lineRule="auto"/>
        <w:rPr>
          <w:color w:val="000000"/>
        </w:rPr>
      </w:pPr>
      <w:r>
        <w:rPr>
          <w:color w:val="000000"/>
        </w:rPr>
        <w:t xml:space="preserve">Informe de actividades que se tienen proyectados realizar en beneficio de la sociedad </w:t>
      </w:r>
    </w:p>
    <w:p w:rsidR="00D07455" w:rsidRDefault="00D07455">
      <w:pPr>
        <w:spacing w:after="0" w:line="360" w:lineRule="auto"/>
        <w:rPr>
          <w:color w:val="000000"/>
        </w:rPr>
      </w:pPr>
    </w:p>
    <w:p w:rsidR="00D07455" w:rsidRDefault="00F53554">
      <w:pPr>
        <w:spacing w:after="0" w:line="360" w:lineRule="auto"/>
        <w:ind w:right="-28"/>
        <w:rPr>
          <w:color w:val="000000"/>
        </w:rPr>
      </w:pPr>
      <w:r>
        <w:rPr>
          <w:color w:val="000000"/>
        </w:rPr>
        <w:t xml:space="preserve">En respuesta, el Sujeto Obligado, por medio de la Dirección General de  Administración proporcionó diversos nombramientos y comprobantes de estudios, además precisó no ser el área competente respecto a los comprobantes de pago y depósitos realizados, además indicó que la Secretaría de la Contraloría es la encargada de la vigilancia y control de la declaración patrimonial y de intereses de los servidores públicos; ante dicha circunstancia, el Particular se inconformó de la información incompleta, lo cual, actualiza la causal de procedencia prevista en la fracción V, del artículo 179 de la Ley de Transparencia y Acceso a la Información Pública del Estado de México y Municipios. Así las cosas, una vez admitido y notificado el Recurso de Revisión a las partes, el Sujeto Obligado ratificó su respuesta, cabe precisar que la persona Recurrente fue omisa en manifestarse. </w:t>
      </w:r>
    </w:p>
    <w:p w:rsidR="00D07455" w:rsidRDefault="00D07455">
      <w:pPr>
        <w:spacing w:after="0" w:line="360" w:lineRule="auto"/>
        <w:ind w:right="-28"/>
        <w:rPr>
          <w:color w:val="000000"/>
        </w:rPr>
      </w:pPr>
    </w:p>
    <w:p w:rsidR="00D07455" w:rsidRDefault="00F53554">
      <w:pPr>
        <w:tabs>
          <w:tab w:val="left" w:pos="4962"/>
        </w:tabs>
        <w:spacing w:after="0" w:line="360" w:lineRule="auto"/>
        <w:rPr>
          <w:color w:val="000000"/>
        </w:rPr>
      </w:pPr>
      <w:r>
        <w:rPr>
          <w:color w:val="000000"/>
        </w:rPr>
        <w:lastRenderedPageBreak/>
        <w:t xml:space="preserve">Lo anterior, se desprende de las documentales que obran en el expediente de referencia, materia de la presente resolución, consistente en: la solicitud de acceso a la información, la respuesta y el escrito </w:t>
      </w:r>
      <w:proofErr w:type="spellStart"/>
      <w:r>
        <w:rPr>
          <w:color w:val="000000"/>
        </w:rPr>
        <w:t>recursal</w:t>
      </w:r>
      <w:proofErr w:type="spellEnd"/>
      <w:r>
        <w:rPr>
          <w:color w:val="000000"/>
        </w:rPr>
        <w:t>; instrumentales que se toman en cuenta a efecto de resolver el presente medio de impugnación, conforme a lo dispuesto por el artículo 185, fracción IV, de la Ley de Transparencia y Acceso a la Información Pública del Estado de México y Municipios.</w:t>
      </w:r>
    </w:p>
    <w:p w:rsidR="00D07455" w:rsidRDefault="00D07455">
      <w:pPr>
        <w:spacing w:after="0" w:line="360" w:lineRule="auto"/>
        <w:rPr>
          <w:b/>
          <w:bCs/>
          <w:color w:val="000000"/>
        </w:rPr>
      </w:pPr>
    </w:p>
    <w:p w:rsidR="00D07455" w:rsidRDefault="00F53554">
      <w:pPr>
        <w:pStyle w:val="Ttulo2"/>
        <w:spacing w:before="0" w:line="360" w:lineRule="auto"/>
        <w:rPr>
          <w:rFonts w:ascii="Palatino Linotype" w:eastAsia="Palatino Linotype" w:hAnsi="Palatino Linotype" w:cs="Palatino Linotype"/>
          <w:b/>
          <w:bCs/>
          <w:color w:val="000000"/>
          <w:sz w:val="22"/>
          <w:szCs w:val="22"/>
        </w:rPr>
      </w:pPr>
      <w:bookmarkStart w:id="14" w:name="_Toc224833185"/>
      <w:r>
        <w:rPr>
          <w:rFonts w:ascii="Palatino Linotype" w:eastAsia="Palatino Linotype" w:hAnsi="Palatino Linotype" w:cs="Palatino Linotype"/>
          <w:b/>
          <w:bCs/>
          <w:color w:val="000000"/>
          <w:sz w:val="22"/>
          <w:szCs w:val="22"/>
        </w:rPr>
        <w:t>CUARTO. Marco normativo aplicable en materia de transparencia y acceso a la información pública</w:t>
      </w:r>
      <w:bookmarkEnd w:id="14"/>
    </w:p>
    <w:p w:rsidR="00D07455" w:rsidRDefault="00D07455">
      <w:pPr>
        <w:spacing w:after="0" w:line="360" w:lineRule="auto"/>
        <w:rPr>
          <w:color w:val="FF0000"/>
        </w:rPr>
      </w:pPr>
    </w:p>
    <w:p w:rsidR="00D07455" w:rsidRDefault="00F53554">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El artículo 12, que, quienes generen, recopilen, administren, manejen, procesen, archiven o conserven información pública serán responsables de la misma.</w:t>
      </w:r>
    </w:p>
    <w:p w:rsidR="00D07455" w:rsidRDefault="00D07455">
      <w:pPr>
        <w:spacing w:after="0" w:line="360" w:lineRule="auto"/>
        <w:rPr>
          <w:color w:val="000000"/>
        </w:rPr>
      </w:pPr>
    </w:p>
    <w:p w:rsidR="00D07455" w:rsidRDefault="00F53554">
      <w:pPr>
        <w:widowControl w:val="0"/>
        <w:spacing w:after="0" w:line="360" w:lineRule="auto"/>
        <w:rPr>
          <w:color w:val="000000"/>
        </w:rPr>
      </w:pPr>
      <w:r>
        <w:rPr>
          <w:color w:val="000000"/>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D07455" w:rsidRDefault="00D07455">
      <w:pPr>
        <w:spacing w:after="0" w:line="360" w:lineRule="auto"/>
        <w:rPr>
          <w:color w:val="FF0000"/>
        </w:rPr>
      </w:pPr>
    </w:p>
    <w:p w:rsidR="00D07455" w:rsidRDefault="00F53554">
      <w:pPr>
        <w:pStyle w:val="Ttulo2"/>
        <w:spacing w:before="0" w:line="360" w:lineRule="auto"/>
        <w:rPr>
          <w:rFonts w:ascii="Palatino Linotype" w:eastAsia="Palatino Linotype" w:hAnsi="Palatino Linotype" w:cs="Palatino Linotype"/>
          <w:b/>
          <w:bCs/>
          <w:color w:val="000000"/>
          <w:sz w:val="22"/>
          <w:szCs w:val="22"/>
        </w:rPr>
      </w:pPr>
      <w:bookmarkStart w:id="15" w:name="_Toc224833186"/>
      <w:r>
        <w:rPr>
          <w:rFonts w:ascii="Palatino Linotype" w:eastAsia="Palatino Linotype" w:hAnsi="Palatino Linotype" w:cs="Palatino Linotype"/>
          <w:b/>
          <w:bCs/>
          <w:color w:val="000000"/>
          <w:sz w:val="22"/>
          <w:szCs w:val="22"/>
        </w:rPr>
        <w:t>QUINTO. Estudio de Fondo</w:t>
      </w:r>
      <w:bookmarkEnd w:id="15"/>
    </w:p>
    <w:p w:rsidR="00D07455" w:rsidRDefault="00D07455">
      <w:pPr>
        <w:spacing w:after="0" w:line="360" w:lineRule="auto"/>
        <w:rPr>
          <w:b/>
          <w:bCs/>
          <w:color w:val="000000"/>
        </w:rPr>
      </w:pPr>
    </w:p>
    <w:p w:rsidR="00D07455" w:rsidRDefault="00F53554">
      <w:pPr>
        <w:spacing w:after="0" w:line="360" w:lineRule="auto"/>
        <w:rPr>
          <w:color w:val="000000"/>
        </w:rPr>
      </w:pPr>
      <w:r>
        <w:rPr>
          <w:color w:val="000000"/>
        </w:rPr>
        <w:t>Expuestas las posturas de las partes, se procede al análisis del agravio hecho valer por el Recurrente, concerniente a la entrega de información incompleta, para lo cual en principio</w:t>
      </w:r>
      <w:proofErr w:type="gramStart"/>
      <w:r>
        <w:rPr>
          <w:color w:val="000000"/>
        </w:rPr>
        <w:t>,  es</w:t>
      </w:r>
      <w:proofErr w:type="gramEnd"/>
      <w:r>
        <w:rPr>
          <w:color w:val="000000"/>
        </w:rPr>
        <w:t xml:space="preserve"> necesario precisar que la pretensión de la persona Recurrente es obtener, del Presidente Municipal, Cabildo, Secretario del Ayuntamiento, Directores, Coordinadores y titulares al diecisiete de febrero de dos mil veinticinco, lo siguiente: </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1.</w:t>
      </w:r>
      <w:r>
        <w:rPr>
          <w:color w:val="000000"/>
        </w:rPr>
        <w:tab/>
        <w:t>Nombre completo, título, grado académico y cédula profesional;</w:t>
      </w:r>
    </w:p>
    <w:p w:rsidR="00D07455" w:rsidRDefault="00F53554">
      <w:pPr>
        <w:spacing w:after="0" w:line="360" w:lineRule="auto"/>
        <w:rPr>
          <w:color w:val="000000"/>
        </w:rPr>
      </w:pPr>
      <w:r>
        <w:rPr>
          <w:color w:val="000000"/>
        </w:rPr>
        <w:t>2.</w:t>
      </w:r>
      <w:r>
        <w:rPr>
          <w:color w:val="000000"/>
        </w:rPr>
        <w:tab/>
        <w:t>Comprobante del último pago y comprobante del depósito en la cuenta bancaria correspondiente o transferencia electrónica;</w:t>
      </w:r>
    </w:p>
    <w:p w:rsidR="00D07455" w:rsidRDefault="00F53554">
      <w:pPr>
        <w:spacing w:after="0" w:line="360" w:lineRule="auto"/>
        <w:rPr>
          <w:color w:val="000000"/>
        </w:rPr>
      </w:pPr>
      <w:r>
        <w:rPr>
          <w:color w:val="000000"/>
        </w:rPr>
        <w:t>3.</w:t>
      </w:r>
      <w:r>
        <w:rPr>
          <w:color w:val="000000"/>
        </w:rPr>
        <w:tab/>
        <w:t xml:space="preserve">Informe de las actividades realizadas en el último mes; </w:t>
      </w:r>
    </w:p>
    <w:p w:rsidR="00D07455" w:rsidRDefault="00F53554">
      <w:pPr>
        <w:spacing w:after="0" w:line="360" w:lineRule="auto"/>
        <w:rPr>
          <w:color w:val="000000"/>
        </w:rPr>
      </w:pPr>
      <w:r>
        <w:rPr>
          <w:color w:val="000000"/>
        </w:rPr>
        <w:t>4.</w:t>
      </w:r>
      <w:r>
        <w:rPr>
          <w:color w:val="000000"/>
        </w:rPr>
        <w:tab/>
        <w:t xml:space="preserve">Copia en versión pública de la manifestación de bienes; </w:t>
      </w:r>
    </w:p>
    <w:p w:rsidR="00D07455" w:rsidRDefault="00F53554">
      <w:pPr>
        <w:spacing w:after="0" w:line="360" w:lineRule="auto"/>
        <w:rPr>
          <w:color w:val="000000"/>
        </w:rPr>
      </w:pPr>
      <w:r>
        <w:rPr>
          <w:color w:val="000000"/>
        </w:rPr>
        <w:t>5.</w:t>
      </w:r>
      <w:r>
        <w:rPr>
          <w:color w:val="000000"/>
        </w:rPr>
        <w:tab/>
        <w:t xml:space="preserve">Detalle de su domicilio particular y teléfono de casa; </w:t>
      </w:r>
    </w:p>
    <w:p w:rsidR="00D07455" w:rsidRDefault="00F53554">
      <w:pPr>
        <w:spacing w:after="0" w:line="360" w:lineRule="auto"/>
        <w:rPr>
          <w:color w:val="000000"/>
        </w:rPr>
      </w:pPr>
      <w:r>
        <w:rPr>
          <w:color w:val="000000"/>
        </w:rPr>
        <w:t>6.</w:t>
      </w:r>
      <w:r>
        <w:rPr>
          <w:color w:val="000000"/>
        </w:rPr>
        <w:tab/>
        <w:t>Nombramientos;</w:t>
      </w:r>
    </w:p>
    <w:p w:rsidR="00D07455" w:rsidRDefault="00F53554">
      <w:pPr>
        <w:spacing w:after="0" w:line="360" w:lineRule="auto"/>
        <w:rPr>
          <w:color w:val="000000"/>
        </w:rPr>
      </w:pPr>
      <w:r>
        <w:rPr>
          <w:color w:val="000000"/>
        </w:rPr>
        <w:t>7.</w:t>
      </w:r>
      <w:r>
        <w:rPr>
          <w:color w:val="000000"/>
        </w:rPr>
        <w:tab/>
        <w:t>Informe de actividades que se tienen proyectados realizar en beneficio de la sociedad</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lastRenderedPageBreak/>
        <w:t>Establecido lo anterior ,se procede analizar la respuesta entregada, para lo cual, es de señalar que de las constancias que obran en el expediente, se logra vislumbrar que el Sujeto Obligado turno la solicitud de información a la Dirección General de Administración; así,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 xml:space="preserve">Al respecto, los artículos 3.2, fracción I, numerales 1 y 5, 3.19, fracciones VII y XXVI, 3.40, fracciones I y III, y 3.42, fracciones V y VI del Código Reglamentario Municipal de Toluca, dos mil veinticinco, precisa que para el despacho de las atribuciones de la Administración Pública Municipal, el Ayuntamiento contará con la Tesorería Municipal, encargada del registro y control de las operaciones financieras y contables, así como pagar la nómina mediante depósito bancario o bajo la modalidad convenida, a los servidores públicos en días y horas hábiles; asimismo, la Dirección de Administración, es la responsable de coordinar  y dirigir los sistemas de reclutamiento, selección contratación  y desarrollo de personal, así como de autorizar las altas, bajas cambios, permisos e integración de los expedientes del personal. </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 xml:space="preserve">Así, conforme a lo expuesto, se advierte que el Sujeto Obligado, no cumplió con el procedimiento de búsqueda previsto en el artículo 162 de la Ley de Transparencia y Acceso a la Información Pública del Estado de México y Municipios, toda vez que omitió turnar la </w:t>
      </w:r>
      <w:r>
        <w:rPr>
          <w:color w:val="000000"/>
        </w:rPr>
        <w:lastRenderedPageBreak/>
        <w:t>solicitud de información de manera enunciativa mas no limitativa a la Tesorería Municipal, así como los titulares de área que integran la estructura orgánica del Sujeto Obligado; así se procede al análisis de conformidad con lo siguiente:</w:t>
      </w:r>
    </w:p>
    <w:p w:rsidR="00D07455" w:rsidRDefault="00D07455">
      <w:pPr>
        <w:spacing w:after="0" w:line="360" w:lineRule="auto"/>
        <w:rPr>
          <w:color w:val="000000"/>
        </w:rPr>
      </w:pPr>
    </w:p>
    <w:p w:rsidR="00D07455" w:rsidRDefault="00F53554">
      <w:pPr>
        <w:numPr>
          <w:ilvl w:val="0"/>
          <w:numId w:val="1"/>
        </w:numPr>
        <w:pBdr>
          <w:top w:val="nil"/>
          <w:left w:val="nil"/>
          <w:bottom w:val="nil"/>
          <w:right w:val="nil"/>
          <w:between w:val="nil"/>
        </w:pBdr>
        <w:spacing w:after="0" w:line="360" w:lineRule="auto"/>
        <w:rPr>
          <w:color w:val="000000"/>
        </w:rPr>
      </w:pPr>
      <w:r>
        <w:rPr>
          <w:color w:val="000000"/>
        </w:rPr>
        <w:t xml:space="preserve">Nombre completo, título, grado de estudios y cédula profesional    </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 xml:space="preserve">En lo que respecta al </w:t>
      </w:r>
      <w:r>
        <w:rPr>
          <w:b/>
          <w:bCs/>
          <w:color w:val="000000"/>
        </w:rPr>
        <w:t>nombre completo del servidor público</w:t>
      </w:r>
      <w:r>
        <w:rPr>
          <w:color w:val="000000"/>
        </w:rPr>
        <w:t xml:space="preserve">, es de mencionar que por regla </w:t>
      </w:r>
      <w:r>
        <w:t>general, es información de naturaleza pública, esto de acuerdo con lo que establecen la fracción VII, del artículo 92 de la Ley de Transparencia y Acceso a la Información Pública del Estado de México y Municipios y, los Lineamientos Técnicos Generales para la publicación, homologación y estandarización de la información, vigentes a la fecha de la solicitud de información, tal como se aprecia a continuación:</w:t>
      </w:r>
    </w:p>
    <w:p w:rsidR="00D07455" w:rsidRDefault="00D07455">
      <w:pPr>
        <w:tabs>
          <w:tab w:val="left" w:pos="993"/>
        </w:tabs>
        <w:spacing w:after="0" w:line="360" w:lineRule="auto"/>
        <w:ind w:left="567" w:right="560"/>
        <w:rPr>
          <w:i/>
          <w:iCs/>
        </w:rPr>
      </w:pPr>
    </w:p>
    <w:p w:rsidR="00D07455" w:rsidRDefault="00F53554">
      <w:pPr>
        <w:tabs>
          <w:tab w:val="left" w:pos="993"/>
        </w:tabs>
        <w:spacing w:after="0" w:line="360" w:lineRule="auto"/>
        <w:ind w:right="-28"/>
      </w:pPr>
      <w:r>
        <w:rPr>
          <w:noProof/>
        </w:rPr>
        <w:drawing>
          <wp:inline distT="0" distB="0" distL="0" distR="0">
            <wp:extent cx="5756275" cy="3305175"/>
            <wp:effectExtent l="0" t="0" r="0" b="0"/>
            <wp:docPr id="21377104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756275" cy="3305175"/>
                    </a:xfrm>
                    <a:prstGeom prst="rect">
                      <a:avLst/>
                    </a:prstGeom>
                    <a:ln/>
                  </pic:spPr>
                </pic:pic>
              </a:graphicData>
            </a:graphic>
          </wp:inline>
        </w:drawing>
      </w:r>
    </w:p>
    <w:p w:rsidR="00D07455" w:rsidRDefault="00F53554">
      <w:pPr>
        <w:tabs>
          <w:tab w:val="left" w:pos="993"/>
        </w:tabs>
        <w:spacing w:after="0" w:line="360" w:lineRule="auto"/>
        <w:ind w:right="-28"/>
      </w:pPr>
      <w:r>
        <w:rPr>
          <w:noProof/>
        </w:rPr>
        <w:lastRenderedPageBreak/>
        <w:drawing>
          <wp:inline distT="0" distB="0" distL="0" distR="0">
            <wp:extent cx="5734850" cy="809738"/>
            <wp:effectExtent l="0" t="0" r="0" b="0"/>
            <wp:docPr id="21377104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734850" cy="809738"/>
                    </a:xfrm>
                    <a:prstGeom prst="rect">
                      <a:avLst/>
                    </a:prstGeom>
                    <a:ln/>
                  </pic:spPr>
                </pic:pic>
              </a:graphicData>
            </a:graphic>
          </wp:inline>
        </w:drawing>
      </w:r>
    </w:p>
    <w:p w:rsidR="00D07455" w:rsidRDefault="00D07455">
      <w:pPr>
        <w:tabs>
          <w:tab w:val="left" w:pos="993"/>
        </w:tabs>
        <w:spacing w:after="0" w:line="360" w:lineRule="auto"/>
        <w:ind w:right="-28"/>
      </w:pPr>
    </w:p>
    <w:p w:rsidR="00D07455" w:rsidRDefault="00F53554">
      <w:pPr>
        <w:tabs>
          <w:tab w:val="left" w:pos="993"/>
        </w:tabs>
        <w:spacing w:after="0" w:line="360" w:lineRule="auto"/>
        <w:ind w:right="-28"/>
      </w:pPr>
      <w:r>
        <w:t xml:space="preserve">En ese sentido, se colige que, esta información al corresponder a obligaciones de transparencia, su publicidad y entrega es obligatoria para los sujetos obligados, pues versa en información susceptible de ser transparentada, al ser de naturaleza e interés público. </w:t>
      </w:r>
    </w:p>
    <w:p w:rsidR="00D07455" w:rsidRDefault="00F53554">
      <w:pPr>
        <w:tabs>
          <w:tab w:val="left" w:pos="993"/>
        </w:tabs>
        <w:spacing w:after="0" w:line="360" w:lineRule="auto"/>
        <w:ind w:right="-28"/>
      </w:pPr>
      <w:r>
        <w:t>Al respecto, es preciso señalar que resulta conveniente señalar lo establecido por el artículo 47 de la Ley del Trabajo de los Servidores Públicos del Estado y Municipios, refiere que para ingresar al servicio público se requiere, entre otras cosas, cumplir con los requisitos que se establezcan para los diferentes puestos, como es el nivel académico.</w:t>
      </w:r>
    </w:p>
    <w:p w:rsidR="00D07455" w:rsidRDefault="00D07455">
      <w:pPr>
        <w:tabs>
          <w:tab w:val="left" w:pos="993"/>
        </w:tabs>
        <w:spacing w:after="0" w:line="360" w:lineRule="auto"/>
        <w:ind w:right="-28"/>
      </w:pPr>
    </w:p>
    <w:p w:rsidR="00D07455" w:rsidRDefault="00F53554">
      <w:pPr>
        <w:tabs>
          <w:tab w:val="left" w:pos="993"/>
        </w:tabs>
        <w:spacing w:after="0" w:line="360" w:lineRule="auto"/>
        <w:ind w:right="-28"/>
      </w:pPr>
      <w:r>
        <w:t xml:space="preserve">En ese contexto, el </w:t>
      </w:r>
      <w:r>
        <w:rPr>
          <w:b/>
          <w:bCs/>
        </w:rPr>
        <w:t>Título y la Cédula Profesional del servidor público</w:t>
      </w:r>
      <w:r>
        <w:t>, estos corresponden al documento expedido por instituciones del Estado o descentralizadas y, por instituciones particulares que tenga reconocimiento de validez oficial de estudios, a favor de la persona que esté en proceso o haya concluido los estudios correspondientes o demostrado tener los conocimientos necesarios de conformidad con esta Ley y otras disposiciones aplicables y, para su obtención es  indispensable acreditar que se han cumplido los requisitos académicos previstos por las leyes aplicables; lo anterior de conformidad con los artículos 1° y 8° de la Ley Reglamentaria del Artículo 5° Constitucional, Relativo al Ejercicio de las Profesiones en la Ciudad de México.</w:t>
      </w:r>
    </w:p>
    <w:p w:rsidR="00D07455" w:rsidRDefault="00D07455">
      <w:pPr>
        <w:spacing w:after="0" w:line="360" w:lineRule="auto"/>
      </w:pPr>
    </w:p>
    <w:p w:rsidR="00D07455" w:rsidRDefault="00F53554">
      <w:pPr>
        <w:spacing w:after="0" w:line="360" w:lineRule="auto"/>
        <w:rPr>
          <w:color w:val="000000"/>
        </w:rPr>
      </w:pPr>
      <w:r>
        <w:rPr>
          <w:color w:val="000000"/>
        </w:rPr>
        <w:t xml:space="preserve">Así, los documentos que dan cuenta de la preparación académica sirven como medios de identificación, para que a su titular lo relacionen con el nivel de estudios con que cuenta, tales como el título y cédula profesional, independientemente de que estos sean o no medios de identificación oficiales. </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 xml:space="preserve">Además, debe tenerse presente que la naturaleza del título profesional o bien, del certificado </w:t>
      </w:r>
      <w:proofErr w:type="spellStart"/>
      <w:r>
        <w:rPr>
          <w:color w:val="000000"/>
        </w:rPr>
        <w:t>u</w:t>
      </w:r>
      <w:proofErr w:type="spellEnd"/>
      <w:r>
        <w:rPr>
          <w:color w:val="000000"/>
        </w:rPr>
        <w:t xml:space="preserve"> homólogo, consiste en la de ser documentos de identificación para que a sus titulares, los acreditan como profesionales o expertos en algún área de estudio o conocimiento frente a terceros; por lo que, proporcionar dicha información </w:t>
      </w:r>
      <w:r>
        <w:rPr>
          <w:b/>
          <w:bCs/>
          <w:color w:val="000000"/>
        </w:rPr>
        <w:t>abona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En ese orden de ideas, la Guía Técnica 9 “La Administración del Personal Municipal”, emitida por el Instituto Nacional para el Federalismo y el Desarrollo Municipal, establece que el área o servidor público responsable de la administración del personal, debe llevar un control de todo el personal que ingresa al Ayuntamiento, así como integrar sus respectivos expedientes.</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 xml:space="preserve">Conforme a lo anterior, el Manual de Procedimientos de la Dirección General de Administración, precisa que, para el procedimiento de alta de personal, el expediente de personal que forme parte de la Administración Pública Municipal se integrará de diversos documentos como la </w:t>
      </w:r>
      <w:r>
        <w:rPr>
          <w:b/>
          <w:bCs/>
          <w:color w:val="000000"/>
        </w:rPr>
        <w:t>copia del comprobante del grado máximo de estudios</w:t>
      </w:r>
      <w:r>
        <w:rPr>
          <w:color w:val="000000"/>
        </w:rPr>
        <w:t>, entre otros.</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 xml:space="preserve">Además, el artículo 32 de la Ley Orgánica Municipal del Estado de México, precisa que dentro de todos los servidores públicos quienes se solicitó información existen excepciones y particularidades puesto que en determinados cargos de mandos medios y superiores es obligatorio acreditar un grado de estudios mínimos, como el título profesional, para los cargos de Secretario; Tesorero; Director de Obras Públicas, de Desarrollo Económico, </w:t>
      </w:r>
      <w:r>
        <w:rPr>
          <w:color w:val="000000"/>
        </w:rPr>
        <w:lastRenderedPageBreak/>
        <w:t xml:space="preserve">Director de Turismo, Coordinador General Municipal de Mejora Regulatoria, Ecología, Desarrollo Urbano, de Desarrollo Social, de las Mujeres, del Campo o equivalentes, titulares de las unidades administrativas, de Protección Civil y de los organismos auxiliares. </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 xml:space="preserve">Conforme a lo anterior, se procede al análisis de los artículos 92, 96, 96 Ter, 96 </w:t>
      </w:r>
      <w:proofErr w:type="spellStart"/>
      <w:r>
        <w:rPr>
          <w:color w:val="000000"/>
        </w:rPr>
        <w:t>Quintus</w:t>
      </w:r>
      <w:proofErr w:type="spellEnd"/>
      <w:r>
        <w:rPr>
          <w:color w:val="000000"/>
        </w:rPr>
        <w:t xml:space="preserve">, 96 </w:t>
      </w:r>
      <w:proofErr w:type="spellStart"/>
      <w:r>
        <w:rPr>
          <w:color w:val="000000"/>
        </w:rPr>
        <w:t>Septies</w:t>
      </w:r>
      <w:proofErr w:type="spellEnd"/>
      <w:r>
        <w:rPr>
          <w:color w:val="000000"/>
        </w:rPr>
        <w:t xml:space="preserve">, 96 </w:t>
      </w:r>
      <w:proofErr w:type="spellStart"/>
      <w:r>
        <w:rPr>
          <w:color w:val="000000"/>
        </w:rPr>
        <w:t>Nonies</w:t>
      </w:r>
      <w:proofErr w:type="spellEnd"/>
      <w:r>
        <w:rPr>
          <w:color w:val="000000"/>
        </w:rPr>
        <w:t xml:space="preserve">, 96 </w:t>
      </w:r>
      <w:proofErr w:type="spellStart"/>
      <w:r>
        <w:rPr>
          <w:color w:val="000000"/>
        </w:rPr>
        <w:t>Undecis</w:t>
      </w:r>
      <w:proofErr w:type="spellEnd"/>
      <w:r>
        <w:rPr>
          <w:color w:val="000000"/>
        </w:rPr>
        <w:t xml:space="preserve">, 96 </w:t>
      </w:r>
      <w:proofErr w:type="spellStart"/>
      <w:r>
        <w:rPr>
          <w:color w:val="000000"/>
        </w:rPr>
        <w:t>Tercecies</w:t>
      </w:r>
      <w:proofErr w:type="spellEnd"/>
      <w:r>
        <w:rPr>
          <w:color w:val="000000"/>
        </w:rPr>
        <w:t xml:space="preserve"> y 96 </w:t>
      </w:r>
      <w:proofErr w:type="spellStart"/>
      <w:r>
        <w:rPr>
          <w:color w:val="000000"/>
        </w:rPr>
        <w:t>Quindecies</w:t>
      </w:r>
      <w:proofErr w:type="spellEnd"/>
      <w:r>
        <w:rPr>
          <w:color w:val="000000"/>
        </w:rPr>
        <w:t xml:space="preserve">, de la Ley previamente </w:t>
      </w:r>
      <w:proofErr w:type="gramStart"/>
      <w:r>
        <w:rPr>
          <w:color w:val="000000"/>
        </w:rPr>
        <w:t>referida ,</w:t>
      </w:r>
      <w:proofErr w:type="gramEnd"/>
      <w:r>
        <w:rPr>
          <w:color w:val="000000"/>
        </w:rPr>
        <w:t xml:space="preserve"> por lo que se hará un cuadro de análisis, con lo entregado en respuesta de conformidad con lo siguiente: </w:t>
      </w:r>
    </w:p>
    <w:p w:rsidR="00D07455" w:rsidRDefault="00D07455">
      <w:pPr>
        <w:spacing w:after="0" w:line="360" w:lineRule="auto"/>
        <w:rPr>
          <w:color w:val="000000"/>
        </w:rPr>
      </w:pPr>
    </w:p>
    <w:tbl>
      <w:tblPr>
        <w:tblStyle w:val="a"/>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2764"/>
        <w:gridCol w:w="2230"/>
        <w:gridCol w:w="2231"/>
      </w:tblGrid>
      <w:tr w:rsidR="00D07455">
        <w:tc>
          <w:tcPr>
            <w:tcW w:w="1696" w:type="dxa"/>
            <w:shd w:val="clear" w:color="auto" w:fill="AEAAAA"/>
          </w:tcPr>
          <w:p w:rsidR="00D07455" w:rsidRDefault="00F53554">
            <w:pPr>
              <w:spacing w:line="360" w:lineRule="auto"/>
              <w:jc w:val="center"/>
              <w:rPr>
                <w:b/>
                <w:bCs/>
                <w:color w:val="000000"/>
                <w:sz w:val="18"/>
                <w:szCs w:val="18"/>
              </w:rPr>
            </w:pPr>
            <w:r>
              <w:rPr>
                <w:b/>
                <w:bCs/>
                <w:color w:val="000000"/>
                <w:sz w:val="18"/>
                <w:szCs w:val="18"/>
              </w:rPr>
              <w:t>Cargo o puesto</w:t>
            </w:r>
          </w:p>
        </w:tc>
        <w:tc>
          <w:tcPr>
            <w:tcW w:w="2764" w:type="dxa"/>
            <w:shd w:val="clear" w:color="auto" w:fill="AEAAAA"/>
          </w:tcPr>
          <w:p w:rsidR="00D07455" w:rsidRDefault="00F53554">
            <w:pPr>
              <w:spacing w:line="360" w:lineRule="auto"/>
              <w:jc w:val="center"/>
              <w:rPr>
                <w:b/>
                <w:bCs/>
                <w:color w:val="000000"/>
                <w:sz w:val="18"/>
                <w:szCs w:val="18"/>
              </w:rPr>
            </w:pPr>
            <w:r>
              <w:rPr>
                <w:b/>
                <w:bCs/>
                <w:color w:val="000000"/>
                <w:sz w:val="18"/>
                <w:szCs w:val="18"/>
              </w:rPr>
              <w:t>Artículo aplicable</w:t>
            </w:r>
          </w:p>
        </w:tc>
        <w:tc>
          <w:tcPr>
            <w:tcW w:w="2230" w:type="dxa"/>
            <w:shd w:val="clear" w:color="auto" w:fill="AEAAAA"/>
          </w:tcPr>
          <w:p w:rsidR="00D07455" w:rsidRDefault="00F53554">
            <w:pPr>
              <w:spacing w:line="360" w:lineRule="auto"/>
              <w:jc w:val="center"/>
              <w:rPr>
                <w:b/>
                <w:bCs/>
                <w:color w:val="000000"/>
                <w:sz w:val="18"/>
                <w:szCs w:val="18"/>
              </w:rPr>
            </w:pPr>
            <w:r>
              <w:rPr>
                <w:b/>
                <w:bCs/>
                <w:color w:val="000000"/>
                <w:sz w:val="18"/>
                <w:szCs w:val="18"/>
              </w:rPr>
              <w:t>Observaciones</w:t>
            </w:r>
          </w:p>
        </w:tc>
        <w:tc>
          <w:tcPr>
            <w:tcW w:w="2231" w:type="dxa"/>
            <w:shd w:val="clear" w:color="auto" w:fill="AEAAAA"/>
          </w:tcPr>
          <w:p w:rsidR="00D07455" w:rsidRDefault="00F53554">
            <w:pPr>
              <w:spacing w:line="360" w:lineRule="auto"/>
              <w:rPr>
                <w:b/>
                <w:bCs/>
                <w:color w:val="000000"/>
                <w:sz w:val="18"/>
                <w:szCs w:val="18"/>
              </w:rPr>
            </w:pPr>
            <w:r>
              <w:rPr>
                <w:b/>
                <w:bCs/>
                <w:color w:val="000000"/>
                <w:sz w:val="18"/>
                <w:szCs w:val="18"/>
              </w:rPr>
              <w:t xml:space="preserve"> Documento entregado </w:t>
            </w:r>
          </w:p>
        </w:tc>
      </w:tr>
      <w:tr w:rsidR="00D07455">
        <w:tc>
          <w:tcPr>
            <w:tcW w:w="1696" w:type="dxa"/>
          </w:tcPr>
          <w:p w:rsidR="00D07455" w:rsidRDefault="00F53554">
            <w:pPr>
              <w:spacing w:line="360" w:lineRule="auto"/>
              <w:jc w:val="center"/>
              <w:rPr>
                <w:b/>
                <w:bCs/>
                <w:color w:val="000000"/>
                <w:sz w:val="18"/>
                <w:szCs w:val="18"/>
              </w:rPr>
            </w:pPr>
            <w:r>
              <w:rPr>
                <w:b/>
                <w:bCs/>
                <w:color w:val="000000"/>
                <w:sz w:val="18"/>
                <w:szCs w:val="18"/>
              </w:rPr>
              <w:t>Secretario del</w:t>
            </w:r>
          </w:p>
          <w:p w:rsidR="00D07455" w:rsidRDefault="00F53554">
            <w:pPr>
              <w:spacing w:line="360" w:lineRule="auto"/>
              <w:jc w:val="center"/>
              <w:rPr>
                <w:color w:val="000000"/>
                <w:sz w:val="18"/>
                <w:szCs w:val="18"/>
              </w:rPr>
            </w:pPr>
            <w:r>
              <w:rPr>
                <w:b/>
                <w:bCs/>
                <w:color w:val="000000"/>
                <w:sz w:val="18"/>
                <w:szCs w:val="18"/>
              </w:rPr>
              <w:t>Ayuntamiento</w:t>
            </w:r>
          </w:p>
        </w:tc>
        <w:tc>
          <w:tcPr>
            <w:tcW w:w="2764" w:type="dxa"/>
          </w:tcPr>
          <w:p w:rsidR="00D07455" w:rsidRDefault="00F53554">
            <w:pPr>
              <w:spacing w:line="360" w:lineRule="auto"/>
              <w:rPr>
                <w:color w:val="000000"/>
                <w:sz w:val="18"/>
                <w:szCs w:val="18"/>
              </w:rPr>
            </w:pPr>
            <w:r>
              <w:rPr>
                <w:color w:val="000000"/>
                <w:sz w:val="18"/>
                <w:szCs w:val="18"/>
              </w:rPr>
              <w:t xml:space="preserve">Artículo 92.- Para ser secretario del ayuntamiento se requiere, además de los requisitos establecidos en el artículo 32 de </w:t>
            </w:r>
          </w:p>
          <w:p w:rsidR="00D07455" w:rsidRDefault="00F53554">
            <w:pPr>
              <w:spacing w:line="360" w:lineRule="auto"/>
              <w:rPr>
                <w:color w:val="000000"/>
                <w:sz w:val="18"/>
                <w:szCs w:val="18"/>
              </w:rPr>
            </w:pPr>
            <w:r>
              <w:rPr>
                <w:color w:val="000000"/>
                <w:sz w:val="18"/>
                <w:szCs w:val="18"/>
              </w:rPr>
              <w:t xml:space="preserve">esta Ley, los siguientes: </w:t>
            </w:r>
          </w:p>
          <w:p w:rsidR="00D07455" w:rsidRDefault="00F53554">
            <w:pPr>
              <w:spacing w:line="360" w:lineRule="auto"/>
              <w:rPr>
                <w:color w:val="000000"/>
                <w:sz w:val="18"/>
                <w:szCs w:val="18"/>
              </w:rPr>
            </w:pPr>
            <w:r>
              <w:rPr>
                <w:color w:val="000000"/>
                <w:sz w:val="18"/>
                <w:szCs w:val="18"/>
              </w:rPr>
              <w:t xml:space="preserve">I. En municipios que tengan una población de hasta 150 mil habitantes, </w:t>
            </w:r>
            <w:r>
              <w:rPr>
                <w:b/>
                <w:bCs/>
                <w:color w:val="000000"/>
                <w:sz w:val="18"/>
                <w:szCs w:val="18"/>
              </w:rPr>
              <w:t>podrán tener título profesional</w:t>
            </w:r>
            <w:r>
              <w:rPr>
                <w:color w:val="000000"/>
                <w:sz w:val="18"/>
                <w:szCs w:val="18"/>
              </w:rPr>
              <w:t xml:space="preserve"> de educación superior; en los municipios que tengan más de 150 mil o que sean cabecera distrital, tener título profesional de educación superior;</w:t>
            </w:r>
          </w:p>
          <w:p w:rsidR="00D07455" w:rsidRDefault="00F53554">
            <w:pPr>
              <w:spacing w:line="360" w:lineRule="auto"/>
              <w:rPr>
                <w:color w:val="000000"/>
                <w:sz w:val="18"/>
                <w:szCs w:val="18"/>
              </w:rPr>
            </w:pPr>
            <w:r>
              <w:rPr>
                <w:color w:val="000000"/>
                <w:sz w:val="18"/>
                <w:szCs w:val="18"/>
              </w:rPr>
              <w:t>…</w:t>
            </w:r>
          </w:p>
        </w:tc>
        <w:tc>
          <w:tcPr>
            <w:tcW w:w="2230" w:type="dxa"/>
          </w:tcPr>
          <w:p w:rsidR="00D07455" w:rsidRDefault="00F53554">
            <w:pPr>
              <w:spacing w:line="360" w:lineRule="auto"/>
              <w:rPr>
                <w:color w:val="000000"/>
                <w:sz w:val="18"/>
                <w:szCs w:val="18"/>
              </w:rPr>
            </w:pPr>
            <w:r>
              <w:rPr>
                <w:sz w:val="18"/>
                <w:szCs w:val="18"/>
              </w:rPr>
              <w:t>Ahora bien, para el caso del Secretario del Ayuntamiento, para el caso de que la población sea mayor a 150 mil habitantes o sea cabecera distrital, se requiere que cuente con título profesional de educación superior; en este sentido conforme al último censo del INEGI realizado en el año 2020 el Ayuntamiento de Toluca, contaba con 910,608 habitantes, siendo indispensable que el Secretario del Ayuntamiento cuente con título profesional.</w:t>
            </w:r>
          </w:p>
        </w:tc>
        <w:tc>
          <w:tcPr>
            <w:tcW w:w="2231" w:type="dxa"/>
          </w:tcPr>
          <w:p w:rsidR="00D07455" w:rsidRDefault="00F53554">
            <w:pPr>
              <w:spacing w:line="360" w:lineRule="auto"/>
              <w:jc w:val="center"/>
              <w:rPr>
                <w:color w:val="000000"/>
                <w:sz w:val="18"/>
                <w:szCs w:val="18"/>
              </w:rPr>
            </w:pPr>
            <w:r>
              <w:rPr>
                <w:color w:val="000000"/>
                <w:sz w:val="18"/>
                <w:szCs w:val="18"/>
              </w:rPr>
              <w:t xml:space="preserve">Cédula profesional ilegible (página 85) </w:t>
            </w:r>
          </w:p>
        </w:tc>
      </w:tr>
      <w:tr w:rsidR="00D07455">
        <w:tc>
          <w:tcPr>
            <w:tcW w:w="1696" w:type="dxa"/>
          </w:tcPr>
          <w:p w:rsidR="00D07455" w:rsidRDefault="00F53554">
            <w:pPr>
              <w:spacing w:line="360" w:lineRule="auto"/>
              <w:jc w:val="center"/>
              <w:rPr>
                <w:color w:val="000000"/>
                <w:sz w:val="18"/>
                <w:szCs w:val="18"/>
              </w:rPr>
            </w:pPr>
            <w:r>
              <w:rPr>
                <w:color w:val="000000"/>
                <w:sz w:val="18"/>
                <w:szCs w:val="18"/>
              </w:rPr>
              <w:lastRenderedPageBreak/>
              <w:t>Tesorero</w:t>
            </w:r>
          </w:p>
          <w:p w:rsidR="00D07455" w:rsidRDefault="00F53554">
            <w:pPr>
              <w:spacing w:line="360" w:lineRule="auto"/>
              <w:jc w:val="center"/>
              <w:rPr>
                <w:color w:val="000000"/>
                <w:sz w:val="18"/>
                <w:szCs w:val="18"/>
              </w:rPr>
            </w:pPr>
            <w:r>
              <w:rPr>
                <w:color w:val="000000"/>
                <w:sz w:val="18"/>
                <w:szCs w:val="18"/>
              </w:rPr>
              <w:t>Municipal</w:t>
            </w:r>
          </w:p>
        </w:tc>
        <w:tc>
          <w:tcPr>
            <w:tcW w:w="2764" w:type="dxa"/>
          </w:tcPr>
          <w:p w:rsidR="00D07455" w:rsidRDefault="00F53554">
            <w:pPr>
              <w:spacing w:line="360" w:lineRule="auto"/>
              <w:rPr>
                <w:color w:val="000000"/>
                <w:sz w:val="18"/>
                <w:szCs w:val="18"/>
              </w:rPr>
            </w:pPr>
            <w:r>
              <w:rPr>
                <w:color w:val="000000"/>
                <w:sz w:val="18"/>
                <w:szCs w:val="18"/>
              </w:rPr>
              <w:t xml:space="preserve">Artículo 96.- Para ser tesorero municipal se requiere, además de los requisitos del artículo 32 de esta Ley: I. Tener los conocimientos suficientes para poder desempeñar el cargo, a juicio del Ayuntamiento; </w:t>
            </w:r>
            <w:r>
              <w:rPr>
                <w:b/>
                <w:bCs/>
                <w:color w:val="000000"/>
                <w:sz w:val="18"/>
                <w:szCs w:val="18"/>
              </w:rPr>
              <w:t xml:space="preserve">contar con título profesional </w:t>
            </w:r>
            <w:r>
              <w:rPr>
                <w:color w:val="000000"/>
                <w:sz w:val="18"/>
                <w:szCs w:val="18"/>
              </w:rPr>
              <w:t>en las áreas jurídicas, económicas o contables administrativas, con experiencia mínima de un año, con anterioridad a la fecha de su designación,</w:t>
            </w:r>
          </w:p>
          <w:p w:rsidR="00D07455" w:rsidRDefault="00F53554">
            <w:pPr>
              <w:spacing w:line="360" w:lineRule="auto"/>
              <w:rPr>
                <w:color w:val="000000"/>
                <w:sz w:val="18"/>
                <w:szCs w:val="18"/>
              </w:rPr>
            </w:pPr>
            <w:r>
              <w:rPr>
                <w:color w:val="000000"/>
                <w:sz w:val="18"/>
                <w:szCs w:val="18"/>
              </w:rPr>
              <w:t>…</w:t>
            </w:r>
          </w:p>
        </w:tc>
        <w:tc>
          <w:tcPr>
            <w:tcW w:w="2230" w:type="dxa"/>
          </w:tcPr>
          <w:p w:rsidR="00D07455" w:rsidRDefault="00F53554">
            <w:pPr>
              <w:spacing w:line="360" w:lineRule="auto"/>
              <w:jc w:val="center"/>
              <w:rPr>
                <w:color w:val="000000"/>
                <w:sz w:val="18"/>
                <w:szCs w:val="18"/>
              </w:rPr>
            </w:pPr>
            <w:r>
              <w:rPr>
                <w:color w:val="000000"/>
                <w:sz w:val="18"/>
                <w:szCs w:val="18"/>
              </w:rPr>
              <w:t>Debe contar con Título Profesional.</w:t>
            </w:r>
          </w:p>
        </w:tc>
        <w:tc>
          <w:tcPr>
            <w:tcW w:w="2231" w:type="dxa"/>
          </w:tcPr>
          <w:p w:rsidR="00D07455" w:rsidRDefault="00F53554">
            <w:pPr>
              <w:spacing w:line="360" w:lineRule="auto"/>
              <w:jc w:val="center"/>
              <w:rPr>
                <w:color w:val="000000"/>
                <w:sz w:val="18"/>
                <w:szCs w:val="18"/>
              </w:rPr>
            </w:pPr>
            <w:r>
              <w:rPr>
                <w:color w:val="000000"/>
                <w:sz w:val="18"/>
                <w:szCs w:val="18"/>
              </w:rPr>
              <w:t>Título profesional</w:t>
            </w:r>
          </w:p>
        </w:tc>
      </w:tr>
      <w:tr w:rsidR="00D07455">
        <w:tc>
          <w:tcPr>
            <w:tcW w:w="1696" w:type="dxa"/>
          </w:tcPr>
          <w:p w:rsidR="00D07455" w:rsidRDefault="00F53554">
            <w:pPr>
              <w:spacing w:line="360" w:lineRule="auto"/>
              <w:jc w:val="center"/>
              <w:rPr>
                <w:color w:val="000000"/>
                <w:sz w:val="18"/>
                <w:szCs w:val="18"/>
              </w:rPr>
            </w:pPr>
            <w:r>
              <w:rPr>
                <w:color w:val="000000"/>
                <w:sz w:val="18"/>
                <w:szCs w:val="18"/>
              </w:rPr>
              <w:t>Director de</w:t>
            </w:r>
          </w:p>
          <w:p w:rsidR="00D07455" w:rsidRDefault="00F53554">
            <w:pPr>
              <w:spacing w:line="360" w:lineRule="auto"/>
              <w:jc w:val="center"/>
              <w:rPr>
                <w:color w:val="000000"/>
                <w:sz w:val="18"/>
                <w:szCs w:val="18"/>
              </w:rPr>
            </w:pPr>
            <w:r>
              <w:rPr>
                <w:color w:val="000000"/>
                <w:sz w:val="18"/>
                <w:szCs w:val="18"/>
              </w:rPr>
              <w:t>Obras Públicas o</w:t>
            </w:r>
          </w:p>
          <w:p w:rsidR="00D07455" w:rsidRDefault="00F53554">
            <w:pPr>
              <w:spacing w:line="360" w:lineRule="auto"/>
              <w:jc w:val="center"/>
              <w:rPr>
                <w:color w:val="000000"/>
                <w:sz w:val="18"/>
                <w:szCs w:val="18"/>
              </w:rPr>
            </w:pPr>
            <w:proofErr w:type="gramStart"/>
            <w:r>
              <w:rPr>
                <w:color w:val="000000"/>
                <w:sz w:val="18"/>
                <w:szCs w:val="18"/>
              </w:rPr>
              <w:t>equivalente</w:t>
            </w:r>
            <w:proofErr w:type="gramEnd"/>
            <w:r>
              <w:rPr>
                <w:color w:val="000000"/>
                <w:sz w:val="18"/>
                <w:szCs w:val="18"/>
              </w:rPr>
              <w:t>.</w:t>
            </w:r>
          </w:p>
        </w:tc>
        <w:tc>
          <w:tcPr>
            <w:tcW w:w="2764" w:type="dxa"/>
          </w:tcPr>
          <w:p w:rsidR="00D07455" w:rsidRDefault="00F53554">
            <w:pPr>
              <w:spacing w:line="360" w:lineRule="auto"/>
              <w:rPr>
                <w:color w:val="000000"/>
                <w:sz w:val="18"/>
                <w:szCs w:val="18"/>
              </w:rPr>
            </w:pPr>
            <w:r>
              <w:rPr>
                <w:color w:val="000000"/>
                <w:sz w:val="18"/>
                <w:szCs w:val="18"/>
              </w:rPr>
              <w:t xml:space="preserve">Artículo 96 Ter. El Director de Obras Públicas o Titular de la Unidad Administrativa equivalente, además de los requisitos del artículo 32 de esta Ley, requiere contar con </w:t>
            </w:r>
            <w:r>
              <w:rPr>
                <w:b/>
                <w:bCs/>
                <w:color w:val="000000"/>
                <w:sz w:val="18"/>
                <w:szCs w:val="18"/>
              </w:rPr>
              <w:t>título profesional en ingeniería, arquitectura o alguna área afín, o contar con una experiencia mínima de un año,</w:t>
            </w:r>
            <w:r>
              <w:rPr>
                <w:color w:val="000000"/>
                <w:sz w:val="18"/>
                <w:szCs w:val="18"/>
              </w:rPr>
              <w:t xml:space="preserve"> con anterioridad a la fecha de su designación …</w:t>
            </w:r>
          </w:p>
        </w:tc>
        <w:tc>
          <w:tcPr>
            <w:tcW w:w="2230" w:type="dxa"/>
          </w:tcPr>
          <w:p w:rsidR="00D07455" w:rsidRDefault="00F53554">
            <w:pPr>
              <w:spacing w:line="360" w:lineRule="auto"/>
              <w:jc w:val="center"/>
              <w:rPr>
                <w:color w:val="000000"/>
                <w:sz w:val="18"/>
                <w:szCs w:val="18"/>
              </w:rPr>
            </w:pPr>
            <w:r>
              <w:rPr>
                <w:color w:val="000000"/>
                <w:sz w:val="18"/>
                <w:szCs w:val="18"/>
              </w:rPr>
              <w:t>Puede contar con Título Profesional o con experiencia mínima de un año.</w:t>
            </w:r>
          </w:p>
        </w:tc>
        <w:tc>
          <w:tcPr>
            <w:tcW w:w="2231" w:type="dxa"/>
          </w:tcPr>
          <w:p w:rsidR="00D07455" w:rsidRDefault="00F53554">
            <w:pPr>
              <w:spacing w:line="360" w:lineRule="auto"/>
              <w:jc w:val="center"/>
              <w:rPr>
                <w:color w:val="000000"/>
                <w:sz w:val="18"/>
                <w:szCs w:val="18"/>
              </w:rPr>
            </w:pPr>
            <w:r>
              <w:rPr>
                <w:color w:val="000000"/>
                <w:sz w:val="18"/>
                <w:szCs w:val="18"/>
              </w:rPr>
              <w:t>Título profesional</w:t>
            </w:r>
          </w:p>
        </w:tc>
      </w:tr>
      <w:tr w:rsidR="00D07455">
        <w:tc>
          <w:tcPr>
            <w:tcW w:w="1696" w:type="dxa"/>
          </w:tcPr>
          <w:p w:rsidR="00D07455" w:rsidRDefault="00F53554">
            <w:pPr>
              <w:spacing w:line="360" w:lineRule="auto"/>
              <w:jc w:val="center"/>
              <w:rPr>
                <w:color w:val="000000"/>
                <w:sz w:val="18"/>
                <w:szCs w:val="18"/>
              </w:rPr>
            </w:pPr>
            <w:r>
              <w:rPr>
                <w:color w:val="000000"/>
                <w:sz w:val="18"/>
                <w:szCs w:val="18"/>
              </w:rPr>
              <w:t>Director de</w:t>
            </w:r>
          </w:p>
          <w:p w:rsidR="00D07455" w:rsidRDefault="00F53554">
            <w:pPr>
              <w:spacing w:line="360" w:lineRule="auto"/>
              <w:jc w:val="center"/>
              <w:rPr>
                <w:color w:val="000000"/>
                <w:sz w:val="18"/>
                <w:szCs w:val="18"/>
              </w:rPr>
            </w:pPr>
            <w:r>
              <w:rPr>
                <w:color w:val="000000"/>
                <w:sz w:val="18"/>
                <w:szCs w:val="18"/>
              </w:rPr>
              <w:t>Desarrollo</w:t>
            </w:r>
          </w:p>
          <w:p w:rsidR="00D07455" w:rsidRDefault="00F53554">
            <w:pPr>
              <w:spacing w:line="360" w:lineRule="auto"/>
              <w:jc w:val="center"/>
              <w:rPr>
                <w:color w:val="000000"/>
                <w:sz w:val="18"/>
                <w:szCs w:val="18"/>
              </w:rPr>
            </w:pPr>
            <w:r>
              <w:rPr>
                <w:color w:val="000000"/>
                <w:sz w:val="18"/>
                <w:szCs w:val="18"/>
              </w:rPr>
              <w:t>Económico o</w:t>
            </w:r>
          </w:p>
          <w:p w:rsidR="00D07455" w:rsidRDefault="00F53554">
            <w:pPr>
              <w:spacing w:line="360" w:lineRule="auto"/>
              <w:jc w:val="center"/>
              <w:rPr>
                <w:color w:val="000000"/>
                <w:sz w:val="18"/>
                <w:szCs w:val="18"/>
              </w:rPr>
            </w:pPr>
            <w:r>
              <w:rPr>
                <w:color w:val="000000"/>
                <w:sz w:val="18"/>
                <w:szCs w:val="18"/>
              </w:rPr>
              <w:t>equivalente</w:t>
            </w:r>
          </w:p>
        </w:tc>
        <w:tc>
          <w:tcPr>
            <w:tcW w:w="2764" w:type="dxa"/>
          </w:tcPr>
          <w:p w:rsidR="00D07455" w:rsidRDefault="00F53554">
            <w:pPr>
              <w:spacing w:line="360" w:lineRule="auto"/>
              <w:rPr>
                <w:color w:val="000000"/>
                <w:sz w:val="18"/>
                <w:szCs w:val="18"/>
              </w:rPr>
            </w:pPr>
            <w:r>
              <w:rPr>
                <w:color w:val="000000"/>
                <w:sz w:val="18"/>
                <w:szCs w:val="18"/>
              </w:rPr>
              <w:t xml:space="preserve">Artículo 96 </w:t>
            </w:r>
            <w:proofErr w:type="spellStart"/>
            <w:r>
              <w:rPr>
                <w:color w:val="000000"/>
                <w:sz w:val="18"/>
                <w:szCs w:val="18"/>
              </w:rPr>
              <w:t>Quintus</w:t>
            </w:r>
            <w:proofErr w:type="spellEnd"/>
            <w:r>
              <w:rPr>
                <w:color w:val="000000"/>
                <w:sz w:val="18"/>
                <w:szCs w:val="18"/>
              </w:rPr>
              <w:t xml:space="preserve">. El Director de Desarrollo Económico o Titular de la Unidad Administrativa equivalente, además de los requisitos del artículo 32 de esta Ley, requiere </w:t>
            </w:r>
            <w:r>
              <w:rPr>
                <w:color w:val="000000"/>
                <w:sz w:val="18"/>
                <w:szCs w:val="18"/>
              </w:rPr>
              <w:lastRenderedPageBreak/>
              <w:t xml:space="preserve">contar con </w:t>
            </w:r>
            <w:r>
              <w:rPr>
                <w:b/>
                <w:bCs/>
                <w:color w:val="000000"/>
                <w:sz w:val="18"/>
                <w:szCs w:val="18"/>
              </w:rPr>
              <w:t>título profesional en el área económico-administrativa o contar con experiencia mínima de un año,</w:t>
            </w:r>
            <w:r>
              <w:rPr>
                <w:color w:val="000000"/>
                <w:sz w:val="18"/>
                <w:szCs w:val="18"/>
              </w:rPr>
              <w:t xml:space="preserve"> con anterioridad a la fecha de su designación.</w:t>
            </w:r>
          </w:p>
        </w:tc>
        <w:tc>
          <w:tcPr>
            <w:tcW w:w="2230" w:type="dxa"/>
          </w:tcPr>
          <w:p w:rsidR="00D07455" w:rsidRDefault="00F53554">
            <w:pPr>
              <w:spacing w:line="360" w:lineRule="auto"/>
              <w:jc w:val="center"/>
              <w:rPr>
                <w:color w:val="000000"/>
                <w:sz w:val="18"/>
                <w:szCs w:val="18"/>
              </w:rPr>
            </w:pPr>
            <w:r>
              <w:rPr>
                <w:color w:val="000000"/>
                <w:sz w:val="18"/>
                <w:szCs w:val="18"/>
              </w:rPr>
              <w:lastRenderedPageBreak/>
              <w:t>Puede contar con Título Profesional o con experiencia mínima de un año.</w:t>
            </w:r>
          </w:p>
        </w:tc>
        <w:tc>
          <w:tcPr>
            <w:tcW w:w="2231" w:type="dxa"/>
          </w:tcPr>
          <w:p w:rsidR="00D07455" w:rsidRDefault="00F53554">
            <w:pPr>
              <w:spacing w:line="360" w:lineRule="auto"/>
              <w:jc w:val="center"/>
              <w:rPr>
                <w:color w:val="000000"/>
                <w:sz w:val="18"/>
                <w:szCs w:val="18"/>
              </w:rPr>
            </w:pPr>
            <w:r>
              <w:rPr>
                <w:color w:val="000000"/>
                <w:sz w:val="18"/>
                <w:szCs w:val="18"/>
              </w:rPr>
              <w:t>Título profesional</w:t>
            </w:r>
          </w:p>
        </w:tc>
      </w:tr>
      <w:tr w:rsidR="00D07455">
        <w:tc>
          <w:tcPr>
            <w:tcW w:w="1696" w:type="dxa"/>
          </w:tcPr>
          <w:p w:rsidR="00D07455" w:rsidRDefault="00F53554">
            <w:pPr>
              <w:spacing w:line="360" w:lineRule="auto"/>
              <w:jc w:val="center"/>
              <w:rPr>
                <w:color w:val="000000"/>
                <w:sz w:val="18"/>
                <w:szCs w:val="18"/>
              </w:rPr>
            </w:pPr>
            <w:r>
              <w:rPr>
                <w:color w:val="000000"/>
                <w:sz w:val="18"/>
                <w:szCs w:val="18"/>
              </w:rPr>
              <w:t>Director de</w:t>
            </w:r>
          </w:p>
          <w:p w:rsidR="00D07455" w:rsidRDefault="00F53554">
            <w:pPr>
              <w:spacing w:line="360" w:lineRule="auto"/>
              <w:jc w:val="center"/>
              <w:rPr>
                <w:color w:val="000000"/>
                <w:sz w:val="18"/>
                <w:szCs w:val="18"/>
              </w:rPr>
            </w:pPr>
            <w:r>
              <w:rPr>
                <w:color w:val="000000"/>
                <w:sz w:val="18"/>
                <w:szCs w:val="18"/>
              </w:rPr>
              <w:t>Desarrollo</w:t>
            </w:r>
          </w:p>
          <w:p w:rsidR="00D07455" w:rsidRDefault="00F53554">
            <w:pPr>
              <w:spacing w:line="360" w:lineRule="auto"/>
              <w:jc w:val="center"/>
              <w:rPr>
                <w:color w:val="000000"/>
                <w:sz w:val="18"/>
                <w:szCs w:val="18"/>
              </w:rPr>
            </w:pPr>
            <w:r>
              <w:rPr>
                <w:color w:val="000000"/>
                <w:sz w:val="18"/>
                <w:szCs w:val="18"/>
              </w:rPr>
              <w:t>Urbano o</w:t>
            </w:r>
          </w:p>
          <w:p w:rsidR="00D07455" w:rsidRDefault="00F53554">
            <w:pPr>
              <w:spacing w:line="360" w:lineRule="auto"/>
              <w:jc w:val="center"/>
              <w:rPr>
                <w:color w:val="000000"/>
                <w:sz w:val="18"/>
                <w:szCs w:val="18"/>
              </w:rPr>
            </w:pPr>
            <w:r>
              <w:rPr>
                <w:color w:val="000000"/>
                <w:sz w:val="18"/>
                <w:szCs w:val="18"/>
              </w:rPr>
              <w:t>equivalente</w:t>
            </w:r>
          </w:p>
        </w:tc>
        <w:tc>
          <w:tcPr>
            <w:tcW w:w="2764" w:type="dxa"/>
          </w:tcPr>
          <w:p w:rsidR="00D07455" w:rsidRDefault="00F53554">
            <w:pPr>
              <w:spacing w:line="360" w:lineRule="auto"/>
              <w:rPr>
                <w:color w:val="000000"/>
                <w:sz w:val="18"/>
                <w:szCs w:val="18"/>
              </w:rPr>
            </w:pPr>
            <w:r>
              <w:rPr>
                <w:color w:val="000000"/>
                <w:sz w:val="18"/>
                <w:szCs w:val="18"/>
              </w:rPr>
              <w:t xml:space="preserve">Artículo 96 </w:t>
            </w:r>
            <w:proofErr w:type="spellStart"/>
            <w:r>
              <w:rPr>
                <w:color w:val="000000"/>
                <w:sz w:val="18"/>
                <w:szCs w:val="18"/>
              </w:rPr>
              <w:t>Septies</w:t>
            </w:r>
            <w:proofErr w:type="spellEnd"/>
            <w:r>
              <w:rPr>
                <w:color w:val="000000"/>
                <w:sz w:val="18"/>
                <w:szCs w:val="18"/>
              </w:rPr>
              <w:t xml:space="preserve">. El Director de Desarrollo Urbano o el Titular de la Unidad Administrativa equivalente, además de los requisitos establecidos en el artículo 32 de esta Ley, requiere contar con </w:t>
            </w:r>
            <w:r>
              <w:rPr>
                <w:b/>
                <w:bCs/>
                <w:color w:val="000000"/>
                <w:sz w:val="18"/>
                <w:szCs w:val="18"/>
              </w:rPr>
              <w:t>título profesional en el área de ingeniería civil arquitectura o afín, o contar con una experiencia mínima de un año</w:t>
            </w:r>
            <w:r>
              <w:rPr>
                <w:color w:val="000000"/>
                <w:sz w:val="18"/>
                <w:szCs w:val="18"/>
              </w:rPr>
              <w:t>, con anterioridad a la fecha de su designación;</w:t>
            </w:r>
          </w:p>
          <w:p w:rsidR="00D07455" w:rsidRDefault="00F53554">
            <w:pPr>
              <w:spacing w:line="360" w:lineRule="auto"/>
              <w:rPr>
                <w:color w:val="000000"/>
                <w:sz w:val="18"/>
                <w:szCs w:val="18"/>
              </w:rPr>
            </w:pPr>
            <w:r>
              <w:rPr>
                <w:color w:val="000000"/>
                <w:sz w:val="18"/>
                <w:szCs w:val="18"/>
              </w:rPr>
              <w:t>…</w:t>
            </w:r>
          </w:p>
        </w:tc>
        <w:tc>
          <w:tcPr>
            <w:tcW w:w="2230" w:type="dxa"/>
          </w:tcPr>
          <w:p w:rsidR="00D07455" w:rsidRDefault="00F53554">
            <w:pPr>
              <w:spacing w:line="360" w:lineRule="auto"/>
              <w:jc w:val="center"/>
              <w:rPr>
                <w:color w:val="000000"/>
                <w:sz w:val="18"/>
                <w:szCs w:val="18"/>
              </w:rPr>
            </w:pPr>
            <w:r>
              <w:rPr>
                <w:color w:val="000000"/>
                <w:sz w:val="18"/>
                <w:szCs w:val="18"/>
              </w:rPr>
              <w:t>Puede contar con Título Profesional o con experiencia mínima de un año.</w:t>
            </w:r>
          </w:p>
        </w:tc>
        <w:tc>
          <w:tcPr>
            <w:tcW w:w="2231" w:type="dxa"/>
          </w:tcPr>
          <w:p w:rsidR="00D07455" w:rsidRDefault="00F53554">
            <w:pPr>
              <w:spacing w:line="360" w:lineRule="auto"/>
              <w:jc w:val="center"/>
              <w:rPr>
                <w:color w:val="000000"/>
                <w:sz w:val="18"/>
                <w:szCs w:val="18"/>
              </w:rPr>
            </w:pPr>
            <w:r>
              <w:rPr>
                <w:color w:val="000000"/>
                <w:sz w:val="18"/>
                <w:szCs w:val="18"/>
              </w:rPr>
              <w:t>Título profesional</w:t>
            </w:r>
          </w:p>
        </w:tc>
      </w:tr>
      <w:tr w:rsidR="00D07455">
        <w:tc>
          <w:tcPr>
            <w:tcW w:w="1696" w:type="dxa"/>
          </w:tcPr>
          <w:p w:rsidR="00D07455" w:rsidRDefault="00F53554">
            <w:pPr>
              <w:spacing w:line="360" w:lineRule="auto"/>
              <w:jc w:val="center"/>
              <w:rPr>
                <w:color w:val="000000"/>
                <w:sz w:val="18"/>
                <w:szCs w:val="18"/>
              </w:rPr>
            </w:pPr>
            <w:r>
              <w:rPr>
                <w:color w:val="000000"/>
                <w:sz w:val="18"/>
                <w:szCs w:val="18"/>
              </w:rPr>
              <w:t>Director de</w:t>
            </w:r>
          </w:p>
          <w:p w:rsidR="00D07455" w:rsidRDefault="00F53554">
            <w:pPr>
              <w:spacing w:line="360" w:lineRule="auto"/>
              <w:jc w:val="center"/>
              <w:rPr>
                <w:color w:val="000000"/>
                <w:sz w:val="18"/>
                <w:szCs w:val="18"/>
              </w:rPr>
            </w:pPr>
            <w:r>
              <w:rPr>
                <w:color w:val="000000"/>
                <w:sz w:val="18"/>
                <w:szCs w:val="18"/>
              </w:rPr>
              <w:t>Ecología o</w:t>
            </w:r>
          </w:p>
          <w:p w:rsidR="00D07455" w:rsidRDefault="00F53554">
            <w:pPr>
              <w:spacing w:line="360" w:lineRule="auto"/>
              <w:jc w:val="center"/>
              <w:rPr>
                <w:color w:val="000000"/>
                <w:sz w:val="18"/>
                <w:szCs w:val="18"/>
              </w:rPr>
            </w:pPr>
            <w:r>
              <w:rPr>
                <w:color w:val="000000"/>
                <w:sz w:val="18"/>
                <w:szCs w:val="18"/>
              </w:rPr>
              <w:t>equivalente</w:t>
            </w:r>
          </w:p>
        </w:tc>
        <w:tc>
          <w:tcPr>
            <w:tcW w:w="2764" w:type="dxa"/>
          </w:tcPr>
          <w:p w:rsidR="00D07455" w:rsidRDefault="00F53554">
            <w:pPr>
              <w:spacing w:line="360" w:lineRule="auto"/>
              <w:rPr>
                <w:color w:val="000000"/>
                <w:sz w:val="18"/>
                <w:szCs w:val="18"/>
              </w:rPr>
            </w:pPr>
            <w:r>
              <w:rPr>
                <w:color w:val="000000"/>
                <w:sz w:val="18"/>
                <w:szCs w:val="18"/>
              </w:rPr>
              <w:t xml:space="preserve">Artículo 96 </w:t>
            </w:r>
            <w:proofErr w:type="spellStart"/>
            <w:r>
              <w:rPr>
                <w:color w:val="000000"/>
                <w:sz w:val="18"/>
                <w:szCs w:val="18"/>
              </w:rPr>
              <w:t>Nonies</w:t>
            </w:r>
            <w:proofErr w:type="spellEnd"/>
            <w:r>
              <w:rPr>
                <w:color w:val="000000"/>
                <w:sz w:val="18"/>
                <w:szCs w:val="18"/>
              </w:rPr>
              <w:t xml:space="preserve">. El Director de Ecología o el Titular de la Unidad Administrativa equivalente, además de los requisitos establecidos en el artículo 32 de esta Ley, requiere contar con </w:t>
            </w:r>
            <w:r>
              <w:rPr>
                <w:b/>
                <w:bCs/>
                <w:color w:val="000000"/>
                <w:sz w:val="18"/>
                <w:szCs w:val="18"/>
              </w:rPr>
              <w:t>título profesional en el área de biología-agronomía-administración pública o afín, o contar con una experiencia mínima de un año</w:t>
            </w:r>
            <w:r>
              <w:rPr>
                <w:color w:val="000000"/>
                <w:sz w:val="18"/>
                <w:szCs w:val="18"/>
              </w:rPr>
              <w:t xml:space="preserve">, con </w:t>
            </w:r>
            <w:r>
              <w:rPr>
                <w:color w:val="000000"/>
                <w:sz w:val="18"/>
                <w:szCs w:val="18"/>
              </w:rPr>
              <w:lastRenderedPageBreak/>
              <w:t xml:space="preserve">anterioridad a la fecha de su designación;  </w:t>
            </w:r>
          </w:p>
        </w:tc>
        <w:tc>
          <w:tcPr>
            <w:tcW w:w="2230" w:type="dxa"/>
          </w:tcPr>
          <w:p w:rsidR="00D07455" w:rsidRDefault="00F53554">
            <w:pPr>
              <w:spacing w:line="360" w:lineRule="auto"/>
              <w:jc w:val="center"/>
              <w:rPr>
                <w:color w:val="000000"/>
                <w:sz w:val="18"/>
                <w:szCs w:val="18"/>
              </w:rPr>
            </w:pPr>
            <w:r>
              <w:rPr>
                <w:color w:val="000000"/>
                <w:sz w:val="18"/>
                <w:szCs w:val="18"/>
              </w:rPr>
              <w:lastRenderedPageBreak/>
              <w:t>Puede contar con Título Profesional o con experiencia mínima de un año.</w:t>
            </w:r>
          </w:p>
        </w:tc>
        <w:tc>
          <w:tcPr>
            <w:tcW w:w="2231" w:type="dxa"/>
          </w:tcPr>
          <w:p w:rsidR="00D07455" w:rsidRDefault="00F53554">
            <w:pPr>
              <w:spacing w:line="360" w:lineRule="auto"/>
              <w:jc w:val="center"/>
              <w:rPr>
                <w:color w:val="000000"/>
                <w:sz w:val="18"/>
                <w:szCs w:val="18"/>
              </w:rPr>
            </w:pPr>
            <w:r>
              <w:rPr>
                <w:color w:val="000000"/>
                <w:sz w:val="18"/>
                <w:szCs w:val="18"/>
              </w:rPr>
              <w:t>Carta de Pasante</w:t>
            </w:r>
          </w:p>
        </w:tc>
      </w:tr>
      <w:tr w:rsidR="00D07455">
        <w:tc>
          <w:tcPr>
            <w:tcW w:w="1696" w:type="dxa"/>
          </w:tcPr>
          <w:p w:rsidR="00D07455" w:rsidRDefault="00F53554">
            <w:pPr>
              <w:spacing w:line="360" w:lineRule="auto"/>
              <w:jc w:val="center"/>
              <w:rPr>
                <w:color w:val="000000"/>
                <w:sz w:val="18"/>
                <w:szCs w:val="18"/>
              </w:rPr>
            </w:pPr>
            <w:r>
              <w:rPr>
                <w:color w:val="000000"/>
                <w:sz w:val="18"/>
                <w:szCs w:val="18"/>
              </w:rPr>
              <w:t>Director de Turismo</w:t>
            </w:r>
          </w:p>
        </w:tc>
        <w:tc>
          <w:tcPr>
            <w:tcW w:w="2764" w:type="dxa"/>
          </w:tcPr>
          <w:p w:rsidR="00D07455" w:rsidRDefault="00F53554">
            <w:pPr>
              <w:spacing w:line="360" w:lineRule="auto"/>
              <w:rPr>
                <w:color w:val="000000"/>
                <w:sz w:val="18"/>
                <w:szCs w:val="18"/>
              </w:rPr>
            </w:pPr>
            <w:r>
              <w:rPr>
                <w:color w:val="000000"/>
                <w:sz w:val="18"/>
                <w:szCs w:val="18"/>
              </w:rPr>
              <w:t xml:space="preserve">Artículo 96. </w:t>
            </w:r>
            <w:proofErr w:type="spellStart"/>
            <w:r>
              <w:rPr>
                <w:color w:val="000000"/>
                <w:sz w:val="18"/>
                <w:szCs w:val="18"/>
              </w:rPr>
              <w:t>Undecies</w:t>
            </w:r>
            <w:proofErr w:type="spellEnd"/>
            <w:r>
              <w:rPr>
                <w:color w:val="000000"/>
                <w:sz w:val="18"/>
                <w:szCs w:val="18"/>
              </w:rPr>
              <w:t xml:space="preserve">. El Director de Turismo, además de los requisitos establecidos en el artículo 32 de esta Ley, requiere contar con </w:t>
            </w:r>
            <w:r>
              <w:rPr>
                <w:b/>
                <w:bCs/>
                <w:color w:val="000000"/>
                <w:sz w:val="18"/>
                <w:szCs w:val="18"/>
              </w:rPr>
              <w:t>título profesional en el área de turismo o afín</w:t>
            </w:r>
            <w:r>
              <w:rPr>
                <w:color w:val="000000"/>
                <w:sz w:val="18"/>
                <w:szCs w:val="18"/>
              </w:rPr>
              <w:t>.</w:t>
            </w:r>
          </w:p>
        </w:tc>
        <w:tc>
          <w:tcPr>
            <w:tcW w:w="2230" w:type="dxa"/>
          </w:tcPr>
          <w:p w:rsidR="00D07455" w:rsidRDefault="00F53554">
            <w:pPr>
              <w:spacing w:line="360" w:lineRule="auto"/>
              <w:jc w:val="center"/>
              <w:rPr>
                <w:color w:val="000000"/>
                <w:sz w:val="18"/>
                <w:szCs w:val="18"/>
              </w:rPr>
            </w:pPr>
            <w:r>
              <w:rPr>
                <w:color w:val="000000"/>
                <w:sz w:val="18"/>
                <w:szCs w:val="18"/>
              </w:rPr>
              <w:t>Debe contar con Título Profesional.</w:t>
            </w:r>
          </w:p>
        </w:tc>
        <w:tc>
          <w:tcPr>
            <w:tcW w:w="2231" w:type="dxa"/>
          </w:tcPr>
          <w:p w:rsidR="00D07455" w:rsidRDefault="00F53554">
            <w:pPr>
              <w:spacing w:line="360" w:lineRule="auto"/>
              <w:jc w:val="center"/>
              <w:rPr>
                <w:color w:val="000000"/>
                <w:sz w:val="18"/>
                <w:szCs w:val="18"/>
              </w:rPr>
            </w:pPr>
            <w:r>
              <w:rPr>
                <w:color w:val="000000"/>
                <w:sz w:val="18"/>
                <w:szCs w:val="18"/>
              </w:rPr>
              <w:t>Título profesional</w:t>
            </w:r>
          </w:p>
        </w:tc>
      </w:tr>
      <w:tr w:rsidR="00D07455">
        <w:tc>
          <w:tcPr>
            <w:tcW w:w="1696" w:type="dxa"/>
          </w:tcPr>
          <w:p w:rsidR="00D07455" w:rsidRDefault="00F53554">
            <w:pPr>
              <w:spacing w:line="360" w:lineRule="auto"/>
              <w:jc w:val="center"/>
              <w:rPr>
                <w:color w:val="000000"/>
                <w:sz w:val="18"/>
                <w:szCs w:val="18"/>
              </w:rPr>
            </w:pPr>
            <w:r>
              <w:rPr>
                <w:color w:val="000000"/>
                <w:sz w:val="18"/>
                <w:szCs w:val="18"/>
              </w:rPr>
              <w:t>Director de</w:t>
            </w:r>
          </w:p>
          <w:p w:rsidR="00D07455" w:rsidRDefault="00F53554">
            <w:pPr>
              <w:spacing w:line="360" w:lineRule="auto"/>
              <w:jc w:val="center"/>
              <w:rPr>
                <w:color w:val="000000"/>
                <w:sz w:val="18"/>
                <w:szCs w:val="18"/>
              </w:rPr>
            </w:pPr>
            <w:r>
              <w:rPr>
                <w:color w:val="000000"/>
                <w:sz w:val="18"/>
                <w:szCs w:val="18"/>
              </w:rPr>
              <w:t>Desarrollo</w:t>
            </w:r>
          </w:p>
          <w:p w:rsidR="00D07455" w:rsidRDefault="00F53554">
            <w:pPr>
              <w:spacing w:line="360" w:lineRule="auto"/>
              <w:jc w:val="center"/>
              <w:rPr>
                <w:color w:val="000000"/>
                <w:sz w:val="18"/>
                <w:szCs w:val="18"/>
              </w:rPr>
            </w:pPr>
            <w:r>
              <w:rPr>
                <w:color w:val="000000"/>
                <w:sz w:val="18"/>
                <w:szCs w:val="18"/>
              </w:rPr>
              <w:t>Social o</w:t>
            </w:r>
          </w:p>
          <w:p w:rsidR="00D07455" w:rsidRDefault="00F53554">
            <w:pPr>
              <w:spacing w:line="360" w:lineRule="auto"/>
              <w:jc w:val="center"/>
              <w:rPr>
                <w:color w:val="000000"/>
                <w:sz w:val="18"/>
                <w:szCs w:val="18"/>
              </w:rPr>
            </w:pPr>
            <w:r>
              <w:rPr>
                <w:color w:val="000000"/>
                <w:sz w:val="18"/>
                <w:szCs w:val="18"/>
              </w:rPr>
              <w:t>equivalente</w:t>
            </w:r>
          </w:p>
        </w:tc>
        <w:tc>
          <w:tcPr>
            <w:tcW w:w="2764" w:type="dxa"/>
          </w:tcPr>
          <w:p w:rsidR="00D07455" w:rsidRDefault="00F53554">
            <w:pPr>
              <w:spacing w:line="360" w:lineRule="auto"/>
              <w:rPr>
                <w:color w:val="000000"/>
                <w:sz w:val="18"/>
                <w:szCs w:val="18"/>
              </w:rPr>
            </w:pPr>
            <w:r>
              <w:rPr>
                <w:color w:val="000000"/>
                <w:sz w:val="18"/>
                <w:szCs w:val="18"/>
              </w:rPr>
              <w:t xml:space="preserve">Artículo 96 </w:t>
            </w:r>
            <w:proofErr w:type="spellStart"/>
            <w:r>
              <w:rPr>
                <w:color w:val="000000"/>
                <w:sz w:val="18"/>
                <w:szCs w:val="18"/>
              </w:rPr>
              <w:t>Terdecies</w:t>
            </w:r>
            <w:proofErr w:type="spellEnd"/>
            <w:r>
              <w:rPr>
                <w:color w:val="000000"/>
                <w:sz w:val="18"/>
                <w:szCs w:val="18"/>
              </w:rPr>
              <w:t xml:space="preserve">. El Director de Desarrollo Social o el Titular de la Unidad Administrativa equivalente, además de los requisitos establecidos en el artículo 32 de esta Ley, requiere contar con </w:t>
            </w:r>
            <w:r>
              <w:rPr>
                <w:b/>
                <w:bCs/>
                <w:color w:val="000000"/>
                <w:sz w:val="18"/>
                <w:szCs w:val="18"/>
              </w:rPr>
              <w:t>título profesional en el área de Ciencias Sociales o a fin, o contar con una experiencia mínima de un año en la materia</w:t>
            </w:r>
            <w:r>
              <w:rPr>
                <w:color w:val="000000"/>
                <w:sz w:val="18"/>
                <w:szCs w:val="18"/>
              </w:rPr>
              <w:t>, con anterioridad a la fecha de su designación.</w:t>
            </w:r>
          </w:p>
        </w:tc>
        <w:tc>
          <w:tcPr>
            <w:tcW w:w="2230" w:type="dxa"/>
          </w:tcPr>
          <w:p w:rsidR="00D07455" w:rsidRDefault="00F53554">
            <w:pPr>
              <w:spacing w:line="360" w:lineRule="auto"/>
              <w:jc w:val="center"/>
              <w:rPr>
                <w:color w:val="000000"/>
                <w:sz w:val="18"/>
                <w:szCs w:val="18"/>
              </w:rPr>
            </w:pPr>
            <w:r>
              <w:rPr>
                <w:color w:val="000000"/>
                <w:sz w:val="18"/>
                <w:szCs w:val="18"/>
              </w:rPr>
              <w:t>Puede contar con Título Profesional o con experiencia mínima de un año.</w:t>
            </w:r>
          </w:p>
        </w:tc>
        <w:tc>
          <w:tcPr>
            <w:tcW w:w="2231" w:type="dxa"/>
          </w:tcPr>
          <w:p w:rsidR="00D07455" w:rsidRDefault="00F53554">
            <w:pPr>
              <w:spacing w:line="360" w:lineRule="auto"/>
              <w:jc w:val="center"/>
              <w:rPr>
                <w:color w:val="000000"/>
                <w:sz w:val="18"/>
                <w:szCs w:val="18"/>
              </w:rPr>
            </w:pPr>
            <w:r>
              <w:rPr>
                <w:color w:val="000000"/>
                <w:sz w:val="18"/>
                <w:szCs w:val="18"/>
              </w:rPr>
              <w:t>Título profesional</w:t>
            </w:r>
          </w:p>
        </w:tc>
      </w:tr>
      <w:tr w:rsidR="00D07455">
        <w:tc>
          <w:tcPr>
            <w:tcW w:w="1696" w:type="dxa"/>
          </w:tcPr>
          <w:p w:rsidR="00D07455" w:rsidRDefault="00F53554">
            <w:pPr>
              <w:spacing w:line="360" w:lineRule="auto"/>
              <w:jc w:val="center"/>
              <w:rPr>
                <w:color w:val="000000"/>
                <w:sz w:val="18"/>
                <w:szCs w:val="18"/>
              </w:rPr>
            </w:pPr>
            <w:r>
              <w:rPr>
                <w:color w:val="000000"/>
                <w:sz w:val="18"/>
                <w:szCs w:val="18"/>
              </w:rPr>
              <w:t>Director/a de las Mujeres o equivalente</w:t>
            </w:r>
          </w:p>
        </w:tc>
        <w:tc>
          <w:tcPr>
            <w:tcW w:w="2764" w:type="dxa"/>
          </w:tcPr>
          <w:p w:rsidR="00D07455" w:rsidRDefault="00F53554">
            <w:pPr>
              <w:spacing w:line="360" w:lineRule="auto"/>
              <w:rPr>
                <w:color w:val="000000"/>
                <w:sz w:val="18"/>
                <w:szCs w:val="18"/>
              </w:rPr>
            </w:pPr>
            <w:r>
              <w:rPr>
                <w:color w:val="000000"/>
                <w:sz w:val="18"/>
                <w:szCs w:val="18"/>
              </w:rPr>
              <w:t xml:space="preserve">Artículo 96 </w:t>
            </w:r>
            <w:proofErr w:type="spellStart"/>
            <w:r>
              <w:rPr>
                <w:color w:val="000000"/>
                <w:sz w:val="18"/>
                <w:szCs w:val="18"/>
              </w:rPr>
              <w:t>Quindecies</w:t>
            </w:r>
            <w:proofErr w:type="spellEnd"/>
            <w:r>
              <w:rPr>
                <w:color w:val="000000"/>
                <w:sz w:val="18"/>
                <w:szCs w:val="18"/>
              </w:rPr>
              <w:t xml:space="preserve">.- La persona titular de la Dirección de las Mujeres, además de los requisitos establecidos en el artículo 32 de esta Ley, deberá contar con </w:t>
            </w:r>
            <w:r>
              <w:rPr>
                <w:b/>
                <w:bCs/>
                <w:color w:val="000000"/>
                <w:sz w:val="18"/>
                <w:szCs w:val="18"/>
              </w:rPr>
              <w:t>título profesional en el área de las ciencias sociales o afines</w:t>
            </w:r>
            <w:r>
              <w:rPr>
                <w:color w:val="000000"/>
                <w:sz w:val="18"/>
                <w:szCs w:val="18"/>
              </w:rPr>
              <w:t xml:space="preserve"> y conocimiento amplio del contexto en el municipio correspondiente</w:t>
            </w:r>
          </w:p>
        </w:tc>
        <w:tc>
          <w:tcPr>
            <w:tcW w:w="2230" w:type="dxa"/>
          </w:tcPr>
          <w:p w:rsidR="00D07455" w:rsidRDefault="00F53554">
            <w:pPr>
              <w:spacing w:line="360" w:lineRule="auto"/>
              <w:jc w:val="center"/>
              <w:rPr>
                <w:color w:val="000000"/>
                <w:sz w:val="18"/>
                <w:szCs w:val="18"/>
              </w:rPr>
            </w:pPr>
            <w:r>
              <w:rPr>
                <w:color w:val="000000"/>
                <w:sz w:val="18"/>
                <w:szCs w:val="18"/>
              </w:rPr>
              <w:t>Debe contar con Título Profesional y conocimiento en el contexto municipal.</w:t>
            </w:r>
          </w:p>
        </w:tc>
        <w:tc>
          <w:tcPr>
            <w:tcW w:w="2231" w:type="dxa"/>
          </w:tcPr>
          <w:p w:rsidR="00D07455" w:rsidRDefault="00F53554">
            <w:pPr>
              <w:spacing w:line="360" w:lineRule="auto"/>
              <w:jc w:val="center"/>
              <w:rPr>
                <w:color w:val="000000"/>
                <w:sz w:val="18"/>
                <w:szCs w:val="18"/>
              </w:rPr>
            </w:pPr>
            <w:r>
              <w:rPr>
                <w:color w:val="000000"/>
                <w:sz w:val="18"/>
                <w:szCs w:val="18"/>
              </w:rPr>
              <w:t>N/A</w:t>
            </w:r>
          </w:p>
        </w:tc>
      </w:tr>
      <w:tr w:rsidR="00D07455">
        <w:tc>
          <w:tcPr>
            <w:tcW w:w="1696" w:type="dxa"/>
          </w:tcPr>
          <w:p w:rsidR="00D07455" w:rsidRDefault="00F53554">
            <w:pPr>
              <w:spacing w:line="360" w:lineRule="auto"/>
              <w:jc w:val="center"/>
              <w:rPr>
                <w:color w:val="000000"/>
                <w:sz w:val="18"/>
                <w:szCs w:val="18"/>
              </w:rPr>
            </w:pPr>
            <w:r>
              <w:rPr>
                <w:color w:val="000000"/>
                <w:sz w:val="18"/>
                <w:szCs w:val="18"/>
              </w:rPr>
              <w:lastRenderedPageBreak/>
              <w:t>Coordinador General Municipal de Mejora Regulatoria</w:t>
            </w:r>
          </w:p>
        </w:tc>
        <w:tc>
          <w:tcPr>
            <w:tcW w:w="2764" w:type="dxa"/>
          </w:tcPr>
          <w:p w:rsidR="00D07455" w:rsidRDefault="00F53554">
            <w:pPr>
              <w:spacing w:line="360" w:lineRule="auto"/>
              <w:rPr>
                <w:color w:val="000000"/>
                <w:sz w:val="18"/>
                <w:szCs w:val="18"/>
              </w:rPr>
            </w:pPr>
            <w:r>
              <w:rPr>
                <w:color w:val="000000"/>
                <w:sz w:val="18"/>
                <w:szCs w:val="18"/>
              </w:rPr>
              <w:t xml:space="preserve">Artículo 85 </w:t>
            </w:r>
            <w:proofErr w:type="spellStart"/>
            <w:r>
              <w:rPr>
                <w:color w:val="000000"/>
                <w:sz w:val="18"/>
                <w:szCs w:val="18"/>
              </w:rPr>
              <w:t>Sexies</w:t>
            </w:r>
            <w:proofErr w:type="spellEnd"/>
            <w:r>
              <w:rPr>
                <w:color w:val="000000"/>
                <w:sz w:val="18"/>
                <w:szCs w:val="18"/>
              </w:rPr>
              <w:t xml:space="preserve">. El Coordinador General Municipal de Mejora Regulatoria, además de los requisitos establecidos en el artículo 32 de esta Ley, requiere contar con </w:t>
            </w:r>
            <w:r>
              <w:rPr>
                <w:b/>
                <w:bCs/>
                <w:color w:val="000000"/>
                <w:sz w:val="18"/>
                <w:szCs w:val="18"/>
              </w:rPr>
              <w:t>título profesional</w:t>
            </w:r>
            <w:r>
              <w:rPr>
                <w:color w:val="000000"/>
                <w:sz w:val="18"/>
                <w:szCs w:val="18"/>
              </w:rPr>
              <w:t>…</w:t>
            </w:r>
          </w:p>
        </w:tc>
        <w:tc>
          <w:tcPr>
            <w:tcW w:w="2230" w:type="dxa"/>
          </w:tcPr>
          <w:p w:rsidR="00D07455" w:rsidRDefault="00F53554">
            <w:pPr>
              <w:spacing w:line="360" w:lineRule="auto"/>
              <w:jc w:val="center"/>
              <w:rPr>
                <w:color w:val="000000"/>
                <w:sz w:val="18"/>
                <w:szCs w:val="18"/>
              </w:rPr>
            </w:pPr>
            <w:r>
              <w:rPr>
                <w:color w:val="000000"/>
                <w:sz w:val="18"/>
                <w:szCs w:val="18"/>
              </w:rPr>
              <w:t>Debe contar con Título Profesional.</w:t>
            </w:r>
          </w:p>
        </w:tc>
        <w:tc>
          <w:tcPr>
            <w:tcW w:w="2231" w:type="dxa"/>
          </w:tcPr>
          <w:p w:rsidR="00D07455" w:rsidRDefault="00F53554">
            <w:pPr>
              <w:spacing w:line="360" w:lineRule="auto"/>
              <w:jc w:val="center"/>
              <w:rPr>
                <w:color w:val="000000"/>
                <w:sz w:val="18"/>
                <w:szCs w:val="18"/>
              </w:rPr>
            </w:pPr>
            <w:r>
              <w:rPr>
                <w:color w:val="000000"/>
                <w:sz w:val="18"/>
                <w:szCs w:val="18"/>
              </w:rPr>
              <w:t>Título profesional</w:t>
            </w:r>
          </w:p>
        </w:tc>
      </w:tr>
      <w:tr w:rsidR="00D07455">
        <w:tc>
          <w:tcPr>
            <w:tcW w:w="1696" w:type="dxa"/>
          </w:tcPr>
          <w:p w:rsidR="00D07455" w:rsidRDefault="00F53554">
            <w:pPr>
              <w:spacing w:line="360" w:lineRule="auto"/>
              <w:jc w:val="center"/>
              <w:rPr>
                <w:color w:val="000000"/>
                <w:sz w:val="18"/>
                <w:szCs w:val="18"/>
              </w:rPr>
            </w:pPr>
            <w:r>
              <w:rPr>
                <w:color w:val="000000"/>
                <w:sz w:val="18"/>
                <w:szCs w:val="18"/>
              </w:rPr>
              <w:t>Director de la</w:t>
            </w:r>
          </w:p>
          <w:p w:rsidR="00D07455" w:rsidRDefault="00F53554">
            <w:pPr>
              <w:spacing w:line="360" w:lineRule="auto"/>
              <w:jc w:val="center"/>
              <w:rPr>
                <w:color w:val="000000"/>
                <w:sz w:val="18"/>
                <w:szCs w:val="18"/>
              </w:rPr>
            </w:pPr>
            <w:r>
              <w:rPr>
                <w:color w:val="000000"/>
                <w:sz w:val="18"/>
                <w:szCs w:val="18"/>
              </w:rPr>
              <w:t>Unidad</w:t>
            </w:r>
          </w:p>
          <w:p w:rsidR="00D07455" w:rsidRDefault="00F53554">
            <w:pPr>
              <w:spacing w:line="360" w:lineRule="auto"/>
              <w:jc w:val="center"/>
              <w:rPr>
                <w:color w:val="000000"/>
                <w:sz w:val="18"/>
                <w:szCs w:val="18"/>
              </w:rPr>
            </w:pPr>
            <w:r>
              <w:rPr>
                <w:color w:val="000000"/>
                <w:sz w:val="18"/>
                <w:szCs w:val="18"/>
              </w:rPr>
              <w:t>Municipal de</w:t>
            </w:r>
          </w:p>
          <w:p w:rsidR="00D07455" w:rsidRDefault="00F53554">
            <w:pPr>
              <w:spacing w:line="360" w:lineRule="auto"/>
              <w:jc w:val="center"/>
              <w:rPr>
                <w:color w:val="000000"/>
                <w:sz w:val="18"/>
                <w:szCs w:val="18"/>
              </w:rPr>
            </w:pPr>
            <w:r>
              <w:rPr>
                <w:color w:val="000000"/>
                <w:sz w:val="18"/>
                <w:szCs w:val="18"/>
              </w:rPr>
              <w:t>Control y</w:t>
            </w:r>
          </w:p>
          <w:p w:rsidR="00D07455" w:rsidRDefault="00F53554">
            <w:pPr>
              <w:spacing w:line="360" w:lineRule="auto"/>
              <w:jc w:val="center"/>
              <w:rPr>
                <w:color w:val="000000"/>
                <w:sz w:val="18"/>
                <w:szCs w:val="18"/>
              </w:rPr>
            </w:pPr>
            <w:r>
              <w:rPr>
                <w:color w:val="000000"/>
                <w:sz w:val="18"/>
                <w:szCs w:val="18"/>
              </w:rPr>
              <w:t>Bienestar</w:t>
            </w:r>
          </w:p>
          <w:p w:rsidR="00D07455" w:rsidRDefault="00F53554">
            <w:pPr>
              <w:spacing w:line="360" w:lineRule="auto"/>
              <w:jc w:val="center"/>
              <w:rPr>
                <w:color w:val="000000"/>
                <w:sz w:val="18"/>
                <w:szCs w:val="18"/>
              </w:rPr>
            </w:pPr>
            <w:r>
              <w:rPr>
                <w:color w:val="000000"/>
                <w:sz w:val="18"/>
                <w:szCs w:val="18"/>
              </w:rPr>
              <w:t>Animal</w:t>
            </w:r>
          </w:p>
        </w:tc>
        <w:tc>
          <w:tcPr>
            <w:tcW w:w="2764" w:type="dxa"/>
          </w:tcPr>
          <w:p w:rsidR="00D07455" w:rsidRDefault="00F53554">
            <w:pPr>
              <w:spacing w:line="360" w:lineRule="auto"/>
              <w:rPr>
                <w:color w:val="000000"/>
                <w:sz w:val="18"/>
                <w:szCs w:val="18"/>
              </w:rPr>
            </w:pPr>
            <w:r>
              <w:rPr>
                <w:color w:val="000000"/>
                <w:sz w:val="18"/>
                <w:szCs w:val="18"/>
              </w:rPr>
              <w:t xml:space="preserve">Artículo 124 </w:t>
            </w:r>
            <w:proofErr w:type="spellStart"/>
            <w:r>
              <w:rPr>
                <w:color w:val="000000"/>
                <w:sz w:val="18"/>
                <w:szCs w:val="18"/>
              </w:rPr>
              <w:t>Quater</w:t>
            </w:r>
            <w:proofErr w:type="spellEnd"/>
            <w:r>
              <w:rPr>
                <w:color w:val="000000"/>
                <w:sz w:val="18"/>
                <w:szCs w:val="18"/>
              </w:rPr>
              <w:t xml:space="preserve">.- Para ser titular de la Unidad Municipal de Control y Bienestar Animal, se requiere, además de los requisitos del artículo 32 de esta Ley, </w:t>
            </w:r>
            <w:r>
              <w:rPr>
                <w:b/>
                <w:bCs/>
                <w:color w:val="000000"/>
                <w:sz w:val="18"/>
                <w:szCs w:val="18"/>
              </w:rPr>
              <w:t>contar con Licenciatura y Cédula</w:t>
            </w:r>
            <w:r>
              <w:rPr>
                <w:color w:val="000000"/>
                <w:sz w:val="18"/>
                <w:szCs w:val="18"/>
              </w:rPr>
              <w:t xml:space="preserve"> en Medicina Veterinaria, Zootecnista o profesión que se relacione con el conocimiento del cuidado y manejo de animales</w:t>
            </w:r>
          </w:p>
        </w:tc>
        <w:tc>
          <w:tcPr>
            <w:tcW w:w="2230" w:type="dxa"/>
          </w:tcPr>
          <w:p w:rsidR="00D07455" w:rsidRDefault="00F53554">
            <w:pPr>
              <w:spacing w:line="360" w:lineRule="auto"/>
              <w:jc w:val="center"/>
              <w:rPr>
                <w:color w:val="000000"/>
                <w:sz w:val="18"/>
                <w:szCs w:val="18"/>
              </w:rPr>
            </w:pPr>
            <w:r>
              <w:rPr>
                <w:color w:val="000000"/>
                <w:sz w:val="18"/>
                <w:szCs w:val="18"/>
              </w:rPr>
              <w:t>Debe contar con Título Profesional y cédula profesional.</w:t>
            </w:r>
          </w:p>
        </w:tc>
        <w:tc>
          <w:tcPr>
            <w:tcW w:w="2231" w:type="dxa"/>
          </w:tcPr>
          <w:p w:rsidR="00D07455" w:rsidRDefault="00F53554">
            <w:pPr>
              <w:spacing w:line="360" w:lineRule="auto"/>
              <w:jc w:val="center"/>
              <w:rPr>
                <w:color w:val="000000"/>
                <w:sz w:val="18"/>
                <w:szCs w:val="18"/>
              </w:rPr>
            </w:pPr>
            <w:r>
              <w:rPr>
                <w:color w:val="000000"/>
                <w:sz w:val="18"/>
                <w:szCs w:val="18"/>
              </w:rPr>
              <w:t xml:space="preserve">N/A </w:t>
            </w:r>
          </w:p>
        </w:tc>
      </w:tr>
      <w:tr w:rsidR="00D07455">
        <w:tc>
          <w:tcPr>
            <w:tcW w:w="1696" w:type="dxa"/>
          </w:tcPr>
          <w:p w:rsidR="00D07455" w:rsidRDefault="00F53554">
            <w:pPr>
              <w:spacing w:line="360" w:lineRule="auto"/>
              <w:jc w:val="center"/>
              <w:rPr>
                <w:color w:val="000000"/>
                <w:sz w:val="18"/>
                <w:szCs w:val="18"/>
              </w:rPr>
            </w:pPr>
            <w:r>
              <w:rPr>
                <w:color w:val="000000"/>
                <w:sz w:val="18"/>
                <w:szCs w:val="18"/>
              </w:rPr>
              <w:t>Contralor Municipal</w:t>
            </w:r>
          </w:p>
        </w:tc>
        <w:tc>
          <w:tcPr>
            <w:tcW w:w="2764" w:type="dxa"/>
          </w:tcPr>
          <w:p w:rsidR="00D07455" w:rsidRDefault="00F53554">
            <w:pPr>
              <w:spacing w:line="360" w:lineRule="auto"/>
              <w:rPr>
                <w:color w:val="000000"/>
                <w:sz w:val="18"/>
                <w:szCs w:val="18"/>
              </w:rPr>
            </w:pPr>
            <w:r>
              <w:rPr>
                <w:color w:val="000000"/>
                <w:sz w:val="18"/>
                <w:szCs w:val="18"/>
              </w:rPr>
              <w:t>Artículo 113.- Para ser contralor se requiere cumplir con los requisitos que se exigen para ser tesorero municipal, a excepción de la caución correspondiente.</w:t>
            </w:r>
          </w:p>
        </w:tc>
        <w:tc>
          <w:tcPr>
            <w:tcW w:w="2230" w:type="dxa"/>
          </w:tcPr>
          <w:p w:rsidR="00D07455" w:rsidRDefault="00F53554">
            <w:pPr>
              <w:spacing w:line="360" w:lineRule="auto"/>
              <w:jc w:val="center"/>
              <w:rPr>
                <w:color w:val="000000"/>
                <w:sz w:val="18"/>
                <w:szCs w:val="18"/>
              </w:rPr>
            </w:pPr>
            <w:r>
              <w:rPr>
                <w:color w:val="000000"/>
                <w:sz w:val="18"/>
                <w:szCs w:val="18"/>
              </w:rPr>
              <w:t>Debe contar con Título Profesional, además de experiencia mínima de un año.</w:t>
            </w:r>
          </w:p>
        </w:tc>
        <w:tc>
          <w:tcPr>
            <w:tcW w:w="2231" w:type="dxa"/>
          </w:tcPr>
          <w:p w:rsidR="00D07455" w:rsidRDefault="00F53554">
            <w:pPr>
              <w:spacing w:line="360" w:lineRule="auto"/>
              <w:jc w:val="center"/>
              <w:rPr>
                <w:color w:val="000000"/>
                <w:sz w:val="18"/>
                <w:szCs w:val="18"/>
              </w:rPr>
            </w:pPr>
            <w:r>
              <w:rPr>
                <w:color w:val="000000"/>
                <w:sz w:val="18"/>
                <w:szCs w:val="18"/>
              </w:rPr>
              <w:t xml:space="preserve">N/A </w:t>
            </w:r>
          </w:p>
        </w:tc>
      </w:tr>
    </w:tbl>
    <w:p w:rsidR="00D07455" w:rsidRDefault="00D07455">
      <w:pPr>
        <w:spacing w:after="0" w:line="360" w:lineRule="auto"/>
        <w:rPr>
          <w:color w:val="000000"/>
          <w:sz w:val="18"/>
          <w:szCs w:val="18"/>
        </w:rPr>
      </w:pPr>
    </w:p>
    <w:p w:rsidR="00D07455" w:rsidRDefault="00F53554">
      <w:pPr>
        <w:spacing w:after="0" w:line="360" w:lineRule="auto"/>
        <w:rPr>
          <w:color w:val="000000"/>
        </w:rPr>
      </w:pPr>
      <w:r>
        <w:rPr>
          <w:color w:val="000000"/>
        </w:rPr>
        <w:t xml:space="preserve">Asimismo, este Instituto procedió a consultar “El directorio de todos los servidores públicos” del sistema de Información Pública de Oficio Mexiquense (consultado en la liga electrónica  </w:t>
      </w:r>
      <w:hyperlink r:id="rId10" w:anchor="/info-fraccion/10/197/22">
        <w:r>
          <w:rPr>
            <w:color w:val="0563C1"/>
            <w:u w:val="single"/>
          </w:rPr>
          <w:t>https://ipomex.org.mx/ipomex/#/info-fraccion/10/197/22</w:t>
        </w:r>
      </w:hyperlink>
      <w:r>
        <w:rPr>
          <w:color w:val="000000"/>
        </w:rPr>
        <w:t xml:space="preserve">), por medio del cual se logró vislumbrar información faltante de algunos mandos medios y superiores, tal como se advierte de las siguientes imágenes ilustrativas: </w:t>
      </w:r>
    </w:p>
    <w:p w:rsidR="00D07455" w:rsidRDefault="00D07455">
      <w:pPr>
        <w:spacing w:after="0" w:line="360" w:lineRule="auto"/>
        <w:rPr>
          <w:color w:val="000000"/>
        </w:rPr>
      </w:pPr>
    </w:p>
    <w:p w:rsidR="00D07455" w:rsidRDefault="00F53554">
      <w:pPr>
        <w:spacing w:after="0" w:line="360" w:lineRule="auto"/>
        <w:rPr>
          <w:color w:val="000000"/>
        </w:rPr>
      </w:pPr>
      <w:r>
        <w:rPr>
          <w:noProof/>
          <w:color w:val="000000"/>
        </w:rPr>
        <w:lastRenderedPageBreak/>
        <w:drawing>
          <wp:inline distT="0" distB="0" distL="0" distR="0">
            <wp:extent cx="5671185" cy="529590"/>
            <wp:effectExtent l="0" t="0" r="0" b="0"/>
            <wp:docPr id="21377104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671185" cy="529590"/>
                    </a:xfrm>
                    <a:prstGeom prst="rect">
                      <a:avLst/>
                    </a:prstGeom>
                    <a:ln/>
                  </pic:spPr>
                </pic:pic>
              </a:graphicData>
            </a:graphic>
          </wp:inline>
        </w:drawing>
      </w:r>
    </w:p>
    <w:p w:rsidR="00D07455" w:rsidRDefault="00F53554">
      <w:pPr>
        <w:spacing w:after="0" w:line="360" w:lineRule="auto"/>
        <w:jc w:val="center"/>
        <w:rPr>
          <w:color w:val="000000"/>
        </w:rPr>
      </w:pPr>
      <w:r>
        <w:rPr>
          <w:color w:val="000000"/>
        </w:rPr>
        <w:t>…</w:t>
      </w:r>
    </w:p>
    <w:p w:rsidR="00D07455" w:rsidRDefault="00F53554">
      <w:pPr>
        <w:spacing w:after="0" w:line="360" w:lineRule="auto"/>
        <w:jc w:val="center"/>
        <w:rPr>
          <w:color w:val="000000"/>
        </w:rPr>
      </w:pPr>
      <w:r>
        <w:rPr>
          <w:noProof/>
          <w:color w:val="000000"/>
        </w:rPr>
        <w:drawing>
          <wp:inline distT="0" distB="0" distL="0" distR="0">
            <wp:extent cx="5671185" cy="411480"/>
            <wp:effectExtent l="0" t="0" r="0" b="0"/>
            <wp:docPr id="21377104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5671185" cy="411480"/>
                    </a:xfrm>
                    <a:prstGeom prst="rect">
                      <a:avLst/>
                    </a:prstGeom>
                    <a:ln/>
                  </pic:spPr>
                </pic:pic>
              </a:graphicData>
            </a:graphic>
          </wp:inline>
        </w:drawing>
      </w:r>
    </w:p>
    <w:p w:rsidR="00D07455" w:rsidRDefault="00F53554">
      <w:pPr>
        <w:spacing w:after="0" w:line="360" w:lineRule="auto"/>
        <w:jc w:val="center"/>
        <w:rPr>
          <w:color w:val="000000"/>
        </w:rPr>
      </w:pPr>
      <w:r>
        <w:rPr>
          <w:color w:val="000000"/>
        </w:rPr>
        <w:t>…</w:t>
      </w:r>
    </w:p>
    <w:p w:rsidR="00D07455" w:rsidRDefault="00F53554">
      <w:pPr>
        <w:spacing w:after="0" w:line="360" w:lineRule="auto"/>
        <w:jc w:val="center"/>
        <w:rPr>
          <w:color w:val="000000"/>
        </w:rPr>
      </w:pPr>
      <w:r>
        <w:rPr>
          <w:noProof/>
          <w:color w:val="000000"/>
        </w:rPr>
        <w:drawing>
          <wp:inline distT="0" distB="0" distL="0" distR="0">
            <wp:extent cx="5671185" cy="1064260"/>
            <wp:effectExtent l="0" t="0" r="0" b="0"/>
            <wp:docPr id="21377104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671185" cy="1064260"/>
                    </a:xfrm>
                    <a:prstGeom prst="rect">
                      <a:avLst/>
                    </a:prstGeom>
                    <a:ln/>
                  </pic:spPr>
                </pic:pic>
              </a:graphicData>
            </a:graphic>
          </wp:inline>
        </w:drawing>
      </w:r>
    </w:p>
    <w:p w:rsidR="00D07455" w:rsidRDefault="00F53554">
      <w:pPr>
        <w:spacing w:after="0" w:line="360" w:lineRule="auto"/>
        <w:jc w:val="center"/>
        <w:rPr>
          <w:color w:val="000000"/>
        </w:rPr>
      </w:pPr>
      <w:r>
        <w:rPr>
          <w:color w:val="000000"/>
        </w:rPr>
        <w:t>…</w:t>
      </w:r>
    </w:p>
    <w:p w:rsidR="00D07455" w:rsidRDefault="00F53554">
      <w:pPr>
        <w:spacing w:after="0" w:line="360" w:lineRule="auto"/>
        <w:jc w:val="center"/>
        <w:rPr>
          <w:color w:val="000000"/>
        </w:rPr>
      </w:pPr>
      <w:r>
        <w:rPr>
          <w:noProof/>
          <w:color w:val="000000"/>
        </w:rPr>
        <w:drawing>
          <wp:inline distT="0" distB="0" distL="0" distR="0">
            <wp:extent cx="5671185" cy="466725"/>
            <wp:effectExtent l="0" t="0" r="0" b="0"/>
            <wp:docPr id="21377104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671185" cy="466725"/>
                    </a:xfrm>
                    <a:prstGeom prst="rect">
                      <a:avLst/>
                    </a:prstGeom>
                    <a:ln/>
                  </pic:spPr>
                </pic:pic>
              </a:graphicData>
            </a:graphic>
          </wp:inline>
        </w:drawing>
      </w:r>
    </w:p>
    <w:p w:rsidR="00D07455" w:rsidRDefault="00F53554">
      <w:pPr>
        <w:spacing w:after="0" w:line="360" w:lineRule="auto"/>
        <w:jc w:val="center"/>
        <w:rPr>
          <w:color w:val="000000"/>
        </w:rPr>
      </w:pPr>
      <w:r>
        <w:rPr>
          <w:color w:val="000000"/>
        </w:rPr>
        <w:t>…</w:t>
      </w:r>
    </w:p>
    <w:p w:rsidR="00D07455" w:rsidRDefault="00F53554">
      <w:pPr>
        <w:spacing w:after="0" w:line="360" w:lineRule="auto"/>
        <w:jc w:val="center"/>
        <w:rPr>
          <w:color w:val="000000"/>
        </w:rPr>
      </w:pPr>
      <w:r>
        <w:rPr>
          <w:noProof/>
          <w:color w:val="000000"/>
        </w:rPr>
        <w:drawing>
          <wp:inline distT="0" distB="0" distL="0" distR="0">
            <wp:extent cx="5671185" cy="2277745"/>
            <wp:effectExtent l="0" t="0" r="0" b="0"/>
            <wp:docPr id="21377104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671185" cy="2277745"/>
                    </a:xfrm>
                    <a:prstGeom prst="rect">
                      <a:avLst/>
                    </a:prstGeom>
                    <a:ln/>
                  </pic:spPr>
                </pic:pic>
              </a:graphicData>
            </a:graphic>
          </wp:inline>
        </w:drawing>
      </w:r>
    </w:p>
    <w:p w:rsidR="00D07455" w:rsidRDefault="00F53554">
      <w:pPr>
        <w:spacing w:after="0" w:line="360" w:lineRule="auto"/>
        <w:jc w:val="center"/>
        <w:rPr>
          <w:color w:val="000000"/>
        </w:rPr>
      </w:pPr>
      <w:r>
        <w:rPr>
          <w:color w:val="000000"/>
        </w:rPr>
        <w:t>…</w:t>
      </w:r>
    </w:p>
    <w:p w:rsidR="00D07455" w:rsidRDefault="00D07455">
      <w:pPr>
        <w:spacing w:after="0" w:line="360" w:lineRule="auto"/>
        <w:jc w:val="center"/>
        <w:rPr>
          <w:color w:val="000000"/>
        </w:rPr>
      </w:pPr>
    </w:p>
    <w:p w:rsidR="00D07455" w:rsidRDefault="00F53554">
      <w:pPr>
        <w:spacing w:after="0" w:line="360" w:lineRule="auto"/>
        <w:jc w:val="center"/>
        <w:rPr>
          <w:color w:val="000000"/>
        </w:rPr>
      </w:pPr>
      <w:r>
        <w:rPr>
          <w:noProof/>
          <w:color w:val="000000"/>
        </w:rPr>
        <w:lastRenderedPageBreak/>
        <w:drawing>
          <wp:inline distT="0" distB="0" distL="0" distR="0">
            <wp:extent cx="5671185" cy="2207260"/>
            <wp:effectExtent l="0" t="0" r="0" b="0"/>
            <wp:docPr id="213771042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5671185" cy="2207260"/>
                    </a:xfrm>
                    <a:prstGeom prst="rect">
                      <a:avLst/>
                    </a:prstGeom>
                    <a:ln/>
                  </pic:spPr>
                </pic:pic>
              </a:graphicData>
            </a:graphic>
          </wp:inline>
        </w:drawing>
      </w:r>
    </w:p>
    <w:p w:rsidR="00D07455" w:rsidRDefault="00F53554">
      <w:pPr>
        <w:spacing w:after="0" w:line="360" w:lineRule="auto"/>
        <w:jc w:val="center"/>
        <w:rPr>
          <w:color w:val="000000"/>
        </w:rPr>
      </w:pPr>
      <w:r>
        <w:rPr>
          <w:color w:val="000000"/>
        </w:rPr>
        <w:t>…</w:t>
      </w:r>
    </w:p>
    <w:p w:rsidR="00D07455" w:rsidRDefault="00F53554">
      <w:pPr>
        <w:spacing w:after="0" w:line="360" w:lineRule="auto"/>
        <w:jc w:val="center"/>
        <w:rPr>
          <w:color w:val="000000"/>
        </w:rPr>
      </w:pPr>
      <w:r>
        <w:rPr>
          <w:noProof/>
          <w:color w:val="000000"/>
        </w:rPr>
        <w:drawing>
          <wp:inline distT="0" distB="0" distL="0" distR="0">
            <wp:extent cx="5671185" cy="2085975"/>
            <wp:effectExtent l="0" t="0" r="0" b="0"/>
            <wp:docPr id="21377104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671185" cy="2085975"/>
                    </a:xfrm>
                    <a:prstGeom prst="rect">
                      <a:avLst/>
                    </a:prstGeom>
                    <a:ln/>
                  </pic:spPr>
                </pic:pic>
              </a:graphicData>
            </a:graphic>
          </wp:inline>
        </w:drawing>
      </w:r>
    </w:p>
    <w:p w:rsidR="00D07455" w:rsidRDefault="00F53554">
      <w:pPr>
        <w:spacing w:after="0" w:line="360" w:lineRule="auto"/>
        <w:jc w:val="center"/>
        <w:rPr>
          <w:color w:val="000000"/>
        </w:rPr>
      </w:pPr>
      <w:r>
        <w:rPr>
          <w:color w:val="000000"/>
        </w:rPr>
        <w:t>…</w:t>
      </w:r>
    </w:p>
    <w:p w:rsidR="00D07455" w:rsidRDefault="00F53554">
      <w:pPr>
        <w:spacing w:after="0" w:line="360" w:lineRule="auto"/>
        <w:jc w:val="center"/>
        <w:rPr>
          <w:color w:val="000000"/>
        </w:rPr>
      </w:pPr>
      <w:r>
        <w:rPr>
          <w:noProof/>
          <w:color w:val="000000"/>
        </w:rPr>
        <w:drawing>
          <wp:inline distT="0" distB="0" distL="0" distR="0">
            <wp:extent cx="5671185" cy="1150620"/>
            <wp:effectExtent l="0" t="0" r="0" b="0"/>
            <wp:docPr id="21377104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671185" cy="1150620"/>
                    </a:xfrm>
                    <a:prstGeom prst="rect">
                      <a:avLst/>
                    </a:prstGeom>
                    <a:ln/>
                  </pic:spPr>
                </pic:pic>
              </a:graphicData>
            </a:graphic>
          </wp:inline>
        </w:drawing>
      </w:r>
    </w:p>
    <w:p w:rsidR="00D07455" w:rsidRDefault="00D07455">
      <w:pPr>
        <w:spacing w:after="0" w:line="360" w:lineRule="auto"/>
        <w:rPr>
          <w:color w:val="000000"/>
        </w:rPr>
      </w:pPr>
    </w:p>
    <w:p w:rsidR="00D07455" w:rsidRDefault="00F53554">
      <w:pPr>
        <w:spacing w:after="0" w:line="360" w:lineRule="auto"/>
        <w:rPr>
          <w:color w:val="000000"/>
        </w:rPr>
      </w:pPr>
      <w:r>
        <w:rPr>
          <w:color w:val="000000"/>
        </w:rPr>
        <w:t>Conforme a lo anterior, se logró vislumbrar que el Sujeto Obligado no se pronunció del título</w:t>
      </w:r>
      <w:proofErr w:type="gramStart"/>
      <w:r>
        <w:rPr>
          <w:color w:val="000000"/>
        </w:rPr>
        <w:t>,  cédula</w:t>
      </w:r>
      <w:proofErr w:type="gramEnd"/>
      <w:r>
        <w:rPr>
          <w:color w:val="000000"/>
        </w:rPr>
        <w:t xml:space="preserve"> o comprobante del grado máximo de estudios de la totalidad de mandos medios y superiores, por lo que para atender el requerimiento de información, deberá proporcionar el </w:t>
      </w:r>
      <w:r>
        <w:rPr>
          <w:color w:val="000000"/>
        </w:rPr>
        <w:lastRenderedPageBreak/>
        <w:t xml:space="preserve">título, cédula o el documento que acredite el último grado de estudios de los mandos medios y superiores faltantes. </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 xml:space="preserve">No se omite mencionar, que la información proporcionada en respuesta se entregó en versión pública, sin que se proporcionara la respectiva Acta del Comité de Transparencia, en las que se clasificó los siguientes datos: </w:t>
      </w:r>
    </w:p>
    <w:p w:rsidR="00D07455" w:rsidRDefault="00D07455">
      <w:pPr>
        <w:spacing w:after="0" w:line="360" w:lineRule="auto"/>
        <w:rPr>
          <w:color w:val="000000"/>
        </w:rPr>
      </w:pP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Firma del servidor público ;</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Clave Única de Registro de Población (CURP); </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 xml:space="preserve">Número de cuenta; </w:t>
      </w:r>
    </w:p>
    <w:p w:rsidR="00D07455" w:rsidRDefault="00F53554">
      <w:pPr>
        <w:numPr>
          <w:ilvl w:val="0"/>
          <w:numId w:val="5"/>
        </w:numPr>
        <w:pBdr>
          <w:top w:val="nil"/>
          <w:left w:val="nil"/>
          <w:bottom w:val="nil"/>
          <w:right w:val="nil"/>
          <w:between w:val="nil"/>
        </w:pBdr>
        <w:spacing w:after="0" w:line="360" w:lineRule="auto"/>
        <w:rPr>
          <w:color w:val="000000"/>
        </w:rPr>
      </w:pPr>
      <w:r>
        <w:rPr>
          <w:color w:val="000000"/>
        </w:rPr>
        <w:t>Calificaciones y promedio general</w:t>
      </w:r>
    </w:p>
    <w:p w:rsidR="00D07455" w:rsidRDefault="00D07455">
      <w:pPr>
        <w:spacing w:after="0" w:line="360" w:lineRule="auto"/>
        <w:rPr>
          <w:color w:val="000000"/>
        </w:rPr>
      </w:pPr>
    </w:p>
    <w:p w:rsidR="00D07455" w:rsidRDefault="00F53554">
      <w:pPr>
        <w:spacing w:after="0" w:line="360" w:lineRule="auto"/>
        <w:ind w:right="-93"/>
      </w:pPr>
      <w:r>
        <w:t>Al respecto, resulta procedente analizar si dichos datos son públicos o privados; en principio, cabe mencionar que el artículo 143, fracción I, de la Ley de Transparencia y Acceso a la Información Pública del Estado de México y Municipios, establece que la información privada y los datos personales, concernientes a una persona física o jurídica colectiva identificada o identificable son confidenciales.</w:t>
      </w:r>
    </w:p>
    <w:p w:rsidR="00D07455" w:rsidRDefault="00D07455">
      <w:pPr>
        <w:spacing w:after="0" w:line="360" w:lineRule="auto"/>
        <w:ind w:right="-93"/>
      </w:pPr>
    </w:p>
    <w:p w:rsidR="00D07455" w:rsidRDefault="00F53554">
      <w:pPr>
        <w:spacing w:after="0" w:line="360" w:lineRule="auto"/>
        <w:ind w:right="-93"/>
      </w:pPr>
      <w:r>
        <w:t>Asimismo, el artículo 145 de la Ley previamente citada,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00D07455" w:rsidRDefault="00D07455">
      <w:pPr>
        <w:spacing w:after="0" w:line="360" w:lineRule="auto"/>
        <w:ind w:right="-93"/>
      </w:pPr>
    </w:p>
    <w:p w:rsidR="00D07455" w:rsidRDefault="00F53554">
      <w:pPr>
        <w:spacing w:after="0" w:line="360" w:lineRule="auto"/>
        <w:ind w:right="-93"/>
      </w:pPr>
      <w:r>
        <w:lastRenderedPageBreak/>
        <w:t>En términos de lo expuesto, la documentación y aquellos datos que se consideren confidenciales, serán una limitante del derecho de acceso a la información, siempre y cuando:</w:t>
      </w:r>
    </w:p>
    <w:p w:rsidR="00D07455" w:rsidRDefault="00D07455">
      <w:pPr>
        <w:spacing w:after="0" w:line="360" w:lineRule="auto"/>
        <w:ind w:right="-93"/>
      </w:pPr>
    </w:p>
    <w:p w:rsidR="00D07455" w:rsidRDefault="00F53554">
      <w:pPr>
        <w:numPr>
          <w:ilvl w:val="0"/>
          <w:numId w:val="6"/>
        </w:numPr>
        <w:spacing w:after="0" w:line="360" w:lineRule="auto"/>
        <w:ind w:right="-93"/>
        <w:rPr>
          <w:color w:val="000000"/>
        </w:rPr>
      </w:pPr>
      <w:r>
        <w:rPr>
          <w:color w:val="000000"/>
        </w:rPr>
        <w:t xml:space="preserve">Se trate de datos personales o información privada; esto es, información concerniente a una persona física o jurídico colectiva y que esta sea identificada o identificable. </w:t>
      </w:r>
    </w:p>
    <w:p w:rsidR="00D07455" w:rsidRDefault="00D07455">
      <w:pPr>
        <w:spacing w:after="0" w:line="360" w:lineRule="auto"/>
        <w:ind w:right="-93"/>
        <w:rPr>
          <w:color w:val="000000"/>
        </w:rPr>
      </w:pPr>
    </w:p>
    <w:p w:rsidR="00D07455" w:rsidRDefault="00F53554">
      <w:pPr>
        <w:numPr>
          <w:ilvl w:val="0"/>
          <w:numId w:val="6"/>
        </w:numPr>
        <w:spacing w:after="0" w:line="360" w:lineRule="auto"/>
        <w:ind w:right="-93"/>
        <w:rPr>
          <w:color w:val="000000"/>
        </w:rPr>
      </w:pPr>
      <w:r>
        <w:rPr>
          <w:color w:val="000000"/>
        </w:rPr>
        <w:t>Para la difusión de los datos, se requiera el consentimiento del titular.</w:t>
      </w:r>
    </w:p>
    <w:p w:rsidR="00D07455" w:rsidRDefault="00D07455">
      <w:pPr>
        <w:spacing w:after="0" w:line="360" w:lineRule="auto"/>
        <w:ind w:right="-93"/>
        <w:rPr>
          <w:color w:val="FF0000"/>
        </w:rPr>
      </w:pPr>
    </w:p>
    <w:p w:rsidR="00D07455" w:rsidRDefault="00F53554">
      <w:pPr>
        <w:spacing w:after="0" w:line="360" w:lineRule="auto"/>
        <w:ind w:right="-93"/>
      </w:pPr>
      <w:r>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w:t>
      </w:r>
    </w:p>
    <w:p w:rsidR="00D07455" w:rsidRDefault="00D07455">
      <w:pPr>
        <w:spacing w:after="0" w:line="360" w:lineRule="auto"/>
        <w:ind w:right="-93"/>
      </w:pPr>
    </w:p>
    <w:p w:rsidR="00D07455" w:rsidRDefault="00F53554">
      <w:pPr>
        <w:spacing w:after="0" w:line="360" w:lineRule="auto"/>
        <w:ind w:right="-93"/>
      </w:pPr>
      <w:r>
        <w:t>Además, en el artículo 5° de dicho ordenamiento jurídico, establece que es la Ley aplicable para todo tratamiento de datos personales.</w:t>
      </w:r>
    </w:p>
    <w:p w:rsidR="00D07455" w:rsidRDefault="00D07455">
      <w:pPr>
        <w:spacing w:after="0" w:line="360" w:lineRule="auto"/>
        <w:ind w:right="-93"/>
      </w:pPr>
    </w:p>
    <w:p w:rsidR="00D07455" w:rsidRDefault="00F53554">
      <w:pPr>
        <w:spacing w:after="0" w:line="360" w:lineRule="auto"/>
        <w:ind w:right="-93"/>
      </w:pPr>
      <w:r>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w:t>
      </w:r>
      <w:r>
        <w:lastRenderedPageBreak/>
        <w:t>con el consentimiento de su titular, además de que debe estar justificado en ley (principio de finalidad).</w:t>
      </w:r>
    </w:p>
    <w:p w:rsidR="00D07455" w:rsidRDefault="00D07455">
      <w:pPr>
        <w:spacing w:after="0" w:line="360" w:lineRule="auto"/>
        <w:ind w:right="-93"/>
        <w:rPr>
          <w:color w:val="FF0000"/>
        </w:rPr>
      </w:pPr>
    </w:p>
    <w:p w:rsidR="00D07455" w:rsidRDefault="00F53554">
      <w:pPr>
        <w:spacing w:after="0" w:line="360" w:lineRule="auto"/>
        <w:ind w:right="-93"/>
      </w:pPr>
      <w: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 Bajo ese contexto, se analizarán si los datos mencionados de manera enunciativa son confidenciales o públicos.</w:t>
      </w:r>
    </w:p>
    <w:p w:rsidR="00D07455" w:rsidRDefault="00D07455">
      <w:pPr>
        <w:spacing w:after="0" w:line="360" w:lineRule="auto"/>
        <w:ind w:right="-93"/>
      </w:pPr>
    </w:p>
    <w:p w:rsidR="00D07455" w:rsidRDefault="00F53554">
      <w:pPr>
        <w:numPr>
          <w:ilvl w:val="0"/>
          <w:numId w:val="7"/>
        </w:numPr>
        <w:spacing w:after="0" w:line="360" w:lineRule="auto"/>
        <w:ind w:right="-93"/>
        <w:rPr>
          <w:b/>
          <w:bCs/>
          <w:color w:val="000000"/>
        </w:rPr>
      </w:pPr>
      <w:r>
        <w:rPr>
          <w:b/>
          <w:bCs/>
          <w:color w:val="000000"/>
        </w:rPr>
        <w:t>Firma de los servidores públicos</w:t>
      </w:r>
    </w:p>
    <w:p w:rsidR="00D07455" w:rsidRDefault="00D07455">
      <w:pPr>
        <w:spacing w:after="0" w:line="360" w:lineRule="auto"/>
        <w:ind w:left="720" w:right="-93"/>
        <w:rPr>
          <w:b/>
          <w:bCs/>
          <w:color w:val="000000"/>
        </w:rPr>
      </w:pPr>
    </w:p>
    <w:p w:rsidR="00D07455" w:rsidRDefault="00F53554">
      <w:pPr>
        <w:spacing w:after="0" w:line="360" w:lineRule="auto"/>
        <w:ind w:right="-93"/>
      </w:pPr>
      <w:r>
        <w:t>Al respecto, cabe precisar que si bien la firma, por regla general, es un dato personal confidencial, también lo es que, da cuenta de las obligaciones del servidor público para ingresar al servicio público.</w:t>
      </w:r>
    </w:p>
    <w:p w:rsidR="00D07455" w:rsidRDefault="00D07455">
      <w:pPr>
        <w:spacing w:after="0" w:line="360" w:lineRule="auto"/>
        <w:ind w:right="-93"/>
      </w:pPr>
    </w:p>
    <w:p w:rsidR="00D07455" w:rsidRDefault="00F53554">
      <w:pPr>
        <w:spacing w:after="0" w:line="360" w:lineRule="auto"/>
        <w:ind w:right="-93"/>
      </w:pPr>
      <w:r>
        <w:t>Sobre esta situación, cabe señalar que la firma de servidores públicos, vinculada al ejercicio de la función pública es información de naturaleza pública, pues documenta y rinde cuentas sobre el debido ejercicio de sus atribuciones, lo cual acontece en el presente caso, pues, por una parte, corresponde a los requisitos que el servidor público debió cumplir para ingresar al servicio público.</w:t>
      </w:r>
    </w:p>
    <w:p w:rsidR="00D07455" w:rsidRDefault="00D07455">
      <w:pPr>
        <w:spacing w:after="0" w:line="360" w:lineRule="auto"/>
        <w:ind w:right="-93"/>
      </w:pPr>
    </w:p>
    <w:p w:rsidR="00D07455" w:rsidRDefault="00F53554">
      <w:pPr>
        <w:spacing w:after="0" w:line="360" w:lineRule="auto"/>
        <w:ind w:right="-93"/>
      </w:pPr>
      <w:r>
        <w:t xml:space="preserve">Situación que se robustece, con el Criterio Orientador, de la Segunda Época, con número de registro SO/002/2019, emitido por el Instituto Nacional de Transparencia, Acceso a la </w:t>
      </w:r>
      <w:r>
        <w:lastRenderedPageBreak/>
        <w:t>Información y Protección de Datos Personales, que establece que “… cuando un servidor público emite un acto como autoridad, en ejercicio de las funciones que tiene conferidas, la firma o rúbrica mediante la cual se valida dicho acto es pública.”</w:t>
      </w:r>
    </w:p>
    <w:p w:rsidR="00D07455" w:rsidRDefault="00D07455">
      <w:pPr>
        <w:spacing w:after="0" w:line="360" w:lineRule="auto"/>
        <w:ind w:right="-93"/>
      </w:pPr>
    </w:p>
    <w:p w:rsidR="00D07455" w:rsidRDefault="00F53554">
      <w:pPr>
        <w:spacing w:after="0" w:line="360" w:lineRule="auto"/>
        <w:ind w:right="-93"/>
      </w:pPr>
      <w:r>
        <w:t>Conforme a lo expuesto, no procede la clasificación, en términos del artículo 143, fracción I de la Ley de Transparencia y Acceso a la Información Pública del Estado de México y Municipios, en los títulos y cédulas de los servidores públicos que firman títulos y cédulas con carácter de autoridad, por lo que hace a instituciones públicas particulares, si bien no corresponden a servidores públicos, como la firma se realiza con el carácter de autoridad educativa y la firma es un elemento de validez de los documentos de títulos y constancias de estudio de escuelas particulares, dicho dato, también debe ser considerado público.</w:t>
      </w:r>
    </w:p>
    <w:p w:rsidR="00D07455" w:rsidRDefault="00D07455">
      <w:pPr>
        <w:spacing w:after="0" w:line="360" w:lineRule="auto"/>
        <w:ind w:right="-93"/>
      </w:pPr>
    </w:p>
    <w:p w:rsidR="00D07455" w:rsidRDefault="00F53554">
      <w:pPr>
        <w:spacing w:after="0" w:line="360" w:lineRule="auto"/>
        <w:ind w:right="-93"/>
      </w:pPr>
      <w:r>
        <w:t>Por lo que hace a las firmas de los servidores públicos titulares de los títulos, cédulas y comprobantes de estudios, ya el Pleno ha determinado que al momento de firmar el documento, no se hace en carácter de servidor público, por lo que dicho dato debe ser clasificado como confidencial, de conformidad con el artículo 143, fracción I, de la Ley de Transparencia del Estado.</w:t>
      </w:r>
    </w:p>
    <w:p w:rsidR="00D07455" w:rsidRDefault="00D07455">
      <w:pPr>
        <w:spacing w:after="0" w:line="360" w:lineRule="auto"/>
        <w:rPr>
          <w:color w:val="000000"/>
        </w:rPr>
      </w:pPr>
    </w:p>
    <w:p w:rsidR="00D07455" w:rsidRDefault="00F53554">
      <w:pPr>
        <w:numPr>
          <w:ilvl w:val="0"/>
          <w:numId w:val="9"/>
        </w:numPr>
        <w:spacing w:after="0" w:line="360" w:lineRule="auto"/>
        <w:ind w:right="-28"/>
        <w:rPr>
          <w:b/>
          <w:bCs/>
          <w:color w:val="000000"/>
        </w:rPr>
      </w:pPr>
      <w:r>
        <w:rPr>
          <w:b/>
          <w:bCs/>
          <w:color w:val="000000"/>
        </w:rPr>
        <w:t>Fotografía del servidor público</w:t>
      </w:r>
    </w:p>
    <w:p w:rsidR="00D07455" w:rsidRDefault="00D07455">
      <w:pPr>
        <w:spacing w:after="0" w:line="360" w:lineRule="auto"/>
        <w:ind w:right="-28"/>
        <w:rPr>
          <w:color w:val="000000"/>
        </w:rPr>
      </w:pPr>
    </w:p>
    <w:p w:rsidR="00D07455" w:rsidRDefault="00F53554">
      <w:pPr>
        <w:tabs>
          <w:tab w:val="left" w:pos="4962"/>
        </w:tabs>
        <w:spacing w:after="0" w:line="360" w:lineRule="auto"/>
        <w:rPr>
          <w:color w:val="000000"/>
        </w:rPr>
      </w:pPr>
      <w:r>
        <w:rPr>
          <w:color w:val="000000"/>
        </w:rPr>
        <w:t>Para lo cual,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rsidR="00D07455" w:rsidRDefault="00D07455">
      <w:pPr>
        <w:tabs>
          <w:tab w:val="left" w:pos="4962"/>
        </w:tabs>
        <w:spacing w:after="0" w:line="360" w:lineRule="auto"/>
        <w:rPr>
          <w:color w:val="000000"/>
        </w:rPr>
      </w:pPr>
    </w:p>
    <w:p w:rsidR="00D07455" w:rsidRDefault="00F53554">
      <w:pPr>
        <w:tabs>
          <w:tab w:val="left" w:pos="4962"/>
        </w:tabs>
        <w:spacing w:after="0" w:line="360" w:lineRule="auto"/>
        <w:rPr>
          <w:color w:val="000000"/>
        </w:rPr>
      </w:pPr>
      <w:r>
        <w:rPr>
          <w:color w:val="000000"/>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rsidR="00D07455" w:rsidRDefault="00D07455">
      <w:pPr>
        <w:tabs>
          <w:tab w:val="left" w:pos="4962"/>
        </w:tabs>
        <w:spacing w:after="0" w:line="360" w:lineRule="auto"/>
        <w:rPr>
          <w:color w:val="000000"/>
        </w:rPr>
      </w:pPr>
    </w:p>
    <w:p w:rsidR="00D07455" w:rsidRDefault="00F53554">
      <w:pPr>
        <w:tabs>
          <w:tab w:val="left" w:pos="4962"/>
        </w:tabs>
        <w:spacing w:after="0" w:line="360" w:lineRule="auto"/>
        <w:rPr>
          <w:color w:val="000000"/>
        </w:rPr>
      </w:pPr>
      <w:r>
        <w:rPr>
          <w:color w:val="000000"/>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rsidR="00D07455" w:rsidRDefault="00D07455">
      <w:pPr>
        <w:tabs>
          <w:tab w:val="left" w:pos="4962"/>
        </w:tabs>
        <w:spacing w:after="0" w:line="360" w:lineRule="auto"/>
        <w:rPr>
          <w:color w:val="000000"/>
        </w:rPr>
      </w:pPr>
    </w:p>
    <w:p w:rsidR="00D07455" w:rsidRDefault="00F53554">
      <w:pPr>
        <w:tabs>
          <w:tab w:val="left" w:pos="4962"/>
        </w:tabs>
        <w:spacing w:after="0" w:line="360" w:lineRule="auto"/>
        <w:rPr>
          <w:color w:val="000000"/>
        </w:rPr>
      </w:pPr>
      <w:r>
        <w:rPr>
          <w:color w:val="000000"/>
        </w:rPr>
        <w:t>En este sentido, resultan aplicables por analogía, los Criterios orientadores 15/17 y 1/13, emitidos por el entonces Instituto Nacional de Transparencia y Acceso a la Información Pública y Protección de Datos Personales vigentes a la fecha de la solicitud,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rsidR="00D07455" w:rsidRDefault="00D07455">
      <w:pPr>
        <w:tabs>
          <w:tab w:val="left" w:pos="4962"/>
        </w:tabs>
        <w:spacing w:after="0" w:line="360" w:lineRule="auto"/>
        <w:rPr>
          <w:color w:val="000000"/>
        </w:rPr>
      </w:pPr>
    </w:p>
    <w:p w:rsidR="00D07455" w:rsidRDefault="00F53554">
      <w:pPr>
        <w:tabs>
          <w:tab w:val="left" w:pos="4962"/>
        </w:tabs>
        <w:spacing w:after="0" w:line="360" w:lineRule="auto"/>
        <w:rPr>
          <w:color w:val="000000"/>
        </w:rPr>
      </w:pPr>
      <w:r>
        <w:rPr>
          <w:color w:val="000000"/>
        </w:rPr>
        <w:lastRenderedPageBreak/>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rsidR="00D07455" w:rsidRDefault="00D07455">
      <w:pPr>
        <w:tabs>
          <w:tab w:val="left" w:pos="4962"/>
        </w:tabs>
        <w:spacing w:after="0" w:line="360" w:lineRule="auto"/>
        <w:rPr>
          <w:color w:val="000000"/>
        </w:rPr>
      </w:pPr>
    </w:p>
    <w:p w:rsidR="00D07455" w:rsidRDefault="00F53554">
      <w:pPr>
        <w:tabs>
          <w:tab w:val="left" w:pos="4962"/>
        </w:tabs>
        <w:spacing w:after="0" w:line="360" w:lineRule="auto"/>
        <w:rPr>
          <w:color w:val="000000"/>
        </w:rPr>
      </w:pPr>
      <w:r>
        <w:rPr>
          <w:color w:val="000000"/>
        </w:rPr>
        <w:t>Por lo anterior, todas las fotografías de los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rsidR="00D07455" w:rsidRDefault="00D07455">
      <w:pPr>
        <w:tabs>
          <w:tab w:val="left" w:pos="4962"/>
        </w:tabs>
        <w:spacing w:after="0" w:line="360" w:lineRule="auto"/>
        <w:rPr>
          <w:color w:val="000000"/>
        </w:rPr>
      </w:pPr>
    </w:p>
    <w:p w:rsidR="00D07455" w:rsidRDefault="00F53554">
      <w:pPr>
        <w:tabs>
          <w:tab w:val="left" w:pos="4962"/>
        </w:tabs>
        <w:spacing w:after="0" w:line="360" w:lineRule="auto"/>
        <w:rPr>
          <w:color w:val="000000"/>
        </w:rPr>
      </w:pPr>
      <w:r>
        <w:rPr>
          <w:color w:val="000000"/>
        </w:rPr>
        <w:t>De acuerdo con el argumento planteado, la determinación de esta resolución deja sin efectos el criterio adoptado anteriormente por el Pleno de este Instituto, con número 03/2019 vigente a la fecha de la solicitud, en el que solo se consideraban como públicas las fotografías de mandos medios y/o superiores.</w:t>
      </w:r>
    </w:p>
    <w:p w:rsidR="00D07455" w:rsidRDefault="00D07455">
      <w:pPr>
        <w:tabs>
          <w:tab w:val="left" w:pos="4962"/>
        </w:tabs>
        <w:spacing w:after="0" w:line="360" w:lineRule="auto"/>
        <w:rPr>
          <w:color w:val="000000"/>
        </w:rPr>
      </w:pPr>
    </w:p>
    <w:p w:rsidR="00D07455" w:rsidRDefault="00F53554">
      <w:pPr>
        <w:tabs>
          <w:tab w:val="left" w:pos="4962"/>
        </w:tabs>
        <w:spacing w:after="0" w:line="360" w:lineRule="auto"/>
        <w:rPr>
          <w:color w:val="000000"/>
        </w:rPr>
      </w:pPr>
      <w:r>
        <w:rPr>
          <w:color w:val="000000"/>
        </w:rPr>
        <w:t>Conforme a lo anterior, las fotografías de servidores públicos sin importar el nivel o rango guardan la naturaleza de públicas y no procede su clasificación, en términos del artículo 143, fracción I, de la Ley de Transparencia y Acceso a la Información Pública del Estado de México y Municipios.</w:t>
      </w:r>
    </w:p>
    <w:p w:rsidR="00D07455" w:rsidRDefault="00D07455">
      <w:pPr>
        <w:spacing w:after="0" w:line="360" w:lineRule="auto"/>
        <w:ind w:right="-93"/>
        <w:rPr>
          <w:b/>
          <w:bCs/>
          <w:color w:val="000000"/>
        </w:rPr>
      </w:pPr>
    </w:p>
    <w:p w:rsidR="00D07455" w:rsidRDefault="00F53554">
      <w:pPr>
        <w:numPr>
          <w:ilvl w:val="0"/>
          <w:numId w:val="7"/>
        </w:numPr>
        <w:spacing w:after="0" w:line="360" w:lineRule="auto"/>
        <w:ind w:right="-93"/>
        <w:rPr>
          <w:b/>
          <w:bCs/>
          <w:color w:val="000000"/>
        </w:rPr>
      </w:pPr>
      <w:r>
        <w:rPr>
          <w:b/>
          <w:bCs/>
          <w:color w:val="000000"/>
        </w:rPr>
        <w:t>Clave Única de Registro de Población (CURP)</w:t>
      </w:r>
    </w:p>
    <w:p w:rsidR="00D07455" w:rsidRDefault="00D07455">
      <w:pPr>
        <w:spacing w:after="0" w:line="360" w:lineRule="auto"/>
        <w:ind w:left="360" w:right="-93"/>
        <w:rPr>
          <w:b/>
          <w:bCs/>
          <w:color w:val="FF0000"/>
        </w:rPr>
      </w:pPr>
    </w:p>
    <w:p w:rsidR="00D07455" w:rsidRDefault="00F53554">
      <w:pPr>
        <w:spacing w:after="0" w:line="360" w:lineRule="auto"/>
        <w:rPr>
          <w:color w:val="000000"/>
        </w:rPr>
      </w:pPr>
      <w:r>
        <w:rPr>
          <w:color w:val="000000"/>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 xml:space="preserve">En ese orden de ideas, la Secretaría de Gobernación en las direcciones </w:t>
      </w:r>
      <w:hyperlink r:id="rId19">
        <w:r>
          <w:rPr>
            <w:color w:val="0563C1"/>
            <w:u w:val="single"/>
          </w:rPr>
          <w:t>https://consultas.curp.gob.mx/CurpSP/html/informacionecurpPS.html</w:t>
        </w:r>
      </w:hyperlink>
      <w:r>
        <w:rPr>
          <w:color w:val="000000"/>
        </w:rPr>
        <w:t xml:space="preserve"> y </w:t>
      </w:r>
      <w:hyperlink r:id="rId20">
        <w:r>
          <w:rPr>
            <w:color w:val="0563C1"/>
            <w:u w:val="single"/>
          </w:rPr>
          <w:t>https://www.gob.mx/segob/renapo/acciones-y-programas/clave-unica-de-registro-de-poblacion-curp-142226</w:t>
        </w:r>
      </w:hyperlink>
      <w:r>
        <w:rPr>
          <w:color w:val="000000"/>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Pr>
          <w:b/>
          <w:bCs/>
          <w:color w:val="000000"/>
        </w:rPr>
        <w:t>se generan a partir de los datos contenidos en el documento probatorio de la identidad</w:t>
      </w:r>
      <w:r>
        <w:rPr>
          <w:color w:val="000000"/>
        </w:rPr>
        <w:t xml:space="preserve"> </w:t>
      </w:r>
      <w:r>
        <w:rPr>
          <w:b/>
          <w:bCs/>
          <w:color w:val="000000"/>
        </w:rPr>
        <w:t xml:space="preserve">del interesado </w:t>
      </w:r>
      <w:r>
        <w:rPr>
          <w:color w:val="000000"/>
        </w:rPr>
        <w:t>(acta de nacimiento, carta de naturalización o documento migratorio) de la siguiente forma:</w:t>
      </w:r>
    </w:p>
    <w:p w:rsidR="00D07455" w:rsidRDefault="00D07455">
      <w:pPr>
        <w:spacing w:after="0" w:line="360" w:lineRule="auto"/>
        <w:rPr>
          <w:color w:val="000000"/>
        </w:rPr>
      </w:pPr>
    </w:p>
    <w:p w:rsidR="00D07455" w:rsidRDefault="00F53554">
      <w:pPr>
        <w:numPr>
          <w:ilvl w:val="0"/>
          <w:numId w:val="8"/>
        </w:numPr>
        <w:spacing w:after="0" w:line="360" w:lineRule="auto"/>
        <w:rPr>
          <w:color w:val="000000"/>
        </w:rPr>
      </w:pPr>
      <w:r>
        <w:rPr>
          <w:color w:val="000000"/>
        </w:rPr>
        <w:lastRenderedPageBreak/>
        <w:t>El primero y segundo apellidos, así como al nombre de pila;</w:t>
      </w:r>
    </w:p>
    <w:p w:rsidR="00D07455" w:rsidRDefault="00F53554">
      <w:pPr>
        <w:numPr>
          <w:ilvl w:val="0"/>
          <w:numId w:val="8"/>
        </w:numPr>
        <w:spacing w:after="0" w:line="360" w:lineRule="auto"/>
        <w:rPr>
          <w:color w:val="000000"/>
        </w:rPr>
      </w:pPr>
      <w:r>
        <w:rPr>
          <w:color w:val="000000"/>
        </w:rPr>
        <w:t>La fecha de nacimiento;</w:t>
      </w:r>
    </w:p>
    <w:p w:rsidR="00D07455" w:rsidRDefault="00F53554">
      <w:pPr>
        <w:numPr>
          <w:ilvl w:val="0"/>
          <w:numId w:val="8"/>
        </w:numPr>
        <w:spacing w:after="0" w:line="360" w:lineRule="auto"/>
        <w:rPr>
          <w:color w:val="000000"/>
        </w:rPr>
      </w:pPr>
      <w:r>
        <w:rPr>
          <w:color w:val="000000"/>
        </w:rPr>
        <w:t>El sexo, y</w:t>
      </w:r>
    </w:p>
    <w:p w:rsidR="00D07455" w:rsidRDefault="00F53554">
      <w:pPr>
        <w:numPr>
          <w:ilvl w:val="0"/>
          <w:numId w:val="8"/>
        </w:numPr>
        <w:spacing w:after="0" w:line="360" w:lineRule="auto"/>
        <w:rPr>
          <w:color w:val="000000"/>
        </w:rPr>
      </w:pPr>
      <w:r>
        <w:rPr>
          <w:color w:val="000000"/>
        </w:rPr>
        <w:t>La entidad federativa de nacimiento.</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Los dos últimos elementos de la Clave Única de Registro de Población evitan la duplicidad de la Clave y garantizan su correcta integración.</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Situación que se robustece, con el Criterio Orientador, de la Segunda Época, con número de registro SO/018/2017, emitido por el entonces Instituto Nacional de Transparencia, Acceso a la Información y Protección de Datos Personales, vigente a la fecha de presentación de la solicitud, que establece lo siguiente:</w:t>
      </w:r>
    </w:p>
    <w:p w:rsidR="00D07455" w:rsidRDefault="00D07455">
      <w:pPr>
        <w:spacing w:after="0" w:line="360" w:lineRule="auto"/>
        <w:ind w:left="567" w:right="567"/>
        <w:rPr>
          <w:color w:val="000000"/>
          <w:sz w:val="20"/>
          <w:szCs w:val="20"/>
        </w:rPr>
      </w:pPr>
    </w:p>
    <w:p w:rsidR="00D07455" w:rsidRDefault="00F53554">
      <w:pPr>
        <w:spacing w:after="0" w:line="360" w:lineRule="auto"/>
        <w:ind w:left="567" w:right="567"/>
        <w:rPr>
          <w:i/>
          <w:iCs/>
          <w:color w:val="000000"/>
          <w:sz w:val="20"/>
          <w:szCs w:val="20"/>
        </w:rPr>
      </w:pPr>
      <w:r>
        <w:rPr>
          <w:b/>
          <w:bCs/>
          <w:i/>
          <w:iCs/>
          <w:color w:val="000000"/>
          <w:sz w:val="20"/>
          <w:szCs w:val="20"/>
        </w:rPr>
        <w:t xml:space="preserve">“Clave Única de Registro de Población (CURP). </w:t>
      </w:r>
      <w:r>
        <w:rPr>
          <w:i/>
          <w:iCs/>
          <w:color w:val="000000"/>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lastRenderedPageBreak/>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rsidR="00D07455" w:rsidRDefault="00D07455">
      <w:pPr>
        <w:spacing w:after="0" w:line="360" w:lineRule="auto"/>
        <w:ind w:right="-93"/>
      </w:pPr>
    </w:p>
    <w:p w:rsidR="00D07455" w:rsidRDefault="00F53554">
      <w:pPr>
        <w:numPr>
          <w:ilvl w:val="0"/>
          <w:numId w:val="7"/>
        </w:numPr>
        <w:spacing w:after="0" w:line="360" w:lineRule="auto"/>
        <w:rPr>
          <w:b/>
          <w:bCs/>
          <w:color w:val="000000"/>
        </w:rPr>
      </w:pPr>
      <w:r>
        <w:rPr>
          <w:b/>
          <w:bCs/>
          <w:color w:val="000000"/>
        </w:rPr>
        <w:t>Matrícula o número de cuenta, de expediente o de control</w:t>
      </w:r>
    </w:p>
    <w:p w:rsidR="00D07455" w:rsidRDefault="00D07455">
      <w:pPr>
        <w:spacing w:after="0" w:line="360" w:lineRule="auto"/>
        <w:rPr>
          <w:b/>
          <w:bCs/>
          <w:color w:val="000000"/>
        </w:rPr>
      </w:pPr>
    </w:p>
    <w:p w:rsidR="00D07455" w:rsidRDefault="00F53554">
      <w:pPr>
        <w:spacing w:after="0" w:line="360" w:lineRule="auto"/>
        <w:rPr>
          <w:color w:val="000000"/>
        </w:rPr>
      </w:pPr>
      <w:r>
        <w:rPr>
          <w:color w:val="000000"/>
        </w:rPr>
        <w:t>Por lo que hace a la matrícula, corresponde a un medio de identificación dentro de una institución educativa o bien, en una materia o asignatura en específico, por lo que, solo le atañe a la Institución Escolar y alumno dicha información, al ser datos meramente administrativos y académicos; además, que pudieran hacer identificables a los estudiantes, con la vinculación de otros datos.</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De tales circunstancias, se considera que el dato en comento es información confidencial lo cual atañe únicamente a los alumnos y a la institución educativa, por lo que, es clasificado en términos del artículo 143, fracción I de la Ley de la materia.</w:t>
      </w:r>
    </w:p>
    <w:p w:rsidR="00D07455" w:rsidRDefault="00D07455">
      <w:pPr>
        <w:spacing w:after="0" w:line="360" w:lineRule="auto"/>
        <w:rPr>
          <w:color w:val="000000"/>
        </w:rPr>
      </w:pPr>
    </w:p>
    <w:p w:rsidR="00D07455" w:rsidRDefault="00F53554">
      <w:pPr>
        <w:numPr>
          <w:ilvl w:val="0"/>
          <w:numId w:val="7"/>
        </w:numPr>
        <w:spacing w:after="0" w:line="360" w:lineRule="auto"/>
        <w:rPr>
          <w:b/>
          <w:bCs/>
          <w:color w:val="000000"/>
        </w:rPr>
      </w:pPr>
      <w:r>
        <w:rPr>
          <w:b/>
          <w:bCs/>
          <w:color w:val="000000"/>
        </w:rPr>
        <w:t>Datos de institución educativa, número de acuerdo de reconocimiento de validez oficial de estudios, clave de carrera, plan de estudios, denominación, campus o plantel, materias cursadas, fechas, folios, lugar de expedición, entre otros</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 xml:space="preserve">Al respecto, sobre dichos datos, este Instituto no advierte de que forma, darlos a conocer puede afectar a la intimidad o privacidad del servidor público, pues al contrario, abonan a la transparencia, pues los datos le dan validez al documento, al conocer cuando curso el grado de estudios, ante que Institución, si tiene validez oficial ante la institución de educación competente y los folios que permiten tener un registro de su expedición; además que permite </w:t>
      </w:r>
      <w:r>
        <w:rPr>
          <w:color w:val="000000"/>
        </w:rPr>
        <w:lastRenderedPageBreak/>
        <w:t>identificar y robustecer el grado conocimientos con los que cuenta el servidor público, al conocer las materias que curso y el plan de estudios.</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Por lo que, los datos concernientes a la institución educativa, número de acuerdo de reconocimiento de validez oficial de estudios, clave de carrera, plan de estudios, denominación, campus o plantel, materias cursadas, fechas, folios, lugar de expedición u homólogos, no actualizan la causal de clasificación establecida en el artículo 143, fracción I, de la Ley de Transparencia y Acceso a la Información Pública del Estado de México y Municipios.</w:t>
      </w:r>
    </w:p>
    <w:p w:rsidR="00D07455" w:rsidRDefault="00D07455">
      <w:pPr>
        <w:spacing w:after="0" w:line="360" w:lineRule="auto"/>
        <w:rPr>
          <w:color w:val="000000"/>
        </w:rPr>
      </w:pPr>
    </w:p>
    <w:p w:rsidR="00D07455" w:rsidRDefault="00F53554">
      <w:pPr>
        <w:numPr>
          <w:ilvl w:val="0"/>
          <w:numId w:val="7"/>
        </w:numPr>
        <w:spacing w:after="0" w:line="360" w:lineRule="auto"/>
        <w:rPr>
          <w:b/>
          <w:bCs/>
          <w:color w:val="000000"/>
        </w:rPr>
      </w:pPr>
      <w:r>
        <w:rPr>
          <w:b/>
          <w:bCs/>
          <w:color w:val="000000"/>
        </w:rPr>
        <w:t>Calificaciones, créditos y promedio</w:t>
      </w:r>
    </w:p>
    <w:p w:rsidR="00D07455" w:rsidRDefault="00D07455">
      <w:pPr>
        <w:spacing w:after="0" w:line="360" w:lineRule="auto"/>
        <w:rPr>
          <w:b/>
          <w:bCs/>
          <w:color w:val="000000"/>
        </w:rPr>
      </w:pPr>
    </w:p>
    <w:p w:rsidR="00D07455" w:rsidRDefault="00F53554">
      <w:pPr>
        <w:spacing w:after="0" w:line="360" w:lineRule="auto"/>
        <w:rPr>
          <w:color w:val="000000"/>
        </w:rPr>
      </w:pPr>
      <w:r>
        <w:rPr>
          <w:color w:val="000000"/>
        </w:rPr>
        <w:t>Por lo que hace a la calificación, cabe precisar que dicho dato da cuenta del grado de conocimientos adquiridos, en una materia o durante el desarrollo escolar, los cuales únicamente corresponden únicamente a cuestiones relacionadas con el ámbito privado de las personas, al dar cuenta del desempeño de los alumnos durante el curso de las diversas carreras con las que cuenta el Sujeto Obligado.</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 xml:space="preserve">En ese contexto, se trae a colación la tesis aislada número 2a. LXIII/2008, emitida por la Segunda Sala de la Suprema Corte de Justicia de la Nación, publicada en la Gaceta del Semanario Judicial de la Federación, Tomo XXVII, de mayo de 2008, página 229, de la Novena Época, materia constitucional, que prevé la garantía de seguridad jurídica de los individuos a no ser molestados en su persona, familia, papeles o posesiones, salvo cuando medie mandato de autoridad competente debidamente fundado y motivado, de lo que deriva la inviolabilidad del domicilio, y cuya finalidad primordial es el respeto a un ámbito de la vida privada personal y familiar que debe quedar excluido del conocimiento ajeno y de las </w:t>
      </w:r>
      <w:r>
        <w:rPr>
          <w:color w:val="000000"/>
        </w:rPr>
        <w:lastRenderedPageBreak/>
        <w:t>intromisiones de los demás, con la limitante prevista en la Constitución Política de los Estados Unidos Mexicanos.</w:t>
      </w:r>
    </w:p>
    <w:p w:rsidR="00D07455" w:rsidRDefault="00D07455">
      <w:pPr>
        <w:spacing w:after="0" w:line="360" w:lineRule="auto"/>
        <w:rPr>
          <w:color w:val="000000"/>
        </w:rPr>
      </w:pPr>
    </w:p>
    <w:p w:rsidR="00D07455" w:rsidRDefault="00F53554">
      <w:pPr>
        <w:spacing w:after="0" w:line="360" w:lineRule="auto"/>
        <w:rPr>
          <w:b/>
          <w:bCs/>
          <w:color w:val="000000"/>
        </w:rPr>
      </w:pPr>
      <w:r>
        <w:rPr>
          <w:color w:val="000000"/>
        </w:rPr>
        <w:t xml:space="preserve">En atención con lo anterior, se considera que </w:t>
      </w:r>
      <w:r>
        <w:rPr>
          <w:b/>
          <w:bCs/>
          <w:color w:val="000000"/>
        </w:rPr>
        <w:t>las calificaciones obtenidas</w:t>
      </w:r>
      <w:r>
        <w:rPr>
          <w:color w:val="000000"/>
        </w:rPr>
        <w:t xml:space="preserve"> por un servidor público, es información íntima de los alumnos, pues corresponde a su desempeño escolar, lo cual únicamente atañe a estos, por lo que </w:t>
      </w:r>
      <w:r>
        <w:rPr>
          <w:b/>
          <w:bCs/>
          <w:color w:val="000000"/>
        </w:rPr>
        <w:t>se considera que es un dato confidencial.</w:t>
      </w:r>
    </w:p>
    <w:p w:rsidR="00D07455" w:rsidRDefault="00D07455">
      <w:pPr>
        <w:spacing w:after="0" w:line="360" w:lineRule="auto"/>
        <w:rPr>
          <w:b/>
          <w:bCs/>
          <w:color w:val="000000"/>
        </w:rPr>
      </w:pPr>
    </w:p>
    <w:p w:rsidR="00D07455" w:rsidRDefault="00F53554">
      <w:pPr>
        <w:spacing w:after="0" w:line="360" w:lineRule="auto"/>
        <w:rPr>
          <w:color w:val="000000"/>
        </w:rPr>
      </w:pPr>
      <w:r>
        <w:rPr>
          <w:color w:val="000000"/>
        </w:rPr>
        <w:t>Ahora bien, por lo que hace a los créditos, en la página de la Secretaría de Educación Pública (consultado el quince de mayo de dos mil veinticuatro, a través del vínculo electrónico https://www.dgespe.sep.gob.mx/reforma_curricular/planes/lepree/creditos), establece que los créditos académicos es una unidad de medida del trabajo que realiza el estudiante y cuantifica las actividades de aprendizaje consideradas en los planes de estudio; además, representa un valor para realizar intercambios, con otras instituciones de Educación Superior.</w:t>
      </w:r>
    </w:p>
    <w:p w:rsidR="00D07455" w:rsidRDefault="00D07455">
      <w:pPr>
        <w:spacing w:after="0" w:line="360" w:lineRule="auto"/>
        <w:rPr>
          <w:b/>
          <w:bCs/>
          <w:color w:val="000000"/>
        </w:rPr>
      </w:pPr>
    </w:p>
    <w:p w:rsidR="00D07455" w:rsidRDefault="00F53554">
      <w:pPr>
        <w:spacing w:after="0" w:line="360" w:lineRule="auto"/>
        <w:rPr>
          <w:color w:val="000000"/>
        </w:rPr>
      </w:pPr>
      <w:r>
        <w:rPr>
          <w:color w:val="000000"/>
        </w:rPr>
        <w:t>En ese orden de ideas, el documento denominado Sistema de Asignación y Transferencia de Créditos Académico, de la Secretaría de Educación Pública (consultados el quince de mayo de dos mil veinticinco, en la liga http://ces.cs.buap.mx/SATCA.pdf), establece que el sistema de créditos permite:</w:t>
      </w:r>
    </w:p>
    <w:p w:rsidR="00D07455" w:rsidRDefault="00D07455">
      <w:pPr>
        <w:spacing w:after="0" w:line="360" w:lineRule="auto"/>
        <w:rPr>
          <w:color w:val="000000"/>
        </w:rPr>
      </w:pPr>
    </w:p>
    <w:p w:rsidR="00D07455" w:rsidRDefault="00F53554">
      <w:pPr>
        <w:numPr>
          <w:ilvl w:val="0"/>
          <w:numId w:val="10"/>
        </w:numPr>
        <w:spacing w:after="0" w:line="360" w:lineRule="auto"/>
        <w:rPr>
          <w:color w:val="000000"/>
        </w:rPr>
      </w:pPr>
      <w:r>
        <w:rPr>
          <w:color w:val="000000"/>
        </w:rPr>
        <w:t xml:space="preserve">Acreditar lo que un estudiante aprende, independiente de los ciclos escolares, etapas formativas, grados y lugar; </w:t>
      </w:r>
    </w:p>
    <w:p w:rsidR="00D07455" w:rsidRDefault="00F53554">
      <w:pPr>
        <w:numPr>
          <w:ilvl w:val="0"/>
          <w:numId w:val="10"/>
        </w:numPr>
        <w:spacing w:after="0" w:line="360" w:lineRule="auto"/>
        <w:rPr>
          <w:color w:val="000000"/>
        </w:rPr>
      </w:pPr>
      <w:r>
        <w:rPr>
          <w:color w:val="000000"/>
        </w:rPr>
        <w:t xml:space="preserve">Acreditar aprendizajes situados en ambientes reales y </w:t>
      </w:r>
      <w:proofErr w:type="spellStart"/>
      <w:r>
        <w:rPr>
          <w:color w:val="000000"/>
        </w:rPr>
        <w:t>transdisciplinarios</w:t>
      </w:r>
      <w:proofErr w:type="spellEnd"/>
      <w:r>
        <w:rPr>
          <w:color w:val="000000"/>
        </w:rPr>
        <w:t xml:space="preserve">, y </w:t>
      </w:r>
    </w:p>
    <w:p w:rsidR="00D07455" w:rsidRDefault="00F53554">
      <w:pPr>
        <w:numPr>
          <w:ilvl w:val="0"/>
          <w:numId w:val="10"/>
        </w:numPr>
        <w:spacing w:after="0" w:line="360" w:lineRule="auto"/>
        <w:rPr>
          <w:b/>
          <w:bCs/>
          <w:color w:val="000000"/>
        </w:rPr>
      </w:pPr>
      <w:r>
        <w:rPr>
          <w:color w:val="000000"/>
        </w:rPr>
        <w:t>Evaluar los avances del aprendizaje de suma de créditos.</w:t>
      </w:r>
    </w:p>
    <w:p w:rsidR="00D07455" w:rsidRDefault="00D07455">
      <w:pPr>
        <w:spacing w:after="0" w:line="360" w:lineRule="auto"/>
        <w:rPr>
          <w:b/>
          <w:bCs/>
          <w:color w:val="000000"/>
        </w:rPr>
      </w:pPr>
    </w:p>
    <w:p w:rsidR="00D07455" w:rsidRDefault="00F53554">
      <w:pPr>
        <w:spacing w:after="0" w:line="360" w:lineRule="auto"/>
        <w:rPr>
          <w:color w:val="000000"/>
        </w:rPr>
      </w:pPr>
      <w:r>
        <w:rPr>
          <w:color w:val="000000"/>
        </w:rPr>
        <w:lastRenderedPageBreak/>
        <w:t>Como se logra observar, los créditos dan cuenta de los aprendizajes que ha obtenido el estudiante; sin embargo, al cubrir la totalidad de los créditos, se transparenta que la persona culminó los estudios por los cuales se le expide el documento o certificado, por lo que, de ninguna manera se considera información confidencial.</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Finalmente, el promedio es la suma de las calificaciones y créditos, respectivamente que obtuvo una persona, durante un determinado curso, carrera, entre otros, por lo que, refleja el grado de conocimientos adquiridos durante el desarrollo escolar, lo cual, corresponde a una cuestión privada del servidor público.</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En ese contexto, toda vez que las calificaciones y promedios obtenidos, dan cuenta del desempeño obtenido dentro de una asignatura, lo cual, únicamente concierne a la vida íntima de este y forma parte de su vida privada; al respecto cabe señalar lo previsto en la tesis aislada número 1a. CCXIV/2009, emitida por la Primera Sala de la Suprema Corte de Justicia de la Nación, publicada en la Gaceta del Semanario Judicial de la Federación, Tomo XXX, de diciembre de 2009, página 277, de la Novena Época, materia constitucional, que establece lo siguiente:</w:t>
      </w:r>
    </w:p>
    <w:p w:rsidR="00D07455" w:rsidRDefault="00D07455">
      <w:pPr>
        <w:spacing w:after="0" w:line="360" w:lineRule="auto"/>
        <w:rPr>
          <w:color w:val="000000"/>
        </w:rPr>
      </w:pPr>
    </w:p>
    <w:p w:rsidR="00D07455" w:rsidRDefault="00F53554">
      <w:pPr>
        <w:spacing w:after="0" w:line="360" w:lineRule="auto"/>
        <w:ind w:left="567" w:right="567"/>
        <w:rPr>
          <w:i/>
          <w:iCs/>
          <w:color w:val="000000"/>
        </w:rPr>
      </w:pPr>
      <w:r>
        <w:rPr>
          <w:b/>
          <w:bCs/>
          <w:i/>
          <w:iCs/>
          <w:color w:val="000000"/>
        </w:rPr>
        <w:t xml:space="preserve">“DERECHO A LA VIDA PRIVADA. SU CONTENIDO GENERAL Y LA IMPORTANCIA DE NO DESCONTEXTUALIZAR LAS REFERENCIAS A LA MISMA. </w:t>
      </w:r>
      <w:r>
        <w:rPr>
          <w:i/>
          <w:iCs/>
          <w:color w:val="000000"/>
        </w:rPr>
        <w:t xml:space="preserve">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w:t>
      </w:r>
      <w:r>
        <w:rPr>
          <w:i/>
          <w:iCs/>
          <w:color w:val="000000"/>
        </w:rPr>
        <w:lastRenderedPageBreak/>
        <w:t xml:space="preserve">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 A un nivel más concreto, la misma idea puede describirse apelando al derecho de las personas a mantener fuera del conocimiento de los demás (o, a veces, dentro del círculo de sus personas más próximas) ciertas manifestaciones o dimensiones de su </w:t>
      </w:r>
      <w:r>
        <w:rPr>
          <w:i/>
          <w:iCs/>
          <w:color w:val="000000"/>
        </w:rPr>
        <w:lastRenderedPageBreak/>
        <w:t>existencia (conducta, datos, información, objetos) y al correspondiente derecho a que los demás no las invadan sin su consentimiento. En un sentido amplio, entonces, la protección constitucional de la vida privada implica poder conducir parte de la vida de uno protegido de la mirada y las injerencias de los demás,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 xml:space="preserve">De conformidad con lo señalado, se colige que </w:t>
      </w:r>
      <w:r>
        <w:rPr>
          <w:b/>
          <w:bCs/>
          <w:color w:val="000000"/>
        </w:rPr>
        <w:t>las actividades que realicen los particulares, dentro del ámbito privado, o dentro de la esfera particular, es información que debe protegerse.</w:t>
      </w:r>
      <w:r>
        <w:rPr>
          <w:color w:val="000000"/>
        </w:rPr>
        <w:t xml:space="preserve"> Conforme a lo anterior y lo expuesto, se advierte que el desempeño escolar de una persona, es información íntima de este, lo cual concierne también a su vida privada; por lo cual, se considera que las </w:t>
      </w:r>
      <w:r>
        <w:rPr>
          <w:b/>
          <w:bCs/>
          <w:color w:val="000000"/>
          <w:u w:val="single"/>
        </w:rPr>
        <w:t>calificaciones y promedio, son confidenciales</w:t>
      </w:r>
      <w:r>
        <w:rPr>
          <w:color w:val="000000"/>
        </w:rPr>
        <w:t>, en términos del artículo 143, fracción I, de la Ley de Transparencia y Acceso a la Información Pública del Estado de México y Municipios, más no así la totalidad de los créditos obtenidos.</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 xml:space="preserve">Conforme a lo expuesto, El Sujeto Obligado deberá hacer entrega del acuerdo Emitido por el Comité de Transparencia por medio del cual clasificó, la firma, CURP, número de cuenta, calificaciones y promedio general, de los títulos, cédulas y comprobantes de estudios, entregados en respuesta. </w:t>
      </w:r>
    </w:p>
    <w:p w:rsidR="00D07455" w:rsidRDefault="00D07455">
      <w:pPr>
        <w:spacing w:after="0" w:line="360" w:lineRule="auto"/>
        <w:rPr>
          <w:color w:val="000000"/>
        </w:rPr>
      </w:pPr>
    </w:p>
    <w:p w:rsidR="00D07455" w:rsidRDefault="00F53554">
      <w:pPr>
        <w:spacing w:after="0" w:line="360" w:lineRule="auto"/>
        <w:rPr>
          <w:b/>
          <w:bCs/>
          <w:color w:val="000000"/>
        </w:rPr>
      </w:pPr>
      <w:r>
        <w:rPr>
          <w:b/>
          <w:bCs/>
          <w:color w:val="000000"/>
        </w:rPr>
        <w:t>2. Comprobante del último pago y comprobante del depósito en la cuenta bancaria correspondiente o transferencia electrónica</w:t>
      </w:r>
    </w:p>
    <w:p w:rsidR="00D07455" w:rsidRDefault="00D07455">
      <w:pPr>
        <w:spacing w:after="0" w:line="360" w:lineRule="auto"/>
        <w:rPr>
          <w:color w:val="000000"/>
        </w:rPr>
      </w:pPr>
    </w:p>
    <w:p w:rsidR="00D07455" w:rsidRDefault="00F53554">
      <w:pPr>
        <w:spacing w:after="0" w:line="360" w:lineRule="auto"/>
        <w:ind w:right="-28"/>
        <w:rPr>
          <w:b/>
          <w:bCs/>
          <w:color w:val="000000"/>
        </w:rPr>
      </w:pPr>
      <w:r>
        <w:rPr>
          <w:color w:val="000000"/>
        </w:rPr>
        <w:t>En principio, cabe precisar que la persona Recurrente no es experta en la materia, por lo que se logra vislumbrar que su pretensión es acceder al último recibo de nómina pagado. Al respecto, es necesario traer a colación la Guía Técnica 9 “La Administración del Personal Municipal”, que establece que son servidores públicos, son todas aquellas personas que prestan su trabajo al servicio del municipio, conformado por las autoridades (Presidente Municipal, Síndico, Regidores, Comisarios, Delegados y Agentes Municipales), funcionarios (Secretario del Ayuntamiento, Directores, Tesoreros, Contralores y Jefes de Departamento) y empleados (puestos administrativos y técnicos).</w:t>
      </w:r>
    </w:p>
    <w:p w:rsidR="00D07455" w:rsidRDefault="00D07455">
      <w:pPr>
        <w:spacing w:after="0" w:line="360" w:lineRule="auto"/>
        <w:ind w:right="-28"/>
        <w:rPr>
          <w:b/>
          <w:bCs/>
          <w:color w:val="000000"/>
        </w:rPr>
      </w:pPr>
    </w:p>
    <w:p w:rsidR="00D07455" w:rsidRDefault="00F53554">
      <w:pPr>
        <w:spacing w:after="0" w:line="360" w:lineRule="auto"/>
        <w:rPr>
          <w:color w:val="000000"/>
        </w:rPr>
      </w:pPr>
      <w:r>
        <w:rPr>
          <w:color w:val="000000"/>
        </w:rPr>
        <w:t>En ese orden de ideas, el primer párrafo, del artículo 108 de la Constitución Política de los Estados Unidos Mexicanos, establece que, en materia de responsabilidades, serán servidores públicos, los representantes de elección popular, los funcionarios y empleados y, en general, a toda persona que desempeñe un empleo, cargo o comisión de cualquier naturaleza dentro de la Administración Pública. De la misma manera, el artículo 130 de la Constitución Política del Estado Libre y Soberano de México, precisa que son servidores públicos a todas las personas que desempeñen un empleo, cargo o comisión en los Municipios.</w:t>
      </w:r>
    </w:p>
    <w:p w:rsidR="00D07455" w:rsidRDefault="00D07455">
      <w:pPr>
        <w:widowControl w:val="0"/>
        <w:spacing w:after="0" w:line="360" w:lineRule="auto"/>
        <w:rPr>
          <w:color w:val="000000"/>
        </w:rPr>
      </w:pPr>
    </w:p>
    <w:p w:rsidR="00D07455" w:rsidRDefault="00F53554">
      <w:pPr>
        <w:spacing w:after="0" w:line="360" w:lineRule="auto"/>
        <w:ind w:right="-28"/>
        <w:rPr>
          <w:color w:val="000000"/>
        </w:rPr>
      </w:pPr>
      <w:r>
        <w:rPr>
          <w:color w:val="000000"/>
        </w:rPr>
        <w:t xml:space="preserve">Además, el artículo 4°, fracción VI, de la Ley del Trabajo de los servidores públicos del Estado y Municipios, precisa que son </w:t>
      </w:r>
      <w:r>
        <w:rPr>
          <w:b/>
          <w:bCs/>
          <w:color w:val="000000"/>
        </w:rPr>
        <w:t>servidores públicos</w:t>
      </w:r>
      <w:r>
        <w:rPr>
          <w:color w:val="000000"/>
        </w:rPr>
        <w:t>, todas las personas físicas que presten a una institución pública un trabajo personal subordinado, mediante el pago de un sueldo.</w:t>
      </w:r>
    </w:p>
    <w:p w:rsidR="00D07455" w:rsidRDefault="00D07455">
      <w:pPr>
        <w:spacing w:after="0" w:line="360" w:lineRule="auto"/>
        <w:ind w:right="-28"/>
        <w:rPr>
          <w:color w:val="000000"/>
        </w:rPr>
      </w:pPr>
    </w:p>
    <w:p w:rsidR="00D07455" w:rsidRDefault="00F53554">
      <w:pPr>
        <w:spacing w:after="0" w:line="360" w:lineRule="auto"/>
        <w:rPr>
          <w:color w:val="000000"/>
        </w:rPr>
      </w:pPr>
      <w:r>
        <w:rPr>
          <w:color w:val="000000"/>
        </w:rPr>
        <w:lastRenderedPageBreak/>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Da la misma manera, el Anexo IV.5 Glosario de Términos, del Manual para la Planeación, Programación y Presupuesto de Egresos Municipal para el ejercicio fiscal dos mil veintitrés, establece que la remuneración es la percepción de un trabajador o retribución monetaria que se da en pago por su servicio o actividad desarrollada.</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En ese contexto, el artículo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rsidR="00D07455" w:rsidRDefault="00D07455">
      <w:pPr>
        <w:widowControl w:val="0"/>
        <w:spacing w:after="0" w:line="360" w:lineRule="auto"/>
        <w:rPr>
          <w:color w:val="000000"/>
        </w:rPr>
      </w:pPr>
    </w:p>
    <w:p w:rsidR="00D07455" w:rsidRDefault="00F53554">
      <w:pPr>
        <w:spacing w:after="0" w:line="360" w:lineRule="auto"/>
        <w:rPr>
          <w:b/>
          <w:bCs/>
          <w:color w:val="000000"/>
        </w:rPr>
      </w:pPr>
      <w:r>
        <w:rPr>
          <w:color w:val="000000"/>
        </w:rPr>
        <w:t xml:space="preserve">Además, el Anexo IV.2 Clasificación por objeto del gasto, del Manual para la Planeación, Programación y Presupuesto de Egresos Municipal para el ejercicio fiscal dos mil veinticuatro, establece que los Presupuestos de Egresos Municipales, se tendrán que generar, conforme al “Clasificador por Objeto del Gasto”, el cual se conforma de diversos capítulos, entre los cuales, se encuentra el </w:t>
      </w:r>
      <w:r>
        <w:rPr>
          <w:b/>
          <w:bCs/>
          <w:color w:val="000000"/>
        </w:rPr>
        <w:t>1000 Servicios Personales</w:t>
      </w:r>
      <w:r>
        <w:rPr>
          <w:color w:val="000000"/>
        </w:rPr>
        <w:t>,</w:t>
      </w:r>
      <w:r>
        <w:rPr>
          <w:b/>
          <w:bCs/>
          <w:color w:val="000000"/>
        </w:rPr>
        <w:t xml:space="preserve"> que agrupa las remuneraciones del personal al servicio de los entes públicos, tales como el sueldo, salarios, dietas, honorarios, prestaciones, aguinaldo, obligaciones laborales, entre otras.</w:t>
      </w:r>
    </w:p>
    <w:p w:rsidR="00D07455" w:rsidRDefault="00D07455">
      <w:pPr>
        <w:spacing w:after="0" w:line="360" w:lineRule="auto"/>
        <w:rPr>
          <w:b/>
          <w:bCs/>
          <w:color w:val="000000"/>
        </w:rPr>
      </w:pPr>
    </w:p>
    <w:p w:rsidR="00D07455" w:rsidRDefault="00F53554">
      <w:pPr>
        <w:spacing w:after="0" w:line="360" w:lineRule="auto"/>
        <w:rPr>
          <w:color w:val="000000"/>
        </w:rPr>
      </w:pPr>
      <w:r>
        <w:rPr>
          <w:color w:val="000000"/>
        </w:rPr>
        <w:lastRenderedPageBreak/>
        <w:t xml:space="preserve">Ahora bien, respecto de los recibos de nómina, la Ley del Trabajo de los Servidores Públicos del Estado y Municipios, en su artículo 220 K, fracciones II y IV, establece los documentos que tiene la obligación de conservar el Sujeto Obligado, entre los que se encuentra los </w:t>
      </w:r>
      <w:r>
        <w:rPr>
          <w:b/>
          <w:bCs/>
          <w:color w:val="000000"/>
        </w:rPr>
        <w:t>recibos de pago de salarios o las</w:t>
      </w:r>
      <w:r>
        <w:rPr>
          <w:color w:val="000000"/>
        </w:rPr>
        <w:t xml:space="preserve"> </w:t>
      </w:r>
      <w:r>
        <w:rPr>
          <w:b/>
          <w:bCs/>
          <w:color w:val="000000"/>
        </w:rPr>
        <w:t xml:space="preserve">constancias documentales del pago de sueldos, </w:t>
      </w:r>
      <w:r>
        <w:rPr>
          <w:color w:val="000000"/>
        </w:rPr>
        <w:t xml:space="preserve">cuando sea por depósito o mediante información electrónica; así como los recibos o constancias de depósito o del medio de información magnética o electrónica que sean utilizadas para el pago de salarios, prima vacacional, aguinaldo y demás prestaciones. </w:t>
      </w:r>
    </w:p>
    <w:p w:rsidR="00D07455" w:rsidRDefault="00D07455">
      <w:pPr>
        <w:spacing w:after="0" w:line="360" w:lineRule="auto"/>
        <w:ind w:right="-28"/>
        <w:rPr>
          <w:color w:val="000000"/>
        </w:rPr>
      </w:pPr>
    </w:p>
    <w:p w:rsidR="00D07455" w:rsidRDefault="00F53554">
      <w:pPr>
        <w:spacing w:after="0" w:line="360" w:lineRule="auto"/>
        <w:rPr>
          <w:color w:val="000000"/>
        </w:rPr>
      </w:pPr>
      <w:r>
        <w:rPr>
          <w:color w:val="000000"/>
        </w:rPr>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rsidR="00D07455" w:rsidRDefault="00D07455">
      <w:pPr>
        <w:spacing w:after="0" w:line="360" w:lineRule="auto"/>
        <w:rPr>
          <w:color w:val="000000"/>
        </w:rPr>
      </w:pPr>
    </w:p>
    <w:p w:rsidR="00D07455" w:rsidRDefault="00F53554">
      <w:pPr>
        <w:spacing w:after="0" w:line="360" w:lineRule="auto"/>
        <w:ind w:left="567" w:right="567"/>
        <w:rPr>
          <w:i/>
          <w:iCs/>
          <w:color w:val="000000"/>
          <w:sz w:val="20"/>
          <w:szCs w:val="20"/>
        </w:rPr>
      </w:pPr>
      <w:r>
        <w:rPr>
          <w:b/>
          <w:bCs/>
          <w:i/>
          <w:iCs/>
          <w:color w:val="000000"/>
          <w:sz w:val="20"/>
          <w:szCs w:val="20"/>
        </w:rPr>
        <w:t>“RECIBOS DE PAGO</w:t>
      </w:r>
      <w:r>
        <w:rPr>
          <w:i/>
          <w:iCs/>
          <w:color w:val="000000"/>
          <w:sz w:val="20"/>
          <w:szCs w:val="20"/>
        </w:rPr>
        <w:t xml:space="preserve"> </w:t>
      </w:r>
      <w:r>
        <w:rPr>
          <w:b/>
          <w:bCs/>
          <w:i/>
          <w:iCs/>
          <w:color w:val="000000"/>
          <w:sz w:val="20"/>
          <w:szCs w:val="20"/>
        </w:rPr>
        <w:t xml:space="preserve">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 </w:t>
      </w:r>
      <w:r>
        <w:rPr>
          <w:i/>
          <w:iCs/>
          <w:color w:val="000000"/>
          <w:sz w:val="20"/>
          <w:szCs w:val="20"/>
        </w:rPr>
        <w:t>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rsidR="00D07455" w:rsidRDefault="00D07455">
      <w:pPr>
        <w:spacing w:after="0" w:line="360" w:lineRule="auto"/>
        <w:rPr>
          <w:b/>
          <w:bCs/>
          <w:i/>
          <w:iCs/>
          <w:color w:val="000000"/>
        </w:rPr>
      </w:pPr>
    </w:p>
    <w:p w:rsidR="00D07455" w:rsidRDefault="00F53554">
      <w:pPr>
        <w:spacing w:after="0" w:line="360" w:lineRule="auto"/>
        <w:rPr>
          <w:color w:val="000000"/>
        </w:rPr>
      </w:pPr>
      <w:r>
        <w:rPr>
          <w:color w:val="000000"/>
        </w:rPr>
        <w:lastRenderedPageBreak/>
        <w:t xml:space="preserve">De la tesis transcrita, se desprende que </w:t>
      </w:r>
      <w:r>
        <w:rPr>
          <w:b/>
          <w:bCs/>
          <w:color w:val="000000"/>
        </w:rPr>
        <w:t>en materia burocrática</w:t>
      </w:r>
      <w:r>
        <w:rPr>
          <w:color w:val="000000"/>
        </w:rPr>
        <w:t xml:space="preserve"> </w:t>
      </w:r>
      <w:r>
        <w:rPr>
          <w:b/>
          <w:bCs/>
          <w:color w:val="000000"/>
        </w:rPr>
        <w:t>los recibos de pago acreditan los conceptos y montos que en ellos se insertan</w:t>
      </w:r>
      <w:r>
        <w:rPr>
          <w:color w:val="000000"/>
        </w:rPr>
        <w:t>, y constituyen prueba para demostrar las percepciones y montos que reciben los servidores públicos.</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Ahora bien, respecto al comprobante de depósito o mediante transferencia, el artículo 32, párrafo segundo, de la Ley de Fiscalización Superior del Estado de México, establece que los Presidentes Municipales, presentarán a la Legislatura los informes trimestrales, dentro de los veinte días posteriores al término del trimestre correspondiente.</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En ese orden de ideas, el diverso 8°, fracciones XI y XIV, de dicho ordenamiento jurídico, establece que el Órgano Superior de Fiscalización del Estado de México, será el encargado de establecer los lineamientos necesarios para la elaboración de los informes mensuales; además que verificará que dichos informes hayan sido presentados conforme a la normatividad aplicable.</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Además, el artículo 350 del Código Financiero del Estado de México y Municipios, establece que, dentro de los primeros veinte días hábiles, las Tesorerías Municipales, enviarán para su análisis y evaluación al Órgano Superior de Fiscalización del Estado de México, la información Patrimonial, Presupuestal, de la Obra Pública y de Nómina.</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 xml:space="preserve">En ese contexto, los Lineamientos para la Integración, Presentación y Envió de los Informes Trimestrales Municipales, para el Ejercicio Fiscal dos mil veinticuatro, así como los Lineamientos para la Integración y Presentación de los Informes Trimestrales Estatales y Municipales del ejercicio fiscal dos mil veinticinco, todos emitidos por el Órgano Superior de Fiscalización del Estado de México, entre los formatos que maneja en el Módulo 1, se encuentra el Diario General de Pólizas, las Conciliaciones Bancarias y de Inversión, los </w:t>
      </w:r>
      <w:r>
        <w:rPr>
          <w:color w:val="000000"/>
        </w:rPr>
        <w:lastRenderedPageBreak/>
        <w:t>Estados de Cuenta Bancarios, que contienen las erogaciones realizadas por el Sujeto Obligado, a las cuentas con las que cuenta.</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 xml:space="preserve">Conforme a lo expuesto, se logra vislumbrar que la pretensión de la persona Recurrente es obtener el recibo de nómina de todos los mandos medios y superiores de la primera quincena de febrero de dos mil veinticinco, con los comprobantes de pago a las cuentas de los servidores públicos referidos. </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Al respecto, cabe precisar que la Dirección General de Administración, precisó que no cuenta con dicha información, toda vez que no se encuentra dentro de sus funciones y atribuciones, situación que quedó precisada en párrafos que anteceden, no obstante la Tesorería Municipal</w:t>
      </w:r>
      <w:r>
        <w:t xml:space="preserve"> </w:t>
      </w:r>
      <w:r>
        <w:rPr>
          <w:color w:val="000000"/>
        </w:rPr>
        <w:t>omitió pronunciarse sobre los recibos de nómina pagados y los comprobantes de depósito o transferencia.</w:t>
      </w:r>
    </w:p>
    <w:p w:rsidR="00D07455" w:rsidRDefault="00D07455">
      <w:pPr>
        <w:spacing w:after="0" w:line="360" w:lineRule="auto"/>
        <w:rPr>
          <w:color w:val="000000"/>
        </w:rPr>
      </w:pPr>
    </w:p>
    <w:p w:rsidR="00D07455" w:rsidRDefault="00F53554">
      <w:pPr>
        <w:spacing w:after="0" w:line="360" w:lineRule="auto"/>
      </w:pPr>
      <w:r>
        <w:t xml:space="preserve">Sobre el tema el artículo 1.8, del Código Administrativo del Estado de México, establece que para que un acto administrativo tenga validez, deberá atender todos los puntos solicitados; situación que se robustece, con el Criterio de Interpretación, con clave de control SO/002/2017, del Instituto Nacional de Transparencia, Acceso a la Información y Protección de Datos Personales, el cual establece que todo acto administrativo debe apegarse al </w:t>
      </w:r>
      <w:r>
        <w:rPr>
          <w:b/>
          <w:bCs/>
        </w:rPr>
        <w:t>principio de exhaustividad</w:t>
      </w:r>
      <w:r>
        <w:t>, 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rsidR="00D07455" w:rsidRDefault="00D07455">
      <w:pPr>
        <w:spacing w:after="0" w:line="360" w:lineRule="auto"/>
      </w:pPr>
    </w:p>
    <w:p w:rsidR="00D07455" w:rsidRDefault="00F53554">
      <w:pPr>
        <w:spacing w:after="0" w:line="360" w:lineRule="auto"/>
        <w:rPr>
          <w:b/>
          <w:bCs/>
        </w:rPr>
      </w:pPr>
      <w:r>
        <w:lastRenderedPageBreak/>
        <w:t xml:space="preserve">En esa tesitura, se concluye que el Sujeto Obligado no satisfizo el derecho de acceso a la información del Solicitante, pues no entregó la información completa, al omitir pronunciarse sobre cada uno de los puntos solicitados, lo cual da como resultado que el agravio sea </w:t>
      </w:r>
      <w:r>
        <w:rPr>
          <w:b/>
          <w:bCs/>
        </w:rPr>
        <w:t>FUNDADO.</w:t>
      </w:r>
    </w:p>
    <w:p w:rsidR="00D07455" w:rsidRDefault="00D07455">
      <w:pPr>
        <w:spacing w:after="0" w:line="360" w:lineRule="auto"/>
      </w:pPr>
    </w:p>
    <w:p w:rsidR="00D07455" w:rsidRDefault="00F53554">
      <w:pPr>
        <w:spacing w:after="0" w:line="360" w:lineRule="auto"/>
        <w:rPr>
          <w:color w:val="000000"/>
        </w:rPr>
      </w:pPr>
      <w:r>
        <w:t xml:space="preserve">De lo anterior, este Instituto considera que, se deberá realizar una búsqueda exhaustiva y razonable en la Tesorería Municipal, a efecto de que proporcione, de todos los mandos medios y superiores </w:t>
      </w:r>
      <w:r>
        <w:rPr>
          <w:color w:val="000000"/>
        </w:rPr>
        <w:t>los recibos de nómina correspondientes a la primera quincena de febrero de dos mil veinticinco, así como los comprobantes de pago a las cuentas de los servidores públicos referidos o transferencias electrónicas.</w:t>
      </w:r>
    </w:p>
    <w:p w:rsidR="00D07455" w:rsidRDefault="00D07455">
      <w:pPr>
        <w:spacing w:after="0" w:line="360" w:lineRule="auto"/>
        <w:rPr>
          <w:color w:val="000000"/>
        </w:rPr>
      </w:pPr>
    </w:p>
    <w:p w:rsidR="00D07455" w:rsidRDefault="00F53554">
      <w:pPr>
        <w:spacing w:after="0" w:line="360" w:lineRule="auto"/>
        <w:rPr>
          <w:b/>
          <w:bCs/>
          <w:color w:val="000000"/>
        </w:rPr>
      </w:pPr>
      <w:r>
        <w:rPr>
          <w:b/>
          <w:bCs/>
          <w:color w:val="000000"/>
        </w:rPr>
        <w:t xml:space="preserve">3 y 4.  Informe de Actividades realizadas el último mes y el Informe de actividades que se tienen proyectados realizar en beneficio de la sociedad. </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Sobre el tema, cabe precisar que de conformidad con los artículos 6°, apartado A, de la Constitución Política de los Estados Unidos Mexicanos, 5° de la Constitución Política del Estado Libre y Soberano de México, 4° de la Ley General de Transparencia y Acceso a la Información Pública y 4° de la Ley de Transparencia y Acceso a la Información Pública del Estado de México y Municipios, toda la información generada, obtenida, adquirida, transformada o en posesión de los sujetos obligados es pública y accesible a cualquier persona.</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 xml:space="preserve">Al respecto, el artículo 3°, fracción VII, de la Ley General Transparencia, con relación al 3°, fracción XI, de la Ley Local de Transparencia, establecen que los documentos son los expedientes, reportes, estudios, actas, resoluciones, oficios, correspondencia, acuerdos, directivas, directrices, circulares, contratos, convenios, instructivos, notas, memorandos, </w:t>
      </w:r>
      <w:r>
        <w:rPr>
          <w:color w:val="000000"/>
        </w:rPr>
        <w:lastRenderedPageBreak/>
        <w:t>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Ahora bien, el artículo 18 de la Ley de Transparencia y Acceso a la Información Pública del Estado de México y Municipios, contempla que los sujetos obligados deberán documentar todo acto que derive del ejercicio de sus facultades, competencias o funciones.</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 xml:space="preserve">Al respecto, cabe precisar que las áreas a las que se solicitó la </w:t>
      </w:r>
      <w:proofErr w:type="gramStart"/>
      <w:r>
        <w:rPr>
          <w:color w:val="000000"/>
        </w:rPr>
        <w:t>información ,</w:t>
      </w:r>
      <w:proofErr w:type="gramEnd"/>
      <w:r>
        <w:rPr>
          <w:color w:val="000000"/>
        </w:rPr>
        <w:t xml:space="preserve"> es decir a todos los mandos medios y superiores, omitieron manifestarse al respecto por lo que, para atender el requerimiento de información, el Sujeto Obligado deberá realizar una búsqueda exhaustiva y razonable en sus archivos, a efecto de que proporcione los documentos donde </w:t>
      </w:r>
      <w:r>
        <w:lastRenderedPageBreak/>
        <w:t>consten</w:t>
      </w:r>
      <w:r>
        <w:rPr>
          <w:color w:val="000000"/>
        </w:rPr>
        <w:t xml:space="preserve"> los informes de actividades realizadas en el último mes y las que se tienen proyectadas en beneficio de la sociedad. </w:t>
      </w:r>
    </w:p>
    <w:p w:rsidR="00D07455" w:rsidRDefault="00D07455">
      <w:pPr>
        <w:spacing w:after="0" w:line="360" w:lineRule="auto"/>
        <w:rPr>
          <w:color w:val="000000"/>
        </w:rPr>
      </w:pPr>
    </w:p>
    <w:p w:rsidR="00D07455" w:rsidRDefault="00F53554">
      <w:pPr>
        <w:tabs>
          <w:tab w:val="left" w:pos="4962"/>
        </w:tabs>
        <w:spacing w:after="0" w:line="360" w:lineRule="auto"/>
        <w:rPr>
          <w:color w:val="000000"/>
        </w:rPr>
      </w:pPr>
      <w:r>
        <w:rPr>
          <w:color w:val="000000"/>
        </w:rPr>
        <w:t>Ahora bien, para el caso de que no cuente con la información solicitada, deberá hacerlo del conocimiento del ahora Recurrente, de manera clara y precisa.</w:t>
      </w:r>
    </w:p>
    <w:p w:rsidR="00D07455" w:rsidRDefault="00D07455">
      <w:pPr>
        <w:spacing w:after="0" w:line="360" w:lineRule="auto"/>
        <w:rPr>
          <w:color w:val="000000"/>
        </w:rPr>
      </w:pPr>
    </w:p>
    <w:p w:rsidR="00D07455" w:rsidRDefault="00F53554">
      <w:pPr>
        <w:spacing w:after="0" w:line="360" w:lineRule="auto"/>
        <w:rPr>
          <w:b/>
          <w:bCs/>
          <w:color w:val="000000"/>
        </w:rPr>
      </w:pPr>
      <w:r>
        <w:rPr>
          <w:b/>
          <w:bCs/>
          <w:color w:val="000000"/>
        </w:rPr>
        <w:t>4.  Copia en versión pública de la manifestación de bienes</w:t>
      </w:r>
    </w:p>
    <w:p w:rsidR="00D07455" w:rsidRDefault="00D07455">
      <w:pPr>
        <w:spacing w:after="0" w:line="360" w:lineRule="auto"/>
        <w:rPr>
          <w:color w:val="000000"/>
        </w:rPr>
      </w:pPr>
    </w:p>
    <w:p w:rsidR="00D07455" w:rsidRDefault="00F53554">
      <w:pPr>
        <w:spacing w:after="0" w:line="360" w:lineRule="auto"/>
        <w:ind w:right="-28"/>
        <w:rPr>
          <w:color w:val="000000"/>
        </w:rPr>
      </w:pPr>
      <w:r>
        <w:rPr>
          <w:color w:val="000000"/>
        </w:rPr>
        <w:t xml:space="preserve">Al respecto, cabe precisar que el Sujeto Obligado precisó en respuesta su incompetencia respecto a la Declaración de Situación Patrimonial, Declaración de Intereses o Posible Conflicto de intereses, toda vez que dicha manifestación lo realiza cada servidor público de forma personal a través de la plataforma de la Secretaría de la Contraloría de Gobierno del Estado, circunstancia por la que no se tenía acceso y tampoco se contaba con dicha declaración. </w:t>
      </w:r>
    </w:p>
    <w:p w:rsidR="00D07455" w:rsidRDefault="00D07455">
      <w:pPr>
        <w:spacing w:after="0" w:line="360" w:lineRule="auto"/>
        <w:ind w:right="-28"/>
        <w:rPr>
          <w:color w:val="000000"/>
        </w:rPr>
      </w:pPr>
    </w:p>
    <w:p w:rsidR="00D07455" w:rsidRDefault="00F53554">
      <w:pPr>
        <w:spacing w:after="0" w:line="360" w:lineRule="auto"/>
        <w:rPr>
          <w:b/>
          <w:bCs/>
          <w:color w:val="000000"/>
        </w:rPr>
      </w:pPr>
      <w:r>
        <w:rPr>
          <w:color w:val="000000"/>
        </w:rPr>
        <w:t xml:space="preserve">Al respecto, los artículos 49, fracción II, 53, fracción III y 167 de la Ley de Transparencia y Acceso a la Información Pública del Estado de México y Municipios, se desprende que las Unidades de Transparencia son responsables de orientar a los particulares respecto de la dependencia, entidad u órgano que pudiera tener la información requerida, </w:t>
      </w:r>
      <w:r>
        <w:rPr>
          <w:b/>
          <w:bCs/>
          <w:color w:val="000000"/>
        </w:rPr>
        <w:t>cuando la misma no sea competencia del sujeto obligado ante el cual se formule la solicitud de acceso.</w:t>
      </w:r>
    </w:p>
    <w:p w:rsidR="00D07455" w:rsidRDefault="00D07455">
      <w:pPr>
        <w:spacing w:after="0" w:line="360" w:lineRule="auto"/>
        <w:rPr>
          <w:b/>
          <w:bCs/>
          <w:color w:val="000000"/>
        </w:rPr>
      </w:pPr>
    </w:p>
    <w:p w:rsidR="00D07455" w:rsidRDefault="00F53554">
      <w:pPr>
        <w:spacing w:after="0" w:line="360" w:lineRule="auto"/>
        <w:rPr>
          <w:color w:val="000000"/>
        </w:rPr>
      </w:pPr>
      <w:r>
        <w:rPr>
          <w:color w:val="000000"/>
        </w:rPr>
        <w:t xml:space="preserve">Asimismo, que los Comités de Transparencia tienen entre sus atribuciones confirmar, modificar o revocar la </w:t>
      </w:r>
      <w:r>
        <w:rPr>
          <w:b/>
          <w:bCs/>
          <w:color w:val="000000"/>
        </w:rPr>
        <w:t>declaración de incompetencia</w:t>
      </w:r>
      <w:r>
        <w:rPr>
          <w:color w:val="000000"/>
        </w:rPr>
        <w:t xml:space="preserve"> que realicen los titulares de las unidades administrativas.</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lastRenderedPageBreak/>
        <w:t xml:space="preserve">En esa tesitura, cuando las Unidades de Transparencia determinen </w:t>
      </w:r>
      <w:r>
        <w:rPr>
          <w:b/>
          <w:bCs/>
          <w:color w:val="000000"/>
        </w:rPr>
        <w:t>la notoria incompetencia</w:t>
      </w:r>
      <w:r>
        <w:rPr>
          <w:color w:val="000000"/>
        </w:rPr>
        <w:t xml:space="preserve"> por parte de los sujetos obligados deberán comunicar al solicitante la misma dentro de los tres días posteriores a la recepción de la solicitud. </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 xml:space="preserve">Como se logra observar, si bien la Ley de la materia, prevé el supuesto de incompetencia para que los sujetos obligados den atención a </w:t>
      </w:r>
      <w:r>
        <w:t>solicitudes</w:t>
      </w:r>
      <w:r>
        <w:rPr>
          <w:color w:val="000000"/>
        </w:rPr>
        <w:t xml:space="preserve"> de información, también lo es, que no se precisa en </w:t>
      </w:r>
      <w:r>
        <w:t>qué</w:t>
      </w:r>
      <w:r>
        <w:rPr>
          <w:color w:val="000000"/>
        </w:rPr>
        <w:t xml:space="preserve"> consiste dicho concepto; sobre dicha situación, según Cabanellas, Guillermo (1993), en el “Diccionario Jurídico Elemental” (p. 32 y 161), precisó los siguientes conceptos:</w:t>
      </w:r>
    </w:p>
    <w:p w:rsidR="00D07455" w:rsidRDefault="00D07455">
      <w:pPr>
        <w:spacing w:after="0" w:line="360" w:lineRule="auto"/>
        <w:rPr>
          <w:color w:val="000000"/>
        </w:rPr>
      </w:pPr>
    </w:p>
    <w:p w:rsidR="00D07455" w:rsidRDefault="00F53554">
      <w:pPr>
        <w:numPr>
          <w:ilvl w:val="0"/>
          <w:numId w:val="3"/>
        </w:numPr>
        <w:spacing w:after="0" w:line="360" w:lineRule="auto"/>
        <w:jc w:val="left"/>
        <w:rPr>
          <w:color w:val="000000"/>
        </w:rPr>
      </w:pPr>
      <w:r>
        <w:rPr>
          <w:b/>
          <w:bCs/>
          <w:color w:val="000000"/>
        </w:rPr>
        <w:t xml:space="preserve">Competencia: </w:t>
      </w:r>
      <w:r>
        <w:rPr>
          <w:color w:val="000000"/>
        </w:rPr>
        <w:t>La capacidad de una autoridad para conocer sobre una materia o asunto.</w:t>
      </w:r>
    </w:p>
    <w:p w:rsidR="00D07455" w:rsidRDefault="00F53554">
      <w:pPr>
        <w:numPr>
          <w:ilvl w:val="0"/>
          <w:numId w:val="3"/>
        </w:numPr>
        <w:spacing w:after="0" w:line="360" w:lineRule="auto"/>
        <w:jc w:val="left"/>
        <w:rPr>
          <w:color w:val="000000"/>
        </w:rPr>
      </w:pPr>
      <w:r>
        <w:rPr>
          <w:b/>
          <w:bCs/>
          <w:color w:val="000000"/>
        </w:rPr>
        <w:t>Incompetencia:</w:t>
      </w:r>
      <w:r>
        <w:rPr>
          <w:color w:val="000000"/>
        </w:rPr>
        <w:t xml:space="preserve"> Falta de Competencia.</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 xml:space="preserve">Por lo que, </w:t>
      </w:r>
      <w:r>
        <w:rPr>
          <w:b/>
          <w:bCs/>
          <w:color w:val="000000"/>
        </w:rPr>
        <w:t>la incompetencia</w:t>
      </w:r>
      <w:r>
        <w:rPr>
          <w:color w:val="000000"/>
        </w:rPr>
        <w:t xml:space="preserve">, radica en la incapacidad de una autoridad para conocer de un tema o asunto; en el mismo sentido, conviene traer a cuenta tesis aislada número III.2o.P.11 K, publicada en el Semanario Judicial de la Federación y su Gaceta, Novena Época, Tomo XV, Mayo de 2002, Pág. 1243, ya que precisa lo siguiente: </w:t>
      </w:r>
    </w:p>
    <w:p w:rsidR="00D07455" w:rsidRDefault="00D07455">
      <w:pPr>
        <w:spacing w:after="0" w:line="360" w:lineRule="auto"/>
        <w:rPr>
          <w:color w:val="000000"/>
        </w:rPr>
      </w:pPr>
    </w:p>
    <w:p w:rsidR="00D07455" w:rsidRDefault="00F53554">
      <w:pPr>
        <w:spacing w:after="0" w:line="360" w:lineRule="auto"/>
        <w:ind w:left="567" w:right="567"/>
        <w:rPr>
          <w:i/>
          <w:iCs/>
          <w:color w:val="000000"/>
          <w:sz w:val="20"/>
          <w:szCs w:val="20"/>
        </w:rPr>
      </w:pPr>
      <w:r>
        <w:rPr>
          <w:b/>
          <w:bCs/>
          <w:i/>
          <w:iCs/>
          <w:color w:val="000000"/>
          <w:sz w:val="20"/>
          <w:szCs w:val="20"/>
        </w:rPr>
        <w:t xml:space="preserve">“LEGITIMACIÓN DE FUNCIONARIOS PÚBLICOS. LOS TRIBUNALES DE AMPARO, POR ESTAR VINCULADOS CON EL CONCEPTO DE COMPETENCIA A QUE SE REFIERE EL ARTÍCULO 16 CONSTITUCIONAL, NO PUEDEN CONOCER DE AQUÉLLA. </w:t>
      </w:r>
      <w:r>
        <w:rPr>
          <w:i/>
          <w:iCs/>
          <w:color w:val="000000"/>
          <w:sz w:val="20"/>
          <w:szCs w:val="20"/>
        </w:rPr>
        <w:t>El artículo </w:t>
      </w:r>
      <w:hyperlink r:id="rId21">
        <w:r>
          <w:rPr>
            <w:i/>
            <w:iCs/>
            <w:color w:val="0563C1"/>
            <w:sz w:val="20"/>
            <w:szCs w:val="20"/>
            <w:u w:val="single"/>
          </w:rPr>
          <w:t>16 constitucional</w:t>
        </w:r>
      </w:hyperlink>
      <w:r>
        <w:rPr>
          <w:i/>
          <w:iCs/>
          <w:color w:val="000000"/>
          <w:sz w:val="20"/>
          <w:szCs w:val="20"/>
        </w:rPr>
        <w:t xml:space="preserve">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w:t>
      </w:r>
      <w:r>
        <w:rPr>
          <w:i/>
          <w:iCs/>
          <w:color w:val="000000"/>
          <w:sz w:val="20"/>
          <w:szCs w:val="20"/>
        </w:rPr>
        <w:lastRenderedPageBreak/>
        <w:t>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 xml:space="preserve">De la misma manera, resulta necesario traer a colación, el Criterio de Interpretación, de la Segunda Época, con clave de control SO/013/2017, emitido por el Instituto Nacional de Transparencia, Acceso a la Información y Protección de Datos Personales, el cual establece que la </w:t>
      </w:r>
      <w:r>
        <w:rPr>
          <w:b/>
          <w:bCs/>
          <w:color w:val="000000"/>
        </w:rPr>
        <w:t xml:space="preserve">incompetencia </w:t>
      </w:r>
      <w:r>
        <w:rPr>
          <w:color w:val="000000"/>
        </w:rPr>
        <w:t>implica que, de conformidad con las atribuciones conferidas al Sujeto Obligado, no habría razón por la cual éste deba contar con la información solicitada, en cuyo caso, tendría que orientar al particular para que acuda a la instancia competente.</w:t>
      </w:r>
    </w:p>
    <w:p w:rsidR="00D07455" w:rsidRDefault="00D07455">
      <w:pPr>
        <w:spacing w:after="0" w:line="360" w:lineRule="auto"/>
        <w:rPr>
          <w:color w:val="000000"/>
        </w:rPr>
      </w:pPr>
    </w:p>
    <w:p w:rsidR="00D07455" w:rsidRDefault="00F53554">
      <w:pPr>
        <w:spacing w:after="0" w:line="360" w:lineRule="auto"/>
        <w:rPr>
          <w:b/>
          <w:bCs/>
          <w:color w:val="000000"/>
        </w:rPr>
      </w:pPr>
      <w:r>
        <w:rPr>
          <w:color w:val="000000"/>
        </w:rPr>
        <w:t>En otro orden de ideas, dicho concepto refiere a la ausencia de atribuciones por parte de los Entes sujetos a las Leyes de Transparencia, para contar con la información que se requiere, es decir, se trata de una situación que se dilucida a partir de las facultades atribuidas a éste.</w:t>
      </w:r>
    </w:p>
    <w:p w:rsidR="00D07455" w:rsidRDefault="00D07455">
      <w:pPr>
        <w:spacing w:after="0" w:line="360" w:lineRule="auto"/>
        <w:rPr>
          <w:color w:val="000000"/>
        </w:rPr>
      </w:pPr>
    </w:p>
    <w:p w:rsidR="00D07455" w:rsidRDefault="00F53554">
      <w:pPr>
        <w:tabs>
          <w:tab w:val="left" w:pos="4962"/>
        </w:tabs>
        <w:spacing w:after="0" w:line="360" w:lineRule="auto"/>
        <w:ind w:right="-28"/>
      </w:pPr>
      <w:r>
        <w:t>Bajo esa tesitura, se procede a analizar si en la especie, el Ente Recurrido cuenta con atribuciones para conocer sobre la información requerida, para lo cual es necesario traer a colación, el artículo 3.24 del Código Reglamentario Municipal de Toluca, que precisa que el Sujeto Obligado cuenta con un Órgano Interno de Control, encargado de lo siguiente:</w:t>
      </w:r>
    </w:p>
    <w:p w:rsidR="00D07455" w:rsidRDefault="00D07455">
      <w:pPr>
        <w:spacing w:after="0" w:line="360" w:lineRule="auto"/>
        <w:rPr>
          <w:color w:val="000000"/>
        </w:rPr>
      </w:pPr>
    </w:p>
    <w:p w:rsidR="00D07455" w:rsidRDefault="00F53554">
      <w:pPr>
        <w:numPr>
          <w:ilvl w:val="0"/>
          <w:numId w:val="4"/>
        </w:numPr>
        <w:pBdr>
          <w:top w:val="nil"/>
          <w:left w:val="nil"/>
          <w:bottom w:val="nil"/>
          <w:right w:val="nil"/>
          <w:between w:val="nil"/>
        </w:pBdr>
        <w:spacing w:after="0" w:line="360" w:lineRule="auto"/>
        <w:rPr>
          <w:color w:val="000000"/>
        </w:rPr>
      </w:pPr>
      <w:r>
        <w:rPr>
          <w:color w:val="000000"/>
        </w:rPr>
        <w:t xml:space="preserve">Aplicar las normas y criterios en materia de control y evaluación; </w:t>
      </w:r>
    </w:p>
    <w:p w:rsidR="00D07455" w:rsidRDefault="00F53554">
      <w:pPr>
        <w:numPr>
          <w:ilvl w:val="0"/>
          <w:numId w:val="4"/>
        </w:numPr>
        <w:pBdr>
          <w:top w:val="nil"/>
          <w:left w:val="nil"/>
          <w:bottom w:val="nil"/>
          <w:right w:val="nil"/>
          <w:between w:val="nil"/>
        </w:pBdr>
        <w:spacing w:after="0" w:line="360" w:lineRule="auto"/>
        <w:rPr>
          <w:color w:val="000000"/>
        </w:rPr>
      </w:pPr>
      <w:r>
        <w:rPr>
          <w:color w:val="000000"/>
        </w:rPr>
        <w:t xml:space="preserve">Fiscalizar los ingresos y el ejercicio del pasto público municipal; </w:t>
      </w:r>
    </w:p>
    <w:p w:rsidR="00D07455" w:rsidRDefault="00F53554">
      <w:pPr>
        <w:numPr>
          <w:ilvl w:val="0"/>
          <w:numId w:val="4"/>
        </w:numPr>
        <w:pBdr>
          <w:top w:val="nil"/>
          <w:left w:val="nil"/>
          <w:bottom w:val="nil"/>
          <w:right w:val="nil"/>
          <w:between w:val="nil"/>
        </w:pBdr>
        <w:spacing w:after="0" w:line="360" w:lineRule="auto"/>
        <w:rPr>
          <w:color w:val="000000"/>
        </w:rPr>
      </w:pPr>
      <w:r>
        <w:rPr>
          <w:color w:val="000000"/>
        </w:rPr>
        <w:t>Establecer las bases generales para la realización de acciones de control y evaluación;</w:t>
      </w:r>
    </w:p>
    <w:p w:rsidR="00D07455" w:rsidRDefault="00F53554">
      <w:pPr>
        <w:numPr>
          <w:ilvl w:val="0"/>
          <w:numId w:val="4"/>
        </w:numPr>
        <w:pBdr>
          <w:top w:val="nil"/>
          <w:left w:val="nil"/>
          <w:bottom w:val="nil"/>
          <w:right w:val="nil"/>
          <w:between w:val="nil"/>
        </w:pBdr>
        <w:spacing w:after="0" w:line="360" w:lineRule="auto"/>
        <w:rPr>
          <w:color w:val="000000"/>
        </w:rPr>
      </w:pPr>
      <w:r>
        <w:rPr>
          <w:color w:val="000000"/>
        </w:rPr>
        <w:t>Coordinarse con el Órgano Superior de Fiscalización del Estado de México, la Contraloría del Poder Legislativo y con la Secretaría de la Contraloría;</w:t>
      </w:r>
    </w:p>
    <w:p w:rsidR="00D07455" w:rsidRDefault="00F53554">
      <w:pPr>
        <w:numPr>
          <w:ilvl w:val="0"/>
          <w:numId w:val="4"/>
        </w:numPr>
        <w:pBdr>
          <w:top w:val="nil"/>
          <w:left w:val="nil"/>
          <w:bottom w:val="nil"/>
          <w:right w:val="nil"/>
          <w:between w:val="nil"/>
        </w:pBdr>
        <w:spacing w:after="0" w:line="360" w:lineRule="auto"/>
        <w:rPr>
          <w:color w:val="000000"/>
        </w:rPr>
      </w:pPr>
      <w:r>
        <w:rPr>
          <w:color w:val="000000"/>
        </w:rPr>
        <w:lastRenderedPageBreak/>
        <w:t xml:space="preserve">Realizar auditorías y evaluaciones e informar del resultado a las mismas al Ayuntamiento; </w:t>
      </w:r>
    </w:p>
    <w:p w:rsidR="00D07455" w:rsidRDefault="00F53554">
      <w:pPr>
        <w:numPr>
          <w:ilvl w:val="0"/>
          <w:numId w:val="4"/>
        </w:numPr>
        <w:pBdr>
          <w:top w:val="nil"/>
          <w:left w:val="nil"/>
          <w:bottom w:val="nil"/>
          <w:right w:val="nil"/>
          <w:between w:val="nil"/>
        </w:pBdr>
        <w:spacing w:after="0" w:line="360" w:lineRule="auto"/>
        <w:rPr>
          <w:color w:val="000000"/>
        </w:rPr>
      </w:pPr>
      <w:r>
        <w:rPr>
          <w:color w:val="000000"/>
        </w:rPr>
        <w:t>Participar en la entrega- recepción de las unidades administrativas de las dependencias;</w:t>
      </w:r>
    </w:p>
    <w:p w:rsidR="00D07455" w:rsidRDefault="00F53554">
      <w:pPr>
        <w:numPr>
          <w:ilvl w:val="0"/>
          <w:numId w:val="4"/>
        </w:numPr>
        <w:pBdr>
          <w:top w:val="nil"/>
          <w:left w:val="nil"/>
          <w:bottom w:val="nil"/>
          <w:right w:val="nil"/>
          <w:between w:val="nil"/>
        </w:pBdr>
        <w:spacing w:after="0" w:line="360" w:lineRule="auto"/>
        <w:rPr>
          <w:color w:val="000000"/>
        </w:rPr>
      </w:pPr>
      <w:r>
        <w:rPr>
          <w:color w:val="000000"/>
        </w:rPr>
        <w:t xml:space="preserve">Iniciar los procesos de investigación, substanciación, resolución y en su caso ejecución, tratándose de </w:t>
      </w:r>
      <w:proofErr w:type="spellStart"/>
      <w:r>
        <w:rPr>
          <w:color w:val="000000"/>
        </w:rPr>
        <w:t>fatas</w:t>
      </w:r>
      <w:proofErr w:type="spellEnd"/>
      <w:r>
        <w:rPr>
          <w:color w:val="000000"/>
        </w:rPr>
        <w:t xml:space="preserve"> administrativas no graves, a través de las áreas administrativas especializadas; </w:t>
      </w:r>
    </w:p>
    <w:p w:rsidR="00D07455" w:rsidRDefault="00F53554">
      <w:pPr>
        <w:numPr>
          <w:ilvl w:val="0"/>
          <w:numId w:val="4"/>
        </w:numPr>
        <w:pBdr>
          <w:top w:val="nil"/>
          <w:left w:val="nil"/>
          <w:bottom w:val="nil"/>
          <w:right w:val="nil"/>
          <w:between w:val="nil"/>
        </w:pBdr>
        <w:spacing w:after="0" w:line="360" w:lineRule="auto"/>
        <w:rPr>
          <w:color w:val="000000"/>
        </w:rPr>
      </w:pPr>
      <w:r>
        <w:rPr>
          <w:color w:val="000000"/>
        </w:rPr>
        <w:t xml:space="preserve">Realizar acciones de control y evaluación que se consideren necesarias; </w:t>
      </w:r>
    </w:p>
    <w:p w:rsidR="00D07455" w:rsidRDefault="00F53554">
      <w:pPr>
        <w:numPr>
          <w:ilvl w:val="0"/>
          <w:numId w:val="4"/>
        </w:numPr>
        <w:pBdr>
          <w:top w:val="nil"/>
          <w:left w:val="nil"/>
          <w:bottom w:val="nil"/>
          <w:right w:val="nil"/>
          <w:between w:val="nil"/>
        </w:pBdr>
        <w:spacing w:after="0" w:line="360" w:lineRule="auto"/>
        <w:rPr>
          <w:color w:val="000000"/>
        </w:rPr>
      </w:pPr>
      <w:r>
        <w:rPr>
          <w:color w:val="000000"/>
        </w:rPr>
        <w:t xml:space="preserve">Recibir las denuncias por declaraciones de situación patrimonial que contengan posibles conflictos de intereses; </w:t>
      </w:r>
    </w:p>
    <w:p w:rsidR="00D07455" w:rsidRDefault="00F53554">
      <w:pPr>
        <w:numPr>
          <w:ilvl w:val="0"/>
          <w:numId w:val="4"/>
        </w:numPr>
        <w:pBdr>
          <w:top w:val="nil"/>
          <w:left w:val="nil"/>
          <w:bottom w:val="nil"/>
          <w:right w:val="nil"/>
          <w:between w:val="nil"/>
        </w:pBdr>
        <w:spacing w:after="0" w:line="360" w:lineRule="auto"/>
        <w:rPr>
          <w:color w:val="000000"/>
        </w:rPr>
      </w:pPr>
      <w:r>
        <w:rPr>
          <w:color w:val="000000"/>
        </w:rPr>
        <w:t xml:space="preserve">Presentar denuncias por hechos que las leyes señalen como delitos ante la Fiscalía General de Justicia; </w:t>
      </w:r>
    </w:p>
    <w:p w:rsidR="00D07455" w:rsidRDefault="00F53554">
      <w:pPr>
        <w:numPr>
          <w:ilvl w:val="0"/>
          <w:numId w:val="4"/>
        </w:numPr>
        <w:pBdr>
          <w:top w:val="nil"/>
          <w:left w:val="nil"/>
          <w:bottom w:val="nil"/>
          <w:right w:val="nil"/>
          <w:between w:val="nil"/>
        </w:pBdr>
        <w:spacing w:after="0" w:line="360" w:lineRule="auto"/>
        <w:rPr>
          <w:color w:val="000000"/>
        </w:rPr>
      </w:pPr>
      <w:r>
        <w:rPr>
          <w:color w:val="000000"/>
        </w:rPr>
        <w:t xml:space="preserve">Promover la implementación de controles internos que coadyuven a la protección de los recursos; </w:t>
      </w:r>
    </w:p>
    <w:p w:rsidR="00D07455" w:rsidRDefault="00F53554">
      <w:pPr>
        <w:numPr>
          <w:ilvl w:val="0"/>
          <w:numId w:val="4"/>
        </w:numPr>
        <w:pBdr>
          <w:top w:val="nil"/>
          <w:left w:val="nil"/>
          <w:bottom w:val="nil"/>
          <w:right w:val="nil"/>
          <w:between w:val="nil"/>
        </w:pBdr>
        <w:spacing w:after="0" w:line="360" w:lineRule="auto"/>
        <w:rPr>
          <w:color w:val="000000"/>
        </w:rPr>
      </w:pPr>
      <w:r>
        <w:rPr>
          <w:color w:val="000000"/>
        </w:rPr>
        <w:t xml:space="preserve">Coordinar, vigilar y supervisar el cumplimiento de las declaraciones de situación patrimonial y de intereses; </w:t>
      </w:r>
    </w:p>
    <w:p w:rsidR="00D07455" w:rsidRDefault="00F53554">
      <w:pPr>
        <w:numPr>
          <w:ilvl w:val="0"/>
          <w:numId w:val="4"/>
        </w:numPr>
        <w:pBdr>
          <w:top w:val="nil"/>
          <w:left w:val="nil"/>
          <w:bottom w:val="nil"/>
          <w:right w:val="nil"/>
          <w:between w:val="nil"/>
        </w:pBdr>
        <w:spacing w:after="0" w:line="360" w:lineRule="auto"/>
        <w:rPr>
          <w:color w:val="000000"/>
        </w:rPr>
      </w:pPr>
      <w:r>
        <w:rPr>
          <w:color w:val="000000"/>
        </w:rPr>
        <w:t xml:space="preserve">Participar directamente o designar a un representante en los actos de Entrega-Recepción de las Unidades Administrativas; </w:t>
      </w:r>
    </w:p>
    <w:p w:rsidR="00D07455" w:rsidRDefault="00F53554">
      <w:pPr>
        <w:numPr>
          <w:ilvl w:val="0"/>
          <w:numId w:val="4"/>
        </w:numPr>
        <w:pBdr>
          <w:top w:val="nil"/>
          <w:left w:val="nil"/>
          <w:bottom w:val="nil"/>
          <w:right w:val="nil"/>
          <w:between w:val="nil"/>
        </w:pBdr>
        <w:spacing w:after="0" w:line="360" w:lineRule="auto"/>
        <w:rPr>
          <w:color w:val="000000"/>
        </w:rPr>
      </w:pPr>
      <w:r>
        <w:rPr>
          <w:color w:val="000000"/>
        </w:rPr>
        <w:t>Requerir a las Unidades Administrativas cualquier información y documentación para cumplir con sus atribuciones; y</w:t>
      </w:r>
    </w:p>
    <w:p w:rsidR="00D07455" w:rsidRDefault="00F53554">
      <w:pPr>
        <w:numPr>
          <w:ilvl w:val="0"/>
          <w:numId w:val="4"/>
        </w:numPr>
        <w:pBdr>
          <w:top w:val="nil"/>
          <w:left w:val="nil"/>
          <w:bottom w:val="nil"/>
          <w:right w:val="nil"/>
          <w:between w:val="nil"/>
        </w:pBdr>
        <w:spacing w:after="0" w:line="360" w:lineRule="auto"/>
        <w:rPr>
          <w:color w:val="000000"/>
        </w:rPr>
      </w:pPr>
      <w:r>
        <w:rPr>
          <w:color w:val="000000"/>
        </w:rPr>
        <w:t xml:space="preserve">Las demás que le confieran otros ordenamientos jurídicos. </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lastRenderedPageBreak/>
        <w:t xml:space="preserve">Sin embargo, no se localizó ninguna atribución para poder recibir, recabar </w:t>
      </w:r>
      <w:r>
        <w:t>y analizar</w:t>
      </w:r>
      <w:r>
        <w:rPr>
          <w:color w:val="000000"/>
        </w:rPr>
        <w:t xml:space="preserve"> las declaraciones patrimoniales presentadas por los servidores públicos; por lo que, en primera instancia carece de atribuciones para conocer de la información peticionada.</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 xml:space="preserve">Lo anterior, toma relevancia, pues conforme a la página oficial de la Secretaría de la Contraloría, en el apartado de Declaración Patrimonial y de Intereses, precisa que dicha dependencia ofrece el portal </w:t>
      </w:r>
      <w:proofErr w:type="spellStart"/>
      <w:r>
        <w:rPr>
          <w:b/>
          <w:bCs/>
          <w:color w:val="000000"/>
        </w:rPr>
        <w:t>Decl@ranet</w:t>
      </w:r>
      <w:proofErr w:type="spellEnd"/>
      <w:r>
        <w:rPr>
          <w:color w:val="000000"/>
        </w:rPr>
        <w:t>, con la finalidad de facilitar a los servidores públicos del Estado de México, presenten su Declaración de Situación Patrimonial, Declaración de Intereses o Posible Conflicto de Intereses y presentación de Constancia de Declaración Fiscal.</w:t>
      </w:r>
    </w:p>
    <w:p w:rsidR="00D07455" w:rsidRDefault="00F53554">
      <w:pPr>
        <w:spacing w:after="0" w:line="360" w:lineRule="auto"/>
        <w:rPr>
          <w:color w:val="000000"/>
        </w:rPr>
      </w:pPr>
      <w:r>
        <w:rPr>
          <w:color w:val="000000"/>
        </w:rPr>
        <w:t xml:space="preserve">Además, que el díptico denominado “Sistema </w:t>
      </w:r>
      <w:proofErr w:type="spellStart"/>
      <w:r>
        <w:rPr>
          <w:color w:val="000000"/>
        </w:rPr>
        <w:t>Declaranet</w:t>
      </w:r>
      <w:proofErr w:type="spellEnd"/>
      <w:r>
        <w:rPr>
          <w:color w:val="000000"/>
        </w:rPr>
        <w:t xml:space="preserve">”, precisa que dicho sistema es administrado por la </w:t>
      </w:r>
      <w:r>
        <w:rPr>
          <w:b/>
          <w:bCs/>
          <w:color w:val="000000"/>
        </w:rPr>
        <w:t>Secretaría de la Contraloría</w:t>
      </w:r>
      <w:r>
        <w:rPr>
          <w:color w:val="000000"/>
        </w:rPr>
        <w:t xml:space="preserve">, y cuyo fin </w:t>
      </w:r>
      <w:r>
        <w:t>es que los</w:t>
      </w:r>
      <w:r>
        <w:rPr>
          <w:color w:val="000000"/>
        </w:rPr>
        <w:t xml:space="preserve"> servidores públicos del Poder Ejecutivo y los ciento veinticinco Ayuntamientos, presenten su Manifestación de Bienes o Declaración Patrimonial.</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 xml:space="preserve">Como se logra observar, el Sistema </w:t>
      </w:r>
      <w:proofErr w:type="spellStart"/>
      <w:r>
        <w:rPr>
          <w:color w:val="000000"/>
        </w:rPr>
        <w:t>Decl@ranet</w:t>
      </w:r>
      <w:proofErr w:type="spellEnd"/>
      <w:r>
        <w:rPr>
          <w:color w:val="000000"/>
        </w:rPr>
        <w:t xml:space="preserve">, es administrado y operado únicamente por la Secretaría de la Contraloría, por lo que, </w:t>
      </w:r>
      <w:r>
        <w:rPr>
          <w:color w:val="000000"/>
          <w:u w:val="single"/>
        </w:rPr>
        <w:t>es la única dependencia que tiene acceso a las declaraciones presentadas por dicha plataforma</w:t>
      </w:r>
      <w:r>
        <w:rPr>
          <w:color w:val="000000"/>
        </w:rPr>
        <w:t xml:space="preserve">; situación que se robustece con el Manual General de Organización de la </w:t>
      </w:r>
      <w:r>
        <w:rPr>
          <w:b/>
          <w:bCs/>
          <w:color w:val="000000"/>
        </w:rPr>
        <w:t>Secretaría de la Contraloría</w:t>
      </w:r>
      <w:r>
        <w:rPr>
          <w:color w:val="000000"/>
        </w:rPr>
        <w:t xml:space="preserve">, que precisa que dicha dependencia cuenta con diversas unidades administrativas para el ejercicio de sus funciones, entre las cuales se encuentra la </w:t>
      </w:r>
      <w:r>
        <w:rPr>
          <w:b/>
          <w:bCs/>
          <w:color w:val="000000"/>
        </w:rPr>
        <w:t>Dirección de Registro de Declaraciones y de Sanciones, encargada de realizar la recepción, registro y resguardo de las declaraciones de situación patrimonial de los servidores públicos de las Administraciones Públicas Estatal y Municipal.</w:t>
      </w:r>
    </w:p>
    <w:p w:rsidR="00D07455" w:rsidRDefault="00D07455">
      <w:pPr>
        <w:tabs>
          <w:tab w:val="left" w:pos="4962"/>
        </w:tabs>
        <w:spacing w:after="0" w:line="360" w:lineRule="auto"/>
        <w:ind w:right="-28"/>
      </w:pPr>
    </w:p>
    <w:p w:rsidR="00D07455" w:rsidRDefault="00F53554">
      <w:pPr>
        <w:tabs>
          <w:tab w:val="left" w:pos="4962"/>
        </w:tabs>
        <w:spacing w:after="0" w:line="360" w:lineRule="auto"/>
      </w:pPr>
      <w:r>
        <w:t xml:space="preserve">Conforme a lo anterior, se logra vislumbrar que el Sujeto Obligado es incompetente para conocer de la información peticionada, pues el encargado de recibir, registrar y resguardar </w:t>
      </w:r>
      <w:r>
        <w:lastRenderedPageBreak/>
        <w:t>las declaraciones patrimoniales del Ayuntamiento de Toluca, es únicamente la Secretaría de la Contraloría; situación que se robustece con el Portal de Información Pública de Oficio Mexiquense del Ente Recurrido, el cual precisa que no le es aplicable al Ayuntamiento de Toluca, publicar información de las Declaraciones Patrimoniales, tal como se muestra a continuación:</w:t>
      </w:r>
    </w:p>
    <w:p w:rsidR="00D07455" w:rsidRDefault="00D07455">
      <w:pPr>
        <w:tabs>
          <w:tab w:val="left" w:pos="4962"/>
        </w:tabs>
        <w:spacing w:after="0" w:line="360" w:lineRule="auto"/>
      </w:pPr>
    </w:p>
    <w:p w:rsidR="00D07455" w:rsidRDefault="00F53554">
      <w:pPr>
        <w:spacing w:after="0" w:line="360" w:lineRule="auto"/>
        <w:jc w:val="center"/>
        <w:rPr>
          <w:color w:val="000000"/>
        </w:rPr>
      </w:pPr>
      <w:r>
        <w:rPr>
          <w:noProof/>
          <w:color w:val="000000"/>
        </w:rPr>
        <w:drawing>
          <wp:inline distT="0" distB="0" distL="0" distR="0">
            <wp:extent cx="5671185" cy="2978785"/>
            <wp:effectExtent l="0" t="0" r="0" b="0"/>
            <wp:docPr id="21377104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5671185" cy="2978785"/>
                    </a:xfrm>
                    <a:prstGeom prst="rect">
                      <a:avLst/>
                    </a:prstGeom>
                    <a:ln/>
                  </pic:spPr>
                </pic:pic>
              </a:graphicData>
            </a:graphic>
          </wp:inline>
        </w:drawing>
      </w:r>
    </w:p>
    <w:p w:rsidR="00D07455" w:rsidRDefault="00F53554">
      <w:pPr>
        <w:widowControl w:val="0"/>
        <w:spacing w:after="0" w:line="360" w:lineRule="auto"/>
      </w:pPr>
      <w:r>
        <w:t xml:space="preserve">Conforme a lo anterior, se logra vislumbrar que el Sujeto Obligado es </w:t>
      </w:r>
      <w:r>
        <w:rPr>
          <w:b/>
          <w:bCs/>
        </w:rPr>
        <w:t xml:space="preserve">notoriamente incompetente </w:t>
      </w:r>
      <w:r>
        <w:t>para conocer de la información requerida, pues el encargado de recibir y administrar las declaraciones patrimoniales de los servidores públicos es la Secretaría de la Contraloría.</w:t>
      </w:r>
    </w:p>
    <w:p w:rsidR="00D07455" w:rsidRDefault="00D07455">
      <w:pPr>
        <w:spacing w:after="0" w:line="360" w:lineRule="auto"/>
      </w:pPr>
    </w:p>
    <w:p w:rsidR="00D07455" w:rsidRDefault="00F53554">
      <w:pPr>
        <w:spacing w:after="0" w:line="360" w:lineRule="auto"/>
      </w:pPr>
      <w:r>
        <w:t xml:space="preserve">Conforme a lo expuesto, se considera que el Sujeto Obligado fue congruente con su respuesta, al señalar que carecía de atribuciones para conocer de lo peticionado, tan es así que siguió el procedimiento establecido en el primer párrafo del artículo 167 de la Ley de Transparencia y Acceso a la Información Pública del Estado de México y Municipios; por lo que, se concluye </w:t>
      </w:r>
      <w:r>
        <w:lastRenderedPageBreak/>
        <w:t xml:space="preserve">que el Ayuntamiento de Toluca, es notoriamente incompetente para conocer de la solicitud de información. </w:t>
      </w:r>
    </w:p>
    <w:p w:rsidR="00D07455" w:rsidRDefault="00D07455">
      <w:pPr>
        <w:spacing w:after="0" w:line="360" w:lineRule="auto"/>
        <w:rPr>
          <w:color w:val="000000"/>
        </w:rPr>
      </w:pPr>
    </w:p>
    <w:p w:rsidR="00D07455" w:rsidRDefault="00F53554">
      <w:pPr>
        <w:spacing w:after="0" w:line="360" w:lineRule="auto"/>
        <w:rPr>
          <w:b/>
          <w:bCs/>
          <w:color w:val="000000"/>
        </w:rPr>
      </w:pPr>
      <w:r>
        <w:rPr>
          <w:b/>
          <w:bCs/>
          <w:color w:val="000000"/>
        </w:rPr>
        <w:t xml:space="preserve">5. Detalle del domicilio particular y teléfono de casa </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 xml:space="preserve">De acuerdo con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De la misma manera, lo establece el artículo 29 del Código Civil Federal, al precisar que el domicilio de personas físicas, es el lugar donde residen habitualmente, el lugar del centro principal de sus negocios, donde residan o el lugar donde se encuentren.</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 xml:space="preserve">La misma suerte corre el comprobante de domicilio, pues mediante este se acredita que la servidora pública vive donde señala en los documentos que entrega; sin embargo, es de señalar que este documento guarda la naturaleza de privado, pues no abona en nada a la transparencia, ni rinde cuentas de la forma de actuar de la trabajadora, al contrario, la hace </w:t>
      </w:r>
      <w:r>
        <w:rPr>
          <w:color w:val="000000"/>
        </w:rPr>
        <w:lastRenderedPageBreak/>
        <w:t>ubicable en su carácter de particular, por lo que, se concluye que el comprobante guarda la naturaleza de privado.</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 xml:space="preserve">Asimismo, el </w:t>
      </w:r>
      <w:proofErr w:type="spellStart"/>
      <w:r>
        <w:rPr>
          <w:color w:val="000000"/>
        </w:rPr>
        <w:t>el</w:t>
      </w:r>
      <w:proofErr w:type="spellEnd"/>
      <w:r>
        <w:rPr>
          <w:color w:val="000000"/>
        </w:rPr>
        <w:t xml:space="preserve"> número asignado a un teléfono particular o celular permite localizar a una persona física identificada o identificable, ya sea a través de un dispositivo móvil o bien, en un lugar como el domicilio; por lo que, la titularidad del mismo, al igual que el correo electrónico analizado, corresponde a la persona física en su calidad de particular y no como servidor público.</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 xml:space="preserve">En tales consideraciones, dichos datos personales son susceptibles de ser </w:t>
      </w:r>
      <w:r>
        <w:t>calificados</w:t>
      </w:r>
      <w:r>
        <w:rPr>
          <w:color w:val="000000"/>
        </w:rPr>
        <w:t xml:space="preserve"> como confidenciales, con fundamento en el artículo 143, fracción I de la Ley de Transparencia y Acceso a la Información Pública.</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Conforme a lo anterior, para atender el requerimiento de información el Sujeto Obligado deberá proporcionar el Acuerdo emitido por el Comité de Transparencia, en donde de manera fundada y motivada, confirme la clasificación del comprobante de domicilio y el teléfono de casa de los mandos medios y superiores.</w:t>
      </w:r>
    </w:p>
    <w:p w:rsidR="00D07455" w:rsidRDefault="00D07455">
      <w:pPr>
        <w:spacing w:after="0" w:line="360" w:lineRule="auto"/>
        <w:rPr>
          <w:color w:val="000000"/>
        </w:rPr>
      </w:pPr>
    </w:p>
    <w:p w:rsidR="00D07455" w:rsidRDefault="00F53554">
      <w:pPr>
        <w:spacing w:after="0" w:line="360" w:lineRule="auto"/>
        <w:rPr>
          <w:b/>
          <w:bCs/>
          <w:color w:val="000000"/>
        </w:rPr>
      </w:pPr>
      <w:r>
        <w:rPr>
          <w:b/>
          <w:bCs/>
          <w:color w:val="000000"/>
        </w:rPr>
        <w:t xml:space="preserve">6. Nombramientos </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Sobre el tema, los artículos 5°, 45, 48, 49 y 50 de la Ley del Trabajo de los Servidores Públicos del Estado de México y Municipios, establece que la relación laboral, entre las instituciones y sus servidores públicos, se entiende por establecida mediante nombramiento, formato único de personal o contrato, documentos que obligan al servidor público a cumplir con los deberes inherentes al puesto especificado en los mismos.</w:t>
      </w:r>
    </w:p>
    <w:p w:rsidR="00D07455" w:rsidRDefault="00D07455">
      <w:pPr>
        <w:spacing w:after="0" w:line="360" w:lineRule="auto"/>
        <w:rPr>
          <w:color w:val="000000"/>
        </w:rPr>
      </w:pPr>
    </w:p>
    <w:p w:rsidR="00D07455" w:rsidRDefault="00D07455">
      <w:pPr>
        <w:spacing w:after="0" w:line="360" w:lineRule="auto"/>
        <w:rPr>
          <w:color w:val="000000"/>
        </w:rPr>
      </w:pPr>
    </w:p>
    <w:p w:rsidR="00D07455" w:rsidRDefault="00F53554">
      <w:pPr>
        <w:spacing w:after="0" w:line="360" w:lineRule="auto"/>
        <w:rPr>
          <w:color w:val="000000"/>
        </w:rPr>
      </w:pPr>
      <w:r>
        <w:rPr>
          <w:color w:val="000000"/>
        </w:rPr>
        <w:t xml:space="preserve">Lo cual se robustece, con la Guía Técnica 9 “La Administración del Personal Municipal”, emitida por el Instituto Nacional para el Federalismo y el Desarrollo Municipal, que señala que la formalización de la relación </w:t>
      </w:r>
      <w:r>
        <w:t>laboral se realiza</w:t>
      </w:r>
      <w:r>
        <w:rPr>
          <w:color w:val="000000"/>
        </w:rPr>
        <w:t xml:space="preserve"> por medio del Contrato, nombramiento o Formato Único de Movimiento de Personal.</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 xml:space="preserve">En ese contexto, conforme al artículo 3.5 del Código Reglamentario Municipal de Toluca, se precisa que los nombramientos de la Secretaria o Secretario del Ayuntamiento, Contralora o Contralor, Directoras o Directores Generales, serán aprobados por el Ayuntamiento a propuesta del Presidente Municipal, quién podrá removerlos libremente por causa justificada. </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 xml:space="preserve">Ahora bien, de las constancias que obran en el expediente electrónico, se logró vislumbrar que el Sujeto Obligado proporcionó los nombramientos de la Contraloría Municipal;  Dirección Operativa de la Dirección de Seguridad Pública y Protección; Dirección de Auditoría de Obra y Contraloría Social  de la Contraloría Municipal; Dirección General de Servicios Públicos;  Delegación Administrativa de la Dirección General de Educación, Cultura y Turismo; Coordinación de Apoyo Técnico y Archivo de la Secretaría del Ayuntamiento; Dirección de Obras Públicas de la Dirección General de Obras Públicas; Delegación Administrativa de la Secretaría del Ayuntamiento; Dirección de Residuos Sólidos de la Dirección General de Servicios Públicos; Dirección de Prevención Comunitaria de la Dirección de Seguridad Pública y Protección; Dirección de Ingresos de Tesorería Municipal; Dirección de Recursos Materiales de la Dirección General de Administración; Dirección General de Obras Públicas; Dirección de Servicios Generales de la Dirección General de Administración; Dirección Jurídica de la Dirección General de Seguridad y Protección; Dirección de Sustentabilidad Vial de la Dirección de Seguridad; Delegación Administrativa </w:t>
      </w:r>
      <w:r>
        <w:rPr>
          <w:color w:val="000000"/>
        </w:rPr>
        <w:lastRenderedPageBreak/>
        <w:t>de la Dirección General de Obras Públicas; Dirección de Atención Empresarial, Vinculación y Seguimiento a Parques Industriales de la Dirección de Desarrollo Económico; Dirección de Auditoría de la Contralora Municipal; Unidad de Vinculación Interinstitucional de la Dirección General de Gobierno; Coordinación de Apoyo Técnico de la Dirección General de Medio Ambiente; Coordinación de Obras por Administración Directa de la Dirección General de Obras Públicas; Coordinación de Apoyo Técnico de la Dirección General de Desarrollo Económico; Coordinación de Planeación Gubernamental Innovación y Buen Gobierno de Presidencia; Dirección de Convivencia Social, Inclusión y No Discriminación de la Dirección General de Bienestar; Dirección General de Desarrollo Económico; Departamento de Vinculación Interinstitucional de Presidencia; Coordinación de Relaciones Públicas de Presidencia; Dirección de Apoyo a la Juventud, Recreación y Convivencia Social de la Dirección General de Bienestar; Dirección de Promoción Económica y Empleo de la Dirección General de Desarrollo Económico; Coordinación Jurídica de la Secretaría del Ayuntamiento; Coordinación General Municipal de Mejora Regulatoria de Presidencia; Coordinación de Apoyo Técnico de Presidencia; Dirección de Desarrollo Tecnológico de la Dirección de Seguridad Pública y Protección; Unidad de Diagnóstico Social de la Dirección General de Bienestar; Coordinación de Apoyo Técnico de la Dirección General de Bienestar; Delegación Administrativa  de la Dirección de Bienestar; Coordinación de Delegaciones Administrativas de la Dirección General de Administración; Órgano Interno de Control; Dirección de Alumbrado Público de la Dirección General de Servicios Públicos;  Secretaría Particular de Presidencia; Unidad de Información y Análisis de Presidencia; Unidad Jurídica de la Dirección General de Gobierno; Dirección de Gobierno y Concertación Política de la</w:t>
      </w:r>
      <w:r>
        <w:t xml:space="preserve"> </w:t>
      </w:r>
      <w:r>
        <w:rPr>
          <w:color w:val="000000"/>
        </w:rPr>
        <w:t xml:space="preserve">Dirección General de Gobierno, Coordinación de Apoyo Técnico de la Dirección General de Administración; Delegación Administrativa de la Defensoría Municipal de Derechos Humanos; Coordinación General de Comunicación Social de Presidencia; Dirección General de Administración; Coordinación General de Autoridades Auxiliares de Presidencia; </w:t>
      </w:r>
      <w:r>
        <w:rPr>
          <w:color w:val="000000"/>
        </w:rPr>
        <w:lastRenderedPageBreak/>
        <w:t xml:space="preserve">Delegada Administrativa de la Dirección General de Contraloría Municipal; Coordinación de Apoyo Técnico de la Dirección General de Innovación, Planeación y Gestión Urbana; Coordinación de Apoyo Técnico de la Contraloría Municipal; Coordinación de Apoyo Técnico de la Dirección General de Gobierno; Dirección General de Innovación, Planeación y Gestión Urbana; Dirección General de Gobierno; Coordinación de Giras, Logística y Eventos Especiales de Presidencia; Unidad de Transparencia de la Secretaría del Ayuntamiento; Delegación Administrativa de la Dirección General de Innovación, Planeación y Gestión Urbana; Dirección General del Bienestar; Delegación Administrativa de Presidencia; Dirección de Normatividad Urbana y Suelo Sustentable de la Dirección General de Innovación, Planeación y Gestión Urbana; Dirección Jurídica e Inspección Ambiental de la Dirección General de Medio Ambiente; Dirección General de Medio Ambiente; Consejería Jurídica de la Secretaría del Ayuntamiento; Secretaría del Ayuntamiento; Unidad de Ambientes de Paz de la Dirección General de Bienestar; Secretaría Técnica de Presidencia; Delegación Administrativa de la Dirección General de Servicios Públicos; Dirección de Innovación y Gobierno Digital de la Dirección General de Administración; Dirección de Inteligencia de la Dirección General de Seguridad y Protección; </w:t>
      </w:r>
      <w:proofErr w:type="spellStart"/>
      <w:r>
        <w:rPr>
          <w:color w:val="000000"/>
        </w:rPr>
        <w:t>Preceptoría</w:t>
      </w:r>
      <w:proofErr w:type="spellEnd"/>
      <w:r>
        <w:rPr>
          <w:color w:val="000000"/>
        </w:rPr>
        <w:t xml:space="preserve"> Juvenil Regional de Reintegración de la Secretaría del Ayuntamiento; Coordinación de Apoyo al Sistema Municipal Anticorrupción de la Secretaría del Ayuntamiento; Dirección de Recursos Humanos de la Dirección General de Administración; Delegación Administrativa de la Dirección General de Desarrollo Económico; Coordinación de apoyo técnico de la Dirección General de Obras Públicas; Dirección de Egresos de la Tesorería Municipal; Dirección de Educación de la Dirección General de Bienestar; Dirección de Gobernanza de la Dirección General de Gobierno; Coordinación de Atención Ciudadana y Correspondencia de la Secretaría del Ayuntamiento; Delegación Administrativa de la Dirección General de Gobierno; Coordinación de Turismo y Cultura de Presidencia; Dirección de Desarrollo Policial de la Dirección de Seguridad Pública y Protección; </w:t>
      </w:r>
      <w:r>
        <w:rPr>
          <w:color w:val="000000"/>
        </w:rPr>
        <w:lastRenderedPageBreak/>
        <w:t xml:space="preserve">Coordinación de Justicia Municipal de la Secretaría del Ayuntamiento; Dirección de Prevención, Educación y Control Ambiental de la Dirección General de Medio Ambiente; Dirección de Impulso Agropecuario de la Dirección General de Desarrollo Económico; Dirección de Gestión Ambiental de la Dirección General de Medio Ambiente y Tesorería Municipal; así como  las Constancias de Mayoría de Regidor 4, Regidor 1, Presidente Municipal; </w:t>
      </w:r>
      <w:r>
        <w:t>Síndico</w:t>
      </w:r>
      <w:r>
        <w:rPr>
          <w:color w:val="000000"/>
        </w:rPr>
        <w:t xml:space="preserve"> y Regidor 2.   </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 xml:space="preserve">No obste, este Instituto logró advertir que faltan nombramientos, de manera enunciativa </w:t>
      </w:r>
      <w:r>
        <w:t>más</w:t>
      </w:r>
      <w:r>
        <w:rPr>
          <w:color w:val="000000"/>
        </w:rPr>
        <w:t xml:space="preserve"> no limitativa de la Coordinación de Apoyo Técnico y la Coordinación Administrativa de la Dirección General de Seguridad y Protección; Coordinación de Protección Civil y Bomberos; Dirección General de Seguridad y Protección; Secretaria Técnica del Consejo Municipal de Seguridad Pública; Dirección General de Desarrollo Social; Coordinación de Apoyo Técnico de la Dirección General de Servicios Públicos; Centro de Control y Bienestar Animal; Dirección de Mantenimiento Urbano de la Dirección General de Servicios Públicos; Dirección de Mantenimiento de Áreas Verdes y Panteones; Dirección General de Educación, Cultura y Turismo, además de las constancias de mayoría de los siguientes integrantes de Cabildo: Segundo Síndico, Tercer Regidor, Quinto Regidor, Sexta Regidora, Séptima Regidora, Octava Regidora, Noveno Regidor, Décima Regidora, Décimo Primer Regidor y Décima Segunda Regidora. </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 xml:space="preserve">En ese orden de ideas, para atender el requerimiento de información, el Sujeto Obligado deberá proporcionar los nombramientos faltantes, emitidos del primero de enero al diecisiete de febrero de dos mil veinticinco; 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w:t>
      </w:r>
      <w:r>
        <w:rPr>
          <w:color w:val="000000"/>
        </w:rPr>
        <w:lastRenderedPageBreak/>
        <w:t>que, la entrega no comprende el procesamiento de la misma, ni presentarla conforme al interés del Solicitante, además, que tampoco deberá generarla, resumirla, efectuar cálculos o practicar investigaciones.</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w:t>
      </w:r>
    </w:p>
    <w:p w:rsidR="00D07455" w:rsidRDefault="00D07455">
      <w:pPr>
        <w:spacing w:after="0" w:line="360" w:lineRule="auto"/>
        <w:rPr>
          <w:color w:val="000000"/>
        </w:rPr>
      </w:pPr>
    </w:p>
    <w:p w:rsidR="00D07455" w:rsidRDefault="00F53554">
      <w:pPr>
        <w:widowControl w:val="0"/>
        <w:spacing w:after="0" w:line="360" w:lineRule="auto"/>
        <w:rPr>
          <w:color w:val="000000"/>
        </w:rPr>
      </w:pPr>
      <w:r>
        <w:rPr>
          <w:color w:val="000000"/>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el Sujeto Obligado deberá entregar los Nombramientos faltantes, emitidos del primero de enero al diecisiete de febrero de dos mil veinticinco.  </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 xml:space="preserve">Finalmente, no pasa desapercibido para este Instituto que los documentos, pudieran contener datos o información clasificada, tales como el Registro Federal de Contribuyentes de particulares o servidores públicos, clave </w:t>
      </w:r>
      <w:proofErr w:type="spellStart"/>
      <w:r>
        <w:rPr>
          <w:color w:val="000000"/>
        </w:rPr>
        <w:t>ISSEMyM</w:t>
      </w:r>
      <w:proofErr w:type="spellEnd"/>
      <w:r>
        <w:rPr>
          <w:color w:val="000000"/>
        </w:rPr>
        <w:t xml:space="preserve">, descuentos personales, así como, datos bancarios;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w:t>
      </w:r>
      <w:r>
        <w:rPr>
          <w:color w:val="000000"/>
        </w:rPr>
        <w:lastRenderedPageBreak/>
        <w:t>en la que se testen las partes o secciones clasificadas, indicando su contenido de manera genérica y fundando y motivando su clasificación.</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D07455" w:rsidRDefault="00D07455">
      <w:pPr>
        <w:spacing w:after="0" w:line="360" w:lineRule="auto"/>
      </w:pPr>
    </w:p>
    <w:p w:rsidR="00D07455" w:rsidRDefault="00F53554">
      <w:pPr>
        <w:pStyle w:val="Ttulo2"/>
        <w:spacing w:before="0" w:line="360" w:lineRule="auto"/>
        <w:rPr>
          <w:rFonts w:ascii="Palatino Linotype" w:eastAsia="Palatino Linotype" w:hAnsi="Palatino Linotype" w:cs="Palatino Linotype"/>
          <w:b/>
          <w:bCs/>
          <w:color w:val="000000"/>
          <w:sz w:val="22"/>
          <w:szCs w:val="22"/>
        </w:rPr>
      </w:pPr>
      <w:bookmarkStart w:id="16" w:name="_Toc224833187"/>
      <w:r>
        <w:rPr>
          <w:rFonts w:ascii="Palatino Linotype" w:eastAsia="Palatino Linotype" w:hAnsi="Palatino Linotype" w:cs="Palatino Linotype"/>
          <w:b/>
          <w:bCs/>
          <w:color w:val="000000"/>
          <w:sz w:val="22"/>
          <w:szCs w:val="22"/>
        </w:rPr>
        <w:t>SEXTO. Decisión.</w:t>
      </w:r>
      <w:bookmarkEnd w:id="16"/>
      <w:r>
        <w:rPr>
          <w:rFonts w:ascii="Palatino Linotype" w:eastAsia="Palatino Linotype" w:hAnsi="Palatino Linotype" w:cs="Palatino Linotype"/>
          <w:b/>
          <w:bCs/>
          <w:color w:val="000000"/>
          <w:sz w:val="22"/>
          <w:szCs w:val="22"/>
        </w:rPr>
        <w:t xml:space="preserve"> </w:t>
      </w:r>
    </w:p>
    <w:p w:rsidR="00D07455" w:rsidRDefault="00D07455">
      <w:pPr>
        <w:spacing w:after="0" w:line="360" w:lineRule="auto"/>
        <w:rPr>
          <w:b/>
          <w:bCs/>
          <w:color w:val="000000"/>
        </w:rPr>
      </w:pPr>
    </w:p>
    <w:p w:rsidR="00D07455" w:rsidRDefault="00F53554">
      <w:pPr>
        <w:spacing w:after="0" w:line="360" w:lineRule="auto"/>
      </w:pPr>
      <w:r>
        <w:t xml:space="preserve">Con fundamento en el artículo 186, fracción III, de la Ley de Transparencia y Acceso a la Información Pública del Estado de México y Municipios, este Instituto considera procedente </w:t>
      </w:r>
      <w:r>
        <w:rPr>
          <w:b/>
          <w:bCs/>
        </w:rPr>
        <w:t>MODIFICAR</w:t>
      </w:r>
      <w:r>
        <w:t xml:space="preserve"> la respuesta otorgada por el Sujeto Obligado a la solicitud de información 00957/TOLUCA/IP/2025, a efecto de que entregue, en versión pública, la información faltante.</w:t>
      </w:r>
    </w:p>
    <w:p w:rsidR="00D07455" w:rsidRDefault="00D07455">
      <w:pPr>
        <w:spacing w:after="0" w:line="360" w:lineRule="auto"/>
        <w:rPr>
          <w:color w:val="000000"/>
        </w:rPr>
      </w:pPr>
    </w:p>
    <w:p w:rsidR="00D07455" w:rsidRDefault="00F53554">
      <w:pPr>
        <w:spacing w:after="0" w:line="360" w:lineRule="auto"/>
        <w:rPr>
          <w:b/>
          <w:bCs/>
          <w:color w:val="000000"/>
        </w:rPr>
      </w:pPr>
      <w:r>
        <w:rPr>
          <w:b/>
          <w:bCs/>
          <w:color w:val="000000"/>
        </w:rPr>
        <w:t>SÉPTIMO. Vista la Dirección General de Protección de Datos Personales.</w:t>
      </w:r>
    </w:p>
    <w:p w:rsidR="00D07455" w:rsidRDefault="00D07455">
      <w:pPr>
        <w:spacing w:after="0" w:line="360" w:lineRule="auto"/>
        <w:rPr>
          <w:b/>
          <w:bCs/>
          <w:color w:val="000000"/>
        </w:rPr>
      </w:pPr>
    </w:p>
    <w:p w:rsidR="00D07455" w:rsidRDefault="00F53554">
      <w:pPr>
        <w:spacing w:after="0" w:line="360" w:lineRule="auto"/>
        <w:rPr>
          <w:color w:val="000000"/>
        </w:rPr>
      </w:pPr>
      <w:r>
        <w:rPr>
          <w:color w:val="000000"/>
        </w:rPr>
        <w:t xml:space="preserve">Ahora bien, toda vez que el Sujeto Obligado dejó visibles datos personales de los servidores públicos en los comprobantes de grado máximo de estudios, tales como número de cuenta y matrícula, circunstancia que vulnera lo previsto en el artículo 143, fracción I, de la Ley de Transparencia y Acceso a la Información Pública del Estado de México y Municipios. Por lo tanto, el Ente Recurrido, inobservó la Ley de Transparencia y Acceso a la Información Pública del Estado de México y Municipios y la Ley de Protección de Datos Personales en Posesión de Sujetos Obligados del Estado de México y Municipios. Sobre el particular, si bien, la </w:t>
      </w:r>
      <w:r>
        <w:rPr>
          <w:color w:val="000000"/>
        </w:rPr>
        <w:lastRenderedPageBreak/>
        <w:t>presente resolución no tiene por objetivo investigar y determinar posibles violaciones al derecho de acceso a la información.</w:t>
      </w:r>
    </w:p>
    <w:p w:rsidR="00D07455" w:rsidRDefault="00D07455">
      <w:pPr>
        <w:spacing w:after="0" w:line="360" w:lineRule="auto"/>
        <w:rPr>
          <w:color w:val="000000"/>
        </w:rPr>
      </w:pPr>
    </w:p>
    <w:p w:rsidR="00D07455" w:rsidRDefault="00F53554">
      <w:pPr>
        <w:spacing w:after="0" w:line="360" w:lineRule="auto"/>
        <w:rPr>
          <w:color w:val="000000"/>
        </w:rPr>
      </w:pPr>
      <w:r>
        <w:rPr>
          <w:color w:val="000000"/>
        </w:rPr>
        <w:t>Así, toda vez que este Organismo Autónomo, advirtió la posible publicación de información de datos personales,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w:t>
      </w:r>
    </w:p>
    <w:p w:rsidR="00D07455" w:rsidRDefault="00F53554">
      <w:pPr>
        <w:spacing w:after="0" w:line="360" w:lineRule="auto"/>
        <w:rPr>
          <w:b/>
          <w:bCs/>
          <w:color w:val="000000"/>
        </w:rPr>
      </w:pPr>
      <w:r>
        <w:rPr>
          <w:b/>
          <w:bCs/>
          <w:color w:val="000000"/>
        </w:rPr>
        <w:t>Términos de la Resolución para conocimiento del Particular.</w:t>
      </w:r>
    </w:p>
    <w:p w:rsidR="00D07455" w:rsidRDefault="00D07455">
      <w:pPr>
        <w:spacing w:after="0" w:line="360" w:lineRule="auto"/>
        <w:rPr>
          <w:b/>
          <w:bCs/>
          <w:color w:val="000000"/>
        </w:rPr>
      </w:pPr>
    </w:p>
    <w:p w:rsidR="00D07455" w:rsidRDefault="00F53554">
      <w:pPr>
        <w:spacing w:after="0" w:line="360" w:lineRule="auto"/>
        <w:rPr>
          <w:color w:val="000000"/>
        </w:rPr>
      </w:pPr>
      <w:r>
        <w:t xml:space="preserve">Se le hace del conocimiento a la persona Recurrente que, en el presente asunto, se le da la razón, pues el Ayuntamiento de Toluca no proporcionó la información completa. Por ello, usted debe recibir a través del Sistema de Acceso a la Información Mexiquense (SAIMEX) la información solicitada. </w:t>
      </w:r>
      <w:r>
        <w:rPr>
          <w:color w:val="000000"/>
        </w:rPr>
        <w:t>La labor del Instituto, es apoyar a la población a acceder a la información pública y garantizar la protección de sus datos personales.</w:t>
      </w:r>
    </w:p>
    <w:p w:rsidR="00D07455" w:rsidRDefault="00D07455">
      <w:pPr>
        <w:spacing w:after="0" w:line="360" w:lineRule="auto"/>
      </w:pPr>
    </w:p>
    <w:p w:rsidR="00D07455" w:rsidRDefault="00F53554">
      <w:pPr>
        <w:spacing w:after="0" w:line="360" w:lineRule="auto"/>
        <w:rPr>
          <w:color w:val="000000"/>
        </w:rPr>
      </w:pPr>
      <w:r>
        <w:rPr>
          <w:color w:val="000000"/>
        </w:rPr>
        <w:t>Por lo expuesto y fundado, este Pleno:</w:t>
      </w:r>
    </w:p>
    <w:p w:rsidR="00D07455" w:rsidRDefault="00D07455">
      <w:pPr>
        <w:spacing w:after="0" w:line="360" w:lineRule="auto"/>
        <w:rPr>
          <w:color w:val="000000"/>
        </w:rPr>
      </w:pPr>
    </w:p>
    <w:p w:rsidR="00D07455" w:rsidRDefault="00F53554">
      <w:pPr>
        <w:pStyle w:val="Ttulo1"/>
        <w:spacing w:before="0" w:line="360" w:lineRule="auto"/>
        <w:jc w:val="center"/>
        <w:rPr>
          <w:rFonts w:ascii="Palatino Linotype" w:eastAsia="Palatino Linotype" w:hAnsi="Palatino Linotype" w:cs="Palatino Linotype"/>
          <w:b/>
          <w:bCs/>
          <w:color w:val="000000"/>
          <w:sz w:val="22"/>
          <w:szCs w:val="22"/>
        </w:rPr>
      </w:pPr>
      <w:bookmarkStart w:id="17" w:name="_Toc224833188"/>
      <w:r>
        <w:rPr>
          <w:rFonts w:ascii="Palatino Linotype" w:eastAsia="Palatino Linotype" w:hAnsi="Palatino Linotype" w:cs="Palatino Linotype"/>
          <w:b/>
          <w:bCs/>
          <w:color w:val="000000"/>
          <w:sz w:val="22"/>
          <w:szCs w:val="22"/>
        </w:rPr>
        <w:t>R E S U E L V E:</w:t>
      </w:r>
      <w:bookmarkEnd w:id="17"/>
    </w:p>
    <w:p w:rsidR="00D07455" w:rsidRDefault="00D07455">
      <w:pPr>
        <w:spacing w:after="0" w:line="360" w:lineRule="auto"/>
        <w:ind w:right="-91"/>
        <w:jc w:val="center"/>
        <w:rPr>
          <w:b/>
          <w:bCs/>
          <w:color w:val="000000"/>
        </w:rPr>
      </w:pPr>
    </w:p>
    <w:p w:rsidR="00D07455" w:rsidRDefault="00F53554">
      <w:pPr>
        <w:spacing w:after="0" w:line="360" w:lineRule="auto"/>
      </w:pPr>
      <w:r>
        <w:rPr>
          <w:b/>
          <w:bCs/>
        </w:rPr>
        <w:t xml:space="preserve">PRIMERO. </w:t>
      </w:r>
      <w:r>
        <w:t xml:space="preserve">Se </w:t>
      </w:r>
      <w:r>
        <w:rPr>
          <w:b/>
          <w:bCs/>
        </w:rPr>
        <w:t xml:space="preserve">MODIFICA </w:t>
      </w:r>
      <w:r>
        <w:t>la respuesta entregada por el Ayuntamiento de Toluca, a la solicitud de información 00957/TOLUCA/IP/2025</w:t>
      </w:r>
      <w:r>
        <w:rPr>
          <w:color w:val="000000"/>
        </w:rPr>
        <w:t>,</w:t>
      </w:r>
      <w:r>
        <w:t xml:space="preserve"> por resultar </w:t>
      </w:r>
      <w:r>
        <w:rPr>
          <w:b/>
          <w:bCs/>
        </w:rPr>
        <w:t xml:space="preserve">FUNDADAS </w:t>
      </w:r>
      <w:r>
        <w:t>las razones o motivos de inconformidad hechos valer por la persona Recurrente, en términos de los considerandos QUINTO y SEXTO de la presente Resolución.</w:t>
      </w:r>
    </w:p>
    <w:p w:rsidR="00D07455" w:rsidRDefault="00D07455">
      <w:pPr>
        <w:spacing w:after="0" w:line="360" w:lineRule="auto"/>
      </w:pPr>
    </w:p>
    <w:p w:rsidR="00D07455" w:rsidRDefault="00F53554">
      <w:pPr>
        <w:spacing w:after="0" w:line="360" w:lineRule="auto"/>
        <w:rPr>
          <w:color w:val="000000"/>
        </w:rPr>
      </w:pPr>
      <w:r>
        <w:rPr>
          <w:b/>
          <w:bCs/>
        </w:rPr>
        <w:lastRenderedPageBreak/>
        <w:t xml:space="preserve">SEGUNDO. </w:t>
      </w:r>
      <w:r>
        <w:t xml:space="preserve">Se </w:t>
      </w:r>
      <w:r>
        <w:rPr>
          <w:b/>
          <w:bCs/>
        </w:rPr>
        <w:t>ORDENA</w:t>
      </w:r>
      <w:r>
        <w:t xml:space="preserve"> al Sujeto Obligado</w:t>
      </w:r>
      <w:r>
        <w:rPr>
          <w:b/>
          <w:bCs/>
        </w:rPr>
        <w:t xml:space="preserve">, </w:t>
      </w:r>
      <w:r>
        <w:t xml:space="preserve">a efecto de que previa búsqueda exhaustiva y razonable en los archivos de las unidades administrativas competentes, entregue a través del Sistema de Acceso a la Información Mexiquense (SAIMEX), en su caso en versión pública, los documentos, de los servidores públicos con cargo de mando medio o superior en funciones al diecisiete de febrero de dos mil veinticinco, donde conste </w:t>
      </w:r>
      <w:r>
        <w:rPr>
          <w:color w:val="000000"/>
        </w:rPr>
        <w:t>lo siguiente:</w:t>
      </w:r>
    </w:p>
    <w:p w:rsidR="00D07455" w:rsidRDefault="00D07455">
      <w:pPr>
        <w:spacing w:after="0" w:line="360" w:lineRule="auto"/>
        <w:ind w:right="-30"/>
      </w:pPr>
    </w:p>
    <w:p w:rsidR="00D07455" w:rsidRDefault="00F53554">
      <w:pPr>
        <w:numPr>
          <w:ilvl w:val="0"/>
          <w:numId w:val="11"/>
        </w:numPr>
        <w:spacing w:after="0" w:line="360" w:lineRule="auto"/>
      </w:pPr>
      <w:r>
        <w:t>Título y Cédula y/o comprobante de grado máximo de estudios, de los servidores públicos faltantes;</w:t>
      </w:r>
    </w:p>
    <w:p w:rsidR="00D07455" w:rsidRDefault="00F53554">
      <w:pPr>
        <w:numPr>
          <w:ilvl w:val="0"/>
          <w:numId w:val="11"/>
        </w:numPr>
        <w:spacing w:after="0" w:line="360" w:lineRule="auto"/>
      </w:pPr>
      <w:r>
        <w:t>Recibo de nómina de la primera quincena de febrero de dos mil veinticinco, así como los comprobantes de depósito o pago.</w:t>
      </w:r>
    </w:p>
    <w:p w:rsidR="00D07455" w:rsidRDefault="00F53554">
      <w:pPr>
        <w:numPr>
          <w:ilvl w:val="0"/>
          <w:numId w:val="11"/>
        </w:numPr>
        <w:spacing w:after="0" w:line="360" w:lineRule="auto"/>
      </w:pPr>
      <w:r>
        <w:t>Informe de las actividades realizadas el último mes y las actividades proyectadas en beneficio de la sociedad;</w:t>
      </w:r>
    </w:p>
    <w:p w:rsidR="00D07455" w:rsidRDefault="00F53554">
      <w:pPr>
        <w:numPr>
          <w:ilvl w:val="0"/>
          <w:numId w:val="11"/>
        </w:numPr>
        <w:spacing w:after="0" w:line="360" w:lineRule="auto"/>
      </w:pPr>
      <w:r>
        <w:t>Nombramientos de los servidores públicos faltantes;</w:t>
      </w:r>
    </w:p>
    <w:p w:rsidR="00D07455" w:rsidRDefault="00F53554">
      <w:pPr>
        <w:numPr>
          <w:ilvl w:val="0"/>
          <w:numId w:val="11"/>
        </w:numPr>
        <w:spacing w:after="0" w:line="360" w:lineRule="auto"/>
      </w:pPr>
      <w:r>
        <w:t>El Acuerdo emitido por el Comité de Transparencia, en donde de manera fundada y motivada, confirme la clasificación en su totalidad del comprobante de domicilio y teléfono particular de los servidores públicos referidos, así como, de los datos testados en los documentos entregados en respuesta y los faltantes referidos en numerales 1 y 2, en términos del Considerando QUINTO, de conformidad con los artículos 49, fracción II, 132, fracción II, 143, fracción I, y 149 de la Ley de Transparencia y Acceso a la Información Pública del Estado de México y Municipios</w:t>
      </w:r>
    </w:p>
    <w:p w:rsidR="00D07455" w:rsidRDefault="00D07455">
      <w:pPr>
        <w:spacing w:after="0" w:line="360" w:lineRule="auto"/>
      </w:pPr>
    </w:p>
    <w:p w:rsidR="00D07455" w:rsidRDefault="00F53554">
      <w:pPr>
        <w:spacing w:after="0" w:line="360" w:lineRule="auto"/>
      </w:pPr>
      <w:r>
        <w:t>Para el caso, de que no cuente con el título y/o cédula profesional de alguno de los servidores públicos, por no existir obligación normativa de contar con estos para ocupar el cargo o bien haya acreditado experiencia de un año, en atención al puesto, y de los puntos que dan cuenta en los numerales 3 y 4, por no haberse generado, conforme a lo señalado en el Considerando QUINTO, deberá hacerlo del conocimiento de la parte Recurrente, de manera clara y precisa.</w:t>
      </w:r>
    </w:p>
    <w:p w:rsidR="00D07455" w:rsidRDefault="00D07455">
      <w:pPr>
        <w:spacing w:after="0" w:line="360" w:lineRule="auto"/>
      </w:pPr>
    </w:p>
    <w:p w:rsidR="00D07455" w:rsidRDefault="00F53554">
      <w:pPr>
        <w:spacing w:after="0" w:line="360" w:lineRule="auto"/>
        <w:ind w:right="-28"/>
        <w:rPr>
          <w:color w:val="000000"/>
        </w:rPr>
      </w:pPr>
      <w:r>
        <w:rPr>
          <w:b/>
          <w:bCs/>
        </w:rPr>
        <w:t xml:space="preserve">TERCERO. NOTIFÍQUESE POR SAIMEX </w:t>
      </w:r>
      <w: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w:t>
      </w:r>
      <w:r>
        <w:rPr>
          <w:color w:val="000000"/>
        </w:rPr>
        <w:t xml:space="preserve">De conformidad con el artículo 198 de la </w:t>
      </w:r>
      <w:r>
        <w:t>Ley de Transparencia y Acceso a la Información Pública del Estado de México y Municipios</w:t>
      </w:r>
      <w:r>
        <w:rPr>
          <w:color w:val="000000"/>
        </w:rPr>
        <w:t>, de considerarlo procedente, el Sujeto Obligado de manera fundada y motivada, podrá solicitar una ampliación de plazo para el cumplimiento de la presente resolución.</w:t>
      </w:r>
    </w:p>
    <w:p w:rsidR="00D07455" w:rsidRDefault="00D07455">
      <w:pPr>
        <w:spacing w:after="0" w:line="360" w:lineRule="auto"/>
        <w:rPr>
          <w:color w:val="000000"/>
        </w:rPr>
      </w:pPr>
    </w:p>
    <w:p w:rsidR="00D07455" w:rsidRDefault="00F53554">
      <w:pPr>
        <w:spacing w:after="0" w:line="360" w:lineRule="auto"/>
        <w:rPr>
          <w:color w:val="000000"/>
        </w:rPr>
      </w:pPr>
      <w:r>
        <w:rPr>
          <w:b/>
          <w:bCs/>
          <w:color w:val="000000"/>
        </w:rPr>
        <w:t xml:space="preserve">CUARTO. </w:t>
      </w:r>
      <w:r>
        <w:rPr>
          <w:b/>
          <w:bCs/>
        </w:rPr>
        <w:t>NOTIFÍQUESE POR SAIMEX</w:t>
      </w:r>
      <w:r>
        <w:rPr>
          <w:color w:val="000000"/>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w:t>
      </w:r>
    </w:p>
    <w:p w:rsidR="00D07455" w:rsidRDefault="00D07455">
      <w:pPr>
        <w:spacing w:after="0" w:line="360" w:lineRule="auto"/>
        <w:rPr>
          <w:color w:val="000000"/>
        </w:rPr>
      </w:pPr>
    </w:p>
    <w:p w:rsidR="00D07455" w:rsidRDefault="00F53554">
      <w:pPr>
        <w:spacing w:after="0" w:line="360" w:lineRule="auto"/>
        <w:rPr>
          <w:color w:val="000000"/>
        </w:rPr>
      </w:pPr>
      <w:r>
        <w:rPr>
          <w:b/>
          <w:bCs/>
          <w:color w:val="000000"/>
        </w:rPr>
        <w:t>QUINTO.</w:t>
      </w:r>
      <w:r>
        <w:rPr>
          <w:color w:val="000000"/>
        </w:rPr>
        <w:t xml:space="preserve"> Con fundamento en lo dispuesto en el artículo 24, fracciones XI, XII y XIII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Considerando SÉPTIMO de la presente Resolución.</w:t>
      </w:r>
    </w:p>
    <w:p w:rsidR="00D07455" w:rsidRDefault="00D07455">
      <w:pPr>
        <w:spacing w:after="0" w:line="360" w:lineRule="auto"/>
      </w:pPr>
    </w:p>
    <w:p w:rsidR="00D07455" w:rsidRDefault="00F53554">
      <w:pPr>
        <w:spacing w:after="0" w:line="360" w:lineRule="auto"/>
      </w:pPr>
      <w:r>
        <w:lastRenderedPageBreak/>
        <w:t xml:space="preserve">ASÍ LO RESUELVE, POR </w:t>
      </w:r>
      <w:r>
        <w:rPr>
          <w:b/>
          <w:bCs/>
        </w:rPr>
        <w:t>UNANIMIDAD</w:t>
      </w:r>
      <w:r>
        <w:t xml:space="preserve"> DE VOTOS EL PLENO DEL INSTITUTO DE TRANSPARENCIA, ACCESO A LA INFORMACIÓN PÚBLICA Y PROTECCIÓN DE DATOS PERSONALES DEL ESTADO DE MÉXICO Y MUNICIPIOS, CONFORMADO POR LOS COMISIONADOS JOSÉ MARTÍNEZ VILCHIS CON VOTO PARTICULAR, MARÍA DEL ROSARIO MEJÍA AYALA CON VOTO PARTICULAR, SHARON CRISTINA MORALES MARTÍNEZ, LUIS GUSTAVO PARRA NORIEGA CON VOTO PARTICULAR Y GUADALUPE RAMÍREZ PEÑA CON VOTO PARTICULAR</w:t>
      </w:r>
      <w:bookmarkStart w:id="18" w:name="_GoBack"/>
      <w:bookmarkEnd w:id="18"/>
      <w:r>
        <w:t>, EN LA DÉCIMA SESIÓN ORDINARIA, CELEBRADA EL DIECINUEVE DE MARZO DE DOS MIL VEINTISÉIS, ANTE EL SECRETARIO TÉCNICO DEL PLENO, ALEXIS TAPIA RAMÍREZ.</w:t>
      </w:r>
    </w:p>
    <w:p w:rsidR="00D07455" w:rsidRDefault="00D07455">
      <w:pPr>
        <w:spacing w:after="0" w:line="360" w:lineRule="auto"/>
        <w:rPr>
          <w:color w:val="FF0000"/>
        </w:rPr>
      </w:pPr>
    </w:p>
    <w:p w:rsidR="00D07455" w:rsidRDefault="00D07455">
      <w:pPr>
        <w:spacing w:after="0" w:line="360" w:lineRule="auto"/>
        <w:rPr>
          <w:color w:val="FF0000"/>
        </w:rPr>
      </w:pPr>
    </w:p>
    <w:p w:rsidR="00D07455" w:rsidRDefault="00D07455">
      <w:pPr>
        <w:spacing w:after="0" w:line="360" w:lineRule="auto"/>
        <w:rPr>
          <w:color w:val="FF0000"/>
        </w:rPr>
      </w:pPr>
    </w:p>
    <w:p w:rsidR="00D07455" w:rsidRDefault="00D07455">
      <w:pPr>
        <w:spacing w:after="0" w:line="360" w:lineRule="auto"/>
        <w:rPr>
          <w:color w:val="FF0000"/>
        </w:rPr>
      </w:pPr>
    </w:p>
    <w:p w:rsidR="00D07455" w:rsidRDefault="00D07455">
      <w:pPr>
        <w:spacing w:after="0" w:line="360" w:lineRule="auto"/>
        <w:rPr>
          <w:color w:val="FF0000"/>
        </w:rPr>
      </w:pPr>
    </w:p>
    <w:p w:rsidR="00D07455" w:rsidRDefault="00D07455">
      <w:pPr>
        <w:spacing w:after="0" w:line="360" w:lineRule="auto"/>
        <w:rPr>
          <w:color w:val="FF0000"/>
        </w:rPr>
      </w:pPr>
    </w:p>
    <w:p w:rsidR="00D07455" w:rsidRDefault="00D07455">
      <w:pPr>
        <w:spacing w:after="0" w:line="360" w:lineRule="auto"/>
        <w:rPr>
          <w:color w:val="FF0000"/>
        </w:rPr>
      </w:pPr>
    </w:p>
    <w:p w:rsidR="00D07455" w:rsidRDefault="00D07455">
      <w:pPr>
        <w:spacing w:after="0" w:line="360" w:lineRule="auto"/>
        <w:rPr>
          <w:color w:val="FF0000"/>
        </w:rPr>
      </w:pPr>
    </w:p>
    <w:p w:rsidR="00D07455" w:rsidRDefault="00D07455">
      <w:pPr>
        <w:spacing w:after="0" w:line="360" w:lineRule="auto"/>
        <w:rPr>
          <w:color w:val="FF0000"/>
        </w:rPr>
      </w:pPr>
    </w:p>
    <w:p w:rsidR="00D07455" w:rsidRDefault="00D07455">
      <w:pPr>
        <w:spacing w:after="0" w:line="360" w:lineRule="auto"/>
        <w:rPr>
          <w:color w:val="FF0000"/>
        </w:rPr>
      </w:pPr>
    </w:p>
    <w:p w:rsidR="00D07455" w:rsidRDefault="00D07455">
      <w:pPr>
        <w:spacing w:after="0" w:line="360" w:lineRule="auto"/>
        <w:rPr>
          <w:color w:val="FF0000"/>
        </w:rPr>
      </w:pPr>
    </w:p>
    <w:p w:rsidR="00D07455" w:rsidRDefault="00D07455">
      <w:pPr>
        <w:spacing w:after="0" w:line="360" w:lineRule="auto"/>
        <w:rPr>
          <w:color w:val="FF0000"/>
        </w:rPr>
      </w:pPr>
    </w:p>
    <w:p w:rsidR="003D6738" w:rsidRDefault="003D6738">
      <w:pPr>
        <w:spacing w:after="0" w:line="360" w:lineRule="auto"/>
        <w:rPr>
          <w:color w:val="FF0000"/>
        </w:rPr>
      </w:pPr>
    </w:p>
    <w:p w:rsidR="003D6738" w:rsidRDefault="003D6738">
      <w:pPr>
        <w:spacing w:after="0" w:line="360" w:lineRule="auto"/>
        <w:rPr>
          <w:color w:val="FF0000"/>
        </w:rPr>
      </w:pPr>
    </w:p>
    <w:p w:rsidR="003D6738" w:rsidRDefault="003D6738">
      <w:pPr>
        <w:spacing w:after="0" w:line="360" w:lineRule="auto"/>
        <w:rPr>
          <w:color w:val="FF0000"/>
        </w:rPr>
      </w:pPr>
    </w:p>
    <w:p w:rsidR="003D6738" w:rsidRDefault="003D6738">
      <w:pPr>
        <w:spacing w:after="0" w:line="360" w:lineRule="auto"/>
        <w:rPr>
          <w:color w:val="FF0000"/>
        </w:rPr>
      </w:pPr>
    </w:p>
    <w:p w:rsidR="003D6738" w:rsidRDefault="003D6738">
      <w:pPr>
        <w:spacing w:after="0" w:line="360" w:lineRule="auto"/>
        <w:rPr>
          <w:color w:val="FF0000"/>
        </w:rPr>
      </w:pPr>
    </w:p>
    <w:p w:rsidR="003D6738" w:rsidRDefault="003D6738">
      <w:pPr>
        <w:spacing w:after="0" w:line="360" w:lineRule="auto"/>
        <w:rPr>
          <w:color w:val="FF0000"/>
        </w:rPr>
      </w:pPr>
    </w:p>
    <w:sectPr w:rsidR="003D6738">
      <w:headerReference w:type="even" r:id="rId23"/>
      <w:headerReference w:type="default" r:id="rId24"/>
      <w:footerReference w:type="even" r:id="rId25"/>
      <w:footerReference w:type="default" r:id="rId26"/>
      <w:headerReference w:type="first" r:id="rId27"/>
      <w:footerReference w:type="first" r:id="rId28"/>
      <w:pgSz w:w="12240" w:h="15840"/>
      <w:pgMar w:top="2410" w:right="1608" w:bottom="1560" w:left="1701" w:header="993"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7AD5" w:rsidRDefault="00577AD5">
      <w:pPr>
        <w:spacing w:after="0" w:line="240" w:lineRule="auto"/>
      </w:pPr>
      <w:r>
        <w:separator/>
      </w:r>
    </w:p>
  </w:endnote>
  <w:endnote w:type="continuationSeparator" w:id="0">
    <w:p w:rsidR="00577AD5" w:rsidRDefault="00577A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28B9D550-9571-4B56-BC84-B5E33A411D48}"/>
    <w:embedBold r:id="rId2" w:fontKey="{A46BF072-A442-48D1-AA46-66AF09E3E249}"/>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3" w:fontKey="{1F375D90-CA83-4B46-B78B-974AE12FBDB2}"/>
    <w:embedBold r:id="rId4" w:fontKey="{B5A7676A-8EFE-42F4-BD2A-C629597F7F4C}"/>
    <w:embedItalic r:id="rId5" w:fontKey="{B8832B4E-18EE-4195-86F0-ED9940E3F94D}"/>
    <w:embedBoldItalic r:id="rId6" w:fontKey="{C47A1EBF-2C8B-40B3-800E-91F7BD47E726}"/>
  </w:font>
  <w:font w:name="Calibri">
    <w:panose1 w:val="020F0502020204030204"/>
    <w:charset w:val="00"/>
    <w:family w:val="swiss"/>
    <w:pitch w:val="variable"/>
    <w:sig w:usb0="E4002EFF" w:usb1="C200247B" w:usb2="00000009" w:usb3="00000000" w:csb0="000001FF" w:csb1="00000000"/>
    <w:embedRegular r:id="rId7" w:fontKey="{457273E4-463B-4589-9610-9FE98CCB3452}"/>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1C9E9A39-EE8D-4C6C-8EC4-031899BD18C4}"/>
  </w:font>
  <w:font w:name="Georgia">
    <w:panose1 w:val="02040502050405020303"/>
    <w:charset w:val="00"/>
    <w:family w:val="roman"/>
    <w:pitch w:val="variable"/>
    <w:sig w:usb0="00000287" w:usb1="00000000" w:usb2="00000000" w:usb3="00000000" w:csb0="0000009F" w:csb1="00000000"/>
    <w:embedItalic r:id="rId9" w:fontKey="{4065DEEB-A760-450E-80FA-1DAA5AAEB9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455" w:rsidRDefault="00F5355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580F5D">
      <w:rPr>
        <w:b/>
        <w:bCs/>
        <w:color w:val="000000"/>
        <w:sz w:val="24"/>
        <w:szCs w:val="24"/>
      </w:rPr>
      <w:fldChar w:fldCharType="separate"/>
    </w:r>
    <w:r w:rsidR="00580F5D">
      <w:rPr>
        <w:b/>
        <w:bCs/>
        <w:noProof/>
        <w:color w:val="000000"/>
        <w:sz w:val="24"/>
        <w:szCs w:val="24"/>
      </w:rPr>
      <w:t>68</w:t>
    </w:r>
    <w:r>
      <w:rPr>
        <w:b/>
        <w:bCs/>
        <w:color w:val="000000"/>
        <w:sz w:val="24"/>
        <w:szCs w:val="24"/>
      </w:rPr>
      <w:fldChar w:fldCharType="end"/>
    </w:r>
  </w:p>
  <w:p w:rsidR="00D07455" w:rsidRDefault="00D07455">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455" w:rsidRDefault="00F5355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580F5D">
      <w:rPr>
        <w:b/>
        <w:bCs/>
        <w:noProof/>
        <w:color w:val="000000"/>
        <w:sz w:val="24"/>
        <w:szCs w:val="24"/>
      </w:rPr>
      <w:t>67</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580F5D">
      <w:rPr>
        <w:b/>
        <w:bCs/>
        <w:noProof/>
        <w:color w:val="000000"/>
        <w:sz w:val="24"/>
        <w:szCs w:val="24"/>
      </w:rPr>
      <w:t>68</w:t>
    </w:r>
    <w:r>
      <w:rPr>
        <w:b/>
        <w:bCs/>
        <w:color w:val="000000"/>
        <w:sz w:val="24"/>
        <w:szCs w:val="24"/>
      </w:rPr>
      <w:fldChar w:fldCharType="end"/>
    </w:r>
  </w:p>
  <w:p w:rsidR="00D07455" w:rsidRDefault="00D07455">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455" w:rsidRDefault="00F5355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580F5D">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580F5D">
      <w:rPr>
        <w:b/>
        <w:bCs/>
        <w:noProof/>
        <w:color w:val="000000"/>
        <w:sz w:val="24"/>
        <w:szCs w:val="24"/>
      </w:rPr>
      <w:t>68</w:t>
    </w:r>
    <w:r>
      <w:rPr>
        <w:b/>
        <w:bCs/>
        <w:color w:val="000000"/>
        <w:sz w:val="24"/>
        <w:szCs w:val="24"/>
      </w:rPr>
      <w:fldChar w:fldCharType="end"/>
    </w:r>
  </w:p>
  <w:p w:rsidR="00D07455" w:rsidRDefault="00D07455">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7AD5" w:rsidRDefault="00577AD5">
      <w:pPr>
        <w:spacing w:after="0" w:line="240" w:lineRule="auto"/>
      </w:pPr>
      <w:r>
        <w:separator/>
      </w:r>
    </w:p>
  </w:footnote>
  <w:footnote w:type="continuationSeparator" w:id="0">
    <w:p w:rsidR="00577AD5" w:rsidRDefault="00577A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455" w:rsidRDefault="00D07455">
    <w:pPr>
      <w:widowControl w:val="0"/>
      <w:pBdr>
        <w:top w:val="nil"/>
        <w:left w:val="nil"/>
        <w:bottom w:val="nil"/>
        <w:right w:val="nil"/>
        <w:between w:val="nil"/>
      </w:pBdr>
      <w:spacing w:after="0" w:line="276" w:lineRule="auto"/>
      <w:jc w:val="left"/>
      <w:rPr>
        <w:color w:val="FF0000"/>
      </w:rPr>
    </w:pPr>
  </w:p>
  <w:tbl>
    <w:tblPr>
      <w:tblStyle w:val="a0"/>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D07455">
      <w:trPr>
        <w:trHeight w:val="132"/>
      </w:trPr>
      <w:tc>
        <w:tcPr>
          <w:tcW w:w="0" w:type="auto"/>
        </w:tcPr>
        <w:p w:rsidR="00D07455" w:rsidRDefault="00F53554">
          <w:pPr>
            <w:tabs>
              <w:tab w:val="right" w:pos="8838"/>
            </w:tabs>
            <w:ind w:right="-105"/>
            <w:rPr>
              <w:b/>
              <w:bCs/>
            </w:rPr>
          </w:pPr>
          <w:r>
            <w:rPr>
              <w:b/>
              <w:bCs/>
            </w:rPr>
            <w:t>Recurso de Revisión:</w:t>
          </w:r>
        </w:p>
      </w:tc>
      <w:tc>
        <w:tcPr>
          <w:tcW w:w="0" w:type="auto"/>
        </w:tcPr>
        <w:p w:rsidR="00D07455" w:rsidRDefault="00F53554">
          <w:pPr>
            <w:tabs>
              <w:tab w:val="right" w:pos="8838"/>
            </w:tabs>
            <w:ind w:left="-28" w:right="-32"/>
          </w:pPr>
          <w:r>
            <w:t>03846/INFOEM/IP/RR/2020</w:t>
          </w:r>
        </w:p>
      </w:tc>
    </w:tr>
    <w:tr w:rsidR="00D07455">
      <w:trPr>
        <w:trHeight w:val="261"/>
      </w:trPr>
      <w:tc>
        <w:tcPr>
          <w:tcW w:w="0" w:type="auto"/>
        </w:tcPr>
        <w:p w:rsidR="00D07455" w:rsidRDefault="00F53554">
          <w:pPr>
            <w:tabs>
              <w:tab w:val="right" w:pos="8838"/>
            </w:tabs>
            <w:ind w:right="-105"/>
            <w:rPr>
              <w:b/>
              <w:bCs/>
            </w:rPr>
          </w:pPr>
          <w:r>
            <w:rPr>
              <w:b/>
              <w:bCs/>
            </w:rPr>
            <w:t>Sujeto Obligado:</w:t>
          </w:r>
        </w:p>
      </w:tc>
      <w:tc>
        <w:tcPr>
          <w:tcW w:w="0" w:type="auto"/>
        </w:tcPr>
        <w:p w:rsidR="00D07455" w:rsidRDefault="00F53554">
          <w:pPr>
            <w:tabs>
              <w:tab w:val="right" w:pos="8838"/>
            </w:tabs>
            <w:ind w:right="-32"/>
          </w:pPr>
          <w:r>
            <w:t xml:space="preserve">Ayuntamiento de </w:t>
          </w:r>
          <w:proofErr w:type="spellStart"/>
          <w:r>
            <w:t>Temascalcingo</w:t>
          </w:r>
          <w:proofErr w:type="spellEnd"/>
        </w:p>
      </w:tc>
    </w:tr>
    <w:tr w:rsidR="00D07455">
      <w:trPr>
        <w:trHeight w:val="261"/>
      </w:trPr>
      <w:tc>
        <w:tcPr>
          <w:tcW w:w="0" w:type="auto"/>
        </w:tcPr>
        <w:p w:rsidR="00D07455" w:rsidRDefault="00F53554">
          <w:pPr>
            <w:tabs>
              <w:tab w:val="right" w:pos="8838"/>
            </w:tabs>
            <w:ind w:right="-105"/>
            <w:rPr>
              <w:b/>
              <w:bCs/>
            </w:rPr>
          </w:pPr>
          <w:r>
            <w:rPr>
              <w:b/>
              <w:bCs/>
            </w:rPr>
            <w:t>Comisionado Ponente:</w:t>
          </w:r>
        </w:p>
      </w:tc>
      <w:tc>
        <w:tcPr>
          <w:tcW w:w="0" w:type="auto"/>
        </w:tcPr>
        <w:p w:rsidR="00D07455" w:rsidRDefault="00F53554">
          <w:pPr>
            <w:tabs>
              <w:tab w:val="right" w:pos="8838"/>
            </w:tabs>
            <w:ind w:right="-32"/>
            <w:rPr>
              <w:b/>
              <w:bCs/>
            </w:rPr>
          </w:pPr>
          <w:r>
            <w:t>Luis Gustavo Parra Noriega</w:t>
          </w:r>
        </w:p>
      </w:tc>
    </w:tr>
  </w:tbl>
  <w:p w:rsidR="00D07455" w:rsidRDefault="00577AD5">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455" w:rsidRDefault="00F53554">
    <w:pPr>
      <w:tabs>
        <w:tab w:val="left" w:pos="3913"/>
      </w:tabs>
      <w:rPr>
        <w:sz w:val="2"/>
        <w:szCs w:val="2"/>
      </w:rPr>
    </w:pPr>
    <w:r>
      <w:tab/>
    </w:r>
  </w:p>
  <w:tbl>
    <w:tblPr>
      <w:tblStyle w:val="a1"/>
      <w:tblW w:w="6803"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2"/>
    </w:tblGrid>
    <w:tr w:rsidR="00D07455">
      <w:trPr>
        <w:trHeight w:val="138"/>
      </w:trPr>
      <w:tc>
        <w:tcPr>
          <w:tcW w:w="2551" w:type="dxa"/>
          <w:vAlign w:val="center"/>
        </w:tcPr>
        <w:p w:rsidR="00D07455" w:rsidRDefault="00F53554">
          <w:pPr>
            <w:tabs>
              <w:tab w:val="right" w:pos="8838"/>
            </w:tabs>
            <w:ind w:right="-105"/>
            <w:jc w:val="left"/>
            <w:rPr>
              <w:b/>
              <w:bCs/>
            </w:rPr>
          </w:pPr>
          <w:r>
            <w:rPr>
              <w:b/>
              <w:bCs/>
            </w:rPr>
            <w:t>Recurso de Revisión:</w:t>
          </w:r>
        </w:p>
      </w:tc>
      <w:tc>
        <w:tcPr>
          <w:tcW w:w="4252" w:type="dxa"/>
        </w:tcPr>
        <w:p w:rsidR="00D07455" w:rsidRDefault="00F53554">
          <w:pPr>
            <w:tabs>
              <w:tab w:val="right" w:pos="8838"/>
            </w:tabs>
            <w:ind w:left="-113" w:right="57"/>
          </w:pPr>
          <w:r>
            <w:rPr>
              <w:color w:val="000000"/>
            </w:rPr>
            <w:t>04486/INFOEM/IP/RR/2025</w:t>
          </w:r>
        </w:p>
      </w:tc>
    </w:tr>
    <w:tr w:rsidR="00D07455">
      <w:trPr>
        <w:trHeight w:val="273"/>
      </w:trPr>
      <w:tc>
        <w:tcPr>
          <w:tcW w:w="2551" w:type="dxa"/>
        </w:tcPr>
        <w:p w:rsidR="00D07455" w:rsidRDefault="00F53554">
          <w:pPr>
            <w:tabs>
              <w:tab w:val="right" w:pos="8838"/>
            </w:tabs>
            <w:ind w:right="-105"/>
            <w:rPr>
              <w:b/>
              <w:bCs/>
            </w:rPr>
          </w:pPr>
          <w:r>
            <w:rPr>
              <w:b/>
              <w:bCs/>
            </w:rPr>
            <w:t>Sujeto Obligado:</w:t>
          </w:r>
        </w:p>
      </w:tc>
      <w:tc>
        <w:tcPr>
          <w:tcW w:w="4252" w:type="dxa"/>
        </w:tcPr>
        <w:p w:rsidR="00D07455" w:rsidRDefault="00F53554">
          <w:pPr>
            <w:tabs>
              <w:tab w:val="left" w:pos="2728"/>
              <w:tab w:val="right" w:pos="8838"/>
            </w:tabs>
            <w:ind w:left="-113" w:right="1314"/>
          </w:pPr>
          <w:r>
            <w:rPr>
              <w:color w:val="000000"/>
            </w:rPr>
            <w:t>Ayuntamiento de Toluca</w:t>
          </w:r>
        </w:p>
      </w:tc>
    </w:tr>
    <w:tr w:rsidR="00D07455">
      <w:trPr>
        <w:trHeight w:val="273"/>
      </w:trPr>
      <w:tc>
        <w:tcPr>
          <w:tcW w:w="2551" w:type="dxa"/>
        </w:tcPr>
        <w:p w:rsidR="00D07455" w:rsidRDefault="00F53554">
          <w:pPr>
            <w:tabs>
              <w:tab w:val="right" w:pos="8838"/>
            </w:tabs>
            <w:ind w:right="-105"/>
            <w:rPr>
              <w:b/>
              <w:bCs/>
            </w:rPr>
          </w:pPr>
          <w:r>
            <w:rPr>
              <w:b/>
              <w:bCs/>
            </w:rPr>
            <w:t>Comisionado Ponente:</w:t>
          </w:r>
        </w:p>
      </w:tc>
      <w:tc>
        <w:tcPr>
          <w:tcW w:w="4252" w:type="dxa"/>
        </w:tcPr>
        <w:p w:rsidR="00D07455" w:rsidRDefault="00F53554">
          <w:pPr>
            <w:tabs>
              <w:tab w:val="right" w:pos="8838"/>
            </w:tabs>
            <w:ind w:left="-113" w:right="-170"/>
            <w:rPr>
              <w:b/>
              <w:bCs/>
            </w:rPr>
          </w:pPr>
          <w:r>
            <w:t>Luis Gustavo Parra Noriega</w:t>
          </w:r>
        </w:p>
      </w:tc>
    </w:tr>
  </w:tbl>
  <w:p w:rsidR="00D07455" w:rsidRDefault="00577AD5">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90.6pt;margin-top:-122.05pt;width:663.5pt;height:12in;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455" w:rsidRDefault="00D07455">
    <w:pPr>
      <w:widowControl w:val="0"/>
      <w:pBdr>
        <w:top w:val="nil"/>
        <w:left w:val="nil"/>
        <w:bottom w:val="nil"/>
        <w:right w:val="nil"/>
        <w:between w:val="nil"/>
      </w:pBdr>
      <w:spacing w:after="0" w:line="276" w:lineRule="auto"/>
      <w:jc w:val="left"/>
      <w:rPr>
        <w:color w:val="000000"/>
      </w:rPr>
    </w:pPr>
  </w:p>
  <w:tbl>
    <w:tblPr>
      <w:tblStyle w:val="a2"/>
      <w:tblW w:w="5528"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551"/>
      <w:gridCol w:w="2977"/>
    </w:tblGrid>
    <w:tr w:rsidR="00D07455">
      <w:trPr>
        <w:trHeight w:val="132"/>
      </w:trPr>
      <w:tc>
        <w:tcPr>
          <w:tcW w:w="2551" w:type="dxa"/>
        </w:tcPr>
        <w:p w:rsidR="00D07455" w:rsidRDefault="00F53554">
          <w:pPr>
            <w:tabs>
              <w:tab w:val="right" w:pos="8838"/>
            </w:tabs>
            <w:ind w:right="-105"/>
            <w:rPr>
              <w:b/>
              <w:bCs/>
            </w:rPr>
          </w:pPr>
          <w:r>
            <w:rPr>
              <w:b/>
              <w:bCs/>
            </w:rPr>
            <w:t>Recurso de Revisión:</w:t>
          </w:r>
        </w:p>
      </w:tc>
      <w:tc>
        <w:tcPr>
          <w:tcW w:w="2977" w:type="dxa"/>
        </w:tcPr>
        <w:p w:rsidR="00D07455" w:rsidRDefault="00F53554">
          <w:pPr>
            <w:tabs>
              <w:tab w:val="right" w:pos="8838"/>
            </w:tabs>
            <w:ind w:left="-113" w:right="-32"/>
          </w:pPr>
          <w:r>
            <w:rPr>
              <w:color w:val="000000"/>
            </w:rPr>
            <w:t>04486/INFOEM/IP/RR/2025</w:t>
          </w:r>
        </w:p>
      </w:tc>
    </w:tr>
    <w:tr w:rsidR="00D07455">
      <w:trPr>
        <w:trHeight w:val="132"/>
      </w:trPr>
      <w:tc>
        <w:tcPr>
          <w:tcW w:w="2551" w:type="dxa"/>
        </w:tcPr>
        <w:p w:rsidR="00D07455" w:rsidRDefault="00F53554">
          <w:pPr>
            <w:tabs>
              <w:tab w:val="left" w:pos="1875"/>
            </w:tabs>
            <w:ind w:right="-105"/>
            <w:rPr>
              <w:b/>
              <w:bCs/>
            </w:rPr>
          </w:pPr>
          <w:r>
            <w:rPr>
              <w:b/>
              <w:bCs/>
            </w:rPr>
            <w:t>Recurrente:</w:t>
          </w:r>
          <w:r>
            <w:rPr>
              <w:b/>
              <w:bCs/>
            </w:rPr>
            <w:tab/>
          </w:r>
        </w:p>
      </w:tc>
      <w:tc>
        <w:tcPr>
          <w:tcW w:w="2977" w:type="dxa"/>
        </w:tcPr>
        <w:p w:rsidR="00D07455" w:rsidRDefault="00D07455">
          <w:pPr>
            <w:tabs>
              <w:tab w:val="right" w:pos="8838"/>
            </w:tabs>
            <w:ind w:hanging="114"/>
          </w:pPr>
        </w:p>
      </w:tc>
    </w:tr>
    <w:tr w:rsidR="00D07455">
      <w:trPr>
        <w:trHeight w:val="261"/>
      </w:trPr>
      <w:tc>
        <w:tcPr>
          <w:tcW w:w="2551" w:type="dxa"/>
        </w:tcPr>
        <w:p w:rsidR="00D07455" w:rsidRDefault="00F53554">
          <w:pPr>
            <w:tabs>
              <w:tab w:val="right" w:pos="8838"/>
            </w:tabs>
            <w:ind w:right="-105"/>
            <w:rPr>
              <w:b/>
              <w:bCs/>
            </w:rPr>
          </w:pPr>
          <w:r>
            <w:rPr>
              <w:b/>
              <w:bCs/>
            </w:rPr>
            <w:t>Sujeto Obligado:</w:t>
          </w:r>
        </w:p>
      </w:tc>
      <w:tc>
        <w:tcPr>
          <w:tcW w:w="2977" w:type="dxa"/>
        </w:tcPr>
        <w:p w:rsidR="00D07455" w:rsidRDefault="00F53554">
          <w:pPr>
            <w:tabs>
              <w:tab w:val="right" w:pos="8838"/>
            </w:tabs>
            <w:ind w:left="-113" w:right="-32"/>
          </w:pPr>
          <w:r>
            <w:rPr>
              <w:color w:val="000000"/>
            </w:rPr>
            <w:t>Ayuntamiento de Toluca</w:t>
          </w:r>
        </w:p>
      </w:tc>
    </w:tr>
    <w:tr w:rsidR="00D07455">
      <w:trPr>
        <w:trHeight w:val="261"/>
      </w:trPr>
      <w:tc>
        <w:tcPr>
          <w:tcW w:w="2551" w:type="dxa"/>
        </w:tcPr>
        <w:p w:rsidR="00D07455" w:rsidRDefault="00F53554">
          <w:pPr>
            <w:tabs>
              <w:tab w:val="right" w:pos="8838"/>
            </w:tabs>
            <w:ind w:right="-105"/>
            <w:rPr>
              <w:b/>
              <w:bCs/>
            </w:rPr>
          </w:pPr>
          <w:r>
            <w:rPr>
              <w:b/>
              <w:bCs/>
            </w:rPr>
            <w:t>Comisionado Ponente:</w:t>
          </w:r>
        </w:p>
      </w:tc>
      <w:tc>
        <w:tcPr>
          <w:tcW w:w="2977" w:type="dxa"/>
        </w:tcPr>
        <w:p w:rsidR="00D07455" w:rsidRDefault="00F53554">
          <w:pPr>
            <w:tabs>
              <w:tab w:val="right" w:pos="8838"/>
            </w:tabs>
            <w:ind w:left="-113" w:right="-32"/>
            <w:rPr>
              <w:b/>
              <w:bCs/>
            </w:rPr>
          </w:pPr>
          <w:r>
            <w:t>Luis Gustavo Parra Noriega</w:t>
          </w:r>
        </w:p>
      </w:tc>
    </w:tr>
  </w:tbl>
  <w:p w:rsidR="00D07455" w:rsidRDefault="00577AD5">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3.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E5C19"/>
    <w:multiLevelType w:val="multilevel"/>
    <w:tmpl w:val="03A8A4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BB238D"/>
    <w:multiLevelType w:val="multilevel"/>
    <w:tmpl w:val="23F6FA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E14261"/>
    <w:multiLevelType w:val="multilevel"/>
    <w:tmpl w:val="65D4F51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104D0E3B"/>
    <w:multiLevelType w:val="multilevel"/>
    <w:tmpl w:val="5254C0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9A54FE1"/>
    <w:multiLevelType w:val="multilevel"/>
    <w:tmpl w:val="87CC41D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8D45836"/>
    <w:multiLevelType w:val="multilevel"/>
    <w:tmpl w:val="C040096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4B03929"/>
    <w:multiLevelType w:val="multilevel"/>
    <w:tmpl w:val="1BDC2A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A23383B"/>
    <w:multiLevelType w:val="multilevel"/>
    <w:tmpl w:val="C52007B4"/>
    <w:lvl w:ilvl="0">
      <w:start w:val="1"/>
      <w:numFmt w:val="bullet"/>
      <w:lvlText w:val="−"/>
      <w:lvlJc w:val="left"/>
      <w:pPr>
        <w:ind w:left="720" w:hanging="360"/>
      </w:pPr>
      <w:rPr>
        <w:rFonts w:ascii="Noto Sans Symbols" w:eastAsia="Noto Sans Symbols" w:hAnsi="Noto Sans Symbols" w:cs="Noto Sans Symbols"/>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1AB1A75"/>
    <w:multiLevelType w:val="multilevel"/>
    <w:tmpl w:val="48AA2580"/>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7587991"/>
    <w:multiLevelType w:val="multilevel"/>
    <w:tmpl w:val="F27E6A1E"/>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32808D4"/>
    <w:multiLevelType w:val="multilevel"/>
    <w:tmpl w:val="95740A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0"/>
  </w:num>
  <w:num w:numId="3">
    <w:abstractNumId w:val="2"/>
  </w:num>
  <w:num w:numId="4">
    <w:abstractNumId w:val="3"/>
  </w:num>
  <w:num w:numId="5">
    <w:abstractNumId w:val="9"/>
  </w:num>
  <w:num w:numId="6">
    <w:abstractNumId w:val="5"/>
  </w:num>
  <w:num w:numId="7">
    <w:abstractNumId w:val="8"/>
  </w:num>
  <w:num w:numId="8">
    <w:abstractNumId w:val="1"/>
  </w:num>
  <w:num w:numId="9">
    <w:abstractNumId w:val="7"/>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455"/>
    <w:rsid w:val="00287807"/>
    <w:rsid w:val="00305CC1"/>
    <w:rsid w:val="003D6738"/>
    <w:rsid w:val="00577AD5"/>
    <w:rsid w:val="00580F5D"/>
    <w:rsid w:val="00D07455"/>
    <w:rsid w:val="00F535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EE61176-FD01-43E8-B458-79E03A35C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after="0"/>
      <w:outlineLvl w:val="0"/>
    </w:pPr>
    <w:rPr>
      <w:rFonts w:ascii="Calibri" w:eastAsia="Calibri" w:hAnsi="Calibri" w:cs="Calibri"/>
      <w:color w:val="2F5496"/>
      <w:sz w:val="32"/>
      <w:szCs w:val="32"/>
    </w:rPr>
  </w:style>
  <w:style w:type="paragraph" w:styleId="Ttulo2">
    <w:name w:val="heading 2"/>
    <w:basedOn w:val="Normal"/>
    <w:next w:val="Normal"/>
    <w:pPr>
      <w:keepNext/>
      <w:keepLines/>
      <w:spacing w:before="40" w:after="0"/>
      <w:outlineLvl w:val="1"/>
    </w:pPr>
    <w:rPr>
      <w:rFonts w:ascii="Calibri" w:eastAsia="Calibri" w:hAnsi="Calibri" w:cs="Calibri"/>
      <w:color w:val="2F5496"/>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Encabezado">
    <w:name w:val="header"/>
    <w:basedOn w:val="Normal"/>
    <w:link w:val="EncabezadoCar"/>
    <w:uiPriority w:val="99"/>
    <w:unhideWhenUsed/>
    <w:rsid w:val="00DB3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DC5"/>
    <w:rPr>
      <w:rFonts w:ascii="Palatino Linotype" w:hAnsi="Palatino Linotype"/>
      <w:color w:val="000000" w:themeColor="text1"/>
      <w:kern w:val="0"/>
    </w:rPr>
  </w:style>
  <w:style w:type="paragraph" w:styleId="Piedepgina">
    <w:name w:val="footer"/>
    <w:basedOn w:val="Normal"/>
    <w:link w:val="PiedepginaCar"/>
    <w:uiPriority w:val="99"/>
    <w:unhideWhenUsed/>
    <w:rsid w:val="00DB3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DC5"/>
    <w:rPr>
      <w:rFonts w:ascii="Palatino Linotype" w:hAnsi="Palatino Linotype"/>
      <w:color w:val="000000" w:themeColor="text1"/>
      <w:kern w:val="0"/>
    </w:rPr>
  </w:style>
  <w:style w:type="table" w:styleId="Tablaconcuadrcula">
    <w:name w:val="Table Grid"/>
    <w:basedOn w:val="Tablanormal"/>
    <w:uiPriority w:val="59"/>
    <w:qFormat/>
    <w:rsid w:val="00DB3DC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3DC5"/>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3DC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DB3DC5"/>
    <w:rPr>
      <w:rFonts w:ascii="Palatino Linotype" w:hAnsi="Palatino Linotype"/>
      <w:color w:val="000000" w:themeColor="text1"/>
      <w:kern w:val="0"/>
    </w:rPr>
  </w:style>
  <w:style w:type="character" w:styleId="Hipervnculo">
    <w:name w:val="Hyperlink"/>
    <w:aliases w:val="Hipervínculo1,Hipervínculo11,Hipervínculo12,Hipervínculo13,Hipervínculo14,Hipervínculo15"/>
    <w:basedOn w:val="Fuentedeprrafopredeter"/>
    <w:uiPriority w:val="99"/>
    <w:unhideWhenUsed/>
    <w:qFormat/>
    <w:rsid w:val="004500E2"/>
    <w:rPr>
      <w:color w:val="0563C1" w:themeColor="hyperlink"/>
      <w:u w:val="single"/>
    </w:rPr>
  </w:style>
  <w:style w:type="character" w:customStyle="1" w:styleId="Mencinsinresolver1">
    <w:name w:val="Mención sin resolver1"/>
    <w:basedOn w:val="Fuentedeprrafopredeter"/>
    <w:uiPriority w:val="99"/>
    <w:semiHidden/>
    <w:unhideWhenUsed/>
    <w:rsid w:val="004500E2"/>
    <w:rPr>
      <w:color w:val="605E5C"/>
      <w:shd w:val="clear" w:color="auto" w:fill="E1DFDD"/>
    </w:rPr>
  </w:style>
  <w:style w:type="character" w:styleId="Hipervnculovisitado">
    <w:name w:val="FollowedHyperlink"/>
    <w:basedOn w:val="Fuentedeprrafopredeter"/>
    <w:uiPriority w:val="99"/>
    <w:semiHidden/>
    <w:unhideWhenUsed/>
    <w:rsid w:val="00254F36"/>
    <w:rPr>
      <w:color w:val="954F72" w:themeColor="followedHyperlink"/>
      <w:u w:val="single"/>
    </w:rPr>
  </w:style>
  <w:style w:type="table" w:customStyle="1" w:styleId="Tablaconcuadrcula3">
    <w:name w:val="Tabla con cuadrícula3"/>
    <w:basedOn w:val="Tablanormal"/>
    <w:next w:val="Tablaconcuadrcula"/>
    <w:uiPriority w:val="59"/>
    <w:rsid w:val="00837B9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uiPriority w:val="9"/>
    <w:rsid w:val="00076681"/>
    <w:rPr>
      <w:rFonts w:asciiTheme="majorHAnsi" w:eastAsiaTheme="majorEastAsia" w:hAnsiTheme="majorHAnsi" w:cstheme="majorBidi"/>
      <w:color w:val="2F5496" w:themeColor="accent1" w:themeShade="BF"/>
      <w:kern w:val="0"/>
      <w:sz w:val="32"/>
      <w:szCs w:val="32"/>
    </w:rPr>
  </w:style>
  <w:style w:type="paragraph" w:styleId="TtulodeTDC">
    <w:name w:val="TOC Heading"/>
    <w:next w:val="Normal"/>
    <w:uiPriority w:val="39"/>
    <w:unhideWhenUsed/>
    <w:qFormat/>
    <w:rsid w:val="00076681"/>
    <w:pPr>
      <w:jc w:val="left"/>
    </w:pPr>
  </w:style>
  <w:style w:type="paragraph" w:styleId="TDC1">
    <w:name w:val="toc 1"/>
    <w:basedOn w:val="Normal"/>
    <w:next w:val="Normal"/>
    <w:autoRedefine/>
    <w:uiPriority w:val="39"/>
    <w:unhideWhenUsed/>
    <w:rsid w:val="00076681"/>
    <w:pPr>
      <w:tabs>
        <w:tab w:val="right" w:leader="dot" w:pos="9072"/>
      </w:tabs>
      <w:spacing w:after="100" w:line="360" w:lineRule="auto"/>
    </w:pPr>
    <w:rPr>
      <w:rFonts w:ascii="Times New Roman" w:eastAsia="Times New Roman" w:hAnsi="Times New Roman" w:cs="Times New Roman"/>
      <w:sz w:val="20"/>
      <w:szCs w:val="20"/>
      <w:lang w:eastAsia="es-ES"/>
    </w:rPr>
  </w:style>
  <w:style w:type="paragraph" w:styleId="TDC2">
    <w:name w:val="toc 2"/>
    <w:basedOn w:val="Normal"/>
    <w:next w:val="Normal"/>
    <w:autoRedefine/>
    <w:uiPriority w:val="39"/>
    <w:unhideWhenUsed/>
    <w:rsid w:val="00076681"/>
    <w:pPr>
      <w:spacing w:after="100" w:line="240" w:lineRule="auto"/>
      <w:ind w:left="200"/>
      <w:jc w:val="left"/>
    </w:pPr>
    <w:rPr>
      <w:rFonts w:ascii="Times New Roman" w:eastAsia="Times New Roman" w:hAnsi="Times New Roman" w:cs="Times New Roman"/>
      <w:sz w:val="20"/>
      <w:szCs w:val="20"/>
      <w:lang w:eastAsia="es-ES"/>
    </w:rPr>
  </w:style>
  <w:style w:type="character" w:customStyle="1" w:styleId="Ttulo2Car">
    <w:name w:val="Título 2 Car"/>
    <w:basedOn w:val="Fuentedeprrafopredeter"/>
    <w:uiPriority w:val="9"/>
    <w:rsid w:val="00076681"/>
    <w:rPr>
      <w:rFonts w:asciiTheme="majorHAnsi" w:eastAsiaTheme="majorEastAsia" w:hAnsiTheme="majorHAnsi" w:cstheme="majorBidi"/>
      <w:color w:val="2F5496" w:themeColor="accent1" w:themeShade="BF"/>
      <w:kern w:val="0"/>
      <w:sz w:val="26"/>
      <w:szCs w:val="26"/>
    </w:rPr>
  </w:style>
  <w:style w:type="character" w:customStyle="1" w:styleId="Mencinsinresolver2">
    <w:name w:val="Mención sin resolver2"/>
    <w:basedOn w:val="Fuentedeprrafopredeter"/>
    <w:uiPriority w:val="99"/>
    <w:semiHidden/>
    <w:unhideWhenUsed/>
    <w:rsid w:val="00B417C3"/>
    <w:rPr>
      <w:color w:val="605E5C"/>
      <w:shd w:val="clear" w:color="auto" w:fill="E1DFDD"/>
    </w:rPr>
  </w:style>
  <w:style w:type="character" w:customStyle="1" w:styleId="Mencinsinresolver3">
    <w:name w:val="Mención sin resolver3"/>
    <w:basedOn w:val="Fuentedeprrafopredeter"/>
    <w:uiPriority w:val="99"/>
    <w:semiHidden/>
    <w:unhideWhenUsed/>
    <w:rsid w:val="009A627C"/>
    <w:rPr>
      <w:color w:val="605E5C"/>
      <w:shd w:val="clear" w:color="auto" w:fill="E1DFDD"/>
    </w:rPr>
  </w:style>
  <w:style w:type="character" w:customStyle="1" w:styleId="Mencinsinresolver4">
    <w:name w:val="Mención sin resolver4"/>
    <w:basedOn w:val="Fuentedeprrafopredeter"/>
    <w:uiPriority w:val="99"/>
    <w:semiHidden/>
    <w:unhideWhenUsed/>
    <w:rsid w:val="00655864"/>
    <w:rPr>
      <w:color w:val="605E5C"/>
      <w:shd w:val="clear" w:color="auto" w:fill="E1DFDD"/>
    </w:rPr>
  </w:style>
  <w:style w:type="character" w:customStyle="1" w:styleId="Mencinsinresolver5">
    <w:name w:val="Mención sin resolver5"/>
    <w:basedOn w:val="Fuentedeprrafopredeter"/>
    <w:uiPriority w:val="99"/>
    <w:semiHidden/>
    <w:unhideWhenUsed/>
    <w:rsid w:val="00417921"/>
    <w:rPr>
      <w:color w:val="605E5C"/>
      <w:shd w:val="clear" w:color="auto" w:fill="E1DFDD"/>
    </w:rPr>
  </w:style>
  <w:style w:type="character" w:customStyle="1" w:styleId="UnresolvedMention">
    <w:name w:val="Unresolved Mention"/>
    <w:basedOn w:val="Fuentedeprrafopredeter"/>
    <w:uiPriority w:val="99"/>
    <w:semiHidden/>
    <w:unhideWhenUsed/>
    <w:rsid w:val="00292DD8"/>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TDC7">
    <w:name w:val="toc 7"/>
    <w:basedOn w:val="Normal"/>
    <w:next w:val="Normal"/>
    <w:autoRedefine/>
    <w:uiPriority w:val="39"/>
    <w:semiHidden/>
    <w:unhideWhenUsed/>
    <w:rsid w:val="00305CC1"/>
    <w:pPr>
      <w:spacing w:after="100"/>
      <w:ind w:left="1320"/>
    </w:pPr>
  </w:style>
  <w:style w:type="paragraph" w:styleId="TDC8">
    <w:name w:val="toc 8"/>
    <w:basedOn w:val="Normal"/>
    <w:next w:val="Normal"/>
    <w:autoRedefine/>
    <w:uiPriority w:val="39"/>
    <w:semiHidden/>
    <w:unhideWhenUsed/>
    <w:rsid w:val="00305CC1"/>
    <w:pPr>
      <w:spacing w:after="100"/>
      <w:ind w:left="15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749753">
      <w:bodyDiv w:val="1"/>
      <w:marLeft w:val="0"/>
      <w:marRight w:val="0"/>
      <w:marTop w:val="0"/>
      <w:marBottom w:val="0"/>
      <w:divBdr>
        <w:top w:val="none" w:sz="0" w:space="0" w:color="auto"/>
        <w:left w:val="none" w:sz="0" w:space="0" w:color="auto"/>
        <w:bottom w:val="none" w:sz="0" w:space="0" w:color="auto"/>
        <w:right w:val="none" w:sz="0" w:space="0" w:color="auto"/>
      </w:divBdr>
    </w:div>
    <w:div w:id="8924298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gob.mx/segob/renapo/acciones-y-programas/clave-unica-de-registro-de-poblacion-curp-142226"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ipomex.org.mx/ipomex/" TargetMode="External"/><Relationship Id="rId19" Type="http://schemas.openxmlformats.org/officeDocument/2006/relationships/hyperlink" Target="https://consultas.curp.gob.mx/CurpSP/html/informacionecurpP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A0AXqVdzoTRW41Jawb38BKbFYg==">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16318</Words>
  <Characters>89752</Characters>
  <Application>Microsoft Office Word</Application>
  <DocSecurity>0</DocSecurity>
  <Lines>747</Lines>
  <Paragraphs>211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105859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PEÑA VARA</dc:creator>
  <cp:lastModifiedBy>USUARIO</cp:lastModifiedBy>
  <cp:revision>3</cp:revision>
  <cp:lastPrinted>2026-03-23T15:24:00Z</cp:lastPrinted>
  <dcterms:created xsi:type="dcterms:W3CDTF">2026-03-23T15:24:00Z</dcterms:created>
  <dcterms:modified xsi:type="dcterms:W3CDTF">2026-03-23T15:24:00Z</dcterms:modified>
</cp:coreProperties>
</file>