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95" w:rsidRPr="00591EA3" w:rsidRDefault="00A57B95" w:rsidP="00A57B95">
      <w:pPr>
        <w:spacing w:before="240" w:after="240" w:line="360" w:lineRule="auto"/>
        <w:jc w:val="both"/>
        <w:rPr>
          <w:rFonts w:ascii="Palatino Linotype" w:eastAsia="Palatino Linotype" w:hAnsi="Palatino Linotype" w:cs="Palatino Linotype"/>
          <w:b/>
          <w:sz w:val="24"/>
          <w:szCs w:val="24"/>
        </w:rPr>
      </w:pPr>
      <w:bookmarkStart w:id="0" w:name="_GoBack"/>
      <w:bookmarkEnd w:id="0"/>
      <w:r w:rsidRPr="00591EA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w:t>
      </w:r>
      <w:r w:rsidR="00591EA3">
        <w:rPr>
          <w:rFonts w:ascii="Palatino Linotype" w:eastAsia="Palatino Linotype" w:hAnsi="Palatino Linotype" w:cs="Palatino Linotype"/>
          <w:sz w:val="24"/>
          <w:szCs w:val="24"/>
        </w:rPr>
        <w:t xml:space="preserve">n Metepec, Estado de México; </w:t>
      </w:r>
      <w:r w:rsidR="00591EA3" w:rsidRPr="00591EA3">
        <w:rPr>
          <w:rFonts w:ascii="Palatino Linotype" w:eastAsia="Palatino Linotype" w:hAnsi="Palatino Linotype" w:cs="Palatino Linotype"/>
          <w:b/>
          <w:sz w:val="24"/>
          <w:szCs w:val="24"/>
        </w:rPr>
        <w:t>de fecha</w:t>
      </w:r>
      <w:r w:rsidRPr="00591EA3">
        <w:rPr>
          <w:rFonts w:ascii="Palatino Linotype" w:eastAsia="Palatino Linotype" w:hAnsi="Palatino Linotype" w:cs="Palatino Linotype"/>
          <w:b/>
          <w:sz w:val="24"/>
          <w:szCs w:val="24"/>
        </w:rPr>
        <w:t xml:space="preserve"> once </w:t>
      </w:r>
      <w:r w:rsidR="00591EA3" w:rsidRPr="00591EA3">
        <w:rPr>
          <w:rFonts w:ascii="Palatino Linotype" w:eastAsia="Palatino Linotype" w:hAnsi="Palatino Linotype" w:cs="Palatino Linotype"/>
          <w:b/>
          <w:sz w:val="24"/>
          <w:szCs w:val="24"/>
        </w:rPr>
        <w:t xml:space="preserve">(11) </w:t>
      </w:r>
      <w:r w:rsidRPr="00591EA3">
        <w:rPr>
          <w:rFonts w:ascii="Palatino Linotype" w:eastAsia="Palatino Linotype" w:hAnsi="Palatino Linotype" w:cs="Palatino Linotype"/>
          <w:b/>
          <w:sz w:val="24"/>
          <w:szCs w:val="24"/>
        </w:rPr>
        <w:t xml:space="preserve">de marzo de dos mil veintiséis.  </w:t>
      </w:r>
    </w:p>
    <w:p w:rsidR="00A57B95" w:rsidRDefault="00A57B95" w:rsidP="00A57B9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b/>
          <w:color w:val="000000"/>
          <w:sz w:val="24"/>
          <w:szCs w:val="24"/>
        </w:rPr>
        <w:t>VISTO el</w:t>
      </w:r>
      <w:r w:rsidRPr="00591EA3">
        <w:rPr>
          <w:rFonts w:ascii="Palatino Linotype" w:eastAsia="Palatino Linotype" w:hAnsi="Palatino Linotype" w:cs="Palatino Linotype"/>
          <w:color w:val="000000"/>
          <w:sz w:val="24"/>
          <w:szCs w:val="24"/>
        </w:rPr>
        <w:t xml:space="preserve"> expediente electrónico formado con motivo del recurso de revisión </w:t>
      </w:r>
      <w:r w:rsidRPr="00591EA3">
        <w:rPr>
          <w:rFonts w:ascii="Palatino Linotype" w:eastAsia="Palatino Linotype" w:hAnsi="Palatino Linotype" w:cs="Palatino Linotype"/>
          <w:b/>
          <w:color w:val="000000"/>
          <w:sz w:val="24"/>
          <w:szCs w:val="24"/>
        </w:rPr>
        <w:t xml:space="preserve">14218/INFOEM/IP/RR/2025, </w:t>
      </w:r>
      <w:r w:rsidRPr="00591EA3">
        <w:rPr>
          <w:rFonts w:ascii="Palatino Linotype" w:eastAsia="Palatino Linotype" w:hAnsi="Palatino Linotype" w:cs="Palatino Linotype"/>
          <w:color w:val="000000"/>
          <w:sz w:val="24"/>
          <w:szCs w:val="24"/>
        </w:rPr>
        <w:t>promovido</w:t>
      </w:r>
      <w:r w:rsidR="00AC72AA" w:rsidRPr="00591EA3">
        <w:rPr>
          <w:rFonts w:ascii="Palatino Linotype" w:eastAsia="Palatino Linotype" w:hAnsi="Palatino Linotype" w:cs="Palatino Linotype"/>
          <w:color w:val="000000"/>
          <w:sz w:val="24"/>
          <w:szCs w:val="24"/>
        </w:rPr>
        <w:t xml:space="preserve"> por</w:t>
      </w:r>
      <w:r w:rsidRPr="00591EA3">
        <w:rPr>
          <w:rFonts w:ascii="Palatino Linotype" w:eastAsia="Palatino Linotype" w:hAnsi="Palatino Linotype" w:cs="Palatino Linotype"/>
          <w:color w:val="000000"/>
          <w:sz w:val="24"/>
          <w:szCs w:val="24"/>
        </w:rPr>
        <w:t xml:space="preserve"> </w:t>
      </w:r>
      <w:r w:rsidR="00114D38">
        <w:rPr>
          <w:rFonts w:ascii="Palatino Linotype" w:eastAsia="Palatino Linotype" w:hAnsi="Palatino Linotype" w:cs="Palatino Linotype"/>
          <w:b/>
          <w:bCs/>
          <w:sz w:val="24"/>
          <w:szCs w:val="24"/>
        </w:rPr>
        <w:t>XXXX</w:t>
      </w:r>
      <w:r w:rsidRPr="00591EA3">
        <w:rPr>
          <w:rFonts w:ascii="Palatino Linotype" w:eastAsia="Palatino Linotype" w:hAnsi="Palatino Linotype" w:cs="Palatino Linotype"/>
          <w:color w:val="000000"/>
          <w:sz w:val="24"/>
          <w:szCs w:val="24"/>
        </w:rPr>
        <w:t xml:space="preserve">, en su calidad de </w:t>
      </w:r>
      <w:r w:rsidRPr="00591EA3">
        <w:rPr>
          <w:rFonts w:ascii="Palatino Linotype" w:eastAsia="Palatino Linotype" w:hAnsi="Palatino Linotype" w:cs="Palatino Linotype"/>
          <w:b/>
          <w:color w:val="000000"/>
          <w:sz w:val="24"/>
          <w:szCs w:val="24"/>
        </w:rPr>
        <w:t>RECURRENTE</w:t>
      </w:r>
      <w:r w:rsidRPr="00591EA3">
        <w:rPr>
          <w:rFonts w:ascii="Palatino Linotype" w:eastAsia="Palatino Linotype" w:hAnsi="Palatino Linotype" w:cs="Palatino Linotype"/>
          <w:color w:val="000000"/>
          <w:sz w:val="24"/>
          <w:szCs w:val="24"/>
        </w:rPr>
        <w:t xml:space="preserve">, en contra de la falta de respuesta del </w:t>
      </w:r>
      <w:r w:rsidRPr="00591EA3">
        <w:rPr>
          <w:rFonts w:ascii="Palatino Linotype" w:eastAsia="Palatino Linotype" w:hAnsi="Palatino Linotype" w:cs="Palatino Linotype"/>
          <w:b/>
          <w:color w:val="000000"/>
          <w:sz w:val="24"/>
          <w:szCs w:val="24"/>
        </w:rPr>
        <w:t>Ayuntamiento de Tepotzotlán</w:t>
      </w:r>
      <w:r w:rsidRPr="00591EA3">
        <w:rPr>
          <w:rFonts w:ascii="Palatino Linotype" w:eastAsia="Palatino Linotype" w:hAnsi="Palatino Linotype" w:cs="Palatino Linotype"/>
          <w:color w:val="000000"/>
          <w:sz w:val="24"/>
          <w:szCs w:val="24"/>
        </w:rPr>
        <w:t>,</w:t>
      </w:r>
      <w:r w:rsidRP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color w:val="000000"/>
          <w:sz w:val="24"/>
          <w:szCs w:val="24"/>
        </w:rPr>
        <w:t>en lo sucesivo el</w:t>
      </w:r>
      <w:r w:rsidRPr="00591EA3">
        <w:rPr>
          <w:rFonts w:ascii="Palatino Linotype" w:eastAsia="Palatino Linotype" w:hAnsi="Palatino Linotype" w:cs="Palatino Linotype"/>
          <w:b/>
          <w:color w:val="000000"/>
          <w:sz w:val="24"/>
          <w:szCs w:val="24"/>
        </w:rPr>
        <w:t xml:space="preserve"> SUJETO OBLIGADO, </w:t>
      </w:r>
      <w:r w:rsidRPr="00591EA3">
        <w:rPr>
          <w:rFonts w:ascii="Palatino Linotype" w:eastAsia="Palatino Linotype" w:hAnsi="Palatino Linotype" w:cs="Palatino Linotype"/>
          <w:color w:val="000000"/>
          <w:sz w:val="24"/>
          <w:szCs w:val="24"/>
        </w:rPr>
        <w:t>se procede a dictar la presente resolución, con base en los siguientes:</w:t>
      </w:r>
    </w:p>
    <w:p w:rsidR="00114D38" w:rsidRPr="00591EA3" w:rsidRDefault="00114D38" w:rsidP="00A57B95">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pStyle w:val="Ttulo1"/>
        <w:jc w:val="center"/>
        <w:rPr>
          <w:rFonts w:ascii="Palatino Linotype" w:eastAsia="Palatino Linotype" w:hAnsi="Palatino Linotype" w:cs="Palatino Linotype"/>
          <w:b/>
          <w:color w:val="000000"/>
          <w:sz w:val="24"/>
          <w:szCs w:val="24"/>
        </w:rPr>
      </w:pPr>
      <w:bookmarkStart w:id="1" w:name="_heading=h.gjdgxs" w:colFirst="0" w:colLast="0"/>
      <w:bookmarkEnd w:id="1"/>
      <w:r w:rsidRPr="00591EA3">
        <w:rPr>
          <w:rFonts w:ascii="Palatino Linotype" w:eastAsia="Palatino Linotype" w:hAnsi="Palatino Linotype" w:cs="Palatino Linotype"/>
          <w:b/>
          <w:color w:val="000000"/>
          <w:sz w:val="24"/>
          <w:szCs w:val="24"/>
        </w:rPr>
        <w:t>ANTECEDENTES</w:t>
      </w:r>
    </w:p>
    <w:p w:rsidR="00A57B95" w:rsidRPr="00591EA3" w:rsidRDefault="00A57B95" w:rsidP="00A57B95">
      <w:pPr>
        <w:rPr>
          <w:rFonts w:ascii="Palatino Linotype" w:eastAsia="Palatino Linotype" w:hAnsi="Palatino Linotype" w:cs="Palatino Linotype"/>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El </w:t>
      </w:r>
      <w:r w:rsidRPr="00591EA3">
        <w:rPr>
          <w:rFonts w:ascii="Palatino Linotype" w:eastAsia="Palatino Linotype" w:hAnsi="Palatino Linotype" w:cs="Palatino Linotype"/>
          <w:b/>
          <w:color w:val="000000"/>
          <w:sz w:val="24"/>
          <w:szCs w:val="24"/>
        </w:rPr>
        <w:t>dieciocho de noviembre de dos mil veinticinco,</w:t>
      </w:r>
      <w:r w:rsidRPr="00591EA3">
        <w:rPr>
          <w:rFonts w:ascii="Palatino Linotype" w:eastAsia="Palatino Linotype" w:hAnsi="Palatino Linotype" w:cs="Palatino Linotype"/>
          <w:color w:val="000000"/>
          <w:sz w:val="24"/>
          <w:szCs w:val="24"/>
        </w:rPr>
        <w:t xml:space="preserve"> </w:t>
      </w:r>
      <w:r w:rsidRPr="00591EA3">
        <w:rPr>
          <w:rFonts w:ascii="Palatino Linotype" w:eastAsia="Palatino Linotype" w:hAnsi="Palatino Linotype" w:cs="Palatino Linotype"/>
          <w:b/>
          <w:color w:val="000000"/>
          <w:sz w:val="24"/>
          <w:szCs w:val="24"/>
        </w:rPr>
        <w:t xml:space="preserve">EL RECURRENTE </w:t>
      </w:r>
      <w:r w:rsidRPr="00591EA3">
        <w:rPr>
          <w:rFonts w:ascii="Palatino Linotype" w:eastAsia="Palatino Linotype" w:hAnsi="Palatino Linotype" w:cs="Palatino Linotype"/>
          <w:color w:val="000000"/>
          <w:sz w:val="24"/>
          <w:szCs w:val="24"/>
        </w:rPr>
        <w:t>presentó</w:t>
      </w:r>
      <w:r w:rsidRPr="00591EA3">
        <w:rPr>
          <w:rFonts w:ascii="Palatino Linotype" w:eastAsia="Palatino Linotype" w:hAnsi="Palatino Linotype" w:cs="Palatino Linotype"/>
          <w:b/>
          <w:color w:val="000000"/>
          <w:sz w:val="24"/>
          <w:szCs w:val="24"/>
        </w:rPr>
        <w:t>,</w:t>
      </w:r>
      <w:r w:rsidRPr="00591EA3">
        <w:rPr>
          <w:rFonts w:ascii="Palatino Linotype" w:eastAsia="Palatino Linotype" w:hAnsi="Palatino Linotype" w:cs="Palatino Linotype"/>
          <w:color w:val="000000"/>
          <w:sz w:val="24"/>
          <w:szCs w:val="24"/>
        </w:rPr>
        <w:t xml:space="preserve"> ante el </w:t>
      </w:r>
      <w:r w:rsidRPr="00591EA3">
        <w:rPr>
          <w:rFonts w:ascii="Palatino Linotype" w:eastAsia="Palatino Linotype" w:hAnsi="Palatino Linotype" w:cs="Palatino Linotype"/>
          <w:b/>
          <w:color w:val="000000"/>
          <w:sz w:val="24"/>
          <w:szCs w:val="24"/>
        </w:rPr>
        <w:t>SUJETO OBLIGADO</w:t>
      </w:r>
      <w:r w:rsidRPr="00591EA3">
        <w:rPr>
          <w:rFonts w:ascii="Palatino Linotype" w:eastAsia="Palatino Linotype" w:hAnsi="Palatino Linotype" w:cs="Palatino Linotype"/>
          <w:color w:val="000000"/>
          <w:sz w:val="24"/>
          <w:szCs w:val="24"/>
        </w:rPr>
        <w:t xml:space="preserve"> vía Sistema de Acceso a la Información Mexiquense (</w:t>
      </w:r>
      <w:r w:rsidRPr="00591EA3">
        <w:rPr>
          <w:rFonts w:ascii="Palatino Linotype" w:eastAsia="Palatino Linotype" w:hAnsi="Palatino Linotype" w:cs="Palatino Linotype"/>
          <w:b/>
          <w:color w:val="000000"/>
          <w:sz w:val="24"/>
          <w:szCs w:val="24"/>
        </w:rPr>
        <w:t>SAIMEX)</w:t>
      </w:r>
      <w:r w:rsidRPr="00591EA3">
        <w:rPr>
          <w:rFonts w:ascii="Palatino Linotype" w:eastAsia="Palatino Linotype" w:hAnsi="Palatino Linotype" w:cs="Palatino Linotype"/>
          <w:color w:val="000000"/>
          <w:sz w:val="24"/>
          <w:szCs w:val="24"/>
        </w:rPr>
        <w:t xml:space="preserve">, la solicitud de información pública registrada con el número </w:t>
      </w:r>
      <w:r w:rsidRPr="00591EA3">
        <w:rPr>
          <w:rFonts w:ascii="Palatino Linotype" w:eastAsia="Palatino Linotype" w:hAnsi="Palatino Linotype" w:cs="Palatino Linotype"/>
          <w:b/>
          <w:bCs/>
          <w:color w:val="000000"/>
          <w:sz w:val="24"/>
          <w:szCs w:val="24"/>
        </w:rPr>
        <w:t>01187/TEPOTZOT/IP/2025</w:t>
      </w:r>
      <w:r w:rsidRP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color w:val="000000"/>
          <w:sz w:val="24"/>
          <w:szCs w:val="24"/>
        </w:rPr>
        <w:t>mediante la cual solicitó lo siguiente:</w:t>
      </w:r>
    </w:p>
    <w:p w:rsidR="00A57B95" w:rsidRPr="00591EA3" w:rsidRDefault="00A57B95" w:rsidP="00A57B9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spacing w:line="276" w:lineRule="auto"/>
        <w:ind w:left="567" w:right="567"/>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sz w:val="24"/>
          <w:szCs w:val="24"/>
        </w:rPr>
        <w:t>“Monto total recaudado por predial en 2025 y su destino.” (Sic)</w:t>
      </w:r>
    </w:p>
    <w:p w:rsidR="00A57B95" w:rsidRPr="00591EA3" w:rsidRDefault="00A57B95" w:rsidP="00A57B95">
      <w:pPr>
        <w:pBdr>
          <w:top w:val="nil"/>
          <w:left w:val="nil"/>
          <w:bottom w:val="nil"/>
          <w:right w:val="nil"/>
          <w:between w:val="nil"/>
        </w:pBdr>
        <w:ind w:right="567"/>
        <w:jc w:val="both"/>
        <w:rPr>
          <w:rFonts w:ascii="Palatino Linotype" w:eastAsia="Palatino Linotype" w:hAnsi="Palatino Linotype" w:cs="Palatino Linotype"/>
          <w:color w:val="000000"/>
          <w:sz w:val="24"/>
          <w:szCs w:val="24"/>
        </w:rPr>
      </w:pPr>
    </w:p>
    <w:p w:rsidR="00A57B95" w:rsidRPr="00591EA3" w:rsidRDefault="00A57B95" w:rsidP="00A57B95">
      <w:pPr>
        <w:ind w:right="567"/>
        <w:jc w:val="both"/>
        <w:rPr>
          <w:rFonts w:ascii="Palatino Linotype" w:eastAsia="Palatino Linotype" w:hAnsi="Palatino Linotype" w:cs="Palatino Linotype"/>
          <w:i/>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Señaló como modalidad de entrega de la información a través de la Plataforma SAIMEX</w:t>
      </w:r>
      <w:r w:rsidRPr="00591EA3">
        <w:rPr>
          <w:rFonts w:ascii="Palatino Linotype" w:eastAsia="Palatino Linotype" w:hAnsi="Palatino Linotype" w:cs="Palatino Linotype"/>
          <w:b/>
          <w:color w:val="000000"/>
          <w:sz w:val="24"/>
          <w:szCs w:val="24"/>
        </w:rPr>
        <w:t>.</w:t>
      </w:r>
    </w:p>
    <w:p w:rsidR="00A57B95" w:rsidRPr="00591EA3" w:rsidRDefault="00A57B95" w:rsidP="00A57B9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El Sujeto Obligado no emitió respuesta a la solicitud.</w:t>
      </w:r>
    </w:p>
    <w:p w:rsidR="00A57B95" w:rsidRPr="00591EA3" w:rsidRDefault="00A57B95" w:rsidP="00A57B95">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2" w:name="_heading=h.30j0zll" w:colFirst="0" w:colLast="0"/>
      <w:bookmarkEnd w:id="2"/>
      <w:r w:rsidRPr="00591EA3">
        <w:rPr>
          <w:rFonts w:ascii="Palatino Linotype" w:eastAsia="Palatino Linotype" w:hAnsi="Palatino Linotype" w:cs="Palatino Linotype"/>
          <w:color w:val="000000"/>
          <w:sz w:val="24"/>
          <w:szCs w:val="24"/>
        </w:rPr>
        <w:lastRenderedPageBreak/>
        <w:t xml:space="preserve">El </w:t>
      </w:r>
      <w:r w:rsidRPr="00591EA3">
        <w:rPr>
          <w:rFonts w:ascii="Palatino Linotype" w:eastAsia="Palatino Linotype" w:hAnsi="Palatino Linotype" w:cs="Palatino Linotype"/>
          <w:b/>
          <w:color w:val="000000"/>
          <w:sz w:val="24"/>
          <w:szCs w:val="24"/>
        </w:rPr>
        <w:t>doce de diciembre de dos mil veinticinco</w:t>
      </w:r>
      <w:r w:rsidRPr="00591EA3">
        <w:rPr>
          <w:rFonts w:ascii="Palatino Linotype" w:eastAsia="Palatino Linotype" w:hAnsi="Palatino Linotype" w:cs="Palatino Linotype"/>
          <w:color w:val="000000"/>
          <w:sz w:val="24"/>
          <w:szCs w:val="24"/>
        </w:rPr>
        <w:t xml:space="preserve">, </w:t>
      </w:r>
      <w:r w:rsidRPr="00591EA3">
        <w:rPr>
          <w:rFonts w:ascii="Palatino Linotype" w:eastAsia="Palatino Linotype" w:hAnsi="Palatino Linotype" w:cs="Palatino Linotype"/>
          <w:b/>
          <w:color w:val="000000"/>
          <w:sz w:val="24"/>
          <w:szCs w:val="24"/>
        </w:rPr>
        <w:t>EL RECURRENTE</w:t>
      </w:r>
      <w:r w:rsidRPr="00591EA3">
        <w:rPr>
          <w:rFonts w:ascii="Palatino Linotype" w:eastAsia="Palatino Linotype" w:hAnsi="Palatino Linotype" w:cs="Palatino Linotype"/>
          <w:color w:val="000000"/>
          <w:sz w:val="24"/>
          <w:szCs w:val="24"/>
        </w:rPr>
        <w:t xml:space="preserve"> interpuso el recurso de revisión, en contra de la falta de respuesta y, señaló como:</w:t>
      </w:r>
    </w:p>
    <w:p w:rsidR="00A57B95" w:rsidRPr="00591EA3" w:rsidRDefault="00A57B95" w:rsidP="00A57B95">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A57B95" w:rsidRPr="00591EA3" w:rsidRDefault="00591EA3" w:rsidP="00591EA3">
      <w:pPr>
        <w:pStyle w:val="Prrafodelista"/>
        <w:numPr>
          <w:ilvl w:val="0"/>
          <w:numId w:val="7"/>
        </w:numPr>
        <w:pBdr>
          <w:top w:val="nil"/>
          <w:left w:val="nil"/>
          <w:bottom w:val="nil"/>
          <w:right w:val="nil"/>
          <w:between w:val="nil"/>
        </w:pBdr>
        <w:spacing w:line="360" w:lineRule="auto"/>
        <w:ind w:left="709" w:right="822"/>
        <w:jc w:val="both"/>
        <w:rPr>
          <w:rFonts w:ascii="Palatino Linotype" w:eastAsia="Palatino Linotype" w:hAnsi="Palatino Linotype" w:cs="Palatino Linotype"/>
          <w:i/>
          <w:color w:val="000000"/>
          <w:sz w:val="24"/>
        </w:rPr>
      </w:pPr>
      <w:r w:rsidRPr="00591EA3">
        <w:rPr>
          <w:rFonts w:ascii="Palatino Linotype" w:eastAsia="Palatino Linotype" w:hAnsi="Palatino Linotype" w:cs="Palatino Linotype"/>
          <w:b/>
          <w:color w:val="000000"/>
          <w:sz w:val="24"/>
        </w:rPr>
        <w:t xml:space="preserve">ACTO IMPUGNADO: </w:t>
      </w:r>
      <w:r w:rsidR="00A57B95" w:rsidRPr="00591EA3">
        <w:rPr>
          <w:rFonts w:ascii="Palatino Linotype" w:eastAsia="Palatino Linotype" w:hAnsi="Palatino Linotype" w:cs="Palatino Linotype"/>
          <w:i/>
          <w:color w:val="000000"/>
          <w:sz w:val="24"/>
        </w:rPr>
        <w:t>“Monto total recaudado por predial en 2025 y su destino.” (sic) y;</w:t>
      </w:r>
    </w:p>
    <w:p w:rsidR="00A57B95" w:rsidRPr="00591EA3" w:rsidRDefault="00A57B95" w:rsidP="00591EA3">
      <w:pPr>
        <w:pBdr>
          <w:top w:val="nil"/>
          <w:left w:val="nil"/>
          <w:bottom w:val="nil"/>
          <w:right w:val="nil"/>
          <w:between w:val="nil"/>
        </w:pBdr>
        <w:spacing w:line="360" w:lineRule="auto"/>
        <w:ind w:left="709" w:right="822"/>
        <w:jc w:val="both"/>
        <w:rPr>
          <w:rFonts w:ascii="Palatino Linotype" w:eastAsia="Palatino Linotype" w:hAnsi="Palatino Linotype" w:cs="Palatino Linotype"/>
          <w:i/>
          <w:color w:val="000000"/>
          <w:sz w:val="24"/>
          <w:szCs w:val="24"/>
        </w:rPr>
      </w:pPr>
    </w:p>
    <w:p w:rsidR="00A57B95" w:rsidRPr="00591EA3" w:rsidRDefault="00591EA3" w:rsidP="00591EA3">
      <w:pPr>
        <w:pStyle w:val="Prrafodelista"/>
        <w:numPr>
          <w:ilvl w:val="0"/>
          <w:numId w:val="7"/>
        </w:numPr>
        <w:pBdr>
          <w:top w:val="nil"/>
          <w:left w:val="nil"/>
          <w:bottom w:val="nil"/>
          <w:right w:val="nil"/>
          <w:between w:val="nil"/>
        </w:pBdr>
        <w:spacing w:line="360" w:lineRule="auto"/>
        <w:ind w:left="709" w:right="822"/>
        <w:jc w:val="both"/>
        <w:rPr>
          <w:rFonts w:ascii="Palatino Linotype" w:eastAsia="Palatino Linotype" w:hAnsi="Palatino Linotype" w:cs="Palatino Linotype"/>
          <w:color w:val="000000"/>
          <w:sz w:val="24"/>
        </w:rPr>
      </w:pPr>
      <w:r w:rsidRPr="00591EA3">
        <w:rPr>
          <w:rFonts w:ascii="Palatino Linotype" w:eastAsia="Palatino Linotype" w:hAnsi="Palatino Linotype" w:cs="Palatino Linotype"/>
          <w:b/>
          <w:color w:val="000000"/>
          <w:sz w:val="24"/>
        </w:rPr>
        <w:t xml:space="preserve">RAZONES O MOTIVOS DE INCONFORMIDAD: </w:t>
      </w:r>
      <w:r w:rsidR="00A57B95" w:rsidRPr="00591EA3">
        <w:rPr>
          <w:rFonts w:ascii="Palatino Linotype" w:eastAsia="Palatino Linotype" w:hAnsi="Palatino Linotype" w:cs="Palatino Linotype"/>
          <w:b/>
          <w:color w:val="000000"/>
          <w:sz w:val="24"/>
        </w:rPr>
        <w:t>“</w:t>
      </w:r>
      <w:r w:rsidR="00A57B95" w:rsidRPr="00591EA3">
        <w:rPr>
          <w:rFonts w:ascii="Palatino Linotype" w:eastAsia="Palatino Linotype" w:hAnsi="Palatino Linotype" w:cs="Palatino Linotype"/>
          <w:i/>
          <w:color w:val="000000"/>
          <w:sz w:val="24"/>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w:t>
      </w:r>
      <w:r w:rsidR="00A57B95" w:rsidRPr="00591EA3">
        <w:rPr>
          <w:rFonts w:ascii="Palatino Linotype" w:eastAsia="Palatino Linotype" w:hAnsi="Palatino Linotype" w:cs="Palatino Linotype"/>
          <w:i/>
          <w:color w:val="000000"/>
          <w:sz w:val="24"/>
        </w:rPr>
        <w:lastRenderedPageBreak/>
        <w:t>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rsidR="00A57B95" w:rsidRPr="00591EA3" w:rsidRDefault="00A57B95" w:rsidP="00A57B9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Se registró el recurso de revisión bajo el número de expediente al rubro indicado, asimismo con fundamento en lo dispuesto por el artículo 185 fracción I de la </w:t>
      </w:r>
      <w:r w:rsidRPr="00591EA3">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sidRPr="00591EA3">
        <w:rPr>
          <w:rFonts w:ascii="Palatino Linotype" w:eastAsia="Palatino Linotype" w:hAnsi="Palatino Linotype" w:cs="Palatino Linotype"/>
          <w:color w:val="000000"/>
          <w:sz w:val="24"/>
          <w:szCs w:val="24"/>
        </w:rPr>
        <w:t xml:space="preserve">se turnó a la </w:t>
      </w:r>
      <w:r w:rsidRPr="00591EA3">
        <w:rPr>
          <w:rFonts w:ascii="Palatino Linotype" w:eastAsia="Palatino Linotype" w:hAnsi="Palatino Linotype" w:cs="Palatino Linotype"/>
          <w:b/>
          <w:color w:val="000000"/>
          <w:sz w:val="24"/>
          <w:szCs w:val="24"/>
        </w:rPr>
        <w:t xml:space="preserve">Comisionada María del Rosario Mejía Ayala, </w:t>
      </w:r>
      <w:r w:rsidR="00591EA3">
        <w:rPr>
          <w:rFonts w:ascii="Palatino Linotype" w:eastAsia="Palatino Linotype" w:hAnsi="Palatino Linotype" w:cs="Palatino Linotype"/>
          <w:color w:val="000000"/>
          <w:sz w:val="24"/>
          <w:szCs w:val="24"/>
        </w:rPr>
        <w:t>para</w:t>
      </w:r>
      <w:r w:rsidRPr="00591EA3">
        <w:rPr>
          <w:rFonts w:ascii="Palatino Linotype" w:eastAsia="Palatino Linotype" w:hAnsi="Palatino Linotype" w:cs="Palatino Linotype"/>
          <w:color w:val="000000"/>
          <w:sz w:val="24"/>
          <w:szCs w:val="24"/>
        </w:rPr>
        <w:t xml:space="preserve"> su análisis.</w:t>
      </w:r>
    </w:p>
    <w:p w:rsidR="00A57B95" w:rsidRPr="00591EA3" w:rsidRDefault="00A57B95" w:rsidP="00A57B9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591EA3" w:rsidP="00A57B95">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lastRenderedPageBreak/>
        <w:t>La Comisionada p</w:t>
      </w:r>
      <w:r w:rsidR="00A57B95" w:rsidRPr="00591EA3">
        <w:rPr>
          <w:rFonts w:ascii="Palatino Linotype" w:eastAsia="Palatino Linotype" w:hAnsi="Palatino Linotype" w:cs="Palatino Linotype"/>
          <w:color w:val="000000"/>
          <w:sz w:val="24"/>
          <w:szCs w:val="24"/>
        </w:rPr>
        <w:t>onente con fundamento en lo dispuesto por el artículo 185 fracción II de la ley de la materia, a través del acuerdo de admisión del</w:t>
      </w:r>
      <w:r w:rsidR="00A57B95" w:rsidRPr="00591EA3">
        <w:rPr>
          <w:rFonts w:ascii="Palatino Linotype" w:eastAsia="Palatino Linotype" w:hAnsi="Palatino Linotype" w:cs="Palatino Linotype"/>
          <w:b/>
          <w:color w:val="000000"/>
          <w:sz w:val="24"/>
          <w:szCs w:val="24"/>
        </w:rPr>
        <w:t xml:space="preserve"> diecinueve de diciembre de dos mil veinticinco</w:t>
      </w:r>
      <w:r w:rsidR="00A57B95" w:rsidRPr="00591EA3">
        <w:rPr>
          <w:rFonts w:ascii="Palatino Linotype" w:eastAsia="Palatino Linotype" w:hAnsi="Palatino Linotype" w:cs="Palatino Linotype"/>
          <w:color w:val="000000"/>
          <w:sz w:val="24"/>
          <w:szCs w:val="24"/>
        </w:rPr>
        <w:t xml:space="preserve">, puso a disposición de las partes el expediente electrónico vía </w:t>
      </w:r>
      <w:r w:rsidR="00A57B95" w:rsidRPr="00591EA3">
        <w:rPr>
          <w:rFonts w:ascii="Palatino Linotype" w:eastAsia="Palatino Linotype" w:hAnsi="Palatino Linotype" w:cs="Palatino Linotype"/>
          <w:b/>
          <w:color w:val="000000"/>
          <w:sz w:val="24"/>
          <w:szCs w:val="24"/>
        </w:rPr>
        <w:t xml:space="preserve">SAIMEX </w:t>
      </w:r>
      <w:r w:rsidR="00A57B95" w:rsidRPr="00591EA3">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00A57B95" w:rsidRPr="00591EA3">
        <w:rPr>
          <w:rFonts w:ascii="Palatino Linotype" w:eastAsia="Palatino Linotype" w:hAnsi="Palatino Linotype" w:cs="Palatino Linotype"/>
          <w:b/>
          <w:color w:val="000000"/>
          <w:sz w:val="24"/>
          <w:szCs w:val="24"/>
        </w:rPr>
        <w:t>SUJETO OBLIGADO</w:t>
      </w:r>
      <w:r w:rsidR="00A57B95" w:rsidRPr="00591EA3">
        <w:rPr>
          <w:rFonts w:ascii="Palatino Linotype" w:eastAsia="Palatino Linotype" w:hAnsi="Palatino Linotype" w:cs="Palatino Linotype"/>
          <w:color w:val="000000"/>
          <w:sz w:val="24"/>
          <w:szCs w:val="24"/>
        </w:rPr>
        <w:t xml:space="preserve"> presentara el informe justificado procedente.</w:t>
      </w:r>
    </w:p>
    <w:p w:rsidR="00A57B95" w:rsidRPr="00591EA3" w:rsidRDefault="00591EA3" w:rsidP="00A57B95">
      <w:pPr>
        <w:numPr>
          <w:ilvl w:val="0"/>
          <w:numId w:val="1"/>
        </w:numPr>
        <w:tabs>
          <w:tab w:val="left" w:pos="284"/>
        </w:tabs>
        <w:spacing w:before="240" w:line="360" w:lineRule="auto"/>
        <w:ind w:left="0"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       </w:t>
      </w:r>
      <w:r w:rsidR="00A57B95" w:rsidRPr="00591EA3">
        <w:rPr>
          <w:rFonts w:ascii="Palatino Linotype" w:eastAsia="Palatino Linotype" w:hAnsi="Palatino Linotype" w:cs="Palatino Linotype"/>
          <w:sz w:val="24"/>
          <w:szCs w:val="24"/>
        </w:rPr>
        <w:t xml:space="preserve">De las constancias que integran el expediente electrónico, se advierte que el Recurrente no realizó manifestaciones; por su parte, el Sujeto Obligado entregó informe justificado el </w:t>
      </w:r>
      <w:r w:rsidR="00A57B95" w:rsidRPr="00591EA3">
        <w:rPr>
          <w:rFonts w:ascii="Palatino Linotype" w:eastAsia="Palatino Linotype" w:hAnsi="Palatino Linotype" w:cs="Palatino Linotype"/>
          <w:b/>
          <w:sz w:val="24"/>
          <w:szCs w:val="24"/>
        </w:rPr>
        <w:t>veinte de enero de dos mil veinticinco</w:t>
      </w:r>
      <w:r w:rsidR="00A57B95" w:rsidRPr="00591EA3">
        <w:rPr>
          <w:rFonts w:ascii="Palatino Linotype" w:eastAsia="Palatino Linotype" w:hAnsi="Palatino Linotype" w:cs="Palatino Linotype"/>
          <w:sz w:val="24"/>
          <w:szCs w:val="24"/>
        </w:rPr>
        <w:t xml:space="preserve">, mismo que se puso a la vista del Recurrente el </w:t>
      </w:r>
      <w:r w:rsidR="00A57B95" w:rsidRPr="00591EA3">
        <w:rPr>
          <w:rFonts w:ascii="Palatino Linotype" w:eastAsia="Palatino Linotype" w:hAnsi="Palatino Linotype" w:cs="Palatino Linotype"/>
          <w:b/>
          <w:sz w:val="24"/>
          <w:szCs w:val="24"/>
        </w:rPr>
        <w:t>doce de febrero de dos mil veintiséis</w:t>
      </w:r>
      <w:r w:rsidR="00A57B95" w:rsidRPr="00591EA3">
        <w:rPr>
          <w:rFonts w:ascii="Palatino Linotype" w:eastAsia="Palatino Linotype" w:hAnsi="Palatino Linotype" w:cs="Palatino Linotype"/>
          <w:sz w:val="24"/>
          <w:szCs w:val="24"/>
        </w:rPr>
        <w:t xml:space="preserve">, a través del archivo electrónico denominado </w:t>
      </w:r>
      <w:hyperlink r:id="rId7" w:history="1">
        <w:r w:rsidR="00A57B95" w:rsidRPr="00591EA3">
          <w:rPr>
            <w:rStyle w:val="Hipervnculo"/>
            <w:rFonts w:ascii="Palatino Linotype" w:eastAsia="Palatino Linotype" w:hAnsi="Palatino Linotype" w:cs="Palatino Linotype"/>
            <w:b/>
            <w:bCs/>
            <w:sz w:val="24"/>
            <w:szCs w:val="24"/>
          </w:rPr>
          <w:t>DAYF-008-2026.pdf</w:t>
        </w:r>
      </w:hyperlink>
      <w:r w:rsidR="00A57B95" w:rsidRPr="00591EA3">
        <w:rPr>
          <w:rFonts w:ascii="Palatino Linotype" w:eastAsia="Palatino Linotype" w:hAnsi="Palatino Linotype" w:cs="Palatino Linotype"/>
          <w:b/>
          <w:bCs/>
          <w:color w:val="0563C1" w:themeColor="hyperlink"/>
          <w:sz w:val="24"/>
          <w:szCs w:val="24"/>
          <w:u w:val="single"/>
        </w:rPr>
        <w:t>,</w:t>
      </w:r>
      <w:r w:rsidR="00A57B95" w:rsidRPr="00591EA3">
        <w:rPr>
          <w:rFonts w:ascii="Palatino Linotype" w:eastAsia="Palatino Linotype" w:hAnsi="Palatino Linotype" w:cs="Palatino Linotype"/>
          <w:sz w:val="24"/>
          <w:szCs w:val="24"/>
        </w:rPr>
        <w:t xml:space="preserve"> que se describe enseguida:</w:t>
      </w:r>
    </w:p>
    <w:p w:rsidR="00A57B95" w:rsidRPr="00591EA3" w:rsidRDefault="00A57B95" w:rsidP="00A57B95">
      <w:pPr>
        <w:pStyle w:val="Prrafodelista"/>
        <w:numPr>
          <w:ilvl w:val="0"/>
          <w:numId w:val="2"/>
        </w:numPr>
        <w:tabs>
          <w:tab w:val="left" w:pos="284"/>
        </w:tabs>
        <w:spacing w:before="240" w:line="360" w:lineRule="auto"/>
        <w:jc w:val="both"/>
        <w:rPr>
          <w:rFonts w:ascii="Palatino Linotype" w:eastAsia="Palatino Linotype" w:hAnsi="Palatino Linotype" w:cs="Palatino Linotype"/>
          <w:b/>
          <w:sz w:val="24"/>
        </w:rPr>
      </w:pPr>
      <w:r w:rsidRPr="00591EA3">
        <w:rPr>
          <w:rFonts w:ascii="Palatino Linotype" w:eastAsia="Palatino Linotype" w:hAnsi="Palatino Linotype" w:cs="Palatino Linotype"/>
          <w:sz w:val="24"/>
        </w:rPr>
        <w:t>Oficio número</w:t>
      </w:r>
      <w:r w:rsidRPr="00591EA3">
        <w:rPr>
          <w:rFonts w:ascii="Palatino Linotype" w:eastAsia="Palatino Linotype" w:hAnsi="Palatino Linotype" w:cs="Palatino Linotype"/>
          <w:b/>
          <w:sz w:val="24"/>
        </w:rPr>
        <w:t xml:space="preserve"> DAyF/008/2026 </w:t>
      </w:r>
      <w:r w:rsidRPr="00591EA3">
        <w:rPr>
          <w:rFonts w:ascii="Palatino Linotype" w:eastAsia="Palatino Linotype" w:hAnsi="Palatino Linotype" w:cs="Palatino Linotype"/>
          <w:sz w:val="24"/>
        </w:rPr>
        <w:t xml:space="preserve">de fecha dos de enero de dos mil veintiséis, suscrito por el Director de Administración y Finanzas, quien señaló “después de realizar una búsqueda exhaustiva y razonable en los archivos y registros que obran en esta Dirección de Administración y Finanzas, la cantidad recaudada al tercer trimestre del 2025, que corresponde a: $121,95,838.61; el cual es destinado a gasto corriente”. </w:t>
      </w:r>
    </w:p>
    <w:p w:rsidR="00A57B95" w:rsidRPr="00591EA3" w:rsidRDefault="00A57B95" w:rsidP="00A57B95">
      <w:pPr>
        <w:pStyle w:val="Prrafodelista"/>
        <w:tabs>
          <w:tab w:val="left" w:pos="284"/>
        </w:tabs>
        <w:spacing w:before="240" w:line="360" w:lineRule="auto"/>
        <w:jc w:val="both"/>
        <w:rPr>
          <w:rFonts w:ascii="Palatino Linotype" w:eastAsia="Palatino Linotype" w:hAnsi="Palatino Linotype" w:cs="Palatino Linotype"/>
          <w:b/>
          <w:sz w:val="24"/>
        </w:rPr>
      </w:pPr>
    </w:p>
    <w:p w:rsidR="00A57B95"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El</w:t>
      </w:r>
      <w:r w:rsidRPr="00591EA3">
        <w:rPr>
          <w:rFonts w:ascii="Palatino Linotype" w:eastAsia="Palatino Linotype" w:hAnsi="Palatino Linotype" w:cs="Palatino Linotype"/>
          <w:b/>
          <w:color w:val="000000"/>
          <w:sz w:val="24"/>
          <w:szCs w:val="24"/>
        </w:rPr>
        <w:t xml:space="preserve"> tres de marzo de dos mil veintiséis</w:t>
      </w:r>
      <w:r w:rsidRPr="00591EA3">
        <w:rPr>
          <w:rFonts w:ascii="Palatino Linotype" w:eastAsia="Palatino Linotype" w:hAnsi="Palatino Linotype" w:cs="Palatino Linotype"/>
          <w:color w:val="000000"/>
          <w:sz w:val="24"/>
          <w:szCs w:val="24"/>
        </w:rPr>
        <w:t>, se notificó el acuerdo mediante el cual se amplió el plazo para emitir resolución.</w:t>
      </w:r>
    </w:p>
    <w:p w:rsidR="00591EA3" w:rsidRPr="00591EA3" w:rsidRDefault="00591EA3" w:rsidP="00591EA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lastRenderedPageBreak/>
        <w:t xml:space="preserve">El </w:t>
      </w:r>
      <w:r w:rsidR="0065252E" w:rsidRPr="00591EA3">
        <w:rPr>
          <w:rFonts w:ascii="Palatino Linotype" w:eastAsia="Palatino Linotype" w:hAnsi="Palatino Linotype" w:cs="Palatino Linotype"/>
          <w:b/>
          <w:color w:val="000000"/>
          <w:sz w:val="24"/>
          <w:szCs w:val="24"/>
        </w:rPr>
        <w:t>tres</w:t>
      </w:r>
      <w:r w:rsidRPr="00591EA3">
        <w:rPr>
          <w:rFonts w:ascii="Palatino Linotype" w:eastAsia="Palatino Linotype" w:hAnsi="Palatino Linotype" w:cs="Palatino Linotype"/>
          <w:b/>
          <w:color w:val="000000"/>
          <w:sz w:val="24"/>
          <w:szCs w:val="24"/>
        </w:rPr>
        <w:t xml:space="preserve"> de marzo de dos mil veintiséis</w:t>
      </w:r>
      <w:r w:rsidRPr="00591EA3">
        <w:rPr>
          <w:rFonts w:ascii="Palatino Linotype" w:eastAsia="Palatino Linotype" w:hAnsi="Palatino Linotype" w:cs="Palatino Linotype"/>
          <w:color w:val="000000"/>
          <w:sz w:val="24"/>
          <w:szCs w:val="24"/>
        </w:rPr>
        <w:t>, la Comisionada Ponente notificó el acuerdo mediante el cual se decretó el cierre de instrucción. Por lo que turnó la presente resolución para su aprobación y</w:t>
      </w:r>
    </w:p>
    <w:p w:rsidR="00A57B95" w:rsidRPr="00591EA3" w:rsidRDefault="00A57B95" w:rsidP="00A57B95">
      <w:pPr>
        <w:pStyle w:val="Ttulo1"/>
        <w:jc w:val="center"/>
        <w:rPr>
          <w:rFonts w:ascii="Palatino Linotype" w:eastAsia="Palatino Linotype" w:hAnsi="Palatino Linotype" w:cs="Palatino Linotype"/>
          <w:b/>
          <w:color w:val="000000"/>
          <w:sz w:val="24"/>
          <w:szCs w:val="24"/>
        </w:rPr>
      </w:pPr>
      <w:bookmarkStart w:id="3" w:name="_heading=h.1fob9te" w:colFirst="0" w:colLast="0"/>
      <w:bookmarkEnd w:id="3"/>
      <w:r w:rsidRPr="00591EA3">
        <w:rPr>
          <w:rFonts w:ascii="Palatino Linotype" w:eastAsia="Palatino Linotype" w:hAnsi="Palatino Linotype" w:cs="Palatino Linotype"/>
          <w:b/>
          <w:color w:val="000000"/>
          <w:sz w:val="24"/>
          <w:szCs w:val="24"/>
        </w:rPr>
        <w:t>C</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O</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N</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S</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I</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D</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E</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R</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A</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N</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D</w:t>
      </w:r>
      <w:r w:rsid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b/>
          <w:color w:val="000000"/>
          <w:sz w:val="24"/>
          <w:szCs w:val="24"/>
        </w:rPr>
        <w:t xml:space="preserve">O </w:t>
      </w:r>
    </w:p>
    <w:p w:rsidR="00A57B95" w:rsidRPr="00591EA3" w:rsidRDefault="00A57B95" w:rsidP="00A57B95">
      <w:pPr>
        <w:rPr>
          <w:rFonts w:eastAsia="Palatino Linotype"/>
          <w:sz w:val="24"/>
          <w:szCs w:val="24"/>
        </w:rPr>
      </w:pPr>
    </w:p>
    <w:p w:rsidR="00A57B95" w:rsidRPr="00591EA3" w:rsidRDefault="00A57B95" w:rsidP="00A57B95">
      <w:pPr>
        <w:pStyle w:val="Ttulo2"/>
        <w:rPr>
          <w:rFonts w:ascii="Palatino Linotype" w:eastAsia="Palatino Linotype" w:hAnsi="Palatino Linotype" w:cs="Palatino Linotype"/>
          <w:b/>
          <w:color w:val="000000"/>
          <w:sz w:val="24"/>
          <w:szCs w:val="24"/>
        </w:rPr>
      </w:pPr>
      <w:bookmarkStart w:id="4" w:name="_heading=h.3znysh7" w:colFirst="0" w:colLast="0"/>
      <w:bookmarkEnd w:id="4"/>
      <w:r w:rsidRPr="00591EA3">
        <w:rPr>
          <w:rFonts w:ascii="Palatino Linotype" w:eastAsia="Palatino Linotype" w:hAnsi="Palatino Linotype" w:cs="Palatino Linotype"/>
          <w:b/>
          <w:color w:val="000000"/>
          <w:sz w:val="24"/>
          <w:szCs w:val="24"/>
        </w:rPr>
        <w:t>PRIMERO. De la competencia</w:t>
      </w:r>
    </w:p>
    <w:p w:rsidR="00A57B95" w:rsidRPr="00591EA3" w:rsidRDefault="00A57B95" w:rsidP="00A57B95">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1EA3">
        <w:rPr>
          <w:rFonts w:ascii="Palatino Linotype" w:hAnsi="Palatino Linotype"/>
          <w:b/>
          <w:sz w:val="24"/>
          <w:szCs w:val="24"/>
        </w:rPr>
        <w:t>Constitución Política de los Estados Unidos Mexicanos</w:t>
      </w:r>
      <w:r w:rsidRPr="00591EA3">
        <w:rPr>
          <w:rFonts w:ascii="Palatino Linotype" w:hAnsi="Palatino Linotype"/>
          <w:sz w:val="24"/>
          <w:szCs w:val="24"/>
        </w:rPr>
        <w:t xml:space="preserve">; 5, párrafos trigésimo séptimo, trigésimo octavo y trigésimo noveno, fracciones IV y V, de la </w:t>
      </w:r>
      <w:r w:rsidRPr="00591EA3">
        <w:rPr>
          <w:rFonts w:ascii="Palatino Linotype" w:hAnsi="Palatino Linotype"/>
          <w:b/>
          <w:sz w:val="24"/>
          <w:szCs w:val="24"/>
        </w:rPr>
        <w:t>Constitución Política del Estado Libre y Soberano de México</w:t>
      </w:r>
      <w:r w:rsidRPr="00591EA3">
        <w:rPr>
          <w:rFonts w:ascii="Palatino Linotype" w:hAnsi="Palatino Linotype"/>
          <w:sz w:val="24"/>
          <w:szCs w:val="24"/>
        </w:rPr>
        <w:t xml:space="preserve">; artículos 1, 2 fracción II, 13, 29, 36 fracciones I y II, 176, 178, 179, 181 párrafo tercero y 185 de la </w:t>
      </w:r>
      <w:r w:rsidRPr="00591EA3">
        <w:rPr>
          <w:rFonts w:ascii="Palatino Linotype" w:hAnsi="Palatino Linotype"/>
          <w:b/>
          <w:sz w:val="24"/>
          <w:szCs w:val="24"/>
        </w:rPr>
        <w:t>Ley de Transparencia y Acceso a la Información Pública del Estado de México y Municipios</w:t>
      </w:r>
      <w:r w:rsidRPr="00591EA3">
        <w:rPr>
          <w:rFonts w:ascii="Palatino Linotype" w:hAnsi="Palatino Linotype"/>
          <w:sz w:val="24"/>
          <w:szCs w:val="24"/>
        </w:rPr>
        <w:t xml:space="preserve">; y 7, 9 fracciones I y XXIII, y 11 del </w:t>
      </w:r>
      <w:r w:rsidRPr="00591EA3">
        <w:rPr>
          <w:rFonts w:ascii="Palatino Linotype" w:hAnsi="Palatino Linotype"/>
          <w:b/>
          <w:sz w:val="24"/>
          <w:szCs w:val="24"/>
        </w:rPr>
        <w:t>Reglamento Interior del Instituto de Transparencia, Acceso a la Información Pública y Protección de Datos Personales del Estado de México y Municipios.</w:t>
      </w:r>
    </w:p>
    <w:p w:rsidR="00A57B95" w:rsidRPr="00591EA3" w:rsidRDefault="00A57B95" w:rsidP="00A57B95">
      <w:pPr>
        <w:pStyle w:val="Ttulo2"/>
        <w:rPr>
          <w:rFonts w:ascii="Palatino Linotype" w:eastAsia="Palatino Linotype" w:hAnsi="Palatino Linotype" w:cs="Palatino Linotype"/>
          <w:b/>
          <w:color w:val="000000"/>
          <w:sz w:val="24"/>
          <w:szCs w:val="24"/>
        </w:rPr>
      </w:pPr>
      <w:bookmarkStart w:id="5" w:name="_heading=h.2et92p0" w:colFirst="0" w:colLast="0"/>
      <w:bookmarkEnd w:id="5"/>
      <w:r w:rsidRPr="00591EA3">
        <w:rPr>
          <w:rFonts w:ascii="Palatino Linotype" w:eastAsia="Palatino Linotype" w:hAnsi="Palatino Linotype" w:cs="Palatino Linotype"/>
          <w:b/>
          <w:color w:val="000000"/>
          <w:sz w:val="24"/>
          <w:szCs w:val="24"/>
        </w:rPr>
        <w:t>SEGUNDO. De la oportunidad y procedencia.</w:t>
      </w:r>
    </w:p>
    <w:p w:rsidR="00A57B95" w:rsidRPr="00591EA3" w:rsidRDefault="00A57B95" w:rsidP="00A57B95">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591EA3">
        <w:rPr>
          <w:rFonts w:ascii="Palatino Linotype" w:eastAsia="Palatino Linotype" w:hAnsi="Palatino Linotype" w:cs="Palatino Linotype"/>
          <w:b/>
          <w:sz w:val="24"/>
          <w:szCs w:val="24"/>
        </w:rPr>
        <w:t>SUJETO OBLIGADO</w:t>
      </w:r>
      <w:r w:rsidRPr="00591EA3">
        <w:rPr>
          <w:rFonts w:ascii="Palatino Linotype" w:eastAsia="Palatino Linotype" w:hAnsi="Palatino Linotype" w:cs="Palatino Linotype"/>
          <w:sz w:val="24"/>
          <w:szCs w:val="24"/>
        </w:rPr>
        <w:t xml:space="preserve"> para entregar la respuesta a una solicitud de información pública, es de quince días hábiles posteriores a la presentación de ésta; por lo que, transcurrido este término, cuando no entregue la respuesta a la solicitud </w:t>
      </w:r>
      <w:r w:rsidRPr="00591EA3">
        <w:rPr>
          <w:rFonts w:ascii="Palatino Linotype" w:eastAsia="Palatino Linotype" w:hAnsi="Palatino Linotype" w:cs="Palatino Linotype"/>
          <w:sz w:val="24"/>
          <w:szCs w:val="24"/>
        </w:rPr>
        <w:lastRenderedPageBreak/>
        <w:t xml:space="preserve">dentro del plazo previsto en la Ley, la solicitud se entenderá negada y el solicitante podrá interponer el recurso de revisión previsto en el ordenamiento en cita.  </w:t>
      </w:r>
    </w:p>
    <w:p w:rsidR="00A57B95" w:rsidRPr="00591EA3" w:rsidRDefault="00A57B95" w:rsidP="00A57B95">
      <w:pPr>
        <w:tabs>
          <w:tab w:val="left" w:pos="284"/>
        </w:tabs>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sz w:val="24"/>
          <w:szCs w:val="24"/>
        </w:rPr>
        <w:t xml:space="preserve">Por ende, se constituye la figura jurídica de la </w:t>
      </w:r>
      <w:r w:rsidRPr="00591EA3">
        <w:rPr>
          <w:rFonts w:ascii="Palatino Linotype" w:eastAsia="Palatino Linotype" w:hAnsi="Palatino Linotype" w:cs="Palatino Linotype"/>
          <w:i/>
          <w:sz w:val="24"/>
          <w:szCs w:val="24"/>
        </w:rPr>
        <w:t>negativa ficta</w:t>
      </w:r>
      <w:r w:rsidRPr="00591EA3">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591EA3">
        <w:rPr>
          <w:rFonts w:ascii="Palatino Linotype" w:eastAsia="Palatino Linotype" w:hAnsi="Palatino Linotype" w:cs="Palatino Linotype"/>
          <w:b/>
          <w:sz w:val="24"/>
          <w:szCs w:val="24"/>
        </w:rPr>
        <w:t>178</w:t>
      </w:r>
      <w:r w:rsidRPr="00591EA3">
        <w:rPr>
          <w:rFonts w:ascii="Palatino Linotype" w:eastAsia="Palatino Linotype" w:hAnsi="Palatino Linotype" w:cs="Palatino Linotype"/>
          <w:sz w:val="24"/>
          <w:szCs w:val="24"/>
        </w:rPr>
        <w:t xml:space="preserve"> segundo párrafo de </w:t>
      </w:r>
      <w:r w:rsidRPr="00591EA3">
        <w:rPr>
          <w:rFonts w:ascii="Palatino Linotype" w:eastAsia="Palatino Linotype" w:hAnsi="Palatino Linotype" w:cs="Palatino Linotype"/>
          <w:b/>
          <w:sz w:val="24"/>
          <w:szCs w:val="24"/>
        </w:rPr>
        <w:t>Ley de Transparencia y Acceso a la Información Pública del Estado de México y Municipios</w:t>
      </w:r>
      <w:r w:rsidRPr="00591EA3">
        <w:rPr>
          <w:rFonts w:ascii="Palatino Linotype" w:eastAsia="Palatino Linotype" w:hAnsi="Palatino Linotype" w:cs="Palatino Linotype"/>
          <w:color w:val="000000"/>
          <w:sz w:val="24"/>
          <w:szCs w:val="24"/>
        </w:rPr>
        <w:t xml:space="preserve">, que dispone; ante la falta de respuesta del </w:t>
      </w:r>
      <w:r w:rsidRPr="00591EA3">
        <w:rPr>
          <w:rFonts w:ascii="Palatino Linotype" w:eastAsia="Palatino Linotype" w:hAnsi="Palatino Linotype" w:cs="Palatino Linotype"/>
          <w:b/>
          <w:color w:val="000000"/>
          <w:sz w:val="24"/>
          <w:szCs w:val="24"/>
        </w:rPr>
        <w:t>SUJETO OBLIGADO,</w:t>
      </w:r>
      <w:r w:rsidRPr="00591EA3">
        <w:rPr>
          <w:rFonts w:ascii="Palatino Linotype" w:eastAsia="Palatino Linotype" w:hAnsi="Palatino Linotype" w:cs="Palatino Linotype"/>
          <w:color w:val="000000"/>
          <w:sz w:val="24"/>
          <w:szCs w:val="24"/>
        </w:rPr>
        <w:t xml:space="preserve"> dentro de los plazos establecidos en esta Ley, a una solicitud de acceso a la información pública, el recurso </w:t>
      </w:r>
      <w:r w:rsidRPr="00591EA3">
        <w:rPr>
          <w:rFonts w:ascii="Palatino Linotype" w:eastAsia="Palatino Linotype" w:hAnsi="Palatino Linotype" w:cs="Palatino Linotype"/>
          <w:b/>
          <w:color w:val="000000"/>
          <w:sz w:val="24"/>
          <w:szCs w:val="24"/>
        </w:rPr>
        <w:t xml:space="preserve">podrá ser interpuesto en cualquier momento. </w:t>
      </w:r>
    </w:p>
    <w:p w:rsidR="00A57B95" w:rsidRPr="00591EA3" w:rsidRDefault="00A57B95" w:rsidP="00A57B95">
      <w:pPr>
        <w:tabs>
          <w:tab w:val="left" w:pos="284"/>
        </w:tabs>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sz w:val="24"/>
          <w:szCs w:val="24"/>
        </w:rPr>
        <w:t xml:space="preserve">Por lo que, tratándose de la </w:t>
      </w:r>
      <w:r w:rsidRPr="00591EA3">
        <w:rPr>
          <w:rFonts w:ascii="Palatino Linotype" w:eastAsia="Palatino Linotype" w:hAnsi="Palatino Linotype" w:cs="Palatino Linotype"/>
          <w:i/>
          <w:sz w:val="24"/>
          <w:szCs w:val="24"/>
        </w:rPr>
        <w:t>negativa ficta</w:t>
      </w:r>
      <w:r w:rsidRPr="00591EA3">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91EA3">
        <w:rPr>
          <w:rFonts w:ascii="Palatino Linotype" w:eastAsia="Palatino Linotype" w:hAnsi="Palatino Linotype" w:cs="Palatino Linotype"/>
          <w:i/>
          <w:sz w:val="24"/>
          <w:szCs w:val="24"/>
        </w:rPr>
        <w:t>negativa ficta</w:t>
      </w:r>
      <w:r w:rsidRPr="00591EA3">
        <w:rPr>
          <w:rFonts w:ascii="Palatino Linotype" w:eastAsia="Palatino Linotype" w:hAnsi="Palatino Linotype" w:cs="Palatino Linotype"/>
          <w:sz w:val="24"/>
          <w:szCs w:val="24"/>
        </w:rPr>
        <w:t>, que señala:</w:t>
      </w:r>
    </w:p>
    <w:p w:rsidR="00A57B95" w:rsidRPr="00591EA3" w:rsidRDefault="00A57B95" w:rsidP="0065252E">
      <w:pPr>
        <w:tabs>
          <w:tab w:val="left" w:pos="284"/>
          <w:tab w:val="left" w:pos="7655"/>
        </w:tabs>
        <w:spacing w:after="240" w:line="360" w:lineRule="auto"/>
        <w:ind w:left="851" w:right="822"/>
        <w:jc w:val="center"/>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Criterio 0001-15</w:t>
      </w:r>
    </w:p>
    <w:p w:rsidR="00A57B95" w:rsidRPr="00591EA3" w:rsidRDefault="00A57B95" w:rsidP="0065252E">
      <w:pPr>
        <w:tabs>
          <w:tab w:val="left" w:pos="284"/>
          <w:tab w:val="left" w:pos="7655"/>
        </w:tabs>
        <w:spacing w:before="240" w:after="240" w:line="360"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NEGATIVA FICTA. PLAZO PARA INTERPONER EL RECURSO DE REVISIÓN TRATÁNDOSE DE.</w:t>
      </w:r>
      <w:r w:rsidRPr="00591EA3">
        <w:rPr>
          <w:rFonts w:ascii="Palatino Linotype" w:eastAsia="Palatino Linotype" w:hAnsi="Palatino Linotype" w:cs="Palatino Linotype"/>
          <w:i/>
          <w:sz w:val="24"/>
          <w:szCs w:val="24"/>
        </w:rPr>
        <w:t xml:space="preserve"> El artículo 48, párrafo tercero de la Ley de </w:t>
      </w:r>
      <w:r w:rsidRPr="00591EA3">
        <w:rPr>
          <w:rFonts w:ascii="Palatino Linotype" w:eastAsia="Palatino Linotype" w:hAnsi="Palatino Linotype" w:cs="Palatino Linotype"/>
          <w:i/>
          <w:sz w:val="24"/>
          <w:szCs w:val="24"/>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57B95" w:rsidRPr="00591EA3" w:rsidRDefault="00A57B95" w:rsidP="00A57B95">
      <w:pPr>
        <w:numPr>
          <w:ilvl w:val="0"/>
          <w:numId w:val="1"/>
        </w:numPr>
        <w:tabs>
          <w:tab w:val="left" w:pos="284"/>
        </w:tabs>
        <w:spacing w:before="240"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Lo anterior, se explica porque la </w:t>
      </w:r>
      <w:r w:rsidRPr="00591EA3">
        <w:rPr>
          <w:rFonts w:ascii="Palatino Linotype" w:eastAsia="Palatino Linotype" w:hAnsi="Palatino Linotype" w:cs="Palatino Linotype"/>
          <w:b/>
          <w:color w:val="000000"/>
          <w:sz w:val="24"/>
          <w:szCs w:val="24"/>
          <w:u w:val="single"/>
        </w:rPr>
        <w:t>posible ausencia</w:t>
      </w:r>
      <w:r w:rsidRPr="00591EA3">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591EA3">
        <w:rPr>
          <w:rFonts w:ascii="Palatino Linotype" w:eastAsia="Palatino Linotype" w:hAnsi="Palatino Linotype" w:cs="Palatino Linotype"/>
          <w:b/>
          <w:color w:val="000000"/>
          <w:sz w:val="24"/>
          <w:szCs w:val="24"/>
        </w:rPr>
        <w:t>SUJETO OBLIGADO</w:t>
      </w:r>
      <w:r w:rsidRPr="00591EA3">
        <w:rPr>
          <w:rFonts w:ascii="Palatino Linotype" w:eastAsia="Palatino Linotype" w:hAnsi="Palatino Linotype" w:cs="Palatino Linotype"/>
          <w:color w:val="000000"/>
          <w:sz w:val="24"/>
          <w:szCs w:val="24"/>
        </w:rPr>
        <w:t>.</w:t>
      </w:r>
    </w:p>
    <w:p w:rsidR="00A57B95" w:rsidRPr="00591EA3" w:rsidRDefault="00A57B95" w:rsidP="00A57B95">
      <w:pPr>
        <w:tabs>
          <w:tab w:val="left" w:pos="284"/>
        </w:tabs>
        <w:rPr>
          <w:rFonts w:ascii="Palatino Linotype" w:eastAsia="Palatino Linotype" w:hAnsi="Palatino Linotype" w:cs="Palatino Linotype"/>
          <w:color w:val="000000"/>
          <w:sz w:val="24"/>
          <w:szCs w:val="24"/>
        </w:rPr>
      </w:pPr>
    </w:p>
    <w:p w:rsidR="00A57B95" w:rsidRPr="00591EA3" w:rsidRDefault="00A57B95" w:rsidP="0065252E">
      <w:pPr>
        <w:numPr>
          <w:ilvl w:val="0"/>
          <w:numId w:val="1"/>
        </w:numPr>
        <w:tabs>
          <w:tab w:val="left" w:pos="284"/>
        </w:tabs>
        <w:spacing w:after="240" w:line="360" w:lineRule="auto"/>
        <w:ind w:left="0" w:right="49" w:firstLine="0"/>
        <w:jc w:val="both"/>
        <w:rPr>
          <w:rFonts w:ascii="Palatino Linotype" w:eastAsia="Palatino Linotype" w:hAnsi="Palatino Linotype" w:cs="Palatino Linotype"/>
          <w:b/>
          <w:sz w:val="24"/>
          <w:szCs w:val="24"/>
        </w:rPr>
      </w:pPr>
      <w:r w:rsidRPr="00591EA3">
        <w:rPr>
          <w:rFonts w:ascii="Palatino Linotype" w:eastAsia="Palatino Linotype" w:hAnsi="Palatino Linotype" w:cs="Palatino Linotype"/>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 w:name="_heading=h.tyjcwt" w:colFirst="0" w:colLast="0"/>
      <w:bookmarkEnd w:id="6"/>
    </w:p>
    <w:p w:rsidR="00A57B95" w:rsidRPr="00591EA3" w:rsidRDefault="00A57B95" w:rsidP="00A57B95">
      <w:pPr>
        <w:pStyle w:val="Ttulo1"/>
        <w:rPr>
          <w:rFonts w:ascii="Palatino Linotype" w:eastAsia="Palatino Linotype" w:hAnsi="Palatino Linotype" w:cs="Palatino Linotype"/>
          <w:b/>
          <w:color w:val="000000"/>
          <w:sz w:val="24"/>
          <w:szCs w:val="24"/>
        </w:rPr>
      </w:pPr>
      <w:r w:rsidRPr="00591EA3">
        <w:rPr>
          <w:rFonts w:ascii="Palatino Linotype" w:eastAsia="Palatino Linotype" w:hAnsi="Palatino Linotype" w:cs="Palatino Linotype"/>
          <w:b/>
          <w:color w:val="000000"/>
          <w:sz w:val="24"/>
          <w:szCs w:val="24"/>
        </w:rPr>
        <w:lastRenderedPageBreak/>
        <w:t xml:space="preserve">TERCERO. Planteamiento de la Litis </w:t>
      </w:r>
    </w:p>
    <w:p w:rsidR="00A57B95" w:rsidRPr="00591EA3" w:rsidRDefault="00A57B95" w:rsidP="00A57B95">
      <w:pPr>
        <w:numPr>
          <w:ilvl w:val="0"/>
          <w:numId w:val="1"/>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color w:val="000000"/>
          <w:sz w:val="24"/>
          <w:szCs w:val="24"/>
        </w:rPr>
        <w:t xml:space="preserve">El recurrente solicitó el </w:t>
      </w:r>
      <w:r w:rsidR="0065252E" w:rsidRPr="00591EA3">
        <w:rPr>
          <w:rFonts w:ascii="Palatino Linotype" w:eastAsia="Palatino Linotype" w:hAnsi="Palatino Linotype" w:cs="Palatino Linotype"/>
          <w:color w:val="000000"/>
          <w:sz w:val="24"/>
          <w:szCs w:val="24"/>
        </w:rPr>
        <w:t xml:space="preserve">monto total recaudado por concepto del pago de predial y su destino durante el ejercicio fiscal 2025. </w:t>
      </w:r>
    </w:p>
    <w:p w:rsidR="00A57B95" w:rsidRPr="00591EA3" w:rsidRDefault="00A57B95" w:rsidP="00A57B95">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4"/>
          <w:szCs w:val="24"/>
        </w:rPr>
      </w:pPr>
    </w:p>
    <w:p w:rsidR="00A57B95" w:rsidRPr="00591EA3" w:rsidRDefault="00A57B95" w:rsidP="00A57B95">
      <w:pPr>
        <w:numPr>
          <w:ilvl w:val="0"/>
          <w:numId w:val="1"/>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color w:val="000000"/>
          <w:sz w:val="24"/>
          <w:szCs w:val="24"/>
        </w:rPr>
        <w:t>El Sujeto Obligado no entregó respuesta a la solicitud, motivo de inconformidad el recurrente.</w:t>
      </w:r>
    </w:p>
    <w:p w:rsidR="00A57B95" w:rsidRPr="00591EA3" w:rsidRDefault="00A57B95" w:rsidP="00A57B95">
      <w:pPr>
        <w:numPr>
          <w:ilvl w:val="0"/>
          <w:numId w:val="1"/>
        </w:numPr>
        <w:tabs>
          <w:tab w:val="left" w:pos="284"/>
        </w:tabs>
        <w:spacing w:before="240" w:after="240" w:line="360" w:lineRule="auto"/>
        <w:ind w:left="0" w:firstLine="0"/>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sz w:val="24"/>
          <w:szCs w:val="24"/>
        </w:rPr>
        <w:t>Por lo tanto, el presente recurso de revisión se circunscribe en determinar si se actualiza las causales de procedencia</w:t>
      </w:r>
      <w:r w:rsidRPr="00591EA3">
        <w:rPr>
          <w:rFonts w:ascii="Palatino Linotype" w:eastAsia="Palatino Linotype" w:hAnsi="Palatino Linotype" w:cs="Palatino Linotype"/>
          <w:b/>
          <w:sz w:val="24"/>
          <w:szCs w:val="24"/>
        </w:rPr>
        <w:t xml:space="preserve"> </w:t>
      </w:r>
      <w:r w:rsidRPr="00591EA3">
        <w:rPr>
          <w:rFonts w:ascii="Palatino Linotype" w:eastAsia="Palatino Linotype" w:hAnsi="Palatino Linotype" w:cs="Palatino Linotype"/>
          <w:sz w:val="24"/>
          <w:szCs w:val="24"/>
        </w:rPr>
        <w:t xml:space="preserve">contenidas en el artículo 179 fracciones I y VII de la </w:t>
      </w:r>
      <w:r w:rsidRPr="00591EA3">
        <w:rPr>
          <w:rFonts w:ascii="Palatino Linotype" w:eastAsia="Palatino Linotype" w:hAnsi="Palatino Linotype" w:cs="Palatino Linotype"/>
          <w:b/>
          <w:sz w:val="24"/>
          <w:szCs w:val="24"/>
        </w:rPr>
        <w:t>Ley de Transparencia y Acceso a la Información Pública del Estado de México y Municipios</w:t>
      </w:r>
      <w:r w:rsidRPr="00591EA3">
        <w:rPr>
          <w:rFonts w:ascii="Palatino Linotype" w:eastAsia="Palatino Linotype" w:hAnsi="Palatino Linotype" w:cs="Palatino Linotype"/>
          <w:sz w:val="24"/>
          <w:szCs w:val="24"/>
        </w:rPr>
        <w:t xml:space="preserve">, que refieren la negativa de la información solicitada y la falta de respuesta a una solicitud de acceso a la información. </w:t>
      </w:r>
    </w:p>
    <w:p w:rsidR="00A57B95" w:rsidRPr="00591EA3" w:rsidRDefault="00A57B95" w:rsidP="00A57B95">
      <w:pPr>
        <w:pStyle w:val="Ttulo1"/>
        <w:spacing w:before="0" w:line="360" w:lineRule="auto"/>
        <w:rPr>
          <w:rFonts w:ascii="Palatino Linotype" w:eastAsia="Palatino Linotype" w:hAnsi="Palatino Linotype" w:cs="Palatino Linotype"/>
          <w:b/>
          <w:color w:val="000000"/>
          <w:sz w:val="24"/>
          <w:szCs w:val="24"/>
        </w:rPr>
      </w:pPr>
      <w:r w:rsidRPr="00591EA3">
        <w:rPr>
          <w:rFonts w:ascii="Palatino Linotype" w:eastAsia="Palatino Linotype" w:hAnsi="Palatino Linotype" w:cs="Palatino Linotype"/>
          <w:b/>
          <w:color w:val="000000"/>
          <w:sz w:val="24"/>
          <w:szCs w:val="24"/>
        </w:rPr>
        <w:t>CUARTO. Estudio y resolución del asunto</w:t>
      </w:r>
    </w:p>
    <w:p w:rsidR="00A57B95" w:rsidRPr="00591EA3" w:rsidRDefault="00A57B95" w:rsidP="00A57B95">
      <w:pPr>
        <w:numPr>
          <w:ilvl w:val="0"/>
          <w:numId w:val="1"/>
        </w:numPr>
        <w:spacing w:line="360" w:lineRule="auto"/>
        <w:ind w:left="0" w:right="49" w:firstLine="0"/>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A57B95" w:rsidRPr="00591EA3" w:rsidRDefault="00A57B95" w:rsidP="00A57B95">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A57B95"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Recordemos que el Recurrente solicitó </w:t>
      </w:r>
      <w:r w:rsidR="0065252E" w:rsidRPr="00591EA3">
        <w:rPr>
          <w:rFonts w:ascii="Palatino Linotype" w:eastAsia="Palatino Linotype" w:hAnsi="Palatino Linotype" w:cs="Palatino Linotype"/>
          <w:color w:val="000000"/>
          <w:sz w:val="24"/>
          <w:szCs w:val="24"/>
        </w:rPr>
        <w:t>el monto total recaudado por concepto del pago de predial y su destino durante el ejercicio fiscal 2025</w:t>
      </w:r>
      <w:r w:rsidRPr="00591EA3">
        <w:rPr>
          <w:rFonts w:ascii="Palatino Linotype" w:eastAsia="Palatino Linotype" w:hAnsi="Palatino Linotype" w:cs="Palatino Linotype"/>
          <w:color w:val="000000"/>
          <w:sz w:val="24"/>
          <w:szCs w:val="24"/>
        </w:rPr>
        <w:t xml:space="preserve">. </w:t>
      </w:r>
    </w:p>
    <w:p w:rsidR="00591EA3" w:rsidRDefault="00591EA3" w:rsidP="00591EA3">
      <w:pPr>
        <w:pStyle w:val="Prrafodelista"/>
        <w:rPr>
          <w:rFonts w:ascii="Palatino Linotype" w:eastAsia="Palatino Linotype" w:hAnsi="Palatino Linotype" w:cs="Palatino Linotype"/>
          <w:color w:val="000000"/>
          <w:sz w:val="24"/>
        </w:rPr>
      </w:pPr>
    </w:p>
    <w:p w:rsidR="00591EA3" w:rsidRPr="00591EA3" w:rsidRDefault="00591EA3" w:rsidP="00591EA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MS Mincho" w:hAnsi="Palatino Linotype"/>
          <w:sz w:val="24"/>
          <w:szCs w:val="24"/>
        </w:rPr>
        <w:lastRenderedPageBreak/>
        <w:t xml:space="preserve">Ahora bien, primeramente debemos mencionar que el acceso a la información es un derecho humano constitucional y convencionalmente reconocido y para tal efecto </w:t>
      </w:r>
      <w:r w:rsidRPr="00591EA3">
        <w:rPr>
          <w:rFonts w:ascii="Palatino Linotype" w:eastAsia="Calibri" w:hAnsi="Palatino Linotype"/>
          <w:sz w:val="24"/>
          <w:szCs w:val="24"/>
          <w:lang w:val="es-ES"/>
        </w:rPr>
        <w:t xml:space="preserve">el párrafo tercero del artículo primero de la Constitución Política de los Estados Unidos Mexicanos establece que el deber de todas las autoridades, </w:t>
      </w:r>
      <w:r w:rsidRPr="00591EA3">
        <w:rPr>
          <w:rFonts w:ascii="Palatino Linotype" w:eastAsia="Calibri" w:hAnsi="Palatino Linotype"/>
          <w:i/>
          <w:sz w:val="24"/>
          <w:szCs w:val="24"/>
          <w:lang w:val="es-ES"/>
        </w:rPr>
        <w:t xml:space="preserve">en el ámbito de sus atribuciones, de promover, respetar, proteger y </w:t>
      </w:r>
      <w:r w:rsidRPr="00591EA3">
        <w:rPr>
          <w:rFonts w:ascii="Palatino Linotype" w:eastAsia="Calibri" w:hAnsi="Palatino Linotype"/>
          <w:b/>
          <w:i/>
          <w:sz w:val="24"/>
          <w:szCs w:val="24"/>
          <w:lang w:val="es-ES"/>
        </w:rPr>
        <w:t>garantizar</w:t>
      </w:r>
      <w:r w:rsidRPr="00591EA3">
        <w:rPr>
          <w:rFonts w:ascii="Palatino Linotype" w:eastAsia="Calibri" w:hAnsi="Palatino Linotype"/>
          <w:i/>
          <w:sz w:val="24"/>
          <w:szCs w:val="24"/>
          <w:lang w:val="es-ES"/>
        </w:rPr>
        <w:t xml:space="preserve"> los derechos humanos. </w:t>
      </w:r>
      <w:r w:rsidRPr="00591EA3">
        <w:rPr>
          <w:rFonts w:ascii="Palatino Linotype" w:eastAsia="Calibri" w:hAnsi="Palatino Linotype"/>
          <w:b/>
          <w:i/>
          <w:sz w:val="24"/>
          <w:szCs w:val="24"/>
          <w:lang w:val="es-ES"/>
        </w:rPr>
        <w:t>En cuanto al derecho de acceso a la información, la Ley de Transparencia y Acceso a la Información Pública del Estado de México y Municipios prevé establece que e</w:t>
      </w:r>
      <w:r w:rsidRPr="00591EA3">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591EA3">
        <w:rPr>
          <w:rStyle w:val="Refdenotaalpie"/>
          <w:i/>
          <w:sz w:val="24"/>
          <w:szCs w:val="24"/>
        </w:rPr>
        <w:footnoteReference w:id="1"/>
      </w:r>
      <w:r w:rsidRPr="00591EA3">
        <w:rPr>
          <w:rFonts w:ascii="Palatino Linotype" w:hAnsi="Palatino Linotype"/>
          <w:i/>
          <w:sz w:val="24"/>
          <w:szCs w:val="24"/>
        </w:rPr>
        <w:t xml:space="preserve">, </w:t>
      </w:r>
      <w:r w:rsidRPr="00591EA3">
        <w:rPr>
          <w:rFonts w:ascii="Palatino Linotype" w:hAnsi="Palatino Linotype"/>
          <w:sz w:val="24"/>
          <w:szCs w:val="24"/>
        </w:rPr>
        <w:t>asimismo establece</w:t>
      </w:r>
      <w:r w:rsidRPr="00591EA3">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57B95" w:rsidRPr="00591EA3" w:rsidRDefault="00A57B95" w:rsidP="00A57B95">
      <w:pPr>
        <w:pStyle w:val="Prrafodelista"/>
        <w:rPr>
          <w:rFonts w:ascii="Palatino Linotype" w:eastAsia="Calibri" w:hAnsi="Palatino Linotype" w:cs="Arial"/>
          <w:sz w:val="24"/>
        </w:rPr>
      </w:pPr>
    </w:p>
    <w:p w:rsidR="00A57B95" w:rsidRPr="00591EA3" w:rsidRDefault="00A57B95" w:rsidP="00A57B95">
      <w:pPr>
        <w:pStyle w:val="Prrafodelista"/>
        <w:numPr>
          <w:ilvl w:val="0"/>
          <w:numId w:val="1"/>
        </w:numPr>
        <w:spacing w:line="360" w:lineRule="auto"/>
        <w:ind w:left="0" w:firstLine="0"/>
        <w:jc w:val="both"/>
        <w:rPr>
          <w:rFonts w:ascii="Palatino Linotype" w:eastAsia="Calibri" w:hAnsi="Palatino Linotype" w:cs="Arial"/>
          <w:sz w:val="24"/>
        </w:rPr>
      </w:pPr>
      <w:r w:rsidRPr="00591EA3">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A57B95" w:rsidRPr="00591EA3" w:rsidRDefault="00A57B95" w:rsidP="00A57B95">
      <w:pPr>
        <w:pStyle w:val="Prrafodelista"/>
        <w:rPr>
          <w:rFonts w:ascii="Palatino Linotype" w:hAnsi="Palatino Linotype"/>
          <w:sz w:val="24"/>
        </w:rPr>
      </w:pPr>
    </w:p>
    <w:p w:rsidR="00A57B95" w:rsidRPr="00591EA3" w:rsidRDefault="00A57B95" w:rsidP="00A57B95">
      <w:pPr>
        <w:pStyle w:val="Prrafodelista"/>
        <w:numPr>
          <w:ilvl w:val="0"/>
          <w:numId w:val="1"/>
        </w:numPr>
        <w:spacing w:line="360" w:lineRule="auto"/>
        <w:ind w:left="0" w:firstLine="0"/>
        <w:jc w:val="both"/>
        <w:rPr>
          <w:rFonts w:ascii="Palatino Linotype" w:eastAsia="Calibri" w:hAnsi="Palatino Linotype" w:cs="Arial"/>
          <w:sz w:val="24"/>
        </w:rPr>
      </w:pPr>
      <w:r w:rsidRPr="00591EA3">
        <w:rPr>
          <w:rFonts w:ascii="Palatino Linotype" w:hAnsi="Palatino Linotype"/>
          <w:sz w:val="24"/>
        </w:rPr>
        <w:lastRenderedPageBreak/>
        <w:t xml:space="preserve">Es así que, su obligación es </w:t>
      </w:r>
      <w:r w:rsidRPr="00591EA3">
        <w:rPr>
          <w:rFonts w:ascii="Palatino Linotype" w:hAnsi="Palatino Linotype"/>
          <w:i/>
          <w:sz w:val="24"/>
        </w:rPr>
        <w:t>realizar, con efectividad, los trámites internos necesarios para la atención de las solicitudes de información</w:t>
      </w:r>
      <w:r w:rsidRPr="00591EA3">
        <w:rPr>
          <w:rStyle w:val="Refdenotaalpie"/>
          <w:sz w:val="24"/>
        </w:rPr>
        <w:footnoteReference w:id="2"/>
      </w:r>
      <w:r w:rsidRPr="00591EA3">
        <w:rPr>
          <w:rFonts w:ascii="Palatino Linotype" w:hAnsi="Palatino Linotype"/>
          <w:sz w:val="24"/>
        </w:rPr>
        <w:t>, es decir, deben otorgar respuestas concisas, contundentes y sobre todo que den la certeza de los actos que realizan.</w:t>
      </w:r>
    </w:p>
    <w:p w:rsidR="00A57B95" w:rsidRPr="00591EA3" w:rsidRDefault="00A57B95" w:rsidP="00A57B95">
      <w:pPr>
        <w:pStyle w:val="Prrafodelista"/>
        <w:ind w:left="0"/>
        <w:rPr>
          <w:rFonts w:ascii="Palatino Linotype" w:eastAsia="Calibri" w:hAnsi="Palatino Linotype" w:cs="Arial"/>
          <w:sz w:val="24"/>
        </w:rPr>
      </w:pPr>
    </w:p>
    <w:p w:rsidR="00A57B95" w:rsidRPr="00591EA3" w:rsidRDefault="00A57B95" w:rsidP="00A57B95">
      <w:pPr>
        <w:pStyle w:val="Prrafodelista"/>
        <w:numPr>
          <w:ilvl w:val="0"/>
          <w:numId w:val="1"/>
        </w:numPr>
        <w:spacing w:line="360" w:lineRule="auto"/>
        <w:ind w:left="0" w:firstLine="0"/>
        <w:jc w:val="both"/>
        <w:rPr>
          <w:rFonts w:ascii="Palatino Linotype" w:eastAsia="MS Mincho" w:hAnsi="Palatino Linotype"/>
          <w:sz w:val="24"/>
        </w:rPr>
      </w:pPr>
      <w:r w:rsidRPr="00591EA3">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591EA3">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i/>
          <w:iCs/>
          <w:sz w:val="24"/>
          <w:szCs w:val="24"/>
        </w:rPr>
        <w:t xml:space="preserve">Artículo 50. </w:t>
      </w:r>
      <w:r w:rsidRPr="00591EA3">
        <w:rPr>
          <w:rFonts w:ascii="Palatino Linotype" w:eastAsia="Palatino Linotype" w:hAnsi="Palatino Linotype" w:cs="Palatino Linotype"/>
          <w:i/>
          <w:iCs/>
          <w:sz w:val="24"/>
          <w:szCs w:val="24"/>
        </w:rPr>
        <w:t>Los sujetos obligados contarán con un área responsable para la atención de las solicitudes de información, a la que se le denominará Unidad de Transparencia.</w:t>
      </w:r>
    </w:p>
    <w:p w:rsidR="00A57B95" w:rsidRPr="00591EA3" w:rsidRDefault="00A57B95" w:rsidP="00A57B95">
      <w:pPr>
        <w:ind w:left="851" w:right="822"/>
        <w:jc w:val="both"/>
        <w:rPr>
          <w:rFonts w:ascii="Palatino Linotype" w:eastAsia="Palatino Linotype" w:hAnsi="Palatino Linotype" w:cs="Palatino Linotype"/>
          <w:i/>
          <w:iCs/>
          <w:sz w:val="24"/>
          <w:szCs w:val="24"/>
        </w:rPr>
      </w:pP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i/>
          <w:iCs/>
          <w:sz w:val="24"/>
          <w:szCs w:val="24"/>
        </w:rPr>
        <w:t xml:space="preserve">Artículo 53. </w:t>
      </w:r>
      <w:r w:rsidRPr="00591EA3">
        <w:rPr>
          <w:rFonts w:ascii="Palatino Linotype" w:eastAsia="Palatino Linotype" w:hAnsi="Palatino Linotype" w:cs="Palatino Linotype"/>
          <w:i/>
          <w:iCs/>
          <w:sz w:val="24"/>
          <w:szCs w:val="24"/>
        </w:rPr>
        <w:t>Las Unidades de Transparencia tendrán las siguientes funciones:</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i/>
          <w:iCs/>
          <w:sz w:val="24"/>
          <w:szCs w:val="24"/>
        </w:rPr>
        <w:t>(…)</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bCs/>
          <w:i/>
          <w:iCs/>
          <w:sz w:val="24"/>
          <w:szCs w:val="24"/>
        </w:rPr>
        <w:t>II.</w:t>
      </w:r>
      <w:r w:rsidRPr="00591EA3">
        <w:rPr>
          <w:rFonts w:ascii="Palatino Linotype" w:eastAsia="Palatino Linotype" w:hAnsi="Palatino Linotype" w:cs="Palatino Linotype"/>
          <w:i/>
          <w:iCs/>
          <w:sz w:val="24"/>
          <w:szCs w:val="24"/>
        </w:rPr>
        <w:t xml:space="preserve"> Recibir, tramitar y dar respuesta a las solicitudes de acceso a la información;</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i/>
          <w:iCs/>
          <w:sz w:val="24"/>
          <w:szCs w:val="24"/>
        </w:rPr>
        <w:t>(…)</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bCs/>
          <w:i/>
          <w:iCs/>
          <w:sz w:val="24"/>
          <w:szCs w:val="24"/>
        </w:rPr>
        <w:t>IV.</w:t>
      </w:r>
      <w:r w:rsidRPr="00591EA3">
        <w:rPr>
          <w:rFonts w:ascii="Palatino Linotype" w:eastAsia="Palatino Linotype" w:hAnsi="Palatino Linotype" w:cs="Palatino Linotype"/>
          <w:i/>
          <w:iCs/>
          <w:sz w:val="24"/>
          <w:szCs w:val="24"/>
        </w:rPr>
        <w:t xml:space="preserve"> Realizar, con efectividad, los trámites internos necesarios para la atención de las solicitudes de acceso a la información;</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bCs/>
          <w:i/>
          <w:iCs/>
          <w:sz w:val="24"/>
          <w:szCs w:val="24"/>
        </w:rPr>
        <w:t>V.</w:t>
      </w:r>
      <w:r w:rsidRPr="00591EA3">
        <w:rPr>
          <w:rFonts w:ascii="Palatino Linotype" w:eastAsia="Palatino Linotype" w:hAnsi="Palatino Linotype" w:cs="Palatino Linotype"/>
          <w:i/>
          <w:iCs/>
          <w:sz w:val="24"/>
          <w:szCs w:val="24"/>
        </w:rPr>
        <w:t xml:space="preserve"> Entregar, en su caso, a los particulares la información solicitada;</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i/>
          <w:iCs/>
          <w:sz w:val="24"/>
          <w:szCs w:val="24"/>
        </w:rPr>
        <w:t>(…)</w:t>
      </w:r>
    </w:p>
    <w:p w:rsidR="00A57B95" w:rsidRPr="00591EA3" w:rsidRDefault="00A57B95" w:rsidP="00A57B95">
      <w:pPr>
        <w:ind w:left="851" w:right="822"/>
        <w:jc w:val="both"/>
        <w:rPr>
          <w:rFonts w:ascii="Palatino Linotype" w:eastAsia="Palatino Linotype" w:hAnsi="Palatino Linotype" w:cs="Palatino Linotype"/>
          <w:i/>
          <w:iCs/>
          <w:sz w:val="24"/>
          <w:szCs w:val="24"/>
        </w:rPr>
      </w:pP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i/>
          <w:iCs/>
          <w:sz w:val="24"/>
          <w:szCs w:val="24"/>
        </w:rPr>
        <w:t xml:space="preserve">Artículo 58. </w:t>
      </w:r>
      <w:r w:rsidRPr="00591EA3">
        <w:rPr>
          <w:rFonts w:ascii="Palatino Linotype" w:eastAsia="Palatino Linotype" w:hAnsi="Palatino Linotype" w:cs="Palatino Linotype"/>
          <w:i/>
          <w:iCs/>
          <w:sz w:val="24"/>
          <w:szCs w:val="24"/>
        </w:rPr>
        <w:t>Los servidores públicos habilitados serán designados por el titular del sujeto obligado a propuesta del responsable de la Unidad de Transparencia.</w:t>
      </w:r>
    </w:p>
    <w:p w:rsidR="00A57B95" w:rsidRPr="00591EA3" w:rsidRDefault="00A57B95" w:rsidP="00A57B95">
      <w:pPr>
        <w:ind w:left="851" w:right="822"/>
        <w:jc w:val="both"/>
        <w:rPr>
          <w:rFonts w:ascii="Palatino Linotype" w:eastAsia="Palatino Linotype" w:hAnsi="Palatino Linotype" w:cs="Palatino Linotype"/>
          <w:i/>
          <w:iCs/>
          <w:sz w:val="24"/>
          <w:szCs w:val="24"/>
        </w:rPr>
      </w:pP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i/>
          <w:iCs/>
          <w:sz w:val="24"/>
          <w:szCs w:val="24"/>
        </w:rPr>
        <w:t xml:space="preserve">Artículo 59. </w:t>
      </w:r>
      <w:r w:rsidRPr="00591EA3">
        <w:rPr>
          <w:rFonts w:ascii="Palatino Linotype" w:eastAsia="Palatino Linotype" w:hAnsi="Palatino Linotype" w:cs="Palatino Linotype"/>
          <w:i/>
          <w:iCs/>
          <w:sz w:val="24"/>
          <w:szCs w:val="24"/>
        </w:rPr>
        <w:t>Los servidores públicos habilitados tendrán las funciones siguientes:</w:t>
      </w:r>
    </w:p>
    <w:p w:rsidR="00A57B95" w:rsidRPr="00591EA3" w:rsidRDefault="00A57B95" w:rsidP="00A57B95">
      <w:pPr>
        <w:ind w:left="851" w:right="822"/>
        <w:jc w:val="both"/>
        <w:rPr>
          <w:rFonts w:ascii="Palatino Linotype" w:eastAsia="Palatino Linotype" w:hAnsi="Palatino Linotype" w:cs="Palatino Linotype"/>
          <w:i/>
          <w:iCs/>
          <w:sz w:val="24"/>
          <w:szCs w:val="24"/>
        </w:rPr>
      </w:pP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bCs/>
          <w:i/>
          <w:iCs/>
          <w:sz w:val="24"/>
          <w:szCs w:val="24"/>
        </w:rPr>
        <w:t>I.</w:t>
      </w:r>
      <w:r w:rsidRPr="00591EA3">
        <w:rPr>
          <w:rFonts w:ascii="Palatino Linotype" w:eastAsia="Palatino Linotype" w:hAnsi="Palatino Linotype" w:cs="Palatino Linotype"/>
          <w:i/>
          <w:iCs/>
          <w:sz w:val="24"/>
          <w:szCs w:val="24"/>
        </w:rPr>
        <w:t xml:space="preserve"> Localizar la información que le solicite la Unidad de Transparencia;</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bCs/>
          <w:i/>
          <w:iCs/>
          <w:sz w:val="24"/>
          <w:szCs w:val="24"/>
        </w:rPr>
        <w:t>II.</w:t>
      </w:r>
      <w:r w:rsidRPr="00591EA3">
        <w:rPr>
          <w:rFonts w:ascii="Palatino Linotype" w:eastAsia="Palatino Linotype" w:hAnsi="Palatino Linotype" w:cs="Palatino Linotype"/>
          <w:i/>
          <w:iCs/>
          <w:sz w:val="24"/>
          <w:szCs w:val="24"/>
        </w:rPr>
        <w:t xml:space="preserve"> Proporcionar la información que obre en los archivos y que le sea solicitada por la Unidad de Transparencia;</w:t>
      </w: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i/>
          <w:iCs/>
          <w:sz w:val="24"/>
          <w:szCs w:val="24"/>
        </w:rPr>
        <w:t>(...)</w:t>
      </w:r>
    </w:p>
    <w:p w:rsidR="00A57B95" w:rsidRPr="00591EA3" w:rsidRDefault="00A57B95" w:rsidP="00A57B95">
      <w:pPr>
        <w:ind w:left="851" w:right="822"/>
        <w:jc w:val="both"/>
        <w:rPr>
          <w:rFonts w:ascii="Palatino Linotype" w:eastAsia="Palatino Linotype" w:hAnsi="Palatino Linotype" w:cs="Palatino Linotype"/>
          <w:i/>
          <w:iCs/>
          <w:sz w:val="24"/>
          <w:szCs w:val="24"/>
        </w:rPr>
      </w:pPr>
    </w:p>
    <w:p w:rsidR="00A57B95" w:rsidRPr="00591EA3" w:rsidRDefault="00A57B95" w:rsidP="00A57B95">
      <w:pPr>
        <w:ind w:left="851" w:right="822"/>
        <w:jc w:val="both"/>
        <w:rPr>
          <w:rFonts w:ascii="Palatino Linotype" w:eastAsia="Palatino Linotype" w:hAnsi="Palatino Linotype" w:cs="Palatino Linotype"/>
          <w:i/>
          <w:iCs/>
          <w:sz w:val="24"/>
          <w:szCs w:val="24"/>
        </w:rPr>
      </w:pPr>
      <w:r w:rsidRPr="00591EA3">
        <w:rPr>
          <w:rFonts w:ascii="Palatino Linotype" w:eastAsia="Palatino Linotype" w:hAnsi="Palatino Linotype" w:cs="Palatino Linotype"/>
          <w:b/>
          <w:i/>
          <w:iCs/>
          <w:sz w:val="24"/>
          <w:szCs w:val="24"/>
        </w:rPr>
        <w:lastRenderedPageBreak/>
        <w:t xml:space="preserve">Artículo 162. </w:t>
      </w:r>
      <w:r w:rsidRPr="00591EA3">
        <w:rPr>
          <w:rFonts w:ascii="Palatino Linotype" w:eastAsia="Palatino Linotype" w:hAnsi="Palatino Linotype" w:cs="Palatino Linotype"/>
          <w:i/>
          <w:iCs/>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57B95" w:rsidRPr="00591EA3" w:rsidRDefault="00A57B95" w:rsidP="00A57B95">
      <w:pPr>
        <w:spacing w:line="360" w:lineRule="auto"/>
        <w:jc w:val="both"/>
        <w:rPr>
          <w:rFonts w:ascii="Palatino Linotype" w:eastAsia="Palatino Linotype" w:hAnsi="Palatino Linotype" w:cs="Palatino Linotype"/>
          <w:sz w:val="24"/>
          <w:szCs w:val="24"/>
        </w:rPr>
      </w:pPr>
    </w:p>
    <w:p w:rsidR="00A57B95" w:rsidRPr="00591EA3" w:rsidRDefault="00A57B95" w:rsidP="00A57B95">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591EA3">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591EA3">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A57B95" w:rsidRPr="00591EA3" w:rsidRDefault="00A57B95" w:rsidP="00A57B95">
      <w:pPr>
        <w:pStyle w:val="Prrafodelista"/>
        <w:spacing w:line="360" w:lineRule="auto"/>
        <w:ind w:left="0"/>
        <w:jc w:val="both"/>
        <w:rPr>
          <w:rFonts w:ascii="Palatino Linotype" w:eastAsia="Arial Unicode MS" w:hAnsi="Palatino Linotype" w:cs="Arial"/>
          <w:sz w:val="24"/>
          <w:lang w:eastAsia="en-US"/>
        </w:rPr>
      </w:pPr>
    </w:p>
    <w:p w:rsidR="00084ACE" w:rsidRPr="00591EA3" w:rsidRDefault="00A57B95" w:rsidP="00084AC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591EA3">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84ACE" w:rsidRPr="00591EA3" w:rsidRDefault="00084ACE" w:rsidP="00084ACE">
      <w:pPr>
        <w:pStyle w:val="Prrafodelista"/>
        <w:rPr>
          <w:rFonts w:ascii="Palatino Linotype" w:eastAsia="Arial Unicode MS" w:hAnsi="Palatino Linotype" w:cs="Arial"/>
          <w:sz w:val="24"/>
          <w:lang w:eastAsia="en-US"/>
        </w:rPr>
      </w:pPr>
    </w:p>
    <w:p w:rsidR="00A57B95" w:rsidRPr="00591EA3" w:rsidRDefault="00A57B95" w:rsidP="00084AC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591EA3">
        <w:rPr>
          <w:rFonts w:ascii="Palatino Linotype" w:eastAsia="Arial Unicode MS" w:hAnsi="Palatino Linotype" w:cs="Arial"/>
          <w:sz w:val="24"/>
          <w:lang w:eastAsia="en-US"/>
        </w:rPr>
        <w:t>Ahora bien, recordemos que el Sujeto Obligado no entregó respuesta, sin embargo, a través de informe justificado se pronunció la Dirección de Administración</w:t>
      </w:r>
      <w:r w:rsidR="0065252E" w:rsidRPr="00591EA3">
        <w:rPr>
          <w:rFonts w:ascii="Palatino Linotype" w:eastAsia="Arial Unicode MS" w:hAnsi="Palatino Linotype" w:cs="Arial"/>
          <w:sz w:val="24"/>
          <w:lang w:eastAsia="en-US"/>
        </w:rPr>
        <w:t xml:space="preserve"> y Finanzas</w:t>
      </w:r>
      <w:r w:rsidRPr="00591EA3">
        <w:rPr>
          <w:rFonts w:ascii="Palatino Linotype" w:eastAsia="Arial Unicode MS" w:hAnsi="Palatino Linotype" w:cs="Arial"/>
          <w:sz w:val="24"/>
          <w:lang w:eastAsia="en-US"/>
        </w:rPr>
        <w:t xml:space="preserve">, quien de acuerdo al </w:t>
      </w:r>
      <w:r w:rsidR="00084ACE" w:rsidRPr="00591EA3">
        <w:rPr>
          <w:rFonts w:ascii="Palatino Linotype" w:eastAsia="Arial Unicode MS" w:hAnsi="Palatino Linotype" w:cs="Arial"/>
          <w:sz w:val="24"/>
          <w:lang w:eastAsia="en-US"/>
        </w:rPr>
        <w:t xml:space="preserve">Manual de Organización de Administración y Finanzas tiene como objetivo </w:t>
      </w:r>
      <w:r w:rsidR="00084ACE" w:rsidRPr="00591EA3">
        <w:rPr>
          <w:rFonts w:ascii="Palatino Linotype" w:eastAsia="Arial Unicode MS" w:hAnsi="Palatino Linotype" w:cs="Arial"/>
          <w:sz w:val="24"/>
          <w:lang w:eastAsia="en-US"/>
        </w:rPr>
        <w:lastRenderedPageBreak/>
        <w:t xml:space="preserve">obtener, administrar y erogar responsablemente los recursos públicos con base a la disciplina presupuestaria, con la finalidad de mantener unas finanzas públicas sanas, así como Planear y coordinar la ejecución de las acciones que permitan la recaudación y control de los ingresos, es decir, que </w:t>
      </w:r>
      <w:r w:rsidRPr="00591EA3">
        <w:rPr>
          <w:rFonts w:ascii="Palatino Linotype" w:eastAsia="Arial Unicode MS" w:hAnsi="Palatino Linotype" w:cs="Arial"/>
          <w:sz w:val="24"/>
          <w:lang w:eastAsia="en-US"/>
        </w:rPr>
        <w:t xml:space="preserve">el informe justificado fue entregado por el servidor público con facultades para generar, poseer y/o administrar la información solicitada, </w:t>
      </w:r>
      <w:r w:rsidR="00084ACE" w:rsidRPr="00591EA3">
        <w:rPr>
          <w:rFonts w:ascii="Palatino Linotype" w:eastAsia="Arial Unicode MS" w:hAnsi="Palatino Linotype" w:cs="Arial"/>
          <w:sz w:val="24"/>
          <w:lang w:eastAsia="en-US"/>
        </w:rPr>
        <w:t>por lo tanto se</w:t>
      </w:r>
      <w:r w:rsidRPr="00591EA3">
        <w:rPr>
          <w:rFonts w:ascii="Palatino Linotype" w:eastAsia="Arial Unicode MS" w:hAnsi="Palatino Linotype" w:cs="Arial"/>
          <w:sz w:val="24"/>
          <w:lang w:eastAsia="en-US"/>
        </w:rPr>
        <w:t xml:space="preserve"> dio cumplimiento al proceso de búsqueda estableci</w:t>
      </w:r>
      <w:r w:rsidR="00084ACE" w:rsidRPr="00591EA3">
        <w:rPr>
          <w:rFonts w:ascii="Palatino Linotype" w:eastAsia="Arial Unicode MS" w:hAnsi="Palatino Linotype" w:cs="Arial"/>
          <w:sz w:val="24"/>
          <w:lang w:eastAsia="en-US"/>
        </w:rPr>
        <w:t xml:space="preserve">do en la legislación aplicable. </w:t>
      </w:r>
    </w:p>
    <w:p w:rsidR="00084ACE" w:rsidRPr="00591EA3" w:rsidRDefault="00084ACE" w:rsidP="00084ACE">
      <w:pPr>
        <w:pStyle w:val="Prrafodelista"/>
        <w:rPr>
          <w:rFonts w:ascii="Palatino Linotype" w:eastAsia="Arial Unicode MS" w:hAnsi="Palatino Linotype" w:cs="Arial"/>
          <w:sz w:val="24"/>
          <w:lang w:eastAsia="en-US"/>
        </w:rPr>
      </w:pPr>
    </w:p>
    <w:p w:rsidR="00B02DE3" w:rsidRPr="00591EA3" w:rsidRDefault="00B02DE3" w:rsidP="00B02DE3">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591EA3">
        <w:rPr>
          <w:rFonts w:ascii="Palatino Linotype" w:eastAsia="Arial Unicode MS" w:hAnsi="Palatino Linotype" w:cs="Arial"/>
          <w:sz w:val="24"/>
          <w:lang w:eastAsia="en-US"/>
        </w:rPr>
        <w:t>Al respecto</w:t>
      </w:r>
      <w:r w:rsidR="00084ACE" w:rsidRPr="00591EA3">
        <w:rPr>
          <w:rFonts w:ascii="Palatino Linotype" w:eastAsia="Arial Unicode MS" w:hAnsi="Palatino Linotype" w:cs="Arial"/>
          <w:sz w:val="24"/>
          <w:lang w:eastAsia="en-US"/>
        </w:rPr>
        <w:t>, en el informe justificado el Sujeto Obligado señaló “</w:t>
      </w:r>
      <w:r w:rsidR="00084ACE" w:rsidRPr="00591EA3">
        <w:rPr>
          <w:rFonts w:ascii="Palatino Linotype" w:eastAsia="Arial Unicode MS" w:hAnsi="Palatino Linotype" w:cs="Arial"/>
          <w:i/>
          <w:sz w:val="24"/>
          <w:lang w:eastAsia="en-US"/>
        </w:rPr>
        <w:t>la cantidad recaudada al tercer trimestre del 2025, que corresponde a: $121,95,838.61; el cual es destinado a gasto corriente</w:t>
      </w:r>
      <w:r w:rsidR="00084ACE" w:rsidRPr="00591EA3">
        <w:rPr>
          <w:rFonts w:ascii="Palatino Linotype" w:eastAsia="Arial Unicode MS" w:hAnsi="Palatino Linotype" w:cs="Arial"/>
          <w:sz w:val="24"/>
          <w:lang w:eastAsia="en-US"/>
        </w:rPr>
        <w:t xml:space="preserve">”, como se advierte, se refirió el monto recaudado y su destino, sin embargo, la información solo corresponde al tercer trimestre, es decir, que faltó que se pronunciara del primero de octubre al dieciocho de noviembre de dos mil veinticinco, por lo tanto, </w:t>
      </w:r>
      <w:r w:rsidRPr="00591EA3">
        <w:rPr>
          <w:rFonts w:ascii="Palatino Linotype" w:eastAsia="Arial Unicode MS" w:hAnsi="Palatino Linotype" w:cs="Arial"/>
          <w:sz w:val="24"/>
          <w:lang w:eastAsia="en-US"/>
        </w:rPr>
        <w:t>el informe justificado</w:t>
      </w:r>
      <w:r w:rsidR="00084ACE" w:rsidRPr="00591EA3">
        <w:rPr>
          <w:rFonts w:ascii="Palatino Linotype" w:eastAsia="Arial Unicode MS" w:hAnsi="Palatino Linotype" w:cs="Arial"/>
          <w:sz w:val="24"/>
          <w:lang w:eastAsia="en-US"/>
        </w:rPr>
        <w:t xml:space="preserve"> </w:t>
      </w:r>
      <w:r w:rsidRPr="00591EA3">
        <w:rPr>
          <w:rFonts w:ascii="Palatino Linotype" w:eastAsia="Arial Unicode MS" w:hAnsi="Palatino Linotype" w:cs="Arial"/>
          <w:sz w:val="24"/>
          <w:lang w:eastAsia="en-US"/>
        </w:rPr>
        <w:t xml:space="preserve">colma de forma parcial. </w:t>
      </w:r>
      <w:r w:rsidR="00084ACE" w:rsidRPr="00591EA3">
        <w:rPr>
          <w:rFonts w:ascii="Palatino Linotype" w:eastAsia="Arial Unicode MS" w:hAnsi="Palatino Linotype" w:cs="Arial"/>
          <w:sz w:val="24"/>
          <w:lang w:eastAsia="en-US"/>
        </w:rPr>
        <w:t xml:space="preserve">  </w:t>
      </w:r>
    </w:p>
    <w:p w:rsidR="00B02DE3" w:rsidRPr="00591EA3" w:rsidRDefault="00B02DE3" w:rsidP="00B02DE3">
      <w:pPr>
        <w:pStyle w:val="Prrafodelista"/>
        <w:rPr>
          <w:rFonts w:ascii="Palatino Linotype" w:hAnsi="Palatino Linotype" w:cs="Arial"/>
          <w:color w:val="000000"/>
          <w:sz w:val="24"/>
        </w:rPr>
      </w:pPr>
    </w:p>
    <w:p w:rsidR="00084ACE" w:rsidRPr="00591EA3" w:rsidRDefault="00084ACE" w:rsidP="00B02DE3">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591EA3">
        <w:rPr>
          <w:rFonts w:ascii="Palatino Linotype" w:hAnsi="Palatino Linotype" w:cs="Arial"/>
          <w:color w:val="000000"/>
          <w:sz w:val="24"/>
        </w:rPr>
        <w:t>Así, debemos tomar en cuenta los artículos 4 y 12, de la Ley de Transparencia y Acceso a la Información Pública del Estado de México y Municipios, los cuales establecen lo siguiente:</w:t>
      </w: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r w:rsidRPr="00591EA3">
        <w:rPr>
          <w:rFonts w:ascii="Palatino Linotype" w:hAnsi="Palatino Linotype" w:cs="Bookman Old Style,Bold"/>
          <w:b/>
          <w:bCs/>
          <w:i/>
          <w:sz w:val="24"/>
          <w:szCs w:val="24"/>
        </w:rPr>
        <w:t xml:space="preserve">Artículo 4. </w:t>
      </w:r>
      <w:r w:rsidRPr="00591EA3">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r w:rsidRPr="00591EA3">
        <w:rPr>
          <w:rFonts w:ascii="Palatino Linotype" w:hAnsi="Palatino Linotype" w:cs="Bookman Old Styl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591EA3">
        <w:rPr>
          <w:rFonts w:ascii="Palatino Linotype" w:hAnsi="Palatino Linotype" w:cs="Bookman Old Style"/>
          <w:i/>
          <w:sz w:val="24"/>
          <w:szCs w:val="24"/>
        </w:rPr>
        <w:lastRenderedPageBreak/>
        <w:t>reservada temporalmente por razones de interés público, en los términos de las causas legítimas y estrictamente necesarias previstas por esta Ley.</w:t>
      </w: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r w:rsidRPr="00591EA3">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rsidR="00084ACE" w:rsidRPr="00591EA3" w:rsidRDefault="00084ACE" w:rsidP="00B02DE3">
      <w:pPr>
        <w:autoSpaceDE w:val="0"/>
        <w:autoSpaceDN w:val="0"/>
        <w:adjustRightInd w:val="0"/>
        <w:spacing w:line="276" w:lineRule="auto"/>
        <w:ind w:left="851" w:right="822"/>
        <w:jc w:val="both"/>
        <w:rPr>
          <w:rFonts w:ascii="Palatino Linotype" w:hAnsi="Palatino Linotype" w:cs="Arial"/>
          <w:i/>
          <w:color w:val="000000"/>
          <w:sz w:val="24"/>
          <w:szCs w:val="24"/>
        </w:rPr>
      </w:pP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r w:rsidRPr="00591EA3">
        <w:rPr>
          <w:rFonts w:ascii="Palatino Linotype" w:hAnsi="Palatino Linotype" w:cs="Bookman Old Style,Bold"/>
          <w:b/>
          <w:bCs/>
          <w:i/>
          <w:sz w:val="24"/>
          <w:szCs w:val="24"/>
        </w:rPr>
        <w:t xml:space="preserve">Artículo 12. </w:t>
      </w:r>
      <w:r w:rsidRPr="00591EA3">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p>
    <w:p w:rsidR="00084ACE" w:rsidRPr="00591EA3" w:rsidRDefault="00084ACE" w:rsidP="00B02DE3">
      <w:pPr>
        <w:autoSpaceDE w:val="0"/>
        <w:autoSpaceDN w:val="0"/>
        <w:adjustRightInd w:val="0"/>
        <w:spacing w:line="276" w:lineRule="auto"/>
        <w:ind w:left="851" w:right="822"/>
        <w:jc w:val="both"/>
        <w:rPr>
          <w:rFonts w:ascii="Palatino Linotype" w:hAnsi="Palatino Linotype" w:cs="Bookman Old Style"/>
          <w:i/>
          <w:sz w:val="24"/>
          <w:szCs w:val="24"/>
        </w:rPr>
      </w:pPr>
      <w:r w:rsidRPr="00591EA3">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591EA3">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084ACE" w:rsidRPr="00591EA3" w:rsidRDefault="00084ACE" w:rsidP="00084ACE">
      <w:pPr>
        <w:autoSpaceDE w:val="0"/>
        <w:autoSpaceDN w:val="0"/>
        <w:adjustRightInd w:val="0"/>
        <w:spacing w:line="360" w:lineRule="auto"/>
        <w:ind w:left="567" w:right="567"/>
        <w:jc w:val="both"/>
        <w:rPr>
          <w:rFonts w:ascii="Palatino Linotype" w:hAnsi="Palatino Linotype" w:cs="Arial"/>
          <w:i/>
          <w:color w:val="000000"/>
          <w:sz w:val="24"/>
          <w:szCs w:val="24"/>
        </w:rPr>
      </w:pPr>
    </w:p>
    <w:p w:rsidR="00084ACE" w:rsidRPr="00591EA3" w:rsidRDefault="00084ACE" w:rsidP="00B02DE3">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91EA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1EA3">
        <w:rPr>
          <w:rStyle w:val="Refdenotaalpie"/>
          <w:rFonts w:ascii="Palatino Linotype" w:hAnsi="Palatino Linotype"/>
          <w:sz w:val="24"/>
          <w:lang w:val="es-ES"/>
        </w:rPr>
        <w:footnoteReference w:id="3"/>
      </w:r>
      <w:r w:rsidRPr="00591E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84ACE" w:rsidRPr="00591EA3" w:rsidRDefault="00084ACE" w:rsidP="00B02DE3">
      <w:pPr>
        <w:pStyle w:val="Prrafodelista"/>
        <w:tabs>
          <w:tab w:val="left" w:pos="851"/>
        </w:tabs>
        <w:spacing w:line="360" w:lineRule="auto"/>
        <w:ind w:left="0" w:right="49"/>
        <w:jc w:val="both"/>
        <w:rPr>
          <w:rFonts w:ascii="Palatino Linotype" w:hAnsi="Palatino Linotype"/>
          <w:sz w:val="24"/>
          <w:lang w:val="es-ES"/>
        </w:rPr>
      </w:pPr>
    </w:p>
    <w:p w:rsidR="00084ACE" w:rsidRPr="00591EA3" w:rsidRDefault="00084ACE" w:rsidP="00B02DE3">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91EA3">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84ACE" w:rsidRPr="00591EA3" w:rsidRDefault="00084ACE" w:rsidP="00B02DE3">
      <w:pPr>
        <w:pStyle w:val="Prrafodelista"/>
        <w:tabs>
          <w:tab w:val="left" w:pos="851"/>
        </w:tabs>
        <w:spacing w:line="276" w:lineRule="auto"/>
        <w:ind w:left="851" w:right="822"/>
        <w:jc w:val="both"/>
        <w:rPr>
          <w:rFonts w:ascii="Palatino Linotype" w:hAnsi="Palatino Linotype"/>
          <w:i/>
          <w:sz w:val="24"/>
        </w:rPr>
      </w:pPr>
      <w:r w:rsidRPr="00591EA3">
        <w:rPr>
          <w:rFonts w:ascii="Palatino Linotype" w:hAnsi="Palatino Linotype"/>
          <w:b/>
          <w:i/>
          <w:sz w:val="24"/>
        </w:rPr>
        <w:t>ACCESO A LA INFORMACIÓN. IMPLICACIÓN DEL PRINCIPIO DE MÁXIMA PUBLICIDAD EN EL DERECHO FUNDAMENTAL RELATIVO.</w:t>
      </w:r>
      <w:r w:rsidRPr="00591EA3">
        <w:rPr>
          <w:rFonts w:ascii="Palatino Linotype" w:hAnsi="Palatino Linotype"/>
          <w:i/>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84ACE" w:rsidRPr="00591EA3" w:rsidRDefault="00084ACE" w:rsidP="00B02DE3">
      <w:pPr>
        <w:pStyle w:val="Prrafodelista"/>
        <w:tabs>
          <w:tab w:val="left" w:pos="851"/>
        </w:tabs>
        <w:spacing w:line="276" w:lineRule="auto"/>
        <w:ind w:left="851" w:right="822"/>
        <w:jc w:val="both"/>
        <w:rPr>
          <w:rFonts w:ascii="Palatino Linotype" w:hAnsi="Palatino Linotype"/>
          <w:i/>
          <w:sz w:val="24"/>
        </w:rPr>
      </w:pPr>
    </w:p>
    <w:p w:rsidR="00084ACE" w:rsidRPr="00591EA3" w:rsidRDefault="00084ACE" w:rsidP="00B02DE3">
      <w:pPr>
        <w:pStyle w:val="Prrafodelista"/>
        <w:tabs>
          <w:tab w:val="left" w:pos="851"/>
        </w:tabs>
        <w:spacing w:line="276" w:lineRule="auto"/>
        <w:ind w:left="851" w:right="822"/>
        <w:jc w:val="both"/>
        <w:rPr>
          <w:rFonts w:ascii="Palatino Linotype" w:hAnsi="Palatino Linotype"/>
          <w:i/>
          <w:sz w:val="24"/>
        </w:rPr>
      </w:pPr>
      <w:r w:rsidRPr="00591EA3">
        <w:rPr>
          <w:rFonts w:ascii="Palatino Linotype" w:hAnsi="Palatino Linotype"/>
          <w:i/>
          <w:sz w:val="24"/>
        </w:rPr>
        <w:lastRenderedPageBreak/>
        <w:t xml:space="preserve">CUARTO TRIBUNAL COLEGIADO EN MATERIA ADMINISTRATIVA DEL PRIMER CIRCUITO. </w:t>
      </w:r>
    </w:p>
    <w:p w:rsidR="00084ACE" w:rsidRPr="00591EA3" w:rsidRDefault="00084ACE" w:rsidP="00B02DE3">
      <w:pPr>
        <w:pStyle w:val="Prrafodelista"/>
        <w:tabs>
          <w:tab w:val="left" w:pos="851"/>
        </w:tabs>
        <w:spacing w:line="276" w:lineRule="auto"/>
        <w:ind w:left="851" w:right="822"/>
        <w:jc w:val="both"/>
        <w:rPr>
          <w:rFonts w:ascii="Palatino Linotype" w:hAnsi="Palatino Linotype"/>
          <w:i/>
          <w:sz w:val="24"/>
        </w:rPr>
      </w:pPr>
    </w:p>
    <w:p w:rsidR="00084ACE" w:rsidRPr="00591EA3" w:rsidRDefault="00084ACE" w:rsidP="00B02DE3">
      <w:pPr>
        <w:pStyle w:val="Prrafodelista"/>
        <w:tabs>
          <w:tab w:val="left" w:pos="851"/>
        </w:tabs>
        <w:spacing w:line="276" w:lineRule="auto"/>
        <w:ind w:left="851" w:right="822"/>
        <w:jc w:val="both"/>
        <w:rPr>
          <w:rFonts w:ascii="Palatino Linotype" w:hAnsi="Palatino Linotype"/>
          <w:i/>
          <w:sz w:val="24"/>
          <w:lang w:val="es-ES"/>
        </w:rPr>
      </w:pPr>
      <w:r w:rsidRPr="00591EA3">
        <w:rPr>
          <w:rFonts w:ascii="Palatino Linotype" w:hAnsi="Palatino Linotype"/>
          <w:i/>
          <w:sz w:val="24"/>
        </w:rPr>
        <w:t>Amparo en revisión 257/2012. Ruth Corona Muñoz. 6 de diciembre de 2012. Unanimidad de votos. Ponente: Jean Claude Tron Petit. Secretaria: Mayra Susana Martínez López.</w:t>
      </w:r>
    </w:p>
    <w:p w:rsidR="00084ACE" w:rsidRPr="00591EA3" w:rsidRDefault="00084ACE" w:rsidP="00084ACE">
      <w:pPr>
        <w:pStyle w:val="Prrafodelista"/>
        <w:spacing w:line="360" w:lineRule="auto"/>
        <w:rPr>
          <w:rFonts w:ascii="Palatino Linotype" w:hAnsi="Palatino Linotype"/>
          <w:sz w:val="24"/>
          <w:lang w:val="es-ES"/>
        </w:rPr>
      </w:pPr>
    </w:p>
    <w:p w:rsidR="00084ACE" w:rsidRPr="00591EA3" w:rsidRDefault="00084ACE" w:rsidP="00B02DE3">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4"/>
          <w:lang w:val="es-ES"/>
        </w:rPr>
      </w:pPr>
      <w:r w:rsidRPr="00591E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084ACE" w:rsidRPr="00591EA3" w:rsidRDefault="00084ACE" w:rsidP="00B02DE3">
      <w:pPr>
        <w:autoSpaceDE w:val="0"/>
        <w:autoSpaceDN w:val="0"/>
        <w:adjustRightInd w:val="0"/>
        <w:spacing w:line="276" w:lineRule="auto"/>
        <w:ind w:left="851" w:right="822"/>
        <w:jc w:val="both"/>
        <w:rPr>
          <w:rFonts w:ascii="Palatino Linotype" w:hAnsi="Palatino Linotype"/>
          <w:i/>
          <w:sz w:val="24"/>
          <w:szCs w:val="24"/>
          <w:lang w:val="es-ES"/>
        </w:rPr>
      </w:pPr>
      <w:r w:rsidRPr="00591EA3">
        <w:rPr>
          <w:rFonts w:ascii="Palatino Linotype" w:eastAsiaTheme="minorHAnsi" w:hAnsi="Palatino Linotype" w:cs="Bookman Old Style,Bold"/>
          <w:b/>
          <w:bCs/>
          <w:i/>
          <w:sz w:val="24"/>
          <w:szCs w:val="24"/>
          <w:lang w:eastAsia="en-US"/>
        </w:rPr>
        <w:t xml:space="preserve">XI. Documento: </w:t>
      </w:r>
      <w:r w:rsidRPr="00591EA3">
        <w:rPr>
          <w:rFonts w:ascii="Palatino Linotype" w:eastAsiaTheme="minorHAnsi" w:hAnsi="Palatino Linotype" w:cs="Bookman Old Style"/>
          <w:i/>
          <w:sz w:val="24"/>
          <w:szCs w:val="24"/>
          <w:lang w:eastAsia="en-US"/>
        </w:rPr>
        <w:t xml:space="preserve">Los expedientes, reportes, estudios, actas, resoluciones, oficios, correspondencia, acuerdos, directivas, directrices, circulares, contratos, convenios, instructivos, notas, memorandos, estadísticas o bien, </w:t>
      </w:r>
      <w:r w:rsidRPr="00591EA3">
        <w:rPr>
          <w:rFonts w:ascii="Palatino Linotype" w:eastAsiaTheme="minorHAnsi" w:hAnsi="Palatino Linotype" w:cs="Bookman Old Style"/>
          <w:b/>
          <w:i/>
          <w:sz w:val="24"/>
          <w:szCs w:val="24"/>
          <w:lang w:eastAsia="en-US"/>
        </w:rPr>
        <w:t>cualquier otro registro</w:t>
      </w:r>
      <w:r w:rsidRPr="00591EA3">
        <w:rPr>
          <w:rFonts w:ascii="Palatino Linotype" w:eastAsiaTheme="minorHAnsi" w:hAnsi="Palatino Linotype" w:cs="Bookman Old Style"/>
          <w:i/>
          <w:sz w:val="24"/>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84ACE" w:rsidRPr="00591EA3" w:rsidRDefault="00084ACE" w:rsidP="00084ACE">
      <w:pPr>
        <w:pStyle w:val="Prrafodelista"/>
        <w:tabs>
          <w:tab w:val="left" w:pos="851"/>
        </w:tabs>
        <w:spacing w:line="360" w:lineRule="auto"/>
        <w:ind w:left="0" w:right="49"/>
        <w:jc w:val="both"/>
        <w:rPr>
          <w:rFonts w:ascii="Palatino Linotype" w:hAnsi="Palatino Linotype"/>
          <w:sz w:val="24"/>
          <w:lang w:val="es-ES"/>
        </w:rPr>
      </w:pPr>
    </w:p>
    <w:p w:rsidR="00A57B95" w:rsidRPr="00591EA3" w:rsidRDefault="00084ACE" w:rsidP="00B02DE3">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91EA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B02DE3" w:rsidRPr="00591EA3" w:rsidRDefault="00B02DE3" w:rsidP="00B02DE3">
      <w:pPr>
        <w:pStyle w:val="Prrafodelista"/>
        <w:tabs>
          <w:tab w:val="left" w:pos="851"/>
        </w:tabs>
        <w:spacing w:line="360" w:lineRule="auto"/>
        <w:ind w:left="0" w:right="49"/>
        <w:jc w:val="both"/>
        <w:rPr>
          <w:rFonts w:ascii="Palatino Linotype" w:hAnsi="Palatino Linotype"/>
          <w:sz w:val="24"/>
          <w:lang w:val="es-ES"/>
        </w:rPr>
      </w:pPr>
    </w:p>
    <w:p w:rsidR="00A57B95" w:rsidRPr="00591EA3" w:rsidRDefault="00A57B95" w:rsidP="00A57B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lang w:val="es-ES"/>
        </w:rPr>
      </w:pPr>
      <w:r w:rsidRPr="00591EA3">
        <w:rPr>
          <w:rFonts w:ascii="Palatino Linotype" w:hAnsi="Palatino Linotype" w:cs="Arial"/>
          <w:sz w:val="24"/>
          <w:szCs w:val="24"/>
          <w:lang w:val="es-ES"/>
        </w:rPr>
        <w:t xml:space="preserve">Derivado de lo anteriormente señalado, se concluye que </w:t>
      </w:r>
      <w:r w:rsidRPr="00591EA3">
        <w:rPr>
          <w:rFonts w:ascii="Palatino Linotype" w:eastAsia="Palatino Linotype" w:hAnsi="Palatino Linotype" w:cs="Palatino Linotype"/>
          <w:sz w:val="24"/>
          <w:szCs w:val="24"/>
        </w:rPr>
        <w:t xml:space="preserve">resultan fundadas las razones o motivos de inconformidad hechos valer por el </w:t>
      </w:r>
      <w:r w:rsidRPr="00591EA3">
        <w:rPr>
          <w:rFonts w:ascii="Palatino Linotype" w:eastAsia="Palatino Linotype" w:hAnsi="Palatino Linotype" w:cs="Palatino Linotype"/>
          <w:b/>
          <w:sz w:val="24"/>
          <w:szCs w:val="24"/>
        </w:rPr>
        <w:t>RECURRENTE</w:t>
      </w:r>
      <w:r w:rsidRPr="00591EA3">
        <w:rPr>
          <w:rFonts w:ascii="Palatino Linotype" w:eastAsia="Palatino Linotype" w:hAnsi="Palatino Linotype" w:cs="Palatino Linotype"/>
          <w:sz w:val="24"/>
          <w:szCs w:val="24"/>
        </w:rPr>
        <w:t xml:space="preserve"> dentro del recurso de revisión </w:t>
      </w:r>
      <w:r w:rsidR="00B02DE3" w:rsidRPr="00591EA3">
        <w:rPr>
          <w:rFonts w:ascii="Palatino Linotype" w:eastAsia="Palatino Linotype" w:hAnsi="Palatino Linotype" w:cs="Palatino Linotype"/>
          <w:b/>
          <w:sz w:val="24"/>
          <w:szCs w:val="24"/>
        </w:rPr>
        <w:t>14218</w:t>
      </w:r>
      <w:r w:rsidRPr="00591EA3">
        <w:rPr>
          <w:rFonts w:ascii="Palatino Linotype" w:eastAsia="Palatino Linotype" w:hAnsi="Palatino Linotype" w:cs="Palatino Linotype"/>
          <w:b/>
          <w:sz w:val="24"/>
          <w:szCs w:val="24"/>
        </w:rPr>
        <w:t>/INFOEM/IP/RR/2025</w:t>
      </w:r>
      <w:r w:rsidRPr="00591EA3">
        <w:rPr>
          <w:rFonts w:ascii="Palatino Linotype" w:eastAsia="Palatino Linotype" w:hAnsi="Palatino Linotype" w:cs="Palatino Linotype"/>
          <w:sz w:val="24"/>
          <w:szCs w:val="24"/>
        </w:rPr>
        <w:t xml:space="preserve">; por ello, es procedente </w:t>
      </w:r>
      <w:r w:rsidRPr="00591EA3">
        <w:rPr>
          <w:rFonts w:ascii="Palatino Linotype" w:eastAsia="Palatino Linotype" w:hAnsi="Palatino Linotype" w:cs="Palatino Linotype"/>
          <w:b/>
          <w:sz w:val="24"/>
          <w:szCs w:val="24"/>
        </w:rPr>
        <w:t>ORDENAR</w:t>
      </w:r>
      <w:r w:rsidRPr="00591EA3">
        <w:rPr>
          <w:rFonts w:ascii="Palatino Linotype" w:eastAsia="Palatino Linotype" w:hAnsi="Palatino Linotype" w:cs="Palatino Linotype"/>
          <w:sz w:val="24"/>
          <w:szCs w:val="24"/>
        </w:rPr>
        <w:t xml:space="preserve"> al </w:t>
      </w:r>
      <w:r w:rsidRPr="00591EA3">
        <w:rPr>
          <w:rFonts w:ascii="Palatino Linotype" w:eastAsia="Palatino Linotype" w:hAnsi="Palatino Linotype" w:cs="Palatino Linotype"/>
          <w:b/>
          <w:sz w:val="24"/>
          <w:szCs w:val="24"/>
        </w:rPr>
        <w:t>SUJETO OBLIGADO</w:t>
      </w:r>
      <w:r w:rsidRPr="00591EA3">
        <w:rPr>
          <w:rFonts w:ascii="Palatino Linotype" w:eastAsia="Palatino Linotype" w:hAnsi="Palatino Linotype" w:cs="Palatino Linotype"/>
          <w:sz w:val="24"/>
          <w:szCs w:val="24"/>
        </w:rPr>
        <w:t>, de ser procedente en versión pública, la entrega de lo siguiente:</w:t>
      </w:r>
    </w:p>
    <w:p w:rsidR="00A57B95" w:rsidRPr="00591EA3" w:rsidRDefault="00A57B95" w:rsidP="00A57B95">
      <w:pPr>
        <w:pStyle w:val="Prrafodelista"/>
        <w:numPr>
          <w:ilvl w:val="0"/>
          <w:numId w:val="5"/>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color w:val="000000"/>
          <w:sz w:val="24"/>
          <w:lang w:val="es-ES"/>
        </w:rPr>
      </w:pPr>
      <w:r w:rsidRPr="00591EA3">
        <w:rPr>
          <w:rFonts w:ascii="Palatino Linotype" w:eastAsia="Palatino Linotype" w:hAnsi="Palatino Linotype" w:cs="Palatino Linotype"/>
          <w:b/>
          <w:color w:val="000000"/>
          <w:sz w:val="24"/>
          <w:lang w:val="es-ES"/>
        </w:rPr>
        <w:lastRenderedPageBreak/>
        <w:t xml:space="preserve">Soporte documental donde conste </w:t>
      </w:r>
      <w:r w:rsidR="00B02DE3" w:rsidRPr="00591EA3">
        <w:rPr>
          <w:rFonts w:ascii="Palatino Linotype" w:eastAsia="Palatino Linotype" w:hAnsi="Palatino Linotype" w:cs="Palatino Linotype"/>
          <w:b/>
          <w:color w:val="000000"/>
          <w:sz w:val="24"/>
          <w:lang w:val="es-ES"/>
        </w:rPr>
        <w:t xml:space="preserve">el monto recaudado por concepto del pago de predial y su destino, del primero de octubre al dieciocho de noviembre de dos mil veinticinco. </w:t>
      </w:r>
    </w:p>
    <w:p w:rsidR="00A57B95" w:rsidRPr="00591EA3" w:rsidRDefault="00A57B95" w:rsidP="00B02DE3">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 w:val="24"/>
          <w:szCs w:val="24"/>
        </w:rPr>
      </w:pPr>
    </w:p>
    <w:p w:rsidR="00A57B95" w:rsidRPr="00591EA3" w:rsidRDefault="00A57B95" w:rsidP="00A57B95">
      <w:pPr>
        <w:keepNext/>
        <w:keepLines/>
        <w:spacing w:line="256" w:lineRule="auto"/>
        <w:rPr>
          <w:rFonts w:ascii="Palatino Linotype" w:eastAsia="Palatino Linotype" w:hAnsi="Palatino Linotype" w:cs="Palatino Linotype"/>
          <w:b/>
          <w:sz w:val="24"/>
          <w:szCs w:val="24"/>
        </w:rPr>
      </w:pPr>
      <w:bookmarkStart w:id="7" w:name="_heading=h.1t3h5sf" w:colFirst="0" w:colLast="0"/>
      <w:bookmarkEnd w:id="7"/>
      <w:r w:rsidRPr="00591EA3">
        <w:rPr>
          <w:rFonts w:ascii="Palatino Linotype" w:eastAsia="Palatino Linotype" w:hAnsi="Palatino Linotype" w:cs="Palatino Linotype"/>
          <w:b/>
          <w:sz w:val="24"/>
          <w:szCs w:val="24"/>
        </w:rPr>
        <w:t xml:space="preserve">QUINTO. </w:t>
      </w:r>
      <w:r w:rsidR="00B02DE3" w:rsidRPr="00591EA3">
        <w:rPr>
          <w:rFonts w:ascii="Palatino Linotype" w:eastAsia="Palatino Linotype" w:hAnsi="Palatino Linotype" w:cs="Palatino Linotype"/>
          <w:b/>
          <w:sz w:val="24"/>
          <w:szCs w:val="24"/>
        </w:rPr>
        <w:t xml:space="preserve">De la versión pública. </w:t>
      </w:r>
    </w:p>
    <w:p w:rsidR="00A57B95" w:rsidRPr="00591EA3" w:rsidRDefault="00A57B95" w:rsidP="00A57B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Debe destacarse que, debido a la naturaleza de la información solicitada</w:t>
      </w:r>
      <w:r w:rsidRPr="00591EA3">
        <w:rPr>
          <w:rFonts w:ascii="Palatino Linotype" w:eastAsia="Palatino Linotype" w:hAnsi="Palatino Linotype" w:cs="Palatino Linotype"/>
          <w:b/>
          <w:color w:val="000000"/>
          <w:sz w:val="24"/>
          <w:szCs w:val="24"/>
        </w:rPr>
        <w:t xml:space="preserve">, </w:t>
      </w:r>
      <w:r w:rsidRPr="00591EA3">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591EA3">
        <w:rPr>
          <w:rFonts w:ascii="Palatino Linotype" w:eastAsia="Palatino Linotype" w:hAnsi="Palatino Linotype" w:cs="Palatino Linotype"/>
          <w:b/>
          <w:color w:val="000000"/>
          <w:sz w:val="24"/>
          <w:szCs w:val="24"/>
        </w:rPr>
        <w:t xml:space="preserve">Sujeto Obligado </w:t>
      </w:r>
      <w:r w:rsidRPr="00591EA3">
        <w:rPr>
          <w:rFonts w:ascii="Palatino Linotype" w:eastAsia="Palatino Linotype" w:hAnsi="Palatino Linotype" w:cs="Palatino Linotype"/>
          <w:color w:val="000000"/>
          <w:sz w:val="24"/>
          <w:szCs w:val="24"/>
        </w:rPr>
        <w:t>deberá de hacer la adecuada versión pública, protegiendo los datos que no son susceptibles de ser proporcionados.</w:t>
      </w:r>
    </w:p>
    <w:p w:rsidR="00A57B95" w:rsidRPr="00591EA3" w:rsidRDefault="00A57B95" w:rsidP="00A57B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7230"/>
      </w:tblGrid>
      <w:tr w:rsidR="00B02DE3" w:rsidRPr="00591EA3" w:rsidTr="00591EA3">
        <w:tc>
          <w:tcPr>
            <w:tcW w:w="2830" w:type="dxa"/>
          </w:tcPr>
          <w:p w:rsidR="00B02DE3" w:rsidRPr="00591EA3" w:rsidRDefault="00B02DE3" w:rsidP="00591EA3">
            <w:pPr>
              <w:spacing w:line="360" w:lineRule="auto"/>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a) Requisitos previos.</w:t>
            </w:r>
          </w:p>
        </w:tc>
        <w:tc>
          <w:tcPr>
            <w:tcW w:w="7230" w:type="dxa"/>
          </w:tcPr>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El artículo 122 de la Ley Estatal señala que si los Sujetos Obligados determinan que la información actualiza alguno de los supuestos de clasificación, es deber de los titulares de las áreas proponer su clasificación y no del Comité de Transparencia. </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Al hacerlo tienen que precisar de qué información se trata, señalando el supuesto de clasificación (confidencialidad o reserva).</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Además, se debe señalar el procedimiento, de los tres que establecen el artículo 132 de la Ley Estatal.</w:t>
            </w:r>
          </w:p>
          <w:p w:rsidR="00B02DE3" w:rsidRPr="00591EA3" w:rsidRDefault="00B02DE3" w:rsidP="00591EA3">
            <w:pPr>
              <w:spacing w:line="276" w:lineRule="auto"/>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color w:val="000000"/>
                <w:sz w:val="24"/>
                <w:szCs w:val="24"/>
              </w:rPr>
              <w:t xml:space="preserve">El último de estos requisitos previos consiste en que no se pueden emitir acuerdos de carácter general ni particular, esto es, </w:t>
            </w:r>
            <w:r w:rsidRPr="00591EA3">
              <w:rPr>
                <w:rFonts w:ascii="Palatino Linotype" w:eastAsia="Palatino Linotype" w:hAnsi="Palatino Linotype" w:cs="Palatino Linotype"/>
                <w:i/>
                <w:color w:val="000000"/>
                <w:sz w:val="24"/>
                <w:szCs w:val="24"/>
                <w:u w:val="single"/>
              </w:rPr>
              <w:t>no se puede hacer un acuerdo para clasificar de manera general todos los documentos de un expediente o área, sin</w:t>
            </w:r>
            <w:r w:rsidRPr="00591EA3">
              <w:rPr>
                <w:rFonts w:ascii="Palatino Linotype" w:eastAsia="Palatino Linotype" w:hAnsi="Palatino Linotype" w:cs="Palatino Linotype"/>
                <w:i/>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B02DE3" w:rsidRPr="00591EA3" w:rsidTr="00591EA3">
        <w:tc>
          <w:tcPr>
            <w:tcW w:w="2830" w:type="dxa"/>
            <w:shd w:val="clear" w:color="auto" w:fill="D9D9D9" w:themeFill="background1" w:themeFillShade="D9"/>
          </w:tcPr>
          <w:p w:rsidR="00B02DE3" w:rsidRPr="00591EA3" w:rsidRDefault="00B02DE3" w:rsidP="00591EA3">
            <w:pPr>
              <w:spacing w:line="360" w:lineRule="auto"/>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b) Supuestos de clasificación.</w:t>
            </w:r>
          </w:p>
        </w:tc>
        <w:tc>
          <w:tcPr>
            <w:tcW w:w="7230" w:type="dxa"/>
            <w:shd w:val="clear" w:color="auto" w:fill="D9D9D9" w:themeFill="background1" w:themeFillShade="D9"/>
          </w:tcPr>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Las disposiciones constitucionales y legales en la materia establecen los dos supuestos generales para clasificar la información: por reserva y por confidencialidad.</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lastRenderedPageBreak/>
              <w:t>El artículo 143 de la Ley Estatal señala los supuestos para que la información pueda ser clasificada como confidencial. Mientras que el artículo 130 de la Ley Estatal señala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02DE3" w:rsidRPr="00591EA3" w:rsidRDefault="00B02DE3" w:rsidP="00591EA3">
            <w:pPr>
              <w:spacing w:line="276" w:lineRule="auto"/>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color w:val="000000"/>
                <w:sz w:val="24"/>
                <w:szCs w:val="24"/>
              </w:rPr>
              <w:t xml:space="preserve">El </w:t>
            </w:r>
            <w:r w:rsidRPr="00591EA3">
              <w:rPr>
                <w:rFonts w:ascii="Palatino Linotype" w:eastAsia="Palatino Linotype" w:hAnsi="Palatino Linotype" w:cs="Palatino Linotype"/>
                <w:b/>
                <w:i/>
                <w:color w:val="000000"/>
                <w:sz w:val="24"/>
                <w:szCs w:val="24"/>
              </w:rPr>
              <w:t>Sujeto Obligado</w:t>
            </w:r>
            <w:r w:rsidRPr="00591EA3">
              <w:rPr>
                <w:rFonts w:ascii="Palatino Linotype" w:eastAsia="Palatino Linotype" w:hAnsi="Palatino Linotype" w:cs="Palatino Linotype"/>
                <w:i/>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2DE3" w:rsidRPr="00591EA3" w:rsidTr="00591EA3">
        <w:tc>
          <w:tcPr>
            <w:tcW w:w="2830" w:type="dxa"/>
          </w:tcPr>
          <w:p w:rsidR="00B02DE3" w:rsidRPr="00591EA3" w:rsidRDefault="00B02DE3" w:rsidP="00591EA3">
            <w:pPr>
              <w:spacing w:line="360" w:lineRule="auto"/>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lastRenderedPageBreak/>
              <w:t>c) Formalidades para emitir el acuerdo de clasificación.</w:t>
            </w:r>
          </w:p>
        </w:tc>
        <w:tc>
          <w:tcPr>
            <w:tcW w:w="7230" w:type="dxa"/>
          </w:tcPr>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El Comité de Transparencia, según lo dispuesto en los artículos cuenta con las facultades para aprobar, modificar o revocar la clasificación de la información que haya propuesto. </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Es necesario que </w:t>
            </w:r>
            <w:r w:rsidRPr="00591EA3">
              <w:rPr>
                <w:rFonts w:ascii="Palatino Linotype" w:eastAsia="Palatino Linotype" w:hAnsi="Palatino Linotype" w:cs="Palatino Linotype"/>
                <w:b/>
                <w:i/>
                <w:color w:val="000000"/>
                <w:sz w:val="24"/>
                <w:szCs w:val="24"/>
                <w:u w:val="single"/>
              </w:rPr>
              <w:t>el acto reúna con los requisitos elementales</w:t>
            </w:r>
            <w:r w:rsidRPr="00591EA3">
              <w:rPr>
                <w:rFonts w:ascii="Palatino Linotype" w:eastAsia="Palatino Linotype" w:hAnsi="Palatino Linotype" w:cs="Palatino Linotype"/>
                <w:i/>
                <w:color w:val="000000"/>
                <w:sz w:val="24"/>
                <w:szCs w:val="24"/>
              </w:rPr>
              <w:t>, entre ellos, que la autoridad que va a emitir el acto de autoridad sea la legalmente facultada para ello.</w:t>
            </w:r>
          </w:p>
          <w:p w:rsidR="00B02DE3" w:rsidRPr="00591EA3" w:rsidRDefault="00B02DE3" w:rsidP="00591EA3">
            <w:pPr>
              <w:spacing w:line="276" w:lineRule="auto"/>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w:t>
            </w:r>
            <w:r w:rsidRPr="00591EA3">
              <w:rPr>
                <w:rFonts w:ascii="Palatino Linotype" w:eastAsia="Palatino Linotype" w:hAnsi="Palatino Linotype" w:cs="Palatino Linotype"/>
                <w:i/>
                <w:sz w:val="24"/>
                <w:szCs w:val="24"/>
              </w:rPr>
              <w:t>El área</w:t>
            </w:r>
            <w:r w:rsidRPr="00591EA3">
              <w:rPr>
                <w:rFonts w:ascii="Palatino Linotype" w:eastAsia="Palatino Linotype" w:hAnsi="Palatino Linotype" w:cs="Palatino Linotype"/>
                <w:i/>
                <w:color w:val="000000"/>
                <w:sz w:val="24"/>
                <w:szCs w:val="24"/>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2DE3" w:rsidRPr="00591EA3" w:rsidTr="00591EA3">
        <w:tc>
          <w:tcPr>
            <w:tcW w:w="2830" w:type="dxa"/>
            <w:shd w:val="clear" w:color="auto" w:fill="D9D9D9" w:themeFill="background1" w:themeFillShade="D9"/>
          </w:tcPr>
          <w:p w:rsidR="00B02DE3" w:rsidRPr="00591EA3" w:rsidRDefault="00B02DE3" w:rsidP="00591EA3">
            <w:pPr>
              <w:spacing w:line="360" w:lineRule="auto"/>
              <w:rPr>
                <w:rFonts w:ascii="Palatino Linotype" w:eastAsia="Palatino Linotype" w:hAnsi="Palatino Linotype" w:cs="Palatino Linotype"/>
                <w:b/>
                <w:sz w:val="24"/>
                <w:szCs w:val="24"/>
              </w:rPr>
            </w:pPr>
          </w:p>
          <w:p w:rsidR="00B02DE3" w:rsidRPr="00591EA3" w:rsidRDefault="00B02DE3" w:rsidP="00591EA3">
            <w:pPr>
              <w:spacing w:line="360" w:lineRule="auto"/>
              <w:jc w:val="both"/>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color w:val="000000"/>
                <w:sz w:val="24"/>
                <w:szCs w:val="24"/>
              </w:rPr>
              <w:t xml:space="preserve">d) Requisitos de fondo del acuerdo de clasificación. </w:t>
            </w:r>
          </w:p>
        </w:tc>
        <w:tc>
          <w:tcPr>
            <w:tcW w:w="7230" w:type="dxa"/>
            <w:shd w:val="clear" w:color="auto" w:fill="D9D9D9" w:themeFill="background1" w:themeFillShade="D9"/>
          </w:tcPr>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591EA3">
              <w:rPr>
                <w:rFonts w:ascii="Palatino Linotype" w:eastAsia="Palatino Linotype" w:hAnsi="Palatino Linotype" w:cs="Palatino Linotype"/>
                <w:i/>
                <w:color w:val="000000"/>
                <w:sz w:val="24"/>
                <w:szCs w:val="24"/>
              </w:rPr>
              <w:lastRenderedPageBreak/>
              <w:t xml:space="preserve">corresponde a los </w:t>
            </w:r>
            <w:r w:rsidRPr="00591EA3">
              <w:rPr>
                <w:rFonts w:ascii="Palatino Linotype" w:eastAsia="Palatino Linotype" w:hAnsi="Palatino Linotype" w:cs="Palatino Linotype"/>
                <w:b/>
                <w:i/>
                <w:color w:val="000000"/>
                <w:sz w:val="24"/>
                <w:szCs w:val="24"/>
              </w:rPr>
              <w:t>Sujetos Obligados</w:t>
            </w:r>
            <w:r w:rsidRPr="00591EA3">
              <w:rPr>
                <w:rFonts w:ascii="Palatino Linotype" w:eastAsia="Palatino Linotype" w:hAnsi="Palatino Linotype" w:cs="Palatino Linotype"/>
                <w:i/>
                <w:color w:val="000000"/>
                <w:sz w:val="24"/>
                <w:szCs w:val="24"/>
              </w:rPr>
              <w:t xml:space="preserve">, por lo que deberán fundar y motivar debidamente la clasificación. </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De lo anterior, se desprende que para una correcta </w:t>
            </w:r>
            <w:r w:rsidRPr="00591EA3">
              <w:rPr>
                <w:rFonts w:ascii="Palatino Linotype" w:eastAsia="Palatino Linotype" w:hAnsi="Palatino Linotype" w:cs="Palatino Linotype"/>
                <w:b/>
                <w:i/>
                <w:color w:val="000000"/>
                <w:sz w:val="24"/>
                <w:szCs w:val="24"/>
              </w:rPr>
              <w:t>clasificación total o parcial</w:t>
            </w:r>
            <w:r w:rsidRPr="00591EA3">
              <w:rPr>
                <w:rFonts w:ascii="Palatino Linotype" w:eastAsia="Palatino Linotype" w:hAnsi="Palatino Linotype" w:cs="Palatino Linotype"/>
                <w:i/>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En ese mismo sentido, el numeral trigésimo tercero fracción V de los Lineamientos Generales, precisa que para motivar la clasificación se deben acreditar las circunstancias de tiempo, modo y lugar.</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Ahora bien, </w:t>
            </w:r>
            <w:r w:rsidRPr="00591EA3">
              <w:rPr>
                <w:rFonts w:ascii="Palatino Linotype" w:eastAsia="Palatino Linotype" w:hAnsi="Palatino Linotype" w:cs="Palatino Linotype"/>
                <w:b/>
                <w:i/>
                <w:color w:val="000000"/>
                <w:sz w:val="24"/>
                <w:szCs w:val="24"/>
                <w:u w:val="single"/>
              </w:rPr>
              <w:t>para cada caso además de fundar y motivar</w:t>
            </w:r>
            <w:r w:rsidRPr="00591EA3">
              <w:rPr>
                <w:rFonts w:ascii="Palatino Linotype" w:eastAsia="Palatino Linotype" w:hAnsi="Palatino Linotype" w:cs="Palatino Linotype"/>
                <w:i/>
                <w:color w:val="000000"/>
                <w:sz w:val="24"/>
                <w:szCs w:val="24"/>
              </w:rPr>
              <w:t xml:space="preserve">, se debe identificar con claridad </w:t>
            </w:r>
            <w:r w:rsidRPr="00591EA3">
              <w:rPr>
                <w:rFonts w:ascii="Palatino Linotype" w:eastAsia="Palatino Linotype" w:hAnsi="Palatino Linotype" w:cs="Palatino Linotype"/>
                <w:i/>
                <w:sz w:val="24"/>
                <w:szCs w:val="24"/>
              </w:rPr>
              <w:t>qué</w:t>
            </w:r>
            <w:r w:rsidRPr="00591EA3">
              <w:rPr>
                <w:rFonts w:ascii="Palatino Linotype" w:eastAsia="Palatino Linotype" w:hAnsi="Palatino Linotype" w:cs="Palatino Linotype"/>
                <w:i/>
                <w:color w:val="000000"/>
                <w:sz w:val="24"/>
                <w:szCs w:val="24"/>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2DE3" w:rsidRPr="00591EA3" w:rsidTr="00591EA3">
        <w:tc>
          <w:tcPr>
            <w:tcW w:w="2830" w:type="dxa"/>
          </w:tcPr>
          <w:p w:rsidR="00B02DE3" w:rsidRPr="00591EA3" w:rsidRDefault="00B02DE3" w:rsidP="00591EA3">
            <w:pPr>
              <w:spacing w:line="360" w:lineRule="auto"/>
              <w:jc w:val="both"/>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lastRenderedPageBreak/>
              <w:t xml:space="preserve">e) Condiciones especiales de la clasificación de la </w:t>
            </w:r>
            <w:r w:rsidRPr="00591EA3">
              <w:rPr>
                <w:rFonts w:ascii="Palatino Linotype" w:eastAsia="Palatino Linotype" w:hAnsi="Palatino Linotype" w:cs="Palatino Linotype"/>
                <w:b/>
                <w:sz w:val="24"/>
                <w:szCs w:val="24"/>
              </w:rPr>
              <w:lastRenderedPageBreak/>
              <w:t xml:space="preserve">información como confidencial. </w:t>
            </w:r>
          </w:p>
        </w:tc>
        <w:tc>
          <w:tcPr>
            <w:tcW w:w="7230" w:type="dxa"/>
          </w:tcPr>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lastRenderedPageBreak/>
              <w:t xml:space="preserve">Los artículos 148 de la Ley Estatal establece que aun tratándose de datos personales, se podrán proporcionar, incluso sin solicitar el consentimiento de su titular. </w:t>
            </w:r>
          </w:p>
          <w:p w:rsidR="00B02DE3" w:rsidRPr="00591EA3" w:rsidRDefault="00B02DE3" w:rsidP="00591EA3">
            <w:pPr>
              <w:spacing w:line="276" w:lineRule="auto"/>
              <w:jc w:val="both"/>
              <w:rPr>
                <w:rFonts w:ascii="Palatino Linotype" w:eastAsia="Palatino Linotype" w:hAnsi="Palatino Linotype" w:cs="Palatino Linotype"/>
                <w:i/>
                <w:color w:val="000000"/>
                <w:sz w:val="24"/>
                <w:szCs w:val="24"/>
              </w:rPr>
            </w:pPr>
            <w:r w:rsidRPr="00591EA3">
              <w:rPr>
                <w:rFonts w:ascii="Palatino Linotype" w:eastAsia="Palatino Linotype" w:hAnsi="Palatino Linotype" w:cs="Palatino Linotype"/>
                <w:i/>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w:t>
            </w:r>
            <w:r w:rsidRPr="00591EA3">
              <w:rPr>
                <w:rFonts w:ascii="Palatino Linotype" w:eastAsia="Palatino Linotype" w:hAnsi="Palatino Linotype" w:cs="Palatino Linotype"/>
                <w:i/>
                <w:color w:val="000000"/>
                <w:sz w:val="24"/>
                <w:szCs w:val="24"/>
              </w:rPr>
              <w:lastRenderedPageBreak/>
              <w:t xml:space="preserve">servidores públicos nos encontramos sujetos a un régimen menor de protección. </w:t>
            </w:r>
          </w:p>
          <w:p w:rsidR="00B02DE3" w:rsidRPr="00591EA3" w:rsidRDefault="00B02DE3" w:rsidP="00591EA3">
            <w:pPr>
              <w:spacing w:line="276" w:lineRule="auto"/>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57B95" w:rsidRPr="00591EA3" w:rsidRDefault="00A57B95" w:rsidP="00A57B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B02DE3" w:rsidRPr="00591EA3" w:rsidRDefault="00B02DE3" w:rsidP="00B02D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sz w:val="24"/>
          <w:szCs w:val="24"/>
        </w:rPr>
      </w:pPr>
      <w:bookmarkStart w:id="8" w:name="_heading=h.4d34og8" w:colFirst="0" w:colLast="0"/>
      <w:bookmarkEnd w:id="8"/>
      <w:r w:rsidRPr="00591EA3">
        <w:rPr>
          <w:rFonts w:ascii="Palatino Linotype" w:eastAsia="Palatino Linotype" w:hAnsi="Palatino Linotype" w:cs="Palatino Linotype"/>
          <w:b/>
          <w:color w:val="000000"/>
          <w:sz w:val="24"/>
          <w:szCs w:val="24"/>
        </w:rPr>
        <w:t>SEXTO. Vista al Órgano Interno de Control competente.</w:t>
      </w:r>
    </w:p>
    <w:p w:rsidR="00B02DE3" w:rsidRPr="00591EA3" w:rsidRDefault="00B02DE3" w:rsidP="00B02D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La Ley de Transparencia y Acceso a la Información Pública del Estado de México y Municipios en los artículos 222, fracciones I y II, 162 y 59, fracciones I y II, establecen los siguiente:</w:t>
      </w:r>
    </w:p>
    <w:p w:rsidR="00B02DE3" w:rsidRPr="00591EA3" w:rsidRDefault="00B02DE3" w:rsidP="00B02DE3">
      <w:pPr>
        <w:tabs>
          <w:tab w:val="left" w:pos="8222"/>
        </w:tabs>
        <w:spacing w:before="240"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sz w:val="24"/>
          <w:szCs w:val="24"/>
        </w:rPr>
        <w:t>“</w:t>
      </w:r>
      <w:r w:rsidRPr="00591EA3">
        <w:rPr>
          <w:rFonts w:ascii="Palatino Linotype" w:eastAsia="Palatino Linotype" w:hAnsi="Palatino Linotype" w:cs="Palatino Linotype"/>
          <w:b/>
          <w:i/>
          <w:sz w:val="24"/>
          <w:szCs w:val="24"/>
        </w:rPr>
        <w:t>Artículo 222.</w:t>
      </w:r>
      <w:r w:rsidRPr="00591EA3">
        <w:rPr>
          <w:rFonts w:ascii="Palatino Linotype" w:eastAsia="Palatino Linotype" w:hAnsi="Palatino Linotype" w:cs="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I.</w:t>
      </w:r>
      <w:r w:rsidRPr="00591EA3">
        <w:rPr>
          <w:rFonts w:ascii="Palatino Linotype" w:eastAsia="Palatino Linotype" w:hAnsi="Palatino Linotype" w:cs="Palatino Linotype"/>
          <w:i/>
          <w:sz w:val="24"/>
          <w:szCs w:val="24"/>
        </w:rPr>
        <w:t xml:space="preserve"> Cualquier acto u omisión que provoque la suspensión o deficiencia en la atención de las solicitudes de información; </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II.</w:t>
      </w:r>
      <w:r w:rsidRPr="00591EA3">
        <w:rPr>
          <w:rFonts w:ascii="Palatino Linotype" w:eastAsia="Palatino Linotype" w:hAnsi="Palatino Linotype" w:cs="Palatino Linotype"/>
          <w:i/>
          <w:sz w:val="24"/>
          <w:szCs w:val="24"/>
        </w:rPr>
        <w:t xml:space="preserve"> La falta de respuesta a las solicitudes de información en los plazos señalados en la normatividad aplicable;</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sz w:val="24"/>
          <w:szCs w:val="24"/>
        </w:rPr>
        <w:t>(…)</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Artículo 162.</w:t>
      </w:r>
      <w:r w:rsidRPr="00591EA3">
        <w:rPr>
          <w:rFonts w:ascii="Palatino Linotype" w:eastAsia="Palatino Linotype" w:hAnsi="Palatino Linotype" w:cs="Palatino Linotype"/>
          <w:i/>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Artículo 59.</w:t>
      </w:r>
      <w:r w:rsidRPr="00591EA3">
        <w:rPr>
          <w:rFonts w:ascii="Palatino Linotype" w:eastAsia="Palatino Linotype" w:hAnsi="Palatino Linotype" w:cs="Palatino Linotype"/>
          <w:i/>
          <w:sz w:val="24"/>
          <w:szCs w:val="24"/>
        </w:rPr>
        <w:t xml:space="preserve"> Los servidores públicos habilitados tendrán las funciones siguientes:</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lastRenderedPageBreak/>
        <w:t>I.</w:t>
      </w:r>
      <w:r w:rsidRPr="00591EA3">
        <w:rPr>
          <w:rFonts w:ascii="Palatino Linotype" w:eastAsia="Palatino Linotype" w:hAnsi="Palatino Linotype" w:cs="Palatino Linotype"/>
          <w:i/>
          <w:sz w:val="24"/>
          <w:szCs w:val="24"/>
        </w:rPr>
        <w:t xml:space="preserve"> Localizar la información que le solicite la Unidad de Transparencia; </w:t>
      </w:r>
    </w:p>
    <w:p w:rsidR="00B02DE3" w:rsidRPr="00591EA3" w:rsidRDefault="00B02DE3" w:rsidP="00B02DE3">
      <w:pPr>
        <w:tabs>
          <w:tab w:val="left" w:pos="8222"/>
        </w:tabs>
        <w:spacing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b/>
          <w:i/>
          <w:sz w:val="24"/>
          <w:szCs w:val="24"/>
        </w:rPr>
        <w:t>II.</w:t>
      </w:r>
      <w:r w:rsidRPr="00591EA3">
        <w:rPr>
          <w:rFonts w:ascii="Palatino Linotype" w:eastAsia="Palatino Linotype" w:hAnsi="Palatino Linotype" w:cs="Palatino Linotype"/>
          <w:i/>
          <w:sz w:val="24"/>
          <w:szCs w:val="24"/>
        </w:rPr>
        <w:t xml:space="preserve"> Proporcionar la información que obre en los archivos y que le sea solicitada por la Unidad de Transparencia;</w:t>
      </w:r>
    </w:p>
    <w:p w:rsidR="00B02DE3" w:rsidRPr="00591EA3" w:rsidRDefault="00B02DE3" w:rsidP="00B02DE3">
      <w:pPr>
        <w:tabs>
          <w:tab w:val="left" w:pos="8222"/>
        </w:tabs>
        <w:spacing w:after="240" w:line="276" w:lineRule="auto"/>
        <w:ind w:left="851" w:right="822"/>
        <w:jc w:val="both"/>
        <w:rPr>
          <w:rFonts w:ascii="Palatino Linotype" w:eastAsia="Palatino Linotype" w:hAnsi="Palatino Linotype" w:cs="Palatino Linotype"/>
          <w:i/>
          <w:sz w:val="24"/>
          <w:szCs w:val="24"/>
        </w:rPr>
      </w:pPr>
      <w:r w:rsidRPr="00591EA3">
        <w:rPr>
          <w:rFonts w:ascii="Palatino Linotype" w:eastAsia="Palatino Linotype" w:hAnsi="Palatino Linotype" w:cs="Palatino Linotype"/>
          <w:i/>
          <w:sz w:val="24"/>
          <w:szCs w:val="24"/>
        </w:rPr>
        <w:t>(…)”</w:t>
      </w:r>
    </w:p>
    <w:p w:rsidR="00B02DE3" w:rsidRPr="00591EA3" w:rsidRDefault="00B02DE3" w:rsidP="00B02D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591EA3">
        <w:rPr>
          <w:rFonts w:ascii="Palatino Linotype" w:eastAsia="Palatino Linotype" w:hAnsi="Palatino Linotype" w:cs="Palatino Linotype"/>
          <w:b/>
          <w:color w:val="000000"/>
          <w:sz w:val="24"/>
          <w:szCs w:val="24"/>
        </w:rPr>
        <w:t>RECURRENTE</w:t>
      </w:r>
      <w:r w:rsidRPr="00591EA3">
        <w:rPr>
          <w:rFonts w:ascii="Palatino Linotype" w:eastAsia="Palatino Linotype" w:hAnsi="Palatino Linotype" w:cs="Palatino Linotype"/>
          <w:color w:val="000000"/>
          <w:sz w:val="24"/>
          <w:szCs w:val="24"/>
        </w:rPr>
        <w:t>.</w:t>
      </w:r>
    </w:p>
    <w:p w:rsidR="00B02DE3" w:rsidRPr="00591EA3" w:rsidRDefault="00B02DE3" w:rsidP="00B02D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B02DE3" w:rsidRPr="00591EA3" w:rsidRDefault="00B02DE3" w:rsidP="00B02D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B02DE3" w:rsidRPr="00591EA3" w:rsidRDefault="00B02DE3" w:rsidP="00B02DE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B02DE3" w:rsidRPr="00591EA3" w:rsidRDefault="00B02DE3" w:rsidP="00B02D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Así las cosas, se tiene que el Titular de la Unidad de Transparencia, así como la Servidora Pública Habilitada, incumplieron con sus funciones, atribuciones y competencias, al no dar trámite a la solicitud de información </w:t>
      </w:r>
      <w:r w:rsidR="00AC72AA" w:rsidRPr="00591EA3">
        <w:rPr>
          <w:rFonts w:ascii="Palatino Linotype" w:eastAsia="Palatino Linotype" w:hAnsi="Palatino Linotype" w:cs="Palatino Linotype"/>
          <w:b/>
          <w:color w:val="000000"/>
          <w:sz w:val="24"/>
          <w:szCs w:val="24"/>
        </w:rPr>
        <w:t>01187</w:t>
      </w:r>
      <w:r w:rsidRPr="00591EA3">
        <w:rPr>
          <w:rFonts w:ascii="Palatino Linotype" w:eastAsia="Palatino Linotype" w:hAnsi="Palatino Linotype" w:cs="Palatino Linotype"/>
          <w:b/>
          <w:color w:val="000000"/>
          <w:sz w:val="24"/>
          <w:szCs w:val="24"/>
        </w:rPr>
        <w:t>/</w:t>
      </w:r>
      <w:r w:rsidR="00AC72AA" w:rsidRPr="00591EA3">
        <w:rPr>
          <w:rFonts w:ascii="Palatino Linotype" w:eastAsia="Palatino Linotype" w:hAnsi="Palatino Linotype" w:cs="Palatino Linotype"/>
          <w:b/>
          <w:color w:val="000000"/>
          <w:sz w:val="24"/>
          <w:szCs w:val="24"/>
        </w:rPr>
        <w:t>TEPOTZOT/IP/2025</w:t>
      </w:r>
      <w:r w:rsidRPr="00591EA3">
        <w:rPr>
          <w:rFonts w:ascii="Palatino Linotype" w:eastAsia="Palatino Linotype" w:hAnsi="Palatino Linotype" w:cs="Palatino Linotype"/>
          <w:color w:val="000000"/>
          <w:sz w:val="24"/>
          <w:szCs w:val="24"/>
        </w:rPr>
        <w:t>, lo cual tuvo como consecuencia la falta de respuesta.</w:t>
      </w:r>
    </w:p>
    <w:p w:rsidR="00B02DE3" w:rsidRPr="00591EA3" w:rsidRDefault="00B02DE3" w:rsidP="00B02DE3">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B02DE3" w:rsidRDefault="00B02DE3" w:rsidP="00B02D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Por lo tanto, la falta de respuesta a la solicitud de acceso a la información pública por parte del </w:t>
      </w:r>
      <w:r w:rsidRPr="00591EA3">
        <w:rPr>
          <w:rFonts w:ascii="Palatino Linotype" w:eastAsia="Palatino Linotype" w:hAnsi="Palatino Linotype" w:cs="Palatino Linotype"/>
          <w:b/>
          <w:color w:val="000000"/>
          <w:sz w:val="24"/>
          <w:szCs w:val="24"/>
        </w:rPr>
        <w:t>SUJETO OBLIGADO</w:t>
      </w:r>
      <w:r w:rsidRPr="00591EA3">
        <w:rPr>
          <w:rFonts w:ascii="Palatino Linotype" w:eastAsia="Palatino Linotype" w:hAnsi="Palatino Linotype" w:cs="Palatino Linotype"/>
          <w:color w:val="000000"/>
          <w:sz w:val="24"/>
          <w:szCs w:val="24"/>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w:t>
      </w:r>
      <w:r w:rsidRPr="00591EA3">
        <w:rPr>
          <w:rFonts w:ascii="Palatino Linotype" w:eastAsia="Palatino Linotype" w:hAnsi="Palatino Linotype" w:cs="Palatino Linotype"/>
          <w:color w:val="000000"/>
          <w:sz w:val="24"/>
          <w:szCs w:val="24"/>
        </w:rPr>
        <w:lastRenderedPageBreak/>
        <w:t>Órgano de Control Competente, para que inicie, en su caso, el procedimiento de responsabilidad respectivo.</w:t>
      </w:r>
    </w:p>
    <w:p w:rsidR="00591EA3" w:rsidRPr="00591EA3" w:rsidRDefault="00591EA3" w:rsidP="00591EA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A57B95" w:rsidRDefault="00A57B95" w:rsidP="00A57B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591EA3">
        <w:rPr>
          <w:rFonts w:ascii="Palatino Linotype" w:eastAsia="Palatino Linotype" w:hAnsi="Palatino Linotype" w:cs="Palatino Linotype"/>
          <w:color w:val="000000"/>
          <w:sz w:val="24"/>
          <w:szCs w:val="24"/>
        </w:rPr>
        <w:t xml:space="preserve">Por lo anteriormente expuesto y fundado, este </w:t>
      </w:r>
      <w:r w:rsidRPr="00591EA3">
        <w:rPr>
          <w:rFonts w:ascii="Palatino Linotype" w:eastAsia="Palatino Linotype" w:hAnsi="Palatino Linotype" w:cs="Palatino Linotype"/>
          <w:b/>
          <w:color w:val="000000"/>
          <w:sz w:val="24"/>
          <w:szCs w:val="24"/>
        </w:rPr>
        <w:t>ÓRGANO GARANTE</w:t>
      </w:r>
      <w:r w:rsidRPr="00591EA3">
        <w:rPr>
          <w:rFonts w:ascii="Palatino Linotype" w:eastAsia="Palatino Linotype" w:hAnsi="Palatino Linotype" w:cs="Palatino Linotype"/>
          <w:color w:val="000000"/>
          <w:sz w:val="24"/>
          <w:szCs w:val="24"/>
        </w:rPr>
        <w:t xml:space="preserve"> emite los siguientes:</w:t>
      </w:r>
    </w:p>
    <w:p w:rsidR="00591EA3" w:rsidRDefault="00591EA3" w:rsidP="00591EA3">
      <w:pPr>
        <w:pStyle w:val="Prrafodelista"/>
        <w:rPr>
          <w:rFonts w:ascii="Palatino Linotype" w:eastAsia="Palatino Linotype" w:hAnsi="Palatino Linotype" w:cs="Palatino Linotype"/>
          <w:color w:val="000000"/>
          <w:sz w:val="24"/>
        </w:rPr>
      </w:pPr>
    </w:p>
    <w:p w:rsidR="00591EA3" w:rsidRPr="00591EA3" w:rsidRDefault="00591EA3" w:rsidP="00591EA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4"/>
          <w:szCs w:val="24"/>
        </w:rPr>
      </w:pPr>
    </w:p>
    <w:p w:rsidR="00A57B95" w:rsidRPr="00591EA3" w:rsidRDefault="00A57B95" w:rsidP="00A57B95">
      <w:pPr>
        <w:pStyle w:val="Ttulo1"/>
        <w:spacing w:before="0" w:line="360" w:lineRule="auto"/>
        <w:jc w:val="center"/>
        <w:rPr>
          <w:rFonts w:ascii="Palatino Linotype" w:eastAsia="Palatino Linotype" w:hAnsi="Palatino Linotype" w:cs="Palatino Linotype"/>
          <w:b/>
          <w:color w:val="000000"/>
          <w:sz w:val="24"/>
          <w:szCs w:val="24"/>
        </w:rPr>
      </w:pPr>
      <w:bookmarkStart w:id="9" w:name="_heading=h.2s8eyo1" w:colFirst="0" w:colLast="0"/>
      <w:bookmarkEnd w:id="9"/>
      <w:r w:rsidRPr="00591EA3">
        <w:rPr>
          <w:rFonts w:ascii="Palatino Linotype" w:eastAsia="Palatino Linotype" w:hAnsi="Palatino Linotype" w:cs="Palatino Linotype"/>
          <w:b/>
          <w:color w:val="000000"/>
          <w:sz w:val="24"/>
          <w:szCs w:val="24"/>
        </w:rPr>
        <w:t>R E S O L U T I V O S</w:t>
      </w:r>
    </w:p>
    <w:p w:rsidR="00A57B95" w:rsidRPr="00591EA3" w:rsidRDefault="00A57B95" w:rsidP="00A57B95">
      <w:pPr>
        <w:rPr>
          <w:rFonts w:ascii="Palatino Linotype" w:eastAsia="Palatino Linotype" w:hAnsi="Palatino Linotype" w:cs="Palatino Linotype"/>
          <w:sz w:val="24"/>
          <w:szCs w:val="24"/>
        </w:rPr>
      </w:pPr>
    </w:p>
    <w:p w:rsidR="00A57B95" w:rsidRPr="00591EA3" w:rsidRDefault="00A57B95" w:rsidP="00A57B95">
      <w:pPr>
        <w:spacing w:line="360" w:lineRule="auto"/>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b/>
          <w:sz w:val="24"/>
          <w:szCs w:val="24"/>
        </w:rPr>
        <w:t xml:space="preserve">PRIMERO. </w:t>
      </w:r>
      <w:r w:rsidRPr="00591EA3">
        <w:rPr>
          <w:rFonts w:ascii="Palatino Linotype" w:eastAsia="Palatino Linotype" w:hAnsi="Palatino Linotype" w:cs="Palatino Linotype"/>
          <w:sz w:val="24"/>
          <w:szCs w:val="24"/>
        </w:rPr>
        <w:t>Resultan fundadas las</w:t>
      </w:r>
      <w:r w:rsidRPr="00591EA3">
        <w:rPr>
          <w:rFonts w:ascii="Palatino Linotype" w:eastAsia="Palatino Linotype" w:hAnsi="Palatino Linotype" w:cs="Palatino Linotype"/>
          <w:b/>
          <w:sz w:val="24"/>
          <w:szCs w:val="24"/>
        </w:rPr>
        <w:t xml:space="preserve"> </w:t>
      </w:r>
      <w:r w:rsidRPr="00591EA3">
        <w:rPr>
          <w:rFonts w:ascii="Palatino Linotype" w:eastAsia="Palatino Linotype" w:hAnsi="Palatino Linotype" w:cs="Palatino Linotype"/>
          <w:sz w:val="24"/>
          <w:szCs w:val="24"/>
        </w:rPr>
        <w:t>razones o motivos de inconformidad hechos valer en el recurso de revisión</w:t>
      </w:r>
      <w:r w:rsidR="00B02DE3" w:rsidRPr="00591EA3">
        <w:rPr>
          <w:rFonts w:ascii="Palatino Linotype" w:eastAsia="Palatino Linotype" w:hAnsi="Palatino Linotype" w:cs="Palatino Linotype"/>
          <w:b/>
          <w:sz w:val="24"/>
          <w:szCs w:val="24"/>
        </w:rPr>
        <w:t> 14218</w:t>
      </w:r>
      <w:r w:rsidRPr="00591EA3">
        <w:rPr>
          <w:rFonts w:ascii="Palatino Linotype" w:eastAsia="Palatino Linotype" w:hAnsi="Palatino Linotype" w:cs="Palatino Linotype"/>
          <w:b/>
          <w:sz w:val="24"/>
          <w:szCs w:val="24"/>
        </w:rPr>
        <w:t xml:space="preserve">/INFOEM/IP/RR/2025 </w:t>
      </w:r>
      <w:r w:rsidRPr="00591EA3">
        <w:rPr>
          <w:rFonts w:ascii="Palatino Linotype" w:eastAsia="Palatino Linotype" w:hAnsi="Palatino Linotype" w:cs="Palatino Linotype"/>
          <w:sz w:val="24"/>
          <w:szCs w:val="24"/>
        </w:rPr>
        <w:t xml:space="preserve">en términos del </w:t>
      </w:r>
      <w:r w:rsidRPr="00591EA3">
        <w:rPr>
          <w:rFonts w:ascii="Palatino Linotype" w:eastAsia="Palatino Linotype" w:hAnsi="Palatino Linotype" w:cs="Palatino Linotype"/>
          <w:b/>
          <w:sz w:val="24"/>
          <w:szCs w:val="24"/>
        </w:rPr>
        <w:t xml:space="preserve">Considerando CUARTO y QUINTO </w:t>
      </w:r>
      <w:r w:rsidRPr="00591EA3">
        <w:rPr>
          <w:rFonts w:ascii="Palatino Linotype" w:eastAsia="Palatino Linotype" w:hAnsi="Palatino Linotype" w:cs="Palatino Linotype"/>
          <w:sz w:val="24"/>
          <w:szCs w:val="24"/>
        </w:rPr>
        <w:t>de la presente resolución.</w:t>
      </w:r>
    </w:p>
    <w:p w:rsidR="00A57B95" w:rsidRPr="00591EA3" w:rsidRDefault="00A57B95" w:rsidP="00A57B95">
      <w:pPr>
        <w:spacing w:line="360" w:lineRule="auto"/>
        <w:jc w:val="both"/>
        <w:rPr>
          <w:rFonts w:ascii="Palatino Linotype" w:eastAsia="Palatino Linotype" w:hAnsi="Palatino Linotype" w:cs="Palatino Linotype"/>
          <w:b/>
          <w:sz w:val="24"/>
          <w:szCs w:val="24"/>
        </w:rPr>
      </w:pPr>
    </w:p>
    <w:p w:rsidR="00A57B95" w:rsidRPr="00591EA3" w:rsidRDefault="00A57B95" w:rsidP="00A57B95">
      <w:pPr>
        <w:spacing w:line="360" w:lineRule="auto"/>
        <w:ind w:right="48"/>
        <w:jc w:val="both"/>
        <w:rPr>
          <w:rFonts w:ascii="Palatino Linotype" w:eastAsia="Palatino Linotype" w:hAnsi="Palatino Linotype" w:cs="Palatino Linotype"/>
          <w:sz w:val="24"/>
          <w:szCs w:val="24"/>
        </w:rPr>
      </w:pPr>
      <w:bookmarkStart w:id="10" w:name="_heading=h.17dp8vu" w:colFirst="0" w:colLast="0"/>
      <w:bookmarkEnd w:id="10"/>
      <w:r w:rsidRPr="00591EA3">
        <w:rPr>
          <w:rFonts w:ascii="Palatino Linotype" w:eastAsia="Palatino Linotype" w:hAnsi="Palatino Linotype" w:cs="Palatino Linotype"/>
          <w:b/>
          <w:sz w:val="24"/>
          <w:szCs w:val="24"/>
        </w:rPr>
        <w:t>SEGUNDO.</w:t>
      </w:r>
      <w:r w:rsidRPr="00591EA3">
        <w:rPr>
          <w:rFonts w:ascii="Palatino Linotype" w:eastAsia="Palatino Linotype" w:hAnsi="Palatino Linotype" w:cs="Palatino Linotype"/>
          <w:color w:val="2F5496"/>
          <w:sz w:val="24"/>
          <w:szCs w:val="24"/>
        </w:rPr>
        <w:t xml:space="preserve"> </w:t>
      </w:r>
      <w:r w:rsidRPr="00591EA3">
        <w:rPr>
          <w:rFonts w:ascii="Palatino Linotype" w:eastAsia="Palatino Linotype" w:hAnsi="Palatino Linotype" w:cs="Palatino Linotype"/>
          <w:sz w:val="24"/>
          <w:szCs w:val="24"/>
        </w:rPr>
        <w:t>Se</w:t>
      </w:r>
      <w:r w:rsidRPr="00591EA3">
        <w:rPr>
          <w:rFonts w:ascii="Palatino Linotype" w:eastAsia="Palatino Linotype" w:hAnsi="Palatino Linotype" w:cs="Palatino Linotype"/>
          <w:b/>
          <w:sz w:val="24"/>
          <w:szCs w:val="24"/>
        </w:rPr>
        <w:t xml:space="preserve"> ORDENA </w:t>
      </w:r>
      <w:r w:rsidRPr="00591EA3">
        <w:rPr>
          <w:rFonts w:ascii="Palatino Linotype" w:eastAsia="Palatino Linotype" w:hAnsi="Palatino Linotype" w:cs="Palatino Linotype"/>
          <w:sz w:val="24"/>
          <w:szCs w:val="24"/>
        </w:rPr>
        <w:t xml:space="preserve">al </w:t>
      </w:r>
      <w:r w:rsidR="00B02DE3" w:rsidRPr="00591EA3">
        <w:rPr>
          <w:rFonts w:ascii="Palatino Linotype" w:eastAsia="Palatino Linotype" w:hAnsi="Palatino Linotype" w:cs="Palatino Linotype"/>
          <w:b/>
          <w:sz w:val="24"/>
          <w:szCs w:val="24"/>
        </w:rPr>
        <w:t>Ayuntamiento de Tepotzotlán</w:t>
      </w:r>
      <w:r w:rsidRPr="00591EA3">
        <w:rPr>
          <w:rFonts w:ascii="Palatino Linotype" w:eastAsia="Palatino Linotype" w:hAnsi="Palatino Linotype" w:cs="Palatino Linotype"/>
          <w:b/>
          <w:sz w:val="24"/>
          <w:szCs w:val="24"/>
        </w:rPr>
        <w:t xml:space="preserve">, </w:t>
      </w:r>
      <w:r w:rsidRPr="00591EA3">
        <w:rPr>
          <w:rFonts w:ascii="Palatino Linotype" w:eastAsia="Palatino Linotype" w:hAnsi="Palatino Linotype" w:cs="Palatino Linotype"/>
          <w:sz w:val="24"/>
          <w:szCs w:val="24"/>
        </w:rPr>
        <w:t xml:space="preserve">dar atención a la solicitud de información </w:t>
      </w:r>
      <w:r w:rsidR="00B02DE3" w:rsidRPr="00591EA3">
        <w:rPr>
          <w:rFonts w:ascii="Palatino Linotype" w:eastAsia="Palatino Linotype" w:hAnsi="Palatino Linotype" w:cs="Palatino Linotype"/>
          <w:b/>
          <w:bCs/>
          <w:sz w:val="24"/>
          <w:szCs w:val="24"/>
        </w:rPr>
        <w:t>01187/TEPOTZOT/IP/2025</w:t>
      </w:r>
      <w:r w:rsidRPr="00591EA3">
        <w:rPr>
          <w:rFonts w:ascii="Palatino Linotype" w:eastAsia="Palatino Linotype" w:hAnsi="Palatino Linotype" w:cs="Palatino Linotype"/>
          <w:b/>
          <w:sz w:val="24"/>
          <w:szCs w:val="24"/>
        </w:rPr>
        <w:t xml:space="preserve">, </w:t>
      </w:r>
      <w:r w:rsidRPr="00591EA3">
        <w:rPr>
          <w:rFonts w:ascii="Palatino Linotype" w:eastAsia="Palatino Linotype" w:hAnsi="Palatino Linotype" w:cs="Palatino Linotype"/>
          <w:sz w:val="24"/>
          <w:szCs w:val="24"/>
        </w:rPr>
        <w:t xml:space="preserve">y entregar vía Sistema de Acceso a la Información Mexiquense </w:t>
      </w:r>
      <w:r w:rsidRPr="00591EA3">
        <w:rPr>
          <w:rFonts w:ascii="Palatino Linotype" w:eastAsia="Palatino Linotype" w:hAnsi="Palatino Linotype" w:cs="Palatino Linotype"/>
          <w:b/>
          <w:sz w:val="24"/>
          <w:szCs w:val="24"/>
        </w:rPr>
        <w:t xml:space="preserve">(SAIMEX), </w:t>
      </w:r>
      <w:r w:rsidRPr="00591EA3">
        <w:rPr>
          <w:rFonts w:ascii="Palatino Linotype" w:eastAsia="Palatino Linotype" w:hAnsi="Palatino Linotype" w:cs="Palatino Linotype"/>
          <w:sz w:val="24"/>
          <w:szCs w:val="24"/>
        </w:rPr>
        <w:t>de ser procedente en versión pública, la siguiente información:</w:t>
      </w:r>
    </w:p>
    <w:p w:rsidR="00A57B95" w:rsidRPr="00591EA3" w:rsidRDefault="00A57B95" w:rsidP="00A57B95">
      <w:pPr>
        <w:spacing w:line="360" w:lineRule="auto"/>
        <w:ind w:right="822"/>
        <w:jc w:val="both"/>
        <w:rPr>
          <w:rFonts w:ascii="Palatino Linotype" w:eastAsia="Palatino Linotype" w:hAnsi="Palatino Linotype" w:cs="Palatino Linotype"/>
          <w:b/>
          <w:color w:val="000000"/>
          <w:sz w:val="24"/>
          <w:szCs w:val="24"/>
        </w:rPr>
      </w:pPr>
    </w:p>
    <w:p w:rsidR="00B02DE3" w:rsidRPr="00591EA3" w:rsidRDefault="00B02DE3" w:rsidP="00B02DE3">
      <w:pPr>
        <w:pStyle w:val="Prrafodelista"/>
        <w:numPr>
          <w:ilvl w:val="7"/>
          <w:numId w:val="1"/>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color w:val="000000"/>
          <w:sz w:val="24"/>
          <w:lang w:val="es-ES"/>
        </w:rPr>
      </w:pPr>
      <w:r w:rsidRPr="00591EA3">
        <w:rPr>
          <w:rFonts w:ascii="Palatino Linotype" w:eastAsia="Palatino Linotype" w:hAnsi="Palatino Linotype" w:cs="Palatino Linotype"/>
          <w:b/>
          <w:color w:val="000000"/>
          <w:sz w:val="24"/>
          <w:lang w:val="es-ES"/>
        </w:rPr>
        <w:t xml:space="preserve">Soporte documental donde conste el monto recaudado por concepto del pago de predial y su destino, del primero de octubre al dieciocho de noviembre de dos mil veinticinco. </w:t>
      </w:r>
    </w:p>
    <w:p w:rsidR="00A57B95" w:rsidRPr="00591EA3" w:rsidRDefault="00A57B95" w:rsidP="00B02DE3">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4"/>
          <w:szCs w:val="24"/>
        </w:rPr>
      </w:pPr>
    </w:p>
    <w:p w:rsidR="00A57B95" w:rsidRPr="00591EA3" w:rsidRDefault="00A57B95" w:rsidP="00A57B95">
      <w:pPr>
        <w:spacing w:line="360" w:lineRule="auto"/>
        <w:ind w:right="40"/>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591EA3">
        <w:rPr>
          <w:rFonts w:ascii="Palatino Linotype" w:eastAsia="Palatino Linotype" w:hAnsi="Palatino Linotype" w:cs="Palatino Linotype"/>
          <w:sz w:val="24"/>
          <w:szCs w:val="24"/>
        </w:rPr>
        <w:lastRenderedPageBreak/>
        <w:t>razones sobre los datos que se supriman o eliminen dentro del soporte documental respectivo objeto de las versiones públicas que se formulen y se ponga a disposición del recurrente.</w:t>
      </w:r>
    </w:p>
    <w:p w:rsidR="00A57B95" w:rsidRPr="00591EA3" w:rsidRDefault="00A57B95" w:rsidP="00A57B95">
      <w:pPr>
        <w:spacing w:line="360" w:lineRule="auto"/>
        <w:ind w:right="40"/>
        <w:jc w:val="both"/>
        <w:rPr>
          <w:rFonts w:ascii="Palatino Linotype" w:eastAsia="Palatino Linotype" w:hAnsi="Palatino Linotype" w:cs="Palatino Linotype"/>
          <w:sz w:val="24"/>
          <w:szCs w:val="24"/>
        </w:rPr>
      </w:pPr>
    </w:p>
    <w:p w:rsidR="00A57B95" w:rsidRPr="00591EA3" w:rsidRDefault="00A57B95" w:rsidP="00A57B95">
      <w:pPr>
        <w:tabs>
          <w:tab w:val="left" w:pos="8080"/>
        </w:tabs>
        <w:spacing w:line="360" w:lineRule="auto"/>
        <w:ind w:right="49"/>
        <w:jc w:val="both"/>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 xml:space="preserve">TERCERO. </w:t>
      </w:r>
      <w:r w:rsidRPr="00591EA3">
        <w:rPr>
          <w:rFonts w:ascii="Palatino Linotype" w:eastAsia="Palatino Linotype" w:hAnsi="Palatino Linotype" w:cs="Palatino Linotype"/>
          <w:b/>
          <w:color w:val="000000"/>
          <w:sz w:val="24"/>
          <w:szCs w:val="24"/>
        </w:rPr>
        <w:t>Notifíquese</w:t>
      </w:r>
      <w:r w:rsidRPr="00591EA3">
        <w:rPr>
          <w:rFonts w:ascii="Palatino Linotype" w:eastAsia="Palatino Linotype" w:hAnsi="Palatino Linotype" w:cs="Palatino Linotype"/>
          <w:color w:val="000000"/>
          <w:sz w:val="24"/>
          <w:szCs w:val="24"/>
        </w:rPr>
        <w:t xml:space="preserve"> al </w:t>
      </w:r>
      <w:r w:rsidRPr="00591EA3">
        <w:rPr>
          <w:rFonts w:ascii="Palatino Linotype" w:eastAsia="Palatino Linotype" w:hAnsi="Palatino Linotype" w:cs="Palatino Linotype"/>
          <w:color w:val="222222"/>
          <w:sz w:val="24"/>
          <w:szCs w:val="24"/>
        </w:rPr>
        <w:t xml:space="preserve">Titular de la Unidad de Transparencia del </w:t>
      </w:r>
      <w:r w:rsidRPr="00591EA3">
        <w:rPr>
          <w:rFonts w:ascii="Palatino Linotype" w:eastAsia="Palatino Linotype" w:hAnsi="Palatino Linotype" w:cs="Palatino Linotype"/>
          <w:b/>
          <w:color w:val="222222"/>
          <w:sz w:val="24"/>
          <w:szCs w:val="24"/>
        </w:rPr>
        <w:t>SUJETO OBLIGADO</w:t>
      </w:r>
      <w:r w:rsidRPr="00591EA3">
        <w:rPr>
          <w:rFonts w:ascii="Palatino Linotype" w:eastAsia="Palatino Linotype" w:hAnsi="Palatino Linotype" w:cs="Palatino Linotype"/>
          <w:color w:val="222222"/>
          <w:sz w:val="24"/>
          <w:szCs w:val="24"/>
        </w:rPr>
        <w:t xml:space="preserve">, vía SAIMEX, la presente resolución, para que conforme al artículo 186 último párrafo, 189 segundo párrafo y 194 de la Ley de Transparencia y Acceso a la Información Pública del Estado de México y Municipios </w:t>
      </w:r>
      <w:r w:rsidRPr="00591EA3">
        <w:rPr>
          <w:rFonts w:ascii="Palatino Linotype" w:eastAsia="Palatino Linotype" w:hAnsi="Palatino Linotype" w:cs="Palatino Linotype"/>
          <w:b/>
          <w:color w:val="222222"/>
          <w:sz w:val="24"/>
          <w:szCs w:val="24"/>
        </w:rPr>
        <w:t>dé cumplimiento a lo ordenado dentro del plazo de diez días hábiles</w:t>
      </w:r>
      <w:r w:rsidRPr="00591EA3">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91EA3">
        <w:rPr>
          <w:rFonts w:ascii="Palatino Linotype" w:eastAsia="Palatino Linotype" w:hAnsi="Palatino Linotype" w:cs="Palatino Linotype"/>
          <w:sz w:val="24"/>
          <w:szCs w:val="24"/>
        </w:rPr>
        <w:t>.</w:t>
      </w:r>
    </w:p>
    <w:p w:rsidR="00A57B95" w:rsidRPr="00591EA3" w:rsidRDefault="00A57B95" w:rsidP="00A57B95">
      <w:pPr>
        <w:shd w:val="clear" w:color="auto" w:fill="FFFFFF"/>
        <w:spacing w:line="360" w:lineRule="auto"/>
        <w:jc w:val="both"/>
        <w:rPr>
          <w:rFonts w:ascii="Palatino Linotype" w:eastAsia="Palatino Linotype" w:hAnsi="Palatino Linotype" w:cs="Palatino Linotype"/>
          <w:b/>
          <w:sz w:val="24"/>
          <w:szCs w:val="24"/>
        </w:rPr>
      </w:pPr>
    </w:p>
    <w:p w:rsidR="00A57B95" w:rsidRPr="00591EA3" w:rsidRDefault="00A57B95" w:rsidP="00A57B95">
      <w:pPr>
        <w:shd w:val="clear" w:color="auto" w:fill="FFFFFF"/>
        <w:spacing w:line="360" w:lineRule="auto"/>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b/>
          <w:sz w:val="24"/>
          <w:szCs w:val="24"/>
        </w:rPr>
        <w:t xml:space="preserve">CUARTO. </w:t>
      </w:r>
      <w:r w:rsidRPr="00591EA3">
        <w:rPr>
          <w:rFonts w:ascii="Palatino Linotype" w:eastAsia="Palatino Linotype" w:hAnsi="Palatino Linotype" w:cs="Palatino Linotype"/>
          <w:sz w:val="24"/>
          <w:szCs w:val="24"/>
        </w:rPr>
        <w:t xml:space="preserve">Notifíquese al </w:t>
      </w:r>
      <w:r w:rsidRPr="00591EA3">
        <w:rPr>
          <w:rFonts w:ascii="Palatino Linotype" w:eastAsia="Palatino Linotype" w:hAnsi="Palatino Linotype" w:cs="Palatino Linotype"/>
          <w:b/>
          <w:sz w:val="24"/>
          <w:szCs w:val="24"/>
        </w:rPr>
        <w:t xml:space="preserve">RECURRENTE </w:t>
      </w:r>
      <w:r w:rsidRPr="00591EA3">
        <w:rPr>
          <w:rFonts w:ascii="Palatino Linotype" w:eastAsia="Palatino Linotype" w:hAnsi="Palatino Linotype" w:cs="Palatino Linotype"/>
          <w:sz w:val="24"/>
          <w:szCs w:val="24"/>
        </w:rPr>
        <w:t>la presente resolución vía Sistema de Acceso a Información Mexiquense (SAIMEX).</w:t>
      </w:r>
    </w:p>
    <w:p w:rsidR="00A57B95" w:rsidRPr="00591EA3" w:rsidRDefault="00A57B95" w:rsidP="00A57B95">
      <w:pPr>
        <w:shd w:val="clear" w:color="auto" w:fill="FFFFFF"/>
        <w:spacing w:line="360" w:lineRule="auto"/>
        <w:jc w:val="both"/>
        <w:rPr>
          <w:rFonts w:ascii="Palatino Linotype" w:eastAsia="Palatino Linotype" w:hAnsi="Palatino Linotype" w:cs="Palatino Linotype"/>
          <w:sz w:val="24"/>
          <w:szCs w:val="24"/>
        </w:rPr>
      </w:pPr>
    </w:p>
    <w:p w:rsidR="00A57B95" w:rsidRPr="00591EA3" w:rsidRDefault="00A57B95" w:rsidP="00A57B95">
      <w:pPr>
        <w:shd w:val="clear" w:color="auto" w:fill="FFFFFF"/>
        <w:spacing w:line="360" w:lineRule="auto"/>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b/>
          <w:sz w:val="24"/>
          <w:szCs w:val="24"/>
        </w:rPr>
        <w:t>QUINTO.</w:t>
      </w:r>
      <w:r w:rsidRPr="00591EA3">
        <w:rPr>
          <w:rFonts w:ascii="Palatino Linotype" w:eastAsia="Palatino Linotype" w:hAnsi="Palatino Linotype" w:cs="Palatino Linotype"/>
          <w:sz w:val="24"/>
          <w:szCs w:val="24"/>
        </w:rPr>
        <w:t xml:space="preserve"> Se hace del conocimiento del </w:t>
      </w:r>
      <w:r w:rsidRPr="00591EA3">
        <w:rPr>
          <w:rFonts w:ascii="Palatino Linotype" w:eastAsia="Palatino Linotype" w:hAnsi="Palatino Linotype" w:cs="Palatino Linotype"/>
          <w:b/>
          <w:sz w:val="24"/>
          <w:szCs w:val="24"/>
        </w:rPr>
        <w:t xml:space="preserve">RECURRENTE </w:t>
      </w:r>
      <w:r w:rsidRPr="00591EA3">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57B95" w:rsidRPr="00591EA3" w:rsidRDefault="00A57B95" w:rsidP="00A57B95">
      <w:pPr>
        <w:shd w:val="clear" w:color="auto" w:fill="FFFFFF"/>
        <w:spacing w:line="360" w:lineRule="auto"/>
        <w:jc w:val="both"/>
        <w:rPr>
          <w:rFonts w:ascii="Palatino Linotype" w:eastAsia="Palatino Linotype" w:hAnsi="Palatino Linotype" w:cs="Palatino Linotype"/>
          <w:sz w:val="24"/>
          <w:szCs w:val="24"/>
        </w:rPr>
      </w:pPr>
    </w:p>
    <w:p w:rsidR="00A57B95" w:rsidRPr="00591EA3" w:rsidRDefault="00A57B95" w:rsidP="00A57B95">
      <w:pPr>
        <w:spacing w:line="360" w:lineRule="auto"/>
        <w:jc w:val="both"/>
        <w:rPr>
          <w:rFonts w:ascii="Palatino Linotype" w:eastAsia="Palatino Linotype" w:hAnsi="Palatino Linotype" w:cs="Palatino Linotype"/>
          <w:sz w:val="24"/>
          <w:szCs w:val="24"/>
        </w:rPr>
      </w:pPr>
      <w:r w:rsidRPr="00591EA3">
        <w:rPr>
          <w:rFonts w:ascii="Palatino Linotype" w:eastAsia="Palatino Linotype" w:hAnsi="Palatino Linotype" w:cs="Palatino Linotype"/>
          <w:b/>
          <w:sz w:val="24"/>
          <w:szCs w:val="24"/>
        </w:rPr>
        <w:t xml:space="preserve">SEXTO. </w:t>
      </w:r>
      <w:r w:rsidRPr="00591EA3">
        <w:rPr>
          <w:rFonts w:ascii="Palatino Linotype" w:eastAsia="Palatino Linotype" w:hAnsi="Palatino Linotype" w:cs="Palatino Linotype"/>
          <w:sz w:val="24"/>
          <w:szCs w:val="24"/>
        </w:rPr>
        <w:t>Hágase del conocimiento del</w:t>
      </w:r>
      <w:r w:rsidRPr="00591EA3">
        <w:rPr>
          <w:rFonts w:ascii="Palatino Linotype" w:eastAsia="Palatino Linotype" w:hAnsi="Palatino Linotype" w:cs="Palatino Linotype"/>
          <w:b/>
          <w:sz w:val="24"/>
          <w:szCs w:val="24"/>
        </w:rPr>
        <w:t xml:space="preserve"> RECURRENTE</w:t>
      </w:r>
      <w:r w:rsidRPr="00591EA3">
        <w:rPr>
          <w:rFonts w:ascii="Palatino Linotype" w:eastAsia="Palatino Linotype" w:hAnsi="Palatino Linotype" w:cs="Palatino Linotype"/>
          <w:sz w:val="24"/>
          <w:szCs w:val="24"/>
        </w:rPr>
        <w:t xml:space="preserve"> que la respuesta que dé el</w:t>
      </w:r>
      <w:r w:rsidRPr="00591EA3">
        <w:rPr>
          <w:rFonts w:ascii="Palatino Linotype" w:eastAsia="Palatino Linotype" w:hAnsi="Palatino Linotype" w:cs="Palatino Linotype"/>
          <w:b/>
          <w:sz w:val="24"/>
          <w:szCs w:val="24"/>
        </w:rPr>
        <w:t xml:space="preserve"> SUJETO OBLIGADO</w:t>
      </w:r>
      <w:r w:rsidRPr="00591EA3">
        <w:rPr>
          <w:rFonts w:ascii="Palatino Linotype" w:eastAsia="Palatino Linotype" w:hAnsi="Palatino Linotype" w:cs="Palatino Linotype"/>
          <w:sz w:val="24"/>
          <w:szCs w:val="24"/>
        </w:rPr>
        <w:t xml:space="preserve"> derivada de la presente resolución es susceptible de ser impugnada nuevamente, </w:t>
      </w:r>
      <w:r w:rsidRPr="00591EA3">
        <w:rPr>
          <w:rFonts w:ascii="Palatino Linotype" w:eastAsia="Palatino Linotype" w:hAnsi="Palatino Linotype" w:cs="Palatino Linotype"/>
          <w:sz w:val="24"/>
          <w:szCs w:val="24"/>
        </w:rPr>
        <w:lastRenderedPageBreak/>
        <w:t>mediante recurso de revisión, ante el Instituto, en términos del artículo 179, último párrafo de la Ley de Transparencia y Acceso a la Información Pública del Estado de México y Municipios.</w:t>
      </w:r>
    </w:p>
    <w:p w:rsidR="00A57B95" w:rsidRPr="00591EA3" w:rsidRDefault="00A57B95" w:rsidP="00A57B95">
      <w:pPr>
        <w:spacing w:line="360" w:lineRule="auto"/>
        <w:jc w:val="both"/>
        <w:rPr>
          <w:rFonts w:ascii="Palatino Linotype" w:eastAsia="Palatino Linotype" w:hAnsi="Palatino Linotype" w:cs="Palatino Linotype"/>
          <w:sz w:val="24"/>
          <w:szCs w:val="24"/>
        </w:rPr>
      </w:pPr>
    </w:p>
    <w:p w:rsidR="00A57B95" w:rsidRPr="00591EA3" w:rsidRDefault="00A57B95" w:rsidP="00A57B95">
      <w:pPr>
        <w:spacing w:line="360" w:lineRule="auto"/>
        <w:jc w:val="both"/>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SÉPTIMO.</w:t>
      </w:r>
      <w:r w:rsidRPr="00591EA3">
        <w:rPr>
          <w:rFonts w:ascii="Palatino Linotype" w:eastAsia="Palatino Linotype" w:hAnsi="Palatino Linotype" w:cs="Palatino Linotype"/>
          <w:sz w:val="24"/>
          <w:szCs w:val="24"/>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591EA3">
        <w:rPr>
          <w:rFonts w:ascii="Palatino Linotype" w:eastAsia="Palatino Linotype" w:hAnsi="Palatino Linotype" w:cs="Palatino Linotype"/>
          <w:b/>
          <w:sz w:val="24"/>
          <w:szCs w:val="24"/>
        </w:rPr>
        <w:t>Considerando SEXTO</w:t>
      </w:r>
      <w:r w:rsidRPr="00591EA3">
        <w:rPr>
          <w:rFonts w:ascii="Palatino Linotype" w:eastAsia="Palatino Linotype" w:hAnsi="Palatino Linotype" w:cs="Palatino Linotype"/>
          <w:sz w:val="24"/>
          <w:szCs w:val="24"/>
        </w:rPr>
        <w:t xml:space="preserve"> de la presente Resolución</w:t>
      </w:r>
      <w:r w:rsidRPr="00591EA3">
        <w:rPr>
          <w:rFonts w:ascii="Palatino Linotype" w:eastAsia="Palatino Linotype" w:hAnsi="Palatino Linotype" w:cs="Palatino Linotype"/>
          <w:b/>
          <w:sz w:val="24"/>
          <w:szCs w:val="24"/>
        </w:rPr>
        <w:t>.</w:t>
      </w:r>
    </w:p>
    <w:p w:rsidR="00A57B95" w:rsidRPr="00591EA3" w:rsidRDefault="00A57B95" w:rsidP="00B02DE3">
      <w:pPr>
        <w:tabs>
          <w:tab w:val="left" w:pos="284"/>
        </w:tabs>
        <w:spacing w:after="240" w:line="360" w:lineRule="auto"/>
        <w:ind w:right="49"/>
        <w:jc w:val="both"/>
        <w:rPr>
          <w:rFonts w:ascii="Palatino Linotype" w:eastAsia="Palatino Linotype" w:hAnsi="Palatino Linotype" w:cs="Palatino Linotype"/>
          <w:b/>
          <w:sz w:val="24"/>
          <w:szCs w:val="24"/>
        </w:rPr>
      </w:pPr>
      <w:bookmarkStart w:id="11" w:name="_heading=h.3dy6vkm" w:colFirst="0" w:colLast="0"/>
      <w:bookmarkEnd w:id="11"/>
    </w:p>
    <w:p w:rsidR="00AC72AA" w:rsidRPr="00591EA3" w:rsidRDefault="00AC72AA" w:rsidP="00AC72AA">
      <w:pPr>
        <w:spacing w:before="240" w:after="240" w:line="360" w:lineRule="auto"/>
        <w:ind w:firstLine="1"/>
        <w:jc w:val="both"/>
        <w:rPr>
          <w:rFonts w:ascii="Palatino Linotype" w:hAnsi="Palatino Linotype"/>
          <w:sz w:val="24"/>
          <w:szCs w:val="24"/>
        </w:rPr>
      </w:pPr>
      <w:bookmarkStart w:id="12" w:name="_Hlk99014733"/>
      <w:r w:rsidRPr="00591EA3">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591EA3">
        <w:rPr>
          <w:rFonts w:ascii="Palatino Linotype" w:hAnsi="Palatino Linotype" w:cs="Palatino Linotype"/>
          <w:color w:val="000000" w:themeColor="text1"/>
          <w:sz w:val="24"/>
          <w:szCs w:val="24"/>
        </w:rPr>
        <w:t>ALEXIS TAPIA RAMÍREZ.</w:t>
      </w:r>
    </w:p>
    <w:bookmarkEnd w:id="12"/>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spacing w:before="240" w:after="360" w:line="360" w:lineRule="auto"/>
        <w:jc w:val="both"/>
        <w:rPr>
          <w:rFonts w:ascii="Palatino Linotype" w:eastAsia="Palatino Linotype" w:hAnsi="Palatino Linotype" w:cs="Palatino Linotype"/>
          <w:color w:val="222222"/>
          <w:sz w:val="24"/>
          <w:szCs w:val="24"/>
        </w:rPr>
      </w:pPr>
    </w:p>
    <w:p w:rsidR="00A57B95" w:rsidRPr="00591EA3" w:rsidRDefault="00A57B95" w:rsidP="00A57B95">
      <w:pPr>
        <w:rPr>
          <w:rFonts w:ascii="Palatino Linotype" w:eastAsia="Palatino Linotype" w:hAnsi="Palatino Linotype" w:cs="Palatino Linotype"/>
          <w:sz w:val="24"/>
          <w:szCs w:val="24"/>
        </w:rPr>
      </w:pPr>
    </w:p>
    <w:p w:rsidR="00A57B95" w:rsidRPr="00591EA3" w:rsidRDefault="00A57B95" w:rsidP="00A57B95">
      <w:pPr>
        <w:rPr>
          <w:sz w:val="24"/>
          <w:szCs w:val="24"/>
        </w:rPr>
      </w:pPr>
    </w:p>
    <w:p w:rsidR="00A57B95" w:rsidRPr="00591EA3" w:rsidRDefault="00A57B95" w:rsidP="00A57B95">
      <w:pPr>
        <w:rPr>
          <w:sz w:val="24"/>
          <w:szCs w:val="24"/>
        </w:rPr>
      </w:pPr>
    </w:p>
    <w:p w:rsidR="00A57B95" w:rsidRPr="00591EA3" w:rsidRDefault="00A57B95" w:rsidP="00A57B95">
      <w:pPr>
        <w:rPr>
          <w:sz w:val="24"/>
          <w:szCs w:val="24"/>
        </w:rPr>
      </w:pPr>
    </w:p>
    <w:p w:rsidR="00A57B95" w:rsidRPr="00591EA3" w:rsidRDefault="00A57B95" w:rsidP="00A57B95">
      <w:pPr>
        <w:rPr>
          <w:sz w:val="24"/>
          <w:szCs w:val="24"/>
        </w:rPr>
      </w:pPr>
    </w:p>
    <w:p w:rsidR="00A57B95" w:rsidRPr="00591EA3" w:rsidRDefault="00A57B95" w:rsidP="00A57B95">
      <w:pPr>
        <w:rPr>
          <w:sz w:val="24"/>
          <w:szCs w:val="24"/>
        </w:rPr>
      </w:pPr>
      <w:r w:rsidRPr="00591EA3">
        <w:rPr>
          <w:sz w:val="24"/>
          <w:szCs w:val="24"/>
        </w:rPr>
        <w:t xml:space="preserve"> </w:t>
      </w:r>
    </w:p>
    <w:p w:rsidR="00A57B95" w:rsidRPr="00591EA3" w:rsidRDefault="00A57B95" w:rsidP="00A57B95">
      <w:pPr>
        <w:rPr>
          <w:sz w:val="24"/>
          <w:szCs w:val="24"/>
        </w:rPr>
      </w:pPr>
    </w:p>
    <w:p w:rsidR="00922807" w:rsidRPr="00591EA3" w:rsidRDefault="00922807">
      <w:pPr>
        <w:rPr>
          <w:sz w:val="24"/>
          <w:szCs w:val="24"/>
        </w:rPr>
      </w:pPr>
    </w:p>
    <w:sectPr w:rsidR="00922807" w:rsidRPr="00591EA3" w:rsidSect="00591EA3">
      <w:headerReference w:type="even" r:id="rId8"/>
      <w:headerReference w:type="default" r:id="rId9"/>
      <w:footerReference w:type="default" r:id="rId10"/>
      <w:headerReference w:type="first" r:id="rId11"/>
      <w:footerReference w:type="first" r:id="rId12"/>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9D9" w:rsidRDefault="008019D9" w:rsidP="00A57B95">
      <w:r>
        <w:separator/>
      </w:r>
    </w:p>
  </w:endnote>
  <w:endnote w:type="continuationSeparator" w:id="0">
    <w:p w:rsidR="008019D9" w:rsidRDefault="008019D9" w:rsidP="00A5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CE" w:rsidRDefault="00084ACE">
    <w:pPr>
      <w:pBdr>
        <w:top w:val="nil"/>
        <w:left w:val="nil"/>
        <w:bottom w:val="nil"/>
        <w:right w:val="nil"/>
        <w:between w:val="nil"/>
      </w:pBdr>
      <w:tabs>
        <w:tab w:val="center" w:pos="4419"/>
        <w:tab w:val="right" w:pos="8838"/>
      </w:tabs>
      <w:jc w:val="right"/>
      <w:rPr>
        <w:color w:val="000000"/>
      </w:rPr>
    </w:pPr>
  </w:p>
  <w:p w:rsidR="00084ACE" w:rsidRPr="00591EA3" w:rsidRDefault="00084ACE">
    <w:pPr>
      <w:pBdr>
        <w:top w:val="nil"/>
        <w:left w:val="nil"/>
        <w:bottom w:val="nil"/>
        <w:right w:val="nil"/>
        <w:between w:val="nil"/>
      </w:pBdr>
      <w:tabs>
        <w:tab w:val="center" w:pos="4419"/>
        <w:tab w:val="right" w:pos="8838"/>
      </w:tabs>
      <w:jc w:val="right"/>
      <w:rPr>
        <w:rFonts w:ascii="Palatino Linotype" w:hAnsi="Palatino Linotype"/>
        <w:b/>
        <w:color w:val="000000"/>
        <w:sz w:val="22"/>
        <w:szCs w:val="22"/>
      </w:rPr>
    </w:pPr>
    <w:r w:rsidRPr="00591EA3">
      <w:rPr>
        <w:rFonts w:ascii="Palatino Linotype" w:hAnsi="Palatino Linotype"/>
        <w:b/>
        <w:color w:val="000000"/>
        <w:sz w:val="22"/>
        <w:szCs w:val="22"/>
      </w:rPr>
      <w:t xml:space="preserve">Página </w:t>
    </w:r>
    <w:r w:rsidRPr="00591EA3">
      <w:rPr>
        <w:rFonts w:ascii="Palatino Linotype" w:hAnsi="Palatino Linotype"/>
        <w:b/>
        <w:color w:val="000000"/>
        <w:sz w:val="22"/>
        <w:szCs w:val="22"/>
      </w:rPr>
      <w:fldChar w:fldCharType="begin"/>
    </w:r>
    <w:r w:rsidRPr="00591EA3">
      <w:rPr>
        <w:rFonts w:ascii="Palatino Linotype" w:hAnsi="Palatino Linotype"/>
        <w:b/>
        <w:color w:val="000000"/>
        <w:sz w:val="22"/>
        <w:szCs w:val="22"/>
      </w:rPr>
      <w:instrText>PAGE</w:instrText>
    </w:r>
    <w:r w:rsidRPr="00591EA3">
      <w:rPr>
        <w:rFonts w:ascii="Palatino Linotype" w:hAnsi="Palatino Linotype"/>
        <w:b/>
        <w:color w:val="000000"/>
        <w:sz w:val="22"/>
        <w:szCs w:val="22"/>
      </w:rPr>
      <w:fldChar w:fldCharType="separate"/>
    </w:r>
    <w:r w:rsidR="00114D38">
      <w:rPr>
        <w:rFonts w:ascii="Palatino Linotype" w:hAnsi="Palatino Linotype"/>
        <w:b/>
        <w:noProof/>
        <w:color w:val="000000"/>
        <w:sz w:val="22"/>
        <w:szCs w:val="22"/>
      </w:rPr>
      <w:t>21</w:t>
    </w:r>
    <w:r w:rsidRPr="00591EA3">
      <w:rPr>
        <w:rFonts w:ascii="Palatino Linotype" w:hAnsi="Palatino Linotype"/>
        <w:b/>
        <w:color w:val="000000"/>
        <w:sz w:val="22"/>
        <w:szCs w:val="22"/>
      </w:rPr>
      <w:fldChar w:fldCharType="end"/>
    </w:r>
    <w:r w:rsidRPr="00591EA3">
      <w:rPr>
        <w:rFonts w:ascii="Palatino Linotype" w:hAnsi="Palatino Linotype"/>
        <w:b/>
        <w:color w:val="000000"/>
        <w:sz w:val="22"/>
        <w:szCs w:val="22"/>
      </w:rPr>
      <w:t xml:space="preserve"> de </w:t>
    </w:r>
    <w:r w:rsidRPr="00591EA3">
      <w:rPr>
        <w:rFonts w:ascii="Palatino Linotype" w:hAnsi="Palatino Linotype"/>
        <w:b/>
        <w:color w:val="000000"/>
        <w:sz w:val="22"/>
        <w:szCs w:val="22"/>
      </w:rPr>
      <w:fldChar w:fldCharType="begin"/>
    </w:r>
    <w:r w:rsidRPr="00591EA3">
      <w:rPr>
        <w:rFonts w:ascii="Palatino Linotype" w:hAnsi="Palatino Linotype"/>
        <w:b/>
        <w:color w:val="000000"/>
        <w:sz w:val="22"/>
        <w:szCs w:val="22"/>
      </w:rPr>
      <w:instrText>NUMPAGES</w:instrText>
    </w:r>
    <w:r w:rsidRPr="00591EA3">
      <w:rPr>
        <w:rFonts w:ascii="Palatino Linotype" w:hAnsi="Palatino Linotype"/>
        <w:b/>
        <w:color w:val="000000"/>
        <w:sz w:val="22"/>
        <w:szCs w:val="22"/>
      </w:rPr>
      <w:fldChar w:fldCharType="separate"/>
    </w:r>
    <w:r w:rsidR="00114D38">
      <w:rPr>
        <w:rFonts w:ascii="Palatino Linotype" w:hAnsi="Palatino Linotype"/>
        <w:b/>
        <w:noProof/>
        <w:color w:val="000000"/>
        <w:sz w:val="22"/>
        <w:szCs w:val="22"/>
      </w:rPr>
      <w:t>24</w:t>
    </w:r>
    <w:r w:rsidRPr="00591EA3">
      <w:rPr>
        <w:rFonts w:ascii="Palatino Linotype" w:hAnsi="Palatino Linotype"/>
        <w:b/>
        <w:color w:val="000000"/>
        <w:sz w:val="22"/>
        <w:szCs w:val="22"/>
      </w:rPr>
      <w:fldChar w:fldCharType="end"/>
    </w:r>
  </w:p>
  <w:p w:rsidR="00084ACE" w:rsidRDefault="00084ACE">
    <w:pPr>
      <w:pBdr>
        <w:top w:val="nil"/>
        <w:left w:val="nil"/>
        <w:bottom w:val="nil"/>
        <w:right w:val="nil"/>
        <w:between w:val="nil"/>
      </w:pBdr>
      <w:tabs>
        <w:tab w:val="center" w:pos="4419"/>
        <w:tab w:val="right" w:pos="8838"/>
      </w:tabs>
      <w:rPr>
        <w:color w:val="000000"/>
      </w:rPr>
    </w:pPr>
  </w:p>
  <w:p w:rsidR="00084ACE" w:rsidRDefault="00084ACE"/>
  <w:p w:rsidR="00084ACE" w:rsidRDefault="00084ACE"/>
  <w:p w:rsidR="00084ACE" w:rsidRDefault="00084A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CE" w:rsidRPr="00591EA3" w:rsidRDefault="00084ACE">
    <w:pPr>
      <w:pBdr>
        <w:top w:val="nil"/>
        <w:left w:val="nil"/>
        <w:bottom w:val="nil"/>
        <w:right w:val="nil"/>
        <w:between w:val="nil"/>
      </w:pBdr>
      <w:tabs>
        <w:tab w:val="center" w:pos="4419"/>
        <w:tab w:val="right" w:pos="8838"/>
      </w:tabs>
      <w:jc w:val="right"/>
      <w:rPr>
        <w:rFonts w:ascii="Palatino Linotype" w:hAnsi="Palatino Linotype"/>
        <w:b/>
        <w:color w:val="000000"/>
        <w:sz w:val="22"/>
        <w:szCs w:val="22"/>
      </w:rPr>
    </w:pPr>
    <w:r w:rsidRPr="00591EA3">
      <w:rPr>
        <w:rFonts w:ascii="Palatino Linotype" w:hAnsi="Palatino Linotype"/>
        <w:b/>
        <w:color w:val="000000"/>
        <w:sz w:val="22"/>
        <w:szCs w:val="22"/>
      </w:rPr>
      <w:t xml:space="preserve">Página </w:t>
    </w:r>
    <w:r w:rsidRPr="00591EA3">
      <w:rPr>
        <w:rFonts w:ascii="Palatino Linotype" w:hAnsi="Palatino Linotype"/>
        <w:b/>
        <w:color w:val="000000"/>
        <w:sz w:val="22"/>
        <w:szCs w:val="22"/>
      </w:rPr>
      <w:fldChar w:fldCharType="begin"/>
    </w:r>
    <w:r w:rsidRPr="00591EA3">
      <w:rPr>
        <w:rFonts w:ascii="Palatino Linotype" w:hAnsi="Palatino Linotype"/>
        <w:b/>
        <w:color w:val="000000"/>
        <w:sz w:val="22"/>
        <w:szCs w:val="22"/>
      </w:rPr>
      <w:instrText>PAGE</w:instrText>
    </w:r>
    <w:r w:rsidRPr="00591EA3">
      <w:rPr>
        <w:rFonts w:ascii="Palatino Linotype" w:hAnsi="Palatino Linotype"/>
        <w:b/>
        <w:color w:val="000000"/>
        <w:sz w:val="22"/>
        <w:szCs w:val="22"/>
      </w:rPr>
      <w:fldChar w:fldCharType="separate"/>
    </w:r>
    <w:r w:rsidR="00114D38">
      <w:rPr>
        <w:rFonts w:ascii="Palatino Linotype" w:hAnsi="Palatino Linotype"/>
        <w:b/>
        <w:noProof/>
        <w:color w:val="000000"/>
        <w:sz w:val="22"/>
        <w:szCs w:val="22"/>
      </w:rPr>
      <w:t>1</w:t>
    </w:r>
    <w:r w:rsidRPr="00591EA3">
      <w:rPr>
        <w:rFonts w:ascii="Palatino Linotype" w:hAnsi="Palatino Linotype"/>
        <w:b/>
        <w:color w:val="000000"/>
        <w:sz w:val="22"/>
        <w:szCs w:val="22"/>
      </w:rPr>
      <w:fldChar w:fldCharType="end"/>
    </w:r>
    <w:r w:rsidRPr="00591EA3">
      <w:rPr>
        <w:rFonts w:ascii="Palatino Linotype" w:hAnsi="Palatino Linotype"/>
        <w:b/>
        <w:color w:val="000000"/>
        <w:sz w:val="22"/>
        <w:szCs w:val="22"/>
      </w:rPr>
      <w:t xml:space="preserve"> de </w:t>
    </w:r>
    <w:r w:rsidRPr="00591EA3">
      <w:rPr>
        <w:rFonts w:ascii="Palatino Linotype" w:hAnsi="Palatino Linotype"/>
        <w:b/>
        <w:color w:val="000000"/>
        <w:sz w:val="22"/>
        <w:szCs w:val="22"/>
      </w:rPr>
      <w:fldChar w:fldCharType="begin"/>
    </w:r>
    <w:r w:rsidRPr="00591EA3">
      <w:rPr>
        <w:rFonts w:ascii="Palatino Linotype" w:hAnsi="Palatino Linotype"/>
        <w:b/>
        <w:color w:val="000000"/>
        <w:sz w:val="22"/>
        <w:szCs w:val="22"/>
      </w:rPr>
      <w:instrText>NUMPAGES</w:instrText>
    </w:r>
    <w:r w:rsidRPr="00591EA3">
      <w:rPr>
        <w:rFonts w:ascii="Palatino Linotype" w:hAnsi="Palatino Linotype"/>
        <w:b/>
        <w:color w:val="000000"/>
        <w:sz w:val="22"/>
        <w:szCs w:val="22"/>
      </w:rPr>
      <w:fldChar w:fldCharType="separate"/>
    </w:r>
    <w:r w:rsidR="00114D38">
      <w:rPr>
        <w:rFonts w:ascii="Palatino Linotype" w:hAnsi="Palatino Linotype"/>
        <w:b/>
        <w:noProof/>
        <w:color w:val="000000"/>
        <w:sz w:val="22"/>
        <w:szCs w:val="22"/>
      </w:rPr>
      <w:t>24</w:t>
    </w:r>
    <w:r w:rsidRPr="00591EA3">
      <w:rPr>
        <w:rFonts w:ascii="Palatino Linotype" w:hAnsi="Palatino Linotype"/>
        <w:b/>
        <w:color w:val="000000"/>
        <w:sz w:val="22"/>
        <w:szCs w:val="22"/>
      </w:rPr>
      <w:fldChar w:fldCharType="end"/>
    </w:r>
  </w:p>
  <w:p w:rsidR="00084ACE" w:rsidRDefault="00084ACE">
    <w:pPr>
      <w:pBdr>
        <w:top w:val="nil"/>
        <w:left w:val="nil"/>
        <w:bottom w:val="nil"/>
        <w:right w:val="nil"/>
        <w:between w:val="nil"/>
      </w:pBdr>
      <w:tabs>
        <w:tab w:val="center" w:pos="4419"/>
        <w:tab w:val="right" w:pos="8838"/>
      </w:tabs>
      <w:rPr>
        <w:color w:val="000000"/>
      </w:rPr>
    </w:pPr>
  </w:p>
  <w:p w:rsidR="00084ACE" w:rsidRDefault="00084ACE"/>
  <w:p w:rsidR="00084ACE" w:rsidRDefault="00084ACE"/>
  <w:p w:rsidR="00084ACE" w:rsidRDefault="00084A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9D9" w:rsidRDefault="008019D9" w:rsidP="00A57B95">
      <w:r>
        <w:separator/>
      </w:r>
    </w:p>
  </w:footnote>
  <w:footnote w:type="continuationSeparator" w:id="0">
    <w:p w:rsidR="008019D9" w:rsidRDefault="008019D9" w:rsidP="00A57B95">
      <w:r>
        <w:continuationSeparator/>
      </w:r>
    </w:p>
  </w:footnote>
  <w:footnote w:id="1">
    <w:p w:rsidR="00084ACE" w:rsidRDefault="00084ACE" w:rsidP="00A57B95">
      <w:pPr>
        <w:pStyle w:val="Textonotapie"/>
      </w:pPr>
      <w:r>
        <w:rPr>
          <w:rStyle w:val="Refdenotaalpie"/>
        </w:rPr>
        <w:footnoteRef/>
      </w:r>
      <w:r>
        <w:t xml:space="preserve"> Artículo 150. Ley de Transparencia y Acceso a la Información Pública del Estado de México y Municipios.</w:t>
      </w:r>
    </w:p>
    <w:p w:rsidR="00084ACE" w:rsidRDefault="00084ACE" w:rsidP="00A57B95">
      <w:pPr>
        <w:pStyle w:val="Textonotapie"/>
      </w:pPr>
      <w:r>
        <w:t>Artículo 151. Ibídem.</w:t>
      </w:r>
    </w:p>
  </w:footnote>
  <w:footnote w:id="2">
    <w:p w:rsidR="00084ACE" w:rsidRDefault="00084ACE" w:rsidP="00A57B95">
      <w:pPr>
        <w:pStyle w:val="Textonotapie"/>
      </w:pPr>
      <w:r>
        <w:rPr>
          <w:rStyle w:val="Refdenotaalpie"/>
        </w:rPr>
        <w:footnoteRef/>
      </w:r>
      <w:r>
        <w:t xml:space="preserve"> Fracción IV. Artículo 53. Ibídem.</w:t>
      </w:r>
    </w:p>
  </w:footnote>
  <w:footnote w:id="3">
    <w:p w:rsidR="00084ACE" w:rsidRDefault="00084ACE" w:rsidP="00084ACE">
      <w:pPr>
        <w:pStyle w:val="Textonotapie"/>
      </w:pPr>
      <w:r>
        <w:rPr>
          <w:rStyle w:val="Refdenotaalpie"/>
        </w:rPr>
        <w:footnoteRef/>
      </w:r>
      <w:r>
        <w:t xml:space="preserve"> Ley de Transparencia y Acceso a la Información Pública del Estado de México y Municipios. Artículo 9. …</w:t>
      </w:r>
    </w:p>
    <w:p w:rsidR="00084ACE" w:rsidRDefault="00084ACE" w:rsidP="00084ACE">
      <w:pPr>
        <w:pStyle w:val="Textonotapie"/>
      </w:pPr>
      <w:r>
        <w:t>II. Eficacia: Obligación del Instituto para tutelar, de manera efectiva, el derecho de acceso a la información;</w:t>
      </w:r>
    </w:p>
    <w:p w:rsidR="00084ACE" w:rsidRDefault="00084ACE" w:rsidP="00084AC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CE" w:rsidRDefault="008019D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1"/>
          <w10:wrap anchorx="margin" anchory="margin"/>
        </v:shape>
      </w:pict>
    </w:r>
  </w:p>
  <w:p w:rsidR="00084ACE" w:rsidRDefault="00084ACE"/>
  <w:p w:rsidR="00084ACE" w:rsidRDefault="00084ACE"/>
  <w:p w:rsidR="00084ACE" w:rsidRDefault="00084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1843"/>
      <w:gridCol w:w="8647"/>
    </w:tblGrid>
    <w:tr w:rsidR="00084ACE" w:rsidTr="00591EA3">
      <w:trPr>
        <w:trHeight w:val="1435"/>
      </w:trPr>
      <w:tc>
        <w:tcPr>
          <w:tcW w:w="1843" w:type="dxa"/>
          <w:shd w:val="clear" w:color="auto" w:fill="auto"/>
        </w:tcPr>
        <w:p w:rsidR="00084ACE" w:rsidRDefault="00084ACE">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W w:w="6236"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724"/>
            <w:gridCol w:w="3512"/>
          </w:tblGrid>
          <w:tr w:rsidR="00084ACE" w:rsidTr="00591EA3">
            <w:trPr>
              <w:trHeight w:val="309"/>
            </w:trPr>
            <w:tc>
              <w:tcPr>
                <w:tcW w:w="2724" w:type="dxa"/>
              </w:tcPr>
              <w:p w:rsidR="00084ACE" w:rsidRPr="00591EA3" w:rsidRDefault="00084ACE">
                <w:pPr>
                  <w:tabs>
                    <w:tab w:val="right" w:pos="8838"/>
                  </w:tabs>
                  <w:ind w:right="-105"/>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Recurso de Revisión:</w:t>
                </w:r>
              </w:p>
            </w:tc>
            <w:tc>
              <w:tcPr>
                <w:tcW w:w="3512" w:type="dxa"/>
              </w:tcPr>
              <w:p w:rsidR="00084ACE" w:rsidRPr="00591EA3" w:rsidRDefault="00084ACE" w:rsidP="00591EA3">
                <w:pPr>
                  <w:tabs>
                    <w:tab w:val="right" w:pos="8838"/>
                  </w:tabs>
                  <w:ind w:right="-105" w:hanging="101"/>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14218/INFOEM/IP/RR/2025</w:t>
                </w:r>
              </w:p>
            </w:tc>
          </w:tr>
          <w:tr w:rsidR="00084ACE" w:rsidTr="00591EA3">
            <w:trPr>
              <w:trHeight w:val="259"/>
            </w:trPr>
            <w:tc>
              <w:tcPr>
                <w:tcW w:w="2724" w:type="dxa"/>
              </w:tcPr>
              <w:p w:rsidR="00084ACE" w:rsidRPr="00591EA3" w:rsidRDefault="00084ACE">
                <w:pPr>
                  <w:tabs>
                    <w:tab w:val="right" w:pos="8838"/>
                  </w:tabs>
                  <w:ind w:right="-105"/>
                  <w:rPr>
                    <w:rFonts w:ascii="Palatino Linotype" w:eastAsia="Palatino Linotype" w:hAnsi="Palatino Linotype" w:cs="Palatino Linotype"/>
                    <w:b/>
                    <w:sz w:val="24"/>
                    <w:szCs w:val="24"/>
                  </w:rPr>
                </w:pPr>
                <w:bookmarkStart w:id="13" w:name="_heading=h.3rdcrjn" w:colFirst="0" w:colLast="0"/>
                <w:bookmarkEnd w:id="13"/>
                <w:r w:rsidRPr="00591EA3">
                  <w:rPr>
                    <w:rFonts w:ascii="Palatino Linotype" w:eastAsia="Palatino Linotype" w:hAnsi="Palatino Linotype" w:cs="Palatino Linotype"/>
                    <w:b/>
                    <w:sz w:val="24"/>
                    <w:szCs w:val="24"/>
                  </w:rPr>
                  <w:t>Sujeto Obligado:</w:t>
                </w:r>
              </w:p>
            </w:tc>
            <w:tc>
              <w:tcPr>
                <w:tcW w:w="3512" w:type="dxa"/>
              </w:tcPr>
              <w:p w:rsidR="00084ACE" w:rsidRPr="00591EA3" w:rsidRDefault="00084ACE" w:rsidP="00591EA3">
                <w:pPr>
                  <w:tabs>
                    <w:tab w:val="right" w:pos="8838"/>
                  </w:tabs>
                  <w:ind w:left="-113" w:right="-108"/>
                  <w:rPr>
                    <w:rFonts w:ascii="Palatino Linotype" w:eastAsia="Palatino Linotype" w:hAnsi="Palatino Linotype" w:cs="Palatino Linotype"/>
                    <w:sz w:val="24"/>
                    <w:szCs w:val="24"/>
                  </w:rPr>
                </w:pPr>
                <w:r w:rsidRPr="00591EA3">
                  <w:rPr>
                    <w:rFonts w:ascii="Palatino Linotype" w:eastAsia="Palatino Linotype" w:hAnsi="Palatino Linotype" w:cs="Palatino Linotype"/>
                    <w:bCs/>
                    <w:sz w:val="24"/>
                    <w:szCs w:val="24"/>
                  </w:rPr>
                  <w:t xml:space="preserve">Ayuntamiento de Tepotzotlán </w:t>
                </w:r>
              </w:p>
            </w:tc>
          </w:tr>
          <w:tr w:rsidR="00084ACE" w:rsidTr="00591EA3">
            <w:trPr>
              <w:trHeight w:val="259"/>
            </w:trPr>
            <w:tc>
              <w:tcPr>
                <w:tcW w:w="2724" w:type="dxa"/>
              </w:tcPr>
              <w:p w:rsidR="00084ACE" w:rsidRPr="00591EA3" w:rsidRDefault="00084ACE">
                <w:pPr>
                  <w:tabs>
                    <w:tab w:val="right" w:pos="8838"/>
                  </w:tabs>
                  <w:ind w:right="-105"/>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Comisionada Ponente:</w:t>
                </w:r>
              </w:p>
            </w:tc>
            <w:tc>
              <w:tcPr>
                <w:tcW w:w="3512" w:type="dxa"/>
              </w:tcPr>
              <w:p w:rsidR="00084ACE" w:rsidRPr="00591EA3" w:rsidRDefault="00084ACE" w:rsidP="00591EA3">
                <w:pPr>
                  <w:tabs>
                    <w:tab w:val="right" w:pos="8838"/>
                  </w:tabs>
                  <w:ind w:left="-113" w:right="-105"/>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María del Rosario Mejía Ayala</w:t>
                </w:r>
              </w:p>
            </w:tc>
          </w:tr>
        </w:tbl>
        <w:p w:rsidR="00084ACE" w:rsidRDefault="00084ACE">
          <w:pPr>
            <w:tabs>
              <w:tab w:val="right" w:pos="8838"/>
            </w:tabs>
            <w:ind w:left="-28"/>
            <w:jc w:val="both"/>
            <w:rPr>
              <w:rFonts w:ascii="Arial" w:eastAsia="Arial" w:hAnsi="Arial" w:cs="Arial"/>
              <w:b/>
              <w:sz w:val="22"/>
              <w:szCs w:val="22"/>
            </w:rPr>
          </w:pPr>
        </w:p>
      </w:tc>
    </w:tr>
  </w:tbl>
  <w:p w:rsidR="00084ACE" w:rsidRPr="00591EA3" w:rsidRDefault="008019D9" w:rsidP="00591EA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pt;margin-top:-131.75pt;width:663.5pt;height:12in;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560"/>
      <w:gridCol w:w="9072"/>
    </w:tblGrid>
    <w:tr w:rsidR="00084ACE" w:rsidTr="00591EA3">
      <w:trPr>
        <w:trHeight w:val="1435"/>
      </w:trPr>
      <w:tc>
        <w:tcPr>
          <w:tcW w:w="1560" w:type="dxa"/>
          <w:shd w:val="clear" w:color="auto" w:fill="auto"/>
        </w:tcPr>
        <w:p w:rsidR="00084ACE" w:rsidRDefault="00084ACE">
          <w:pPr>
            <w:tabs>
              <w:tab w:val="right" w:pos="4273"/>
            </w:tabs>
            <w:rPr>
              <w:rFonts w:ascii="Garamond" w:eastAsia="Garamond" w:hAnsi="Garamond" w:cs="Garamond"/>
              <w:sz w:val="22"/>
              <w:szCs w:val="22"/>
            </w:rPr>
          </w:pPr>
        </w:p>
      </w:tc>
      <w:tc>
        <w:tcPr>
          <w:tcW w:w="9072" w:type="dxa"/>
          <w:shd w:val="clear" w:color="auto" w:fill="auto"/>
        </w:tcPr>
        <w:tbl>
          <w:tblPr>
            <w:tblW w:w="7714" w:type="dxa"/>
            <w:tblInd w:w="2018" w:type="dxa"/>
            <w:tblBorders>
              <w:top w:val="nil"/>
              <w:left w:val="nil"/>
              <w:bottom w:val="nil"/>
              <w:right w:val="nil"/>
              <w:insideH w:val="nil"/>
              <w:insideV w:val="nil"/>
            </w:tblBorders>
            <w:tblLayout w:type="fixed"/>
            <w:tblLook w:val="0400" w:firstRow="0" w:lastRow="0" w:firstColumn="0" w:lastColumn="0" w:noHBand="0" w:noVBand="1"/>
          </w:tblPr>
          <w:tblGrid>
            <w:gridCol w:w="2832"/>
            <w:gridCol w:w="4646"/>
            <w:gridCol w:w="236"/>
          </w:tblGrid>
          <w:tr w:rsidR="00084ACE" w:rsidTr="00591EA3">
            <w:trPr>
              <w:trHeight w:val="144"/>
            </w:trPr>
            <w:tc>
              <w:tcPr>
                <w:tcW w:w="2832" w:type="dxa"/>
              </w:tcPr>
              <w:p w:rsidR="00084ACE" w:rsidRPr="00591EA3" w:rsidRDefault="00084ACE">
                <w:pPr>
                  <w:tabs>
                    <w:tab w:val="right" w:pos="8838"/>
                  </w:tabs>
                  <w:ind w:left="-74" w:right="-105"/>
                  <w:rPr>
                    <w:rFonts w:ascii="Palatino Linotype" w:eastAsia="Palatino Linotype" w:hAnsi="Palatino Linotype" w:cs="Palatino Linotype"/>
                    <w:b/>
                    <w:sz w:val="24"/>
                    <w:szCs w:val="24"/>
                  </w:rPr>
                </w:pPr>
                <w:bookmarkStart w:id="14" w:name="_heading=h.26in1rg" w:colFirst="0" w:colLast="0"/>
                <w:bookmarkEnd w:id="14"/>
                <w:r w:rsidRPr="00591EA3">
                  <w:rPr>
                    <w:rFonts w:ascii="Palatino Linotype" w:eastAsia="Palatino Linotype" w:hAnsi="Palatino Linotype" w:cs="Palatino Linotype"/>
                    <w:b/>
                    <w:sz w:val="24"/>
                    <w:szCs w:val="24"/>
                  </w:rPr>
                  <w:t>Recurso de Revisión:</w:t>
                </w:r>
              </w:p>
            </w:tc>
            <w:tc>
              <w:tcPr>
                <w:tcW w:w="4646" w:type="dxa"/>
              </w:tcPr>
              <w:p w:rsidR="00084ACE" w:rsidRPr="00591EA3" w:rsidRDefault="00084ACE" w:rsidP="00591EA3">
                <w:pPr>
                  <w:tabs>
                    <w:tab w:val="right" w:pos="8838"/>
                  </w:tabs>
                  <w:ind w:left="-3" w:right="-105"/>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14218/INFOEM/IP/RR/2025</w:t>
                </w:r>
              </w:p>
            </w:tc>
            <w:tc>
              <w:tcPr>
                <w:tcW w:w="236" w:type="dxa"/>
              </w:tcPr>
              <w:p w:rsidR="00084ACE" w:rsidRDefault="00084ACE">
                <w:pPr>
                  <w:tabs>
                    <w:tab w:val="right" w:pos="8838"/>
                  </w:tabs>
                  <w:ind w:left="-74" w:right="-105"/>
                  <w:jc w:val="both"/>
                  <w:rPr>
                    <w:rFonts w:ascii="Palatino Linotype" w:eastAsia="Palatino Linotype" w:hAnsi="Palatino Linotype" w:cs="Palatino Linotype"/>
                    <w:sz w:val="22"/>
                    <w:szCs w:val="22"/>
                  </w:rPr>
                </w:pPr>
              </w:p>
            </w:tc>
          </w:tr>
          <w:tr w:rsidR="00084ACE" w:rsidTr="00591EA3">
            <w:trPr>
              <w:trHeight w:val="144"/>
            </w:trPr>
            <w:tc>
              <w:tcPr>
                <w:tcW w:w="2832" w:type="dxa"/>
              </w:tcPr>
              <w:p w:rsidR="00084ACE" w:rsidRPr="00591EA3" w:rsidRDefault="00084ACE">
                <w:pPr>
                  <w:tabs>
                    <w:tab w:val="right" w:pos="8838"/>
                  </w:tabs>
                  <w:ind w:left="-74" w:right="-105"/>
                  <w:rPr>
                    <w:rFonts w:ascii="Palatino Linotype" w:eastAsia="Palatino Linotype" w:hAnsi="Palatino Linotype" w:cs="Palatino Linotype"/>
                    <w:b/>
                    <w:sz w:val="24"/>
                    <w:szCs w:val="24"/>
                  </w:rPr>
                </w:pPr>
                <w:bookmarkStart w:id="15" w:name="_heading=h.lnxbz9" w:colFirst="0" w:colLast="0"/>
                <w:bookmarkEnd w:id="15"/>
                <w:r w:rsidRPr="00591EA3">
                  <w:rPr>
                    <w:rFonts w:ascii="Palatino Linotype" w:eastAsia="Palatino Linotype" w:hAnsi="Palatino Linotype" w:cs="Palatino Linotype"/>
                    <w:b/>
                    <w:sz w:val="24"/>
                    <w:szCs w:val="24"/>
                  </w:rPr>
                  <w:t>Recurrente:</w:t>
                </w:r>
              </w:p>
            </w:tc>
            <w:tc>
              <w:tcPr>
                <w:tcW w:w="4646" w:type="dxa"/>
              </w:tcPr>
              <w:p w:rsidR="00084ACE" w:rsidRPr="00591EA3" w:rsidRDefault="00114D38" w:rsidP="00591EA3">
                <w:pPr>
                  <w:tabs>
                    <w:tab w:val="right" w:pos="8838"/>
                  </w:tabs>
                  <w:ind w:right="427"/>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XXXX</w:t>
                </w:r>
              </w:p>
            </w:tc>
            <w:tc>
              <w:tcPr>
                <w:tcW w:w="236" w:type="dxa"/>
              </w:tcPr>
              <w:p w:rsidR="00084ACE" w:rsidRDefault="00084ACE">
                <w:pPr>
                  <w:tabs>
                    <w:tab w:val="left" w:pos="3122"/>
                    <w:tab w:val="right" w:pos="8838"/>
                  </w:tabs>
                  <w:ind w:right="-105"/>
                  <w:jc w:val="both"/>
                  <w:rPr>
                    <w:rFonts w:ascii="Palatino Linotype" w:eastAsia="Palatino Linotype" w:hAnsi="Palatino Linotype" w:cs="Palatino Linotype"/>
                    <w:sz w:val="22"/>
                    <w:szCs w:val="22"/>
                  </w:rPr>
                </w:pPr>
              </w:p>
            </w:tc>
          </w:tr>
          <w:tr w:rsidR="00084ACE" w:rsidTr="00591EA3">
            <w:trPr>
              <w:trHeight w:val="283"/>
            </w:trPr>
            <w:tc>
              <w:tcPr>
                <w:tcW w:w="2832" w:type="dxa"/>
              </w:tcPr>
              <w:p w:rsidR="00084ACE" w:rsidRPr="00591EA3" w:rsidRDefault="00084ACE">
                <w:pPr>
                  <w:tabs>
                    <w:tab w:val="right" w:pos="8838"/>
                  </w:tabs>
                  <w:ind w:left="-74" w:right="-105"/>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Sujeto Obligado:</w:t>
                </w:r>
              </w:p>
            </w:tc>
            <w:tc>
              <w:tcPr>
                <w:tcW w:w="4646" w:type="dxa"/>
              </w:tcPr>
              <w:p w:rsidR="00084ACE" w:rsidRPr="00591EA3" w:rsidRDefault="00084ACE" w:rsidP="00591EA3">
                <w:pPr>
                  <w:tabs>
                    <w:tab w:val="right" w:pos="8838"/>
                  </w:tabs>
                  <w:ind w:left="-3" w:right="144"/>
                  <w:rPr>
                    <w:rFonts w:ascii="Palatino Linotype" w:eastAsia="Palatino Linotype" w:hAnsi="Palatino Linotype" w:cs="Palatino Linotype"/>
                    <w:sz w:val="24"/>
                    <w:szCs w:val="24"/>
                  </w:rPr>
                </w:pPr>
                <w:r w:rsidRPr="00591EA3">
                  <w:rPr>
                    <w:rFonts w:ascii="Palatino Linotype" w:eastAsia="Palatino Linotype" w:hAnsi="Palatino Linotype" w:cs="Palatino Linotype"/>
                    <w:bCs/>
                    <w:sz w:val="24"/>
                    <w:szCs w:val="24"/>
                  </w:rPr>
                  <w:t xml:space="preserve">Ayuntamiento de Tepotzotlán </w:t>
                </w:r>
              </w:p>
            </w:tc>
            <w:tc>
              <w:tcPr>
                <w:tcW w:w="236" w:type="dxa"/>
              </w:tcPr>
              <w:p w:rsidR="00084ACE" w:rsidRDefault="00084ACE">
                <w:pPr>
                  <w:tabs>
                    <w:tab w:val="left" w:pos="2834"/>
                    <w:tab w:val="right" w:pos="8838"/>
                  </w:tabs>
                  <w:ind w:left="-74" w:right="-105"/>
                  <w:jc w:val="both"/>
                  <w:rPr>
                    <w:rFonts w:ascii="Palatino Linotype" w:eastAsia="Palatino Linotype" w:hAnsi="Palatino Linotype" w:cs="Palatino Linotype"/>
                    <w:sz w:val="22"/>
                    <w:szCs w:val="22"/>
                  </w:rPr>
                </w:pPr>
              </w:p>
            </w:tc>
          </w:tr>
          <w:tr w:rsidR="00084ACE" w:rsidTr="00591EA3">
            <w:trPr>
              <w:trHeight w:val="283"/>
            </w:trPr>
            <w:tc>
              <w:tcPr>
                <w:tcW w:w="2832" w:type="dxa"/>
              </w:tcPr>
              <w:p w:rsidR="00084ACE" w:rsidRPr="00591EA3" w:rsidRDefault="00084ACE">
                <w:pPr>
                  <w:tabs>
                    <w:tab w:val="right" w:pos="8838"/>
                  </w:tabs>
                  <w:ind w:left="-74" w:right="-105"/>
                  <w:rPr>
                    <w:rFonts w:ascii="Palatino Linotype" w:eastAsia="Palatino Linotype" w:hAnsi="Palatino Linotype" w:cs="Palatino Linotype"/>
                    <w:b/>
                    <w:sz w:val="24"/>
                    <w:szCs w:val="24"/>
                  </w:rPr>
                </w:pPr>
                <w:r w:rsidRPr="00591EA3">
                  <w:rPr>
                    <w:rFonts w:ascii="Palatino Linotype" w:eastAsia="Palatino Linotype" w:hAnsi="Palatino Linotype" w:cs="Palatino Linotype"/>
                    <w:b/>
                    <w:sz w:val="24"/>
                    <w:szCs w:val="24"/>
                  </w:rPr>
                  <w:t>Comisionada Ponente:</w:t>
                </w:r>
              </w:p>
            </w:tc>
            <w:tc>
              <w:tcPr>
                <w:tcW w:w="4646" w:type="dxa"/>
              </w:tcPr>
              <w:p w:rsidR="00084ACE" w:rsidRPr="00591EA3" w:rsidRDefault="00084ACE" w:rsidP="00591EA3">
                <w:pPr>
                  <w:tabs>
                    <w:tab w:val="right" w:pos="8838"/>
                  </w:tabs>
                  <w:ind w:left="-3" w:right="-105"/>
                  <w:rPr>
                    <w:rFonts w:ascii="Palatino Linotype" w:eastAsia="Palatino Linotype" w:hAnsi="Palatino Linotype" w:cs="Palatino Linotype"/>
                    <w:sz w:val="24"/>
                    <w:szCs w:val="24"/>
                  </w:rPr>
                </w:pPr>
                <w:r w:rsidRPr="00591EA3">
                  <w:rPr>
                    <w:rFonts w:ascii="Palatino Linotype" w:eastAsia="Palatino Linotype" w:hAnsi="Palatino Linotype" w:cs="Palatino Linotype"/>
                    <w:sz w:val="24"/>
                    <w:szCs w:val="24"/>
                  </w:rPr>
                  <w:t>María del Rosario Mejía Ayala</w:t>
                </w:r>
              </w:p>
            </w:tc>
            <w:tc>
              <w:tcPr>
                <w:tcW w:w="236" w:type="dxa"/>
              </w:tcPr>
              <w:p w:rsidR="00084ACE" w:rsidRDefault="00084ACE">
                <w:pPr>
                  <w:tabs>
                    <w:tab w:val="right" w:pos="8838"/>
                  </w:tabs>
                  <w:ind w:left="-74" w:right="-105"/>
                  <w:jc w:val="both"/>
                  <w:rPr>
                    <w:rFonts w:ascii="Palatino Linotype" w:eastAsia="Palatino Linotype" w:hAnsi="Palatino Linotype" w:cs="Palatino Linotype"/>
                    <w:sz w:val="22"/>
                    <w:szCs w:val="22"/>
                  </w:rPr>
                </w:pPr>
              </w:p>
            </w:tc>
          </w:tr>
        </w:tbl>
        <w:p w:rsidR="00084ACE" w:rsidRDefault="00084ACE">
          <w:pPr>
            <w:tabs>
              <w:tab w:val="right" w:pos="8838"/>
            </w:tabs>
            <w:ind w:left="-28"/>
            <w:jc w:val="both"/>
            <w:rPr>
              <w:rFonts w:ascii="Arial" w:eastAsia="Arial" w:hAnsi="Arial" w:cs="Arial"/>
              <w:b/>
              <w:sz w:val="22"/>
              <w:szCs w:val="22"/>
            </w:rPr>
          </w:pPr>
        </w:p>
      </w:tc>
    </w:tr>
  </w:tbl>
  <w:p w:rsidR="00084ACE" w:rsidRPr="00591EA3" w:rsidRDefault="008019D9" w:rsidP="00591EA3">
    <w:pPr>
      <w:pBdr>
        <w:top w:val="nil"/>
        <w:left w:val="nil"/>
        <w:bottom w:val="nil"/>
        <w:right w:val="nil"/>
        <w:between w:val="nil"/>
      </w:pBdr>
      <w:tabs>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9.75pt;margin-top:-120.65pt;width:663.5pt;height:12in;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923"/>
    <w:multiLevelType w:val="hybridMultilevel"/>
    <w:tmpl w:val="13C86742"/>
    <w:lvl w:ilvl="0" w:tplc="0E4AAF5C">
      <w:numFmt w:val="bullet"/>
      <w:lvlText w:val="-"/>
      <w:lvlJc w:val="left"/>
      <w:pPr>
        <w:ind w:left="720" w:hanging="360"/>
      </w:pPr>
      <w:rPr>
        <w:rFonts w:ascii="Palatino Linotype" w:eastAsia="Palatino Linotype" w:hAnsi="Palatino Linotype" w:cs="Palatino Linotype"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3A6843"/>
    <w:multiLevelType w:val="hybridMultilevel"/>
    <w:tmpl w:val="A27608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10F2868"/>
    <w:multiLevelType w:val="hybridMultilevel"/>
    <w:tmpl w:val="B0568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95"/>
    <w:rsid w:val="00081B8C"/>
    <w:rsid w:val="00084ACE"/>
    <w:rsid w:val="00114D38"/>
    <w:rsid w:val="00591EA3"/>
    <w:rsid w:val="005E3F3A"/>
    <w:rsid w:val="0065252E"/>
    <w:rsid w:val="008019D9"/>
    <w:rsid w:val="00922807"/>
    <w:rsid w:val="009F7001"/>
    <w:rsid w:val="00A57B95"/>
    <w:rsid w:val="00AC72AA"/>
    <w:rsid w:val="00B02DE3"/>
    <w:rsid w:val="00C24601"/>
    <w:rsid w:val="00F34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DAA587-2EB3-4620-BD54-CD846C6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2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A57B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57B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B95"/>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57B95"/>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7B95"/>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57B95"/>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57B95"/>
    <w:rPr>
      <w:color w:val="0563C1" w:themeColor="hyperlink"/>
      <w:u w:val="single"/>
    </w:rPr>
  </w:style>
  <w:style w:type="paragraph" w:styleId="Sinespaciado">
    <w:name w:val="No Spacing"/>
    <w:aliases w:val="Francesa,INAI"/>
    <w:link w:val="SinespaciadoCar"/>
    <w:uiPriority w:val="1"/>
    <w:qFormat/>
    <w:rsid w:val="00A57B9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57B9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57B95"/>
    <w:pPr>
      <w:tabs>
        <w:tab w:val="center" w:pos="4419"/>
        <w:tab w:val="right" w:pos="8838"/>
      </w:tabs>
    </w:pPr>
  </w:style>
  <w:style w:type="character" w:customStyle="1" w:styleId="PiedepginaCar">
    <w:name w:val="Pie de página Car"/>
    <w:basedOn w:val="Fuentedeprrafopredeter"/>
    <w:link w:val="Piedepgina"/>
    <w:uiPriority w:val="99"/>
    <w:rsid w:val="00A57B95"/>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7B95"/>
    <w:rPr>
      <w:rFonts w:asciiTheme="minorHAnsi" w:eastAsiaTheme="minorHAnsi" w:hAnsiTheme="minorHAnsi" w:cstheme="minorBid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7B9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57B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266133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24</Pages>
  <Words>5738</Words>
  <Characters>31559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2026-03-12T23:22:00Z</cp:lastPrinted>
  <dcterms:created xsi:type="dcterms:W3CDTF">2026-03-05T00:12:00Z</dcterms:created>
  <dcterms:modified xsi:type="dcterms:W3CDTF">2026-03-23T19:25:00Z</dcterms:modified>
</cp:coreProperties>
</file>