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CC47D" w14:textId="7684A268" w:rsidR="00B341BD" w:rsidRPr="00060B43" w:rsidRDefault="00F138DD">
      <w:pPr>
        <w:spacing w:before="240" w:after="240" w:line="360" w:lineRule="auto"/>
        <w:jc w:val="both"/>
        <w:rPr>
          <w:rFonts w:ascii="Palatino Linotype" w:eastAsia="Palatino Linotype" w:hAnsi="Palatino Linotype" w:cs="Palatino Linotype"/>
          <w:b/>
          <w:bCs/>
          <w:sz w:val="22"/>
          <w:szCs w:val="22"/>
        </w:rPr>
      </w:pPr>
      <w:bookmarkStart w:id="0" w:name="_heading=h.1fob9te" w:colFirst="0" w:colLast="0"/>
      <w:bookmarkEnd w:id="0"/>
      <w:r w:rsidRPr="00060B43">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w:t>
      </w:r>
      <w:r w:rsidRPr="00060B43">
        <w:rPr>
          <w:rFonts w:ascii="Palatino Linotype" w:eastAsia="Palatino Linotype" w:hAnsi="Palatino Linotype" w:cs="Palatino Linotype"/>
          <w:b/>
          <w:bCs/>
          <w:sz w:val="22"/>
          <w:szCs w:val="22"/>
        </w:rPr>
        <w:t>a veinti</w:t>
      </w:r>
      <w:r w:rsidR="00CD298B" w:rsidRPr="00060B43">
        <w:rPr>
          <w:rFonts w:ascii="Palatino Linotype" w:eastAsia="Palatino Linotype" w:hAnsi="Palatino Linotype" w:cs="Palatino Linotype"/>
          <w:b/>
          <w:bCs/>
          <w:sz w:val="22"/>
          <w:szCs w:val="22"/>
        </w:rPr>
        <w:t>cuatro</w:t>
      </w:r>
      <w:r w:rsidRPr="00060B43">
        <w:rPr>
          <w:rFonts w:ascii="Palatino Linotype" w:eastAsia="Palatino Linotype" w:hAnsi="Palatino Linotype" w:cs="Palatino Linotype"/>
          <w:b/>
          <w:bCs/>
          <w:sz w:val="22"/>
          <w:szCs w:val="22"/>
        </w:rPr>
        <w:t xml:space="preserve"> de septiembre de dos mil veintiséis</w:t>
      </w:r>
      <w:r w:rsidRPr="00060B43">
        <w:rPr>
          <w:rFonts w:ascii="Palatino Linotype" w:eastAsia="Palatino Linotype" w:hAnsi="Palatino Linotype" w:cs="Palatino Linotype"/>
          <w:sz w:val="22"/>
          <w:szCs w:val="22"/>
        </w:rPr>
        <w:t xml:space="preserve">. </w:t>
      </w:r>
    </w:p>
    <w:p w14:paraId="249AC030" w14:textId="544DCC5C" w:rsidR="00B341BD" w:rsidRPr="00060B43" w:rsidRDefault="00F138DD">
      <w:pPr>
        <w:spacing w:before="240" w:after="240" w:line="360" w:lineRule="auto"/>
        <w:jc w:val="both"/>
        <w:rPr>
          <w:rFonts w:ascii="Palatino Linotype" w:eastAsia="Palatino Linotype" w:hAnsi="Palatino Linotype" w:cs="Palatino Linotype"/>
          <w:sz w:val="22"/>
          <w:szCs w:val="22"/>
        </w:rPr>
      </w:pPr>
      <w:bookmarkStart w:id="1" w:name="_heading=h.4d34og8" w:colFirst="0" w:colLast="0"/>
      <w:bookmarkEnd w:id="1"/>
      <w:r w:rsidRPr="00060B43">
        <w:rPr>
          <w:rFonts w:ascii="Palatino Linotype" w:eastAsia="Palatino Linotype" w:hAnsi="Palatino Linotype" w:cs="Palatino Linotype"/>
          <w:b/>
          <w:bCs/>
          <w:sz w:val="22"/>
          <w:szCs w:val="22"/>
        </w:rPr>
        <w:t>Visto</w:t>
      </w:r>
      <w:r w:rsidRPr="00060B43">
        <w:rPr>
          <w:rFonts w:ascii="Palatino Linotype" w:eastAsia="Palatino Linotype" w:hAnsi="Palatino Linotype" w:cs="Palatino Linotype"/>
          <w:sz w:val="22"/>
          <w:szCs w:val="22"/>
        </w:rPr>
        <w:t xml:space="preserve"> el expediente formado con motivo del recurso de revisión </w:t>
      </w:r>
      <w:r w:rsidRPr="00060B43">
        <w:rPr>
          <w:rFonts w:ascii="Palatino Linotype" w:eastAsia="Palatino Linotype" w:hAnsi="Palatino Linotype" w:cs="Palatino Linotype"/>
          <w:b/>
          <w:bCs/>
          <w:sz w:val="22"/>
          <w:szCs w:val="22"/>
        </w:rPr>
        <w:t>07892/INFOEM/IP/RR/2026</w:t>
      </w:r>
      <w:r w:rsidRPr="00060B43">
        <w:rPr>
          <w:rFonts w:ascii="Palatino Linotype" w:eastAsia="Palatino Linotype" w:hAnsi="Palatino Linotype" w:cs="Palatino Linotype"/>
          <w:sz w:val="22"/>
          <w:szCs w:val="22"/>
        </w:rPr>
        <w:t>, interpuesto por</w:t>
      </w:r>
      <w:r w:rsidRPr="00060B43">
        <w:rPr>
          <w:rFonts w:ascii="Arial" w:eastAsia="Arial" w:hAnsi="Arial" w:cs="Arial"/>
          <w:b/>
          <w:bCs/>
          <w:sz w:val="15"/>
          <w:szCs w:val="15"/>
          <w:shd w:val="clear" w:color="auto" w:fill="F7F7F8"/>
        </w:rPr>
        <w:t xml:space="preserve"> </w:t>
      </w:r>
      <w:r w:rsidR="00736A82" w:rsidRPr="00736A82">
        <w:rPr>
          <w:rFonts w:ascii="Palatino Linotype" w:eastAsia="Palatino Linotype" w:hAnsi="Palatino Linotype" w:cs="Palatino Linotype"/>
          <w:b/>
          <w:bCs/>
          <w:sz w:val="22"/>
          <w:szCs w:val="22"/>
        </w:rPr>
        <w:t>XXXXX XXX XXXXX</w:t>
      </w:r>
      <w:bookmarkStart w:id="2" w:name="_GoBack"/>
      <w:bookmarkEnd w:id="2"/>
      <w:r w:rsidRPr="00060B43">
        <w:rPr>
          <w:rFonts w:ascii="Palatino Linotype" w:eastAsia="Palatino Linotype" w:hAnsi="Palatino Linotype" w:cs="Palatino Linotype"/>
          <w:b/>
          <w:bCs/>
          <w:sz w:val="22"/>
          <w:szCs w:val="22"/>
        </w:rPr>
        <w:t>,</w:t>
      </w:r>
      <w:r w:rsidRPr="00060B43">
        <w:rPr>
          <w:rFonts w:ascii="Palatino Linotype" w:eastAsia="Palatino Linotype" w:hAnsi="Palatino Linotype" w:cs="Palatino Linotype"/>
          <w:sz w:val="22"/>
          <w:szCs w:val="22"/>
        </w:rPr>
        <w:t xml:space="preserve"> en lo sucesivo</w:t>
      </w:r>
      <w:r w:rsidRPr="00060B43">
        <w:rPr>
          <w:rFonts w:ascii="Palatino Linotype" w:eastAsia="Palatino Linotype" w:hAnsi="Palatino Linotype" w:cs="Palatino Linotype"/>
          <w:b/>
          <w:bCs/>
          <w:sz w:val="22"/>
          <w:szCs w:val="22"/>
        </w:rPr>
        <w:t xml:space="preserve"> la parte</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xml:space="preserve"> en contra de la respuesta a su solicitud de información con número de folio</w:t>
      </w:r>
      <w:r w:rsidRPr="00060B43">
        <w:t xml:space="preserve"> </w:t>
      </w:r>
      <w:r w:rsidRPr="00060B43">
        <w:rPr>
          <w:rFonts w:ascii="Palatino Linotype" w:eastAsia="Palatino Linotype" w:hAnsi="Palatino Linotype" w:cs="Palatino Linotype"/>
          <w:b/>
          <w:bCs/>
          <w:sz w:val="22"/>
          <w:szCs w:val="22"/>
        </w:rPr>
        <w:t xml:space="preserve">00156/SSEM/IP/2026, </w:t>
      </w:r>
      <w:r w:rsidRPr="00060B43">
        <w:rPr>
          <w:rFonts w:ascii="Palatino Linotype" w:eastAsia="Palatino Linotype" w:hAnsi="Palatino Linotype" w:cs="Palatino Linotype"/>
          <w:sz w:val="22"/>
          <w:szCs w:val="22"/>
        </w:rPr>
        <w:t>por parte del</w:t>
      </w:r>
      <w:r w:rsidRPr="00060B43">
        <w:t xml:space="preserve"> </w:t>
      </w:r>
      <w:r w:rsidRPr="00060B43">
        <w:rPr>
          <w:rFonts w:ascii="Palatino Linotype" w:eastAsia="Palatino Linotype" w:hAnsi="Palatino Linotype" w:cs="Palatino Linotype"/>
          <w:b/>
          <w:bCs/>
          <w:sz w:val="22"/>
          <w:szCs w:val="22"/>
        </w:rPr>
        <w:t>Secretaría de Seguridad</w:t>
      </w:r>
      <w:r w:rsidRPr="00060B43">
        <w:rPr>
          <w:rFonts w:ascii="Palatino Linotype" w:eastAsia="Palatino Linotype" w:hAnsi="Palatino Linotype" w:cs="Palatino Linotype"/>
          <w:sz w:val="22"/>
          <w:szCs w:val="22"/>
        </w:rPr>
        <w:t>,</w:t>
      </w:r>
      <w:r w:rsidRPr="00060B43">
        <w:rPr>
          <w:rFonts w:ascii="Palatino Linotype" w:eastAsia="Palatino Linotype" w:hAnsi="Palatino Linotype" w:cs="Palatino Linotype"/>
          <w:b/>
          <w:bCs/>
          <w:sz w:val="22"/>
          <w:szCs w:val="22"/>
        </w:rPr>
        <w:t xml:space="preserve"> </w:t>
      </w:r>
      <w:r w:rsidRPr="00060B43">
        <w:rPr>
          <w:rFonts w:ascii="Palatino Linotype" w:eastAsia="Palatino Linotype" w:hAnsi="Palatino Linotype" w:cs="Palatino Linotype"/>
          <w:sz w:val="22"/>
          <w:szCs w:val="22"/>
        </w:rPr>
        <w:t xml:space="preserve">en lo sucesivo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 xml:space="preserve">se procede a dictar la presente resolución con base en los siguientes: </w:t>
      </w:r>
    </w:p>
    <w:p w14:paraId="5FCBABF4" w14:textId="77777777" w:rsidR="00B341BD" w:rsidRPr="00060B43" w:rsidRDefault="00F138DD">
      <w:pPr>
        <w:spacing w:before="240" w:after="240" w:line="360" w:lineRule="auto"/>
        <w:jc w:val="center"/>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I. A N T E C E D E N T E S</w:t>
      </w:r>
    </w:p>
    <w:p w14:paraId="2390AA86"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1. Solicitud de acceso a la información.</w:t>
      </w:r>
      <w:r w:rsidRPr="00060B43">
        <w:rPr>
          <w:rFonts w:ascii="Palatino Linotype" w:eastAsia="Palatino Linotype" w:hAnsi="Palatino Linotype" w:cs="Palatino Linotype"/>
          <w:sz w:val="22"/>
          <w:szCs w:val="22"/>
        </w:rPr>
        <w:t xml:space="preserve"> El </w:t>
      </w:r>
      <w:r w:rsidRPr="00060B43">
        <w:rPr>
          <w:rFonts w:ascii="Palatino Linotype" w:eastAsia="Palatino Linotype" w:hAnsi="Palatino Linotype" w:cs="Palatino Linotype"/>
          <w:b/>
          <w:bCs/>
          <w:sz w:val="22"/>
          <w:szCs w:val="22"/>
        </w:rPr>
        <w:t>dos de julio de dos mil veintiséis,</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la parte</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 xml:space="preserve">Recurrente </w:t>
      </w:r>
      <w:r w:rsidRPr="00060B43">
        <w:rPr>
          <w:rFonts w:ascii="Palatino Linotype" w:eastAsia="Palatino Linotype" w:hAnsi="Palatino Linotype" w:cs="Palatino Linotype"/>
          <w:sz w:val="22"/>
          <w:szCs w:val="22"/>
        </w:rPr>
        <w:t xml:space="preserve">a través del Sistema de Acceso a la Información Mexiquense, en lo subsecuente el SAIMEX, formuló ante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la solicitud de acceso a la información pública a la que se le asignó el número</w:t>
      </w:r>
      <w:r w:rsidRPr="00060B43">
        <w:t xml:space="preserve"> </w:t>
      </w:r>
      <w:r w:rsidRPr="00060B43">
        <w:rPr>
          <w:rFonts w:ascii="Palatino Linotype" w:eastAsia="Palatino Linotype" w:hAnsi="Palatino Linotype" w:cs="Palatino Linotype"/>
          <w:b/>
          <w:bCs/>
          <w:sz w:val="22"/>
          <w:szCs w:val="22"/>
        </w:rPr>
        <w:t xml:space="preserve">00156/SSEM/IP/2026; </w:t>
      </w:r>
      <w:r w:rsidRPr="00060B43">
        <w:rPr>
          <w:rFonts w:ascii="Palatino Linotype" w:eastAsia="Palatino Linotype" w:hAnsi="Palatino Linotype" w:cs="Palatino Linotype"/>
          <w:sz w:val="22"/>
          <w:szCs w:val="22"/>
        </w:rPr>
        <w:t xml:space="preserve">mediante la cual se requirió la información siguiente: </w:t>
      </w:r>
    </w:p>
    <w:p w14:paraId="7FEAAC52" w14:textId="77777777" w:rsidR="00B341BD" w:rsidRPr="00060B43" w:rsidRDefault="00F138DD">
      <w:pPr>
        <w:spacing w:before="240" w:after="240"/>
        <w:ind w:left="567" w:right="902"/>
        <w:jc w:val="both"/>
        <w:rPr>
          <w:rFonts w:ascii="Palatino Linotype" w:eastAsia="Palatino Linotype" w:hAnsi="Palatino Linotype" w:cs="Palatino Linotype"/>
          <w:i/>
          <w:iCs/>
          <w:sz w:val="22"/>
          <w:szCs w:val="22"/>
        </w:rPr>
      </w:pPr>
      <w:bookmarkStart w:id="3" w:name="_heading=h.gjdgxs" w:colFirst="0" w:colLast="0"/>
      <w:bookmarkEnd w:id="3"/>
      <w:r w:rsidRPr="00060B43">
        <w:rPr>
          <w:rFonts w:ascii="Palatino Linotype" w:eastAsia="Palatino Linotype" w:hAnsi="Palatino Linotype" w:cs="Palatino Linotype"/>
          <w:i/>
          <w:iCs/>
          <w:sz w:val="22"/>
          <w:szCs w:val="22"/>
        </w:rPr>
        <w:t xml:space="preserve">“solicito copia simple digitalizada a través del sistema electrónico saimex de las facturas correspondientes a la adquisición de la aeronave Black Hawk UH-60." (Sic) </w:t>
      </w:r>
    </w:p>
    <w:p w14:paraId="68E1B73A" w14:textId="77777777" w:rsidR="00B341BD" w:rsidRPr="00060B43" w:rsidRDefault="00F138DD">
      <w:pPr>
        <w:spacing w:before="240" w:after="240"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Modalidad de Entrega:</w:t>
      </w:r>
      <w:r w:rsidRPr="00060B43">
        <w:rPr>
          <w:rFonts w:ascii="Palatino Linotype" w:eastAsia="Palatino Linotype" w:hAnsi="Palatino Linotype" w:cs="Palatino Linotype"/>
          <w:sz w:val="22"/>
          <w:szCs w:val="22"/>
        </w:rPr>
        <w:t xml:space="preserve"> a través del Sistema de Acceso a la Información Mexiquense (SAIMEX).</w:t>
      </w:r>
    </w:p>
    <w:p w14:paraId="363F2C93" w14:textId="77777777" w:rsidR="00B341BD" w:rsidRPr="00060B43" w:rsidRDefault="00F138DD">
      <w:pPr>
        <w:spacing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 xml:space="preserve">2. Prorroga. </w:t>
      </w:r>
      <w:r w:rsidRPr="00060B43">
        <w:rPr>
          <w:rFonts w:ascii="Palatino Linotype" w:eastAsia="Palatino Linotype" w:hAnsi="Palatino Linotype" w:cs="Palatino Linotype"/>
          <w:sz w:val="22"/>
          <w:szCs w:val="22"/>
        </w:rPr>
        <w:t xml:space="preserve">El </w:t>
      </w:r>
      <w:r w:rsidRPr="00060B43">
        <w:rPr>
          <w:rFonts w:ascii="Palatino Linotype" w:eastAsia="Palatino Linotype" w:hAnsi="Palatino Linotype" w:cs="Palatino Linotype"/>
          <w:b/>
          <w:bCs/>
          <w:sz w:val="22"/>
          <w:szCs w:val="22"/>
        </w:rPr>
        <w:t xml:space="preserve">seis de agosto de dos mil veintiséis, </w:t>
      </w:r>
      <w:r w:rsidRPr="00060B43">
        <w:rPr>
          <w:rFonts w:ascii="Palatino Linotype" w:eastAsia="Palatino Linotype" w:hAnsi="Palatino Linotype" w:cs="Palatino Linotype"/>
          <w:sz w:val="22"/>
          <w:szCs w:val="22"/>
        </w:rPr>
        <w:t xml:space="preserve">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 xml:space="preserve">informó que el plazo de quince días hábiles para atender la solicitud de mérito, de conformidad con el artículo 163 de la Ley de Transparencia Local, fue prorrogado por siete días más, adjuntando para tal efecto un oficio donde la Directora de Transparencia refiere que mediante acuerdo </w:t>
      </w:r>
      <w:r w:rsidRPr="00060B43">
        <w:rPr>
          <w:rFonts w:ascii="Palatino Linotype" w:eastAsia="Palatino Linotype" w:hAnsi="Palatino Linotype" w:cs="Palatino Linotype"/>
          <w:sz w:val="22"/>
          <w:szCs w:val="22"/>
        </w:rPr>
        <w:lastRenderedPageBreak/>
        <w:t>SS/CT/EXT/VI/008/2026, emitido por el Comité de Transparencia de la Secretaría de Seguridad, en la Sexta Sesión Extraordinaria, celebrada en fecha 14 de julio de 2026, se aprobó por unanimidad de votos la ampliación por siete días hábiles, posteriores a la fecha de vencimiento de respuesta de la solicitud de información pública, 00156/SSEM/IP/2026.</w:t>
      </w:r>
    </w:p>
    <w:p w14:paraId="309DCA96"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3071A566"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De esta manera, como refiere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la Ley de Transparencia y Acceso a la Información Pública del Estado de México y Municipios, contempla la potestad de ampliar el plazo hasta por siete días, en términos del párrafo segundo del artículo 163 de la Ley de Transparencia y Acceso a la Información Pública del Estado de México y Municipios, siempre y cuando existan razones fundadas y motivadas para hacerlo, y que estas sean aprobadas por el Comité de Transparencia, mediante la emisión de una resolución; en el caso particular que nos ocupa y derivado de las constancias que obran en el expediente, se advierte que </w:t>
      </w:r>
      <w:r w:rsidRPr="00060B43">
        <w:rPr>
          <w:rFonts w:ascii="Palatino Linotype" w:eastAsia="Palatino Linotype" w:hAnsi="Palatino Linotype" w:cs="Palatino Linotype"/>
          <w:b/>
          <w:bCs/>
          <w:sz w:val="22"/>
          <w:szCs w:val="22"/>
        </w:rPr>
        <w:t>NO se observaron las formalidades que establece la Ley de la materia</w:t>
      </w:r>
      <w:r w:rsidRPr="00060B43">
        <w:rPr>
          <w:rFonts w:ascii="Palatino Linotype" w:eastAsia="Palatino Linotype" w:hAnsi="Palatino Linotype" w:cs="Palatino Linotype"/>
          <w:sz w:val="22"/>
          <w:szCs w:val="22"/>
        </w:rPr>
        <w:t>, pues no se adjuntó el Acta que contiene el Acuerdo del Comité de Transparencia de dicho ente público, mediante el cual se aprobara la ampliación del plazo para dar atención a la solicitud de información.</w:t>
      </w:r>
    </w:p>
    <w:p w14:paraId="12E309C8" w14:textId="77777777" w:rsidR="00B341BD" w:rsidRPr="00060B43" w:rsidRDefault="00F138DD">
      <w:pPr>
        <w:pBdr>
          <w:top w:val="nil"/>
          <w:left w:val="nil"/>
          <w:bottom w:val="nil"/>
          <w:right w:val="nil"/>
          <w:between w:val="nil"/>
        </w:pBdr>
        <w:tabs>
          <w:tab w:val="left" w:pos="142"/>
          <w:tab w:val="left" w:pos="284"/>
        </w:tabs>
        <w:spacing w:before="240" w:after="240"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 xml:space="preserve">3. Respuesta. </w:t>
      </w:r>
      <w:r w:rsidRPr="00060B43">
        <w:rPr>
          <w:rFonts w:ascii="Palatino Linotype" w:eastAsia="Palatino Linotype" w:hAnsi="Palatino Linotype" w:cs="Palatino Linotype"/>
          <w:sz w:val="22"/>
          <w:szCs w:val="22"/>
        </w:rPr>
        <w:t xml:space="preserve">El </w:t>
      </w:r>
      <w:r w:rsidRPr="00060B43">
        <w:rPr>
          <w:rFonts w:ascii="Palatino Linotype" w:eastAsia="Palatino Linotype" w:hAnsi="Palatino Linotype" w:cs="Palatino Linotype"/>
          <w:b/>
          <w:bCs/>
          <w:sz w:val="22"/>
          <w:szCs w:val="22"/>
        </w:rPr>
        <w:t>diecisiete de agosto de dos mil veintiséis</w:t>
      </w:r>
      <w:r w:rsidRPr="00060B43">
        <w:rPr>
          <w:rFonts w:ascii="Palatino Linotype" w:eastAsia="Palatino Linotype" w:hAnsi="Palatino Linotype" w:cs="Palatino Linotype"/>
          <w:sz w:val="22"/>
          <w:szCs w:val="22"/>
        </w:rPr>
        <w:t xml:space="preserve">,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envió su respuesta a la solicitud de acceso a la información a través de SAIMEX, sustancialmente en los términos siguientes:</w:t>
      </w:r>
    </w:p>
    <w:p w14:paraId="2AFAFB53" w14:textId="77777777" w:rsidR="00B341BD" w:rsidRPr="00060B43" w:rsidRDefault="00F138DD">
      <w:pPr>
        <w:spacing w:before="240" w:after="240"/>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“SE ANEXA RESPUESTA EN FORMATO PDF, EN CASO DE PRESENTAR PROBLEMAS CON LA RECEPCIÓN DE LA MISMA, LE PEDIMOS SE COMUNIQUE A LA UNIDAD DE TRANSPARENCIA DE LA SECRETARÍA DE SEGURIDAD DEL ESTADO DE MÉXICO, AL TELÉFONO 722 2 79 62 00 EXT. 4108, DE LUNES A VIERNES, EN UN HORARIO DE 9:00 A 18:00 HRS.” (Sic)</w:t>
      </w:r>
    </w:p>
    <w:p w14:paraId="7988656F" w14:textId="77777777" w:rsidR="00B341BD" w:rsidRPr="00060B43" w:rsidRDefault="00F138D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Adjunto a la respuesta,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hizo entrega de la siguiente información:</w:t>
      </w:r>
    </w:p>
    <w:p w14:paraId="00A83BB4" w14:textId="77777777" w:rsidR="00B341BD" w:rsidRPr="00060B43" w:rsidRDefault="00B341B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51071CEA" w14:textId="77777777" w:rsidR="00B341BD" w:rsidRPr="00060B43" w:rsidRDefault="00F138DD">
      <w:pPr>
        <w:numPr>
          <w:ilvl w:val="0"/>
          <w:numId w:val="1"/>
        </w:numPr>
        <w:pBdr>
          <w:top w:val="nil"/>
          <w:left w:val="nil"/>
          <w:bottom w:val="nil"/>
          <w:right w:val="nil"/>
          <w:between w:val="nil"/>
        </w:pBdr>
        <w:spacing w:line="360" w:lineRule="auto"/>
        <w:ind w:left="426" w:right="49"/>
        <w:jc w:val="both"/>
        <w:rPr>
          <w:sz w:val="22"/>
          <w:szCs w:val="22"/>
        </w:rPr>
      </w:pPr>
      <w:r w:rsidRPr="00060B43">
        <w:rPr>
          <w:rFonts w:ascii="Palatino Linotype" w:eastAsia="Palatino Linotype" w:hAnsi="Palatino Linotype" w:cs="Palatino Linotype"/>
          <w:sz w:val="22"/>
          <w:szCs w:val="22"/>
        </w:rPr>
        <w:lastRenderedPageBreak/>
        <w:t>Oficio del 17 de agosto de 2026, a través del cual la Directora de Transparencia remitió la respuesta del Servidor Público Habilitado de la Oficialía Mayor quien informó que de conformidad con lo dispuesto por el artículo 140 fracciones I y IV de la Ley de Transparencia y Acceso a la Información Pública del Estado de México y Municipios; se encuentra imposibilitado para proporcionar lo requerido, en virtud de que mediante acuerdo SS/CT/EXT/VIl/002/2026, de fecha 03 de agosto de 2026, emitido por el Comité de Transparencia de esa Secretaría, la información se clasificó como reservada ya que su divulgación, podría comprometer la seguridad pública y pondría en riesgo la vida, seguridad o salud de una persona física.</w:t>
      </w:r>
    </w:p>
    <w:p w14:paraId="18ED2383" w14:textId="77777777" w:rsidR="00B341BD" w:rsidRPr="00060B43" w:rsidRDefault="00F138DD">
      <w:pPr>
        <w:numPr>
          <w:ilvl w:val="0"/>
          <w:numId w:val="1"/>
        </w:numPr>
        <w:pBdr>
          <w:top w:val="nil"/>
          <w:left w:val="nil"/>
          <w:bottom w:val="nil"/>
          <w:right w:val="nil"/>
          <w:between w:val="nil"/>
        </w:pBdr>
        <w:spacing w:line="360" w:lineRule="auto"/>
        <w:ind w:left="426" w:right="49"/>
        <w:jc w:val="both"/>
        <w:rPr>
          <w:sz w:val="22"/>
          <w:szCs w:val="22"/>
        </w:rPr>
      </w:pPr>
      <w:r w:rsidRPr="00060B43">
        <w:rPr>
          <w:rFonts w:ascii="Palatino Linotype" w:eastAsia="Palatino Linotype" w:hAnsi="Palatino Linotype" w:cs="Palatino Linotype"/>
          <w:sz w:val="22"/>
          <w:szCs w:val="22"/>
        </w:rPr>
        <w:t>Acta de la Séptima Sesión Extraordinaria del Comité de Transparencia, celebrada el 01 de agosto de 2026, a través de la cual bajo el punto cuatro del orden del día se llevó a cabo la clasificación como reservada la información requerida en el asunto que nos ocupa.</w:t>
      </w:r>
    </w:p>
    <w:p w14:paraId="5C782A1C" w14:textId="77777777" w:rsidR="00B341BD" w:rsidRPr="00060B43" w:rsidRDefault="00F138DD">
      <w:pPr>
        <w:numPr>
          <w:ilvl w:val="0"/>
          <w:numId w:val="1"/>
        </w:numPr>
        <w:pBdr>
          <w:top w:val="nil"/>
          <w:left w:val="nil"/>
          <w:bottom w:val="nil"/>
          <w:right w:val="nil"/>
          <w:between w:val="nil"/>
        </w:pBdr>
        <w:spacing w:line="360" w:lineRule="auto"/>
        <w:ind w:left="426" w:right="49"/>
        <w:jc w:val="both"/>
        <w:rPr>
          <w:sz w:val="22"/>
          <w:szCs w:val="22"/>
        </w:rPr>
      </w:pPr>
      <w:r w:rsidRPr="00060B43">
        <w:rPr>
          <w:rFonts w:ascii="Palatino Linotype" w:eastAsia="Palatino Linotype" w:hAnsi="Palatino Linotype" w:cs="Palatino Linotype"/>
          <w:sz w:val="22"/>
          <w:szCs w:val="22"/>
        </w:rPr>
        <w:t>Acuerdo a través se llevó a cabo la clasificación de la información requerida como reservada que contiene el desarrollo de la prueba de daño.</w:t>
      </w:r>
    </w:p>
    <w:p w14:paraId="08F465FE" w14:textId="77777777" w:rsidR="00B341BD" w:rsidRPr="00060B43" w:rsidRDefault="00F138DD">
      <w:pPr>
        <w:pBdr>
          <w:top w:val="nil"/>
          <w:left w:val="nil"/>
          <w:bottom w:val="nil"/>
          <w:right w:val="nil"/>
          <w:between w:val="nil"/>
        </w:pBdr>
        <w:tabs>
          <w:tab w:val="left" w:pos="142"/>
          <w:tab w:val="left" w:pos="284"/>
        </w:tabs>
        <w:spacing w:before="240" w:after="240" w:line="360" w:lineRule="auto"/>
        <w:jc w:val="both"/>
        <w:rPr>
          <w:rFonts w:ascii="Palatino Linotype" w:eastAsia="Palatino Linotype" w:hAnsi="Palatino Linotype" w:cs="Palatino Linotype"/>
          <w:b/>
          <w:bCs/>
          <w:sz w:val="22"/>
          <w:szCs w:val="22"/>
        </w:rPr>
      </w:pPr>
      <w:bookmarkStart w:id="4" w:name="_heading=h.3dy6vkm" w:colFirst="0" w:colLast="0"/>
      <w:bookmarkEnd w:id="4"/>
      <w:r w:rsidRPr="00060B43">
        <w:rPr>
          <w:rFonts w:ascii="Palatino Linotype" w:eastAsia="Palatino Linotype" w:hAnsi="Palatino Linotype" w:cs="Palatino Linotype"/>
          <w:b/>
          <w:bCs/>
          <w:sz w:val="22"/>
          <w:szCs w:val="22"/>
        </w:rPr>
        <w:t xml:space="preserve">3. Interposición del recurso de revisión. </w:t>
      </w:r>
      <w:r w:rsidRPr="00060B43">
        <w:rPr>
          <w:rFonts w:ascii="Palatino Linotype" w:eastAsia="Palatino Linotype" w:hAnsi="Palatino Linotype" w:cs="Palatino Linotype"/>
          <w:sz w:val="22"/>
          <w:szCs w:val="22"/>
        </w:rPr>
        <w:t xml:space="preserve">Inconforme la persona solicitante con la respuesta a su solicitud de información por parte del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el</w:t>
      </w:r>
      <w:r w:rsidRPr="00060B43">
        <w:rPr>
          <w:rFonts w:ascii="Palatino Linotype" w:eastAsia="Palatino Linotype" w:hAnsi="Palatino Linotype" w:cs="Palatino Linotype"/>
          <w:b/>
          <w:bCs/>
          <w:sz w:val="22"/>
          <w:szCs w:val="22"/>
        </w:rPr>
        <w:t xml:space="preserve"> dieciocho de agosto de dos mil veintiséis,</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la parte</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xml:space="preserve"> interpuso el recurso de revisión a través de </w:t>
      </w:r>
      <w:r w:rsidRPr="00060B43">
        <w:rPr>
          <w:rFonts w:ascii="Palatino Linotype" w:eastAsia="Palatino Linotype" w:hAnsi="Palatino Linotype" w:cs="Palatino Linotype"/>
          <w:b/>
          <w:bCs/>
          <w:sz w:val="22"/>
          <w:szCs w:val="22"/>
        </w:rPr>
        <w:t xml:space="preserve">SAIMEX; </w:t>
      </w:r>
      <w:r w:rsidRPr="00060B43">
        <w:rPr>
          <w:rFonts w:ascii="Palatino Linotype" w:eastAsia="Palatino Linotype" w:hAnsi="Palatino Linotype" w:cs="Palatino Linotype"/>
          <w:sz w:val="22"/>
          <w:szCs w:val="22"/>
        </w:rPr>
        <w:t>en donde se señaló lo siguiente:</w:t>
      </w:r>
    </w:p>
    <w:p w14:paraId="22F97161" w14:textId="77777777" w:rsidR="00B341BD" w:rsidRPr="00060B43" w:rsidRDefault="00F138DD">
      <w:pPr>
        <w:tabs>
          <w:tab w:val="left" w:pos="2745"/>
        </w:tabs>
        <w:spacing w:before="240" w:after="240" w:line="276" w:lineRule="auto"/>
        <w:ind w:left="567" w:right="900"/>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 xml:space="preserve">a) Acto impugnado: </w:t>
      </w:r>
      <w:r w:rsidRPr="00060B43">
        <w:rPr>
          <w:rFonts w:ascii="Palatino Linotype" w:eastAsia="Palatino Linotype" w:hAnsi="Palatino Linotype" w:cs="Palatino Linotype"/>
          <w:sz w:val="22"/>
          <w:szCs w:val="22"/>
        </w:rPr>
        <w:t>“</w:t>
      </w:r>
      <w:r w:rsidRPr="00060B43">
        <w:rPr>
          <w:rFonts w:ascii="Palatino Linotype" w:eastAsia="Palatino Linotype" w:hAnsi="Palatino Linotype" w:cs="Palatino Linotype"/>
          <w:i/>
          <w:iCs/>
          <w:sz w:val="22"/>
          <w:szCs w:val="22"/>
        </w:rPr>
        <w:t>respuesta a la solicitud 00156/SSEM/IP/2026</w:t>
      </w:r>
      <w:r w:rsidRPr="00060B43">
        <w:rPr>
          <w:rFonts w:ascii="Palatino Linotype" w:eastAsia="Palatino Linotype" w:hAnsi="Palatino Linotype" w:cs="Palatino Linotype"/>
          <w:b/>
          <w:bCs/>
          <w:i/>
          <w:iCs/>
          <w:sz w:val="22"/>
          <w:szCs w:val="22"/>
        </w:rPr>
        <w:t>.</w:t>
      </w:r>
      <w:r w:rsidRPr="00060B43">
        <w:rPr>
          <w:rFonts w:ascii="Palatino Linotype" w:eastAsia="Palatino Linotype" w:hAnsi="Palatino Linotype" w:cs="Palatino Linotype"/>
          <w:i/>
          <w:iCs/>
          <w:sz w:val="22"/>
          <w:szCs w:val="22"/>
        </w:rPr>
        <w:t>” (Sic)</w:t>
      </w:r>
    </w:p>
    <w:p w14:paraId="567F613E"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bookmarkStart w:id="5" w:name="_heading=h.30j0zll" w:colFirst="0" w:colLast="0"/>
      <w:bookmarkEnd w:id="5"/>
      <w:r w:rsidRPr="00060B43">
        <w:rPr>
          <w:rFonts w:ascii="Palatino Linotype" w:eastAsia="Palatino Linotype" w:hAnsi="Palatino Linotype" w:cs="Palatino Linotype"/>
          <w:b/>
          <w:bCs/>
          <w:sz w:val="22"/>
          <w:szCs w:val="22"/>
        </w:rPr>
        <w:t>b) Razones o motivos de inconformidad</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i/>
          <w:iCs/>
          <w:sz w:val="22"/>
          <w:szCs w:val="22"/>
        </w:rPr>
        <w:t>“ES CORRECTO QUE EL SUJETO OBLIGADO CLASIFIQUE TODA LA INFORMACIÓN TÉCNICA Y OPERATIVA CONTENIDA EN LAS FACTURAS SOLICITADAS, PERO ES VIOLATORIO DE LA LEY DE TRANSPARENCIA Y ACCESO A LA INFORMACIÓN PÚBLICA DEL ESTADO DE MÉXICO Y MUNICIPIOS NEGAR EL ACCESO A LOS CIUDADANOS A LA INFORMACIÓN PÚBLICA DE OFICIO QUE CONTIENEN DICHOS DOCUMENTOS, TALES COMO RAZÓN SOCIAL DEL PROVEEDOR, costos unitarios, subtotal, impuestos (IVA) y monto total pagado, ASÍ COMO LA fecha y lugar de la operación comercial. POR LO ANTERIOR, SOLICITO SE REVOQUE LA CLASIFICACIÓN TOTAL IMPUESTA DE MANERA INDEBIDA POR EL SUJETO OBLIGADO Y SE ORDENE LA ENTREGA A ESTE SOLICITANTE DE LA VERSIÓN PÚBLICA DE LA DOCUMENTACIÓN SOLICITADA.” (Sic)</w:t>
      </w:r>
    </w:p>
    <w:p w14:paraId="6FC25A8B" w14:textId="77777777" w:rsidR="00B341BD" w:rsidRPr="00060B43" w:rsidRDefault="00B341BD">
      <w:pPr>
        <w:spacing w:line="276" w:lineRule="auto"/>
        <w:ind w:left="567" w:right="900"/>
        <w:jc w:val="both"/>
        <w:rPr>
          <w:rFonts w:ascii="Palatino Linotype" w:eastAsia="Palatino Linotype" w:hAnsi="Palatino Linotype" w:cs="Palatino Linotype"/>
          <w:i/>
          <w:iCs/>
          <w:sz w:val="22"/>
          <w:szCs w:val="22"/>
        </w:rPr>
      </w:pPr>
    </w:p>
    <w:p w14:paraId="0E186A3B" w14:textId="77777777" w:rsidR="00B341BD" w:rsidRPr="00060B43" w:rsidRDefault="00F138DD">
      <w:pPr>
        <w:spacing w:line="360" w:lineRule="auto"/>
        <w:ind w:right="51"/>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4. Turno. </w:t>
      </w:r>
      <w:r w:rsidRPr="00060B43">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Pr="00060B43">
        <w:rPr>
          <w:rFonts w:ascii="Palatino Linotype" w:eastAsia="Palatino Linotype" w:hAnsi="Palatino Linotype" w:cs="Palatino Linotype"/>
          <w:b/>
          <w:bCs/>
          <w:sz w:val="22"/>
          <w:szCs w:val="22"/>
        </w:rPr>
        <w:t xml:space="preserve">Guadalupe Ramírez Peña, </w:t>
      </w:r>
      <w:r w:rsidRPr="00060B43">
        <w:rPr>
          <w:rFonts w:ascii="Palatino Linotype" w:eastAsia="Palatino Linotype" w:hAnsi="Palatino Linotype" w:cs="Palatino Linotype"/>
          <w:sz w:val="22"/>
          <w:szCs w:val="22"/>
        </w:rPr>
        <w:t>a efecto de que analizara sobre su admisión o su desechamiento.</w:t>
      </w:r>
    </w:p>
    <w:p w14:paraId="59B003EB" w14:textId="77777777" w:rsidR="00B341BD" w:rsidRPr="00060B43" w:rsidRDefault="00B341BD">
      <w:pPr>
        <w:spacing w:line="360" w:lineRule="auto"/>
        <w:ind w:right="51"/>
        <w:jc w:val="both"/>
        <w:rPr>
          <w:rFonts w:ascii="Palatino Linotype" w:eastAsia="Palatino Linotype" w:hAnsi="Palatino Linotype" w:cs="Palatino Linotype"/>
          <w:sz w:val="22"/>
          <w:szCs w:val="22"/>
        </w:rPr>
      </w:pPr>
    </w:p>
    <w:p w14:paraId="509327D6"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5. Admisión del Recurso de revisión.</w:t>
      </w:r>
      <w:r w:rsidRPr="00060B43">
        <w:rPr>
          <w:rFonts w:ascii="Palatino Linotype" w:eastAsia="Palatino Linotype" w:hAnsi="Palatino Linotype" w:cs="Palatino Linotype"/>
          <w:sz w:val="22"/>
          <w:szCs w:val="22"/>
        </w:rPr>
        <w:t xml:space="preserve"> El </w:t>
      </w:r>
      <w:r w:rsidRPr="00060B43">
        <w:rPr>
          <w:rFonts w:ascii="Palatino Linotype" w:eastAsia="Palatino Linotype" w:hAnsi="Palatino Linotype" w:cs="Palatino Linotype"/>
          <w:b/>
          <w:bCs/>
          <w:sz w:val="22"/>
          <w:szCs w:val="22"/>
        </w:rPr>
        <w:t xml:space="preserve">veinticuatro de agosto de dos mil veintiséis, </w:t>
      </w:r>
      <w:r w:rsidRPr="00060B43">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presentara su informe justificado.</w:t>
      </w:r>
    </w:p>
    <w:p w14:paraId="386C11F0"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24F8EBD2" w14:textId="77777777" w:rsidR="00B341BD" w:rsidRPr="00060B43" w:rsidRDefault="00F138DD">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b/>
          <w:bCs/>
          <w:sz w:val="22"/>
          <w:szCs w:val="22"/>
        </w:rPr>
      </w:pPr>
      <w:bookmarkStart w:id="6" w:name="_heading=h.2s8eyo1" w:colFirst="0" w:colLast="0"/>
      <w:bookmarkEnd w:id="6"/>
      <w:r w:rsidRPr="00060B43">
        <w:rPr>
          <w:rFonts w:ascii="Palatino Linotype" w:eastAsia="Palatino Linotype" w:hAnsi="Palatino Linotype" w:cs="Palatino Linotype"/>
          <w:b/>
          <w:bCs/>
          <w:sz w:val="22"/>
          <w:szCs w:val="22"/>
        </w:rPr>
        <w:t>6. Manifestaciones</w:t>
      </w:r>
      <w:r w:rsidRPr="00060B43">
        <w:rPr>
          <w:rFonts w:ascii="Palatino Linotype" w:eastAsia="Palatino Linotype" w:hAnsi="Palatino Linotype" w:cs="Palatino Linotype"/>
          <w:sz w:val="22"/>
          <w:szCs w:val="22"/>
        </w:rPr>
        <w:t xml:space="preserve">. De las constancias que integran el expediente en que se actúa, se advierte que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 xml:space="preserve">en fecha </w:t>
      </w:r>
      <w:r w:rsidRPr="00060B43">
        <w:rPr>
          <w:rFonts w:ascii="Palatino Linotype" w:eastAsia="Palatino Linotype" w:hAnsi="Palatino Linotype" w:cs="Palatino Linotype"/>
          <w:b/>
          <w:bCs/>
          <w:sz w:val="22"/>
          <w:szCs w:val="22"/>
        </w:rPr>
        <w:t>dos de septiembre de dos mil veintiséis</w:t>
      </w:r>
      <w:r w:rsidRPr="00060B43">
        <w:rPr>
          <w:rFonts w:ascii="Palatino Linotype" w:eastAsia="Palatino Linotype" w:hAnsi="Palatino Linotype" w:cs="Palatino Linotype"/>
          <w:sz w:val="22"/>
          <w:szCs w:val="22"/>
        </w:rPr>
        <w:t xml:space="preserve"> rindió informe justificado a través del cual en lo medular ratificó su respuesta inicial.</w:t>
      </w:r>
    </w:p>
    <w:p w14:paraId="7C7BA3A3" w14:textId="77777777" w:rsidR="00B341BD" w:rsidRPr="00060B43" w:rsidRDefault="00B341BD">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p>
    <w:p w14:paraId="2E41A7F1" w14:textId="77777777" w:rsidR="00B341BD" w:rsidRPr="00060B43" w:rsidRDefault="00F138DD">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Documento que se puso a la vista de la parte </w:t>
      </w:r>
      <w:r w:rsidRPr="00060B43">
        <w:rPr>
          <w:rFonts w:ascii="Palatino Linotype" w:eastAsia="Palatino Linotype" w:hAnsi="Palatino Linotype" w:cs="Palatino Linotype"/>
          <w:b/>
          <w:bCs/>
          <w:sz w:val="22"/>
          <w:szCs w:val="22"/>
        </w:rPr>
        <w:t xml:space="preserve">Recurrente, </w:t>
      </w:r>
      <w:r w:rsidRPr="00060B43">
        <w:rPr>
          <w:rFonts w:ascii="Palatino Linotype" w:eastAsia="Palatino Linotype" w:hAnsi="Palatino Linotype" w:cs="Palatino Linotype"/>
          <w:sz w:val="22"/>
          <w:szCs w:val="22"/>
        </w:rPr>
        <w:t>a fin de que hiciera valer manifestaciones o rindiera alegatos que conforme a derecho resultaran procedentes, no obstante fue omisa en ejercer dicha prerrogativa.</w:t>
      </w:r>
    </w:p>
    <w:p w14:paraId="27D4889E" w14:textId="77777777" w:rsidR="00B341BD" w:rsidRPr="00060B43" w:rsidRDefault="00F138DD">
      <w:pPr>
        <w:spacing w:before="240" w:after="240"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 xml:space="preserve">7. Returno. </w:t>
      </w:r>
      <w:r w:rsidRPr="00060B43">
        <w:rPr>
          <w:rFonts w:ascii="Palatino Linotype" w:eastAsia="Palatino Linotype" w:hAnsi="Palatino Linotype" w:cs="Palatino Linotype"/>
          <w:sz w:val="22"/>
          <w:szCs w:val="22"/>
        </w:rPr>
        <w:t>Mediante acuerdo del diecinueve de agosto de dos mil veintiséis el Pleno de este Organismo Garante, aprobó returnar el recurso de revisión a la Comisionada Guadalupe Ramírez Peña, a efecto de que formulara y presentara el proyecto de resolución correspondiente.</w:t>
      </w:r>
    </w:p>
    <w:p w14:paraId="1F89D47E" w14:textId="615A0CF6" w:rsidR="00B341BD" w:rsidRPr="00060B43" w:rsidRDefault="00F138DD">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8. Cierre de instrucción. </w:t>
      </w:r>
      <w:r w:rsidRPr="00060B43">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Pr="00060B43">
        <w:rPr>
          <w:rFonts w:ascii="Palatino Linotype" w:eastAsia="Palatino Linotype" w:hAnsi="Palatino Linotype" w:cs="Palatino Linotype"/>
          <w:b/>
          <w:bCs/>
          <w:sz w:val="22"/>
          <w:szCs w:val="22"/>
        </w:rPr>
        <w:t>veintitrés de septiembre de dos mil veintiséis,</w:t>
      </w:r>
      <w:r w:rsidRPr="00060B43">
        <w:rPr>
          <w:rFonts w:ascii="Palatino Linotype" w:eastAsia="Palatino Linotype" w:hAnsi="Palatino Linotype" w:cs="Palatino Linotype"/>
          <w:sz w:val="22"/>
          <w:szCs w:val="22"/>
        </w:rPr>
        <w:t xml:space="preserve"> la Comisionada Ponente determinó el cierre de instrucción en términos de la fracción VI del artículo 185 de la Ley de Transparencia y Acceso a la Información Pública del Estado de México y Municipios</w:t>
      </w:r>
      <w:r w:rsidR="00CD298B" w:rsidRPr="00060B43">
        <w:rPr>
          <w:rFonts w:ascii="Palatino Linotype" w:eastAsia="Palatino Linotype" w:hAnsi="Palatino Linotype" w:cs="Palatino Linotype"/>
          <w:sz w:val="22"/>
          <w:szCs w:val="22"/>
        </w:rPr>
        <w:t xml:space="preserve">, mediante acuerdo notificado el veinticuatro de septiembre de dos mil veintiséis. </w:t>
      </w:r>
    </w:p>
    <w:p w14:paraId="05A99701" w14:textId="77777777" w:rsidR="00B341BD" w:rsidRPr="00060B43" w:rsidRDefault="00B341BD">
      <w:pPr>
        <w:pBdr>
          <w:top w:val="nil"/>
          <w:left w:val="nil"/>
          <w:bottom w:val="nil"/>
          <w:right w:val="nil"/>
          <w:between w:val="nil"/>
        </w:pBdr>
        <w:tabs>
          <w:tab w:val="left" w:pos="360"/>
        </w:tabs>
        <w:spacing w:line="360" w:lineRule="auto"/>
        <w:ind w:right="49"/>
        <w:jc w:val="both"/>
        <w:rPr>
          <w:rFonts w:ascii="Palatino Linotype" w:eastAsia="Palatino Linotype" w:hAnsi="Palatino Linotype" w:cs="Palatino Linotype"/>
          <w:sz w:val="22"/>
          <w:szCs w:val="22"/>
        </w:rPr>
      </w:pPr>
    </w:p>
    <w:p w14:paraId="5612C1CD" w14:textId="77777777" w:rsidR="00B341BD" w:rsidRPr="00060B43" w:rsidRDefault="00F138DD">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8A1B768" w14:textId="77777777" w:rsidR="00B341BD" w:rsidRPr="00060B43" w:rsidRDefault="00F138DD">
      <w:pPr>
        <w:widowControl w:val="0"/>
        <w:spacing w:before="240" w:after="240" w:line="360" w:lineRule="auto"/>
        <w:jc w:val="center"/>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II. C O N S I D E R A N D O S</w:t>
      </w:r>
    </w:p>
    <w:p w14:paraId="5F05D3C4"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Primero. Competencia.</w:t>
      </w:r>
      <w:r w:rsidRPr="00060B43">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7D99EEE0"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156DFE10" w14:textId="77777777" w:rsidR="00B341BD" w:rsidRPr="00060B43" w:rsidRDefault="00F138DD">
      <w:pPr>
        <w:spacing w:line="360" w:lineRule="auto"/>
        <w:jc w:val="both"/>
        <w:rPr>
          <w:rFonts w:ascii="Palatino Linotype" w:eastAsia="Palatino Linotype" w:hAnsi="Palatino Linotype" w:cs="Palatino Linotype"/>
          <w:sz w:val="22"/>
          <w:szCs w:val="22"/>
        </w:rPr>
      </w:pPr>
      <w:bookmarkStart w:id="7" w:name="_heading=h.tyjcwt" w:colFirst="0" w:colLast="0"/>
      <w:bookmarkEnd w:id="7"/>
      <w:r w:rsidRPr="00060B43">
        <w:rPr>
          <w:rFonts w:ascii="Palatino Linotype" w:eastAsia="Palatino Linotype" w:hAnsi="Palatino Linotype" w:cs="Palatino Linotype"/>
          <w:b/>
          <w:bCs/>
          <w:sz w:val="22"/>
          <w:szCs w:val="22"/>
        </w:rPr>
        <w:t>Segundo. Oportunidad y Procedibilidad del Recurso de Revisión</w:t>
      </w:r>
      <w:r w:rsidRPr="00060B43">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37B87ADD"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3B4E3BF7"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remitió la respuesta a la solicitud de información el</w:t>
      </w:r>
      <w:r w:rsidRPr="00060B43">
        <w:t xml:space="preserve"> </w:t>
      </w:r>
      <w:r w:rsidRPr="00060B43">
        <w:rPr>
          <w:rFonts w:ascii="Palatino Linotype" w:eastAsia="Palatino Linotype" w:hAnsi="Palatino Linotype" w:cs="Palatino Linotype"/>
          <w:b/>
          <w:bCs/>
          <w:sz w:val="22"/>
          <w:szCs w:val="22"/>
        </w:rPr>
        <w:t xml:space="preserve">diecisiete de agosto de dos mil veintiséis, </w:t>
      </w:r>
      <w:r w:rsidRPr="00060B43">
        <w:rPr>
          <w:rFonts w:ascii="Palatino Linotype" w:eastAsia="Palatino Linotype" w:hAnsi="Palatino Linotype" w:cs="Palatino Linotype"/>
          <w:sz w:val="22"/>
          <w:szCs w:val="22"/>
        </w:rPr>
        <w:t xml:space="preserve">mientras que el recurso de revisión interpuesto por </w:t>
      </w:r>
      <w:r w:rsidRPr="00060B43">
        <w:rPr>
          <w:rFonts w:ascii="Palatino Linotype" w:eastAsia="Palatino Linotype" w:hAnsi="Palatino Linotype" w:cs="Palatino Linotype"/>
          <w:b/>
          <w:bCs/>
          <w:sz w:val="22"/>
          <w:szCs w:val="22"/>
        </w:rPr>
        <w:t>la parte</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xml:space="preserve">, se tuvo por presentado el </w:t>
      </w:r>
      <w:r w:rsidRPr="00060B43">
        <w:rPr>
          <w:rFonts w:ascii="Palatino Linotype" w:eastAsia="Palatino Linotype" w:hAnsi="Palatino Linotype" w:cs="Palatino Linotype"/>
          <w:b/>
          <w:bCs/>
          <w:sz w:val="22"/>
          <w:szCs w:val="22"/>
        </w:rPr>
        <w:t>dieciocho de agosto de dos mil veintiséis</w:t>
      </w:r>
      <w:r w:rsidRPr="00060B43">
        <w:rPr>
          <w:rFonts w:ascii="Palatino Linotype" w:eastAsia="Palatino Linotype" w:hAnsi="Palatino Linotype" w:cs="Palatino Linotype"/>
          <w:sz w:val="22"/>
          <w:szCs w:val="22"/>
        </w:rPr>
        <w:t xml:space="preserve"> esto es, el </w:t>
      </w:r>
      <w:r w:rsidRPr="00060B43">
        <w:rPr>
          <w:rFonts w:ascii="Palatino Linotype" w:eastAsia="Palatino Linotype" w:hAnsi="Palatino Linotype" w:cs="Palatino Linotype"/>
          <w:b/>
          <w:bCs/>
          <w:sz w:val="22"/>
          <w:szCs w:val="22"/>
          <w:u w:val="single"/>
        </w:rPr>
        <w:t>primer</w:t>
      </w:r>
      <w:r w:rsidRPr="00060B43">
        <w:rPr>
          <w:rFonts w:ascii="Palatino Linotype" w:eastAsia="Palatino Linotype" w:hAnsi="Palatino Linotype" w:cs="Palatino Linotype"/>
          <w:sz w:val="22"/>
          <w:szCs w:val="22"/>
        </w:rPr>
        <w:t xml:space="preserve"> día hábil siguiente a aquel </w:t>
      </w:r>
      <w:r w:rsidRPr="00060B43">
        <w:rPr>
          <w:rFonts w:ascii="Palatino Linotype" w:eastAsia="Palatino Linotype" w:hAnsi="Palatino Linotype" w:cs="Palatino Linotype"/>
          <w:b/>
          <w:bCs/>
          <w:sz w:val="22"/>
          <w:szCs w:val="22"/>
        </w:rPr>
        <w:t>en que se tuvo conocimiento de la respuesta impugnada</w:t>
      </w:r>
      <w:r w:rsidRPr="00060B43">
        <w:rPr>
          <w:rFonts w:ascii="Palatino Linotype" w:eastAsia="Palatino Linotype" w:hAnsi="Palatino Linotype" w:cs="Palatino Linotype"/>
          <w:sz w:val="22"/>
          <w:szCs w:val="22"/>
        </w:rPr>
        <w:t xml:space="preserve">. </w:t>
      </w:r>
    </w:p>
    <w:p w14:paraId="435F37BD"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36EA32AA"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 este sentido, se concluye que el presente recurso de revisión se encuentra dentro de los márgenes temporales previstos en las disposiciones legales referidas.</w:t>
      </w:r>
    </w:p>
    <w:p w14:paraId="51A677E7"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7A52B214" w14:textId="77777777" w:rsidR="00B341BD" w:rsidRPr="00060B43" w:rsidRDefault="00F138DD">
      <w:pPr>
        <w:tabs>
          <w:tab w:val="left" w:pos="7938"/>
        </w:tabs>
        <w:spacing w:line="360" w:lineRule="auto"/>
        <w:jc w:val="both"/>
        <w:rPr>
          <w:rFonts w:ascii="Palatino Linotype" w:eastAsia="Palatino Linotype" w:hAnsi="Palatino Linotype" w:cs="Palatino Linotype"/>
          <w:sz w:val="22"/>
          <w:szCs w:val="22"/>
        </w:rPr>
      </w:pPr>
      <w:bookmarkStart w:id="8" w:name="_heading=h.3znysh7" w:colFirst="0" w:colLast="0"/>
      <w:bookmarkEnd w:id="8"/>
      <w:r w:rsidRPr="00060B43">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5186AF50" w14:textId="77777777" w:rsidR="00B341BD" w:rsidRPr="00060B43" w:rsidRDefault="00B341BD">
      <w:pPr>
        <w:tabs>
          <w:tab w:val="left" w:pos="7938"/>
        </w:tabs>
        <w:spacing w:line="360" w:lineRule="auto"/>
        <w:jc w:val="both"/>
        <w:rPr>
          <w:rFonts w:ascii="Palatino Linotype" w:eastAsia="Palatino Linotype" w:hAnsi="Palatino Linotype" w:cs="Palatino Linotype"/>
          <w:sz w:val="22"/>
          <w:szCs w:val="22"/>
        </w:rPr>
      </w:pPr>
    </w:p>
    <w:p w14:paraId="37006841"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Finalmente, se advierte que resulta procedente la interposición del recurso, según lo manifestado por </w:t>
      </w:r>
      <w:r w:rsidRPr="00060B43">
        <w:rPr>
          <w:rFonts w:ascii="Palatino Linotype" w:eastAsia="Palatino Linotype" w:hAnsi="Palatino Linotype" w:cs="Palatino Linotype"/>
          <w:b/>
          <w:bCs/>
          <w:sz w:val="22"/>
          <w:szCs w:val="22"/>
        </w:rPr>
        <w:t>la parte</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xml:space="preserve"> en sus motivos de inconformidad, de acuerdo al artículo 179, fracción II del ordenamiento legal citado, que a la letra dice: </w:t>
      </w:r>
    </w:p>
    <w:p w14:paraId="25AC5770"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5FA324A6"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Artículo 179.</w:t>
      </w:r>
      <w:r w:rsidRPr="00060B43">
        <w:rPr>
          <w:rFonts w:ascii="Palatino Linotype" w:eastAsia="Palatino Linotype" w:hAnsi="Palatino Linotype" w:cs="Palatino Linotype"/>
          <w:i/>
          <w:iCs/>
          <w:sz w:val="22"/>
          <w:szCs w:val="22"/>
        </w:rPr>
        <w:t xml:space="preserve"> El recurso de revisión es un medio de protección que la Ley otorga a los particulares, para hacer valer su derecho de acceso a la información pública, y procederá en contra de las siguientes causas:</w:t>
      </w:r>
    </w:p>
    <w:p w14:paraId="10C1E0A7"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78D4332B" w14:textId="77777777" w:rsidR="00B341BD" w:rsidRPr="00060B43" w:rsidRDefault="00F138DD">
      <w:pPr>
        <w:ind w:left="567" w:right="902"/>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II. La clasificación de la información;</w:t>
      </w:r>
    </w:p>
    <w:p w14:paraId="7FBBE3EA"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66238C67" w14:textId="77777777" w:rsidR="00B341BD" w:rsidRPr="00060B43" w:rsidRDefault="00B341BD">
      <w:pPr>
        <w:ind w:left="567"/>
        <w:rPr>
          <w:rFonts w:ascii="Palatino Linotype" w:eastAsia="Palatino Linotype" w:hAnsi="Palatino Linotype" w:cs="Palatino Linotype"/>
          <w:b/>
          <w:bCs/>
          <w:i/>
          <w:iCs/>
          <w:sz w:val="22"/>
          <w:szCs w:val="22"/>
        </w:rPr>
      </w:pPr>
    </w:p>
    <w:p w14:paraId="7CCE4A1E" w14:textId="77777777" w:rsidR="00B341BD" w:rsidRPr="00060B43" w:rsidRDefault="00F138DD">
      <w:pPr>
        <w:ind w:left="567" w:right="900"/>
        <w:jc w:val="right"/>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 </w:t>
      </w:r>
      <w:r w:rsidRPr="00060B43">
        <w:rPr>
          <w:rFonts w:ascii="Palatino Linotype" w:eastAsia="Palatino Linotype" w:hAnsi="Palatino Linotype" w:cs="Palatino Linotype"/>
          <w:i/>
          <w:iCs/>
          <w:sz w:val="22"/>
          <w:szCs w:val="22"/>
        </w:rPr>
        <w:t>(Énfasis añadido)</w:t>
      </w:r>
    </w:p>
    <w:p w14:paraId="10FE6706" w14:textId="77777777" w:rsidR="00B341BD" w:rsidRPr="00060B43" w:rsidRDefault="00B341BD">
      <w:pPr>
        <w:ind w:left="567" w:right="900"/>
        <w:jc w:val="right"/>
        <w:rPr>
          <w:rFonts w:ascii="Palatino Linotype" w:eastAsia="Palatino Linotype" w:hAnsi="Palatino Linotype" w:cs="Palatino Linotype"/>
          <w:b/>
          <w:bCs/>
          <w:i/>
          <w:iCs/>
          <w:sz w:val="22"/>
          <w:szCs w:val="22"/>
        </w:rPr>
      </w:pPr>
    </w:p>
    <w:p w14:paraId="0AC30A0E" w14:textId="77777777" w:rsidR="00B341BD" w:rsidRPr="00060B43" w:rsidRDefault="00F138DD">
      <w:pPr>
        <w:spacing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b/>
          <w:bCs/>
          <w:sz w:val="22"/>
          <w:szCs w:val="22"/>
        </w:rPr>
        <w:t xml:space="preserve">Tercero. Materia de la revisión. </w:t>
      </w:r>
      <w:r w:rsidRPr="00060B43">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060B43">
        <w:rPr>
          <w:rFonts w:ascii="Palatino Linotype" w:eastAsia="Palatino Linotype" w:hAnsi="Palatino Linotype" w:cs="Palatino Linotype"/>
          <w:b/>
          <w:bCs/>
          <w:sz w:val="22"/>
          <w:szCs w:val="22"/>
        </w:rPr>
        <w:t>verificar si la información otorgada por el Sujeto Obligado es adecuada y suficiente para satisfacer el derecho de acceso a la información pública de la parte Recurrente,</w:t>
      </w:r>
      <w:r w:rsidRPr="00060B43">
        <w:rPr>
          <w:rFonts w:ascii="Palatino Linotype" w:eastAsia="Palatino Linotype" w:hAnsi="Palatino Linotype" w:cs="Palatino Linotype"/>
          <w:sz w:val="22"/>
          <w:szCs w:val="22"/>
        </w:rPr>
        <w:t xml:space="preserve"> o en su defecto, en caso de ser procedente, ordenar la entrega de la información oportuna.</w:t>
      </w:r>
    </w:p>
    <w:p w14:paraId="77656963"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88904E9"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Cuarto. Estudio del asunto. </w:t>
      </w:r>
      <w:r w:rsidRPr="00060B43">
        <w:rPr>
          <w:rFonts w:ascii="Palatino Linotype" w:eastAsia="Palatino Linotype" w:hAnsi="Palatino Linotype" w:cs="Palatino Linotype"/>
          <w:sz w:val="22"/>
          <w:szCs w:val="22"/>
        </w:rPr>
        <w:t xml:space="preserve">Antes de entrar al análisis de los pronunciamientos del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en la respuesta proporcionada, es necesario mencionar que cualquier persona tiene el derecho al acceso de la información pública, información que consiste en aquella que sea generada, obtenida, adquirida, transformada, administrada o en posesión de los Sujetos Obligados, como así también lo señala la Ley de Transparencia y Acceso a la Información Pública del Estado de México y Municipios en su artículo 4,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0B8E218F"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66AA264A"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Artículo 4</w:t>
      </w:r>
      <w:r w:rsidRPr="00060B43">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288BDFB1" w14:textId="77777777" w:rsidR="00B341BD" w:rsidRPr="00060B43" w:rsidRDefault="00B341BD">
      <w:pPr>
        <w:spacing w:line="276" w:lineRule="auto"/>
        <w:ind w:left="567" w:right="616"/>
        <w:jc w:val="both"/>
        <w:rPr>
          <w:rFonts w:ascii="Palatino Linotype" w:eastAsia="Palatino Linotype" w:hAnsi="Palatino Linotype" w:cs="Palatino Linotype"/>
          <w:i/>
          <w:iCs/>
          <w:sz w:val="22"/>
          <w:szCs w:val="22"/>
        </w:rPr>
      </w:pPr>
    </w:p>
    <w:p w14:paraId="191157FA"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060B43">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4968E105" w14:textId="77777777" w:rsidR="00B341BD" w:rsidRPr="00060B43" w:rsidRDefault="00B341BD">
      <w:pPr>
        <w:spacing w:line="276" w:lineRule="auto"/>
        <w:ind w:left="567" w:right="616"/>
        <w:jc w:val="both"/>
        <w:rPr>
          <w:rFonts w:ascii="Palatino Linotype" w:eastAsia="Palatino Linotype" w:hAnsi="Palatino Linotype" w:cs="Palatino Linotype"/>
          <w:i/>
          <w:iCs/>
          <w:sz w:val="22"/>
          <w:szCs w:val="22"/>
        </w:rPr>
      </w:pPr>
    </w:p>
    <w:p w14:paraId="578D566E"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060B43">
        <w:rPr>
          <w:rFonts w:ascii="Palatino Linotype" w:eastAsia="Palatino Linotype" w:hAnsi="Palatino Linotype" w:cs="Palatino Linotype"/>
          <w:i/>
          <w:iCs/>
          <w:sz w:val="22"/>
          <w:szCs w:val="22"/>
        </w:rPr>
        <w:t>.”</w:t>
      </w:r>
    </w:p>
    <w:p w14:paraId="64399D17"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114C611C"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3A363C46"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4DB31FBF"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“Artículo 12.-</w:t>
      </w:r>
      <w:r w:rsidRPr="00060B43">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6BD5C5D0" w14:textId="77777777" w:rsidR="00B341BD" w:rsidRPr="00060B43" w:rsidRDefault="00B341BD">
      <w:pPr>
        <w:spacing w:line="276" w:lineRule="auto"/>
        <w:ind w:left="567" w:right="616"/>
        <w:jc w:val="both"/>
        <w:rPr>
          <w:rFonts w:ascii="Palatino Linotype" w:eastAsia="Palatino Linotype" w:hAnsi="Palatino Linotype" w:cs="Palatino Linotype"/>
          <w:i/>
          <w:iCs/>
          <w:sz w:val="22"/>
          <w:szCs w:val="22"/>
        </w:rPr>
      </w:pPr>
    </w:p>
    <w:p w14:paraId="0312BE31" w14:textId="77777777" w:rsidR="00B341BD" w:rsidRPr="00060B43" w:rsidRDefault="00F138DD">
      <w:pPr>
        <w:spacing w:line="276" w:lineRule="auto"/>
        <w:ind w:left="567" w:right="616"/>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rPr>
        <w:t xml:space="preserve">La obligación de proporcionar información no comprende el procesamiento de la misma, ni el presentarla conforme al interés del solicitante; no estarán obligados a generarla, resumirla, efectuar cálculos o practicar investigaciones”. </w:t>
      </w:r>
    </w:p>
    <w:p w14:paraId="01171A92" w14:textId="77777777" w:rsidR="00B341BD" w:rsidRPr="00060B43" w:rsidRDefault="00B341BD">
      <w:pPr>
        <w:spacing w:line="360" w:lineRule="auto"/>
        <w:ind w:left="567" w:right="616"/>
        <w:jc w:val="both"/>
        <w:rPr>
          <w:rFonts w:ascii="Palatino Linotype" w:eastAsia="Palatino Linotype" w:hAnsi="Palatino Linotype" w:cs="Palatino Linotype"/>
          <w:i/>
          <w:iCs/>
          <w:sz w:val="22"/>
          <w:szCs w:val="22"/>
        </w:rPr>
      </w:pPr>
    </w:p>
    <w:p w14:paraId="6E63126E" w14:textId="77777777" w:rsidR="00B341BD" w:rsidRPr="00060B43" w:rsidRDefault="00F138DD">
      <w:pPr>
        <w:spacing w:line="360" w:lineRule="auto"/>
        <w:ind w:right="-93"/>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69C6EA0F" w14:textId="77777777" w:rsidR="00B341BD" w:rsidRPr="00060B43" w:rsidRDefault="00B341BD">
      <w:pPr>
        <w:spacing w:line="360" w:lineRule="auto"/>
        <w:ind w:right="-93"/>
        <w:jc w:val="both"/>
        <w:rPr>
          <w:rFonts w:ascii="Palatino Linotype" w:eastAsia="Palatino Linotype" w:hAnsi="Palatino Linotype" w:cs="Palatino Linotype"/>
          <w:sz w:val="22"/>
          <w:szCs w:val="22"/>
        </w:rPr>
      </w:pPr>
    </w:p>
    <w:p w14:paraId="0F0E2209" w14:textId="77777777" w:rsidR="00B341BD" w:rsidRPr="00060B43" w:rsidRDefault="00F138DD">
      <w:pPr>
        <w:spacing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sz w:val="22"/>
          <w:szCs w:val="22"/>
        </w:rPr>
        <w:t>Sirve de apoyo a lo anterior, el criterio orientador 03-17, expuesto por el entonces Instituto Nacional de Transparencia, Acceso a la Información y Protección de Datos Personales, que dice:</w:t>
      </w:r>
      <w:r w:rsidRPr="00060B43">
        <w:rPr>
          <w:rFonts w:ascii="Palatino Linotype" w:eastAsia="Palatino Linotype" w:hAnsi="Palatino Linotype" w:cs="Palatino Linotype"/>
          <w:b/>
          <w:bCs/>
          <w:sz w:val="22"/>
          <w:szCs w:val="22"/>
        </w:rPr>
        <w:t xml:space="preserve"> </w:t>
      </w:r>
    </w:p>
    <w:p w14:paraId="2C3C6BEB"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060B43">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2504D623" w14:textId="77777777" w:rsidR="00B341BD" w:rsidRPr="00060B43" w:rsidRDefault="00B341BD">
      <w:pPr>
        <w:spacing w:line="360" w:lineRule="auto"/>
        <w:ind w:right="-93"/>
        <w:jc w:val="both"/>
        <w:rPr>
          <w:rFonts w:ascii="Palatino Linotype" w:eastAsia="Palatino Linotype" w:hAnsi="Palatino Linotype" w:cs="Palatino Linotype"/>
          <w:sz w:val="22"/>
          <w:szCs w:val="22"/>
        </w:rPr>
      </w:pPr>
    </w:p>
    <w:p w14:paraId="4597C64B"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A9F1352"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73B51617"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051D6061" w14:textId="77777777" w:rsidR="00B341BD" w:rsidRPr="00060B43" w:rsidRDefault="00B341BD">
      <w:pPr>
        <w:spacing w:line="360" w:lineRule="auto"/>
        <w:ind w:right="49"/>
        <w:jc w:val="both"/>
        <w:rPr>
          <w:rFonts w:ascii="Palatino Linotype" w:eastAsia="Palatino Linotype" w:hAnsi="Palatino Linotype" w:cs="Palatino Linotype"/>
          <w:sz w:val="22"/>
          <w:szCs w:val="22"/>
        </w:rPr>
      </w:pPr>
    </w:p>
    <w:p w14:paraId="53070BA1"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05607A3" w14:textId="77777777" w:rsidR="00B341BD" w:rsidRPr="00060B43" w:rsidRDefault="00B341BD">
      <w:pPr>
        <w:spacing w:line="360" w:lineRule="auto"/>
        <w:ind w:left="851" w:right="899"/>
        <w:jc w:val="both"/>
        <w:rPr>
          <w:rFonts w:ascii="Palatino Linotype" w:eastAsia="Palatino Linotype" w:hAnsi="Palatino Linotype" w:cs="Palatino Linotype"/>
          <w:i/>
          <w:iCs/>
          <w:sz w:val="22"/>
          <w:szCs w:val="22"/>
        </w:rPr>
      </w:pPr>
    </w:p>
    <w:p w14:paraId="0F6FE47D"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 xml:space="preserve">Artículo 3. </w:t>
      </w:r>
      <w:r w:rsidRPr="00060B43">
        <w:rPr>
          <w:rFonts w:ascii="Palatino Linotype" w:eastAsia="Palatino Linotype" w:hAnsi="Palatino Linotype" w:cs="Palatino Linotype"/>
          <w:i/>
          <w:iCs/>
          <w:sz w:val="22"/>
          <w:szCs w:val="22"/>
        </w:rPr>
        <w:t>Para los efectos de la presente Ley se entenderá por:</w:t>
      </w:r>
    </w:p>
    <w:p w14:paraId="529D54F1"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78D090F7"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XI. Documento:</w:t>
      </w:r>
      <w:r w:rsidRPr="00060B43">
        <w:rPr>
          <w:rFonts w:ascii="Palatino Linotype" w:eastAsia="Palatino Linotype" w:hAnsi="Palatino Linotype" w:cs="Palatino Linotype"/>
          <w:i/>
          <w:iCs/>
          <w:sz w:val="22"/>
          <w:szCs w:val="22"/>
        </w:rPr>
        <w:t xml:space="preserve"> Los expedientes, reportes, estudios, actas</w:t>
      </w:r>
      <w:r w:rsidRPr="00060B43">
        <w:rPr>
          <w:rFonts w:ascii="Palatino Linotype" w:eastAsia="Palatino Linotype" w:hAnsi="Palatino Linotype" w:cs="Palatino Linotype"/>
          <w:b/>
          <w:bCs/>
          <w:i/>
          <w:iCs/>
          <w:sz w:val="22"/>
          <w:szCs w:val="22"/>
        </w:rPr>
        <w:t>,</w:t>
      </w:r>
      <w:r w:rsidRPr="00060B43">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45657C0" w14:textId="77777777" w:rsidR="00B341BD" w:rsidRPr="00060B43" w:rsidRDefault="00B341BD">
      <w:pPr>
        <w:spacing w:line="360" w:lineRule="auto"/>
        <w:ind w:left="851" w:right="899"/>
        <w:jc w:val="both"/>
        <w:rPr>
          <w:rFonts w:ascii="Palatino Linotype" w:eastAsia="Palatino Linotype" w:hAnsi="Palatino Linotype" w:cs="Palatino Linotype"/>
          <w:sz w:val="22"/>
          <w:szCs w:val="22"/>
        </w:rPr>
      </w:pPr>
    </w:p>
    <w:p w14:paraId="2F71630D"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BF1BEC5"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74304542" w14:textId="77777777" w:rsidR="00B341BD" w:rsidRPr="00060B43" w:rsidRDefault="00F138DD">
      <w:pPr>
        <w:spacing w:line="276" w:lineRule="auto"/>
        <w:ind w:left="567" w:right="616"/>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sz w:val="22"/>
          <w:szCs w:val="22"/>
        </w:rPr>
        <w:t>“</w:t>
      </w:r>
      <w:r w:rsidRPr="00060B43">
        <w:rPr>
          <w:rFonts w:ascii="Palatino Linotype" w:eastAsia="Palatino Linotype" w:hAnsi="Palatino Linotype" w:cs="Palatino Linotype"/>
          <w:b/>
          <w:bCs/>
          <w:i/>
          <w:iCs/>
          <w:sz w:val="22"/>
          <w:szCs w:val="22"/>
        </w:rPr>
        <w:t>CRITERIO 0002-11. INFORMACIÓN PÚBLICA, CONCEPTO DE, EN MATERIA DE TRANSPARENCIA. INTERPRETACIÓN SISTEMÁTICA DE LOS ARTÍCULOS 2°, FRACCIÓN V, XV, Y XVI, 3°, 4°, 11 Y 41.</w:t>
      </w:r>
      <w:r w:rsidRPr="00060B43">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ADDEFEE"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2F4A8083"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5830EF97" w14:textId="77777777" w:rsidR="00B341BD" w:rsidRPr="00060B43" w:rsidRDefault="00F138DD">
      <w:pPr>
        <w:spacing w:line="276" w:lineRule="auto"/>
        <w:ind w:left="567" w:right="616"/>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2) Que se trate de información registrada en cualquier soporte documental, que en ejercicio de las atribuciones conferidas, sea administrada por los Sujetos Obligados, y</w:t>
      </w:r>
    </w:p>
    <w:p w14:paraId="68645110" w14:textId="77777777" w:rsidR="00B341BD" w:rsidRPr="00060B43" w:rsidRDefault="00F138DD">
      <w:pPr>
        <w:spacing w:line="276" w:lineRule="auto"/>
        <w:ind w:left="567" w:right="616"/>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3) Que se trate de información registrada en cualquier soporte documental, que en ejercicio de las atribuciones conferidas, se encuentre en posesión de los Sujetos Obligados.” </w:t>
      </w:r>
    </w:p>
    <w:p w14:paraId="6B86D184" w14:textId="77777777" w:rsidR="00B341BD" w:rsidRPr="00060B43" w:rsidRDefault="00B341BD">
      <w:pPr>
        <w:spacing w:line="276" w:lineRule="auto"/>
        <w:ind w:left="567" w:right="616"/>
        <w:jc w:val="both"/>
        <w:rPr>
          <w:rFonts w:ascii="Palatino Linotype" w:eastAsia="Palatino Linotype" w:hAnsi="Palatino Linotype" w:cs="Palatino Linotype"/>
          <w:b/>
          <w:bCs/>
          <w:i/>
          <w:iCs/>
          <w:sz w:val="22"/>
          <w:szCs w:val="22"/>
        </w:rPr>
      </w:pPr>
    </w:p>
    <w:p w14:paraId="2E2094B7"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De ahí que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cuenta con el deber de satisfacer las solicitudes de acceso a la información que le sean formuladas y entregar la información pública que obre en sus archivos pudiendo ser de manera electrónica; más aún si la misma se trata de información relativa a obligaciones de transparencia, la cual se relaciona con aquella que se genere de acuerdo con sus facultades, atribuciones y obligaciones señaladas por la Ley en la materia</w:t>
      </w:r>
      <w:r w:rsidRPr="00060B43">
        <w:rPr>
          <w:rFonts w:ascii="Palatino Linotype" w:eastAsia="Palatino Linotype" w:hAnsi="Palatino Linotype" w:cs="Palatino Linotype"/>
          <w:sz w:val="22"/>
          <w:szCs w:val="22"/>
          <w:vertAlign w:val="superscript"/>
        </w:rPr>
        <w:footnoteReference w:id="1"/>
      </w:r>
      <w:r w:rsidRPr="00060B43">
        <w:rPr>
          <w:rFonts w:ascii="Palatino Linotype" w:eastAsia="Palatino Linotype" w:hAnsi="Palatino Linotype" w:cs="Palatino Linotype"/>
          <w:sz w:val="22"/>
          <w:szCs w:val="22"/>
        </w:rPr>
        <w:t>, así como de interés público, es decir, aquella que resulta relevante o beneficiosa para la sociedad y no simplemente de interés individual, y cuya divulgación resulta útil para que el público comprenda las actividades que llevan a cabo los Sujetos Obligados</w:t>
      </w:r>
      <w:r w:rsidRPr="00060B43">
        <w:rPr>
          <w:rFonts w:ascii="Palatino Linotype" w:eastAsia="Palatino Linotype" w:hAnsi="Palatino Linotype" w:cs="Palatino Linotype"/>
          <w:sz w:val="22"/>
          <w:szCs w:val="22"/>
          <w:vertAlign w:val="superscript"/>
        </w:rPr>
        <w:footnoteReference w:id="2"/>
      </w:r>
      <w:r w:rsidRPr="00060B43">
        <w:rPr>
          <w:rFonts w:ascii="Palatino Linotype" w:eastAsia="Palatino Linotype" w:hAnsi="Palatino Linotype" w:cs="Palatino Linotype"/>
          <w:sz w:val="22"/>
          <w:szCs w:val="22"/>
        </w:rPr>
        <w:t>, como pudiera tratarse de aquella relacionada con las obligaciones de transparencia señaladas en los artículos 92 y 100 de la Ley de la Materia.</w:t>
      </w:r>
    </w:p>
    <w:p w14:paraId="32F5E95A" w14:textId="77777777" w:rsidR="00B341BD" w:rsidRPr="00060B43" w:rsidRDefault="00B341BD">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F05F65E" w14:textId="77777777" w:rsidR="00B341BD" w:rsidRPr="00060B43" w:rsidRDefault="00F138DD">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bookmarkStart w:id="9" w:name="_heading=h.1y810tw" w:colFirst="0" w:colLast="0"/>
      <w:bookmarkEnd w:id="9"/>
      <w:r w:rsidRPr="00060B43">
        <w:rPr>
          <w:rFonts w:ascii="Palatino Linotype" w:eastAsia="Palatino Linotype" w:hAnsi="Palatino Linotype" w:cs="Palatino Linotype"/>
          <w:sz w:val="22"/>
          <w:szCs w:val="22"/>
        </w:rPr>
        <w:t>Para ello, conviene iniciar el presente estudio señalando que la persona solicitante requirió lo siguiente:</w:t>
      </w:r>
    </w:p>
    <w:p w14:paraId="42C9315D" w14:textId="77777777" w:rsidR="00B341BD" w:rsidRPr="00060B43" w:rsidRDefault="00B341BD">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3B77A5FC" w14:textId="77777777" w:rsidR="00B341BD" w:rsidRPr="00060B43" w:rsidRDefault="00F138DD">
      <w:pPr>
        <w:numPr>
          <w:ilvl w:val="0"/>
          <w:numId w:val="1"/>
        </w:numPr>
        <w:pBdr>
          <w:top w:val="nil"/>
          <w:left w:val="nil"/>
          <w:bottom w:val="nil"/>
          <w:right w:val="nil"/>
          <w:between w:val="nil"/>
        </w:pBdr>
        <w:spacing w:line="360" w:lineRule="auto"/>
        <w:ind w:right="49"/>
        <w:jc w:val="both"/>
        <w:rPr>
          <w:sz w:val="22"/>
          <w:szCs w:val="22"/>
        </w:rPr>
      </w:pPr>
      <w:r w:rsidRPr="00060B43">
        <w:rPr>
          <w:rFonts w:ascii="Palatino Linotype" w:eastAsia="Palatino Linotype" w:hAnsi="Palatino Linotype" w:cs="Palatino Linotype"/>
          <w:i/>
          <w:iCs/>
          <w:sz w:val="22"/>
          <w:szCs w:val="22"/>
        </w:rPr>
        <w:t>Las facturas correspondientes a la adquisición de la aeronave Black Hawk UH-60</w:t>
      </w:r>
      <w:r w:rsidRPr="00060B43">
        <w:rPr>
          <w:rFonts w:ascii="Palatino Linotype" w:eastAsia="Palatino Linotype" w:hAnsi="Palatino Linotype" w:cs="Palatino Linotype"/>
          <w:sz w:val="22"/>
          <w:szCs w:val="22"/>
        </w:rPr>
        <w:t>.</w:t>
      </w:r>
    </w:p>
    <w:p w14:paraId="78278F48" w14:textId="77777777" w:rsidR="00B341BD" w:rsidRPr="00060B43" w:rsidRDefault="00B341B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20B0BC16"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en respuesta</w:t>
      </w:r>
      <w:r w:rsidRPr="00060B43">
        <w:rPr>
          <w:rFonts w:ascii="Palatino Linotype" w:eastAsia="Palatino Linotype" w:hAnsi="Palatino Linotype" w:cs="Palatino Linotype"/>
          <w:b/>
          <w:bCs/>
          <w:sz w:val="22"/>
          <w:szCs w:val="22"/>
        </w:rPr>
        <w:t xml:space="preserve"> </w:t>
      </w:r>
      <w:r w:rsidRPr="00060B43">
        <w:rPr>
          <w:rFonts w:ascii="Palatino Linotype" w:eastAsia="Palatino Linotype" w:hAnsi="Palatino Linotype" w:cs="Palatino Linotype"/>
          <w:sz w:val="22"/>
          <w:szCs w:val="22"/>
        </w:rPr>
        <w:t>por conducto del Servidor Público Habilitado de la Oficialía Mayor informó que de conformidad con lo dispuesto por el artículo 140 fracciones I y IV de la Ley de Transparencia y Acceso a la Información Pública del Estado de México y Municipios; se encuentra imposibilitado para proporcionar lo requerido, en virtud de que mediante acuerdo SS/CT/EXT/VIl/002/2026, de fecha 03 de agosto de 2026, emitido por el Comité de Transparencia de esa Secretaría, la información se clasificó como reservada ya que su divulgación, podría comprometer la seguridad pública y pondría en riesgo la vida, seguridad o salud de una persona física.</w:t>
      </w:r>
    </w:p>
    <w:p w14:paraId="372C6671"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3D62DDB5"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 lo anterior, adjuntó Acta de la Séptima Sesión Extraordinaria del Comité de Transparencia, celebrada el 01 de agosto de 2026, a través de la cual bajo el punto cuatro del orden del día se llevó a cabo la clasificación como reservada la información requerida en el asunto que nos ocupa.</w:t>
      </w:r>
    </w:p>
    <w:p w14:paraId="14E04EBC" w14:textId="77777777" w:rsidR="00B341BD" w:rsidRPr="00060B43" w:rsidRDefault="00B341B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7C393DF0" w14:textId="77777777" w:rsidR="00B341BD" w:rsidRPr="00060B43" w:rsidRDefault="00F138DD">
      <w:pPr>
        <w:pBdr>
          <w:top w:val="nil"/>
          <w:left w:val="nil"/>
          <w:bottom w:val="nil"/>
          <w:right w:val="nil"/>
          <w:between w:val="nil"/>
        </w:pBdr>
        <w:tabs>
          <w:tab w:val="left" w:pos="142"/>
          <w:tab w:val="left" w:pos="284"/>
        </w:tabs>
        <w:spacing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sz w:val="22"/>
          <w:szCs w:val="22"/>
        </w:rPr>
        <w:t xml:space="preserve">Inconforme con la respuesta, la parte </w:t>
      </w:r>
      <w:r w:rsidRPr="00060B43">
        <w:rPr>
          <w:rFonts w:ascii="Palatino Linotype" w:eastAsia="Palatino Linotype" w:hAnsi="Palatino Linotype" w:cs="Palatino Linotype"/>
          <w:b/>
          <w:bCs/>
          <w:sz w:val="22"/>
          <w:szCs w:val="22"/>
        </w:rPr>
        <w:t xml:space="preserve">Recurrente </w:t>
      </w:r>
      <w:r w:rsidRPr="00060B43">
        <w:rPr>
          <w:rFonts w:ascii="Palatino Linotype" w:eastAsia="Palatino Linotype" w:hAnsi="Palatino Linotype" w:cs="Palatino Linotype"/>
          <w:sz w:val="22"/>
          <w:szCs w:val="22"/>
        </w:rPr>
        <w:t xml:space="preserve">promovió el presente recurso de revisión en el que a manera de motivos de inconformidad </w:t>
      </w:r>
      <w:r w:rsidRPr="00060B43">
        <w:rPr>
          <w:rFonts w:ascii="Palatino Linotype" w:eastAsia="Palatino Linotype" w:hAnsi="Palatino Linotype" w:cs="Palatino Linotype"/>
          <w:b/>
          <w:bCs/>
          <w:sz w:val="22"/>
          <w:szCs w:val="22"/>
        </w:rPr>
        <w:t>se adolece medularmente de la clasificación de la información.</w:t>
      </w:r>
    </w:p>
    <w:p w14:paraId="3B0A1081" w14:textId="77777777" w:rsidR="00B341BD" w:rsidRPr="00060B43" w:rsidRDefault="00B341BD">
      <w:pPr>
        <w:spacing w:line="360" w:lineRule="auto"/>
        <w:ind w:right="49"/>
        <w:jc w:val="both"/>
        <w:rPr>
          <w:rFonts w:ascii="Palatino Linotype" w:eastAsia="Palatino Linotype" w:hAnsi="Palatino Linotype" w:cs="Palatino Linotype"/>
          <w:sz w:val="22"/>
          <w:szCs w:val="22"/>
        </w:rPr>
      </w:pPr>
    </w:p>
    <w:p w14:paraId="0C28097F"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Admitido el presente recurso de revisión, en términos del artículo 185 fracción II</w:t>
      </w:r>
      <w:r w:rsidRPr="00060B43">
        <w:rPr>
          <w:rFonts w:ascii="Palatino Linotype" w:eastAsia="Palatino Linotype" w:hAnsi="Palatino Linotype" w:cs="Palatino Linotype"/>
          <w:sz w:val="22"/>
          <w:szCs w:val="22"/>
          <w:vertAlign w:val="superscript"/>
        </w:rPr>
        <w:footnoteReference w:id="3"/>
      </w:r>
      <w:r w:rsidRPr="00060B43">
        <w:rPr>
          <w:rFonts w:ascii="Palatino Linotype" w:eastAsia="Palatino Linotype" w:hAnsi="Palatino Linotype" w:cs="Palatino Linotype"/>
          <w:sz w:val="22"/>
          <w:szCs w:val="22"/>
        </w:rPr>
        <w:t xml:space="preserve"> de la Ley de Transparencia y Acceso a la Información Pública del Estado de México y Municipios, se integró el expediente y se puso a disposición de las partes para que, en un plazo máximo de siete días hábiles, manifestaran lo que a su derecho resultara conveniente.</w:t>
      </w:r>
    </w:p>
    <w:p w14:paraId="7700FE70"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7C2DFC74"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Cabe resaltar que, de las constancias que obran en el expediente electrónico en que se actúa, se advierte que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rindió su informe justificado, ratificando en lo medular la respuesta inicial.</w:t>
      </w:r>
    </w:p>
    <w:p w14:paraId="0B3AF265"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6F71B0BB"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Por su lado, la parte </w:t>
      </w:r>
      <w:r w:rsidRPr="00060B43">
        <w:rPr>
          <w:rFonts w:ascii="Palatino Linotype" w:eastAsia="Palatino Linotype" w:hAnsi="Palatino Linotype" w:cs="Palatino Linotype"/>
          <w:b/>
          <w:bCs/>
          <w:sz w:val="22"/>
          <w:szCs w:val="22"/>
        </w:rPr>
        <w:t xml:space="preserve">Recurrente </w:t>
      </w:r>
      <w:r w:rsidRPr="00060B43">
        <w:rPr>
          <w:rFonts w:ascii="Palatino Linotype" w:eastAsia="Palatino Linotype" w:hAnsi="Palatino Linotype" w:cs="Palatino Linotype"/>
          <w:sz w:val="22"/>
          <w:szCs w:val="22"/>
        </w:rPr>
        <w:t>fue omisa en hacer valer manifestaciones o alegatos que conforme a derecho resultaran procedentes.</w:t>
      </w:r>
    </w:p>
    <w:p w14:paraId="7795DDEE"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4B6FF829"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Expuestas las posturas de las partes, en principio es de precisar la naturaleza de la información requerida, y para ello resulta conveniente señalar que, </w:t>
      </w:r>
    </w:p>
    <w:p w14:paraId="21900ABF" w14:textId="77777777" w:rsidR="00B341BD" w:rsidRPr="00060B43" w:rsidRDefault="00F138DD">
      <w:pPr>
        <w:spacing w:before="240" w:after="240"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u w:val="single"/>
        </w:rPr>
        <w:t xml:space="preserve">Por lo que se refiere a las erogaciones con cargo al erario público, </w:t>
      </w:r>
      <w:r w:rsidRPr="00060B43">
        <w:rPr>
          <w:rFonts w:ascii="Palatino Linotype" w:eastAsia="Palatino Linotype" w:hAnsi="Palatino Linotype" w:cs="Palatino Linotype"/>
          <w:sz w:val="22"/>
          <w:szCs w:val="22"/>
        </w:rPr>
        <w:t>se debe partir de lo dispuesto en los artículos 342, 343, 344 y 345 del Código Financiero del Estado de México y Municipios, los cuales disponen el sistema y las políticas que deben seguirse para llevar el registro contable y presupuestal de las operaciones financieras, en los siguientes términos:</w:t>
      </w:r>
    </w:p>
    <w:p w14:paraId="2DF910AA"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Artículo 342.-</w:t>
      </w:r>
      <w:r w:rsidRPr="00060B43">
        <w:rPr>
          <w:rFonts w:ascii="Palatino Linotype" w:eastAsia="Palatino Linotype" w:hAnsi="Palatino Linotype" w:cs="Palatino Linotype"/>
          <w:i/>
          <w:iCs/>
          <w:sz w:val="22"/>
          <w:szCs w:val="22"/>
        </w:rPr>
        <w:t xml:space="preserv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470103FA"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En el caso de los municipios,</w:t>
      </w:r>
      <w:r w:rsidRPr="00060B43">
        <w:rPr>
          <w:rFonts w:ascii="Palatino Linotype" w:eastAsia="Palatino Linotype" w:hAnsi="Palatino Linotype" w:cs="Palatino Linotype"/>
          <w:i/>
          <w:iCs/>
          <w:sz w:val="22"/>
          <w:szCs w:val="22"/>
        </w:rPr>
        <w:t xml:space="preserve"> el registro a que se refiere el párrafo anterior, se realizará conforme al sistema y a las disposiciones en materia de </w:t>
      </w:r>
      <w:r w:rsidRPr="00060B43">
        <w:rPr>
          <w:rFonts w:ascii="Palatino Linotype" w:eastAsia="Palatino Linotype" w:hAnsi="Palatino Linotype" w:cs="Palatino Linotype"/>
          <w:b/>
          <w:bCs/>
          <w:i/>
          <w:iCs/>
          <w:sz w:val="22"/>
          <w:szCs w:val="22"/>
        </w:rPr>
        <w:t>planeación, programación, presupuestación, evaluación y contabilidad gubernamental</w:t>
      </w:r>
      <w:r w:rsidRPr="00060B43">
        <w:rPr>
          <w:rFonts w:ascii="Palatino Linotype" w:eastAsia="Palatino Linotype" w:hAnsi="Palatino Linotype" w:cs="Palatino Linotype"/>
          <w:i/>
          <w:iCs/>
          <w:sz w:val="22"/>
          <w:szCs w:val="22"/>
        </w:rPr>
        <w:t>, que se aprueben en el marco del Sistema de Coordinación Hacendaria del Estado de México.</w:t>
      </w:r>
    </w:p>
    <w:p w14:paraId="0D026CD5"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Artículo 343.-</w:t>
      </w:r>
      <w:r w:rsidRPr="00060B43">
        <w:rPr>
          <w:rFonts w:ascii="Palatino Linotype" w:eastAsia="Palatino Linotype" w:hAnsi="Palatino Linotype" w:cs="Palatino Linotype"/>
          <w:i/>
          <w:iCs/>
          <w:sz w:val="22"/>
          <w:szCs w:val="22"/>
        </w:rPr>
        <w:t xml:space="preserve"> El sistema de contabilidad debe diseñarse sobre base acumulativa total y operarse en forma que facilite la fiscalización de los activos, pasivos, ingresos, egresos y, en general, que posibilite medir la eficacia del gasto público, y contener las medidas de control interno que permitan verificar el registro de la totalidad de las operaciones financieras.</w:t>
      </w:r>
    </w:p>
    <w:p w14:paraId="3115E725"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El sistema de contabilidad sobre base acumulativa total, se sustentará en las normas emitidas por el Consejo Nacional de Armonización Contable.</w:t>
      </w:r>
    </w:p>
    <w:p w14:paraId="30514006" w14:textId="77777777" w:rsidR="00B341BD" w:rsidRPr="00060B43" w:rsidRDefault="00F138DD">
      <w:pPr>
        <w:spacing w:before="120" w:after="120"/>
        <w:ind w:left="862" w:right="862"/>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Artículo 344.- Los Entes Públicos, a través de cualquiera de sus unidades administrativas, de acuerdo con su naturaleza jurídica y según corresponda, </w:t>
      </w:r>
      <w:r w:rsidRPr="00060B43">
        <w:rPr>
          <w:rFonts w:ascii="Palatino Linotype" w:eastAsia="Palatino Linotype" w:hAnsi="Palatino Linotype" w:cs="Palatino Linotype"/>
          <w:b/>
          <w:bCs/>
          <w:i/>
          <w:iCs/>
          <w:sz w:val="22"/>
          <w:szCs w:val="22"/>
          <w:u w:val="single"/>
        </w:rPr>
        <w:t>registrarán contablemente el efecto patrimonial y presupuestal de las operaciones financieras que realicen, en el momento en que ocurran, con base en el sistema y políticas de registro establecidas, en el caso de los Municipios, se hará por la Tesorería</w:t>
      </w:r>
      <w:r w:rsidRPr="00060B43">
        <w:rPr>
          <w:rFonts w:ascii="Palatino Linotype" w:eastAsia="Palatino Linotype" w:hAnsi="Palatino Linotype" w:cs="Palatino Linotype"/>
          <w:b/>
          <w:bCs/>
          <w:i/>
          <w:iCs/>
          <w:sz w:val="22"/>
          <w:szCs w:val="22"/>
        </w:rPr>
        <w:t>.</w:t>
      </w:r>
    </w:p>
    <w:p w14:paraId="3811E7E5"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Todo registro contable y presupuestal </w:t>
      </w:r>
      <w:r w:rsidRPr="00060B43">
        <w:rPr>
          <w:rFonts w:ascii="Palatino Linotype" w:eastAsia="Palatino Linotype" w:hAnsi="Palatino Linotype" w:cs="Palatino Linotype"/>
          <w:b/>
          <w:bCs/>
          <w:i/>
          <w:iCs/>
          <w:sz w:val="22"/>
          <w:szCs w:val="22"/>
          <w:u w:val="single"/>
        </w:rPr>
        <w:t>deberá estar soportado con los documentos de registro, justificativos y comprobatorios originales, en copias certificadas o en medios electrónicos, según corresponda</w:t>
      </w:r>
      <w:r w:rsidRPr="00060B43">
        <w:rPr>
          <w:rFonts w:ascii="Palatino Linotype" w:eastAsia="Palatino Linotype" w:hAnsi="Palatino Linotype" w:cs="Palatino Linotype"/>
          <w:b/>
          <w:bCs/>
          <w:i/>
          <w:iCs/>
          <w:sz w:val="22"/>
          <w:szCs w:val="22"/>
        </w:rPr>
        <w:t xml:space="preserve">, los que deberán </w:t>
      </w:r>
      <w:r w:rsidRPr="00060B43">
        <w:rPr>
          <w:rFonts w:ascii="Palatino Linotype" w:eastAsia="Palatino Linotype" w:hAnsi="Palatino Linotype" w:cs="Palatino Linotype"/>
          <w:b/>
          <w:bCs/>
          <w:i/>
          <w:iCs/>
          <w:sz w:val="22"/>
          <w:szCs w:val="22"/>
          <w:u w:val="single"/>
        </w:rPr>
        <w:t>permanecer en custodia y conservación</w:t>
      </w:r>
      <w:r w:rsidRPr="00060B43">
        <w:rPr>
          <w:rFonts w:ascii="Palatino Linotype" w:eastAsia="Palatino Linotype" w:hAnsi="Palatino Linotype" w:cs="Palatino Linotype"/>
          <w:b/>
          <w:bCs/>
          <w:i/>
          <w:iCs/>
          <w:sz w:val="22"/>
          <w:szCs w:val="22"/>
        </w:rPr>
        <w:t xml:space="preserve"> de los Entes Públicos ejecutores del gasto a </w:t>
      </w:r>
      <w:r w:rsidRPr="00060B43">
        <w:rPr>
          <w:rFonts w:ascii="Palatino Linotype" w:eastAsia="Palatino Linotype" w:hAnsi="Palatino Linotype" w:cs="Palatino Linotype"/>
          <w:b/>
          <w:bCs/>
          <w:i/>
          <w:iCs/>
          <w:sz w:val="22"/>
          <w:szCs w:val="22"/>
          <w:u w:val="single"/>
        </w:rPr>
        <w:t>través de las unidades administrativas correspondientes de conformidad con las disposiciones aplicables y a disposición de los Órganos de Fiscalización locales y federales</w:t>
      </w:r>
      <w:r w:rsidRPr="00060B43">
        <w:rPr>
          <w:rFonts w:ascii="Palatino Linotype" w:eastAsia="Palatino Linotype" w:hAnsi="Palatino Linotype" w:cs="Palatino Linotype"/>
          <w:b/>
          <w:bCs/>
          <w:i/>
          <w:iCs/>
          <w:sz w:val="22"/>
          <w:szCs w:val="22"/>
        </w:rPr>
        <w:t xml:space="preserve">, de acuerdo a su naturaleza, </w:t>
      </w:r>
      <w:r w:rsidRPr="00060B43">
        <w:rPr>
          <w:rFonts w:ascii="Palatino Linotype" w:eastAsia="Palatino Linotype" w:hAnsi="Palatino Linotype" w:cs="Palatino Linotype"/>
          <w:b/>
          <w:bCs/>
          <w:i/>
          <w:iCs/>
          <w:sz w:val="22"/>
          <w:szCs w:val="22"/>
          <w:u w:val="single"/>
        </w:rPr>
        <w:t>así como de los órganos internos de control</w:t>
      </w:r>
      <w:r w:rsidRPr="00060B43">
        <w:rPr>
          <w:rFonts w:ascii="Palatino Linotype" w:eastAsia="Palatino Linotype" w:hAnsi="Palatino Linotype" w:cs="Palatino Linotype"/>
          <w:b/>
          <w:bCs/>
          <w:i/>
          <w:iCs/>
          <w:sz w:val="22"/>
          <w:szCs w:val="22"/>
        </w:rPr>
        <w:t>;</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u w:val="single"/>
        </w:rPr>
        <w:t>por un término de 6 años</w:t>
      </w:r>
      <w:r w:rsidRPr="00060B43">
        <w:rPr>
          <w:rFonts w:ascii="Palatino Linotype" w:eastAsia="Palatino Linotype" w:hAnsi="Palatino Linotype" w:cs="Palatino Linotype"/>
          <w:b/>
          <w:bCs/>
          <w:i/>
          <w:iCs/>
          <w:sz w:val="22"/>
          <w:szCs w:val="22"/>
        </w:rPr>
        <w:t>,</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u w:val="single"/>
        </w:rPr>
        <w:t>contados a partir del ejercicio presupuestal siguiente al que corresponda</w:t>
      </w: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 xml:space="preserve"> </w:t>
      </w:r>
      <w:r w:rsidRPr="00060B43">
        <w:rPr>
          <w:rFonts w:ascii="Palatino Linotype" w:eastAsia="Palatino Linotype" w:hAnsi="Palatino Linotype" w:cs="Palatino Linotype"/>
          <w:i/>
          <w:iCs/>
          <w:sz w:val="22"/>
          <w:szCs w:val="22"/>
        </w:rPr>
        <w:t>en el caso de los Municipios, dicha obligación corresponderá a la Tesorería.</w:t>
      </w:r>
    </w:p>
    <w:p w14:paraId="21F9FB22"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Tratándose de documentos de carácter histórico, se estará a lo dispuesto por la legislación de la materia.</w:t>
      </w:r>
    </w:p>
    <w:p w14:paraId="0E241102"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18AD4269" w14:textId="77777777" w:rsidR="00B341BD" w:rsidRPr="00060B43" w:rsidRDefault="00F138DD">
      <w:pPr>
        <w:spacing w:before="120" w:after="120"/>
        <w:ind w:left="862" w:right="862"/>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Artículo 345.-</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rPr>
        <w:t>Las Dependencias y sus unidades administrativas; deberán conservar la documentación contable del año en curso y la de ejercicios anteriores, cuyas cuentas públicas hayan sido revisadas y fiscalizadas y la remitirán al Archivo Contable Gubernamental en un plazo que no excederá de seis meses. Tratándose de los comprobantes fiscales digitales, estos deberán estar agregados en forma electrónica a cada póliza de registro contable.</w:t>
      </w:r>
    </w:p>
    <w:p w14:paraId="49D970F7" w14:textId="77777777" w:rsidR="00B341BD" w:rsidRPr="00060B43" w:rsidRDefault="00F138DD">
      <w:pPr>
        <w:spacing w:before="120" w:after="120"/>
        <w:ind w:left="862" w:right="86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Los poderes Legislativo y Judicial, los Organismos Autónomos y las Entidades Públicas, de acuerdo con su naturaleza jurídica y según corresponda, deberán conservar la documentación contable del año en curso y la de ejercicios anteriores, cuyas cuentas públicas hayan sido revisadas y fiscalizadas, en sus propios Archivos Contables. Tratándose de los comprobantes fiscales digitales, estos </w:t>
      </w:r>
      <w:r w:rsidRPr="00060B43">
        <w:rPr>
          <w:rFonts w:ascii="Palatino Linotype" w:eastAsia="Palatino Linotype" w:hAnsi="Palatino Linotype" w:cs="Palatino Linotype"/>
          <w:b/>
          <w:bCs/>
          <w:i/>
          <w:iCs/>
          <w:sz w:val="22"/>
          <w:szCs w:val="22"/>
        </w:rPr>
        <w:t>deberán estar agregados en forma electrónica a cada póliza de registro contable</w:t>
      </w:r>
      <w:r w:rsidRPr="00060B43">
        <w:rPr>
          <w:rFonts w:ascii="Palatino Linotype" w:eastAsia="Palatino Linotype" w:hAnsi="Palatino Linotype" w:cs="Palatino Linotype"/>
          <w:i/>
          <w:iCs/>
          <w:sz w:val="22"/>
          <w:szCs w:val="22"/>
        </w:rPr>
        <w:t>.</w:t>
      </w:r>
    </w:p>
    <w:p w14:paraId="35CF7DC3" w14:textId="77777777" w:rsidR="00B341BD" w:rsidRPr="00060B43" w:rsidRDefault="00F138DD">
      <w:pPr>
        <w:spacing w:before="120" w:after="120"/>
        <w:ind w:left="862" w:right="862"/>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i/>
          <w:iCs/>
          <w:sz w:val="22"/>
          <w:szCs w:val="22"/>
        </w:rPr>
        <w:t>El plazo señalado en este artículo empezará a contar a partir de la publicación en el Periódico Oficial, del decreto correspondiente.</w:t>
      </w:r>
      <w:r w:rsidRPr="00060B43">
        <w:rPr>
          <w:rFonts w:ascii="Palatino Linotype" w:eastAsia="Palatino Linotype" w:hAnsi="Palatino Linotype" w:cs="Palatino Linotype"/>
          <w:b/>
          <w:bCs/>
          <w:i/>
          <w:iCs/>
          <w:sz w:val="22"/>
          <w:szCs w:val="22"/>
        </w:rPr>
        <w:t>”</w:t>
      </w:r>
    </w:p>
    <w:p w14:paraId="741866FF"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De una interpretación sistemática de los artículos transcritos, se desprende, primeramente, que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67343793"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Asimismo, que los entes públicos tiene la obligación de registrar contablemente el efecto patrimonial y presupuestal de las operaciones financieras que realicen, en el momento en que ocurran, por lo que </w:t>
      </w:r>
      <w:r w:rsidRPr="00060B43">
        <w:rPr>
          <w:rFonts w:ascii="Palatino Linotype" w:eastAsia="Palatino Linotype" w:hAnsi="Palatino Linotype" w:cs="Palatino Linotype"/>
          <w:b/>
          <w:bCs/>
          <w:sz w:val="22"/>
          <w:szCs w:val="22"/>
        </w:rPr>
        <w:t>todo registro contable y presupuestal deberá estar soportado con los documentos comprobatorios originales o en medios electrónicos</w:t>
      </w:r>
      <w:r w:rsidRPr="00060B43">
        <w:rPr>
          <w:rFonts w:ascii="Palatino Linotype" w:eastAsia="Palatino Linotype" w:hAnsi="Palatino Linotype" w:cs="Palatino Linotype"/>
          <w:sz w:val="22"/>
          <w:szCs w:val="22"/>
        </w:rPr>
        <w:t xml:space="preserve">, los que </w:t>
      </w:r>
      <w:r w:rsidRPr="00060B43">
        <w:rPr>
          <w:rFonts w:ascii="Palatino Linotype" w:eastAsia="Palatino Linotype" w:hAnsi="Palatino Linotype" w:cs="Palatino Linotype"/>
          <w:b/>
          <w:bCs/>
          <w:sz w:val="22"/>
          <w:szCs w:val="22"/>
          <w:u w:val="single"/>
        </w:rPr>
        <w:t>deberán permanecer en custodia y conservación</w:t>
      </w:r>
      <w:r w:rsidRPr="00060B43">
        <w:rPr>
          <w:rFonts w:ascii="Palatino Linotype" w:eastAsia="Palatino Linotype" w:hAnsi="Palatino Linotype" w:cs="Palatino Linotype"/>
          <w:sz w:val="22"/>
          <w:szCs w:val="22"/>
        </w:rPr>
        <w:t xml:space="preserve"> de los Entes Públicos a través de las unidades administrativas que ejercieron el gasto y a disposición de los Órganos de Fiscalización y de los órganos internos de control </w:t>
      </w:r>
      <w:r w:rsidRPr="00060B43">
        <w:rPr>
          <w:rFonts w:ascii="Palatino Linotype" w:eastAsia="Palatino Linotype" w:hAnsi="Palatino Linotype" w:cs="Palatino Linotype"/>
          <w:b/>
          <w:bCs/>
          <w:sz w:val="22"/>
          <w:szCs w:val="22"/>
          <w:u w:val="single"/>
        </w:rPr>
        <w:t>por un término de seis años</w:t>
      </w:r>
      <w:r w:rsidRPr="00060B43">
        <w:rPr>
          <w:rFonts w:ascii="Palatino Linotype" w:eastAsia="Palatino Linotype" w:hAnsi="Palatino Linotype" w:cs="Palatino Linotype"/>
          <w:sz w:val="22"/>
          <w:szCs w:val="22"/>
        </w:rPr>
        <w:t>, los cuales se cuentan a partir del ejercicio presupuestal siguiente al que corresponda. Dicha obligación corresponde a las tesorerías o a las áreas equivalentes.</w:t>
      </w:r>
    </w:p>
    <w:p w14:paraId="5944F4D1"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Al respecto, si bien es cierto que el Código Financiero del Estado de México y Municipios establece la obligación de los Municipios para llevar los registros contables y presupuestales; también lo es que, dicho ordenamiento jurídico no establece que debemos entender por registro contable y presupuestal; sin embargo, el “Glosario de Términos para el Proceso de Planeación, Programación, Presupuestación y Evaluación en la Administración Pública”</w:t>
      </w:r>
      <w:r w:rsidRPr="00060B43">
        <w:rPr>
          <w:rFonts w:ascii="Palatino Linotype" w:eastAsia="Palatino Linotype" w:hAnsi="Palatino Linotype" w:cs="Palatino Linotype"/>
          <w:sz w:val="22"/>
          <w:szCs w:val="22"/>
          <w:vertAlign w:val="superscript"/>
        </w:rPr>
        <w:footnoteReference w:id="4"/>
      </w:r>
      <w:r w:rsidRPr="00060B43">
        <w:rPr>
          <w:rFonts w:ascii="Palatino Linotype" w:eastAsia="Palatino Linotype" w:hAnsi="Palatino Linotype" w:cs="Palatino Linotype"/>
          <w:sz w:val="22"/>
          <w:szCs w:val="22"/>
        </w:rPr>
        <w:t>, elaborado por el Grupo de Trabajo de Sistemas de Información Financiera, Contable y Presupuestal de la Comisión Permanente de Funcionarios Fiscales del Instituto para el Desarrollo Técnico de las Haciendas Públicas, INDETEC, señalan las siguientes definiciones de las palabras registro contable y registro presupuestario:</w:t>
      </w:r>
    </w:p>
    <w:p w14:paraId="4570DDC7" w14:textId="77777777" w:rsidR="00B341BD" w:rsidRPr="00060B43" w:rsidRDefault="00F138DD">
      <w:pPr>
        <w:spacing w:before="120" w:after="120"/>
        <w:ind w:left="850" w:right="902" w:hanging="1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“REGISTRO CONTABLE</w:t>
      </w:r>
    </w:p>
    <w:p w14:paraId="15F8EBB2" w14:textId="77777777" w:rsidR="00B341BD" w:rsidRPr="00060B43" w:rsidRDefault="00F138DD">
      <w:pPr>
        <w:spacing w:before="120" w:after="120"/>
        <w:ind w:left="850" w:right="902" w:hanging="1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Asiento que se realiza en los libros de contabilidad de las actividades relacionadas con el ingreso y egresos de un ente económico.”</w:t>
      </w:r>
    </w:p>
    <w:p w14:paraId="0976BB52" w14:textId="77777777" w:rsidR="00B341BD" w:rsidRPr="00060B43" w:rsidRDefault="00F138DD">
      <w:pPr>
        <w:spacing w:before="120" w:after="120"/>
        <w:ind w:left="850" w:right="902" w:hanging="1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“REGISTRO PRESUPUESTARIO</w:t>
      </w:r>
    </w:p>
    <w:p w14:paraId="2AFD0059" w14:textId="77777777" w:rsidR="00B341BD" w:rsidRPr="00060B43" w:rsidRDefault="00F138DD">
      <w:pPr>
        <w:spacing w:before="120" w:after="120"/>
        <w:ind w:left="850" w:right="902" w:hanging="1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Asiento contable de las erogaciones realizadas por las dependencias y entidades con relación a la asignación, modificación y ejercicio de los recursos presupuestarios que se les hayan autorizado.”</w:t>
      </w:r>
    </w:p>
    <w:p w14:paraId="47031BB7" w14:textId="77777777" w:rsidR="00B341BD" w:rsidRPr="00060B43" w:rsidRDefault="00F138DD">
      <w:pPr>
        <w:spacing w:before="240" w:after="240" w:line="360" w:lineRule="auto"/>
        <w:ind w:right="51"/>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Como bien se desprende de las definiciones, los registros contables y presupuestarios son asientos o anotaciones contables que se realizan tanto de los ingresos como de los egresos, a decir se trata de un control financiero en el que se reconoce la obligación de llevar dicho registro.</w:t>
      </w:r>
    </w:p>
    <w:p w14:paraId="5D4B1CF6"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otra parte, se establece que el sistema de contabilidad sobre base acumulativa total se sustentará en los principios de contabilidad gubernamental.</w:t>
      </w:r>
    </w:p>
    <w:p w14:paraId="25A2EF46"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Igualmente, los preceptos legales citados señalan que los Sujetos Obligados deben contar con una unidad administrativa que registra contablemente el efecto patrimonial y presupuestal de las operaciones financieras que realizan, en el momento en que ocurran, con base en el sistema y políticas de registro establecidas.</w:t>
      </w:r>
    </w:p>
    <w:p w14:paraId="76C2051A"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Correlativo a lo anterior, es preciso referir una definición de </w:t>
      </w:r>
      <w:r w:rsidRPr="00060B43">
        <w:rPr>
          <w:rFonts w:ascii="Palatino Linotype" w:eastAsia="Palatino Linotype" w:hAnsi="Palatino Linotype" w:cs="Palatino Linotype"/>
          <w:i/>
          <w:iCs/>
          <w:sz w:val="22"/>
          <w:szCs w:val="22"/>
        </w:rPr>
        <w:t>póliza contable</w:t>
      </w:r>
      <w:r w:rsidRPr="00060B43">
        <w:rPr>
          <w:rFonts w:ascii="Palatino Linotype" w:eastAsia="Palatino Linotype" w:hAnsi="Palatino Linotype" w:cs="Palatino Linotype"/>
          <w:sz w:val="22"/>
          <w:szCs w:val="22"/>
        </w:rPr>
        <w:t>, la cual, primeramente, no está definida en el Código Financiero del Estado de México y Municipios; no obstante, el ya mencionado Glosario la define como:</w:t>
      </w:r>
    </w:p>
    <w:p w14:paraId="0C4AAAE3" w14:textId="77777777" w:rsidR="00B341BD" w:rsidRPr="00060B43" w:rsidRDefault="00F138DD">
      <w:pPr>
        <w:spacing w:before="120" w:after="120"/>
        <w:ind w:left="862" w:right="902"/>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PÓLIZA CONTABLE</w:t>
      </w:r>
    </w:p>
    <w:p w14:paraId="278A846F" w14:textId="77777777" w:rsidR="00B341BD" w:rsidRPr="00060B43" w:rsidRDefault="00F138DD">
      <w:pPr>
        <w:spacing w:before="120" w:after="120"/>
        <w:ind w:left="862"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Documento en el cual se asientan en forma individual todas y cada una de las operaciones desarrolladas por una institución, así como la información necesaria para la identificación de dichas operaciones.” </w:t>
      </w:r>
    </w:p>
    <w:p w14:paraId="0807521F" w14:textId="77777777" w:rsidR="00B341BD" w:rsidRPr="00060B43" w:rsidRDefault="00F138DD">
      <w:pPr>
        <w:spacing w:before="240" w:after="240" w:line="360" w:lineRule="auto"/>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sz w:val="22"/>
          <w:szCs w:val="22"/>
        </w:rPr>
        <w:t xml:space="preserve">Así, se advierte que la </w:t>
      </w:r>
      <w:r w:rsidRPr="00060B43">
        <w:rPr>
          <w:rFonts w:ascii="Palatino Linotype" w:eastAsia="Palatino Linotype" w:hAnsi="Palatino Linotype" w:cs="Palatino Linotype"/>
          <w:i/>
          <w:iCs/>
          <w:sz w:val="22"/>
          <w:szCs w:val="22"/>
        </w:rPr>
        <w:t>póliza contable</w:t>
      </w:r>
      <w:r w:rsidRPr="00060B43">
        <w:rPr>
          <w:rFonts w:ascii="Palatino Linotype" w:eastAsia="Palatino Linotype" w:hAnsi="Palatino Linotype" w:cs="Palatino Linotype"/>
          <w:sz w:val="22"/>
          <w:szCs w:val="22"/>
        </w:rPr>
        <w:t xml:space="preserve"> constituye un registro contable y presupuestal con el que cuentan los Municipios para el registro de operaciones relacionadas con </w:t>
      </w:r>
      <w:r w:rsidRPr="00060B43">
        <w:rPr>
          <w:rFonts w:ascii="Palatino Linotype" w:eastAsia="Palatino Linotype" w:hAnsi="Palatino Linotype" w:cs="Palatino Linotype"/>
          <w:sz w:val="22"/>
          <w:szCs w:val="22"/>
          <w:u w:val="single"/>
        </w:rPr>
        <w:t>ingresos y egresos</w:t>
      </w:r>
      <w:r w:rsidRPr="00060B43">
        <w:rPr>
          <w:rFonts w:ascii="Palatino Linotype" w:eastAsia="Palatino Linotype" w:hAnsi="Palatino Linotype" w:cs="Palatino Linotype"/>
          <w:sz w:val="22"/>
          <w:szCs w:val="22"/>
        </w:rPr>
        <w:t xml:space="preserve"> y se anexan los documentos o comprobantes que justifiquen las anotaciones y cantidades en ellas registradas, lo que permite la identificación plena de dichas operaciones.</w:t>
      </w:r>
    </w:p>
    <w:p w14:paraId="1BE620CB"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este sentido, existen diversos tipos de pólizas contables de acuerdo a las operaciones realizadas, dentro de las cuales, encontramos las </w:t>
      </w:r>
      <w:r w:rsidRPr="00060B43">
        <w:rPr>
          <w:rFonts w:ascii="Palatino Linotype" w:eastAsia="Palatino Linotype" w:hAnsi="Palatino Linotype" w:cs="Palatino Linotype"/>
          <w:i/>
          <w:iCs/>
          <w:sz w:val="22"/>
          <w:szCs w:val="22"/>
        </w:rPr>
        <w:t xml:space="preserve">pólizas de ingresos y egresos. </w:t>
      </w:r>
      <w:r w:rsidRPr="00060B43">
        <w:rPr>
          <w:rFonts w:ascii="Palatino Linotype" w:eastAsia="Palatino Linotype" w:hAnsi="Palatino Linotype" w:cs="Palatino Linotype"/>
          <w:b/>
          <w:bCs/>
          <w:sz w:val="22"/>
          <w:szCs w:val="22"/>
          <w:u w:val="single"/>
        </w:rPr>
        <w:t>Las primeras</w:t>
      </w:r>
      <w:r w:rsidRPr="00060B43">
        <w:rPr>
          <w:rFonts w:ascii="Palatino Linotype" w:eastAsia="Palatino Linotype" w:hAnsi="Palatino Linotype" w:cs="Palatino Linotype"/>
          <w:b/>
          <w:bCs/>
          <w:sz w:val="22"/>
          <w:szCs w:val="22"/>
        </w:rPr>
        <w:t xml:space="preserve"> registran todas las entradas de dinero, </w:t>
      </w:r>
      <w:r w:rsidRPr="00060B43">
        <w:rPr>
          <w:rFonts w:ascii="Palatino Linotype" w:eastAsia="Palatino Linotype" w:hAnsi="Palatino Linotype" w:cs="Palatino Linotype"/>
          <w:sz w:val="22"/>
          <w:szCs w:val="22"/>
        </w:rPr>
        <w:t xml:space="preserve">mientras que </w:t>
      </w:r>
      <w:r w:rsidRPr="00060B43">
        <w:rPr>
          <w:rFonts w:ascii="Palatino Linotype" w:eastAsia="Palatino Linotype" w:hAnsi="Palatino Linotype" w:cs="Palatino Linotype"/>
          <w:b/>
          <w:bCs/>
          <w:sz w:val="22"/>
          <w:szCs w:val="22"/>
          <w:u w:val="single"/>
        </w:rPr>
        <w:t>las segundas</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son aquellas en las cuales se anotan diariamente las operaciones que representan gastos, es decir, salidas de dinero</w:t>
      </w:r>
      <w:r w:rsidRPr="00060B43">
        <w:rPr>
          <w:rFonts w:ascii="Palatino Linotype" w:eastAsia="Palatino Linotype" w:hAnsi="Palatino Linotype" w:cs="Palatino Linotype"/>
          <w:sz w:val="22"/>
          <w:szCs w:val="22"/>
        </w:rPr>
        <w:t xml:space="preserve"> las que, además, </w:t>
      </w:r>
      <w:r w:rsidRPr="00060B43">
        <w:rPr>
          <w:rFonts w:ascii="Palatino Linotype" w:eastAsia="Palatino Linotype" w:hAnsi="Palatino Linotype" w:cs="Palatino Linotype"/>
          <w:b/>
          <w:bCs/>
          <w:sz w:val="22"/>
          <w:szCs w:val="22"/>
        </w:rPr>
        <w:t xml:space="preserve">deben encontrarse acompañadas de las documentales que sirven de soporte de dicho movimiento; </w:t>
      </w:r>
      <w:r w:rsidRPr="00060B43">
        <w:rPr>
          <w:rFonts w:ascii="Palatino Linotype" w:eastAsia="Palatino Linotype" w:hAnsi="Palatino Linotype" w:cs="Palatino Linotype"/>
          <w:sz w:val="22"/>
          <w:szCs w:val="22"/>
        </w:rPr>
        <w:t xml:space="preserve">lo anterior </w:t>
      </w:r>
      <w:r w:rsidRPr="00060B43">
        <w:rPr>
          <w:rFonts w:ascii="Palatino Linotype" w:eastAsia="Palatino Linotype" w:hAnsi="Palatino Linotype" w:cs="Palatino Linotype"/>
          <w:b/>
          <w:bCs/>
          <w:sz w:val="22"/>
          <w:szCs w:val="22"/>
        </w:rPr>
        <w:t>independientemente de la modalidad</w:t>
      </w:r>
      <w:r w:rsidRPr="00060B43">
        <w:rPr>
          <w:rFonts w:ascii="Palatino Linotype" w:eastAsia="Palatino Linotype" w:hAnsi="Palatino Linotype" w:cs="Palatino Linotype"/>
          <w:sz w:val="22"/>
          <w:szCs w:val="22"/>
        </w:rPr>
        <w:t xml:space="preserve"> ya sea en efectivo, transferencia, cheque o pagaré, </w:t>
      </w:r>
      <w:r w:rsidRPr="00060B43">
        <w:rPr>
          <w:rFonts w:ascii="Palatino Linotype" w:eastAsia="Palatino Linotype" w:hAnsi="Palatino Linotype" w:cs="Palatino Linotype"/>
          <w:b/>
          <w:bCs/>
          <w:sz w:val="22"/>
          <w:szCs w:val="22"/>
          <w:u w:val="single"/>
        </w:rPr>
        <w:t>mediante la expedición de facturas.</w:t>
      </w:r>
    </w:p>
    <w:p w14:paraId="6684C1B1" w14:textId="77777777" w:rsidR="00B341BD" w:rsidRPr="00060B43" w:rsidRDefault="00F138DD">
      <w:pPr>
        <w:spacing w:before="240" w:after="240" w:line="360" w:lineRule="auto"/>
        <w:ind w:right="51"/>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Atento a lo anterior, como ya ha sido mencionado en la normatividad antes citada, </w:t>
      </w:r>
      <w:r w:rsidRPr="00060B43">
        <w:rPr>
          <w:rFonts w:ascii="Palatino Linotype" w:eastAsia="Palatino Linotype" w:hAnsi="Palatino Linotype" w:cs="Palatino Linotype"/>
          <w:b/>
          <w:bCs/>
          <w:sz w:val="22"/>
          <w:szCs w:val="22"/>
          <w:u w:val="single"/>
        </w:rPr>
        <w:t>todo registro contable y presupuestal deberá estar soportado con los documentos comprobatorios originales, como lo son las facturas o pagos fiscales digitales por internet,</w:t>
      </w:r>
      <w:r w:rsidRPr="00060B43">
        <w:rPr>
          <w:rFonts w:ascii="Palatino Linotype" w:eastAsia="Palatino Linotype" w:hAnsi="Palatino Linotype" w:cs="Palatino Linotype"/>
          <w:sz w:val="22"/>
          <w:szCs w:val="22"/>
        </w:rPr>
        <w:t xml:space="preserve"> mismos que deberán permanecer en custodia y conservación de la Unidad Administrativa correspondiente y a disposición del Órgano Superior de Fiscalización del Estado de México; por un término de seis años contados a partir del ejercicio presupuestal siguiente al que corresponda, tal y como se establece en el Código Financiero del Estado de México. </w:t>
      </w:r>
    </w:p>
    <w:p w14:paraId="0E079B1D"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Ahora, en cuanto al ámbito competencial del ente obligado, es de señalar que la persona Titular de la Unidad de Transparencia debe garantizar que las solicitudes se turnen a todas las áreas competentes que puedan contar con la información, con el objeto de que los servidores públicos habilitados realicen la búsqueda exhaustiva y razonable de la información solicitada, y que una vez localizada, la misma sea proporcionada a las personas solicitantes atendiendo a la naturaleza jurídica de la misma.</w:t>
      </w:r>
    </w:p>
    <w:p w14:paraId="54D66C05"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 el caso particular, es de recordar que la Unidad de Transparencia turnó la solicitud a la Oficialía Mayor, como la dependencia competente para conocer de la información que es del interés de la persona solicitante y que conforme el artículo 32 del Reglamento Interior de la Secretaría de Seguridad, tiene las siguientes atribuciones:</w:t>
      </w:r>
    </w:p>
    <w:p w14:paraId="40FAD668" w14:textId="77777777" w:rsidR="00B341BD" w:rsidRPr="00060B43" w:rsidRDefault="00F138DD">
      <w:pPr>
        <w:numPr>
          <w:ilvl w:val="0"/>
          <w:numId w:val="1"/>
        </w:numPr>
        <w:pBdr>
          <w:top w:val="nil"/>
          <w:left w:val="nil"/>
          <w:bottom w:val="nil"/>
          <w:right w:val="nil"/>
          <w:between w:val="nil"/>
        </w:pBdr>
        <w:spacing w:before="240" w:line="360" w:lineRule="auto"/>
        <w:jc w:val="both"/>
        <w:rPr>
          <w:sz w:val="22"/>
          <w:szCs w:val="22"/>
        </w:rPr>
      </w:pPr>
      <w:r w:rsidRPr="00060B43">
        <w:rPr>
          <w:rFonts w:ascii="Palatino Linotype" w:eastAsia="Palatino Linotype" w:hAnsi="Palatino Linotype" w:cs="Palatino Linotype"/>
          <w:sz w:val="22"/>
          <w:szCs w:val="22"/>
        </w:rPr>
        <w:t>Programar, planear, organizar y controlar el suministro, administración y aplicación de los recursos humanos, materiales, financieros y técnicos, así como los servicios generales necesarios para el funcionamiento de la Secretaría, conjuntamente con las áreas competentes de la misma, conforme a la naturaleza del asunto; e,</w:t>
      </w:r>
    </w:p>
    <w:p w14:paraId="72001E68" w14:textId="77777777" w:rsidR="00B341BD" w:rsidRPr="00060B43" w:rsidRDefault="00F138DD">
      <w:pPr>
        <w:numPr>
          <w:ilvl w:val="0"/>
          <w:numId w:val="1"/>
        </w:numPr>
        <w:pBdr>
          <w:top w:val="nil"/>
          <w:left w:val="nil"/>
          <w:bottom w:val="nil"/>
          <w:right w:val="nil"/>
          <w:between w:val="nil"/>
        </w:pBdr>
        <w:spacing w:after="240" w:line="360" w:lineRule="auto"/>
        <w:jc w:val="both"/>
        <w:rPr>
          <w:sz w:val="22"/>
          <w:szCs w:val="22"/>
        </w:rPr>
      </w:pPr>
      <w:r w:rsidRPr="00060B43">
        <w:rPr>
          <w:rFonts w:ascii="Palatino Linotype" w:eastAsia="Palatino Linotype" w:hAnsi="Palatino Linotype" w:cs="Palatino Linotype"/>
          <w:sz w:val="22"/>
          <w:szCs w:val="22"/>
        </w:rPr>
        <w:t>Implementar y verificar el cumplimiento de los lineamientos que permitan mantener actualizados los registros administrativos sobre recursos humanos, materiales, financieros, programas de inversión, archivo, correspondencia, inventario de bienes muebles e inmuebles y apoyos técnicos;</w:t>
      </w:r>
    </w:p>
    <w:p w14:paraId="099B78B1" w14:textId="77777777" w:rsidR="00B341BD" w:rsidRPr="00060B43" w:rsidRDefault="00F138DD">
      <w:pPr>
        <w:spacing w:before="240" w:after="240"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esta tesitura, de las constancias que integran el expediente electrónico  relacionado con el recurso de revisión materia de estudio, se colige que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a través de la persona servidora pública habilitada de la Oficialía Mayor</w:t>
      </w:r>
      <w:r w:rsidRPr="00060B43">
        <w:rPr>
          <w:rFonts w:ascii="Palatino Linotype" w:eastAsia="Palatino Linotype" w:hAnsi="Palatino Linotype" w:cs="Palatino Linotype"/>
          <w:b/>
          <w:bCs/>
          <w:sz w:val="22"/>
          <w:szCs w:val="22"/>
        </w:rPr>
        <w:t xml:space="preserve"> </w:t>
      </w:r>
      <w:r w:rsidRPr="00060B43">
        <w:rPr>
          <w:rFonts w:ascii="Palatino Linotype" w:eastAsia="Palatino Linotype" w:hAnsi="Palatino Linotype" w:cs="Palatino Linotype"/>
          <w:sz w:val="22"/>
          <w:szCs w:val="22"/>
        </w:rPr>
        <w:t>no niega contar con la información solicitada, sino por el contrario, asume contar con la misma al haber pretendido clasificarla como reservada en términos del artículo 140, fracciones I y IV, de la Ley de Transparencia y Acceso a la Información Pública del Estado de México y Municipios.</w:t>
      </w:r>
    </w:p>
    <w:p w14:paraId="2C71C9FC" w14:textId="77777777" w:rsidR="00B341BD" w:rsidRPr="00060B43" w:rsidRDefault="00F138D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consiguiente, conviene analizar la reserva de dicha información, partiendo de las siguientes consideraciones:</w:t>
      </w:r>
    </w:p>
    <w:p w14:paraId="245E9E6B" w14:textId="77777777" w:rsidR="00B341BD" w:rsidRPr="00060B43" w:rsidRDefault="00F138DD">
      <w:pPr>
        <w:spacing w:before="240" w:after="240"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sz w:val="22"/>
          <w:szCs w:val="22"/>
        </w:rPr>
        <w:t xml:space="preserve">En principio, es de indicar que conforme al artículo 20 de la Ley de Transparencia y Acceso a la Información Pública del Estado de México y Municipios, </w:t>
      </w:r>
      <w:r w:rsidRPr="00060B43">
        <w:rPr>
          <w:rFonts w:ascii="Palatino Linotype" w:eastAsia="Palatino Linotype" w:hAnsi="Palatino Linotype" w:cs="Palatino Linotype"/>
          <w:b/>
          <w:bCs/>
          <w:sz w:val="22"/>
          <w:szCs w:val="22"/>
        </w:rPr>
        <w:t>ante la negativa de acceso a la información o su inexistencia, el sujeto obligado deberá demostrar que encuentra en alguna de las excepciones establecidas en la normatividad aplicable.</w:t>
      </w:r>
    </w:p>
    <w:p w14:paraId="5CF0287D"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ese sentido, según Trujillo, Humberto (2019), en el “Diccionario de Transparencia y Acceso a la Información Pública” (p. 201), </w:t>
      </w:r>
      <w:r w:rsidRPr="00060B43">
        <w:rPr>
          <w:rFonts w:ascii="Palatino Linotype" w:eastAsia="Palatino Linotype" w:hAnsi="Palatino Linotype" w:cs="Palatino Linotype"/>
          <w:b/>
          <w:bCs/>
          <w:sz w:val="22"/>
          <w:szCs w:val="22"/>
        </w:rPr>
        <w:t xml:space="preserve">la negativa de acceso a la información </w:t>
      </w:r>
      <w:r w:rsidRPr="00060B43">
        <w:rPr>
          <w:rFonts w:ascii="Palatino Linotype" w:eastAsia="Palatino Linotype" w:hAnsi="Palatino Linotype" w:cs="Palatino Linotype"/>
          <w:sz w:val="22"/>
          <w:szCs w:val="22"/>
        </w:rPr>
        <w:t xml:space="preserve">ocurre cuando de manera fundada y motivada, una autoridad la niega o la limita, por alguna de las siguientes razones: </w:t>
      </w:r>
    </w:p>
    <w:p w14:paraId="044E3767" w14:textId="77777777" w:rsidR="00B341BD" w:rsidRPr="00060B43" w:rsidRDefault="00F138DD">
      <w:pPr>
        <w:numPr>
          <w:ilvl w:val="0"/>
          <w:numId w:val="2"/>
        </w:numPr>
        <w:pBdr>
          <w:top w:val="nil"/>
          <w:left w:val="nil"/>
          <w:bottom w:val="nil"/>
          <w:right w:val="nil"/>
          <w:between w:val="nil"/>
        </w:pBdr>
        <w:spacing w:before="240" w:after="240" w:line="360" w:lineRule="auto"/>
        <w:jc w:val="both"/>
        <w:rPr>
          <w:b/>
          <w:bCs/>
          <w:sz w:val="22"/>
          <w:szCs w:val="22"/>
        </w:rPr>
      </w:pPr>
      <w:r w:rsidRPr="00060B43">
        <w:rPr>
          <w:rFonts w:ascii="Palatino Linotype" w:eastAsia="Palatino Linotype" w:hAnsi="Palatino Linotype" w:cs="Palatino Linotype"/>
          <w:b/>
          <w:bCs/>
          <w:sz w:val="22"/>
          <w:szCs w:val="22"/>
        </w:rPr>
        <w:t xml:space="preserve">La inexistencia de la información (p. 171): </w:t>
      </w:r>
      <w:r w:rsidRPr="00060B43">
        <w:rPr>
          <w:rFonts w:ascii="Palatino Linotype" w:eastAsia="Palatino Linotype" w:hAnsi="Palatino Linotype" w:cs="Palatino Linotype"/>
          <w:sz w:val="22"/>
          <w:szCs w:val="22"/>
        </w:rPr>
        <w:t>Sucede cuando la información solicitada no se encuentra en los archivos públicos o clasificados de los entes sujetos a las Leyes de Transparencia.</w:t>
      </w:r>
    </w:p>
    <w:p w14:paraId="47B024C9" w14:textId="77777777" w:rsidR="00B341BD" w:rsidRPr="00060B43" w:rsidRDefault="00F138DD">
      <w:pPr>
        <w:numPr>
          <w:ilvl w:val="0"/>
          <w:numId w:val="2"/>
        </w:numPr>
        <w:pBdr>
          <w:top w:val="nil"/>
          <w:left w:val="nil"/>
          <w:bottom w:val="nil"/>
          <w:right w:val="nil"/>
          <w:between w:val="nil"/>
        </w:pBdr>
        <w:spacing w:before="240" w:after="240" w:line="360" w:lineRule="auto"/>
        <w:jc w:val="both"/>
        <w:rPr>
          <w:b/>
          <w:bCs/>
          <w:sz w:val="22"/>
          <w:szCs w:val="22"/>
        </w:rPr>
      </w:pPr>
      <w:r w:rsidRPr="00060B43">
        <w:rPr>
          <w:rFonts w:ascii="Palatino Linotype" w:eastAsia="Palatino Linotype" w:hAnsi="Palatino Linotype" w:cs="Palatino Linotype"/>
          <w:b/>
          <w:bCs/>
          <w:sz w:val="22"/>
          <w:szCs w:val="22"/>
        </w:rPr>
        <w:t xml:space="preserve">La incompetencia del Sujeto Obligado (p. 171): </w:t>
      </w:r>
      <w:r w:rsidRPr="00060B43">
        <w:rPr>
          <w:rFonts w:ascii="Palatino Linotype" w:eastAsia="Palatino Linotype" w:hAnsi="Palatino Linotype" w:cs="Palatino Linotype"/>
          <w:sz w:val="22"/>
          <w:szCs w:val="22"/>
        </w:rPr>
        <w:t>Ocurre cuando el Sujeto Obligado carece de atribuciones para poseer la información peticionada.</w:t>
      </w:r>
    </w:p>
    <w:p w14:paraId="4B801FF7" w14:textId="77777777" w:rsidR="00B341BD" w:rsidRPr="00060B43" w:rsidRDefault="00F138DD">
      <w:pPr>
        <w:numPr>
          <w:ilvl w:val="0"/>
          <w:numId w:val="2"/>
        </w:numPr>
        <w:pBdr>
          <w:top w:val="nil"/>
          <w:left w:val="nil"/>
          <w:bottom w:val="nil"/>
          <w:right w:val="nil"/>
          <w:between w:val="nil"/>
        </w:pBdr>
        <w:spacing w:before="240" w:after="240" w:line="360" w:lineRule="auto"/>
        <w:jc w:val="both"/>
        <w:rPr>
          <w:b/>
          <w:bCs/>
          <w:sz w:val="22"/>
          <w:szCs w:val="22"/>
        </w:rPr>
      </w:pPr>
      <w:r w:rsidRPr="00060B43">
        <w:rPr>
          <w:rFonts w:ascii="Palatino Linotype" w:eastAsia="Palatino Linotype" w:hAnsi="Palatino Linotype" w:cs="Palatino Linotype"/>
          <w:b/>
          <w:bCs/>
          <w:sz w:val="22"/>
          <w:szCs w:val="22"/>
        </w:rPr>
        <w:t xml:space="preserve">La clasificación de la información (p. 70): </w:t>
      </w:r>
      <w:r w:rsidRPr="00060B43">
        <w:rPr>
          <w:rFonts w:ascii="Palatino Linotype" w:eastAsia="Palatino Linotype" w:hAnsi="Palatino Linotype" w:cs="Palatino Linotype"/>
          <w:sz w:val="22"/>
          <w:szCs w:val="22"/>
        </w:rPr>
        <w:t>Es el proceso o conjunto de acciones que realizan los sujetos obligados para establecer que determinada información se encuentra en alguno de los supuestos de reserva o confidencialidad establecidos en la legislación en materia de transparencia.</w:t>
      </w:r>
    </w:p>
    <w:p w14:paraId="0D57249E" w14:textId="77777777" w:rsidR="00B341BD" w:rsidRPr="00060B43" w:rsidRDefault="00F138DD">
      <w:pPr>
        <w:spacing w:before="240" w:after="240"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sz w:val="22"/>
          <w:szCs w:val="22"/>
        </w:rPr>
        <w:t xml:space="preserve">En ese orden de ideas y en atención a lo anterior, las excepciones al derecho de acceso a la información, consisten en que la documentación sea inexistente, </w:t>
      </w:r>
      <w:r w:rsidRPr="00060B43">
        <w:rPr>
          <w:rFonts w:ascii="Palatino Linotype" w:eastAsia="Palatino Linotype" w:hAnsi="Palatino Linotype" w:cs="Palatino Linotype"/>
          <w:b/>
          <w:bCs/>
          <w:sz w:val="22"/>
          <w:szCs w:val="22"/>
        </w:rPr>
        <w:t>se encuentre clasificada</w:t>
      </w:r>
      <w:r w:rsidRPr="00060B43">
        <w:rPr>
          <w:rFonts w:ascii="Palatino Linotype" w:eastAsia="Palatino Linotype" w:hAnsi="Palatino Linotype" w:cs="Palatino Linotype"/>
          <w:sz w:val="22"/>
          <w:szCs w:val="22"/>
        </w:rPr>
        <w:t xml:space="preserve">, o bien, el Sujeto Obligado sea incompetente para contar con esta; esto es, la negativa de acceso a la información, recae cuando la documentación no se encuentre en los archivos del sujeto obligado, o bien exista, pero no pueda proporcionarse por contener datos </w:t>
      </w:r>
      <w:r w:rsidRPr="00060B43">
        <w:rPr>
          <w:rFonts w:ascii="Palatino Linotype" w:eastAsia="Palatino Linotype" w:hAnsi="Palatino Linotype" w:cs="Palatino Linotype"/>
          <w:b/>
          <w:bCs/>
          <w:sz w:val="22"/>
          <w:szCs w:val="22"/>
        </w:rPr>
        <w:t>confidenciales o reservados.</w:t>
      </w:r>
    </w:p>
    <w:p w14:paraId="63248BBA"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Así, en los artículos 122, 128 y 130 de la Ley Transparencia y Acceso a la Información Pública del Estado de México y Municipios, se prevé que </w:t>
      </w:r>
      <w:r w:rsidRPr="00060B43">
        <w:rPr>
          <w:rFonts w:ascii="Palatino Linotype" w:eastAsia="Palatino Linotype" w:hAnsi="Palatino Linotype" w:cs="Palatino Linotype"/>
          <w:b/>
          <w:bCs/>
          <w:sz w:val="22"/>
          <w:szCs w:val="22"/>
        </w:rPr>
        <w:t xml:space="preserve">la clasificación </w:t>
      </w:r>
      <w:r w:rsidRPr="00060B43">
        <w:rPr>
          <w:rFonts w:ascii="Palatino Linotype" w:eastAsia="Palatino Linotype" w:hAnsi="Palatino Linotype" w:cs="Palatino Linotype"/>
          <w:sz w:val="22"/>
          <w:szCs w:val="22"/>
        </w:rPr>
        <w:t>es el proceso mediante el cual los sujetos obligados determinan que la información en su poder, actualiza alguno de los supuestos de reserva o confidencialidad. Además, que dichos entes deberán aplicar de manera restrictiva y limitada, las excepciones al derecho de acceso a la información, por lo que, tendrán que acreditar la procedencia.</w:t>
      </w:r>
    </w:p>
    <w:p w14:paraId="0C113F9B"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Por lo cual, en los casos en que se niegue el acceso a la información, por actualizarse alguno de los supuestos de clasificación, </w:t>
      </w:r>
      <w:r w:rsidRPr="00060B43">
        <w:rPr>
          <w:rFonts w:ascii="Palatino Linotype" w:eastAsia="Palatino Linotype" w:hAnsi="Palatino Linotype" w:cs="Palatino Linotype"/>
          <w:b/>
          <w:bCs/>
          <w:sz w:val="22"/>
          <w:szCs w:val="22"/>
        </w:rPr>
        <w:t xml:space="preserve">el Comité de Transparencia deberá confirmar, modificar o revocar la decisión; </w:t>
      </w:r>
      <w:r w:rsidRPr="00060B43">
        <w:rPr>
          <w:rFonts w:ascii="Palatino Linotype" w:eastAsia="Palatino Linotype" w:hAnsi="Palatino Linotype" w:cs="Palatino Linotype"/>
          <w:sz w:val="22"/>
          <w:szCs w:val="22"/>
        </w:rPr>
        <w:t>además, deberá motivar la confirmación de dicha situación, señalando las razones, motivos o circunstancias especiales que llevaron al sujeto obligado a concluir que en el caso particular se ajusta al supuesto previsto por la norma legal invocada como fundamento.</w:t>
      </w:r>
    </w:p>
    <w:p w14:paraId="0CC1D968" w14:textId="77777777" w:rsidR="00B341BD" w:rsidRPr="00060B43" w:rsidRDefault="00F138DD">
      <w:pPr>
        <w:spacing w:before="240" w:after="240" w:line="360" w:lineRule="auto"/>
        <w:jc w:val="both"/>
        <w:rPr>
          <w:rFonts w:ascii="Palatino Linotype" w:eastAsia="Palatino Linotype" w:hAnsi="Palatino Linotype" w:cs="Palatino Linotype"/>
          <w:b/>
          <w:bCs/>
          <w:sz w:val="22"/>
          <w:szCs w:val="22"/>
        </w:rPr>
      </w:pPr>
      <w:r w:rsidRPr="00060B43">
        <w:rPr>
          <w:rFonts w:ascii="Palatino Linotype" w:eastAsia="Palatino Linotype" w:hAnsi="Palatino Linotype" w:cs="Palatino Linotype"/>
          <w:sz w:val="22"/>
          <w:szCs w:val="22"/>
        </w:rPr>
        <w:t xml:space="preserve">Por su parte, según Bonifaz, Leticia (2016), en la “Ley General de Transparencia y Acceso a la Información Pública Comentada” (p. 342), la </w:t>
      </w:r>
      <w:r w:rsidRPr="00060B43">
        <w:rPr>
          <w:rFonts w:ascii="Palatino Linotype" w:eastAsia="Palatino Linotype" w:hAnsi="Palatino Linotype" w:cs="Palatino Linotype"/>
          <w:b/>
          <w:bCs/>
          <w:sz w:val="22"/>
          <w:szCs w:val="22"/>
        </w:rPr>
        <w:t>clasificación de la información</w:t>
      </w:r>
      <w:r w:rsidRPr="00060B43">
        <w:rPr>
          <w:rFonts w:ascii="Palatino Linotype" w:eastAsia="Palatino Linotype" w:hAnsi="Palatino Linotype" w:cs="Palatino Linotype"/>
          <w:sz w:val="22"/>
          <w:szCs w:val="22"/>
        </w:rPr>
        <w:t xml:space="preserve">, ocurre cuando la autoridad niega el acceso a esta, por ser confidencial o reservada, para lo cual, los sujetos obligados, deberán realizar el proceso de clasificación, a la luz de los principios y disposiciones establecidas en las Leyes de Transparencia, fundando y motivando, </w:t>
      </w:r>
      <w:r w:rsidRPr="00060B43">
        <w:rPr>
          <w:rFonts w:ascii="Palatino Linotype" w:eastAsia="Palatino Linotype" w:hAnsi="Palatino Linotype" w:cs="Palatino Linotype"/>
          <w:b/>
          <w:bCs/>
          <w:sz w:val="22"/>
          <w:szCs w:val="22"/>
        </w:rPr>
        <w:t>de manera adecuada, la negativa de información.</w:t>
      </w:r>
    </w:p>
    <w:p w14:paraId="03BE11D3" w14:textId="77777777" w:rsidR="00B341BD" w:rsidRPr="00060B43" w:rsidRDefault="00F138DD">
      <w:pPr>
        <w:spacing w:before="240" w:after="240" w:line="360" w:lineRule="auto"/>
        <w:ind w:right="51"/>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el presente caso, la persona servidora pública habilitada de la Oficialía Mayor no señaló que era inexistente la información; al contrario, precisó que no podía proporcionarla al considerarse como información reservada; por lo que es posible concluir que  esta se generó y obra en los archivos del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siendo la clasificación y la inexistencia dos figuras que no pueden coexistir, como se desprende del criterio orientador con clave de control SO/012/2023, emitido por el entonces Instituto Nacional de Transparencia, Acceso a la Información y Protección de Datos Personales, INAI</w:t>
      </w:r>
      <w:r w:rsidRPr="00060B43">
        <w:rPr>
          <w:rFonts w:ascii="Palatino Linotype" w:eastAsia="Palatino Linotype" w:hAnsi="Palatino Linotype" w:cs="Palatino Linotype"/>
          <w:b/>
          <w:bCs/>
          <w:sz w:val="22"/>
          <w:szCs w:val="22"/>
        </w:rPr>
        <w:t xml:space="preserve">, </w:t>
      </w:r>
      <w:r w:rsidRPr="00060B43">
        <w:rPr>
          <w:rFonts w:ascii="Palatino Linotype" w:eastAsia="Palatino Linotype" w:hAnsi="Palatino Linotype" w:cs="Palatino Linotype"/>
          <w:sz w:val="22"/>
          <w:szCs w:val="22"/>
        </w:rPr>
        <w:t xml:space="preserve">el cual refiere lo siguiente: </w:t>
      </w:r>
    </w:p>
    <w:p w14:paraId="2DBE711E" w14:textId="77777777" w:rsidR="00B341BD" w:rsidRPr="00060B43" w:rsidRDefault="00F138DD">
      <w:pPr>
        <w:spacing w:before="67"/>
        <w:ind w:left="851"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“Respuesta a solicitud de acceso. La clasificación y la inexistencia de información son conceptos que no pueden coexistir. </w:t>
      </w:r>
      <w:r w:rsidRPr="00060B43">
        <w:rPr>
          <w:rFonts w:ascii="Palatino Linotype" w:eastAsia="Palatino Linotype" w:hAnsi="Palatino Linotype" w:cs="Palatino Linotype"/>
          <w:i/>
          <w:iCs/>
          <w:sz w:val="22"/>
          <w:szCs w:val="22"/>
        </w:rPr>
        <w:t xml:space="preserve">La inexistencia implica necesariamente que la información no se encuentra en los archivos de la autoridad, no obstante que la dependencia o entidad cuente con facultades para poseer dicha información. En este sentido, la inexistencia es una calidad que se atribuye a la información solicitada. Por su parte, la clasificación es el proceso mediante el cual el sujeto obligado determina que la información en su poder actualiza alguno de los supuestos de reserva o confidencialidad, por lo que se trata de una característica que adquiere la información contenida en un documento específico. Por lo anterior, </w:t>
      </w:r>
      <w:r w:rsidRPr="00060B43">
        <w:rPr>
          <w:rFonts w:ascii="Palatino Linotype" w:eastAsia="Palatino Linotype" w:hAnsi="Palatino Linotype" w:cs="Palatino Linotype"/>
          <w:b/>
          <w:bCs/>
          <w:i/>
          <w:iCs/>
          <w:sz w:val="22"/>
          <w:szCs w:val="22"/>
        </w:rPr>
        <w:t>la clasificación y la inexistencia no coexisten entre sí, en virtud de que la clasificación de información implica invariablemente la existencia de un documento o documentos determinados, mientras que la inexistencia conlleva la ausencia de los mismos en los archivos de la dependencia o entidad de que se trate.”</w:t>
      </w:r>
    </w:p>
    <w:p w14:paraId="7E065ED7"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Sobre el tema cabe mencionar que por regla general, toda la información que generen, administren y/o posean los Sujetos Obligados, es considerada información pública, pues al ser entes que ejercen recursos públicos tienen la obligación de rendir cuentas y asumir responsabilidades ante los ciudadanos derivado del ejercicio de sus atribuciones, garantizando así el Derecho humano de acceso a la información pública, sin embargo, </w:t>
      </w:r>
      <w:r w:rsidRPr="00060B43">
        <w:rPr>
          <w:rFonts w:ascii="Palatino Linotype" w:eastAsia="Palatino Linotype" w:hAnsi="Palatino Linotype" w:cs="Palatino Linotype"/>
          <w:b/>
          <w:bCs/>
          <w:sz w:val="22"/>
          <w:szCs w:val="22"/>
        </w:rPr>
        <w:t>dicho derecho puede ser restringido de manera excepcional</w:t>
      </w:r>
      <w:r w:rsidRPr="00060B43">
        <w:rPr>
          <w:rFonts w:ascii="Palatino Linotype" w:eastAsia="Palatino Linotype" w:hAnsi="Palatino Linotype" w:cs="Palatino Linotype"/>
          <w:sz w:val="22"/>
          <w:szCs w:val="22"/>
        </w:rPr>
        <w:t>, en los términos de las causas legítimas y estrictamente necesarias previstas por la Ley, como se desprende del artículo 91 de la Ley de la Materia que es del tenor literal siguiente:</w:t>
      </w:r>
    </w:p>
    <w:p w14:paraId="5571613B" w14:textId="77777777" w:rsidR="00B341BD" w:rsidRPr="00060B43" w:rsidRDefault="00F138DD">
      <w:pPr>
        <w:ind w:left="851"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“Artículo 91. </w:t>
      </w:r>
      <w:r w:rsidRPr="00060B43">
        <w:rPr>
          <w:rFonts w:ascii="Palatino Linotype" w:eastAsia="Palatino Linotype" w:hAnsi="Palatino Linotype" w:cs="Palatino Linotype"/>
          <w:i/>
          <w:iCs/>
          <w:sz w:val="22"/>
          <w:szCs w:val="22"/>
        </w:rPr>
        <w:t>El acceso a la información pública será restringido  excepcionalmente, cuando ésta sea clasificada como reservada o confidencial.”</w:t>
      </w:r>
    </w:p>
    <w:p w14:paraId="79ABE979"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Es importante mencionar que la restricción al derecho de acceso a la información implica necesariamente una clasificación, la cual debe entenderse como el proceso mediante el cual el Sujeto Obligado determina que la información en su poder, actualiza alguno de los supuestos de reserva o confidencialidad, de conformidad con las normas aplicables.</w:t>
      </w:r>
    </w:p>
    <w:p w14:paraId="5328CD61"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La Ley de Transparencia y Acceso a la Información Pública del Estado de México y Municipios, define como </w:t>
      </w:r>
      <w:r w:rsidRPr="00060B43">
        <w:rPr>
          <w:rFonts w:ascii="Palatino Linotype" w:eastAsia="Palatino Linotype" w:hAnsi="Palatino Linotype" w:cs="Palatino Linotype"/>
          <w:b/>
          <w:bCs/>
          <w:sz w:val="22"/>
          <w:szCs w:val="22"/>
        </w:rPr>
        <w:t xml:space="preserve">información reservada </w:t>
      </w:r>
      <w:r w:rsidRPr="00060B43">
        <w:rPr>
          <w:rFonts w:ascii="Palatino Linotype" w:eastAsia="Palatino Linotype" w:hAnsi="Palatino Linotype" w:cs="Palatino Linotype"/>
          <w:sz w:val="22"/>
          <w:szCs w:val="22"/>
        </w:rPr>
        <w:t xml:space="preserve">a la información pública clasificada con este carácter de manera temporal por las disposiciones de la Ley de la Materia, cuya divulgación puede causar daños a las  seguridad pública, y como </w:t>
      </w:r>
      <w:r w:rsidRPr="00060B43">
        <w:rPr>
          <w:rFonts w:ascii="Palatino Linotype" w:eastAsia="Palatino Linotype" w:hAnsi="Palatino Linotype" w:cs="Palatino Linotype"/>
          <w:b/>
          <w:bCs/>
          <w:sz w:val="22"/>
          <w:szCs w:val="22"/>
        </w:rPr>
        <w:t>información confidencial</w:t>
      </w:r>
      <w:r w:rsidRPr="00060B43">
        <w:rPr>
          <w:rFonts w:ascii="Palatino Linotype" w:eastAsia="Palatino Linotype" w:hAnsi="Palatino Linotype" w:cs="Palatino Linotype"/>
          <w:sz w:val="22"/>
          <w:szCs w:val="22"/>
        </w:rPr>
        <w:t xml:space="preserve">, la relacionada con los secretos bancario, fiduciario, industrial, comercial, fiscal, bursátil y postal, cuya titularidad corresponda a particulares, sujetos de derecho internacional o sujetos obligados cuando no involucren el ejercicio de recursos públicos, así como la información privada contenida en documentos públicos o privados que refiera a la vida privada y/o los datos personales, que no son de acceso público. </w:t>
      </w:r>
    </w:p>
    <w:p w14:paraId="5F5BD6FB"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lo que se refiere a la información clasificada como reservada, para que el acceso a la información pública pueda ser restringido, se deben actualizar los supuestos establecidos en el artículo 140 de la Ley de Transparencia y Acceso a la Información Pública del Estado de México y Municipios, que a la letra señala lo siguiente:</w:t>
      </w:r>
    </w:p>
    <w:p w14:paraId="615345BB"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Artículo 140</w:t>
      </w:r>
      <w:r w:rsidRPr="00060B43">
        <w:rPr>
          <w:rFonts w:ascii="Palatino Linotype" w:eastAsia="Palatino Linotype" w:hAnsi="Palatino Linotype" w:cs="Palatino Linotype"/>
          <w:i/>
          <w:iCs/>
          <w:sz w:val="22"/>
          <w:szCs w:val="22"/>
        </w:rPr>
        <w:t xml:space="preserve">. El acceso a la información pública será restringido excepcionalmente, cuando por razones de interés público, ésta sea clasificada como reservada, conforme a los criterios siguientes: </w:t>
      </w:r>
    </w:p>
    <w:p w14:paraId="52A6FC03"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w:t>
      </w:r>
      <w:r w:rsidRPr="00060B43">
        <w:rPr>
          <w:rFonts w:ascii="Palatino Linotype" w:eastAsia="Palatino Linotype" w:hAnsi="Palatino Linotype" w:cs="Palatino Linotype"/>
          <w:i/>
          <w:iCs/>
          <w:sz w:val="22"/>
          <w:szCs w:val="22"/>
        </w:rPr>
        <w:t xml:space="preserve">. Comprometa la seguridad pública y cuente con un propósito genuino y un efecto demostrable; </w:t>
      </w:r>
    </w:p>
    <w:p w14:paraId="6B1EDA33"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w:t>
      </w:r>
      <w:r w:rsidRPr="00060B43">
        <w:rPr>
          <w:rFonts w:ascii="Palatino Linotype" w:eastAsia="Palatino Linotype" w:hAnsi="Palatino Linotype" w:cs="Palatino Linotype"/>
          <w:i/>
          <w:iCs/>
          <w:sz w:val="22"/>
          <w:szCs w:val="22"/>
        </w:rPr>
        <w:t xml:space="preserve"> Pueda menoscabar la conducción de las negociaciones y relaciones internacionales; </w:t>
      </w:r>
    </w:p>
    <w:p w14:paraId="19A5D1F0"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III.</w:t>
      </w:r>
      <w:r w:rsidRPr="00060B43">
        <w:rPr>
          <w:rFonts w:ascii="Palatino Linotype" w:eastAsia="Palatino Linotype" w:hAnsi="Palatino Linotype" w:cs="Palatino Linotype"/>
          <w:i/>
          <w:iCs/>
          <w:sz w:val="22"/>
          <w:szCs w:val="22"/>
        </w:rPr>
        <w:t xml:space="preserve"> Se entregue a la Entidad expresamente con ese carácter o el de confidencialidad por otro u otros sujetos de derecho internacional, excepto cuando se trate de violaciones graves de derechos humanos o delitos de lesa humanidad de conformidad con el derecho internacional; </w:t>
      </w:r>
    </w:p>
    <w:p w14:paraId="09739DF6"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IV.</w:t>
      </w:r>
      <w:r w:rsidRPr="00060B43">
        <w:rPr>
          <w:rFonts w:ascii="Palatino Linotype" w:eastAsia="Palatino Linotype" w:hAnsi="Palatino Linotype" w:cs="Palatino Linotype"/>
          <w:i/>
          <w:iCs/>
          <w:sz w:val="22"/>
          <w:szCs w:val="22"/>
        </w:rPr>
        <w:t xml:space="preserve"> Ponga en riesgo la vida, la seguridad o la salud de una persona física; </w:t>
      </w:r>
    </w:p>
    <w:p w14:paraId="337F9B91"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V</w:t>
      </w:r>
      <w:r w:rsidRPr="00060B43">
        <w:rPr>
          <w:rFonts w:ascii="Palatino Linotype" w:eastAsia="Palatino Linotype" w:hAnsi="Palatino Linotype" w:cs="Palatino Linotype"/>
          <w:i/>
          <w:iCs/>
          <w:sz w:val="22"/>
          <w:szCs w:val="22"/>
        </w:rPr>
        <w:t xml:space="preserve">. Aquella cuya divulgación obstruya o pueda causar un serio perjuicio a: </w:t>
      </w:r>
    </w:p>
    <w:p w14:paraId="417FE22B"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1. Las actividades de fiscalización, verificación, inspección, comprobación y auditoría sobre el cumplimiento de las Leyes; o </w:t>
      </w:r>
    </w:p>
    <w:p w14:paraId="621452F3"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2. La recaudación de las contribuciones. </w:t>
      </w:r>
    </w:p>
    <w:p w14:paraId="40BF317C"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VI</w:t>
      </w:r>
      <w:r w:rsidRPr="00060B43">
        <w:rPr>
          <w:rFonts w:ascii="Palatino Linotype" w:eastAsia="Palatino Linotype" w:hAnsi="Palatino Linotype" w:cs="Palatino Linotype"/>
          <w:i/>
          <w:iCs/>
          <w:sz w:val="22"/>
          <w:szCs w:val="22"/>
        </w:rPr>
        <w:t xml:space="preserve">. 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 </w:t>
      </w:r>
    </w:p>
    <w:p w14:paraId="01DA2988"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VII.</w:t>
      </w:r>
      <w:r w:rsidRPr="00060B43">
        <w:rPr>
          <w:rFonts w:ascii="Palatino Linotype" w:eastAsia="Palatino Linotype" w:hAnsi="Palatino Linotype" w:cs="Palatino Linotype"/>
          <w:i/>
          <w:iCs/>
          <w:sz w:val="22"/>
          <w:szCs w:val="22"/>
        </w:rPr>
        <w:t xml:space="preserve"> La que contengan las opiniones, recomendaciones o puntos de vista que formen parte del proceso deliberativo de los servidores públicos, hasta en tanto sea adoptada la decisión definitiva, la cual deberá estar documentada; </w:t>
      </w:r>
    </w:p>
    <w:p w14:paraId="297804D3"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VIII.</w:t>
      </w:r>
      <w:r w:rsidRPr="00060B43">
        <w:rPr>
          <w:rFonts w:ascii="Palatino Linotype" w:eastAsia="Palatino Linotype" w:hAnsi="Palatino Linotype" w:cs="Palatino Linotype"/>
          <w:i/>
          <w:iCs/>
          <w:sz w:val="22"/>
          <w:szCs w:val="22"/>
        </w:rPr>
        <w:t xml:space="preserve"> Vulnere la conducción de los expedientes judiciales o de los procedimientos administrativos seguidos en forma de juicio, en tanto no hayan quedado firmes; </w:t>
      </w:r>
    </w:p>
    <w:p w14:paraId="7C5DD1E4"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IX</w:t>
      </w:r>
      <w:r w:rsidRPr="00060B43">
        <w:rPr>
          <w:rFonts w:ascii="Palatino Linotype" w:eastAsia="Palatino Linotype" w:hAnsi="Palatino Linotype" w:cs="Palatino Linotype"/>
          <w:i/>
          <w:iCs/>
          <w:sz w:val="22"/>
          <w:szCs w:val="22"/>
        </w:rPr>
        <w:t xml:space="preserve">. Se encuentre contenida dentro de las investigaciones de hechos que la Ley señale como delitos y se tramiten ante el Ministerio Público; </w:t>
      </w:r>
    </w:p>
    <w:p w14:paraId="364A145C"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X.</w:t>
      </w:r>
      <w:r w:rsidRPr="00060B43">
        <w:rPr>
          <w:rFonts w:ascii="Palatino Linotype" w:eastAsia="Palatino Linotype" w:hAnsi="Palatino Linotype" w:cs="Palatino Linotype"/>
          <w:i/>
          <w:iCs/>
          <w:sz w:val="22"/>
          <w:szCs w:val="22"/>
        </w:rPr>
        <w:t xml:space="preserve"> El daño que pueda producirse con la publicación de la información sea mayor que el interés público de conocer la información de referencia, siempre que esté directamente relacionado con procesos o procedimientos administrativos o judiciales que no hayan quedado firmes; </w:t>
      </w:r>
    </w:p>
    <w:p w14:paraId="52FBE310" w14:textId="77777777" w:rsidR="00B341BD" w:rsidRPr="00060B43" w:rsidRDefault="00F138DD">
      <w:pPr>
        <w:spacing w:before="120" w:after="120"/>
        <w:ind w:left="851" w:right="851"/>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 </w:t>
      </w:r>
    </w:p>
    <w:p w14:paraId="2442CE42" w14:textId="77777777" w:rsidR="00B341BD" w:rsidRPr="00060B43" w:rsidRDefault="00F138DD">
      <w:pPr>
        <w:spacing w:before="120" w:after="120"/>
        <w:ind w:left="851" w:right="851"/>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i/>
          <w:iCs/>
          <w:sz w:val="22"/>
          <w:szCs w:val="22"/>
        </w:rPr>
        <w:t>XI.</w:t>
      </w:r>
      <w:r w:rsidRPr="00060B43">
        <w:rPr>
          <w:rFonts w:ascii="Palatino Linotype" w:eastAsia="Palatino Linotype" w:hAnsi="Palatino Linotype" w:cs="Palatino Linotype"/>
          <w:i/>
          <w:iCs/>
          <w:sz w:val="22"/>
          <w:szCs w:val="22"/>
        </w:rPr>
        <w:t xml:space="preserve"> Las que por disposición expresa de una ley tengan tal carácter, siempre que sean acordes con las bases, principios y disposiciones establecidos en esta Ley y no la contravengan; así como las previstas</w:t>
      </w:r>
    </w:p>
    <w:p w14:paraId="31EF6D9A" w14:textId="77777777" w:rsidR="00B341BD" w:rsidRPr="00060B43" w:rsidRDefault="00F138DD">
      <w:pPr>
        <w:spacing w:before="280" w:after="28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494C8C8E" w14:textId="77777777" w:rsidR="00B341BD" w:rsidRPr="00060B43" w:rsidRDefault="00F138DD">
      <w:pPr>
        <w:numPr>
          <w:ilvl w:val="0"/>
          <w:numId w:val="3"/>
        </w:numPr>
        <w:tabs>
          <w:tab w:val="left" w:pos="851"/>
        </w:tabs>
        <w:spacing w:before="280" w:line="360" w:lineRule="auto"/>
        <w:ind w:left="567" w:firstLine="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Se reciba una solicitud de acceso a la información;</w:t>
      </w:r>
    </w:p>
    <w:p w14:paraId="18B8F4BC" w14:textId="77777777" w:rsidR="00B341BD" w:rsidRPr="00060B43" w:rsidRDefault="00F138DD">
      <w:pPr>
        <w:numPr>
          <w:ilvl w:val="0"/>
          <w:numId w:val="3"/>
        </w:numPr>
        <w:tabs>
          <w:tab w:val="left" w:pos="851"/>
        </w:tabs>
        <w:spacing w:line="360" w:lineRule="auto"/>
        <w:ind w:left="567" w:firstLine="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Se determine mediante resolución de autoridad competente; y/o</w:t>
      </w:r>
    </w:p>
    <w:p w14:paraId="0A919F46" w14:textId="77777777" w:rsidR="00B341BD" w:rsidRPr="00060B43" w:rsidRDefault="00F138DD">
      <w:pPr>
        <w:numPr>
          <w:ilvl w:val="0"/>
          <w:numId w:val="3"/>
        </w:numPr>
        <w:tabs>
          <w:tab w:val="left" w:pos="851"/>
        </w:tabs>
        <w:spacing w:after="280" w:line="360" w:lineRule="auto"/>
        <w:ind w:left="567" w:firstLine="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Se generen versiones públicas para dar cumplimiento a las obligaciones de transparencia previstas en la Ley.</w:t>
      </w:r>
    </w:p>
    <w:p w14:paraId="0F980524" w14:textId="77777777" w:rsidR="00B341BD" w:rsidRPr="00060B43" w:rsidRDefault="00F138DD">
      <w:pPr>
        <w:spacing w:before="240" w:after="240" w:line="360" w:lineRule="auto"/>
        <w:ind w:right="13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Asimismo, los Sujetos Obligados deben observar, además, lo dispuesto en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que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5609FF35" w14:textId="77777777" w:rsidR="00B341BD" w:rsidRPr="00060B43" w:rsidRDefault="00F138DD">
      <w:pPr>
        <w:spacing w:before="240" w:after="240" w:line="360" w:lineRule="auto"/>
        <w:ind w:right="13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relación con las implicaciones anteriores, es de precisar que la clasificación de la información no se da por el simple mandato de la Ley, sino que es necesario que los Sujetos Obligados, cuando clasifiquen algún documento o información, ya sea todo o en parte, atiendan lo dispuesto por la Ley de la materia, siendo los titulares de las áreas los responsables de clasificar la información </w:t>
      </w:r>
      <w:r w:rsidRPr="00060B43">
        <w:rPr>
          <w:rFonts w:ascii="Palatino Linotype" w:eastAsia="Palatino Linotype" w:hAnsi="Palatino Linotype" w:cs="Palatino Linotype"/>
          <w:b/>
          <w:bCs/>
          <w:sz w:val="22"/>
          <w:szCs w:val="22"/>
        </w:rPr>
        <w:t>mediante el Comité de Transparencia</w:t>
      </w:r>
      <w:r w:rsidRPr="00060B43">
        <w:rPr>
          <w:rFonts w:ascii="Palatino Linotype" w:eastAsia="Palatino Linotype" w:hAnsi="Palatino Linotype" w:cs="Palatino Linotype"/>
          <w:sz w:val="22"/>
          <w:szCs w:val="22"/>
        </w:rPr>
        <w:t xml:space="preserve"> por ser la autoridad máxima al interior de los Sujetos Obligados, al ser éste un Cuerpo Colegiado que se integra para resolver sobre la información que debe clasificarse, así como para atender y resolver los requerimientos de las Unidades de Transparencia y del Instituto.</w:t>
      </w:r>
    </w:p>
    <w:p w14:paraId="589078E2"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 otras palabras, la clasificación es un trabajo en conjunto tanto de los Servidores Públicos Habilitados, de las Unidades de Transparencia y del Comité de Transparencia de los Sujetos Obligados, teniendo el deber los primeros de ellos de presentar ante la Unidad de Transparencia la propuesta de la clasificación de la información, para que luego, de así resultar procedente el proyecto de clasificación de la información se presente ante al Comité de Transparencia, y que finalmente, sea este último quien apruebe, modifique o revoque la misma, como se desprende de los artículos 49 fracciones II y VIII, 53 fracción X, y 59 fracción V, de la Ley de Transparencia y Acceso a la Información Pública del Estado de México y Municipios.</w:t>
      </w:r>
    </w:p>
    <w:p w14:paraId="397A4DC5" w14:textId="77777777" w:rsidR="00B341BD" w:rsidRPr="00060B43" w:rsidRDefault="00F138D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Por lo tanto, la restricción al Derecho de acceso a la información debe sustentarse </w:t>
      </w:r>
      <w:r w:rsidRPr="00060B43">
        <w:rPr>
          <w:rFonts w:ascii="Palatino Linotype" w:eastAsia="Palatino Linotype" w:hAnsi="Palatino Linotype" w:cs="Palatino Linotype"/>
          <w:b/>
          <w:bCs/>
          <w:sz w:val="22"/>
          <w:szCs w:val="22"/>
          <w:u w:val="single"/>
        </w:rPr>
        <w:t>necesariamente del Acuerdo del Comité de Transparencia</w:t>
      </w:r>
      <w:r w:rsidRPr="00060B43">
        <w:rPr>
          <w:rFonts w:ascii="Palatino Linotype" w:eastAsia="Palatino Linotype" w:hAnsi="Palatino Linotype" w:cs="Palatino Linotype"/>
          <w:b/>
          <w:bCs/>
          <w:sz w:val="22"/>
          <w:szCs w:val="22"/>
        </w:rPr>
        <w:t xml:space="preserve"> </w:t>
      </w:r>
      <w:r w:rsidRPr="00060B43">
        <w:rPr>
          <w:rFonts w:ascii="Palatino Linotype" w:eastAsia="Palatino Linotype" w:hAnsi="Palatino Linotype" w:cs="Palatino Linotype"/>
          <w:sz w:val="22"/>
          <w:szCs w:val="22"/>
        </w:rPr>
        <w:t>mediante el cual se expongan  de manera fundada y motivada, los fundamentos y razonamientos que llevaron al Sujeto Obligado a restringir el acceso a la información, ya sea en su totalidad o de forma parcial, ya que de no hacerlo, se deja a la persona solicitante en estado de incertidumbre al no conocer o comprender la razón por la cual no se le permitió el acceso a la información, o por qué no se aprecian determinados datos en la documentación respectiva.</w:t>
      </w:r>
    </w:p>
    <w:p w14:paraId="240645FA" w14:textId="77777777" w:rsidR="00B341BD" w:rsidRPr="00060B43" w:rsidRDefault="00F138D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el presente asunto se negó el acceso a la información peticionada por la parte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al considerar que se trataba de información clasificada como reservada, de conformidad  con el Acta de la Séptima Sesión Extraordinaria del Comité de Transparencia, celebrada el 01 de agosto de 2026, a través de la cual bajo el punto cuatro del orden del día se llevó a cabo la clasificación como reservada la información requerida en el asunto que nos ocupa; y el Acuerdo número SS/CT/EXT/VII/002/2026</w:t>
      </w:r>
      <w:r w:rsidRPr="00060B43">
        <w:t xml:space="preserve"> </w:t>
      </w:r>
      <w:r w:rsidRPr="00060B43">
        <w:rPr>
          <w:rFonts w:ascii="Palatino Linotype" w:eastAsia="Palatino Linotype" w:hAnsi="Palatino Linotype" w:cs="Palatino Linotype"/>
          <w:sz w:val="22"/>
          <w:szCs w:val="22"/>
        </w:rPr>
        <w:t>en el que se clasifica lo requerido como información reservada de conformidad con lo dispuesto por el artículo 140 fracciones I y IV de la Ley de Transparencia y Acceso a la Información Pública del Estado de México y Municipios; ya que su divulgación, podría comprometer la seguridad pública y pondría en riesgo la vida, seguridad o salud de una persona física.</w:t>
      </w:r>
    </w:p>
    <w:p w14:paraId="1FB73F45" w14:textId="77777777" w:rsidR="00B341BD" w:rsidRPr="00060B43" w:rsidRDefault="00B341BD">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5402FD6D" w14:textId="77777777" w:rsidR="00B341BD" w:rsidRPr="00060B43" w:rsidRDefault="00F138DD">
      <w:pPr>
        <w:spacing w:before="240" w:after="240" w:line="360" w:lineRule="auto"/>
        <w:jc w:val="both"/>
        <w:rPr>
          <w:rFonts w:ascii="Palatino Linotype" w:eastAsia="Palatino Linotype" w:hAnsi="Palatino Linotype" w:cs="Palatino Linotype"/>
          <w:b/>
          <w:bCs/>
          <w:sz w:val="22"/>
          <w:szCs w:val="22"/>
          <w:u w:val="single"/>
        </w:rPr>
      </w:pPr>
      <w:r w:rsidRPr="00060B43">
        <w:rPr>
          <w:rFonts w:ascii="Palatino Linotype" w:eastAsia="Palatino Linotype" w:hAnsi="Palatino Linotype" w:cs="Palatino Linotype"/>
          <w:sz w:val="22"/>
          <w:szCs w:val="22"/>
        </w:rPr>
        <w:t xml:space="preserve">En este sentido, conforme al artículo 134 de la Ley de Transparencia y Acceso a la Información Pública del Estado de México y Municipios y el Sexto de los Lineamientos Generales en Materia de Clasificación y Desclasificación de la Información, así como para la Elaboración de Versiones Públicas –Lineamientos Generales-, los sujetos obligados no podrán emitir acuerdos de carácter general que clasifiquen documentos o expedientes; por lo que, </w:t>
      </w:r>
      <w:r w:rsidRPr="00060B43">
        <w:rPr>
          <w:rFonts w:ascii="Palatino Linotype" w:eastAsia="Palatino Linotype" w:hAnsi="Palatino Linotype" w:cs="Palatino Linotype"/>
          <w:b/>
          <w:bCs/>
          <w:sz w:val="22"/>
          <w:szCs w:val="22"/>
        </w:rPr>
        <w:t xml:space="preserve">la clasificación de información se llevará a cabo </w:t>
      </w:r>
      <w:r w:rsidRPr="00060B43">
        <w:rPr>
          <w:rFonts w:ascii="Palatino Linotype" w:eastAsia="Palatino Linotype" w:hAnsi="Palatino Linotype" w:cs="Palatino Linotype"/>
          <w:b/>
          <w:bCs/>
          <w:sz w:val="22"/>
          <w:szCs w:val="22"/>
          <w:u w:val="single"/>
        </w:rPr>
        <w:t>mediante un</w:t>
      </w:r>
      <w:r w:rsidRPr="00060B43">
        <w:rPr>
          <w:rFonts w:ascii="Palatino Linotype" w:eastAsia="Palatino Linotype" w:hAnsi="Palatino Linotype" w:cs="Palatino Linotype"/>
          <w:sz w:val="22"/>
          <w:szCs w:val="22"/>
          <w:u w:val="single"/>
        </w:rPr>
        <w:t xml:space="preserve"> </w:t>
      </w:r>
      <w:r w:rsidRPr="00060B43">
        <w:rPr>
          <w:rFonts w:ascii="Palatino Linotype" w:eastAsia="Palatino Linotype" w:hAnsi="Palatino Linotype" w:cs="Palatino Linotype"/>
          <w:b/>
          <w:bCs/>
          <w:sz w:val="22"/>
          <w:szCs w:val="22"/>
          <w:u w:val="single"/>
        </w:rPr>
        <w:t>análisis caso por caso.</w:t>
      </w:r>
    </w:p>
    <w:p w14:paraId="11C123C1"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Además, el artículo 131 de la Ley referida, así como el Quinto de los Lineamientos Generales, establecen que los sujetos obligados </w:t>
      </w:r>
      <w:r w:rsidRPr="00060B43">
        <w:rPr>
          <w:rFonts w:ascii="Palatino Linotype" w:eastAsia="Palatino Linotype" w:hAnsi="Palatino Linotype" w:cs="Palatino Linotype"/>
          <w:b/>
          <w:bCs/>
          <w:sz w:val="22"/>
          <w:szCs w:val="22"/>
        </w:rPr>
        <w:t>deberán fundar y motivar</w:t>
      </w:r>
      <w:r w:rsidRPr="00060B43">
        <w:rPr>
          <w:rFonts w:ascii="Palatino Linotype" w:eastAsia="Palatino Linotype" w:hAnsi="Palatino Linotype" w:cs="Palatino Linotype"/>
          <w:sz w:val="22"/>
          <w:szCs w:val="22"/>
        </w:rPr>
        <w:t xml:space="preserve"> debidamente la clasificación de la información.</w:t>
      </w:r>
    </w:p>
    <w:p w14:paraId="39855ED5"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Al respecto, el Octavo de los Lineamientos Generales, precisa lo siguiente:</w:t>
      </w:r>
    </w:p>
    <w:p w14:paraId="4C93E24D" w14:textId="77777777" w:rsidR="00B341BD" w:rsidRPr="00060B43" w:rsidRDefault="00F138DD">
      <w:pPr>
        <w:numPr>
          <w:ilvl w:val="0"/>
          <w:numId w:val="5"/>
        </w:numPr>
        <w:tabs>
          <w:tab w:val="left" w:pos="567"/>
        </w:tabs>
        <w:spacing w:before="240" w:after="240" w:line="360" w:lineRule="auto"/>
        <w:ind w:left="284" w:firstLine="0"/>
        <w:jc w:val="both"/>
        <w:rPr>
          <w:sz w:val="22"/>
          <w:szCs w:val="22"/>
        </w:rPr>
      </w:pPr>
      <w:r w:rsidRPr="00060B43">
        <w:rPr>
          <w:rFonts w:ascii="Palatino Linotype" w:eastAsia="Palatino Linotype" w:hAnsi="Palatino Linotype" w:cs="Palatino Linotype"/>
          <w:b/>
          <w:bCs/>
          <w:sz w:val="22"/>
          <w:szCs w:val="22"/>
        </w:rPr>
        <w:t>Para fundar la clasificación</w:t>
      </w:r>
      <w:r w:rsidRPr="00060B43">
        <w:rPr>
          <w:rFonts w:ascii="Palatino Linotype" w:eastAsia="Palatino Linotype" w:hAnsi="Palatino Linotype" w:cs="Palatino Linotype"/>
          <w:sz w:val="22"/>
          <w:szCs w:val="22"/>
        </w:rPr>
        <w:t xml:space="preserve"> de la información se deberán señalar el artículo, fracción, inciso, párrafo o numeral de la Ley aplicable;</w:t>
      </w:r>
    </w:p>
    <w:p w14:paraId="605D8467" w14:textId="77777777" w:rsidR="00B341BD" w:rsidRPr="00060B43" w:rsidRDefault="00F138DD">
      <w:pPr>
        <w:numPr>
          <w:ilvl w:val="0"/>
          <w:numId w:val="5"/>
        </w:numPr>
        <w:tabs>
          <w:tab w:val="left" w:pos="567"/>
        </w:tabs>
        <w:spacing w:before="240" w:after="240" w:line="360" w:lineRule="auto"/>
        <w:ind w:left="284" w:firstLine="0"/>
        <w:jc w:val="both"/>
        <w:rPr>
          <w:sz w:val="22"/>
          <w:szCs w:val="22"/>
        </w:rPr>
      </w:pPr>
      <w:r w:rsidRPr="00060B43">
        <w:rPr>
          <w:rFonts w:ascii="Palatino Linotype" w:eastAsia="Palatino Linotype" w:hAnsi="Palatino Linotype" w:cs="Palatino Linotype"/>
          <w:b/>
          <w:bCs/>
          <w:sz w:val="22"/>
          <w:szCs w:val="22"/>
        </w:rPr>
        <w:t>Para motivar la clasificación</w:t>
      </w:r>
      <w:r w:rsidRPr="00060B43">
        <w:rPr>
          <w:rFonts w:ascii="Palatino Linotype" w:eastAsia="Palatino Linotype" w:hAnsi="Palatino Linotype" w:cs="Palatino Linotype"/>
          <w:sz w:val="22"/>
          <w:szCs w:val="22"/>
        </w:rPr>
        <w:t xml:space="preserve"> se deberán indicar las razones y circunstancias especiales que lo llevaron a concluir que el caso particular se ajusta al supuesto previsto por la norma legal invocada; la cual, en el caso de que se trate de información reservada, la motivación, deberá comprender las circunstancias que justifican el establecimiento de un determinado plazo de reserva.</w:t>
      </w:r>
    </w:p>
    <w:p w14:paraId="7EAD5ADA"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Lo anterior, toma sustento en la fracción VII, del artículo 1.8, del Código Administrativo del Estado de México, que establece que todo acto administrativo, debe estar fundado y motivado, esto es, que contenga con precisión, los preceptos legales aplicables, las circunstancias generales o especiales, razones particulares y causas que se hayan tomado en cuenta para la emisión del mismo; asimismo, la Tesis aislada número I. 4o. P. 56 P, Octava Época, publicada en el Semanario Judicial de la Federación, Tomo XIV, noviembre de mil novecientos noventa y cuatro, (p. 450), que establece lo siguiente:</w:t>
      </w:r>
    </w:p>
    <w:p w14:paraId="5B834B90" w14:textId="77777777" w:rsidR="00B341BD" w:rsidRPr="00060B43" w:rsidRDefault="00F138DD">
      <w:pPr>
        <w:spacing w:before="120" w:after="12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“FUNDAMENTACION Y MOTIVACION, CONCEPTO DE. </w:t>
      </w:r>
      <w:r w:rsidRPr="00060B43">
        <w:rPr>
          <w:rFonts w:ascii="Palatino Linotype" w:eastAsia="Palatino Linotype" w:hAnsi="Palatino Linotype" w:cs="Palatino Linotype"/>
          <w:i/>
          <w:iCs/>
          <w:sz w:val="22"/>
          <w:szCs w:val="22"/>
        </w:rPr>
        <w:t>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56F6C294"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De lo anterior, se desprende lo siguiente:</w:t>
      </w:r>
    </w:p>
    <w:p w14:paraId="53939DDA" w14:textId="77777777" w:rsidR="00B341BD" w:rsidRPr="00060B43" w:rsidRDefault="00F138DD">
      <w:pPr>
        <w:numPr>
          <w:ilvl w:val="0"/>
          <w:numId w:val="4"/>
        </w:numPr>
        <w:tabs>
          <w:tab w:val="left" w:pos="709"/>
        </w:tabs>
        <w:spacing w:before="240" w:after="240" w:line="360" w:lineRule="auto"/>
        <w:ind w:left="284" w:firstLine="0"/>
        <w:jc w:val="both"/>
        <w:rPr>
          <w:b/>
          <w:bCs/>
          <w:sz w:val="22"/>
          <w:szCs w:val="22"/>
        </w:rPr>
      </w:pPr>
      <w:r w:rsidRPr="00060B43">
        <w:rPr>
          <w:rFonts w:ascii="Palatino Linotype" w:eastAsia="Palatino Linotype" w:hAnsi="Palatino Linotype" w:cs="Palatino Linotype"/>
          <w:b/>
          <w:bCs/>
          <w:sz w:val="22"/>
          <w:szCs w:val="22"/>
        </w:rPr>
        <w:t xml:space="preserve">Fundamentación: </w:t>
      </w:r>
      <w:r w:rsidRPr="00060B43">
        <w:rPr>
          <w:rFonts w:ascii="Palatino Linotype" w:eastAsia="Palatino Linotype" w:hAnsi="Palatino Linotype" w:cs="Palatino Linotype"/>
          <w:sz w:val="22"/>
          <w:szCs w:val="22"/>
        </w:rPr>
        <w:t>Obligación de la autoridad que emite un acto, para citar los preceptos legales, sustantivos y adjetivos, en que se apoye para la determinación tomada.</w:t>
      </w:r>
    </w:p>
    <w:p w14:paraId="611B9839" w14:textId="77777777" w:rsidR="00B341BD" w:rsidRPr="00060B43" w:rsidRDefault="00F138DD">
      <w:pPr>
        <w:numPr>
          <w:ilvl w:val="0"/>
          <w:numId w:val="4"/>
        </w:numPr>
        <w:tabs>
          <w:tab w:val="left" w:pos="709"/>
        </w:tabs>
        <w:spacing w:before="240" w:after="240" w:line="360" w:lineRule="auto"/>
        <w:ind w:left="284" w:firstLine="0"/>
        <w:jc w:val="both"/>
        <w:rPr>
          <w:b/>
          <w:bCs/>
          <w:sz w:val="22"/>
          <w:szCs w:val="22"/>
        </w:rPr>
      </w:pPr>
      <w:r w:rsidRPr="00060B43">
        <w:rPr>
          <w:rFonts w:ascii="Palatino Linotype" w:eastAsia="Palatino Linotype" w:hAnsi="Palatino Linotype" w:cs="Palatino Linotype"/>
          <w:b/>
          <w:bCs/>
          <w:sz w:val="22"/>
          <w:szCs w:val="22"/>
        </w:rPr>
        <w:t xml:space="preserve">Motivación: </w:t>
      </w:r>
      <w:r w:rsidRPr="00060B43">
        <w:rPr>
          <w:rFonts w:ascii="Palatino Linotype" w:eastAsia="Palatino Linotype" w:hAnsi="Palatino Linotype" w:cs="Palatino Linotype"/>
          <w:sz w:val="22"/>
          <w:szCs w:val="22"/>
        </w:rPr>
        <w:t>Razonamientos lógico-jurídicos sobre porque se consideró en el caso en concreto, que se ajusta a la hipótesis normativa.</w:t>
      </w:r>
    </w:p>
    <w:p w14:paraId="7AABAF5A" w14:textId="77777777" w:rsidR="00B341BD" w:rsidRPr="00060B43" w:rsidRDefault="00F138DD">
      <w:pPr>
        <w:tabs>
          <w:tab w:val="left" w:pos="4962"/>
        </w:tabs>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Sobre el particular, cabe traer a colación el artículo 141 de la Ley de Transparencia y Acceso a la Información Pública del Estado de México y Municipios, que establece que las causales de reserva se deberán fundar y motivar, a través de la aplicación de la prueba de daño establecida en el artículo 129 de dicho ordenamiento, que se debe justificar de la siguiente manera:</w:t>
      </w:r>
    </w:p>
    <w:p w14:paraId="2772F812" w14:textId="77777777" w:rsidR="00B341BD" w:rsidRPr="00060B43" w:rsidRDefault="00F138DD">
      <w:pPr>
        <w:pBdr>
          <w:top w:val="nil"/>
          <w:left w:val="nil"/>
          <w:bottom w:val="nil"/>
          <w:right w:val="nil"/>
          <w:between w:val="nil"/>
        </w:pBdr>
        <w:tabs>
          <w:tab w:val="left" w:pos="4962"/>
        </w:tabs>
        <w:spacing w:before="240" w:line="360" w:lineRule="auto"/>
        <w:ind w:left="28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I. La divulgación de la información representa un riesgo real, demostrable e identificable de perjuicio significativo al interés público o a la seguridad nacional. </w:t>
      </w:r>
    </w:p>
    <w:p w14:paraId="00A3A56E" w14:textId="77777777" w:rsidR="00B341BD" w:rsidRPr="00060B43" w:rsidRDefault="00F138DD">
      <w:pPr>
        <w:pBdr>
          <w:top w:val="nil"/>
          <w:left w:val="nil"/>
          <w:bottom w:val="nil"/>
          <w:right w:val="nil"/>
          <w:between w:val="nil"/>
        </w:pBdr>
        <w:tabs>
          <w:tab w:val="left" w:pos="4962"/>
        </w:tabs>
        <w:spacing w:line="360" w:lineRule="auto"/>
        <w:ind w:left="28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II. El riesgo de perjuicio supera el interés público general de que se difunda. </w:t>
      </w:r>
    </w:p>
    <w:p w14:paraId="210E2D1A" w14:textId="77777777" w:rsidR="00B341BD" w:rsidRPr="00060B43" w:rsidRDefault="00F138DD">
      <w:pPr>
        <w:pBdr>
          <w:top w:val="nil"/>
          <w:left w:val="nil"/>
          <w:bottom w:val="nil"/>
          <w:right w:val="nil"/>
          <w:between w:val="nil"/>
        </w:pBdr>
        <w:tabs>
          <w:tab w:val="left" w:pos="4962"/>
        </w:tabs>
        <w:spacing w:after="240" w:line="360" w:lineRule="auto"/>
        <w:ind w:left="28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III. Que la limitación se adecua al principio de proporcionalidad y representa el medio menos restrictivo disponible para evitar el perjuicio.</w:t>
      </w:r>
    </w:p>
    <w:p w14:paraId="37E50481" w14:textId="77777777" w:rsidR="00B341BD" w:rsidRPr="00060B43" w:rsidRDefault="00F138DD">
      <w:pPr>
        <w:tabs>
          <w:tab w:val="left" w:pos="4962"/>
        </w:tabs>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Además, el artículo 125 de la Ley de la materia, establece que la información clasificada como reservada de acuerdo con lo establecido en la Ley de la materia, podrá permanecer con tal carácter hasta por un periodo de cinco años. Asimismo señala que los documentos reservados serán desclasificados cuando se extingan las causas que dieron origen a su clasificación, expire el plazo establecido, exista resolución de una autoridad competente que determine que existe una causa de interés público que prevalece sobre la reserva de la información, o bien el Comité de Transparencia considere pertinente la desclasificación o se trate de información que esté relacionada con violaciones graves a derechos humanos o delitos de lesa humanidad.</w:t>
      </w:r>
    </w:p>
    <w:p w14:paraId="67EAA7D5"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su parte, el Lineamiento Trigésimo tercero de los Lineamientos Generales, establece la forma en que se debe fundamentar y motivar la reserva de la información, como a continuación se lee:</w:t>
      </w:r>
    </w:p>
    <w:p w14:paraId="30358C2B" w14:textId="77777777" w:rsidR="00B341BD" w:rsidRPr="00060B43" w:rsidRDefault="00F138DD">
      <w:pPr>
        <w:spacing w:before="120" w:after="120"/>
        <w:ind w:left="851" w:right="758"/>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Trigésimo tercero</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rPr>
        <w:t>Para la aplicación de la prueba de daño</w:t>
      </w:r>
      <w:r w:rsidRPr="00060B43">
        <w:rPr>
          <w:rFonts w:ascii="Palatino Linotype" w:eastAsia="Palatino Linotype" w:hAnsi="Palatino Linotype" w:cs="Palatino Linotype"/>
          <w:i/>
          <w:iCs/>
          <w:sz w:val="22"/>
          <w:szCs w:val="22"/>
        </w:rPr>
        <w:t xml:space="preserve"> a la que hace referencia el artículo 104 de la Ley General, </w:t>
      </w:r>
      <w:r w:rsidRPr="00060B43">
        <w:rPr>
          <w:rFonts w:ascii="Palatino Linotype" w:eastAsia="Palatino Linotype" w:hAnsi="Palatino Linotype" w:cs="Palatino Linotype"/>
          <w:b/>
          <w:bCs/>
          <w:i/>
          <w:iCs/>
          <w:sz w:val="22"/>
          <w:szCs w:val="22"/>
        </w:rPr>
        <w:t>los sujetos obligados atenderán lo siguiente:</w:t>
      </w:r>
    </w:p>
    <w:p w14:paraId="114F15C8"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I. </w:t>
      </w:r>
      <w:r w:rsidRPr="00060B43">
        <w:rPr>
          <w:rFonts w:ascii="Palatino Linotype" w:eastAsia="Palatino Linotype" w:hAnsi="Palatino Linotype" w:cs="Palatino Linotype"/>
          <w:i/>
          <w:iCs/>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14:paraId="22034A10"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w:t>
      </w:r>
      <w:r w:rsidRPr="00060B43">
        <w:rPr>
          <w:rFonts w:ascii="Palatino Linotype" w:eastAsia="Palatino Linotype" w:hAnsi="Palatino Linotype" w:cs="Palatino Linotype"/>
          <w:i/>
          <w:iCs/>
          <w:sz w:val="22"/>
          <w:szCs w:val="22"/>
        </w:rPr>
        <w:t>. Se deberá motivar la clasificación, señalando las circunstancias de modo, tiempo y lugar que acrediten el vínculo entre la difusión de la información y la afectación al interés público o a la seguridad nacional;</w:t>
      </w:r>
    </w:p>
    <w:p w14:paraId="733D0853"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III.</w:t>
      </w:r>
      <w:r w:rsidRPr="00060B43">
        <w:rPr>
          <w:rFonts w:ascii="Palatino Linotype" w:eastAsia="Palatino Linotype" w:hAnsi="Palatino Linotype" w:cs="Palatino Linotype"/>
          <w:i/>
          <w:iCs/>
          <w:sz w:val="22"/>
          <w:szCs w:val="22"/>
        </w:rPr>
        <w:t xml:space="preserve"> Se deberán precisar las razones objetivas por las que la apertura de la información generaría un riesgo de perjuicio real, demostrable e identificable al interés jurídico tutelado de que se trate;</w:t>
      </w:r>
    </w:p>
    <w:p w14:paraId="0775410E"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IV.</w:t>
      </w:r>
      <w:r w:rsidRPr="00060B43">
        <w:rPr>
          <w:rFonts w:ascii="Palatino Linotype" w:eastAsia="Palatino Linotype" w:hAnsi="Palatino Linotype" w:cs="Palatino Linotype"/>
          <w:i/>
          <w:iCs/>
          <w:sz w:val="22"/>
          <w:szCs w:val="22"/>
        </w:rPr>
        <w:t xml:space="preserve"> 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r w:rsidRPr="00060B43">
        <w:rPr>
          <w:rFonts w:ascii="Palatino Linotype" w:eastAsia="Palatino Linotype" w:hAnsi="Palatino Linotype" w:cs="Palatino Linotype"/>
          <w:b/>
          <w:bCs/>
          <w:i/>
          <w:iCs/>
          <w:sz w:val="22"/>
          <w:szCs w:val="22"/>
        </w:rPr>
        <w:t xml:space="preserve"> </w:t>
      </w:r>
    </w:p>
    <w:p w14:paraId="384D74F4"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V</w:t>
      </w:r>
      <w:r w:rsidRPr="00060B43">
        <w:rPr>
          <w:rFonts w:ascii="Palatino Linotype" w:eastAsia="Palatino Linotype" w:hAnsi="Palatino Linotype" w:cs="Palatino Linotype"/>
          <w:i/>
          <w:iCs/>
          <w:sz w:val="22"/>
          <w:szCs w:val="22"/>
        </w:rPr>
        <w:t>. Deberán elegir y justificar la opción de excepción al derecho de acceso a la información que menos lo restrinja y que sea adecuada y proporcional para evitar el perjuicio al interés público, evitando siempre que sea posible la reserva absoluta de documentos o expedientes; y</w:t>
      </w:r>
      <w:r w:rsidRPr="00060B43">
        <w:rPr>
          <w:rFonts w:ascii="Palatino Linotype" w:eastAsia="Palatino Linotype" w:hAnsi="Palatino Linotype" w:cs="Palatino Linotype"/>
          <w:b/>
          <w:bCs/>
          <w:i/>
          <w:iCs/>
          <w:sz w:val="22"/>
          <w:szCs w:val="22"/>
        </w:rPr>
        <w:t xml:space="preserve"> </w:t>
      </w:r>
    </w:p>
    <w:p w14:paraId="0E8C7755" w14:textId="77777777" w:rsidR="00B341BD" w:rsidRPr="00060B43" w:rsidRDefault="00F138DD">
      <w:pPr>
        <w:tabs>
          <w:tab w:val="left" w:pos="1701"/>
        </w:tabs>
        <w:spacing w:before="120" w:after="120"/>
        <w:ind w:left="851" w:right="76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VI</w:t>
      </w:r>
      <w:r w:rsidRPr="00060B43">
        <w:rPr>
          <w:rFonts w:ascii="Palatino Linotype" w:eastAsia="Palatino Linotype" w:hAnsi="Palatino Linotype" w:cs="Palatino Linotype"/>
          <w:i/>
          <w:iCs/>
          <w:sz w:val="22"/>
          <w:szCs w:val="22"/>
        </w:rPr>
        <w:t>. 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14:paraId="3DCA9E51"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el caso particular, 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hizo entrega del Acta del Comité de Transparencia, en la cual, mediante el Acuerdo número SS/CT/EXT/VII/002/2026</w:t>
      </w:r>
      <w:r w:rsidRPr="00060B43">
        <w:t xml:space="preserve"> </w:t>
      </w:r>
      <w:r w:rsidRPr="00060B43">
        <w:rPr>
          <w:rFonts w:ascii="Palatino Linotype" w:eastAsia="Palatino Linotype" w:hAnsi="Palatino Linotype" w:cs="Palatino Linotype"/>
          <w:sz w:val="22"/>
          <w:szCs w:val="22"/>
        </w:rPr>
        <w:t>se clasifica lo requerido como información reservada de conformidad con lo dispuesto por el artículo 140 fracciones I y IV de la Ley de Transparencia y Acceso a la Información Pública del Estado de México y Municipios; ya que su divulgación, podría comprometer la seguridad pública y pondría en riesgo la vida, seguridad o salud de una persona física.</w:t>
      </w:r>
    </w:p>
    <w:p w14:paraId="21286A3C"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No obstante, del análisis efectuado a dicho acuerdo, se advirtió que no fundamentó ni motivó de manera correcta la clasificación de la información, en virtud de que la prueba de daño presentada no cumple con las formalidades que establece el Lineamiento Trigésimo de los Lineamientos Generales citados con antelación, relacionado con el artículo 129 de la Ley de Transparencia y Acceso a la Información Pública del Estado de México y Municipios, que es la argumentación fundada y motivada que se debe realizar para acreditar que la divulgación de la información lesiona el interés jurídicamente protegido por la normatividad aplicable y que el daño que puede producirse con la publicidad de la información es mayor que el interés de conocerla.</w:t>
      </w:r>
    </w:p>
    <w:p w14:paraId="26804D59"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Respecto a la causal de reserva establecida en el artículo 140, fracción I de la Ley de Transparencia y Acceso a la Información Pública del Estado de México y Municipios, los Lineamientos Generales prevén lo siguiente:</w:t>
      </w:r>
    </w:p>
    <w:p w14:paraId="23242919"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“Décimo octavo. De conformidad con el artículo 113, fracción I de la Ley General, podrá considerarse como información reservada, aquella que comprometa la seguridad pública, al poner en peligro las funciones a cargo de la Federación, la Ciudad de México, los Estados y los Municipios, tendientes a preservar y resguardar la vida, la salud, la integridad y el ejercicio de los derechos de las personas, así como para el mantenimiento del orden público. </w:t>
      </w:r>
    </w:p>
    <w:p w14:paraId="3D496EC9" w14:textId="77777777" w:rsidR="00B341BD" w:rsidRPr="00060B43" w:rsidRDefault="00B341BD">
      <w:pPr>
        <w:spacing w:line="276" w:lineRule="auto"/>
        <w:ind w:left="567" w:right="616"/>
        <w:jc w:val="both"/>
        <w:rPr>
          <w:rFonts w:ascii="Palatino Linotype" w:eastAsia="Palatino Linotype" w:hAnsi="Palatino Linotype" w:cs="Palatino Linotype"/>
          <w:i/>
          <w:iCs/>
          <w:sz w:val="22"/>
          <w:szCs w:val="22"/>
        </w:rPr>
      </w:pPr>
    </w:p>
    <w:p w14:paraId="452BF288" w14:textId="77777777" w:rsidR="00B341BD" w:rsidRPr="00060B43" w:rsidRDefault="00F138DD">
      <w:pPr>
        <w:spacing w:line="276" w:lineRule="auto"/>
        <w:ind w:left="567" w:right="616"/>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Se pone en peligro el orden público cuando la difusión de la información pueda</w:t>
      </w:r>
      <w:r w:rsidRPr="00060B43">
        <w:rPr>
          <w:rFonts w:ascii="Palatino Linotype" w:eastAsia="Palatino Linotype" w:hAnsi="Palatino Linotype" w:cs="Palatino Linotype"/>
          <w:i/>
          <w:iCs/>
          <w:sz w:val="22"/>
          <w:szCs w:val="22"/>
        </w:rPr>
        <w:t xml:space="preserve"> entorpecer los sistemas de coordinación interinstitucional en materia de seguridad pública, menoscabar o dificultar las estrategias contra la evasión de reos; o </w:t>
      </w:r>
      <w:r w:rsidRPr="00060B43">
        <w:rPr>
          <w:rFonts w:ascii="Palatino Linotype" w:eastAsia="Palatino Linotype" w:hAnsi="Palatino Linotype" w:cs="Palatino Linotype"/>
          <w:b/>
          <w:bCs/>
          <w:i/>
          <w:iCs/>
          <w:sz w:val="22"/>
          <w:szCs w:val="22"/>
        </w:rPr>
        <w:t xml:space="preserve">menoscabar o limitar la capacidad de las autoridades encaminadas a disuadir o prevenir disturbios sociales. </w:t>
      </w:r>
    </w:p>
    <w:p w14:paraId="42041942" w14:textId="77777777" w:rsidR="00B341BD" w:rsidRPr="00060B43" w:rsidRDefault="00B341BD">
      <w:pPr>
        <w:spacing w:line="276" w:lineRule="auto"/>
        <w:ind w:left="567" w:right="616"/>
        <w:jc w:val="both"/>
        <w:rPr>
          <w:rFonts w:ascii="Palatino Linotype" w:eastAsia="Palatino Linotype" w:hAnsi="Palatino Linotype" w:cs="Palatino Linotype"/>
          <w:i/>
          <w:iCs/>
          <w:sz w:val="22"/>
          <w:szCs w:val="22"/>
        </w:rPr>
      </w:pPr>
    </w:p>
    <w:p w14:paraId="3249C840" w14:textId="77777777" w:rsidR="00B341BD" w:rsidRPr="00060B43" w:rsidRDefault="00F138DD">
      <w:pPr>
        <w:spacing w:line="276" w:lineRule="auto"/>
        <w:ind w:left="567" w:right="616"/>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i/>
          <w:iCs/>
          <w:sz w:val="22"/>
          <w:szCs w:val="22"/>
        </w:rPr>
        <w:t xml:space="preserve">Asimismo, </w:t>
      </w:r>
      <w:r w:rsidRPr="00060B43">
        <w:rPr>
          <w:rFonts w:ascii="Palatino Linotype" w:eastAsia="Palatino Linotype" w:hAnsi="Palatino Linotype" w:cs="Palatino Linotype"/>
          <w:b/>
          <w:bCs/>
          <w:i/>
          <w:iCs/>
          <w:sz w:val="22"/>
          <w:szCs w:val="22"/>
        </w:rPr>
        <w:t>podrá considerarse como reservada aquella que revele datos que pudieran ser aprovechados para conocer la capacidad de reacción de las instituciones encargadas de la seguridad pública, sus planes, estrategias, tecnología, información, sistemas de comunicaciones.”</w:t>
      </w:r>
    </w:p>
    <w:p w14:paraId="53941FD5" w14:textId="77777777" w:rsidR="00B341BD" w:rsidRPr="00060B43" w:rsidRDefault="00B341BD">
      <w:pPr>
        <w:ind w:left="567" w:right="616"/>
        <w:jc w:val="both"/>
        <w:rPr>
          <w:rFonts w:ascii="Palatino Linotype" w:eastAsia="Palatino Linotype" w:hAnsi="Palatino Linotype" w:cs="Palatino Linotype"/>
          <w:i/>
          <w:iCs/>
          <w:sz w:val="22"/>
          <w:szCs w:val="22"/>
        </w:rPr>
      </w:pPr>
    </w:p>
    <w:p w14:paraId="74960D63"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Como se desprende de lo anterior, para que se actualice la causal de reserva indicada, en el caso concreto, se tiene que acreditar que con la entrega de la misma se compromete la seguridad pública, poniendo en riesgo las funciones a cargo de las autoridades tendientes a preservar y resguardar la vida, la salud, la integridad y el ejercicio de los derechos de las personas, así como para el mantenimiento del orden público.</w:t>
      </w:r>
    </w:p>
    <w:p w14:paraId="3B8C7518"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1674E360"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Situación la anterior, que en el caso NO se actualiza, en virtud de que en el caso sólo se requieren las facturas por la adquisición de una aeronave, lo cual no da cuenta de información que pudiera ser aprovechada para conocer la capacidad de reacción de las instituciones encargadas de la seguridad pública, para preservar el orden social.</w:t>
      </w:r>
    </w:p>
    <w:p w14:paraId="1D43A28F"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46C002C5"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Máxime que de acuerdo con los requisitos que deben reunir las facturas o comprobantes fiscales digitales por internet, según lo señalado por el Servicio de Administración Tributaria en el portal oficial, dichos documentos deben contener la siguiente información:</w:t>
      </w:r>
    </w:p>
    <w:p w14:paraId="4F370998"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D77F7BF" w14:textId="77777777" w:rsidR="00B341BD" w:rsidRPr="00060B43" w:rsidRDefault="00F138DD">
      <w:pPr>
        <w:spacing w:line="360" w:lineRule="auto"/>
        <w:ind w:left="720" w:right="474"/>
        <w:jc w:val="both"/>
        <w:rPr>
          <w:rFonts w:ascii="Palatino Linotype" w:eastAsia="Palatino Linotype" w:hAnsi="Palatino Linotype" w:cs="Palatino Linotype"/>
          <w:b/>
          <w:bCs/>
          <w:i/>
          <w:iCs/>
          <w:sz w:val="22"/>
          <w:szCs w:val="22"/>
          <w:u w:val="single"/>
        </w:rPr>
      </w:pPr>
      <w:r w:rsidRPr="00060B43">
        <w:rPr>
          <w:rFonts w:ascii="Palatino Linotype" w:eastAsia="Palatino Linotype" w:hAnsi="Palatino Linotype" w:cs="Palatino Linotype"/>
          <w:b/>
          <w:bCs/>
          <w:i/>
          <w:iCs/>
          <w:sz w:val="22"/>
          <w:szCs w:val="22"/>
          <w:u w:val="single"/>
        </w:rPr>
        <w:t>“Requisitos que deben reunir las facturas que recibas:</w:t>
      </w:r>
    </w:p>
    <w:p w14:paraId="4E680099" w14:textId="77777777" w:rsidR="00B341BD" w:rsidRPr="00060B43" w:rsidRDefault="00B341BD">
      <w:pPr>
        <w:spacing w:line="360" w:lineRule="auto"/>
        <w:ind w:left="567" w:right="474"/>
        <w:jc w:val="both"/>
        <w:rPr>
          <w:rFonts w:ascii="Palatino Linotype" w:eastAsia="Palatino Linotype" w:hAnsi="Palatino Linotype" w:cs="Palatino Linotype"/>
          <w:sz w:val="22"/>
          <w:szCs w:val="22"/>
        </w:rPr>
      </w:pPr>
    </w:p>
    <w:tbl>
      <w:tblPr>
        <w:tblStyle w:val="aa"/>
        <w:tblW w:w="8515" w:type="dxa"/>
        <w:tblInd w:w="426" w:type="dxa"/>
        <w:tblLayout w:type="fixed"/>
        <w:tblLook w:val="0400" w:firstRow="0" w:lastRow="0" w:firstColumn="0" w:lastColumn="0" w:noHBand="0" w:noVBand="1"/>
      </w:tblPr>
      <w:tblGrid>
        <w:gridCol w:w="850"/>
        <w:gridCol w:w="7665"/>
      </w:tblGrid>
      <w:tr w:rsidR="00CD298B" w:rsidRPr="00060B43" w14:paraId="2A6DB507" w14:textId="77777777">
        <w:tc>
          <w:tcPr>
            <w:tcW w:w="850" w:type="dxa"/>
            <w:shd w:val="clear" w:color="auto" w:fill="auto"/>
            <w:tcMar>
              <w:top w:w="0" w:type="dxa"/>
              <w:left w:w="0" w:type="dxa"/>
              <w:bottom w:w="0" w:type="dxa"/>
              <w:right w:w="0" w:type="dxa"/>
            </w:tcMar>
          </w:tcPr>
          <w:p w14:paraId="06EBDFDA"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21F761C0"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Clave del Registro Federal de Contribuyentes de quien los expida.</w:t>
            </w:r>
          </w:p>
        </w:tc>
      </w:tr>
      <w:tr w:rsidR="00CD298B" w:rsidRPr="00060B43" w14:paraId="15B8177E" w14:textId="77777777">
        <w:tc>
          <w:tcPr>
            <w:tcW w:w="850" w:type="dxa"/>
            <w:shd w:val="clear" w:color="auto" w:fill="auto"/>
            <w:tcMar>
              <w:top w:w="0" w:type="dxa"/>
              <w:left w:w="0" w:type="dxa"/>
              <w:bottom w:w="0" w:type="dxa"/>
              <w:right w:w="0" w:type="dxa"/>
            </w:tcMar>
          </w:tcPr>
          <w:p w14:paraId="4DC6A2D0"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5860D429"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Régimen Fiscal en que tributen conforme a la Ley del ISR.</w:t>
            </w:r>
          </w:p>
        </w:tc>
      </w:tr>
      <w:tr w:rsidR="00CD298B" w:rsidRPr="00060B43" w14:paraId="276EF171" w14:textId="77777777">
        <w:tc>
          <w:tcPr>
            <w:tcW w:w="850" w:type="dxa"/>
            <w:shd w:val="clear" w:color="auto" w:fill="auto"/>
            <w:tcMar>
              <w:top w:w="0" w:type="dxa"/>
              <w:left w:w="0" w:type="dxa"/>
              <w:bottom w:w="0" w:type="dxa"/>
              <w:right w:w="0" w:type="dxa"/>
            </w:tcMar>
          </w:tcPr>
          <w:p w14:paraId="5269F425"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45C81232"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Sí se tiene más de un local o establecimiento, se deberá señalar el domicilio del local o establecimiento en el que se expidan las Facturas.</w:t>
            </w:r>
          </w:p>
        </w:tc>
      </w:tr>
      <w:tr w:rsidR="00CD298B" w:rsidRPr="00060B43" w14:paraId="3623F764" w14:textId="77777777">
        <w:tc>
          <w:tcPr>
            <w:tcW w:w="850" w:type="dxa"/>
            <w:shd w:val="clear" w:color="auto" w:fill="auto"/>
            <w:tcMar>
              <w:top w:w="0" w:type="dxa"/>
              <w:left w:w="0" w:type="dxa"/>
              <w:bottom w:w="0" w:type="dxa"/>
              <w:right w:w="0" w:type="dxa"/>
            </w:tcMar>
          </w:tcPr>
          <w:p w14:paraId="66313764"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0926F224"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Contener el número de folio asignado por el SAT y el sello digital del SAT.</w:t>
            </w:r>
          </w:p>
        </w:tc>
      </w:tr>
      <w:tr w:rsidR="00CD298B" w:rsidRPr="00060B43" w14:paraId="5E7F8A29" w14:textId="77777777">
        <w:tc>
          <w:tcPr>
            <w:tcW w:w="850" w:type="dxa"/>
            <w:shd w:val="clear" w:color="auto" w:fill="auto"/>
            <w:tcMar>
              <w:top w:w="0" w:type="dxa"/>
              <w:left w:w="0" w:type="dxa"/>
              <w:bottom w:w="0" w:type="dxa"/>
              <w:right w:w="0" w:type="dxa"/>
            </w:tcMar>
          </w:tcPr>
          <w:p w14:paraId="1CD68688"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6CF3C2A8"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Sello digital del contribuyente que lo expide.</w:t>
            </w:r>
          </w:p>
        </w:tc>
      </w:tr>
      <w:tr w:rsidR="00CD298B" w:rsidRPr="00060B43" w14:paraId="7E633AFC" w14:textId="77777777">
        <w:tc>
          <w:tcPr>
            <w:tcW w:w="850" w:type="dxa"/>
            <w:shd w:val="clear" w:color="auto" w:fill="auto"/>
            <w:tcMar>
              <w:top w:w="0" w:type="dxa"/>
              <w:left w:w="0" w:type="dxa"/>
              <w:bottom w:w="0" w:type="dxa"/>
              <w:right w:w="0" w:type="dxa"/>
            </w:tcMar>
          </w:tcPr>
          <w:p w14:paraId="5DE42CB8"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15948948"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Lugar y fecha de expedición.</w:t>
            </w:r>
          </w:p>
        </w:tc>
      </w:tr>
      <w:tr w:rsidR="00CD298B" w:rsidRPr="00060B43" w14:paraId="0D4A2416" w14:textId="77777777">
        <w:tc>
          <w:tcPr>
            <w:tcW w:w="850" w:type="dxa"/>
            <w:shd w:val="clear" w:color="auto" w:fill="auto"/>
            <w:tcMar>
              <w:top w:w="0" w:type="dxa"/>
              <w:left w:w="0" w:type="dxa"/>
              <w:bottom w:w="0" w:type="dxa"/>
              <w:right w:w="0" w:type="dxa"/>
            </w:tcMar>
          </w:tcPr>
          <w:p w14:paraId="3FDADFB7"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4AC54739"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Clave del Registro Federal de Contribuyentes de la persona a favor de quien se expida.</w:t>
            </w:r>
          </w:p>
        </w:tc>
      </w:tr>
      <w:tr w:rsidR="00CD298B" w:rsidRPr="00060B43" w14:paraId="558D9A4F" w14:textId="77777777">
        <w:tc>
          <w:tcPr>
            <w:tcW w:w="850" w:type="dxa"/>
            <w:shd w:val="clear" w:color="auto" w:fill="auto"/>
            <w:tcMar>
              <w:top w:w="0" w:type="dxa"/>
              <w:left w:w="0" w:type="dxa"/>
              <w:bottom w:w="0" w:type="dxa"/>
              <w:right w:w="0" w:type="dxa"/>
            </w:tcMar>
          </w:tcPr>
          <w:p w14:paraId="70571351"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578CF486"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Nombre denominación o razón social de la persona a favor de quien se expide el comprobante.</w:t>
            </w:r>
          </w:p>
        </w:tc>
      </w:tr>
      <w:tr w:rsidR="00CD298B" w:rsidRPr="00060B43" w14:paraId="73089548" w14:textId="77777777">
        <w:tc>
          <w:tcPr>
            <w:tcW w:w="850" w:type="dxa"/>
            <w:shd w:val="clear" w:color="auto" w:fill="auto"/>
            <w:tcMar>
              <w:top w:w="0" w:type="dxa"/>
              <w:left w:w="0" w:type="dxa"/>
              <w:bottom w:w="0" w:type="dxa"/>
              <w:right w:w="0" w:type="dxa"/>
            </w:tcMar>
          </w:tcPr>
          <w:p w14:paraId="3465BC8A"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3DFECCEE"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Régimen fiscal del receptor de comprobante.</w:t>
            </w:r>
          </w:p>
        </w:tc>
      </w:tr>
      <w:tr w:rsidR="00CD298B" w:rsidRPr="00060B43" w14:paraId="293C572B" w14:textId="77777777">
        <w:tc>
          <w:tcPr>
            <w:tcW w:w="850" w:type="dxa"/>
            <w:shd w:val="clear" w:color="auto" w:fill="auto"/>
            <w:tcMar>
              <w:top w:w="0" w:type="dxa"/>
              <w:left w:w="0" w:type="dxa"/>
              <w:bottom w:w="0" w:type="dxa"/>
              <w:right w:w="0" w:type="dxa"/>
            </w:tcMar>
          </w:tcPr>
          <w:p w14:paraId="2B53EEA8"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4DF7747A"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Código postal del domicilio fiscal del receptor del comprobante.</w:t>
            </w:r>
          </w:p>
        </w:tc>
      </w:tr>
      <w:tr w:rsidR="00CD298B" w:rsidRPr="00060B43" w14:paraId="67A0C06D" w14:textId="77777777">
        <w:tc>
          <w:tcPr>
            <w:tcW w:w="850" w:type="dxa"/>
            <w:shd w:val="clear" w:color="auto" w:fill="auto"/>
            <w:tcMar>
              <w:top w:w="0" w:type="dxa"/>
              <w:left w:w="0" w:type="dxa"/>
              <w:bottom w:w="0" w:type="dxa"/>
              <w:right w:w="0" w:type="dxa"/>
            </w:tcMar>
          </w:tcPr>
          <w:p w14:paraId="0AE8E737"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23FACD3F"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Uso del comprobante.</w:t>
            </w:r>
          </w:p>
        </w:tc>
      </w:tr>
      <w:tr w:rsidR="00CD298B" w:rsidRPr="00060B43" w14:paraId="6E6A954F" w14:textId="77777777">
        <w:tc>
          <w:tcPr>
            <w:tcW w:w="850" w:type="dxa"/>
            <w:shd w:val="clear" w:color="auto" w:fill="auto"/>
            <w:tcMar>
              <w:top w:w="0" w:type="dxa"/>
              <w:left w:w="0" w:type="dxa"/>
              <w:bottom w:w="0" w:type="dxa"/>
              <w:right w:w="0" w:type="dxa"/>
            </w:tcMar>
          </w:tcPr>
          <w:p w14:paraId="1D030DEF"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193A58BA"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Cantidad, unidad de medida y clase de los bienes, mercancías o descripción del servicio o del uso o goce que amparen*.</w:t>
            </w:r>
          </w:p>
        </w:tc>
      </w:tr>
      <w:tr w:rsidR="00CD298B" w:rsidRPr="00060B43" w14:paraId="29A11E7C" w14:textId="77777777">
        <w:tc>
          <w:tcPr>
            <w:tcW w:w="850" w:type="dxa"/>
            <w:shd w:val="clear" w:color="auto" w:fill="auto"/>
            <w:tcMar>
              <w:top w:w="0" w:type="dxa"/>
              <w:left w:w="0" w:type="dxa"/>
              <w:bottom w:w="0" w:type="dxa"/>
              <w:right w:w="0" w:type="dxa"/>
            </w:tcMar>
          </w:tcPr>
          <w:p w14:paraId="09EEEB51"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2DC64065"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Valor unitario consignado en número.</w:t>
            </w:r>
          </w:p>
        </w:tc>
      </w:tr>
      <w:tr w:rsidR="00CD298B" w:rsidRPr="00060B43" w14:paraId="372C08F3" w14:textId="77777777">
        <w:tc>
          <w:tcPr>
            <w:tcW w:w="850" w:type="dxa"/>
            <w:shd w:val="clear" w:color="auto" w:fill="auto"/>
            <w:tcMar>
              <w:top w:w="0" w:type="dxa"/>
              <w:left w:w="0" w:type="dxa"/>
              <w:bottom w:w="0" w:type="dxa"/>
              <w:right w:w="0" w:type="dxa"/>
            </w:tcMar>
          </w:tcPr>
          <w:p w14:paraId="251B52F1"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24499D80"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Importe total señalado en número o en letra.</w:t>
            </w:r>
          </w:p>
        </w:tc>
      </w:tr>
      <w:tr w:rsidR="00CD298B" w:rsidRPr="00060B43" w14:paraId="44E77397" w14:textId="77777777">
        <w:tc>
          <w:tcPr>
            <w:tcW w:w="850" w:type="dxa"/>
            <w:shd w:val="clear" w:color="auto" w:fill="auto"/>
            <w:tcMar>
              <w:top w:w="0" w:type="dxa"/>
              <w:left w:w="0" w:type="dxa"/>
              <w:bottom w:w="0" w:type="dxa"/>
              <w:right w:w="0" w:type="dxa"/>
            </w:tcMar>
          </w:tcPr>
          <w:p w14:paraId="2F6016C3"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1456116E"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Señalamiento expreso cuando la prestación se pague en una sola exhibición o en parcialidades.</w:t>
            </w:r>
          </w:p>
        </w:tc>
      </w:tr>
      <w:tr w:rsidR="00CD298B" w:rsidRPr="00060B43" w14:paraId="5A565897" w14:textId="77777777">
        <w:tc>
          <w:tcPr>
            <w:tcW w:w="850" w:type="dxa"/>
            <w:shd w:val="clear" w:color="auto" w:fill="auto"/>
            <w:tcMar>
              <w:top w:w="0" w:type="dxa"/>
              <w:left w:w="0" w:type="dxa"/>
              <w:bottom w:w="0" w:type="dxa"/>
              <w:right w:w="0" w:type="dxa"/>
            </w:tcMar>
          </w:tcPr>
          <w:p w14:paraId="7E4A3E65"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0148A108"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Cuando proceda, se indicará el monto de los impuestos trasladados, desglosados por tasa de impuesto y, en su caso, el monto de los impuestos retenidos.</w:t>
            </w:r>
          </w:p>
        </w:tc>
      </w:tr>
      <w:tr w:rsidR="00CD298B" w:rsidRPr="00060B43" w14:paraId="40126B88" w14:textId="77777777">
        <w:tc>
          <w:tcPr>
            <w:tcW w:w="850" w:type="dxa"/>
            <w:shd w:val="clear" w:color="auto" w:fill="auto"/>
            <w:tcMar>
              <w:top w:w="0" w:type="dxa"/>
              <w:left w:w="0" w:type="dxa"/>
              <w:bottom w:w="0" w:type="dxa"/>
              <w:right w:w="0" w:type="dxa"/>
            </w:tcMar>
          </w:tcPr>
          <w:p w14:paraId="3D918AE6"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138A6A08"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Forma en que se realizó el pago (efectivo, transferencia electrónica de fondos, cheque nominativos o tarjeta de débito, de crédito, de servicio o la denominada monedero electrónico que autorice el Servicio de Administración Tributaria).</w:t>
            </w:r>
          </w:p>
        </w:tc>
      </w:tr>
      <w:tr w:rsidR="00CD298B" w:rsidRPr="00060B43" w14:paraId="2360FE08" w14:textId="77777777">
        <w:tc>
          <w:tcPr>
            <w:tcW w:w="850" w:type="dxa"/>
            <w:shd w:val="clear" w:color="auto" w:fill="auto"/>
            <w:tcMar>
              <w:top w:w="0" w:type="dxa"/>
              <w:left w:w="0" w:type="dxa"/>
              <w:bottom w:w="0" w:type="dxa"/>
              <w:right w:w="0" w:type="dxa"/>
            </w:tcMar>
          </w:tcPr>
          <w:p w14:paraId="1DB403D8" w14:textId="77777777" w:rsidR="00B341BD" w:rsidRPr="00060B43" w:rsidRDefault="00F138DD">
            <w:pPr>
              <w:spacing w:line="360" w:lineRule="auto"/>
              <w:ind w:left="567" w:right="474"/>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w:t>
            </w:r>
          </w:p>
        </w:tc>
        <w:tc>
          <w:tcPr>
            <w:tcW w:w="7665" w:type="dxa"/>
            <w:shd w:val="clear" w:color="auto" w:fill="auto"/>
            <w:tcMar>
              <w:top w:w="0" w:type="dxa"/>
              <w:left w:w="0" w:type="dxa"/>
              <w:bottom w:w="0" w:type="dxa"/>
              <w:right w:w="0" w:type="dxa"/>
            </w:tcMar>
          </w:tcPr>
          <w:p w14:paraId="1E043B3B" w14:textId="77777777" w:rsidR="00B341BD" w:rsidRPr="00060B43" w:rsidRDefault="00F138DD">
            <w:pPr>
              <w:spacing w:line="276" w:lineRule="auto"/>
              <w:ind w:right="1003"/>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Número y fecha del documento aduanero, tratándose de ventas de primera mano de mercancías de importación.”</w:t>
            </w:r>
          </w:p>
        </w:tc>
      </w:tr>
    </w:tbl>
    <w:p w14:paraId="5AFE4A34"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687189CD"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Como se logra advertir de lo anterior, en ningún momento uno de los requisitos de las facturas son el uso del bien, en el caso de adquisición de bienes muebles, o algún tipo de información que, en materia de seguridad pública pudiera comprometer la misma o causar algún daño. </w:t>
      </w:r>
    </w:p>
    <w:p w14:paraId="66C0604D"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Respecto a la causal de reserva establecida en el artículo 140, fracción IV de la Ley de Transparencia y Acceso a la Información Pública del Estado de México y Municipios, los Lineamientos Generales prevén lo siguiente:</w:t>
      </w:r>
    </w:p>
    <w:p w14:paraId="7D3B5A36" w14:textId="77777777" w:rsidR="00B341BD" w:rsidRPr="00060B43" w:rsidRDefault="00F138DD">
      <w:pPr>
        <w:spacing w:before="240" w:after="240" w:line="360" w:lineRule="auto"/>
        <w:ind w:left="567" w:right="333"/>
        <w:jc w:val="both"/>
        <w:rPr>
          <w:rFonts w:ascii="Palatino Linotype" w:eastAsia="Palatino Linotype" w:hAnsi="Palatino Linotype" w:cs="Palatino Linotype"/>
          <w:i/>
          <w:iCs/>
          <w:sz w:val="20"/>
          <w:szCs w:val="20"/>
        </w:rPr>
      </w:pPr>
      <w:r w:rsidRPr="00060B43">
        <w:rPr>
          <w:rFonts w:ascii="Palatino Linotype" w:eastAsia="Palatino Linotype" w:hAnsi="Palatino Linotype" w:cs="Palatino Linotype"/>
          <w:i/>
          <w:iCs/>
          <w:sz w:val="22"/>
          <w:szCs w:val="22"/>
        </w:rPr>
        <w:t>“Vigésimo tercero. Para clasificar la información como reservada, de conformidad con el artículo 113, fracción V de la Ley General, será necesario acreditar un vínculo, entre una o varias personas físicas y la información que pueda poner en riesgo su vida, seguridad o salud; especificando cuál de estos bienes jurídicos será afectado, así como el potencial daño o riesgo que causaría su difusión.”</w:t>
      </w:r>
    </w:p>
    <w:p w14:paraId="6900CD90"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Como se desprende de lo anterior, para que se actualice la causal de reserva indicada, en el caso concreto, se tiene que acreditar que con la entrega de la misma se ponga en riesgo la vida, la seguridad o la salud de una persona física; situación que con la entrega de las facturas por la adquisición de una aeronave no se demuestra; en razón de ser información financiera y contable que únicamente tiene que ver con la comprobación de los egresos del ente fiscalizable, las cuales están sujetas al escrutinio público.</w:t>
      </w:r>
    </w:p>
    <w:p w14:paraId="5EDB0891"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13E49B2A"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Además es de señalar que los documentos a los que pretende acceder el particular se tratan de documentos definitivos, que a demás de que no actualizan las hipótesis de reserva indicadas, los mismos no están sujetos a modificación alguna.</w:t>
      </w:r>
    </w:p>
    <w:p w14:paraId="442150BB"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4D22F1CC" w14:textId="77777777" w:rsidR="00B341BD" w:rsidRPr="00060B43" w:rsidRDefault="00F138DD">
      <w:pPr>
        <w:tabs>
          <w:tab w:val="left" w:pos="284"/>
          <w:tab w:val="left" w:pos="567"/>
        </w:tabs>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lo que resulta prudente tomar en consideración lo plasmado en el criterio 09/2004 emitido por la Suprema Corte de Justicia de la Nación, cuya literalidad es la siguiente:</w:t>
      </w:r>
    </w:p>
    <w:p w14:paraId="50A2ED1C" w14:textId="77777777" w:rsidR="00B341BD" w:rsidRPr="00060B43" w:rsidRDefault="00B341BD">
      <w:pPr>
        <w:tabs>
          <w:tab w:val="left" w:pos="4962"/>
        </w:tabs>
        <w:spacing w:line="360" w:lineRule="auto"/>
        <w:jc w:val="both"/>
        <w:rPr>
          <w:rFonts w:ascii="Palatino Linotype" w:eastAsia="Palatino Linotype" w:hAnsi="Palatino Linotype" w:cs="Palatino Linotype"/>
          <w:sz w:val="22"/>
          <w:szCs w:val="22"/>
        </w:rPr>
      </w:pPr>
    </w:p>
    <w:p w14:paraId="156F2863" w14:textId="77777777" w:rsidR="00B341BD" w:rsidRPr="00060B43" w:rsidRDefault="00F138DD">
      <w:pPr>
        <w:tabs>
          <w:tab w:val="left" w:pos="4962"/>
        </w:tabs>
        <w:spacing w:line="259" w:lineRule="auto"/>
        <w:ind w:left="567" w:right="539"/>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INFORMACIÓN SUJETA A REVISIÓN. SI YA CONSTA EN UN DOCUMENTO DEFINITIVO, DEBE PERMITIRSE EL ACCESO A ÉSTE</w:t>
      </w:r>
      <w:r w:rsidRPr="00060B43">
        <w:rPr>
          <w:rFonts w:ascii="Palatino Linotype" w:eastAsia="Palatino Linotype" w:hAnsi="Palatino Linotype" w:cs="Palatino Linotype"/>
          <w:i/>
          <w:iCs/>
          <w:sz w:val="22"/>
          <w:szCs w:val="22"/>
        </w:rPr>
        <w:t xml:space="preserve">. Para el otorgamiento del acceso a la información que consta en un documento definitivo, no obsta que el mismo se encuentre sujeto a un proceso de revisión, pues la información existe y se encuentra plasmada en un documento que está bajo el resguardo de la Suprema Corte de Justicia de la Nación, en una de sus unidades administrativas y aun cuando se esté procesando para ser publicada en diversa presentación. Ello no implica su falta de disponibilidad en la modalidad que se requirió, por lo que debe darse acceso a la misma en los términos solicitados, en aras de una total y absoluta transparencia de la información bajo el resguardo de este Alto Tribunal, independientemente de que en un futuro se cuente con una presentación distinta </w:t>
      </w:r>
    </w:p>
    <w:p w14:paraId="646D0FF1" w14:textId="77777777" w:rsidR="00B341BD" w:rsidRPr="00060B43" w:rsidRDefault="00F138DD">
      <w:pPr>
        <w:tabs>
          <w:tab w:val="left" w:pos="4962"/>
        </w:tabs>
        <w:spacing w:line="259" w:lineRule="auto"/>
        <w:ind w:left="567" w:right="539"/>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Clasificación de la información 10/2004-J, 19 de mayo de 2004.</w:t>
      </w:r>
    </w:p>
    <w:p w14:paraId="4709704F" w14:textId="77777777" w:rsidR="00B341BD" w:rsidRPr="00060B43" w:rsidRDefault="00F138DD">
      <w:pPr>
        <w:tabs>
          <w:tab w:val="left" w:pos="4962"/>
        </w:tabs>
        <w:spacing w:line="259" w:lineRule="auto"/>
        <w:ind w:left="567" w:right="539"/>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Unanimidad de votos"</w:t>
      </w:r>
    </w:p>
    <w:p w14:paraId="502665C8" w14:textId="77777777" w:rsidR="00B341BD" w:rsidRPr="00060B43" w:rsidRDefault="00B341BD">
      <w:pPr>
        <w:tabs>
          <w:tab w:val="left" w:pos="4962"/>
        </w:tabs>
        <w:spacing w:line="360" w:lineRule="auto"/>
        <w:jc w:val="both"/>
        <w:rPr>
          <w:rFonts w:ascii="Palatino Linotype" w:eastAsia="Palatino Linotype" w:hAnsi="Palatino Linotype" w:cs="Palatino Linotype"/>
          <w:sz w:val="22"/>
          <w:szCs w:val="22"/>
        </w:rPr>
      </w:pPr>
    </w:p>
    <w:p w14:paraId="6C1B96C0" w14:textId="77777777" w:rsidR="00B341BD" w:rsidRPr="00060B43" w:rsidRDefault="00F138DD">
      <w:pPr>
        <w:spacing w:line="360" w:lineRule="auto"/>
        <w:ind w:right="49"/>
        <w:jc w:val="both"/>
        <w:rPr>
          <w:rFonts w:ascii="Palatino Linotype" w:eastAsia="Palatino Linotype" w:hAnsi="Palatino Linotype" w:cs="Palatino Linotype"/>
          <w:sz w:val="20"/>
          <w:szCs w:val="20"/>
        </w:rPr>
      </w:pPr>
      <w:r w:rsidRPr="00060B43">
        <w:rPr>
          <w:rFonts w:ascii="Palatino Linotype" w:eastAsia="Palatino Linotype" w:hAnsi="Palatino Linotype" w:cs="Palatino Linotype"/>
          <w:sz w:val="22"/>
          <w:szCs w:val="22"/>
        </w:rPr>
        <w:t xml:space="preserve">En consecuencia, se reitera que </w:t>
      </w:r>
      <w:r w:rsidRPr="00060B43">
        <w:rPr>
          <w:rFonts w:ascii="Palatino Linotype" w:eastAsia="Palatino Linotype" w:hAnsi="Palatino Linotype" w:cs="Palatino Linotype"/>
          <w:b/>
          <w:bCs/>
          <w:sz w:val="22"/>
          <w:szCs w:val="22"/>
          <w:u w:val="single"/>
        </w:rPr>
        <w:t>la información solicitada no actualiza alguna causal de reserva</w:t>
      </w:r>
      <w:r w:rsidRPr="00060B43">
        <w:rPr>
          <w:rFonts w:ascii="Palatino Linotype" w:eastAsia="Palatino Linotype" w:hAnsi="Palatino Linotype" w:cs="Palatino Linotype"/>
          <w:sz w:val="22"/>
          <w:szCs w:val="22"/>
        </w:rPr>
        <w:t>, pues las facturas requeridas además de tratarse de documentos definitivos, su  difusión y entrega de ninguna manera</w:t>
      </w:r>
      <w:r w:rsidRPr="00060B43">
        <w:rPr>
          <w:rFonts w:ascii="Palatino Linotype" w:eastAsia="Palatino Linotype" w:hAnsi="Palatino Linotype" w:cs="Palatino Linotype"/>
          <w:b/>
          <w:bCs/>
          <w:sz w:val="22"/>
          <w:szCs w:val="22"/>
        </w:rPr>
        <w:t xml:space="preserve"> comprometen la seguridad pública y tampoco pone en riesgo la vida, seguridad o salud de una persona física; </w:t>
      </w:r>
      <w:r w:rsidRPr="00060B43">
        <w:rPr>
          <w:rFonts w:ascii="Palatino Linotype" w:eastAsia="Palatino Linotype" w:hAnsi="Palatino Linotype" w:cs="Palatino Linotype"/>
          <w:sz w:val="22"/>
          <w:szCs w:val="22"/>
        </w:rPr>
        <w:t>ya que son documentos meramente comprobatorios del ejercicio del presupuesto asignado a un ente público, y en términos de la fracción XVIII del artículo 24 de la Ley de Transparencia Local, es obligación de todos los sujetos obligados “</w:t>
      </w:r>
      <w:r w:rsidRPr="00060B43">
        <w:rPr>
          <w:rFonts w:ascii="Palatino Linotype" w:eastAsia="Palatino Linotype" w:hAnsi="Palatino Linotype" w:cs="Palatino Linotype"/>
          <w:i/>
          <w:iCs/>
          <w:sz w:val="22"/>
          <w:szCs w:val="22"/>
        </w:rPr>
        <w:t>Hacer pública toda aquella información relativa a los montos y las personas a quienes entreguen, por cualquier motivo, recursos públicos, así como los informes que dichas personas les entreguen sobre el uso y destino de dichos recursos</w:t>
      </w:r>
      <w:r w:rsidRPr="00060B43">
        <w:rPr>
          <w:rFonts w:ascii="Palatino Linotype" w:eastAsia="Palatino Linotype" w:hAnsi="Palatino Linotype" w:cs="Palatino Linotype"/>
          <w:sz w:val="22"/>
          <w:szCs w:val="22"/>
        </w:rPr>
        <w:t>”.</w:t>
      </w:r>
    </w:p>
    <w:p w14:paraId="79732F92" w14:textId="77777777" w:rsidR="00B341BD" w:rsidRPr="00060B43" w:rsidRDefault="00B341BD">
      <w:pPr>
        <w:spacing w:line="360" w:lineRule="auto"/>
        <w:ind w:right="49"/>
        <w:jc w:val="both"/>
        <w:rPr>
          <w:rFonts w:ascii="Palatino Linotype" w:eastAsia="Palatino Linotype" w:hAnsi="Palatino Linotype" w:cs="Palatino Linotype"/>
          <w:b/>
          <w:bCs/>
          <w:sz w:val="22"/>
          <w:szCs w:val="22"/>
        </w:rPr>
      </w:pPr>
    </w:p>
    <w:p w14:paraId="52F4DC90"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Bajo las consideraciones expuestas, los motivos de inconformidad hechos valer por la parte Recurrente devienen fundados, siendo procedente </w:t>
      </w:r>
      <w:r w:rsidRPr="00060B43">
        <w:rPr>
          <w:rFonts w:ascii="Palatino Linotype" w:eastAsia="Palatino Linotype" w:hAnsi="Palatino Linotype" w:cs="Palatino Linotype"/>
          <w:b/>
          <w:bCs/>
          <w:sz w:val="22"/>
          <w:szCs w:val="22"/>
        </w:rPr>
        <w:t>Revocar</w:t>
      </w:r>
      <w:r w:rsidRPr="00060B43">
        <w:rPr>
          <w:rFonts w:ascii="Palatino Linotype" w:eastAsia="Palatino Linotype" w:hAnsi="Palatino Linotype" w:cs="Palatino Linotype"/>
          <w:sz w:val="22"/>
          <w:szCs w:val="22"/>
        </w:rPr>
        <w:t xml:space="preserve"> la respuesta del </w:t>
      </w:r>
      <w:r w:rsidRPr="00060B43">
        <w:rPr>
          <w:rFonts w:ascii="Palatino Linotype" w:eastAsia="Palatino Linotype" w:hAnsi="Palatino Linotype" w:cs="Palatino Linotype"/>
          <w:b/>
          <w:bCs/>
          <w:sz w:val="22"/>
          <w:szCs w:val="22"/>
        </w:rPr>
        <w:t xml:space="preserve">Sujeto Obligado </w:t>
      </w:r>
      <w:r w:rsidRPr="00060B43">
        <w:rPr>
          <w:rFonts w:ascii="Palatino Linotype" w:eastAsia="Palatino Linotype" w:hAnsi="Palatino Linotype" w:cs="Palatino Linotype"/>
          <w:sz w:val="22"/>
          <w:szCs w:val="22"/>
        </w:rPr>
        <w:t xml:space="preserve">y ordenar la entrega, de ser procedente en versión pública, </w:t>
      </w:r>
      <w:r w:rsidRPr="00060B43">
        <w:rPr>
          <w:rFonts w:ascii="Palatino Linotype" w:eastAsia="Palatino Linotype" w:hAnsi="Palatino Linotype" w:cs="Palatino Linotype"/>
          <w:b/>
          <w:bCs/>
          <w:i/>
          <w:iCs/>
          <w:sz w:val="22"/>
          <w:szCs w:val="22"/>
          <w:u w:val="single"/>
        </w:rPr>
        <w:t>las facturas correspondientes a la adquisición de la aeronave señalada en la solicitud de información, con que se cuenten al dos de julio de dos mil veintiséis.</w:t>
      </w:r>
    </w:p>
    <w:p w14:paraId="16BE6924" w14:textId="77777777" w:rsidR="00B341BD" w:rsidRPr="00060B43" w:rsidRDefault="00B341BD">
      <w:pPr>
        <w:spacing w:line="360" w:lineRule="auto"/>
        <w:ind w:right="49"/>
        <w:jc w:val="both"/>
        <w:rPr>
          <w:rFonts w:ascii="Palatino Linotype" w:eastAsia="Palatino Linotype" w:hAnsi="Palatino Linotype" w:cs="Palatino Linotype"/>
          <w:b/>
          <w:bCs/>
          <w:sz w:val="22"/>
          <w:szCs w:val="22"/>
        </w:rPr>
      </w:pPr>
    </w:p>
    <w:p w14:paraId="21D441FA"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Quinto. Versión Pública. </w:t>
      </w:r>
      <w:r w:rsidRPr="00060B43">
        <w:rPr>
          <w:rFonts w:ascii="Palatino Linotype" w:eastAsia="Palatino Linotype" w:hAnsi="Palatino Linotype" w:cs="Palatino Linotype"/>
          <w:sz w:val="22"/>
          <w:szCs w:val="22"/>
        </w:rPr>
        <w:t xml:space="preserve">Finalmente para la entrega del soporte documental que deberá proporcionar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para dar satisfacción de la derecho humano de acceso a la información de la persona solicitante, deberá considerar que ello no es absoluto, sino que encuentra como excepciones que la información sobre la cual se peticiona el acceso, contenga datos que deban ser clasificados en los términos que la misma Ley de la Materia señala,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tendrá que elaborar la versión pública de los documentos que vaya entregar para dar cumplimiento a esta resolución, a fin de satisfacer el derecho de acceso a la información pública de la recurrente sin menoscabar el derecho a la protección de los datos personales de terceros.</w:t>
      </w:r>
    </w:p>
    <w:p w14:paraId="66F3DAA0" w14:textId="77777777" w:rsidR="00B341BD" w:rsidRPr="00060B43" w:rsidRDefault="00B341BD">
      <w:pPr>
        <w:spacing w:line="360" w:lineRule="auto"/>
        <w:ind w:right="49"/>
        <w:jc w:val="both"/>
        <w:rPr>
          <w:rFonts w:ascii="Palatino Linotype" w:eastAsia="Palatino Linotype" w:hAnsi="Palatino Linotype" w:cs="Palatino Linotype"/>
          <w:sz w:val="22"/>
          <w:szCs w:val="22"/>
        </w:rPr>
      </w:pPr>
    </w:p>
    <w:p w14:paraId="34171EEB"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Lo anterior, de conformidad a lo que señalan los artículos 3 fracciones IX, XX, XXI y XLV, 91, 132 fracciones II y III, y 143 fracción I de la Ley de Transparencia y Acceso a la Información Pública del Estado de México y Municipios que establecen:</w:t>
      </w:r>
    </w:p>
    <w:p w14:paraId="7609DB55"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Artículo 3</w:t>
      </w:r>
      <w:r w:rsidRPr="00060B43">
        <w:rPr>
          <w:rFonts w:ascii="Palatino Linotype" w:eastAsia="Palatino Linotype" w:hAnsi="Palatino Linotype" w:cs="Palatino Linotype"/>
          <w:i/>
          <w:iCs/>
          <w:sz w:val="22"/>
          <w:szCs w:val="22"/>
        </w:rPr>
        <w:t>. Para los efectos de la presente Ley se entenderá por:</w:t>
      </w:r>
    </w:p>
    <w:p w14:paraId="73305465"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2022A519"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IX. Datos personales:</w:t>
      </w:r>
      <w:r w:rsidRPr="00060B43">
        <w:rPr>
          <w:rFonts w:ascii="Palatino Linotype" w:eastAsia="Palatino Linotype" w:hAnsi="Palatino Linotype" w:cs="Palatino Linotype"/>
          <w:i/>
          <w:iCs/>
          <w:sz w:val="22"/>
          <w:szCs w:val="22"/>
        </w:rPr>
        <w:t xml:space="preserve"> La información concerniente a una persona, identificada o identificable según lo dispuesto por la Ley de Protección de Datos Personales del Estado de México; </w:t>
      </w:r>
    </w:p>
    <w:p w14:paraId="6C24740A"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XX. Información clasificada</w:t>
      </w:r>
      <w:r w:rsidRPr="00060B43">
        <w:rPr>
          <w:rFonts w:ascii="Palatino Linotype" w:eastAsia="Palatino Linotype" w:hAnsi="Palatino Linotype" w:cs="Palatino Linotype"/>
          <w:i/>
          <w:iCs/>
          <w:sz w:val="22"/>
          <w:szCs w:val="22"/>
        </w:rPr>
        <w:t>: Aquella considerada por la presente Ley como reservada o confidencial;</w:t>
      </w:r>
    </w:p>
    <w:p w14:paraId="4D849A2B"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XXI. Información confidencial:</w:t>
      </w:r>
      <w:r w:rsidRPr="00060B43">
        <w:rPr>
          <w:rFonts w:ascii="Palatino Linotype" w:eastAsia="Palatino Linotype" w:hAnsi="Palatino Linotype" w:cs="Palatino Linotype"/>
          <w:i/>
          <w:iCs/>
          <w:sz w:val="22"/>
          <w:szCs w:val="22"/>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731B4B3E"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XLV. Versión pública:</w:t>
      </w:r>
      <w:r w:rsidRPr="00060B43">
        <w:rPr>
          <w:rFonts w:ascii="Palatino Linotype" w:eastAsia="Palatino Linotype" w:hAnsi="Palatino Linotype" w:cs="Palatino Linotype"/>
          <w:i/>
          <w:iCs/>
          <w:sz w:val="22"/>
          <w:szCs w:val="22"/>
        </w:rPr>
        <w:t xml:space="preserve"> Documento en el que se elimine, suprime o borra la información clasificada como reservada o confidencial para permitir su acceso.</w:t>
      </w:r>
    </w:p>
    <w:p w14:paraId="792291BD"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3E3E088E"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Artículo 91. </w:t>
      </w:r>
      <w:r w:rsidRPr="00060B43">
        <w:rPr>
          <w:rFonts w:ascii="Palatino Linotype" w:eastAsia="Palatino Linotype" w:hAnsi="Palatino Linotype" w:cs="Palatino Linotype"/>
          <w:i/>
          <w:iCs/>
          <w:sz w:val="22"/>
          <w:szCs w:val="22"/>
        </w:rPr>
        <w:t>El acceso a la información pública será restringido excepcionalmente, cuando ésta sea clasificada como reservada o confidencial.</w:t>
      </w:r>
    </w:p>
    <w:p w14:paraId="6CDB0407"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Artículo 132. </w:t>
      </w:r>
      <w:r w:rsidRPr="00060B43">
        <w:rPr>
          <w:rFonts w:ascii="Palatino Linotype" w:eastAsia="Palatino Linotype" w:hAnsi="Palatino Linotype" w:cs="Palatino Linotype"/>
          <w:i/>
          <w:iCs/>
          <w:sz w:val="22"/>
          <w:szCs w:val="22"/>
        </w:rPr>
        <w:t>La clasificación de la información se llevará a cabo en el momento en que:</w:t>
      </w:r>
    </w:p>
    <w:p w14:paraId="29367595"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w:t>
      </w:r>
      <w:r w:rsidRPr="00060B43">
        <w:rPr>
          <w:rFonts w:ascii="Palatino Linotype" w:eastAsia="Palatino Linotype" w:hAnsi="Palatino Linotype" w:cs="Palatino Linotype"/>
          <w:i/>
          <w:iCs/>
          <w:sz w:val="22"/>
          <w:szCs w:val="22"/>
        </w:rPr>
        <w:t>. Se reciba una solicitud de acceso a la información;</w:t>
      </w:r>
    </w:p>
    <w:p w14:paraId="2949A47B"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w:t>
      </w:r>
      <w:r w:rsidRPr="00060B43">
        <w:rPr>
          <w:rFonts w:ascii="Palatino Linotype" w:eastAsia="Palatino Linotype" w:hAnsi="Palatino Linotype" w:cs="Palatino Linotype"/>
          <w:i/>
          <w:iCs/>
          <w:sz w:val="22"/>
          <w:szCs w:val="22"/>
        </w:rPr>
        <w:t>. Se determine mediante resolución de autoridad competente; o</w:t>
      </w:r>
    </w:p>
    <w:p w14:paraId="0937C3E0"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III</w:t>
      </w:r>
      <w:r w:rsidRPr="00060B43">
        <w:rPr>
          <w:rFonts w:ascii="Palatino Linotype" w:eastAsia="Palatino Linotype" w:hAnsi="Palatino Linotype" w:cs="Palatino Linotype"/>
          <w:i/>
          <w:iCs/>
          <w:sz w:val="22"/>
          <w:szCs w:val="22"/>
        </w:rPr>
        <w:t>. Se generen versiones públicas para dar cumplimiento a las obligaciones de transparencia previstas en esta Ley.</w:t>
      </w:r>
    </w:p>
    <w:p w14:paraId="3B621CE6"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3DFB8A0F"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Artículo 143</w:t>
      </w:r>
      <w:r w:rsidRPr="00060B43">
        <w:rPr>
          <w:rFonts w:ascii="Palatino Linotype" w:eastAsia="Palatino Linotype" w:hAnsi="Palatino Linotype" w:cs="Palatino Linotype"/>
          <w:i/>
          <w:iCs/>
          <w:sz w:val="22"/>
          <w:szCs w:val="22"/>
        </w:rPr>
        <w:t>. Para los efectos de esta Ley se considera información confidencial, la clasificada como tal, de manera permanente, por su naturaleza, cuando:</w:t>
      </w:r>
    </w:p>
    <w:p w14:paraId="75EC2781"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w:t>
      </w:r>
      <w:r w:rsidRPr="00060B43">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7FB479B1"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w:t>
      </w:r>
      <w:r w:rsidRPr="00060B43">
        <w:rPr>
          <w:rFonts w:ascii="Palatino Linotype" w:eastAsia="Palatino Linotype" w:hAnsi="Palatino Linotype" w:cs="Palatino Linotype"/>
          <w:i/>
          <w:iCs/>
          <w:sz w:val="22"/>
          <w:szCs w:val="22"/>
        </w:rPr>
        <w:t xml:space="preserve"> Los secretos bancario, fiduciario, industrial, comercial, fiscal, bursátil y postal, cuya titularidad corresponda a particulares, sujetos de derecho internacional o a sujetos obligados cuando no involucren el ejercicio de recursos públicos; y</w:t>
      </w:r>
    </w:p>
    <w:p w14:paraId="49AD88FD"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III</w:t>
      </w:r>
      <w:r w:rsidRPr="00060B43">
        <w:rPr>
          <w:rFonts w:ascii="Palatino Linotype" w:eastAsia="Palatino Linotype" w:hAnsi="Palatino Linotype" w:cs="Palatino Linotype"/>
          <w:i/>
          <w:iCs/>
          <w:sz w:val="22"/>
          <w:szCs w:val="22"/>
        </w:rPr>
        <w:t>. La que presenten los particulares a los sujetos obligados, de conformidad con lo dispuesto por las leyes o los tratados internacionales.</w:t>
      </w:r>
    </w:p>
    <w:p w14:paraId="216D3E55"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La información confidencial no estará sujeta a temporalidad alguna y sólo podrán tener acceso a ella los titulares de la misma, sus representantes y los servidores públicos facultados para ello.</w:t>
      </w:r>
    </w:p>
    <w:p w14:paraId="76FD1659" w14:textId="77777777" w:rsidR="00B341BD" w:rsidRPr="00060B43" w:rsidRDefault="00F138DD">
      <w:pPr>
        <w:ind w:left="567"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No se considerará confidencial la información que se encuentre en los registros públicos o en fuentes de acceso público, ni tampoco la que sea considerada por la presente ley como información pública.”</w:t>
      </w:r>
    </w:p>
    <w:p w14:paraId="664F3B82"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8AAC8B7"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publicados en el Diario Oficial de la Federación el día quince de abril de dos mil dieciséis, mismos que se encontraban vigentes a la fecha de la solicitud,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1AE2C9D5"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965B072"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1D2EC482"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14:paraId="26356075"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14:paraId="68C228F1"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Es por esta razón que se debe omitir el o los números de cuentas bancarias de particulares en las versiones públicas que de las facturas se hagan, para ser entregadas.</w:t>
      </w:r>
    </w:p>
    <w:p w14:paraId="7BA9877B"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14:paraId="31BF6309"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Lo argumentado encuentra sustento en los criterios orientadores 10/17 y 11/17 emitidos por el entonces Instituto Nacional de Transparencia, Acceso a la Información y Protección de Datos Personales, INAI, que llevan por rubro y texto los siguientes:</w:t>
      </w:r>
    </w:p>
    <w:p w14:paraId="164712BC" w14:textId="77777777" w:rsidR="00B341BD" w:rsidRPr="00060B43" w:rsidRDefault="00F138DD">
      <w:pPr>
        <w:spacing w:before="240" w:after="24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“Cuentas bancarias y/o CLABE interbancaria de personas físicas y morales privadas.</w:t>
      </w:r>
      <w:r w:rsidRPr="00060B43">
        <w:rPr>
          <w:rFonts w:ascii="Palatino Linotype" w:eastAsia="Palatino Linotype" w:hAnsi="Palatino Linotype" w:cs="Palatino Linotype"/>
          <w:i/>
          <w:iCs/>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FA66E32" w14:textId="77777777" w:rsidR="00B341BD" w:rsidRPr="00060B43" w:rsidRDefault="00F138DD">
      <w:pPr>
        <w:spacing w:before="240" w:after="24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Cuentas bancarias y/o CLABE interbancaria de sujetos obligados que reciben y/o transfieren recursos públicos, son información pública</w:t>
      </w:r>
      <w:r w:rsidRPr="00060B43">
        <w:rPr>
          <w:rFonts w:ascii="Palatino Linotype" w:eastAsia="Palatino Linotype" w:hAnsi="Palatino Linotype" w:cs="Palatino Linotype"/>
          <w:i/>
          <w:iCs/>
          <w:sz w:val="22"/>
          <w:szCs w:val="22"/>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6EDE3AF8"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Por cuanto hace al </w:t>
      </w:r>
      <w:r w:rsidRPr="00060B43">
        <w:rPr>
          <w:rFonts w:ascii="Palatino Linotype" w:eastAsia="Palatino Linotype" w:hAnsi="Palatino Linotype" w:cs="Palatino Linotype"/>
          <w:b/>
          <w:bCs/>
          <w:sz w:val="22"/>
          <w:szCs w:val="22"/>
        </w:rPr>
        <w:t xml:space="preserve">Registro Federal de Contribuyentes (RFC) </w:t>
      </w:r>
      <w:r w:rsidRPr="00060B43">
        <w:rPr>
          <w:rFonts w:ascii="Palatino Linotype" w:eastAsia="Palatino Linotype" w:hAnsi="Palatino Linotype" w:cs="Palatino Linotype"/>
          <w:sz w:val="22"/>
          <w:szCs w:val="22"/>
        </w:rPr>
        <w:t>y</w:t>
      </w:r>
      <w:r w:rsidRPr="00060B43">
        <w:rPr>
          <w:rFonts w:ascii="Palatino Linotype" w:eastAsia="Palatino Linotype" w:hAnsi="Palatino Linotype" w:cs="Palatino Linotype"/>
          <w:b/>
          <w:bCs/>
          <w:sz w:val="22"/>
          <w:szCs w:val="22"/>
        </w:rPr>
        <w:t xml:space="preserve"> el domicilio fiscal </w:t>
      </w:r>
      <w:r w:rsidRPr="00060B43">
        <w:rPr>
          <w:rFonts w:ascii="Palatino Linotype" w:eastAsia="Palatino Linotype" w:hAnsi="Palatino Linotype" w:cs="Palatino Linotype"/>
          <w:sz w:val="22"/>
          <w:szCs w:val="22"/>
        </w:rPr>
        <w:t>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14:paraId="5E892EE2"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Ello se debe a que, del ejercicio de ponderación entre el derecho a la protección de datos personales con el derecho de acceso a la información pública, es de mayor trascendencia el que cualquier persona pueda conocer en qué se gastan los recursos públicos, puesto que se trata de erogaciones que realiza un órgano del Estado con base en los recursos que encuentran su origen en mayor medida en las contribuciones aportados por los gobernados, por lo que debe transparentarse su ejercicio.</w:t>
      </w:r>
    </w:p>
    <w:p w14:paraId="4FD8786E"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Además, las personas físicas que realicen las actividades contratadas por las instituciones, renuncian implícitamente a una parte de su derecho a la intimidad al obtener beneficios y lucros de los recursos públicos por dicha contratación, por lo que </w:t>
      </w:r>
      <w:r w:rsidRPr="00060B43">
        <w:rPr>
          <w:rFonts w:ascii="Palatino Linotype" w:eastAsia="Palatino Linotype" w:hAnsi="Palatino Linotype" w:cs="Palatino Linotype"/>
          <w:b/>
          <w:bCs/>
          <w:sz w:val="22"/>
          <w:szCs w:val="22"/>
        </w:rPr>
        <w:t>no puede considerarse como información clasificada lo relativo a su nombre, registro federal de contribuyentes y domicilio fiscal</w:t>
      </w:r>
      <w:r w:rsidRPr="00060B43">
        <w:rPr>
          <w:rFonts w:ascii="Palatino Linotype" w:eastAsia="Palatino Linotype" w:hAnsi="Palatino Linotype" w:cs="Palatino Linotype"/>
          <w:sz w:val="22"/>
          <w:szCs w:val="22"/>
        </w:rPr>
        <w:t>, atento a que dicha información es la que puede generar certeza en los gobernados en que se está ejerciendo debidamente el presupuesto.</w:t>
      </w:r>
    </w:p>
    <w:p w14:paraId="3E90F61E" w14:textId="77777777" w:rsidR="00B341BD" w:rsidRPr="00060B43" w:rsidRDefault="00F138DD">
      <w:pPr>
        <w:spacing w:before="240" w:after="24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Robustece lo anterior el criterio orientador 04/21 emitido por el Instituto Nacional de Transparencia, Acceso a la Información y Protección de Datos Personales, INAI, el cual refiere:</w:t>
      </w:r>
    </w:p>
    <w:p w14:paraId="5A3EB4CA" w14:textId="77777777" w:rsidR="00B341BD" w:rsidRPr="00060B43" w:rsidRDefault="00F138DD">
      <w:pPr>
        <w:spacing w:before="120" w:after="12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“Registro Federal de Contribuyentes (RFC) de personas físicas proveedoras o contratistas. </w:t>
      </w:r>
      <w:r w:rsidRPr="00060B43">
        <w:rPr>
          <w:rFonts w:ascii="Palatino Linotype" w:eastAsia="Palatino Linotype" w:hAnsi="Palatino Linotype" w:cs="Palatino Linotype"/>
          <w:i/>
          <w:iCs/>
          <w:sz w:val="22"/>
          <w:szCs w:val="22"/>
        </w:rPr>
        <w:t>El RFC de contratistas o proveedores de los sujetos obligados debe ser público, ya que al tratarse de personas con contrataciones públicas, su difusión favorece la transparencia con la que deben administrarse los recursos públicos, en términos del artículo 134 de la Constitución Política de los Estados Unidos Mexicanos.”</w:t>
      </w:r>
    </w:p>
    <w:p w14:paraId="32AA85B2"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Relacionado con lo anterior, el </w:t>
      </w:r>
      <w:r w:rsidRPr="00060B43">
        <w:rPr>
          <w:rFonts w:ascii="Palatino Linotype" w:eastAsia="Palatino Linotype" w:hAnsi="Palatino Linotype" w:cs="Palatino Linotype"/>
          <w:b/>
          <w:bCs/>
          <w:sz w:val="22"/>
          <w:szCs w:val="22"/>
        </w:rPr>
        <w:t>nombre de las personas físicas</w:t>
      </w:r>
      <w:r w:rsidRPr="00060B43">
        <w:rPr>
          <w:rFonts w:ascii="Palatino Linotype" w:eastAsia="Palatino Linotype" w:hAnsi="Palatino Linotype" w:cs="Palatino Linotype"/>
          <w:sz w:val="22"/>
          <w:szCs w:val="22"/>
        </w:rPr>
        <w:t xml:space="preserve"> o los </w:t>
      </w:r>
      <w:r w:rsidRPr="00060B43">
        <w:rPr>
          <w:rFonts w:ascii="Palatino Linotype" w:eastAsia="Palatino Linotype" w:hAnsi="Palatino Linotype" w:cs="Palatino Linotype"/>
          <w:b/>
          <w:bCs/>
          <w:sz w:val="22"/>
          <w:szCs w:val="22"/>
        </w:rPr>
        <w:t>representantes legales de las personas morales</w:t>
      </w:r>
      <w:r w:rsidRPr="00060B43">
        <w:rPr>
          <w:rFonts w:ascii="Palatino Linotype" w:eastAsia="Palatino Linotype" w:hAnsi="Palatino Linotype" w:cs="Palatino Linotype"/>
          <w:sz w:val="22"/>
          <w:szCs w:val="22"/>
        </w:rPr>
        <w:t>, en su calidad de proveedores, contratistas o prestadores de servicios, y la firma y rúbrica de estos, que participen en algún  proceso de adjudicación en cualquiera de sus modalidades, debe mencionarse que con base en el artículo 23 párrafo segundo y 24 fracción XVIII  de la Ley de Transparencia y Acceso a la Información Pública del Estado de México y Municipios,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14:paraId="52D7CF1C" w14:textId="77777777" w:rsidR="00B341BD" w:rsidRPr="00060B43" w:rsidRDefault="00F138DD">
      <w:pPr>
        <w:spacing w:before="240" w:after="240" w:line="360" w:lineRule="auto"/>
        <w:ind w:right="50"/>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14:paraId="3C315005" w14:textId="77777777" w:rsidR="00B341BD" w:rsidRPr="00060B43" w:rsidRDefault="00F138DD">
      <w:pPr>
        <w:spacing w:before="120" w:after="12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Artículo 23.</w:t>
      </w:r>
      <w:r w:rsidRPr="00060B43">
        <w:rPr>
          <w:rFonts w:ascii="Palatino Linotype" w:eastAsia="Palatino Linotype" w:hAnsi="Palatino Linotype" w:cs="Palatino Linotype"/>
          <w:i/>
          <w:iCs/>
          <w:sz w:val="22"/>
          <w:szCs w:val="22"/>
        </w:rPr>
        <w:t xml:space="preserve"> (…)</w:t>
      </w:r>
    </w:p>
    <w:p w14:paraId="4AD7AA68" w14:textId="77777777" w:rsidR="00B341BD" w:rsidRPr="00060B43" w:rsidRDefault="00F138DD">
      <w:pPr>
        <w:spacing w:before="120" w:after="12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4EB12269" w14:textId="77777777" w:rsidR="00B341BD" w:rsidRPr="00060B43" w:rsidRDefault="00F138DD">
      <w:pPr>
        <w:spacing w:before="280" w:after="280"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Asimismo, resulta aplicable el contenido del criterio de interpretación 01/19 emitido por el entonces Instituto Nacional de Transparencia, Acceso a la Información, y Protección de Datos Personales, INAI, que lleva por rubro y texto los siguientes;</w:t>
      </w:r>
    </w:p>
    <w:p w14:paraId="7C81ECAF" w14:textId="77777777" w:rsidR="00B341BD" w:rsidRPr="00060B43" w:rsidRDefault="00F138DD">
      <w:pPr>
        <w:spacing w:before="120" w:after="120"/>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“Datos de identificación del representante o apoderado legal.</w:t>
      </w:r>
      <w:r w:rsidRPr="00060B43">
        <w:rPr>
          <w:rFonts w:ascii="Palatino Linotype" w:eastAsia="Palatino Linotype" w:hAnsi="Palatino Linotype" w:cs="Palatino Linotype"/>
          <w:i/>
          <w:iCs/>
          <w:sz w:val="22"/>
          <w:szCs w:val="22"/>
        </w:rPr>
        <w:t xml:space="preserve"> </w:t>
      </w:r>
      <w:r w:rsidRPr="00060B43">
        <w:rPr>
          <w:rFonts w:ascii="Palatino Linotype" w:eastAsia="Palatino Linotype" w:hAnsi="Palatino Linotype" w:cs="Palatino Linotype"/>
          <w:b/>
          <w:bCs/>
          <w:i/>
          <w:iCs/>
          <w:sz w:val="22"/>
          <w:szCs w:val="22"/>
        </w:rPr>
        <w:t xml:space="preserve">Naturaleza jurídica. </w:t>
      </w:r>
      <w:r w:rsidRPr="00060B43">
        <w:rPr>
          <w:rFonts w:ascii="Palatino Linotype" w:eastAsia="Palatino Linotype" w:hAnsi="Palatino Linotype" w:cs="Palatino Linotype"/>
          <w:i/>
          <w:iCs/>
          <w:sz w:val="22"/>
          <w:szCs w:val="22"/>
        </w:rPr>
        <w:t xml:space="preserve">El nombre, la firma y la rúbrica de una persona física, que actúe como representante o apoderado legal de un tercero que haya celebrado un acto jurídico, con algún sujeto obligado, </w:t>
      </w:r>
      <w:r w:rsidRPr="00060B43">
        <w:rPr>
          <w:rFonts w:ascii="Palatino Linotype" w:eastAsia="Palatino Linotype" w:hAnsi="Palatino Linotype" w:cs="Palatino Linotype"/>
          <w:b/>
          <w:bCs/>
          <w:i/>
          <w:iCs/>
          <w:sz w:val="22"/>
          <w:szCs w:val="22"/>
        </w:rPr>
        <w:t>es información pública, en razón de que tales datos fueron proporcionados con el objeto de expresar el consentimiento obligacional del tercero y otorgar validez a dicho instrumento jurídico</w:t>
      </w:r>
      <w:r w:rsidRPr="00060B43">
        <w:rPr>
          <w:rFonts w:ascii="Palatino Linotype" w:eastAsia="Palatino Linotype" w:hAnsi="Palatino Linotype" w:cs="Palatino Linotype"/>
          <w:i/>
          <w:iCs/>
          <w:sz w:val="22"/>
          <w:szCs w:val="22"/>
        </w:rPr>
        <w:t>.”</w:t>
      </w:r>
    </w:p>
    <w:p w14:paraId="1F61EDE9"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AF0D2B3" w14:textId="77777777" w:rsidR="00B341BD" w:rsidRPr="00060B43" w:rsidRDefault="00F138DD">
      <w:pPr>
        <w:pBdr>
          <w:top w:val="nil"/>
          <w:left w:val="nil"/>
          <w:bottom w:val="nil"/>
          <w:right w:val="nil"/>
          <w:between w:val="nil"/>
        </w:pBdr>
        <w:spacing w:line="360" w:lineRule="auto"/>
        <w:jc w:val="both"/>
      </w:pPr>
      <w:r w:rsidRPr="00060B43">
        <w:rPr>
          <w:rFonts w:ascii="Palatino Linotype" w:eastAsia="Palatino Linotype" w:hAnsi="Palatino Linotype" w:cs="Palatino Linotype"/>
          <w:sz w:val="22"/>
          <w:szCs w:val="22"/>
        </w:rPr>
        <w:t xml:space="preserve">Entre los datos que se pudieran localizar en la información que se ordena entregar, se advierte que pudiera contener especificaciones técnicas de la aeronave, por lo que proporcionar las características o especificaciones de los equipos adquiridos o arrendados, revelaría la nueva tecnología, sistemas  y componentes, con los que cuenta el Sujeto Obligado para el combate a la delincuencia, pues al proporcionar información sobre </w:t>
      </w:r>
      <w:r w:rsidRPr="00060B43">
        <w:rPr>
          <w:rFonts w:ascii="Palatino Linotype" w:eastAsia="Palatino Linotype" w:hAnsi="Palatino Linotype" w:cs="Palatino Linotype"/>
          <w:b/>
          <w:bCs/>
          <w:sz w:val="22"/>
          <w:szCs w:val="22"/>
        </w:rPr>
        <w:t>el  blindaje, radios, entre otros aspectos, con los que pudiera contar dicha unidad,</w:t>
      </w:r>
      <w:r w:rsidRPr="00060B43">
        <w:rPr>
          <w:rFonts w:ascii="Palatino Linotype" w:eastAsia="Palatino Linotype" w:hAnsi="Palatino Linotype" w:cs="Palatino Linotype"/>
          <w:sz w:val="22"/>
          <w:szCs w:val="22"/>
        </w:rPr>
        <w:t xml:space="preserve"> se estaría dando cuenta de las características del equipo o incluso armamento especial, con el que cuenta dicha unidad, y que es utilizado para mantener la seguridad dentro del territorio del Estado. </w:t>
      </w:r>
    </w:p>
    <w:p w14:paraId="53CFC257" w14:textId="77777777" w:rsidR="00B341BD" w:rsidRPr="00060B43" w:rsidRDefault="00B341BD">
      <w:pPr>
        <w:spacing w:line="360" w:lineRule="auto"/>
      </w:pPr>
    </w:p>
    <w:p w14:paraId="645F6EFA" w14:textId="77777777" w:rsidR="00B341BD" w:rsidRPr="00060B43" w:rsidRDefault="00F138DD">
      <w:pPr>
        <w:pBdr>
          <w:top w:val="nil"/>
          <w:left w:val="nil"/>
          <w:bottom w:val="nil"/>
          <w:right w:val="nil"/>
          <w:between w:val="nil"/>
        </w:pBdr>
        <w:spacing w:line="360" w:lineRule="auto"/>
        <w:ind w:right="-93"/>
        <w:jc w:val="both"/>
      </w:pPr>
      <w:r w:rsidRPr="00060B43">
        <w:rPr>
          <w:rFonts w:ascii="Palatino Linotype" w:eastAsia="Palatino Linotype" w:hAnsi="Palatino Linotype" w:cs="Palatino Linotype"/>
          <w:sz w:val="22"/>
          <w:szCs w:val="22"/>
        </w:rPr>
        <w:t>Inclusive, dar a conocer las especificaciones y características de dicho equipamiento, podría ocasionar que los entes delincuenciales busquen allegarse de instrumentos para disminuir o destruir estos, con el fin de aumentar la inseguridad, pues podría ser utilizada dicha información para buscar las debilidades de las mismas y poderse aprovechar de dichas situaciones para realizar diversos delitos, lo cual va en detrimento de la paz y orden social.</w:t>
      </w:r>
    </w:p>
    <w:p w14:paraId="3C3151D3" w14:textId="77777777" w:rsidR="00B341BD" w:rsidRPr="00060B43" w:rsidRDefault="00B341BD">
      <w:pPr>
        <w:spacing w:line="360" w:lineRule="auto"/>
      </w:pPr>
    </w:p>
    <w:p w14:paraId="4B1CDFCC" w14:textId="77777777" w:rsidR="00B341BD" w:rsidRPr="00060B43" w:rsidRDefault="00F138DD">
      <w:pPr>
        <w:pBdr>
          <w:top w:val="nil"/>
          <w:left w:val="nil"/>
          <w:bottom w:val="nil"/>
          <w:right w:val="nil"/>
          <w:between w:val="nil"/>
        </w:pBdr>
        <w:spacing w:line="360" w:lineRule="auto"/>
        <w:jc w:val="both"/>
      </w:pPr>
      <w:r w:rsidRPr="00060B43">
        <w:rPr>
          <w:rFonts w:ascii="Palatino Linotype" w:eastAsia="Palatino Linotype" w:hAnsi="Palatino Linotype" w:cs="Palatino Linotype"/>
          <w:sz w:val="22"/>
          <w:szCs w:val="22"/>
        </w:rPr>
        <w:t xml:space="preserve">Conforme a lo anterior, se puede colegir que proporcionar la información en análisis compromete la seguridad pública, al poner en peligro las funciones a cargo del Estado, </w:t>
      </w:r>
      <w:r w:rsidRPr="00060B43">
        <w:rPr>
          <w:sz w:val="22"/>
          <w:szCs w:val="22"/>
        </w:rPr>
        <w:t> </w:t>
      </w:r>
      <w:r w:rsidRPr="00060B43">
        <w:rPr>
          <w:rFonts w:ascii="Palatino Linotype" w:eastAsia="Palatino Linotype" w:hAnsi="Palatino Linotype" w:cs="Palatino Linotype"/>
          <w:sz w:val="22"/>
          <w:szCs w:val="22"/>
        </w:rPr>
        <w:t xml:space="preserve">tendientes a preservar y resguardar la vida, la salud, la integridad y el ejercicio de los derechos de las personas, así como para el mantenimiento del orden público, toda vez </w:t>
      </w:r>
      <w:r w:rsidRPr="00060B43">
        <w:rPr>
          <w:rFonts w:ascii="Palatino Linotype" w:eastAsia="Palatino Linotype" w:hAnsi="Palatino Linotype" w:cs="Palatino Linotype"/>
          <w:b/>
          <w:bCs/>
          <w:sz w:val="22"/>
          <w:szCs w:val="22"/>
        </w:rPr>
        <w:t xml:space="preserve">que da cuenta de las tecnologías, componentes y sistemas del equipo y armamento utilizado por el Sujeto Obligado </w:t>
      </w:r>
      <w:r w:rsidRPr="00060B43">
        <w:rPr>
          <w:rFonts w:ascii="Palatino Linotype" w:eastAsia="Palatino Linotype" w:hAnsi="Palatino Linotype" w:cs="Palatino Linotype"/>
          <w:sz w:val="22"/>
          <w:szCs w:val="22"/>
        </w:rPr>
        <w:t>y por lo tanto, acredita la causal de clasificación prevista en el artículo 140, fracción I de la Ley de Transparencia y Acceso a la Información Pública del Estado de México</w:t>
      </w:r>
      <w:r w:rsidRPr="00060B43">
        <w:rPr>
          <w:rFonts w:ascii="Palatino Linotype" w:eastAsia="Palatino Linotype" w:hAnsi="Palatino Linotype" w:cs="Palatino Linotype"/>
          <w:b/>
          <w:bCs/>
          <w:sz w:val="22"/>
          <w:szCs w:val="22"/>
        </w:rPr>
        <w:t>.</w:t>
      </w:r>
    </w:p>
    <w:p w14:paraId="2DC26E47"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170D531E"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Entorno a lo que aquí nos interesa, los Lineamientos Quincuagésimo, Quincuagésimo primero, Quincuagésimo segundo, Quincuagésimo cuarto y Quincuagésimo quinto, vigentes a la fecha de la solicitud señalan las formalidades que deberá llevar el acuerdo de clasificación que deberá emitir 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siendo estas las siguientes:</w:t>
      </w:r>
    </w:p>
    <w:p w14:paraId="753A57A6"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5A416C85" w14:textId="77777777" w:rsidR="00B341BD" w:rsidRPr="00060B43" w:rsidRDefault="00F138DD">
      <w:pPr>
        <w:spacing w:line="276" w:lineRule="auto"/>
        <w:ind w:left="567"/>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“CAPÍTULO VIII </w:t>
      </w:r>
    </w:p>
    <w:p w14:paraId="1AED15D7" w14:textId="77777777" w:rsidR="00B341BD" w:rsidRPr="00060B43" w:rsidRDefault="00F138DD">
      <w:pPr>
        <w:spacing w:line="276" w:lineRule="auto"/>
        <w:ind w:left="567"/>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DE LOS ELEMENTOS PARA LA CLASIFICACIÓN </w:t>
      </w:r>
    </w:p>
    <w:p w14:paraId="146BA5AF"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Quincuagésimo. </w:t>
      </w:r>
      <w:r w:rsidRPr="00060B43">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00BFF67B"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Quincuagésimo primero. </w:t>
      </w:r>
      <w:r w:rsidRPr="00060B43">
        <w:rPr>
          <w:rFonts w:ascii="Palatino Linotype" w:eastAsia="Palatino Linotype" w:hAnsi="Palatino Linotype" w:cs="Palatino Linotype"/>
          <w:i/>
          <w:iCs/>
          <w:sz w:val="22"/>
          <w:szCs w:val="22"/>
        </w:rPr>
        <w:t xml:space="preserve">Toda acta del Comité de Transparencia deberá contener: </w:t>
      </w:r>
    </w:p>
    <w:p w14:paraId="5F5F803C"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I. El número de sesión y fecha; </w:t>
      </w:r>
    </w:p>
    <w:p w14:paraId="6DC75670"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II. El nombre del área que solicitó la clasificación de información; </w:t>
      </w:r>
    </w:p>
    <w:p w14:paraId="134BE76C"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III. La fundamentación legal y motivación correspondiente; </w:t>
      </w:r>
    </w:p>
    <w:p w14:paraId="61F9E0E4"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IV. La resolución o resoluciones aprobadas; y </w:t>
      </w:r>
    </w:p>
    <w:p w14:paraId="4A356FAE"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V. La rúbrica o firma digital de cada integrante del Comité de Transparencia. </w:t>
      </w:r>
    </w:p>
    <w:p w14:paraId="7F0A52C7"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p>
    <w:p w14:paraId="4A16A410"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u w:val="single"/>
        </w:rPr>
      </w:pPr>
      <w:r w:rsidRPr="00060B43">
        <w:rPr>
          <w:rFonts w:ascii="Palatino Linotype" w:eastAsia="Palatino Linotype" w:hAnsi="Palatino Linotype" w:cs="Palatino Linotype"/>
          <w:i/>
          <w:iCs/>
          <w:sz w:val="22"/>
          <w:szCs w:val="22"/>
        </w:rPr>
        <w:t xml:space="preserve">En los casos de resoluciones del Comité de Transparencia en las que se </w:t>
      </w:r>
      <w:r w:rsidRPr="00060B43">
        <w:rPr>
          <w:rFonts w:ascii="Palatino Linotype" w:eastAsia="Palatino Linotype" w:hAnsi="Palatino Linotype" w:cs="Palatino Linotype"/>
          <w:b/>
          <w:bCs/>
          <w:i/>
          <w:iCs/>
          <w:sz w:val="22"/>
          <w:szCs w:val="22"/>
          <w:u w:val="single"/>
        </w:rPr>
        <w:t>confirme la clasificación de información confidencial solo se deberán de identificar los tipos de datos protegidos, de conformidad con el lineamiento trigésimo octavo.</w:t>
      </w:r>
    </w:p>
    <w:p w14:paraId="61A0D8BF"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Quincuagésimo segundo. </w:t>
      </w:r>
      <w:r w:rsidRPr="00060B43">
        <w:rPr>
          <w:rFonts w:ascii="Palatino Linotype" w:eastAsia="Palatino Linotype" w:hAnsi="Palatino Linotype" w:cs="Palatino Linotype"/>
          <w:i/>
          <w:iCs/>
          <w:sz w:val="22"/>
          <w:szCs w:val="22"/>
        </w:rPr>
        <w:t xml:space="preserve">Para la clasificación y elaboración de versiones públicas de documentos que contengan información clasificada como reservada o </w:t>
      </w:r>
      <w:r w:rsidRPr="00060B43">
        <w:rPr>
          <w:rFonts w:ascii="Palatino Linotype" w:eastAsia="Palatino Linotype" w:hAnsi="Palatino Linotype" w:cs="Palatino Linotype"/>
          <w:b/>
          <w:bCs/>
          <w:i/>
          <w:iCs/>
          <w:sz w:val="22"/>
          <w:szCs w:val="22"/>
        </w:rPr>
        <w:t>confidencial,</w:t>
      </w:r>
      <w:r w:rsidRPr="00060B43">
        <w:rPr>
          <w:rFonts w:ascii="Palatino Linotype" w:eastAsia="Palatino Linotype" w:hAnsi="Palatino Linotype" w:cs="Palatino Linotype"/>
          <w:i/>
          <w:iCs/>
          <w:sz w:val="22"/>
          <w:szCs w:val="22"/>
        </w:rPr>
        <w:t xml:space="preserve"> las áreas de los sujetos obligados deberán tomar las medidas pertinentes tendientes a asegurar que el espacio utilizado para testar la información no podrá ser empleado para la sobreposición de contenido distinto al autorizado por el Comité.</w:t>
      </w:r>
    </w:p>
    <w:p w14:paraId="72A7F68B"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30AA2690"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I. Fijar la fecha en que se elaboró la versión pública y la fecha en la cual el Comité de Transparencia confirmó dicha versión; </w:t>
      </w:r>
    </w:p>
    <w:p w14:paraId="0A9623BA"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II. Señalar dentro del documento el tipo de información confidencial que fue testada en cada caso específico, de conformidad con el lineamiento trigésimo octavo; y </w:t>
      </w:r>
    </w:p>
    <w:p w14:paraId="3CE56000"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III. Señalar las personas o instancias autorizadas a acceder a la información clasificada. </w:t>
      </w:r>
    </w:p>
    <w:p w14:paraId="46A0BA23"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En los documentos de difusión electrónica, señalar en la primera hoja y en el nombre del archivo, que la versión pública corresponde a un documento que contiene </w:t>
      </w:r>
      <w:r w:rsidRPr="00060B43">
        <w:rPr>
          <w:rFonts w:ascii="Palatino Linotype" w:eastAsia="Palatino Linotype" w:hAnsi="Palatino Linotype" w:cs="Palatino Linotype"/>
          <w:b/>
          <w:bCs/>
          <w:i/>
          <w:iCs/>
          <w:sz w:val="22"/>
          <w:szCs w:val="22"/>
          <w:u w:val="single"/>
        </w:rPr>
        <w:t>información confidencial.</w:t>
      </w:r>
      <w:r w:rsidRPr="00060B43">
        <w:rPr>
          <w:rFonts w:ascii="Palatino Linotype" w:eastAsia="Palatino Linotype" w:hAnsi="Palatino Linotype" w:cs="Palatino Linotype"/>
          <w:i/>
          <w:iCs/>
          <w:sz w:val="22"/>
          <w:szCs w:val="22"/>
        </w:rPr>
        <w:t xml:space="preserve"> </w:t>
      </w:r>
    </w:p>
    <w:p w14:paraId="1F11BE43"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w:t>
      </w:r>
    </w:p>
    <w:p w14:paraId="06BCD940" w14:textId="77777777" w:rsidR="00B341BD" w:rsidRPr="00060B43" w:rsidRDefault="00F138DD">
      <w:pPr>
        <w:spacing w:line="276" w:lineRule="auto"/>
        <w:ind w:left="567" w:right="900"/>
        <w:jc w:val="both"/>
        <w:rPr>
          <w:rFonts w:ascii="Palatino Linotype" w:eastAsia="Palatino Linotype" w:hAnsi="Palatino Linotype" w:cs="Palatino Linotype"/>
          <w:b/>
          <w:bCs/>
          <w:i/>
          <w:iCs/>
          <w:sz w:val="22"/>
          <w:szCs w:val="22"/>
        </w:rPr>
      </w:pPr>
      <w:r w:rsidRPr="00060B43">
        <w:rPr>
          <w:rFonts w:ascii="Palatino Linotype" w:eastAsia="Palatino Linotype" w:hAnsi="Palatino Linotype" w:cs="Palatino Linotype"/>
          <w:b/>
          <w:bCs/>
          <w:i/>
          <w:iCs/>
          <w:sz w:val="22"/>
          <w:szCs w:val="22"/>
        </w:rPr>
        <w:t xml:space="preserve">Quincuagésimo cuarto. </w:t>
      </w:r>
      <w:r w:rsidRPr="00060B43">
        <w:rPr>
          <w:rFonts w:ascii="Palatino Linotype" w:eastAsia="Palatino Linotype" w:hAnsi="Palatino Linotype" w:cs="Palatino Linotype"/>
          <w:i/>
          <w:iCs/>
          <w:sz w:val="22"/>
          <w:szCs w:val="22"/>
        </w:rPr>
        <w:t xml:space="preserve">Cuando el Comité de Transparencia confirme la clasificación de documentos reservados y/o </w:t>
      </w:r>
      <w:r w:rsidRPr="00060B43">
        <w:rPr>
          <w:rFonts w:ascii="Palatino Linotype" w:eastAsia="Palatino Linotype" w:hAnsi="Palatino Linotype" w:cs="Palatino Linotype"/>
          <w:b/>
          <w:bCs/>
          <w:i/>
          <w:iCs/>
          <w:sz w:val="22"/>
          <w:szCs w:val="22"/>
        </w:rPr>
        <w:t>confidenciales</w:t>
      </w:r>
      <w:r w:rsidRPr="00060B43">
        <w:rPr>
          <w:rFonts w:ascii="Palatino Linotype" w:eastAsia="Palatino Linotype" w:hAnsi="Palatino Linotype" w:cs="Palatino Linotype"/>
          <w:i/>
          <w:iCs/>
          <w:sz w:val="22"/>
          <w:szCs w:val="22"/>
        </w:rPr>
        <w:t>,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060B43">
        <w:rPr>
          <w:rFonts w:ascii="Palatino Linotype" w:eastAsia="Palatino Linotype" w:hAnsi="Palatino Linotype" w:cs="Palatino Linotype"/>
          <w:b/>
          <w:bCs/>
          <w:i/>
          <w:iCs/>
          <w:sz w:val="22"/>
          <w:szCs w:val="22"/>
        </w:rPr>
        <w:t xml:space="preserve"> </w:t>
      </w:r>
    </w:p>
    <w:p w14:paraId="15E7159D" w14:textId="77777777" w:rsidR="00B341BD" w:rsidRPr="00060B43" w:rsidRDefault="00F138DD">
      <w:pPr>
        <w:spacing w:line="276" w:lineRule="auto"/>
        <w:ind w:left="567" w:right="90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 xml:space="preserve">Quincuagésimo quinto. </w:t>
      </w:r>
      <w:r w:rsidRPr="00060B43">
        <w:rPr>
          <w:rFonts w:ascii="Palatino Linotype" w:eastAsia="Palatino Linotype" w:hAnsi="Palatino Linotype" w:cs="Palatino Linotype"/>
          <w:i/>
          <w:iCs/>
          <w:sz w:val="22"/>
          <w:szCs w:val="22"/>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 (Énfasis añadido) </w:t>
      </w:r>
    </w:p>
    <w:p w14:paraId="5D34E5B3"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515CF0AC"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Entorno a lo que aquí nos interesa, los Lineamientos Quincuagésimo sexto, Quincuagésimo séptimo y Quincuagésimo octavo, vigentes a la fecha de la solicitud establecen lo siguiente:</w:t>
      </w:r>
    </w:p>
    <w:p w14:paraId="7589DEDB"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453778BC" w14:textId="77777777" w:rsidR="00B341BD" w:rsidRPr="00060B43" w:rsidRDefault="00F138DD">
      <w:pPr>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w:t>
      </w:r>
      <w:r w:rsidRPr="00060B43">
        <w:rPr>
          <w:rFonts w:ascii="Palatino Linotype" w:eastAsia="Palatino Linotype" w:hAnsi="Palatino Linotype" w:cs="Palatino Linotype"/>
          <w:b/>
          <w:bCs/>
          <w:i/>
          <w:iCs/>
          <w:sz w:val="22"/>
          <w:szCs w:val="22"/>
        </w:rPr>
        <w:t>Quincuagésimo sexto.</w:t>
      </w:r>
      <w:r w:rsidRPr="00060B43">
        <w:rPr>
          <w:rFonts w:ascii="Palatino Linotype" w:eastAsia="Palatino Linotype" w:hAnsi="Palatino Linotype" w:cs="Palatino Linotype"/>
          <w:i/>
          <w:iCs/>
          <w:sz w:val="22"/>
          <w:szCs w:val="22"/>
        </w:rPr>
        <w:t xml:space="preserve"> La versión pública del documento o expediente que contenga partes o secciones reservadas o confidenciales, será elaborada por los sujetos obligados, previo pago de los costos de reproducción, a través de sus áreas y deberá ser aprobada por su Comité de Transparencia</w:t>
      </w:r>
    </w:p>
    <w:p w14:paraId="7C1FA3D4" w14:textId="77777777" w:rsidR="00B341BD" w:rsidRPr="00060B43" w:rsidRDefault="00F138DD">
      <w:pPr>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Quincuagésimo séptimo.</w:t>
      </w:r>
      <w:r w:rsidRPr="00060B43">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64DCEC8E" w14:textId="77777777" w:rsidR="00B341BD" w:rsidRPr="00060B43" w:rsidRDefault="00F138DD">
      <w:pPr>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w:t>
      </w:r>
      <w:r w:rsidRPr="00060B43">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0A6BFD33" w14:textId="77777777" w:rsidR="00B341BD" w:rsidRPr="00060B43" w:rsidRDefault="00F138DD">
      <w:pPr>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w:t>
      </w:r>
      <w:r w:rsidRPr="00060B43">
        <w:rPr>
          <w:rFonts w:ascii="Palatino Linotype" w:eastAsia="Palatino Linotype" w:hAnsi="Palatino Linotype" w:cs="Palatino Linotype"/>
          <w:i/>
          <w:iCs/>
          <w:sz w:val="22"/>
          <w:szCs w:val="22"/>
        </w:rPr>
        <w:t xml:space="preserve"> El nombre de los servidores públicos en los documentos, y sus firmas autógrafas, cuando sean utilizados en el ejercicio de las facultades conferidas para el desempeño del servicio público, y </w:t>
      </w:r>
    </w:p>
    <w:p w14:paraId="6BDD396F" w14:textId="77777777" w:rsidR="00B341BD" w:rsidRPr="00060B43" w:rsidRDefault="00F138DD">
      <w:pPr>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III.</w:t>
      </w:r>
      <w:r w:rsidRPr="00060B43">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w:t>
      </w:r>
    </w:p>
    <w:p w14:paraId="20F14219" w14:textId="77777777" w:rsidR="00B341BD" w:rsidRPr="00060B43" w:rsidRDefault="00F138DD">
      <w:pPr>
        <w:spacing w:line="276" w:lineRule="auto"/>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internaciones suscritos por el Estado mexicano. </w:t>
      </w:r>
    </w:p>
    <w:p w14:paraId="62818CC6" w14:textId="77777777" w:rsidR="00B341BD" w:rsidRPr="00060B43" w:rsidRDefault="00F138DD">
      <w:pPr>
        <w:spacing w:line="276" w:lineRule="auto"/>
        <w:ind w:left="851" w:right="902"/>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b/>
          <w:bCs/>
          <w:i/>
          <w:iCs/>
          <w:sz w:val="22"/>
          <w:szCs w:val="22"/>
        </w:rPr>
        <w:t>Quincuagésimo octavo</w:t>
      </w:r>
      <w:r w:rsidRPr="00060B43">
        <w:rPr>
          <w:rFonts w:ascii="Palatino Linotype" w:eastAsia="Palatino Linotype" w:hAnsi="Palatino Linotype" w:cs="Palatino Linotype"/>
          <w:i/>
          <w:iCs/>
          <w:sz w:val="22"/>
          <w:szCs w:val="22"/>
        </w:rPr>
        <w:t>. Los sujetos obligados garantizarán que los sistemas o medios empleados para eliminar la información en las versiones públicas no permitan la recuperación o visualización de la misma.”</w:t>
      </w:r>
    </w:p>
    <w:p w14:paraId="1F028403" w14:textId="77777777" w:rsidR="00B341BD" w:rsidRPr="00060B43" w:rsidRDefault="00B341BD">
      <w:pPr>
        <w:spacing w:line="360" w:lineRule="auto"/>
        <w:ind w:left="851" w:right="902"/>
        <w:jc w:val="both"/>
        <w:rPr>
          <w:rFonts w:ascii="Palatino Linotype" w:eastAsia="Palatino Linotype" w:hAnsi="Palatino Linotype" w:cs="Palatino Linotype"/>
          <w:i/>
          <w:iCs/>
          <w:sz w:val="22"/>
          <w:szCs w:val="22"/>
        </w:rPr>
      </w:pPr>
    </w:p>
    <w:p w14:paraId="3E8F3923"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w:t>
      </w:r>
    </w:p>
    <w:p w14:paraId="178FC996"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0235391E"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porque no aparecen en la documentación respectiva.</w:t>
      </w:r>
    </w:p>
    <w:p w14:paraId="4EDCDB29" w14:textId="77777777" w:rsidR="00B341BD" w:rsidRPr="00060B43" w:rsidRDefault="00B341BD">
      <w:pPr>
        <w:spacing w:line="360" w:lineRule="auto"/>
        <w:jc w:val="both"/>
        <w:rPr>
          <w:rFonts w:ascii="Palatino Linotype" w:eastAsia="Palatino Linotype" w:hAnsi="Palatino Linotype" w:cs="Palatino Linotype"/>
          <w:b/>
          <w:bCs/>
          <w:sz w:val="22"/>
          <w:szCs w:val="22"/>
        </w:rPr>
      </w:pPr>
    </w:p>
    <w:p w14:paraId="09D094A2"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Por lo anteriormente expuesto y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III de la Ley de Transparencia y Acceso a la Información Pública del Estado de México y Municipios, este Pleno:</w:t>
      </w:r>
    </w:p>
    <w:p w14:paraId="21E2C213" w14:textId="77777777" w:rsidR="00B341BD" w:rsidRPr="00060B43" w:rsidRDefault="00B341BD">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133C27B9" w14:textId="77777777" w:rsidR="00B341BD" w:rsidRPr="00060B43" w:rsidRDefault="00F138DD">
      <w:pPr>
        <w:pBdr>
          <w:top w:val="nil"/>
          <w:left w:val="nil"/>
          <w:bottom w:val="nil"/>
          <w:right w:val="nil"/>
          <w:between w:val="nil"/>
        </w:pBdr>
        <w:spacing w:line="360" w:lineRule="auto"/>
        <w:jc w:val="center"/>
        <w:rPr>
          <w:rFonts w:ascii="Palatino Linotype" w:eastAsia="Palatino Linotype" w:hAnsi="Palatino Linotype" w:cs="Palatino Linotype"/>
          <w:b/>
          <w:bCs/>
          <w:sz w:val="22"/>
          <w:szCs w:val="22"/>
        </w:rPr>
      </w:pPr>
      <w:bookmarkStart w:id="10" w:name="_heading=h.ijv98pntcd5s" w:colFirst="0" w:colLast="0"/>
      <w:bookmarkEnd w:id="10"/>
      <w:r w:rsidRPr="00060B43">
        <w:rPr>
          <w:rFonts w:ascii="Palatino Linotype" w:eastAsia="Palatino Linotype" w:hAnsi="Palatino Linotype" w:cs="Palatino Linotype"/>
          <w:b/>
          <w:bCs/>
          <w:sz w:val="22"/>
          <w:szCs w:val="22"/>
        </w:rPr>
        <w:t>III. R E S U E L V E</w:t>
      </w:r>
    </w:p>
    <w:p w14:paraId="05CCAF5D" w14:textId="77777777" w:rsidR="00B341BD" w:rsidRPr="00060B43" w:rsidRDefault="00B341BD">
      <w:pPr>
        <w:spacing w:line="360" w:lineRule="auto"/>
        <w:jc w:val="both"/>
        <w:rPr>
          <w:rFonts w:ascii="Palatino Linotype" w:eastAsia="Palatino Linotype" w:hAnsi="Palatino Linotype" w:cs="Palatino Linotype"/>
          <w:b/>
          <w:bCs/>
          <w:sz w:val="22"/>
          <w:szCs w:val="22"/>
        </w:rPr>
      </w:pPr>
      <w:bookmarkStart w:id="11" w:name="_heading=h.26in1rg" w:colFirst="0" w:colLast="0"/>
      <w:bookmarkEnd w:id="11"/>
    </w:p>
    <w:p w14:paraId="18703D62" w14:textId="77777777" w:rsidR="00B341BD" w:rsidRPr="00060B43" w:rsidRDefault="00F138DD">
      <w:pPr>
        <w:spacing w:line="360" w:lineRule="auto"/>
        <w:jc w:val="both"/>
        <w:rPr>
          <w:rFonts w:ascii="Palatino Linotype" w:eastAsia="Palatino Linotype" w:hAnsi="Palatino Linotype" w:cs="Palatino Linotype"/>
          <w:b/>
          <w:bCs/>
          <w:sz w:val="22"/>
          <w:szCs w:val="22"/>
        </w:rPr>
      </w:pPr>
      <w:bookmarkStart w:id="12" w:name="_heading=h.h7nzb79wlra" w:colFirst="0" w:colLast="0"/>
      <w:bookmarkEnd w:id="12"/>
      <w:r w:rsidRPr="00060B43">
        <w:rPr>
          <w:rFonts w:ascii="Palatino Linotype" w:eastAsia="Palatino Linotype" w:hAnsi="Palatino Linotype" w:cs="Palatino Linotype"/>
          <w:b/>
          <w:bCs/>
          <w:sz w:val="22"/>
          <w:szCs w:val="22"/>
        </w:rPr>
        <w:t xml:space="preserve">Primero. </w:t>
      </w:r>
      <w:r w:rsidRPr="00060B43">
        <w:rPr>
          <w:rFonts w:ascii="Palatino Linotype" w:eastAsia="Palatino Linotype" w:hAnsi="Palatino Linotype" w:cs="Palatino Linotype"/>
          <w:sz w:val="22"/>
          <w:szCs w:val="22"/>
        </w:rPr>
        <w:t xml:space="preserve">Resultan </w:t>
      </w:r>
      <w:r w:rsidRPr="00060B43">
        <w:rPr>
          <w:rFonts w:ascii="Palatino Linotype" w:eastAsia="Palatino Linotype" w:hAnsi="Palatino Linotype" w:cs="Palatino Linotype"/>
          <w:b/>
          <w:bCs/>
          <w:sz w:val="22"/>
          <w:szCs w:val="22"/>
        </w:rPr>
        <w:t>fundadas</w:t>
      </w:r>
      <w:r w:rsidRPr="00060B43">
        <w:rPr>
          <w:rFonts w:ascii="Palatino Linotype" w:eastAsia="Palatino Linotype" w:hAnsi="Palatino Linotype" w:cs="Palatino Linotype"/>
          <w:sz w:val="22"/>
          <w:szCs w:val="22"/>
        </w:rPr>
        <w:t xml:space="preserve"> las razones o motivos de inconformidad hechos valer por la parte</w:t>
      </w:r>
      <w:r w:rsidRPr="00060B43">
        <w:rPr>
          <w:rFonts w:ascii="Palatino Linotype" w:eastAsia="Palatino Linotype" w:hAnsi="Palatino Linotype" w:cs="Palatino Linotype"/>
          <w:b/>
          <w:bCs/>
          <w:sz w:val="22"/>
          <w:szCs w:val="22"/>
        </w:rPr>
        <w:t xml:space="preserve"> Recurrente</w:t>
      </w:r>
      <w:r w:rsidRPr="00060B43">
        <w:rPr>
          <w:rFonts w:ascii="Palatino Linotype" w:eastAsia="Palatino Linotype" w:hAnsi="Palatino Linotype" w:cs="Palatino Linotype"/>
          <w:sz w:val="22"/>
          <w:szCs w:val="22"/>
        </w:rPr>
        <w:t xml:space="preserve"> en el recurso de revisión </w:t>
      </w:r>
      <w:r w:rsidRPr="00060B43">
        <w:rPr>
          <w:rFonts w:ascii="Palatino Linotype" w:eastAsia="Palatino Linotype" w:hAnsi="Palatino Linotype" w:cs="Palatino Linotype"/>
          <w:b/>
          <w:bCs/>
          <w:sz w:val="22"/>
          <w:szCs w:val="22"/>
        </w:rPr>
        <w:t>07892/INFOEM/IP/RR/2026</w:t>
      </w:r>
      <w:r w:rsidRPr="00060B43">
        <w:rPr>
          <w:rFonts w:ascii="Palatino Linotype" w:eastAsia="Palatino Linotype" w:hAnsi="Palatino Linotype" w:cs="Palatino Linotype"/>
          <w:sz w:val="22"/>
          <w:szCs w:val="22"/>
        </w:rPr>
        <w:t xml:space="preserve">; por lo que, en términos del </w:t>
      </w:r>
      <w:r w:rsidRPr="00060B43">
        <w:rPr>
          <w:rFonts w:ascii="Palatino Linotype" w:eastAsia="Palatino Linotype" w:hAnsi="Palatino Linotype" w:cs="Palatino Linotype"/>
          <w:b/>
          <w:bCs/>
          <w:sz w:val="22"/>
          <w:szCs w:val="22"/>
        </w:rPr>
        <w:t>Considerando</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 xml:space="preserve">Cuarto </w:t>
      </w:r>
      <w:r w:rsidRPr="00060B43">
        <w:rPr>
          <w:rFonts w:ascii="Palatino Linotype" w:eastAsia="Palatino Linotype" w:hAnsi="Palatino Linotype" w:cs="Palatino Linotype"/>
          <w:sz w:val="22"/>
          <w:szCs w:val="22"/>
        </w:rPr>
        <w:t xml:space="preserve">de esta resolución, se </w:t>
      </w:r>
      <w:r w:rsidRPr="00060B43">
        <w:rPr>
          <w:rFonts w:ascii="Palatino Linotype" w:eastAsia="Palatino Linotype" w:hAnsi="Palatino Linotype" w:cs="Palatino Linotype"/>
          <w:b/>
          <w:bCs/>
          <w:sz w:val="22"/>
          <w:szCs w:val="22"/>
        </w:rPr>
        <w:t xml:space="preserve">Revoca </w:t>
      </w:r>
      <w:r w:rsidRPr="00060B43">
        <w:rPr>
          <w:rFonts w:ascii="Palatino Linotype" w:eastAsia="Palatino Linotype" w:hAnsi="Palatino Linotype" w:cs="Palatino Linotype"/>
          <w:sz w:val="22"/>
          <w:szCs w:val="22"/>
        </w:rPr>
        <w:t xml:space="preserve">la respuesta emitida por el </w:t>
      </w:r>
      <w:r w:rsidRPr="00060B43">
        <w:rPr>
          <w:rFonts w:ascii="Palatino Linotype" w:eastAsia="Palatino Linotype" w:hAnsi="Palatino Linotype" w:cs="Palatino Linotype"/>
          <w:b/>
          <w:bCs/>
          <w:sz w:val="22"/>
          <w:szCs w:val="22"/>
        </w:rPr>
        <w:t>Sujeto Obligado.</w:t>
      </w:r>
    </w:p>
    <w:p w14:paraId="24EF8DBA" w14:textId="77777777" w:rsidR="00B341BD" w:rsidRPr="00060B43" w:rsidRDefault="00B341BD">
      <w:pPr>
        <w:spacing w:line="360" w:lineRule="auto"/>
        <w:jc w:val="both"/>
        <w:rPr>
          <w:rFonts w:ascii="Palatino Linotype" w:eastAsia="Palatino Linotype" w:hAnsi="Palatino Linotype" w:cs="Palatino Linotype"/>
          <w:b/>
          <w:bCs/>
          <w:sz w:val="22"/>
          <w:szCs w:val="22"/>
        </w:rPr>
      </w:pPr>
    </w:p>
    <w:p w14:paraId="151CEA18" w14:textId="77777777" w:rsidR="00B341BD" w:rsidRPr="00060B43" w:rsidRDefault="00F138DD">
      <w:pPr>
        <w:spacing w:line="360" w:lineRule="auto"/>
        <w:jc w:val="both"/>
        <w:rPr>
          <w:rFonts w:ascii="Palatino Linotype" w:eastAsia="Palatino Linotype" w:hAnsi="Palatino Linotype" w:cs="Palatino Linotype"/>
          <w:sz w:val="22"/>
          <w:szCs w:val="22"/>
        </w:rPr>
      </w:pPr>
      <w:bookmarkStart w:id="13" w:name="_heading=h.2et92p0" w:colFirst="0" w:colLast="0"/>
      <w:bookmarkEnd w:id="13"/>
      <w:r w:rsidRPr="00060B43">
        <w:rPr>
          <w:rFonts w:ascii="Palatino Linotype" w:eastAsia="Palatino Linotype" w:hAnsi="Palatino Linotype" w:cs="Palatino Linotype"/>
          <w:b/>
          <w:bCs/>
          <w:sz w:val="22"/>
          <w:szCs w:val="22"/>
        </w:rPr>
        <w:t xml:space="preserve">Segundo. </w:t>
      </w:r>
      <w:r w:rsidRPr="00060B43">
        <w:rPr>
          <w:rFonts w:ascii="Palatino Linotype" w:eastAsia="Palatino Linotype" w:hAnsi="Palatino Linotype" w:cs="Palatino Linotype"/>
          <w:sz w:val="22"/>
          <w:szCs w:val="22"/>
        </w:rPr>
        <w:t xml:space="preserve">Se </w:t>
      </w:r>
      <w:r w:rsidRPr="00060B43">
        <w:rPr>
          <w:rFonts w:ascii="Palatino Linotype" w:eastAsia="Palatino Linotype" w:hAnsi="Palatino Linotype" w:cs="Palatino Linotype"/>
          <w:b/>
          <w:bCs/>
          <w:sz w:val="22"/>
          <w:szCs w:val="22"/>
        </w:rPr>
        <w:t>Ordena</w:t>
      </w:r>
      <w:r w:rsidRPr="00060B43">
        <w:rPr>
          <w:rFonts w:ascii="Palatino Linotype" w:eastAsia="Palatino Linotype" w:hAnsi="Palatino Linotype" w:cs="Palatino Linotype"/>
          <w:sz w:val="22"/>
          <w:szCs w:val="22"/>
        </w:rPr>
        <w:t xml:space="preserve"> al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en términos de los Considerandos </w:t>
      </w:r>
      <w:r w:rsidRPr="00060B43">
        <w:rPr>
          <w:rFonts w:ascii="Palatino Linotype" w:eastAsia="Palatino Linotype" w:hAnsi="Palatino Linotype" w:cs="Palatino Linotype"/>
          <w:b/>
          <w:bCs/>
          <w:sz w:val="22"/>
          <w:szCs w:val="22"/>
        </w:rPr>
        <w:t>Cuarto y</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 xml:space="preserve">Quinto </w:t>
      </w:r>
      <w:r w:rsidRPr="00060B43">
        <w:rPr>
          <w:rFonts w:ascii="Palatino Linotype" w:eastAsia="Palatino Linotype" w:hAnsi="Palatino Linotype" w:cs="Palatino Linotype"/>
          <w:sz w:val="22"/>
          <w:szCs w:val="22"/>
        </w:rPr>
        <w:t xml:space="preserve">de esta resolución, </w:t>
      </w:r>
      <w:r w:rsidRPr="00060B43">
        <w:rPr>
          <w:rFonts w:ascii="Palatino Linotype" w:eastAsia="Palatino Linotype" w:hAnsi="Palatino Linotype" w:cs="Palatino Linotype"/>
          <w:b/>
          <w:bCs/>
          <w:sz w:val="22"/>
          <w:szCs w:val="22"/>
        </w:rPr>
        <w:t xml:space="preserve">haga entrega vía Sistema de Acceso a la Información Mexiquense (SAIMEX), </w:t>
      </w:r>
      <w:r w:rsidRPr="00060B43">
        <w:rPr>
          <w:rFonts w:ascii="Palatino Linotype" w:eastAsia="Palatino Linotype" w:hAnsi="Palatino Linotype" w:cs="Palatino Linotype"/>
          <w:sz w:val="22"/>
          <w:szCs w:val="22"/>
        </w:rPr>
        <w:t xml:space="preserve">de ser procedente en versión pública, los documentos donde conste lo siguiente: </w:t>
      </w:r>
    </w:p>
    <w:p w14:paraId="114D662D"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61557C73" w14:textId="77777777" w:rsidR="00B341BD" w:rsidRPr="00060B43" w:rsidRDefault="00F138DD">
      <w:pPr>
        <w:numPr>
          <w:ilvl w:val="0"/>
          <w:numId w:val="1"/>
        </w:numPr>
        <w:pBdr>
          <w:top w:val="nil"/>
          <w:left w:val="nil"/>
          <w:bottom w:val="nil"/>
          <w:right w:val="nil"/>
          <w:between w:val="nil"/>
        </w:pBdr>
        <w:spacing w:line="276" w:lineRule="auto"/>
        <w:jc w:val="both"/>
        <w:rPr>
          <w:b/>
          <w:bCs/>
          <w:i/>
          <w:iCs/>
          <w:sz w:val="22"/>
          <w:szCs w:val="22"/>
        </w:rPr>
      </w:pPr>
      <w:r w:rsidRPr="00060B43">
        <w:rPr>
          <w:rFonts w:ascii="Palatino Linotype" w:eastAsia="Palatino Linotype" w:hAnsi="Palatino Linotype" w:cs="Palatino Linotype"/>
          <w:b/>
          <w:bCs/>
          <w:i/>
          <w:iCs/>
          <w:sz w:val="22"/>
          <w:szCs w:val="22"/>
        </w:rPr>
        <w:t>Las facturas o comprobantes correspondientes a la adquisición de la aeronave señalada en la solicitud de información, con que se cuenten al dos de julio de dos mil veintiséis.</w:t>
      </w:r>
    </w:p>
    <w:p w14:paraId="27943925" w14:textId="77777777" w:rsidR="00B341BD" w:rsidRPr="00060B43" w:rsidRDefault="00B341BD">
      <w:pPr>
        <w:pBdr>
          <w:top w:val="nil"/>
          <w:left w:val="nil"/>
          <w:bottom w:val="nil"/>
          <w:right w:val="nil"/>
          <w:between w:val="nil"/>
        </w:pBdr>
        <w:spacing w:line="276" w:lineRule="auto"/>
        <w:ind w:left="360"/>
        <w:jc w:val="both"/>
        <w:rPr>
          <w:rFonts w:ascii="Palatino Linotype" w:eastAsia="Palatino Linotype" w:hAnsi="Palatino Linotype" w:cs="Palatino Linotype"/>
          <w:i/>
          <w:iCs/>
          <w:sz w:val="22"/>
          <w:szCs w:val="22"/>
        </w:rPr>
      </w:pPr>
    </w:p>
    <w:p w14:paraId="7C611375" w14:textId="77777777" w:rsidR="00B341BD" w:rsidRPr="00060B43" w:rsidRDefault="00F138DD">
      <w:pPr>
        <w:pBdr>
          <w:top w:val="nil"/>
          <w:left w:val="nil"/>
          <w:bottom w:val="nil"/>
          <w:right w:val="nil"/>
          <w:between w:val="nil"/>
        </w:pBdr>
        <w:spacing w:line="276" w:lineRule="auto"/>
        <w:ind w:left="360"/>
        <w:jc w:val="both"/>
        <w:rPr>
          <w:rFonts w:ascii="Palatino Linotype" w:eastAsia="Palatino Linotype" w:hAnsi="Palatino Linotype" w:cs="Palatino Linotype"/>
          <w:i/>
          <w:iCs/>
          <w:sz w:val="22"/>
          <w:szCs w:val="22"/>
        </w:rPr>
      </w:pPr>
      <w:r w:rsidRPr="00060B43">
        <w:rPr>
          <w:rFonts w:ascii="Palatino Linotype" w:eastAsia="Palatino Linotype" w:hAnsi="Palatino Linotype" w:cs="Palatino Linotype"/>
          <w:i/>
          <w:iCs/>
          <w:sz w:val="22"/>
          <w:szCs w:val="22"/>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w:t>
      </w:r>
      <w:r w:rsidRPr="00060B43">
        <w:rPr>
          <w:rFonts w:ascii="Palatino Linotype" w:eastAsia="Palatino Linotype" w:hAnsi="Palatino Linotype" w:cs="Palatino Linotype"/>
          <w:b/>
          <w:bCs/>
          <w:i/>
          <w:iCs/>
          <w:sz w:val="22"/>
          <w:szCs w:val="22"/>
        </w:rPr>
        <w:t>la parte Recurrente</w:t>
      </w:r>
      <w:r w:rsidRPr="00060B43">
        <w:rPr>
          <w:rFonts w:ascii="Palatino Linotype" w:eastAsia="Palatino Linotype" w:hAnsi="Palatino Linotype" w:cs="Palatino Linotype"/>
          <w:i/>
          <w:iCs/>
          <w:sz w:val="22"/>
          <w:szCs w:val="22"/>
        </w:rPr>
        <w:t>, mismo que igualmente hará de su conocimiento.</w:t>
      </w:r>
    </w:p>
    <w:p w14:paraId="33347999" w14:textId="77777777" w:rsidR="00B341BD" w:rsidRPr="00060B43" w:rsidRDefault="00B341BD">
      <w:pPr>
        <w:pBdr>
          <w:top w:val="nil"/>
          <w:left w:val="nil"/>
          <w:bottom w:val="nil"/>
          <w:right w:val="nil"/>
          <w:between w:val="nil"/>
        </w:pBdr>
        <w:spacing w:line="276" w:lineRule="auto"/>
        <w:ind w:left="284" w:right="49"/>
        <w:jc w:val="both"/>
        <w:rPr>
          <w:rFonts w:ascii="Palatino Linotype" w:eastAsia="Palatino Linotype" w:hAnsi="Palatino Linotype" w:cs="Palatino Linotype"/>
          <w:i/>
          <w:iCs/>
          <w:sz w:val="22"/>
          <w:szCs w:val="22"/>
        </w:rPr>
      </w:pPr>
    </w:p>
    <w:p w14:paraId="7F29B36D" w14:textId="77777777" w:rsidR="00B341BD" w:rsidRPr="00060B43"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Tercero. Notifíquese, </w:t>
      </w:r>
      <w:r w:rsidRPr="00060B43">
        <w:rPr>
          <w:rFonts w:ascii="Palatino Linotype" w:eastAsia="Palatino Linotype" w:hAnsi="Palatino Linotype" w:cs="Palatino Linotype"/>
          <w:sz w:val="22"/>
          <w:szCs w:val="22"/>
        </w:rPr>
        <w:t xml:space="preserve">vía </w:t>
      </w:r>
      <w:r w:rsidRPr="00060B43">
        <w:rPr>
          <w:rFonts w:ascii="Palatino Linotype" w:eastAsia="Palatino Linotype" w:hAnsi="Palatino Linotype" w:cs="Palatino Linotype"/>
          <w:b/>
          <w:bCs/>
          <w:sz w:val="22"/>
          <w:szCs w:val="22"/>
        </w:rPr>
        <w:t>SAIMEX</w:t>
      </w:r>
      <w:r w:rsidRPr="00060B43">
        <w:rPr>
          <w:rFonts w:ascii="Palatino Linotype" w:eastAsia="Palatino Linotype" w:hAnsi="Palatino Linotype" w:cs="Palatino Linotype"/>
          <w:sz w:val="22"/>
          <w:szCs w:val="22"/>
        </w:rPr>
        <w:t xml:space="preserve">, al Titular de la Unidad de Transparencia del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7DD55C6C" w14:textId="77777777" w:rsidR="00B341BD" w:rsidRPr="00060B43" w:rsidRDefault="00B341BD">
      <w:pPr>
        <w:spacing w:line="360" w:lineRule="auto"/>
        <w:jc w:val="both"/>
        <w:rPr>
          <w:rFonts w:ascii="Palatino Linotype" w:eastAsia="Palatino Linotype" w:hAnsi="Palatino Linotype" w:cs="Palatino Linotype"/>
          <w:sz w:val="22"/>
          <w:szCs w:val="22"/>
        </w:rPr>
      </w:pPr>
    </w:p>
    <w:p w14:paraId="7D4796F0"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Cuarto.</w:t>
      </w:r>
      <w:r w:rsidRPr="00060B43">
        <w:rPr>
          <w:rFonts w:ascii="Palatino Linotype" w:eastAsia="Palatino Linotype" w:hAnsi="Palatino Linotype" w:cs="Palatino Linotype"/>
          <w:sz w:val="22"/>
          <w:szCs w:val="22"/>
        </w:rPr>
        <w:t xml:space="preserve"> </w:t>
      </w:r>
      <w:r w:rsidRPr="00060B43">
        <w:rPr>
          <w:rFonts w:ascii="Palatino Linotype" w:eastAsia="Palatino Linotype" w:hAnsi="Palatino Linotype" w:cs="Palatino Linotype"/>
          <w:b/>
          <w:bCs/>
          <w:sz w:val="22"/>
          <w:szCs w:val="22"/>
        </w:rPr>
        <w:t xml:space="preserve">Notifíquese, </w:t>
      </w:r>
      <w:r w:rsidRPr="00060B43">
        <w:rPr>
          <w:rFonts w:ascii="Palatino Linotype" w:eastAsia="Palatino Linotype" w:hAnsi="Palatino Linotype" w:cs="Palatino Linotype"/>
          <w:sz w:val="22"/>
          <w:szCs w:val="22"/>
        </w:rPr>
        <w:t xml:space="preserve">vía </w:t>
      </w:r>
      <w:r w:rsidRPr="00060B43">
        <w:rPr>
          <w:rFonts w:ascii="Palatino Linotype" w:eastAsia="Palatino Linotype" w:hAnsi="Palatino Linotype" w:cs="Palatino Linotype"/>
          <w:b/>
          <w:bCs/>
          <w:sz w:val="22"/>
          <w:szCs w:val="22"/>
        </w:rPr>
        <w:t>SAIMEX</w:t>
      </w:r>
      <w:r w:rsidRPr="00060B43">
        <w:rPr>
          <w:rFonts w:ascii="Palatino Linotype" w:eastAsia="Palatino Linotype" w:hAnsi="Palatino Linotype" w:cs="Palatino Linotype"/>
          <w:sz w:val="22"/>
          <w:szCs w:val="22"/>
        </w:rPr>
        <w:t xml:space="preserve">, al Titular de la Unidad de Transparencia del </w:t>
      </w:r>
      <w:r w:rsidRPr="00060B43">
        <w:rPr>
          <w:rFonts w:ascii="Palatino Linotype" w:eastAsia="Palatino Linotype" w:hAnsi="Palatino Linotype" w:cs="Palatino Linotype"/>
          <w:b/>
          <w:bCs/>
          <w:sz w:val="22"/>
          <w:szCs w:val="22"/>
        </w:rPr>
        <w:t>Sujeto Obligado,</w:t>
      </w:r>
      <w:r w:rsidRPr="00060B43">
        <w:rPr>
          <w:rFonts w:ascii="Palatino Linotype" w:eastAsia="Palatino Linotype" w:hAnsi="Palatino Linotype" w:cs="Palatino Linotype"/>
          <w:sz w:val="22"/>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3E767132" w14:textId="77777777" w:rsidR="00B341BD" w:rsidRPr="00060B43" w:rsidRDefault="00B341BD">
      <w:pPr>
        <w:spacing w:line="360" w:lineRule="auto"/>
        <w:ind w:right="49"/>
        <w:jc w:val="both"/>
        <w:rPr>
          <w:rFonts w:ascii="Palatino Linotype" w:eastAsia="Palatino Linotype" w:hAnsi="Palatino Linotype" w:cs="Palatino Linotype"/>
          <w:sz w:val="22"/>
          <w:szCs w:val="22"/>
        </w:rPr>
      </w:pPr>
    </w:p>
    <w:p w14:paraId="60E15651" w14:textId="77777777" w:rsidR="00B341BD" w:rsidRPr="00060B43" w:rsidRDefault="00F138DD">
      <w:pPr>
        <w:spacing w:line="360" w:lineRule="auto"/>
        <w:ind w:right="49"/>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b/>
          <w:bCs/>
          <w:sz w:val="22"/>
          <w:szCs w:val="22"/>
        </w:rPr>
        <w:t xml:space="preserve">Quinto. Notifíquese vía SAIMEX, </w:t>
      </w:r>
      <w:r w:rsidRPr="00060B43">
        <w:rPr>
          <w:rFonts w:ascii="Palatino Linotype" w:eastAsia="Palatino Linotype" w:hAnsi="Palatino Linotype" w:cs="Palatino Linotype"/>
          <w:sz w:val="22"/>
          <w:szCs w:val="22"/>
        </w:rPr>
        <w:t xml:space="preserve">la presente resolución a la parte </w:t>
      </w:r>
      <w:r w:rsidRPr="00060B43">
        <w:rPr>
          <w:rFonts w:ascii="Palatino Linotype" w:eastAsia="Palatino Linotype" w:hAnsi="Palatino Linotype" w:cs="Palatino Linotype"/>
          <w:b/>
          <w:bCs/>
          <w:sz w:val="22"/>
          <w:szCs w:val="22"/>
        </w:rPr>
        <w:t>Recurrente</w:t>
      </w:r>
      <w:r w:rsidRPr="00060B43">
        <w:rPr>
          <w:rFonts w:ascii="Palatino Linotype" w:eastAsia="Palatino Linotype" w:hAnsi="Palatino Linotype" w:cs="Palatino Linotype"/>
          <w:sz w:val="22"/>
          <w:szCs w:val="22"/>
        </w:rPr>
        <w:t>,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14:paraId="3FB94262" w14:textId="77777777" w:rsidR="00B341BD" w:rsidRPr="00060B43" w:rsidRDefault="00B341BD">
      <w:pPr>
        <w:spacing w:line="360" w:lineRule="auto"/>
        <w:ind w:right="49"/>
        <w:jc w:val="both"/>
        <w:rPr>
          <w:rFonts w:ascii="Palatino Linotype" w:eastAsia="Palatino Linotype" w:hAnsi="Palatino Linotype" w:cs="Palatino Linotype"/>
          <w:sz w:val="22"/>
          <w:szCs w:val="22"/>
        </w:rPr>
      </w:pPr>
    </w:p>
    <w:p w14:paraId="41348517" w14:textId="2FB7BA79" w:rsidR="00B341BD" w:rsidRPr="00CD298B" w:rsidRDefault="00F138DD">
      <w:pPr>
        <w:spacing w:line="360" w:lineRule="auto"/>
        <w:jc w:val="both"/>
        <w:rPr>
          <w:rFonts w:ascii="Palatino Linotype" w:eastAsia="Palatino Linotype" w:hAnsi="Palatino Linotype" w:cs="Palatino Linotype"/>
          <w:sz w:val="22"/>
          <w:szCs w:val="22"/>
        </w:rPr>
      </w:pPr>
      <w:r w:rsidRPr="00060B43">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CD298B" w:rsidRPr="00060B43">
        <w:rPr>
          <w:rFonts w:ascii="Palatino Linotype" w:eastAsia="Palatino Linotype" w:hAnsi="Palatino Linotype" w:cs="Palatino Linotype"/>
          <w:sz w:val="22"/>
          <w:szCs w:val="22"/>
        </w:rPr>
        <w:t xml:space="preserve"> Y </w:t>
      </w:r>
      <w:r w:rsidRPr="00060B43">
        <w:rPr>
          <w:rFonts w:ascii="Palatino Linotype" w:eastAsia="Palatino Linotype" w:hAnsi="Palatino Linotype" w:cs="Palatino Linotype"/>
          <w:sz w:val="22"/>
          <w:szCs w:val="22"/>
        </w:rPr>
        <w:t>GUADALUPE RAMÍREZ PEÑA; EN LA TRIGÉSIMA CUARTA SESIÓN ORDINARIA, CELEBRADA EL VEINTI</w:t>
      </w:r>
      <w:r w:rsidR="00CD298B" w:rsidRPr="00060B43">
        <w:rPr>
          <w:rFonts w:ascii="Palatino Linotype" w:eastAsia="Palatino Linotype" w:hAnsi="Palatino Linotype" w:cs="Palatino Linotype"/>
          <w:sz w:val="22"/>
          <w:szCs w:val="22"/>
        </w:rPr>
        <w:t>CUATRO</w:t>
      </w:r>
      <w:r w:rsidRPr="00060B43">
        <w:rPr>
          <w:rFonts w:ascii="Palatino Linotype" w:eastAsia="Palatino Linotype" w:hAnsi="Palatino Linotype" w:cs="Palatino Linotype"/>
          <w:sz w:val="22"/>
          <w:szCs w:val="22"/>
        </w:rPr>
        <w:t xml:space="preserve"> DE SEPTIEMBRE DE DOS MIL VEINTISÉIS, ANTE EL SECRETARIO TÉCNICO DEL PLENO ALEXIS TAPIA RAMÍREZ.</w:t>
      </w:r>
      <w:r w:rsidRPr="00CD298B">
        <w:rPr>
          <w:rFonts w:ascii="Palatino Linotype" w:eastAsia="Palatino Linotype" w:hAnsi="Palatino Linotype" w:cs="Palatino Linotype"/>
          <w:sz w:val="22"/>
          <w:szCs w:val="22"/>
        </w:rPr>
        <w:t xml:space="preserve"> </w:t>
      </w:r>
    </w:p>
    <w:p w14:paraId="16E294E1" w14:textId="77777777" w:rsidR="00B341BD" w:rsidRPr="00CD298B" w:rsidRDefault="00B341BD">
      <w:pPr>
        <w:rPr>
          <w:rFonts w:ascii="Palatino Linotype" w:eastAsia="Palatino Linotype" w:hAnsi="Palatino Linotype" w:cs="Palatino Linotype"/>
          <w:sz w:val="22"/>
          <w:szCs w:val="22"/>
        </w:rPr>
      </w:pPr>
    </w:p>
    <w:p w14:paraId="0D764732" w14:textId="77777777" w:rsidR="00B341BD" w:rsidRPr="00CD298B" w:rsidRDefault="00B341BD">
      <w:pPr>
        <w:spacing w:line="360" w:lineRule="auto"/>
        <w:jc w:val="both"/>
        <w:rPr>
          <w:rFonts w:ascii="Palatino Linotype" w:eastAsia="Palatino Linotype" w:hAnsi="Palatino Linotype" w:cs="Palatino Linotype"/>
          <w:sz w:val="22"/>
          <w:szCs w:val="22"/>
        </w:rPr>
      </w:pPr>
      <w:bookmarkStart w:id="14" w:name="_heading=h.1t3h5sf" w:colFirst="0" w:colLast="0"/>
      <w:bookmarkEnd w:id="14"/>
    </w:p>
    <w:p w14:paraId="0D95F945"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4D889712"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0C186090"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1E3D31AE"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2CA7B0FC"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383D860B"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2B4C2D50"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24731D52"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6F38A2A9"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6AC51F5C"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2750F0E7"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673697B8"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34676AD3" w14:textId="77777777" w:rsidR="00B341BD" w:rsidRPr="00CD298B" w:rsidRDefault="00B341BD">
      <w:pPr>
        <w:spacing w:line="360" w:lineRule="auto"/>
        <w:jc w:val="both"/>
        <w:rPr>
          <w:rFonts w:ascii="Palatino Linotype" w:eastAsia="Palatino Linotype" w:hAnsi="Palatino Linotype" w:cs="Palatino Linotype"/>
          <w:sz w:val="22"/>
          <w:szCs w:val="22"/>
        </w:rPr>
      </w:pPr>
    </w:p>
    <w:p w14:paraId="7E79F997" w14:textId="77777777" w:rsidR="00B341BD" w:rsidRPr="00CD298B" w:rsidRDefault="00B341BD">
      <w:pPr>
        <w:spacing w:line="360" w:lineRule="auto"/>
        <w:jc w:val="both"/>
        <w:rPr>
          <w:rFonts w:ascii="Palatino Linotype" w:eastAsia="Palatino Linotype" w:hAnsi="Palatino Linotype" w:cs="Palatino Linotype"/>
          <w:sz w:val="22"/>
          <w:szCs w:val="22"/>
        </w:rPr>
      </w:pPr>
    </w:p>
    <w:sectPr w:rsidR="00B341BD" w:rsidRPr="00CD298B">
      <w:headerReference w:type="default" r:id="rId8"/>
      <w:footerReference w:type="default" r:id="rId9"/>
      <w:headerReference w:type="first" r:id="rId10"/>
      <w:footerReference w:type="first" r:id="rId11"/>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EAA4A" w14:textId="77777777" w:rsidR="00764B84" w:rsidRDefault="00764B84">
      <w:r>
        <w:separator/>
      </w:r>
    </w:p>
  </w:endnote>
  <w:endnote w:type="continuationSeparator" w:id="0">
    <w:p w14:paraId="4104B565" w14:textId="77777777" w:rsidR="00764B84" w:rsidRDefault="0076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7EA2446A-439C-4D3C-9981-7089B873E7E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0549C4C-579E-4AE3-B6A4-2E0F9A5EB097}"/>
    <w:embedBold r:id="rId3" w:fontKey="{05C382E6-D1EA-4BD2-BA73-CB4D6091583C}"/>
  </w:font>
  <w:font w:name="Cambria">
    <w:panose1 w:val="02040503050406030204"/>
    <w:charset w:val="00"/>
    <w:family w:val="roman"/>
    <w:pitch w:val="variable"/>
    <w:sig w:usb0="E00006FF" w:usb1="420024FF" w:usb2="02000000" w:usb3="00000000" w:csb0="0000019F" w:csb1="00000000"/>
    <w:embedRegular r:id="rId4" w:fontKey="{E4916177-AC0D-462C-B64A-3E31401B4B68}"/>
    <w:embedBold r:id="rId5" w:fontKey="{B98F7B43-609F-482B-977F-C3AD2D72229C}"/>
    <w:embedBoldItalic r:id="rId6" w:fontKey="{1728E25A-7583-4FA3-87CD-19C8FA6E28DA}"/>
  </w:font>
  <w:font w:name="Segoe UI">
    <w:panose1 w:val="020B0502040204020203"/>
    <w:charset w:val="00"/>
    <w:family w:val="swiss"/>
    <w:pitch w:val="variable"/>
    <w:sig w:usb0="E4002EFF" w:usb1="C000E47F" w:usb2="00000009" w:usb3="00000000" w:csb0="000001FF" w:csb1="00000000"/>
    <w:embedRegular r:id="rId7" w:fontKey="{16D2EDC4-DA9E-4491-AB67-9F9CE9BC1725}"/>
  </w:font>
  <w:font w:name="Georgia">
    <w:panose1 w:val="02040502050405020303"/>
    <w:charset w:val="00"/>
    <w:family w:val="roman"/>
    <w:pitch w:val="variable"/>
    <w:sig w:usb0="00000287" w:usb1="00000000" w:usb2="00000000" w:usb3="00000000" w:csb0="0000009F" w:csb1="00000000"/>
    <w:embedItalic r:id="rId8" w:fontKey="{5CF26987-23AE-4352-B191-2FFAC76AA82B}"/>
  </w:font>
  <w:font w:name="Palatino Linotype">
    <w:panose1 w:val="02040502050505030304"/>
    <w:charset w:val="00"/>
    <w:family w:val="roman"/>
    <w:pitch w:val="variable"/>
    <w:sig w:usb0="E0000287" w:usb1="40000013" w:usb2="00000000" w:usb3="00000000" w:csb0="0000019F" w:csb1="00000000"/>
    <w:embedRegular r:id="rId9" w:fontKey="{F3FB51D3-5BE8-4EB4-B884-D0D5303693EF}"/>
    <w:embedBold r:id="rId10" w:fontKey="{CA145D74-5E89-4078-B67E-215E15FE2668}"/>
    <w:embedItalic r:id="rId11" w:fontKey="{65909154-ADB4-4094-AC35-278B6C767B13}"/>
    <w:embedBoldItalic r:id="rId12" w:fontKey="{624A314F-D649-4AD9-AD02-4CABB498BB8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83EF0" w14:textId="3B8F310D" w:rsidR="00B341BD" w:rsidRDefault="00F138DD">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736A82">
      <w:rPr>
        <w:rFonts w:ascii="Palatino Linotype" w:eastAsia="Palatino Linotype" w:hAnsi="Palatino Linotype" w:cs="Palatino Linotype"/>
        <w:b/>
        <w:bCs/>
        <w:noProof/>
        <w:color w:val="000000"/>
        <w:sz w:val="20"/>
        <w:szCs w:val="20"/>
      </w:rPr>
      <w:t>3</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736A82">
      <w:rPr>
        <w:rFonts w:ascii="Palatino Linotype" w:eastAsia="Palatino Linotype" w:hAnsi="Palatino Linotype" w:cs="Palatino Linotype"/>
        <w:b/>
        <w:bCs/>
        <w:noProof/>
        <w:color w:val="000000"/>
        <w:sz w:val="20"/>
        <w:szCs w:val="20"/>
      </w:rPr>
      <w:t>46</w:t>
    </w:r>
    <w:r>
      <w:rPr>
        <w:rFonts w:ascii="Palatino Linotype" w:eastAsia="Palatino Linotype" w:hAnsi="Palatino Linotype" w:cs="Palatino Linotype"/>
        <w:b/>
        <w:bCs/>
        <w:color w:val="000000"/>
        <w:sz w:val="20"/>
        <w:szCs w:val="20"/>
      </w:rPr>
      <w:fldChar w:fldCharType="end"/>
    </w:r>
  </w:p>
  <w:p w14:paraId="4C4353FE" w14:textId="77777777" w:rsidR="00B341BD" w:rsidRDefault="00B341BD">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50CA1" w14:textId="584A2572" w:rsidR="00B341BD" w:rsidRDefault="00F138DD">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736A82">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736A82">
      <w:rPr>
        <w:rFonts w:ascii="Palatino Linotype" w:eastAsia="Palatino Linotype" w:hAnsi="Palatino Linotype" w:cs="Palatino Linotype"/>
        <w:b/>
        <w:bCs/>
        <w:noProof/>
        <w:color w:val="000000"/>
        <w:sz w:val="20"/>
        <w:szCs w:val="20"/>
      </w:rPr>
      <w:t>46</w:t>
    </w:r>
    <w:r>
      <w:rPr>
        <w:rFonts w:ascii="Palatino Linotype" w:eastAsia="Palatino Linotype" w:hAnsi="Palatino Linotype" w:cs="Palatino Linotype"/>
        <w:b/>
        <w:bCs/>
        <w:color w:val="000000"/>
        <w:sz w:val="20"/>
        <w:szCs w:val="20"/>
      </w:rPr>
      <w:fldChar w:fldCharType="end"/>
    </w:r>
  </w:p>
  <w:p w14:paraId="06026085" w14:textId="77777777" w:rsidR="00B341BD" w:rsidRDefault="00B341BD">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6FB1B" w14:textId="77777777" w:rsidR="00764B84" w:rsidRDefault="00764B84">
      <w:r>
        <w:separator/>
      </w:r>
    </w:p>
  </w:footnote>
  <w:footnote w:type="continuationSeparator" w:id="0">
    <w:p w14:paraId="14A20FD8" w14:textId="77777777" w:rsidR="00764B84" w:rsidRDefault="00764B84">
      <w:r>
        <w:continuationSeparator/>
      </w:r>
    </w:p>
  </w:footnote>
  <w:footnote w:id="1">
    <w:p w14:paraId="0F190BD8" w14:textId="77777777" w:rsidR="00B341BD" w:rsidRDefault="00F138DD">
      <w:pPr>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w:t>
      </w:r>
      <w:r>
        <w:rPr>
          <w:rFonts w:ascii="Palatino Linotype" w:eastAsia="Palatino Linotype" w:hAnsi="Palatino Linotype" w:cs="Palatino Linotype"/>
          <w:color w:val="000000"/>
          <w:sz w:val="16"/>
          <w:szCs w:val="16"/>
        </w:rPr>
        <w:t>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r>
        <w:rPr>
          <w:rFonts w:ascii="Cambria" w:eastAsia="Cambria" w:hAnsi="Cambria" w:cs="Cambria"/>
          <w:color w:val="000000"/>
          <w:sz w:val="20"/>
          <w:szCs w:val="20"/>
        </w:rPr>
        <w:t xml:space="preserve"> (…)</w:t>
      </w:r>
    </w:p>
  </w:footnote>
  <w:footnote w:id="2">
    <w:p w14:paraId="4EE803C2" w14:textId="77777777" w:rsidR="00B341BD" w:rsidRDefault="00F138DD">
      <w:pP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9"/>
          <w:szCs w:val="19"/>
        </w:rPr>
        <w:t xml:space="preserve"> </w:t>
      </w:r>
      <w:r>
        <w:rPr>
          <w:rFonts w:ascii="Palatino Linotype" w:eastAsia="Palatino Linotype" w:hAnsi="Palatino Linotype" w:cs="Palatino Linotype"/>
          <w:color w:val="000000"/>
          <w:sz w:val="16"/>
          <w:szCs w:val="16"/>
        </w:rPr>
        <w:t>“Artículo 3. Para los efectos de la presente Ley se entenderá por: (…) XXII. Información de interés público: Se refiere a la información que resulta relevante o beneficiosa para la sociedad y no simplemente de interés individual, cuya divulgación resulta útil para que el público comprenda las actividades que llevan a cabo los sujetos obligados…”</w:t>
      </w:r>
    </w:p>
  </w:footnote>
  <w:footnote w:id="3">
    <w:p w14:paraId="35E4FC59" w14:textId="77777777" w:rsidR="00B341BD" w:rsidRDefault="00F138DD">
      <w:pPr>
        <w:ind w:left="720" w:hanging="720"/>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w:t>
      </w:r>
      <w:r>
        <w:rPr>
          <w:rFonts w:ascii="Palatino Linotype" w:eastAsia="Palatino Linotype" w:hAnsi="Palatino Linotype" w:cs="Palatino Linotype"/>
          <w:b/>
          <w:bCs/>
          <w:color w:val="000000"/>
          <w:sz w:val="16"/>
          <w:szCs w:val="16"/>
        </w:rPr>
        <w:t>Artículo 185.</w:t>
      </w:r>
      <w:r>
        <w:rPr>
          <w:rFonts w:ascii="Palatino Linotype" w:eastAsia="Palatino Linotype" w:hAnsi="Palatino Linotype" w:cs="Palatino Linotype"/>
          <w:color w:val="000000"/>
          <w:sz w:val="16"/>
          <w:szCs w:val="16"/>
        </w:rPr>
        <w:t xml:space="preserve"> El Instituto resolverá el recurso de revisión conforme a lo siguiente: (…)</w:t>
      </w:r>
    </w:p>
    <w:p w14:paraId="2CB1B820" w14:textId="77777777" w:rsidR="00B341BD" w:rsidRDefault="00F138DD">
      <w:pP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Admitido el recurso de revisión, la o el Comisionado ponente deberá integrar un expediente y ponerlo a disposición de las partes, para que, en un plazo máximo de siete días hábiles, manifiesten lo que a su derecho convenga;”</w:t>
      </w:r>
    </w:p>
  </w:footnote>
  <w:footnote w:id="4">
    <w:p w14:paraId="38F17CA4" w14:textId="77777777" w:rsidR="00B341BD" w:rsidRDefault="00F138DD">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Consultable en: </w:t>
      </w:r>
    </w:p>
    <w:p w14:paraId="23477154" w14:textId="77777777" w:rsidR="00B341BD" w:rsidRDefault="00736A82">
      <w:pPr>
        <w:pBdr>
          <w:top w:val="nil"/>
          <w:left w:val="nil"/>
          <w:bottom w:val="nil"/>
          <w:right w:val="nil"/>
          <w:between w:val="nil"/>
        </w:pBdr>
        <w:jc w:val="both"/>
        <w:rPr>
          <w:rFonts w:ascii="Palatino Linotype" w:eastAsia="Palatino Linotype" w:hAnsi="Palatino Linotype" w:cs="Palatino Linotype"/>
          <w:color w:val="000000"/>
          <w:sz w:val="16"/>
          <w:szCs w:val="16"/>
        </w:rPr>
      </w:pPr>
      <w:hyperlink r:id="rId1">
        <w:r w:rsidR="00F138DD">
          <w:rPr>
            <w:rFonts w:ascii="Palatino Linotype" w:eastAsia="Palatino Linotype" w:hAnsi="Palatino Linotype" w:cs="Palatino Linotype"/>
            <w:color w:val="0000FF"/>
            <w:sz w:val="16"/>
            <w:szCs w:val="16"/>
            <w:u w:val="single"/>
          </w:rPr>
          <w:t>https://www.indetec.gob.mx/delivery?srv=0&amp;sl=3&amp;path=/biblioteca/Especiales/386_Glosario_Terminos_Proceso_Planeacion.pdf</w:t>
        </w:r>
      </w:hyperlink>
      <w:r w:rsidR="00F138DD">
        <w:rPr>
          <w:rFonts w:ascii="Palatino Linotype" w:eastAsia="Palatino Linotype" w:hAnsi="Palatino Linotype" w:cs="Palatino Linotype"/>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F814" w14:textId="77777777" w:rsidR="00B341BD" w:rsidRDefault="00F138DD">
    <w:pPr>
      <w:rPr>
        <w:rFonts w:ascii="Cambria" w:eastAsia="Cambria" w:hAnsi="Cambria" w:cs="Cambria"/>
        <w:color w:val="000000"/>
      </w:rPr>
    </w:pPr>
    <w:r>
      <w:rPr>
        <w:noProof/>
      </w:rPr>
      <w:drawing>
        <wp:anchor distT="0" distB="0" distL="0" distR="0" simplePos="0" relativeHeight="251658240" behindDoc="1" locked="0" layoutInCell="1" hidden="0" allowOverlap="1" wp14:anchorId="1F7126D2" wp14:editId="52EAFF75">
          <wp:simplePos x="0" y="0"/>
          <wp:positionH relativeFrom="column">
            <wp:posOffset>-1080104</wp:posOffset>
          </wp:positionH>
          <wp:positionV relativeFrom="paragraph">
            <wp:posOffset>-488279</wp:posOffset>
          </wp:positionV>
          <wp:extent cx="7809865" cy="1016571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b"/>
      <w:tblW w:w="7087" w:type="dxa"/>
      <w:tblInd w:w="3261" w:type="dxa"/>
      <w:tblLayout w:type="fixed"/>
      <w:tblLook w:val="0400" w:firstRow="0" w:lastRow="0" w:firstColumn="0" w:lastColumn="0" w:noHBand="0" w:noVBand="1"/>
    </w:tblPr>
    <w:tblGrid>
      <w:gridCol w:w="2489"/>
      <w:gridCol w:w="4598"/>
    </w:tblGrid>
    <w:tr w:rsidR="00B341BD" w14:paraId="540F585E" w14:textId="77777777">
      <w:tc>
        <w:tcPr>
          <w:tcW w:w="2489" w:type="dxa"/>
          <w:shd w:val="clear" w:color="auto" w:fill="auto"/>
        </w:tcPr>
        <w:p w14:paraId="091F15D3"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4598" w:type="dxa"/>
          <w:shd w:val="clear" w:color="auto" w:fill="auto"/>
          <w:vAlign w:val="center"/>
        </w:tcPr>
        <w:p w14:paraId="0894EB30" w14:textId="77777777" w:rsidR="00B341BD" w:rsidRDefault="00F138D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07892/INFOEM/IP/RR/2026</w:t>
          </w:r>
        </w:p>
      </w:tc>
    </w:tr>
    <w:tr w:rsidR="00B341BD" w14:paraId="5DC7E6AD" w14:textId="77777777">
      <w:trPr>
        <w:trHeight w:val="228"/>
      </w:trPr>
      <w:tc>
        <w:tcPr>
          <w:tcW w:w="2489" w:type="dxa"/>
          <w:shd w:val="clear" w:color="auto" w:fill="auto"/>
          <w:vAlign w:val="center"/>
        </w:tcPr>
        <w:p w14:paraId="6BBDF65F"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4598" w:type="dxa"/>
          <w:shd w:val="clear" w:color="auto" w:fill="auto"/>
          <w:vAlign w:val="center"/>
        </w:tcPr>
        <w:p w14:paraId="71A18DC0" w14:textId="77777777" w:rsidR="00B341BD" w:rsidRDefault="00F138DD">
          <w:pPr>
            <w:ind w:left="-45" w:right="1586"/>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Secretaría de Seguridad</w:t>
          </w:r>
        </w:p>
      </w:tc>
    </w:tr>
    <w:tr w:rsidR="00B341BD" w14:paraId="3F10BE8F" w14:textId="77777777">
      <w:tc>
        <w:tcPr>
          <w:tcW w:w="2489" w:type="dxa"/>
          <w:shd w:val="clear" w:color="auto" w:fill="auto"/>
          <w:vAlign w:val="center"/>
        </w:tcPr>
        <w:p w14:paraId="58E9524A" w14:textId="77777777" w:rsidR="00B341BD" w:rsidRDefault="00F138DD">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4598" w:type="dxa"/>
          <w:shd w:val="clear" w:color="auto" w:fill="auto"/>
          <w:vAlign w:val="center"/>
        </w:tcPr>
        <w:p w14:paraId="0A06B9C0" w14:textId="77777777" w:rsidR="00B341BD" w:rsidRDefault="00F138D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006B5C8E" w14:textId="77777777" w:rsidR="00B341BD" w:rsidRDefault="00F138DD">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ABBBD" w14:textId="77777777" w:rsidR="00B341BD" w:rsidRDefault="00F138D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1C571C0C" wp14:editId="54DBCB74">
          <wp:simplePos x="0" y="0"/>
          <wp:positionH relativeFrom="column">
            <wp:posOffset>-1079483</wp:posOffset>
          </wp:positionH>
          <wp:positionV relativeFrom="paragraph">
            <wp:posOffset>-328910</wp:posOffset>
          </wp:positionV>
          <wp:extent cx="7809865" cy="1016571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c"/>
      <w:tblW w:w="6945" w:type="dxa"/>
      <w:tblInd w:w="3261" w:type="dxa"/>
      <w:tblLayout w:type="fixed"/>
      <w:tblLook w:val="0400" w:firstRow="0" w:lastRow="0" w:firstColumn="0" w:lastColumn="0" w:noHBand="0" w:noVBand="1"/>
    </w:tblPr>
    <w:tblGrid>
      <w:gridCol w:w="2551"/>
      <w:gridCol w:w="4394"/>
    </w:tblGrid>
    <w:tr w:rsidR="00B341BD" w14:paraId="68818088" w14:textId="77777777">
      <w:tc>
        <w:tcPr>
          <w:tcW w:w="2551" w:type="dxa"/>
          <w:shd w:val="clear" w:color="auto" w:fill="auto"/>
          <w:vAlign w:val="center"/>
        </w:tcPr>
        <w:p w14:paraId="6FD0EB78"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4394" w:type="dxa"/>
          <w:shd w:val="clear" w:color="auto" w:fill="auto"/>
          <w:vAlign w:val="center"/>
        </w:tcPr>
        <w:p w14:paraId="3CE64212" w14:textId="77777777" w:rsidR="00B341BD" w:rsidRDefault="00F138DD">
          <w:pPr>
            <w:tabs>
              <w:tab w:val="left" w:pos="3153"/>
            </w:tabs>
            <w:ind w:left="-4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07892/INFOEM/IP/RR/2026</w:t>
          </w:r>
        </w:p>
      </w:tc>
    </w:tr>
    <w:tr w:rsidR="00B341BD" w14:paraId="5E6333AD" w14:textId="77777777">
      <w:trPr>
        <w:trHeight w:val="130"/>
      </w:trPr>
      <w:tc>
        <w:tcPr>
          <w:tcW w:w="2551" w:type="dxa"/>
          <w:shd w:val="clear" w:color="auto" w:fill="auto"/>
          <w:vAlign w:val="center"/>
        </w:tcPr>
        <w:p w14:paraId="4B2CD2FF"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4394" w:type="dxa"/>
          <w:shd w:val="clear" w:color="auto" w:fill="auto"/>
          <w:vAlign w:val="center"/>
        </w:tcPr>
        <w:p w14:paraId="11A76891" w14:textId="4DB703E2" w:rsidR="00B341BD" w:rsidRDefault="00736A82">
          <w:pPr>
            <w:ind w:left="-45" w:right="1444"/>
            <w:jc w:val="both"/>
            <w:rPr>
              <w:rFonts w:ascii="Palatino Linotype" w:eastAsia="Palatino Linotype" w:hAnsi="Palatino Linotype" w:cs="Palatino Linotype"/>
              <w:b/>
              <w:bCs/>
              <w:sz w:val="22"/>
              <w:szCs w:val="22"/>
            </w:rPr>
          </w:pPr>
          <w:r w:rsidRPr="00736A82">
            <w:rPr>
              <w:rFonts w:ascii="Palatino Linotype" w:eastAsia="Palatino Linotype" w:hAnsi="Palatino Linotype" w:cs="Palatino Linotype"/>
              <w:b/>
              <w:bCs/>
              <w:sz w:val="22"/>
              <w:szCs w:val="22"/>
            </w:rPr>
            <w:t>XXXXX XXX XXXXX</w:t>
          </w:r>
        </w:p>
      </w:tc>
    </w:tr>
    <w:tr w:rsidR="00B341BD" w14:paraId="39BA6BAC" w14:textId="77777777">
      <w:trPr>
        <w:trHeight w:val="228"/>
      </w:trPr>
      <w:tc>
        <w:tcPr>
          <w:tcW w:w="2551" w:type="dxa"/>
          <w:shd w:val="clear" w:color="auto" w:fill="auto"/>
          <w:vAlign w:val="center"/>
        </w:tcPr>
        <w:p w14:paraId="1EC26C1C"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4394" w:type="dxa"/>
          <w:shd w:val="clear" w:color="auto" w:fill="auto"/>
          <w:vAlign w:val="center"/>
        </w:tcPr>
        <w:p w14:paraId="23BA361B" w14:textId="77777777" w:rsidR="00B341BD" w:rsidRDefault="00F138DD">
          <w:pPr>
            <w:ind w:left="-45" w:right="1444"/>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Secretaría de Seguridad</w:t>
          </w:r>
        </w:p>
      </w:tc>
    </w:tr>
    <w:tr w:rsidR="00B341BD" w14:paraId="58193CF5" w14:textId="77777777">
      <w:tc>
        <w:tcPr>
          <w:tcW w:w="2551" w:type="dxa"/>
          <w:shd w:val="clear" w:color="auto" w:fill="auto"/>
          <w:vAlign w:val="center"/>
        </w:tcPr>
        <w:p w14:paraId="3FC1725C" w14:textId="77777777" w:rsidR="00B341BD" w:rsidRDefault="00F138D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4394" w:type="dxa"/>
          <w:shd w:val="clear" w:color="auto" w:fill="auto"/>
          <w:vAlign w:val="center"/>
        </w:tcPr>
        <w:p w14:paraId="7B4D1B32" w14:textId="77777777" w:rsidR="00B341BD" w:rsidRDefault="00F138DD">
          <w:pPr>
            <w:ind w:left="-45" w:right="-533"/>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5B445D24" w14:textId="77777777" w:rsidR="00B341BD" w:rsidRDefault="00B341BD">
    <w:pPr>
      <w:pBdr>
        <w:top w:val="nil"/>
        <w:left w:val="nil"/>
        <w:bottom w:val="nil"/>
        <w:right w:val="nil"/>
        <w:between w:val="nil"/>
      </w:pBdr>
      <w:tabs>
        <w:tab w:val="center" w:pos="4252"/>
        <w:tab w:val="right" w:pos="8504"/>
      </w:tabs>
      <w:rPr>
        <w:rFonts w:ascii="Cambria" w:eastAsia="Cambria" w:hAnsi="Cambria" w:cs="Cambria"/>
        <w:color w:val="000000"/>
      </w:rPr>
    </w:pPr>
  </w:p>
  <w:p w14:paraId="68B61B9F" w14:textId="77777777" w:rsidR="00B341BD" w:rsidRDefault="00B341B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73F44"/>
    <w:multiLevelType w:val="multilevel"/>
    <w:tmpl w:val="96CA48CC"/>
    <w:lvl w:ilvl="0">
      <w:start w:val="1"/>
      <w:numFmt w:val="decimal"/>
      <w:pStyle w:val="Listaconvieta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B013016"/>
    <w:multiLevelType w:val="multilevel"/>
    <w:tmpl w:val="D3ACEE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0AA200E"/>
    <w:multiLevelType w:val="multilevel"/>
    <w:tmpl w:val="D5A80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0D26D1"/>
    <w:multiLevelType w:val="multilevel"/>
    <w:tmpl w:val="D9ECDF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1E54E1"/>
    <w:multiLevelType w:val="multilevel"/>
    <w:tmpl w:val="048CBA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AA601EC"/>
    <w:multiLevelType w:val="multilevel"/>
    <w:tmpl w:val="DD188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1BD"/>
    <w:rsid w:val="00060B43"/>
    <w:rsid w:val="00736A82"/>
    <w:rsid w:val="00764B84"/>
    <w:rsid w:val="00B341BD"/>
    <w:rsid w:val="00CD298B"/>
    <w:rsid w:val="00F138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D5CCB"/>
  <w15:docId w15:val="{53A6724B-1A99-459F-9795-A61AD131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uiPriority w:val="9"/>
    <w:semiHidden/>
    <w:unhideWhenUsed/>
    <w:qFormat/>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0">
    <w:name w:val="Table Normal5"/>
    <w:tblPr>
      <w:tblCellMar>
        <w:top w:w="0" w:type="dxa"/>
        <w:left w:w="0" w:type="dxa"/>
        <w:bottom w:w="0" w:type="dxa"/>
        <w:right w:w="0" w:type="dxa"/>
      </w:tblCellMar>
    </w:tblPr>
  </w:style>
  <w:style w:type="table" w:customStyle="1" w:styleId="TableNormal40">
    <w:name w:val="Table Normal4"/>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16">
    <w:name w:val="16"/>
    <w:basedOn w:val="TableNormal10"/>
    <w:tblPr>
      <w:tblStyleRowBandSize w:val="1"/>
      <w:tblStyleColBandSize w:val="1"/>
      <w:tblCellMar>
        <w:left w:w="115" w:type="dxa"/>
        <w:right w:w="115" w:type="dxa"/>
      </w:tblCellMar>
    </w:tblPr>
  </w:style>
  <w:style w:type="table" w:customStyle="1" w:styleId="15">
    <w:name w:val="15"/>
    <w:basedOn w:val="TableNormal10"/>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FE2A5A"/>
    <w:pPr>
      <w:tabs>
        <w:tab w:val="center" w:pos="4419"/>
        <w:tab w:val="right" w:pos="8838"/>
      </w:tabs>
    </w:pPr>
    <w:rPr>
      <w:lang w:val="es-ES"/>
    </w:rPr>
  </w:style>
  <w:style w:type="character" w:customStyle="1" w:styleId="EncabezadoCar">
    <w:name w:val="Encabezado Car"/>
    <w:basedOn w:val="Fuentedeprrafopredeter"/>
    <w:link w:val="Encabezado"/>
    <w:uiPriority w:val="99"/>
    <w:rsid w:val="00FE2A5A"/>
  </w:style>
  <w:style w:type="paragraph" w:styleId="Piedepgina">
    <w:name w:val="footer"/>
    <w:basedOn w:val="Normal"/>
    <w:link w:val="PiedepginaCar"/>
    <w:uiPriority w:val="99"/>
    <w:unhideWhenUsed/>
    <w:rsid w:val="00FE2A5A"/>
    <w:pPr>
      <w:tabs>
        <w:tab w:val="center" w:pos="4419"/>
        <w:tab w:val="right" w:pos="8838"/>
      </w:tabs>
    </w:pPr>
    <w:rPr>
      <w:lang w:val="es-ES"/>
    </w:rPr>
  </w:style>
  <w:style w:type="character" w:customStyle="1" w:styleId="PiedepginaCar">
    <w:name w:val="Pie de página Car"/>
    <w:basedOn w:val="Fuentedeprrafopredeter"/>
    <w:link w:val="Piedepgina"/>
    <w:uiPriority w:val="99"/>
    <w:rsid w:val="00FE2A5A"/>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E2A5A"/>
    <w:pPr>
      <w:ind w:left="720"/>
      <w:contextualSpacing/>
    </w:pPr>
    <w:rPr>
      <w:lang w:val="es-ES"/>
    </w:rPr>
  </w:style>
  <w:style w:type="table" w:styleId="Tablaconcuadrcula">
    <w:name w:val="Table Grid"/>
    <w:basedOn w:val="Tablanormal"/>
    <w:uiPriority w:val="39"/>
    <w:rsid w:val="00513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12F5"/>
    <w:pPr>
      <w:spacing w:before="100" w:beforeAutospacing="1" w:after="100" w:afterAutospacing="1"/>
    </w:pPr>
    <w:rPr>
      <w:lang w:val="es-ES"/>
    </w:rPr>
  </w:style>
  <w:style w:type="table" w:customStyle="1" w:styleId="14">
    <w:name w:val="14"/>
    <w:basedOn w:val="TableNormal10"/>
    <w:tblPr>
      <w:tblStyleRowBandSize w:val="1"/>
      <w:tblStyleColBandSize w:val="1"/>
      <w:tblCellMar>
        <w:left w:w="115" w:type="dxa"/>
        <w:right w:w="115" w:type="dxa"/>
      </w:tblCellMar>
    </w:tblPr>
  </w:style>
  <w:style w:type="table" w:customStyle="1" w:styleId="13">
    <w:name w:val="13"/>
    <w:basedOn w:val="TableNormal10"/>
    <w:tblPr>
      <w:tblStyleRowBandSize w:val="1"/>
      <w:tblStyleColBandSize w:val="1"/>
      <w:tblCellMar>
        <w:left w:w="115" w:type="dxa"/>
        <w:right w:w="115" w:type="dxa"/>
      </w:tblCellMar>
    </w:tblPr>
  </w:style>
  <w:style w:type="character" w:customStyle="1" w:styleId="apple-tab-span">
    <w:name w:val="apple-tab-span"/>
    <w:basedOn w:val="Fuentedeprrafopredeter"/>
    <w:rsid w:val="00355FC9"/>
  </w:style>
  <w:style w:type="table" w:customStyle="1" w:styleId="12">
    <w:name w:val="12"/>
    <w:basedOn w:val="TableNormal20"/>
    <w:tblPr>
      <w:tblStyleRowBandSize w:val="1"/>
      <w:tblStyleColBandSize w:val="1"/>
      <w:tblCellMar>
        <w:left w:w="115" w:type="dxa"/>
        <w:right w:w="115" w:type="dxa"/>
      </w:tblCellMar>
    </w:tblPr>
  </w:style>
  <w:style w:type="table" w:customStyle="1" w:styleId="11">
    <w:name w:val="11"/>
    <w:basedOn w:val="TableNormal20"/>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043B73"/>
    <w:rPr>
      <w:color w:val="0000FF"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759CF"/>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F759CF"/>
    <w:rPr>
      <w:sz w:val="20"/>
      <w:szCs w:val="20"/>
    </w:rPr>
  </w:style>
  <w:style w:type="character" w:styleId="Refdenotaalpie">
    <w:name w:val="footnote reference"/>
    <w:aliases w:val="Ref. de nota al pie 2,Footnotes refss,Texto de nota al pie,Appel note de bas de page,referencia nota al pie,BVI fnr,Footnote number,4_G,16 Point,Superscript 6 Point,Texto nota al pie,Footnote Reference Char3,Ref,de nota al pie,註腳內容,f"/>
    <w:basedOn w:val="Fuentedeprrafopredeter"/>
    <w:uiPriority w:val="99"/>
    <w:unhideWhenUsed/>
    <w:qFormat/>
    <w:rsid w:val="00F759CF"/>
    <w:rPr>
      <w:vertAlign w:val="superscript"/>
    </w:rPr>
  </w:style>
  <w:style w:type="table" w:customStyle="1" w:styleId="10">
    <w:name w:val="10"/>
    <w:basedOn w:val="TableNormal30"/>
    <w:tblPr>
      <w:tblStyleRowBandSize w:val="1"/>
      <w:tblStyleColBandSize w:val="1"/>
      <w:tblCellMar>
        <w:left w:w="115" w:type="dxa"/>
        <w:right w:w="115" w:type="dxa"/>
      </w:tblCellMar>
    </w:tblPr>
  </w:style>
  <w:style w:type="table" w:customStyle="1" w:styleId="9">
    <w:name w:val="9"/>
    <w:basedOn w:val="TableNormal30"/>
    <w:tblPr>
      <w:tblStyleRowBandSize w:val="1"/>
      <w:tblStyleColBandSize w:val="1"/>
      <w:tblCellMar>
        <w:left w:w="115" w:type="dxa"/>
        <w:right w:w="115" w:type="dxa"/>
      </w:tblCellMar>
    </w:tbl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83BF5"/>
    <w:rPr>
      <w:lang w:val="es-ES"/>
    </w:rPr>
  </w:style>
  <w:style w:type="table" w:customStyle="1" w:styleId="8">
    <w:name w:val="8"/>
    <w:basedOn w:val="TableNormal40"/>
    <w:tblPr>
      <w:tblStyleRowBandSize w:val="1"/>
      <w:tblStyleColBandSize w:val="1"/>
      <w:tblCellMar>
        <w:left w:w="115" w:type="dxa"/>
        <w:right w:w="115" w:type="dxa"/>
      </w:tblCellMar>
    </w:tblPr>
  </w:style>
  <w:style w:type="table" w:customStyle="1" w:styleId="7">
    <w:name w:val="7"/>
    <w:basedOn w:val="TableNormal40"/>
    <w:tblPr>
      <w:tblStyleRowBandSize w:val="1"/>
      <w:tblStyleColBandSize w:val="1"/>
      <w:tblCellMar>
        <w:left w:w="115" w:type="dxa"/>
        <w:right w:w="115" w:type="dxa"/>
      </w:tblCellMar>
    </w:tblPr>
  </w:style>
  <w:style w:type="table" w:customStyle="1" w:styleId="6">
    <w:name w:val="6"/>
    <w:basedOn w:val="TableNormal50"/>
    <w:tblPr>
      <w:tblStyleRowBandSize w:val="1"/>
      <w:tblStyleColBandSize w:val="1"/>
      <w:tblCellMar>
        <w:left w:w="115" w:type="dxa"/>
        <w:right w:w="115" w:type="dxa"/>
      </w:tblCellMar>
    </w:tblPr>
  </w:style>
  <w:style w:type="table" w:customStyle="1" w:styleId="5">
    <w:name w:val="5"/>
    <w:basedOn w:val="TableNormal5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77142E"/>
    <w:pPr>
      <w:numPr>
        <w:numId w:val="6"/>
      </w:numPr>
      <w:contextualSpacing/>
    </w:pPr>
  </w:style>
  <w:style w:type="table" w:customStyle="1" w:styleId="4">
    <w:name w:val="4"/>
    <w:basedOn w:val="TableNormal6"/>
    <w:tblPr>
      <w:tblStyleRowBandSize w:val="1"/>
      <w:tblStyleColBandSize w:val="1"/>
      <w:tblCellMar>
        <w:left w:w="115" w:type="dxa"/>
        <w:right w:w="115" w:type="dxa"/>
      </w:tblCellMar>
    </w:tblPr>
  </w:style>
  <w:style w:type="table" w:customStyle="1" w:styleId="3">
    <w:name w:val="3"/>
    <w:basedOn w:val="TableNormal6"/>
    <w:tblPr>
      <w:tblStyleRowBandSize w:val="1"/>
      <w:tblStyleColBandSize w:val="1"/>
      <w:tblCellMar>
        <w:left w:w="115" w:type="dxa"/>
        <w:right w:w="115" w:type="dxa"/>
      </w:tblCellMar>
    </w:tblPr>
  </w:style>
  <w:style w:type="table" w:customStyle="1" w:styleId="2">
    <w:name w:val="2"/>
    <w:basedOn w:val="TableNormal7"/>
    <w:tblPr>
      <w:tblStyleRowBandSize w:val="1"/>
      <w:tblStyleColBandSize w:val="1"/>
      <w:tblCellMar>
        <w:left w:w="115" w:type="dxa"/>
        <w:right w:w="115" w:type="dxa"/>
      </w:tblCellMar>
    </w:tblPr>
  </w:style>
  <w:style w:type="table" w:customStyle="1" w:styleId="1">
    <w:name w:val="1"/>
    <w:basedOn w:val="TableNormal7"/>
    <w:tblPr>
      <w:tblStyleRowBandSize w:val="1"/>
      <w:tblStyleColBandSize w:val="1"/>
      <w:tblCellMar>
        <w:left w:w="115" w:type="dxa"/>
        <w:right w:w="115" w:type="dxa"/>
      </w:tblCellMar>
    </w:tblPr>
  </w:style>
  <w:style w:type="paragraph" w:styleId="Listaconvietas2">
    <w:name w:val="List Bullet 2"/>
    <w:basedOn w:val="Normal"/>
    <w:uiPriority w:val="99"/>
    <w:unhideWhenUsed/>
    <w:rsid w:val="00B910CA"/>
    <w:pPr>
      <w:tabs>
        <w:tab w:val="num" w:pos="720"/>
      </w:tabs>
      <w:ind w:left="720" w:hanging="720"/>
      <w:contextualSpacing/>
    </w:pPr>
  </w:style>
  <w:style w:type="paragraph" w:styleId="Textodeglobo">
    <w:name w:val="Balloon Text"/>
    <w:basedOn w:val="Normal"/>
    <w:link w:val="TextodegloboCar"/>
    <w:uiPriority w:val="99"/>
    <w:semiHidden/>
    <w:unhideWhenUsed/>
    <w:rsid w:val="003B3B2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3B2A"/>
    <w:rPr>
      <w:rFonts w:ascii="Segoe UI" w:hAnsi="Segoe UI" w:cs="Segoe UI"/>
      <w:sz w:val="18"/>
      <w:szCs w:val="18"/>
    </w:rPr>
  </w:style>
  <w:style w:type="character" w:styleId="Hipervnculovisitado">
    <w:name w:val="FollowedHyperlink"/>
    <w:basedOn w:val="Fuentedeprrafopredeter"/>
    <w:uiPriority w:val="99"/>
    <w:semiHidden/>
    <w:unhideWhenUsed/>
    <w:rsid w:val="00E9311B"/>
    <w:rPr>
      <w:color w:val="800080" w:themeColor="followedHyperlink"/>
      <w:u w:val="single"/>
    </w:r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table" w:customStyle="1" w:styleId="a3">
    <w:basedOn w:val="TableNormal3"/>
    <w:tblPr>
      <w:tblStyleRowBandSize w:val="1"/>
      <w:tblStyleColBandSize w:val="1"/>
      <w:tblCellMar>
        <w:left w:w="115" w:type="dxa"/>
        <w:right w:w="115"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0"/>
    <w:tblPr>
      <w:tblStyleRowBandSize w:val="1"/>
      <w:tblStyleColBandSize w:val="1"/>
      <w:tblCellMar>
        <w:top w:w="75" w:type="dxa"/>
        <w:left w:w="75" w:type="dxa"/>
        <w:bottom w:w="75" w:type="dxa"/>
        <w:right w:w="7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ndetec.gob.mx/delivery?srv=0&amp;sl=3&amp;path=/biblioteca/Especiales/386_Glosario_Terminos_Proceso_Planeac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dN6jfAM7OGRyOCb7BBANAPjuEA==">CgMxLjAyCWguMWZvYjl0ZTIJaC40ZDM0b2c4MghoLmdqZGd4czIJaC4zZHk2dmttMgloLjMwajB6bGwyCWguMnM4ZXlvMTIIaC50eWpjd3QyCWguM3pueXNoNzIJaC4xeTgxMHR3Mg5oLmlqdjk4cG50Y2Q1czIJaC4yNmluMXJnMg1oLmg3bnpiNzl3bHJhMgloLjJldDkycDAyCWguMXQzaDVzZjgAciExMFVfb2dCZ2hXaFRNOGZLeHE2UDFtN1M4YU1WNG5QVVQ=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13397</Words>
  <Characters>73688</Characters>
  <Application>Microsoft Office Word</Application>
  <DocSecurity>0</DocSecurity>
  <Lines>614</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Maricela Villagómez Martínez</cp:lastModifiedBy>
  <cp:revision>2</cp:revision>
  <cp:lastPrinted>2026-09-25T18:41:00Z</cp:lastPrinted>
  <dcterms:created xsi:type="dcterms:W3CDTF">2026-09-28T16:43:00Z</dcterms:created>
  <dcterms:modified xsi:type="dcterms:W3CDTF">2026-09-28T16:43:00Z</dcterms:modified>
</cp:coreProperties>
</file>