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4DF1" w:rsidRPr="00D95EEE" w:rsidRDefault="009D3673" w:rsidP="00D13D4B">
      <w:pPr>
        <w:tabs>
          <w:tab w:val="left" w:pos="3465"/>
        </w:tabs>
        <w:spacing w:line="360" w:lineRule="auto"/>
        <w:ind w:right="49"/>
        <w:jc w:val="both"/>
        <w:rPr>
          <w:rFonts w:ascii="Palatino Linotype" w:eastAsia="Palatino Linotype" w:hAnsi="Palatino Linotype" w:cs="Palatino Linotype"/>
          <w:b/>
        </w:rPr>
      </w:pPr>
      <w:bookmarkStart w:id="0" w:name="_GoBack"/>
      <w:bookmarkEnd w:id="0"/>
      <w:r w:rsidRPr="00D95EEE">
        <w:rPr>
          <w:rFonts w:ascii="Palatino Linotype" w:eastAsia="Palatino Linotype" w:hAnsi="Palatino Linotype" w:cs="Palatino Linotype"/>
        </w:rPr>
        <w:t>Resolución del Pleno del Instituto de Transparencia, Acceso a la Información Pública y Protección de Datos Personales del Estado de México y Municipios, con domicilio en Metepec, Es</w:t>
      </w:r>
      <w:r w:rsidR="0081462E" w:rsidRPr="00D95EEE">
        <w:rPr>
          <w:rFonts w:ascii="Palatino Linotype" w:eastAsia="Palatino Linotype" w:hAnsi="Palatino Linotype" w:cs="Palatino Linotype"/>
        </w:rPr>
        <w:t xml:space="preserve">tado de México; </w:t>
      </w:r>
      <w:r w:rsidR="0081462E" w:rsidRPr="00D95EEE">
        <w:rPr>
          <w:rFonts w:ascii="Palatino Linotype" w:eastAsia="Palatino Linotype" w:hAnsi="Palatino Linotype" w:cs="Palatino Linotype"/>
          <w:b/>
        </w:rPr>
        <w:t xml:space="preserve">de fecha </w:t>
      </w:r>
      <w:r w:rsidR="00252B9F" w:rsidRPr="00D95EEE">
        <w:rPr>
          <w:rFonts w:ascii="Palatino Linotype" w:eastAsia="Palatino Linotype" w:hAnsi="Palatino Linotype" w:cs="Palatino Linotype"/>
          <w:b/>
        </w:rPr>
        <w:t>once</w:t>
      </w:r>
      <w:r w:rsidR="00D95EEE" w:rsidRPr="00D95EEE">
        <w:rPr>
          <w:rFonts w:ascii="Palatino Linotype" w:eastAsia="Palatino Linotype" w:hAnsi="Palatino Linotype" w:cs="Palatino Linotype"/>
          <w:b/>
        </w:rPr>
        <w:t xml:space="preserve"> (11)</w:t>
      </w:r>
      <w:r w:rsidR="00252B9F" w:rsidRPr="00D95EEE">
        <w:rPr>
          <w:rFonts w:ascii="Palatino Linotype" w:eastAsia="Palatino Linotype" w:hAnsi="Palatino Linotype" w:cs="Palatino Linotype"/>
          <w:b/>
        </w:rPr>
        <w:t xml:space="preserve"> de febrero</w:t>
      </w:r>
      <w:r w:rsidR="007D013F" w:rsidRPr="00D95EEE">
        <w:rPr>
          <w:rFonts w:ascii="Palatino Linotype" w:eastAsia="Palatino Linotype" w:hAnsi="Palatino Linotype" w:cs="Palatino Linotype"/>
          <w:b/>
        </w:rPr>
        <w:t xml:space="preserve"> de dos mil veintiséis</w:t>
      </w:r>
      <w:r w:rsidRPr="00D95EEE">
        <w:rPr>
          <w:rFonts w:ascii="Palatino Linotype" w:eastAsia="Palatino Linotype" w:hAnsi="Palatino Linotype" w:cs="Palatino Linotype"/>
          <w:b/>
        </w:rPr>
        <w:t>.</w:t>
      </w:r>
    </w:p>
    <w:p w:rsidR="00B84DF1" w:rsidRPr="00D95EEE" w:rsidRDefault="00B84DF1" w:rsidP="00D13D4B">
      <w:pPr>
        <w:tabs>
          <w:tab w:val="left" w:pos="3465"/>
        </w:tabs>
        <w:spacing w:line="360" w:lineRule="auto"/>
        <w:ind w:right="49"/>
        <w:jc w:val="both"/>
        <w:rPr>
          <w:rFonts w:ascii="Palatino Linotype" w:eastAsia="Palatino Linotype" w:hAnsi="Palatino Linotype" w:cs="Palatino Linotype"/>
        </w:rPr>
      </w:pPr>
    </w:p>
    <w:p w:rsidR="00B84DF1" w:rsidRDefault="009D3673" w:rsidP="00D13D4B">
      <w:pPr>
        <w:spacing w:line="360" w:lineRule="auto"/>
        <w:ind w:right="49"/>
        <w:jc w:val="both"/>
        <w:rPr>
          <w:rFonts w:ascii="Palatino Linotype" w:eastAsia="Palatino Linotype" w:hAnsi="Palatino Linotype" w:cs="Palatino Linotype"/>
        </w:rPr>
      </w:pPr>
      <w:r w:rsidRPr="00D95EEE">
        <w:rPr>
          <w:rFonts w:ascii="Palatino Linotype" w:eastAsia="Palatino Linotype" w:hAnsi="Palatino Linotype" w:cs="Palatino Linotype"/>
          <w:b/>
        </w:rPr>
        <w:t xml:space="preserve">VISTAS </w:t>
      </w:r>
      <w:r w:rsidRPr="00D95EEE">
        <w:rPr>
          <w:rFonts w:ascii="Palatino Linotype" w:eastAsia="Palatino Linotype" w:hAnsi="Palatino Linotype" w:cs="Palatino Linotype"/>
        </w:rPr>
        <w:t xml:space="preserve">las constancias para resolver el Recurso de Revisión </w:t>
      </w:r>
      <w:r w:rsidR="00252B9F" w:rsidRPr="00D95EEE">
        <w:rPr>
          <w:rFonts w:ascii="Palatino Linotype" w:eastAsia="Palatino Linotype" w:hAnsi="Palatino Linotype" w:cs="Palatino Linotype"/>
          <w:b/>
        </w:rPr>
        <w:t>14133/INFOEM/IP/RR/2025</w:t>
      </w:r>
      <w:r w:rsidRPr="00D95EEE">
        <w:rPr>
          <w:rFonts w:ascii="Palatino Linotype" w:eastAsia="Palatino Linotype" w:hAnsi="Palatino Linotype" w:cs="Palatino Linotype"/>
          <w:b/>
        </w:rPr>
        <w:t>,</w:t>
      </w:r>
      <w:r w:rsidRPr="00D95EEE">
        <w:rPr>
          <w:rFonts w:ascii="Palatino Linotype" w:eastAsia="Palatino Linotype" w:hAnsi="Palatino Linotype" w:cs="Palatino Linotype"/>
        </w:rPr>
        <w:t xml:space="preserve"> presentado por </w:t>
      </w:r>
      <w:r w:rsidR="00252B9F" w:rsidRPr="00D95EEE">
        <w:rPr>
          <w:rFonts w:ascii="Palatino Linotype" w:eastAsia="Palatino Linotype" w:hAnsi="Palatino Linotype" w:cs="Palatino Linotype"/>
          <w:b/>
        </w:rPr>
        <w:t>una persona que no proporcionó datos de identificación</w:t>
      </w:r>
      <w:r w:rsidRPr="00D95EEE">
        <w:rPr>
          <w:rFonts w:ascii="Palatino Linotype" w:eastAsia="Palatino Linotype" w:hAnsi="Palatino Linotype" w:cs="Palatino Linotype"/>
        </w:rPr>
        <w:t>, a quie</w:t>
      </w:r>
      <w:r w:rsidR="0064652D" w:rsidRPr="00D95EEE">
        <w:rPr>
          <w:rFonts w:ascii="Palatino Linotype" w:eastAsia="Palatino Linotype" w:hAnsi="Palatino Linotype" w:cs="Palatino Linotype"/>
        </w:rPr>
        <w:t xml:space="preserve">n en lo sucesivo se denominará </w:t>
      </w:r>
      <w:r w:rsidRPr="00D95EEE">
        <w:rPr>
          <w:rFonts w:ascii="Palatino Linotype" w:eastAsia="Palatino Linotype" w:hAnsi="Palatino Linotype" w:cs="Palatino Linotype"/>
          <w:b/>
        </w:rPr>
        <w:t>EL RECURRENTE</w:t>
      </w:r>
      <w:r w:rsidRPr="00D95EEE">
        <w:rPr>
          <w:rFonts w:ascii="Palatino Linotype" w:eastAsia="Palatino Linotype" w:hAnsi="Palatino Linotype" w:cs="Palatino Linotype"/>
        </w:rPr>
        <w:t xml:space="preserve">, en contra de la respuesta otorgada a la </w:t>
      </w:r>
      <w:r w:rsidR="0044042A" w:rsidRPr="00D95EEE">
        <w:rPr>
          <w:rFonts w:ascii="Palatino Linotype" w:eastAsia="Palatino Linotype" w:hAnsi="Palatino Linotype" w:cs="Palatino Linotype"/>
        </w:rPr>
        <w:t>S</w:t>
      </w:r>
      <w:r w:rsidRPr="00D95EEE">
        <w:rPr>
          <w:rFonts w:ascii="Palatino Linotype" w:eastAsia="Palatino Linotype" w:hAnsi="Palatino Linotype" w:cs="Palatino Linotype"/>
        </w:rPr>
        <w:t xml:space="preserve">olicitud de </w:t>
      </w:r>
      <w:r w:rsidR="0044042A" w:rsidRPr="00D95EEE">
        <w:rPr>
          <w:rFonts w:ascii="Palatino Linotype" w:eastAsia="Palatino Linotype" w:hAnsi="Palatino Linotype" w:cs="Palatino Linotype"/>
        </w:rPr>
        <w:t>I</w:t>
      </w:r>
      <w:r w:rsidRPr="00D95EEE">
        <w:rPr>
          <w:rFonts w:ascii="Palatino Linotype" w:eastAsia="Palatino Linotype" w:hAnsi="Palatino Linotype" w:cs="Palatino Linotype"/>
        </w:rPr>
        <w:t xml:space="preserve">nformación con número de folio </w:t>
      </w:r>
      <w:r w:rsidR="00252B9F" w:rsidRPr="00D95EEE">
        <w:rPr>
          <w:rFonts w:ascii="Palatino Linotype" w:eastAsia="Palatino Linotype" w:hAnsi="Palatino Linotype" w:cs="Palatino Linotype"/>
          <w:b/>
        </w:rPr>
        <w:t>01569/CUAUTIZC/IP/2025</w:t>
      </w:r>
      <w:r w:rsidRPr="00D95EEE">
        <w:rPr>
          <w:rFonts w:ascii="Palatino Linotype" w:eastAsia="Palatino Linotype" w:hAnsi="Palatino Linotype" w:cs="Palatino Linotype"/>
        </w:rPr>
        <w:t xml:space="preserve">, por parte del </w:t>
      </w:r>
      <w:r w:rsidR="00252B9F" w:rsidRPr="00D95EEE">
        <w:rPr>
          <w:rFonts w:ascii="Palatino Linotype" w:eastAsia="Palatino Linotype" w:hAnsi="Palatino Linotype" w:cs="Palatino Linotype"/>
          <w:b/>
        </w:rPr>
        <w:t>Ayuntamiento de Cuautitlán Izcalli</w:t>
      </w:r>
      <w:r w:rsidRPr="00D95EEE">
        <w:rPr>
          <w:rFonts w:ascii="Palatino Linotype" w:eastAsia="Palatino Linotype" w:hAnsi="Palatino Linotype" w:cs="Palatino Linotype"/>
          <w:b/>
        </w:rPr>
        <w:t xml:space="preserve">, </w:t>
      </w:r>
      <w:r w:rsidRPr="00D95EEE">
        <w:rPr>
          <w:rFonts w:ascii="Palatino Linotype" w:eastAsia="Palatino Linotype" w:hAnsi="Palatino Linotype" w:cs="Palatino Linotype"/>
        </w:rPr>
        <w:t xml:space="preserve">en adelante </w:t>
      </w:r>
      <w:r w:rsidRPr="00D95EEE">
        <w:rPr>
          <w:rFonts w:ascii="Palatino Linotype" w:eastAsia="Palatino Linotype" w:hAnsi="Palatino Linotype" w:cs="Palatino Linotype"/>
          <w:b/>
        </w:rPr>
        <w:t>EL SUJETO OBLIGADO,</w:t>
      </w:r>
      <w:r w:rsidRPr="00D95EEE">
        <w:rPr>
          <w:rFonts w:ascii="Palatino Linotype" w:eastAsia="Palatino Linotype" w:hAnsi="Palatino Linotype" w:cs="Palatino Linotype"/>
        </w:rPr>
        <w:t xml:space="preserve"> se emite la presente </w:t>
      </w:r>
      <w:r w:rsidR="0081462E" w:rsidRPr="00D95EEE">
        <w:rPr>
          <w:rFonts w:ascii="Palatino Linotype" w:eastAsia="Palatino Linotype" w:hAnsi="Palatino Linotype" w:cs="Palatino Linotype"/>
        </w:rPr>
        <w:t>R</w:t>
      </w:r>
      <w:r w:rsidRPr="00D95EEE">
        <w:rPr>
          <w:rFonts w:ascii="Palatino Linotype" w:eastAsia="Palatino Linotype" w:hAnsi="Palatino Linotype" w:cs="Palatino Linotype"/>
        </w:rPr>
        <w:t>esolución con base en los siguientes:</w:t>
      </w:r>
    </w:p>
    <w:p w:rsidR="00D95EEE" w:rsidRPr="00D95EEE" w:rsidRDefault="00D95EEE" w:rsidP="00D13D4B">
      <w:pPr>
        <w:spacing w:line="360" w:lineRule="auto"/>
        <w:ind w:right="49"/>
        <w:jc w:val="both"/>
        <w:rPr>
          <w:rFonts w:ascii="Palatino Linotype" w:eastAsia="Palatino Linotype" w:hAnsi="Palatino Linotype" w:cs="Palatino Linotype"/>
        </w:rPr>
      </w:pPr>
    </w:p>
    <w:p w:rsidR="00B84DF1" w:rsidRPr="00D95EEE" w:rsidRDefault="009D3673" w:rsidP="00D13D4B">
      <w:pPr>
        <w:pStyle w:val="Ttulo1"/>
        <w:spacing w:before="0" w:line="360" w:lineRule="auto"/>
        <w:ind w:right="49"/>
        <w:jc w:val="center"/>
        <w:rPr>
          <w:rFonts w:ascii="Palatino Linotype" w:eastAsia="Palatino Linotype" w:hAnsi="Palatino Linotype" w:cs="Palatino Linotype"/>
          <w:b/>
          <w:color w:val="000000"/>
          <w:sz w:val="24"/>
          <w:szCs w:val="24"/>
        </w:rPr>
      </w:pPr>
      <w:bookmarkStart w:id="1" w:name="_heading=h.gjdgxs" w:colFirst="0" w:colLast="0"/>
      <w:bookmarkEnd w:id="1"/>
      <w:r w:rsidRPr="00D95EEE">
        <w:rPr>
          <w:rFonts w:ascii="Palatino Linotype" w:eastAsia="Palatino Linotype" w:hAnsi="Palatino Linotype" w:cs="Palatino Linotype"/>
          <w:b/>
          <w:color w:val="000000"/>
          <w:sz w:val="24"/>
          <w:szCs w:val="24"/>
        </w:rPr>
        <w:t>A N T E C E D E N T E S</w:t>
      </w:r>
    </w:p>
    <w:p w:rsidR="00B84DF1" w:rsidRPr="00D95EEE" w:rsidRDefault="00B84DF1" w:rsidP="00D13D4B">
      <w:pPr>
        <w:pBdr>
          <w:top w:val="nil"/>
          <w:left w:val="nil"/>
          <w:bottom w:val="nil"/>
          <w:right w:val="nil"/>
          <w:between w:val="nil"/>
        </w:pBdr>
        <w:spacing w:line="360" w:lineRule="auto"/>
        <w:ind w:right="49"/>
        <w:jc w:val="both"/>
        <w:rPr>
          <w:rFonts w:ascii="Palatino Linotype" w:eastAsia="Palatino Linotype" w:hAnsi="Palatino Linotype" w:cs="Palatino Linotype"/>
          <w:b/>
          <w:color w:val="000000"/>
          <w:u w:val="single"/>
        </w:rPr>
      </w:pPr>
    </w:p>
    <w:p w:rsidR="00B84DF1" w:rsidRPr="00D95EEE" w:rsidRDefault="009D3673" w:rsidP="00D13D4B">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D95EEE">
        <w:rPr>
          <w:rFonts w:ascii="Palatino Linotype" w:eastAsia="Palatino Linotype" w:hAnsi="Palatino Linotype" w:cs="Palatino Linotype"/>
          <w:color w:val="000000"/>
        </w:rPr>
        <w:t>El día</w:t>
      </w:r>
      <w:r w:rsidRPr="00D95EEE">
        <w:rPr>
          <w:rFonts w:ascii="Palatino Linotype" w:eastAsia="Palatino Linotype" w:hAnsi="Palatino Linotype" w:cs="Palatino Linotype"/>
          <w:b/>
          <w:color w:val="000000"/>
        </w:rPr>
        <w:t xml:space="preserve"> </w:t>
      </w:r>
      <w:r w:rsidR="00252B9F" w:rsidRPr="00D95EEE">
        <w:rPr>
          <w:rFonts w:ascii="Palatino Linotype" w:eastAsia="Palatino Linotype" w:hAnsi="Palatino Linotype" w:cs="Palatino Linotype"/>
          <w:b/>
          <w:color w:val="000000"/>
        </w:rPr>
        <w:t>veinte</w:t>
      </w:r>
      <w:r w:rsidR="00DB7C4B" w:rsidRPr="00D95EEE">
        <w:rPr>
          <w:rFonts w:ascii="Palatino Linotype" w:eastAsia="Palatino Linotype" w:hAnsi="Palatino Linotype" w:cs="Palatino Linotype"/>
          <w:b/>
          <w:color w:val="000000"/>
        </w:rPr>
        <w:t xml:space="preserve"> de noviembre</w:t>
      </w:r>
      <w:r w:rsidRPr="00D95EEE">
        <w:rPr>
          <w:rFonts w:ascii="Palatino Linotype" w:eastAsia="Palatino Linotype" w:hAnsi="Palatino Linotype" w:cs="Palatino Linotype"/>
          <w:b/>
          <w:color w:val="000000"/>
        </w:rPr>
        <w:t xml:space="preserve"> dos mil veintic</w:t>
      </w:r>
      <w:r w:rsidR="00AC01CA" w:rsidRPr="00D95EEE">
        <w:rPr>
          <w:rFonts w:ascii="Palatino Linotype" w:eastAsia="Palatino Linotype" w:hAnsi="Palatino Linotype" w:cs="Palatino Linotype"/>
          <w:b/>
          <w:color w:val="000000"/>
        </w:rPr>
        <w:t>inco</w:t>
      </w:r>
      <w:r w:rsidRPr="00D95EEE">
        <w:rPr>
          <w:rFonts w:ascii="Palatino Linotype" w:eastAsia="Palatino Linotype" w:hAnsi="Palatino Linotype" w:cs="Palatino Linotype"/>
          <w:color w:val="000000"/>
        </w:rPr>
        <w:t>,</w:t>
      </w:r>
      <w:r w:rsidRPr="00D95EEE">
        <w:rPr>
          <w:rFonts w:ascii="Palatino Linotype" w:eastAsia="Palatino Linotype" w:hAnsi="Palatino Linotype" w:cs="Palatino Linotype"/>
          <w:b/>
          <w:color w:val="000000"/>
        </w:rPr>
        <w:t xml:space="preserve"> </w:t>
      </w:r>
      <w:r w:rsidRPr="00D95EEE">
        <w:rPr>
          <w:rFonts w:ascii="Palatino Linotype" w:eastAsia="Palatino Linotype" w:hAnsi="Palatino Linotype" w:cs="Palatino Linotype"/>
          <w:color w:val="000000"/>
        </w:rPr>
        <w:t>se presentó ante el Sujeto Obligado vía Sistema de Acceso a la Información Mexiquense, en adelante (SAIMEX), la siguiente solicitud de información pública:</w:t>
      </w:r>
    </w:p>
    <w:p w:rsidR="00B84DF1" w:rsidRPr="00D95EEE" w:rsidRDefault="00B84DF1" w:rsidP="00D13D4B">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rsidR="00B84DF1" w:rsidRPr="00D95EEE" w:rsidRDefault="009D3673" w:rsidP="00D13D4B">
      <w:pPr>
        <w:pBdr>
          <w:top w:val="nil"/>
          <w:left w:val="nil"/>
          <w:bottom w:val="nil"/>
          <w:right w:val="nil"/>
          <w:between w:val="nil"/>
        </w:pBdr>
        <w:spacing w:line="360" w:lineRule="auto"/>
        <w:ind w:left="425" w:right="333"/>
        <w:jc w:val="both"/>
        <w:rPr>
          <w:rFonts w:ascii="Palatino Linotype" w:eastAsia="Palatino Linotype" w:hAnsi="Palatino Linotype" w:cs="Palatino Linotype"/>
          <w:i/>
          <w:color w:val="000000"/>
        </w:rPr>
      </w:pPr>
      <w:r w:rsidRPr="00D95EEE">
        <w:rPr>
          <w:rFonts w:ascii="Palatino Linotype" w:eastAsia="Palatino Linotype" w:hAnsi="Palatino Linotype" w:cs="Palatino Linotype"/>
          <w:i/>
          <w:color w:val="000000"/>
        </w:rPr>
        <w:t>“</w:t>
      </w:r>
      <w:r w:rsidR="00252B9F" w:rsidRPr="00D95EEE">
        <w:rPr>
          <w:rFonts w:ascii="Palatino Linotype" w:eastAsia="Palatino Linotype" w:hAnsi="Palatino Linotype" w:cs="Palatino Linotype"/>
          <w:i/>
        </w:rPr>
        <w:t>SOLICITO EVIDENCIA FOTOGRAFICA DECADA UNO DE LAS AREAS QUE DEBEN TENER EL AVISO DE PRIVACIDAD DE TRATAMIENTO DE DATOS PERSONALES, ASISTI A LA DIRECCION DE DESARROLLO ECONOMICO Y EN NINGUN LUGAR ESTAR VISIBLE COMO EN OTRAS AREAS, ENTONCES SOLICITO A ESTA DIRECCION MUESTRA EVIDENCIA DE QUE TODAS SUS AREAS LO TIENEN COLOCADO</w:t>
      </w:r>
      <w:r w:rsidRPr="00D95EEE">
        <w:rPr>
          <w:rFonts w:ascii="Palatino Linotype" w:eastAsia="Palatino Linotype" w:hAnsi="Palatino Linotype" w:cs="Palatino Linotype"/>
          <w:i/>
          <w:color w:val="000000"/>
        </w:rPr>
        <w:t>”</w:t>
      </w:r>
    </w:p>
    <w:p w:rsidR="00B84DF1" w:rsidRPr="00D95EEE" w:rsidRDefault="00B84DF1" w:rsidP="00D13D4B">
      <w:pPr>
        <w:pBdr>
          <w:top w:val="nil"/>
          <w:left w:val="nil"/>
          <w:bottom w:val="nil"/>
          <w:right w:val="nil"/>
          <w:between w:val="nil"/>
        </w:pBdr>
        <w:spacing w:line="360" w:lineRule="auto"/>
        <w:ind w:left="425" w:right="49"/>
        <w:jc w:val="both"/>
        <w:rPr>
          <w:rFonts w:ascii="Palatino Linotype" w:eastAsia="Palatino Linotype" w:hAnsi="Palatino Linotype" w:cs="Palatino Linotype"/>
          <w:color w:val="000000"/>
        </w:rPr>
      </w:pPr>
    </w:p>
    <w:p w:rsidR="00B84DF1" w:rsidRPr="00D95EEE" w:rsidRDefault="009D3673" w:rsidP="00D95EEE">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D95EEE">
        <w:rPr>
          <w:rFonts w:ascii="Palatino Linotype" w:eastAsia="Palatino Linotype" w:hAnsi="Palatino Linotype" w:cs="Palatino Linotype"/>
          <w:color w:val="000000"/>
        </w:rPr>
        <w:lastRenderedPageBreak/>
        <w:t xml:space="preserve">Se eligió como modalidad de entrega de la información: </w:t>
      </w:r>
      <w:r w:rsidR="00CB1566" w:rsidRPr="00D95EEE">
        <w:rPr>
          <w:rFonts w:ascii="Palatino Linotype" w:eastAsia="Palatino Linotype" w:hAnsi="Palatino Linotype" w:cs="Palatino Linotype"/>
          <w:b/>
          <w:color w:val="000000"/>
        </w:rPr>
        <w:t>a través de SAIMEX</w:t>
      </w:r>
    </w:p>
    <w:p w:rsidR="00DB7C4B" w:rsidRPr="00D95EEE" w:rsidRDefault="00DB7C4B" w:rsidP="00D13D4B">
      <w:pPr>
        <w:pBdr>
          <w:top w:val="nil"/>
          <w:left w:val="nil"/>
          <w:bottom w:val="nil"/>
          <w:right w:val="nil"/>
          <w:between w:val="nil"/>
        </w:pBdr>
        <w:tabs>
          <w:tab w:val="left" w:pos="0"/>
        </w:tabs>
        <w:spacing w:line="360" w:lineRule="auto"/>
        <w:ind w:left="709" w:right="49"/>
        <w:jc w:val="both"/>
        <w:rPr>
          <w:rFonts w:ascii="Palatino Linotype" w:eastAsia="Palatino Linotype" w:hAnsi="Palatino Linotype" w:cs="Palatino Linotype"/>
          <w:color w:val="000000"/>
        </w:rPr>
      </w:pPr>
    </w:p>
    <w:p w:rsidR="001D7945" w:rsidRPr="00D95EEE" w:rsidRDefault="009D3673" w:rsidP="00252B9F">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b/>
        </w:rPr>
      </w:pPr>
      <w:r w:rsidRPr="00D95EEE">
        <w:rPr>
          <w:rFonts w:ascii="Palatino Linotype" w:eastAsia="Palatino Linotype" w:hAnsi="Palatino Linotype" w:cs="Palatino Linotype"/>
          <w:color w:val="000000"/>
        </w:rPr>
        <w:t xml:space="preserve">El </w:t>
      </w:r>
      <w:r w:rsidR="00252B9F" w:rsidRPr="00D95EEE">
        <w:rPr>
          <w:rFonts w:ascii="Palatino Linotype" w:eastAsia="Palatino Linotype" w:hAnsi="Palatino Linotype" w:cs="Palatino Linotype"/>
          <w:b/>
          <w:color w:val="000000"/>
        </w:rPr>
        <w:t>ocho</w:t>
      </w:r>
      <w:r w:rsidR="00DB7C4B" w:rsidRPr="00D95EEE">
        <w:rPr>
          <w:rFonts w:ascii="Palatino Linotype" w:eastAsia="Palatino Linotype" w:hAnsi="Palatino Linotype" w:cs="Palatino Linotype"/>
          <w:b/>
          <w:color w:val="000000"/>
        </w:rPr>
        <w:t xml:space="preserve"> de diciembre</w:t>
      </w:r>
      <w:r w:rsidR="009F6E27" w:rsidRPr="00D95EEE">
        <w:rPr>
          <w:rFonts w:ascii="Palatino Linotype" w:eastAsia="Palatino Linotype" w:hAnsi="Palatino Linotype" w:cs="Palatino Linotype"/>
          <w:b/>
          <w:color w:val="000000"/>
        </w:rPr>
        <w:t xml:space="preserve"> de</w:t>
      </w:r>
      <w:r w:rsidR="00BE415E" w:rsidRPr="00D95EEE">
        <w:rPr>
          <w:rFonts w:ascii="Palatino Linotype" w:eastAsia="Palatino Linotype" w:hAnsi="Palatino Linotype" w:cs="Palatino Linotype"/>
          <w:b/>
          <w:color w:val="000000"/>
        </w:rPr>
        <w:t xml:space="preserve"> </w:t>
      </w:r>
      <w:r w:rsidR="00654047" w:rsidRPr="00D95EEE">
        <w:rPr>
          <w:rFonts w:ascii="Palatino Linotype" w:eastAsia="Palatino Linotype" w:hAnsi="Palatino Linotype" w:cs="Palatino Linotype"/>
          <w:b/>
        </w:rPr>
        <w:t>dos</w:t>
      </w:r>
      <w:r w:rsidR="00654047" w:rsidRPr="00D95EEE">
        <w:rPr>
          <w:rFonts w:ascii="Palatino Linotype" w:eastAsia="Palatino Linotype" w:hAnsi="Palatino Linotype" w:cs="Palatino Linotype"/>
          <w:b/>
          <w:color w:val="000000"/>
        </w:rPr>
        <w:t xml:space="preserve"> mil veinticinco</w:t>
      </w:r>
      <w:r w:rsidRPr="00D95EEE">
        <w:rPr>
          <w:rFonts w:ascii="Palatino Linotype" w:eastAsia="Palatino Linotype" w:hAnsi="Palatino Linotype" w:cs="Palatino Linotype"/>
          <w:color w:val="000000"/>
        </w:rPr>
        <w:t xml:space="preserve">, </w:t>
      </w:r>
      <w:r w:rsidR="00CB1566" w:rsidRPr="00D95EEE">
        <w:rPr>
          <w:rFonts w:ascii="Palatino Linotype" w:eastAsia="Palatino Linotype" w:hAnsi="Palatino Linotype" w:cs="Palatino Linotype"/>
        </w:rPr>
        <w:t xml:space="preserve">el </w:t>
      </w:r>
      <w:r w:rsidR="0064652D" w:rsidRPr="00D95EEE">
        <w:rPr>
          <w:rFonts w:ascii="Palatino Linotype" w:eastAsia="Palatino Linotype" w:hAnsi="Palatino Linotype" w:cs="Palatino Linotype"/>
          <w:b/>
        </w:rPr>
        <w:t>SUJETO OBLIGADO</w:t>
      </w:r>
      <w:r w:rsidR="00CB1566" w:rsidRPr="00D95EEE">
        <w:rPr>
          <w:rFonts w:ascii="Palatino Linotype" w:eastAsia="Palatino Linotype" w:hAnsi="Palatino Linotype" w:cs="Palatino Linotype"/>
          <w:b/>
        </w:rPr>
        <w:t xml:space="preserve"> </w:t>
      </w:r>
      <w:r w:rsidR="001D7945" w:rsidRPr="00D95EEE">
        <w:rPr>
          <w:rFonts w:ascii="Palatino Linotype" w:eastAsia="Palatino Linotype" w:hAnsi="Palatino Linotype" w:cs="Palatino Linotype"/>
        </w:rPr>
        <w:t>dio</w:t>
      </w:r>
      <w:r w:rsidR="00CB1566" w:rsidRPr="00D95EEE">
        <w:rPr>
          <w:rFonts w:ascii="Palatino Linotype" w:eastAsia="Palatino Linotype" w:hAnsi="Palatino Linotype" w:cs="Palatino Linotype"/>
        </w:rPr>
        <w:t xml:space="preserve"> </w:t>
      </w:r>
      <w:r w:rsidR="00CB1566" w:rsidRPr="00D95EEE">
        <w:rPr>
          <w:rFonts w:ascii="Palatino Linotype" w:eastAsia="Palatino Linotype" w:hAnsi="Palatino Linotype" w:cs="Palatino Linotype"/>
          <w:color w:val="000000"/>
        </w:rPr>
        <w:t>respuesta</w:t>
      </w:r>
      <w:r w:rsidR="00CB1566" w:rsidRPr="00D95EEE">
        <w:rPr>
          <w:rFonts w:ascii="Palatino Linotype" w:eastAsia="Palatino Linotype" w:hAnsi="Palatino Linotype" w:cs="Palatino Linotype"/>
        </w:rPr>
        <w:t xml:space="preserve"> a </w:t>
      </w:r>
      <w:r w:rsidR="00CB1566" w:rsidRPr="00D95EEE">
        <w:rPr>
          <w:rFonts w:ascii="Palatino Linotype" w:eastAsia="Palatino Linotype" w:hAnsi="Palatino Linotype" w:cs="Palatino Linotype"/>
          <w:color w:val="000000"/>
        </w:rPr>
        <w:t>la</w:t>
      </w:r>
      <w:r w:rsidR="00CB1566" w:rsidRPr="00D95EEE">
        <w:rPr>
          <w:rFonts w:ascii="Palatino Linotype" w:eastAsia="Palatino Linotype" w:hAnsi="Palatino Linotype" w:cs="Palatino Linotype"/>
        </w:rPr>
        <w:t xml:space="preserve"> solicitud de acceso a la información a través de SAIMEX, </w:t>
      </w:r>
      <w:r w:rsidR="008940A5" w:rsidRPr="00D95EEE">
        <w:rPr>
          <w:rFonts w:ascii="Palatino Linotype" w:eastAsia="Palatino Linotype" w:hAnsi="Palatino Linotype" w:cs="Palatino Linotype"/>
        </w:rPr>
        <w:t xml:space="preserve">mediante </w:t>
      </w:r>
      <w:r w:rsidR="00252B9F" w:rsidRPr="00D95EEE">
        <w:rPr>
          <w:rFonts w:ascii="Palatino Linotype" w:eastAsia="Palatino Linotype" w:hAnsi="Palatino Linotype" w:cs="Palatino Linotype"/>
        </w:rPr>
        <w:t xml:space="preserve">el archivo denominado </w:t>
      </w:r>
      <w:r w:rsidR="00252B9F" w:rsidRPr="00D95EEE">
        <w:rPr>
          <w:rFonts w:ascii="Palatino Linotype" w:eastAsia="Palatino Linotype" w:hAnsi="Palatino Linotype" w:cs="Palatino Linotype"/>
          <w:b/>
          <w:i/>
        </w:rPr>
        <w:t>OFICIO DE CONTESTACIÓN SAIMEX 01569.pdf</w:t>
      </w:r>
      <w:r w:rsidR="00763456" w:rsidRPr="00D95EEE">
        <w:rPr>
          <w:rFonts w:ascii="Palatino Linotype" w:eastAsia="Palatino Linotype" w:hAnsi="Palatino Linotype" w:cs="Palatino Linotype"/>
          <w:i/>
        </w:rPr>
        <w:t xml:space="preserve">, </w:t>
      </w:r>
      <w:r w:rsidR="00252B9F" w:rsidRPr="00D95EEE">
        <w:rPr>
          <w:rFonts w:ascii="Palatino Linotype" w:eastAsia="Palatino Linotype" w:hAnsi="Palatino Linotype" w:cs="Palatino Linotype"/>
        </w:rPr>
        <w:t>cuyo contenido corresponde a un oficio signado por el Titular de la Unidad de Transparencia a través del remite evidencia fotográfica tocante a Avisos de Privacidad colocados y visibles al público en las áreas de la Dirección de Desarrollo Económico.</w:t>
      </w:r>
    </w:p>
    <w:p w:rsidR="001D7945" w:rsidRPr="00D95EEE" w:rsidRDefault="001D7945" w:rsidP="00D13D4B">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b/>
        </w:rPr>
      </w:pPr>
    </w:p>
    <w:p w:rsidR="00CB1566" w:rsidRPr="00D95EEE" w:rsidRDefault="009D3673" w:rsidP="00D13D4B">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sidRPr="00D95EEE">
        <w:rPr>
          <w:rFonts w:ascii="Palatino Linotype" w:eastAsia="Palatino Linotype" w:hAnsi="Palatino Linotype" w:cs="Palatino Linotype"/>
          <w:color w:val="000000"/>
        </w:rPr>
        <w:t>El</w:t>
      </w:r>
      <w:r w:rsidRPr="00D95EEE">
        <w:rPr>
          <w:rFonts w:ascii="Palatino Linotype" w:eastAsia="Palatino Linotype" w:hAnsi="Palatino Linotype" w:cs="Palatino Linotype"/>
          <w:b/>
          <w:color w:val="000000"/>
        </w:rPr>
        <w:t xml:space="preserve"> </w:t>
      </w:r>
      <w:r w:rsidR="00763456" w:rsidRPr="00D95EEE">
        <w:rPr>
          <w:rFonts w:ascii="Palatino Linotype" w:eastAsia="Palatino Linotype" w:hAnsi="Palatino Linotype" w:cs="Palatino Linotype"/>
          <w:b/>
        </w:rPr>
        <w:t>diecisiete de diciembre</w:t>
      </w:r>
      <w:r w:rsidR="00CB1566" w:rsidRPr="00D95EEE">
        <w:rPr>
          <w:rFonts w:ascii="Palatino Linotype" w:eastAsia="Palatino Linotype" w:hAnsi="Palatino Linotype" w:cs="Palatino Linotype"/>
          <w:b/>
        </w:rPr>
        <w:t xml:space="preserve"> de dos mil veinticinco, </w:t>
      </w:r>
      <w:r w:rsidR="00CB1566" w:rsidRPr="00D95EEE">
        <w:rPr>
          <w:rFonts w:ascii="Palatino Linotype" w:eastAsia="Palatino Linotype" w:hAnsi="Palatino Linotype" w:cs="Palatino Linotype"/>
        </w:rPr>
        <w:t xml:space="preserve">la parte </w:t>
      </w:r>
      <w:r w:rsidR="00CB1566" w:rsidRPr="00D95EEE">
        <w:rPr>
          <w:rFonts w:ascii="Palatino Linotype" w:eastAsia="Palatino Linotype" w:hAnsi="Palatino Linotype" w:cs="Palatino Linotype"/>
          <w:b/>
        </w:rPr>
        <w:t>Recurrente</w:t>
      </w:r>
      <w:r w:rsidR="00CB1566" w:rsidRPr="00D95EEE">
        <w:rPr>
          <w:rFonts w:ascii="Palatino Linotype" w:eastAsia="Palatino Linotype" w:hAnsi="Palatino Linotype" w:cs="Palatino Linotype"/>
        </w:rPr>
        <w:t xml:space="preserve"> interpuso el recurso de revisión a través de </w:t>
      </w:r>
      <w:r w:rsidR="00CB1566" w:rsidRPr="00D95EEE">
        <w:rPr>
          <w:rFonts w:ascii="Palatino Linotype" w:eastAsia="Palatino Linotype" w:hAnsi="Palatino Linotype" w:cs="Palatino Linotype"/>
          <w:b/>
        </w:rPr>
        <w:t xml:space="preserve">SAIMEX, </w:t>
      </w:r>
      <w:r w:rsidR="00CB1566" w:rsidRPr="00D95EEE">
        <w:rPr>
          <w:rFonts w:ascii="Palatino Linotype" w:eastAsia="Palatino Linotype" w:hAnsi="Palatino Linotype" w:cs="Palatino Linotype"/>
        </w:rPr>
        <w:t xml:space="preserve">en donde se manifestó </w:t>
      </w:r>
      <w:r w:rsidR="001D7945" w:rsidRPr="00D95EEE">
        <w:rPr>
          <w:rFonts w:ascii="Palatino Linotype" w:eastAsia="Palatino Linotype" w:hAnsi="Palatino Linotype" w:cs="Palatino Linotype"/>
        </w:rPr>
        <w:t>lo siguiente</w:t>
      </w:r>
      <w:r w:rsidR="00CB1566" w:rsidRPr="00D95EEE">
        <w:rPr>
          <w:rFonts w:ascii="Palatino Linotype" w:eastAsia="Palatino Linotype" w:hAnsi="Palatino Linotype" w:cs="Palatino Linotype"/>
        </w:rPr>
        <w:t>:</w:t>
      </w:r>
    </w:p>
    <w:p w:rsidR="00CB1566" w:rsidRPr="00D95EEE" w:rsidRDefault="00CB1566" w:rsidP="00D13D4B">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rPr>
      </w:pPr>
    </w:p>
    <w:p w:rsidR="00CB1566" w:rsidRPr="00D95EEE" w:rsidRDefault="00D95EEE" w:rsidP="00D95EEE">
      <w:pPr>
        <w:pStyle w:val="Prrafodelista"/>
        <w:numPr>
          <w:ilvl w:val="0"/>
          <w:numId w:val="45"/>
        </w:numPr>
        <w:tabs>
          <w:tab w:val="left" w:pos="2745"/>
        </w:tabs>
        <w:spacing w:line="360" w:lineRule="auto"/>
        <w:ind w:right="616"/>
        <w:jc w:val="both"/>
        <w:rPr>
          <w:rFonts w:ascii="Palatino Linotype" w:eastAsia="Palatino Linotype" w:hAnsi="Palatino Linotype" w:cs="Palatino Linotype"/>
          <w:b/>
        </w:rPr>
      </w:pPr>
      <w:r w:rsidRPr="00D95EEE">
        <w:rPr>
          <w:rFonts w:ascii="Palatino Linotype" w:eastAsia="Palatino Linotype" w:hAnsi="Palatino Linotype" w:cs="Palatino Linotype"/>
          <w:b/>
        </w:rPr>
        <w:t xml:space="preserve">ACTO IMPUGNADO: </w:t>
      </w:r>
    </w:p>
    <w:p w:rsidR="00CB1566" w:rsidRPr="00D95EEE" w:rsidRDefault="00CB1566" w:rsidP="00D95EEE">
      <w:pPr>
        <w:spacing w:line="360" w:lineRule="auto"/>
        <w:ind w:left="360" w:right="616" w:firstLine="360"/>
        <w:jc w:val="both"/>
        <w:rPr>
          <w:rFonts w:ascii="Palatino Linotype" w:eastAsia="Palatino Linotype" w:hAnsi="Palatino Linotype" w:cs="Palatino Linotype"/>
          <w:i/>
        </w:rPr>
      </w:pPr>
      <w:r w:rsidRPr="00D95EEE">
        <w:rPr>
          <w:rFonts w:ascii="Palatino Linotype" w:eastAsia="Palatino Linotype" w:hAnsi="Palatino Linotype" w:cs="Palatino Linotype"/>
          <w:i/>
        </w:rPr>
        <w:t>“</w:t>
      </w:r>
      <w:r w:rsidR="000A0BD7" w:rsidRPr="00D95EEE">
        <w:rPr>
          <w:rFonts w:ascii="Palatino Linotype" w:eastAsia="Palatino Linotype" w:hAnsi="Palatino Linotype" w:cs="Palatino Linotype"/>
          <w:i/>
        </w:rPr>
        <w:t>SOLICITO EVIDENCIA FOTOGRAFICA DECADA UNO DE LAS AREAS QUE DEBEN TENER EL AVISO DE PRIVACIDAD DE TRATAMIENTO DE DATOS PERSONALES, ASISTI A LA DIRECCION DE DESARROLLO ECONOMICO Y EN NINGUN LUGAR ESTAR VISIBLE COMO EN OTRAS AREAS, ENTONCES SOLICITO A ESTA DIRECCION MUESTRA EVIDENCIA DE QUE TODAS SUS AREAS LO TIENEN COLOCADO</w:t>
      </w:r>
      <w:r w:rsidR="009F6E27" w:rsidRPr="00D95EEE">
        <w:rPr>
          <w:rFonts w:ascii="Palatino Linotype" w:eastAsia="Palatino Linotype" w:hAnsi="Palatino Linotype" w:cs="Palatino Linotype"/>
          <w:i/>
        </w:rPr>
        <w:t>”</w:t>
      </w:r>
    </w:p>
    <w:p w:rsidR="00CB1566" w:rsidRPr="00D95EEE" w:rsidRDefault="00CB1566" w:rsidP="00D95EEE">
      <w:pPr>
        <w:tabs>
          <w:tab w:val="left" w:pos="2745"/>
        </w:tabs>
        <w:spacing w:line="360" w:lineRule="auto"/>
        <w:ind w:right="616"/>
        <w:jc w:val="both"/>
        <w:rPr>
          <w:rFonts w:ascii="Palatino Linotype" w:eastAsia="Palatino Linotype" w:hAnsi="Palatino Linotype" w:cs="Palatino Linotype"/>
          <w:i/>
        </w:rPr>
      </w:pPr>
    </w:p>
    <w:p w:rsidR="00CB1566" w:rsidRPr="00D95EEE" w:rsidRDefault="00D95EEE" w:rsidP="00D95EEE">
      <w:pPr>
        <w:pStyle w:val="Prrafodelista"/>
        <w:numPr>
          <w:ilvl w:val="0"/>
          <w:numId w:val="45"/>
        </w:numPr>
        <w:spacing w:line="360" w:lineRule="auto"/>
        <w:ind w:right="616"/>
        <w:jc w:val="both"/>
        <w:rPr>
          <w:rFonts w:ascii="Palatino Linotype" w:eastAsia="Palatino Linotype" w:hAnsi="Palatino Linotype" w:cs="Palatino Linotype"/>
        </w:rPr>
      </w:pPr>
      <w:bookmarkStart w:id="2" w:name="_heading=h.30j0zll" w:colFirst="0" w:colLast="0"/>
      <w:bookmarkEnd w:id="2"/>
      <w:r w:rsidRPr="00D95EEE">
        <w:rPr>
          <w:rFonts w:ascii="Palatino Linotype" w:eastAsia="Palatino Linotype" w:hAnsi="Palatino Linotype" w:cs="Palatino Linotype"/>
          <w:b/>
        </w:rPr>
        <w:t>RAZONES O MOTIVOS DE INCONFORMIDAD</w:t>
      </w:r>
      <w:r w:rsidRPr="00D95EEE">
        <w:rPr>
          <w:rFonts w:ascii="Palatino Linotype" w:eastAsia="Palatino Linotype" w:hAnsi="Palatino Linotype" w:cs="Palatino Linotype"/>
        </w:rPr>
        <w:t>:</w:t>
      </w:r>
    </w:p>
    <w:p w:rsidR="00CB1566" w:rsidRPr="00D95EEE" w:rsidRDefault="00CB1566" w:rsidP="00D95EEE">
      <w:pPr>
        <w:spacing w:line="360" w:lineRule="auto"/>
        <w:ind w:left="360" w:right="616" w:firstLine="360"/>
        <w:jc w:val="both"/>
        <w:rPr>
          <w:rFonts w:ascii="Palatino Linotype" w:eastAsia="Palatino Linotype" w:hAnsi="Palatino Linotype" w:cs="Palatino Linotype"/>
          <w:i/>
        </w:rPr>
      </w:pPr>
      <w:r w:rsidRPr="00D95EEE">
        <w:rPr>
          <w:rFonts w:ascii="Palatino Linotype" w:eastAsia="Palatino Linotype" w:hAnsi="Palatino Linotype" w:cs="Palatino Linotype"/>
          <w:i/>
        </w:rPr>
        <w:t>“</w:t>
      </w:r>
      <w:r w:rsidR="000A0BD7" w:rsidRPr="00D95EEE">
        <w:rPr>
          <w:rFonts w:ascii="Palatino Linotype" w:eastAsia="Palatino Linotype" w:hAnsi="Palatino Linotype" w:cs="Palatino Linotype"/>
          <w:i/>
        </w:rPr>
        <w:t xml:space="preserve">FALTA EL DEPARTAMENTO DE ANUNCIOS PUBLICITARIOS Y CARGA Y DESCARGA , EL DEPARTAMENTO DE TURISMO, EMPRENDIMEINTO, LOS </w:t>
      </w:r>
      <w:r w:rsidR="000A0BD7" w:rsidRPr="00D95EEE">
        <w:rPr>
          <w:rFonts w:ascii="Palatino Linotype" w:eastAsia="Palatino Linotype" w:hAnsi="Palatino Linotype" w:cs="Palatino Linotype"/>
          <w:i/>
        </w:rPr>
        <w:lastRenderedPageBreak/>
        <w:t>NOMBRE DE LOS DEPARTAMENTO COMO TAL NO LOS CONOZCO POR LO MISMO QUE NO TIENEN COLOCADOS SUS AVISO</w:t>
      </w:r>
      <w:r w:rsidR="00252B9F" w:rsidRPr="00D95EEE">
        <w:rPr>
          <w:rFonts w:ascii="Palatino Linotype" w:eastAsia="Palatino Linotype" w:hAnsi="Palatino Linotype" w:cs="Palatino Linotype"/>
          <w:i/>
        </w:rPr>
        <w:t>”</w:t>
      </w:r>
    </w:p>
    <w:p w:rsidR="00AF6023" w:rsidRPr="00D95EEE" w:rsidRDefault="00AF6023" w:rsidP="00D13D4B">
      <w:pPr>
        <w:pBdr>
          <w:top w:val="nil"/>
          <w:left w:val="nil"/>
          <w:bottom w:val="nil"/>
          <w:right w:val="nil"/>
          <w:between w:val="nil"/>
        </w:pBdr>
        <w:spacing w:line="360" w:lineRule="auto"/>
        <w:ind w:left="709" w:right="49"/>
        <w:jc w:val="both"/>
        <w:rPr>
          <w:rFonts w:ascii="Palatino Linotype" w:eastAsia="Palatino Linotype" w:hAnsi="Palatino Linotype" w:cs="Palatino Linotype"/>
          <w:i/>
          <w:color w:val="000000"/>
        </w:rPr>
      </w:pPr>
    </w:p>
    <w:p w:rsidR="00B84DF1" w:rsidRPr="00D95EEE" w:rsidRDefault="00CB1566" w:rsidP="00D13D4B">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D95EEE">
        <w:rPr>
          <w:rFonts w:ascii="Palatino Linotype" w:eastAsia="Palatino Linotype" w:hAnsi="Palatino Linotype" w:cs="Palatino Linotype"/>
        </w:rPr>
        <w:t>Con fecha</w:t>
      </w:r>
      <w:r w:rsidRPr="00D95EEE">
        <w:rPr>
          <w:rFonts w:ascii="Palatino Linotype" w:eastAsia="Palatino Linotype" w:hAnsi="Palatino Linotype" w:cs="Palatino Linotype"/>
          <w:b/>
        </w:rPr>
        <w:t xml:space="preserve"> </w:t>
      </w:r>
      <w:r w:rsidR="000A0BD7" w:rsidRPr="00D95EEE">
        <w:rPr>
          <w:rFonts w:ascii="Palatino Linotype" w:eastAsia="Palatino Linotype" w:hAnsi="Palatino Linotype" w:cs="Palatino Linotype"/>
          <w:b/>
        </w:rPr>
        <w:t>dieciséis de diciembre de</w:t>
      </w:r>
      <w:r w:rsidR="0090156E" w:rsidRPr="00D95EEE">
        <w:rPr>
          <w:rFonts w:ascii="Palatino Linotype" w:eastAsia="Palatino Linotype" w:hAnsi="Palatino Linotype" w:cs="Palatino Linotype"/>
          <w:b/>
        </w:rPr>
        <w:t xml:space="preserve"> </w:t>
      </w:r>
      <w:r w:rsidRPr="00D95EEE">
        <w:rPr>
          <w:rFonts w:ascii="Palatino Linotype" w:eastAsia="Palatino Linotype" w:hAnsi="Palatino Linotype" w:cs="Palatino Linotype"/>
          <w:b/>
        </w:rPr>
        <w:t xml:space="preserve">dos mil veinticinco, </w:t>
      </w:r>
      <w:r w:rsidRPr="00D95EEE">
        <w:rPr>
          <w:rFonts w:ascii="Palatino Linotype" w:eastAsia="Palatino Linotype" w:hAnsi="Palatino Linotype" w:cs="Palatino Linotype"/>
        </w:rPr>
        <w:t xml:space="preserve">este Instituto de Transparencia, Acceso a la Información Pública y Protección de Datos Personales del Estado de México y Municipios, admitió a trámite el recurso de revisión que ahora se resuelve, dando un plazo máximo de siete días hábiles para que las partes manifestaran lo que a su derecho resultara conveniente, ofrecieran pruebas, formularan alegatos y el </w:t>
      </w:r>
      <w:r w:rsidRPr="00D95EEE">
        <w:rPr>
          <w:rFonts w:ascii="Palatino Linotype" w:eastAsia="Palatino Linotype" w:hAnsi="Palatino Linotype" w:cs="Palatino Linotype"/>
          <w:b/>
        </w:rPr>
        <w:t xml:space="preserve">Sujeto Obligado </w:t>
      </w:r>
      <w:r w:rsidRPr="00D95EEE">
        <w:rPr>
          <w:rFonts w:ascii="Palatino Linotype" w:eastAsia="Palatino Linotype" w:hAnsi="Palatino Linotype" w:cs="Palatino Linotype"/>
        </w:rPr>
        <w:t>presentara su informe justificado.</w:t>
      </w:r>
    </w:p>
    <w:p w:rsidR="00C273BD" w:rsidRPr="00D95EEE" w:rsidRDefault="00C273BD" w:rsidP="00D13D4B">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rsidR="00B84DF1" w:rsidRPr="00D95EEE" w:rsidRDefault="00760330" w:rsidP="000A0BD7">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b/>
          <w:color w:val="000000"/>
        </w:rPr>
      </w:pPr>
      <w:r w:rsidRPr="00D95EEE">
        <w:rPr>
          <w:rFonts w:ascii="Palatino Linotype" w:eastAsia="Palatino Linotype" w:hAnsi="Palatino Linotype" w:cs="Palatino Linotype"/>
          <w:color w:val="000000"/>
        </w:rPr>
        <w:t>E</w:t>
      </w:r>
      <w:r w:rsidR="00874872" w:rsidRPr="00D95EEE">
        <w:rPr>
          <w:rFonts w:ascii="Palatino Linotype" w:eastAsia="Palatino Linotype" w:hAnsi="Palatino Linotype" w:cs="Palatino Linotype"/>
          <w:color w:val="000000"/>
        </w:rPr>
        <w:t>l</w:t>
      </w:r>
      <w:r w:rsidR="00874872" w:rsidRPr="00D95EEE">
        <w:rPr>
          <w:rFonts w:ascii="Palatino Linotype" w:eastAsia="Palatino Linotype" w:hAnsi="Palatino Linotype" w:cs="Palatino Linotype"/>
          <w:b/>
          <w:color w:val="000000"/>
        </w:rPr>
        <w:t xml:space="preserve"> SUJETO </w:t>
      </w:r>
      <w:r w:rsidR="00874872" w:rsidRPr="00D95EEE">
        <w:rPr>
          <w:rFonts w:ascii="Palatino Linotype" w:eastAsia="Palatino Linotype" w:hAnsi="Palatino Linotype" w:cs="Palatino Linotype"/>
          <w:b/>
        </w:rPr>
        <w:t>OBLIGADO</w:t>
      </w:r>
      <w:r w:rsidR="00874872" w:rsidRPr="00D95EEE">
        <w:rPr>
          <w:rFonts w:ascii="Palatino Linotype" w:eastAsia="Palatino Linotype" w:hAnsi="Palatino Linotype" w:cs="Palatino Linotype"/>
          <w:b/>
          <w:color w:val="000000"/>
        </w:rPr>
        <w:t xml:space="preserve"> </w:t>
      </w:r>
      <w:r w:rsidR="008D2D54" w:rsidRPr="00D95EEE">
        <w:rPr>
          <w:rFonts w:ascii="Palatino Linotype" w:eastAsia="Palatino Linotype" w:hAnsi="Palatino Linotype" w:cs="Palatino Linotype"/>
          <w:color w:val="000000"/>
        </w:rPr>
        <w:t>e</w:t>
      </w:r>
      <w:r w:rsidR="002A5587" w:rsidRPr="00D95EEE">
        <w:rPr>
          <w:rFonts w:ascii="Palatino Linotype" w:eastAsia="Palatino Linotype" w:hAnsi="Palatino Linotype" w:cs="Palatino Linotype"/>
          <w:color w:val="000000"/>
        </w:rPr>
        <w:t>l</w:t>
      </w:r>
      <w:r w:rsidR="008D2D54" w:rsidRPr="00D95EEE">
        <w:rPr>
          <w:rFonts w:ascii="Palatino Linotype" w:eastAsia="Palatino Linotype" w:hAnsi="Palatino Linotype" w:cs="Palatino Linotype"/>
          <w:color w:val="000000"/>
        </w:rPr>
        <w:t xml:space="preserve"> día </w:t>
      </w:r>
      <w:r w:rsidR="000A0BD7" w:rsidRPr="00D95EEE">
        <w:rPr>
          <w:rFonts w:ascii="Palatino Linotype" w:eastAsia="Palatino Linotype" w:hAnsi="Palatino Linotype" w:cs="Palatino Linotype"/>
          <w:b/>
          <w:color w:val="000000"/>
        </w:rPr>
        <w:t>quin</w:t>
      </w:r>
      <w:r w:rsidR="00763456" w:rsidRPr="00D95EEE">
        <w:rPr>
          <w:rFonts w:ascii="Palatino Linotype" w:eastAsia="Palatino Linotype" w:hAnsi="Palatino Linotype" w:cs="Palatino Linotype"/>
          <w:b/>
          <w:color w:val="000000"/>
        </w:rPr>
        <w:t>ce de enero</w:t>
      </w:r>
      <w:r w:rsidR="002A5587" w:rsidRPr="00D95EEE">
        <w:rPr>
          <w:rFonts w:ascii="Palatino Linotype" w:eastAsia="Palatino Linotype" w:hAnsi="Palatino Linotype" w:cs="Palatino Linotype"/>
          <w:b/>
          <w:color w:val="000000"/>
        </w:rPr>
        <w:t xml:space="preserve"> de dos mil </w:t>
      </w:r>
      <w:r w:rsidR="0044042A" w:rsidRPr="00D95EEE">
        <w:rPr>
          <w:rFonts w:ascii="Palatino Linotype" w:eastAsia="Palatino Linotype" w:hAnsi="Palatino Linotype" w:cs="Palatino Linotype"/>
          <w:b/>
          <w:color w:val="000000"/>
        </w:rPr>
        <w:t>veinticinco</w:t>
      </w:r>
      <w:r w:rsidR="008D2D54" w:rsidRPr="00D95EEE">
        <w:rPr>
          <w:rFonts w:ascii="Palatino Linotype" w:eastAsia="Palatino Linotype" w:hAnsi="Palatino Linotype" w:cs="Palatino Linotype"/>
          <w:b/>
          <w:color w:val="000000"/>
        </w:rPr>
        <w:t xml:space="preserve"> </w:t>
      </w:r>
      <w:r w:rsidR="008D2D54" w:rsidRPr="00D95EEE">
        <w:rPr>
          <w:rFonts w:ascii="Palatino Linotype" w:eastAsia="Palatino Linotype" w:hAnsi="Palatino Linotype" w:cs="Palatino Linotype"/>
          <w:color w:val="000000"/>
        </w:rPr>
        <w:t>rindió info</w:t>
      </w:r>
      <w:r w:rsidR="002A5587" w:rsidRPr="00D95EEE">
        <w:rPr>
          <w:rFonts w:ascii="Palatino Linotype" w:eastAsia="Palatino Linotype" w:hAnsi="Palatino Linotype" w:cs="Palatino Linotype"/>
          <w:color w:val="000000"/>
        </w:rPr>
        <w:t xml:space="preserve">rme justificado por medio de </w:t>
      </w:r>
      <w:r w:rsidR="00763456" w:rsidRPr="00D95EEE">
        <w:rPr>
          <w:rFonts w:ascii="Palatino Linotype" w:eastAsia="Palatino Linotype" w:hAnsi="Palatino Linotype" w:cs="Palatino Linotype"/>
          <w:color w:val="000000"/>
        </w:rPr>
        <w:t xml:space="preserve">dos archivos denominados </w:t>
      </w:r>
      <w:r w:rsidR="000A0BD7" w:rsidRPr="00D95EEE">
        <w:rPr>
          <w:rFonts w:ascii="Palatino Linotype" w:eastAsia="Palatino Linotype" w:hAnsi="Palatino Linotype" w:cs="Palatino Linotype"/>
          <w:i/>
          <w:color w:val="000000"/>
        </w:rPr>
        <w:t>Informe Justificado RR 14133.pdf,</w:t>
      </w:r>
      <w:r w:rsidR="00763456" w:rsidRPr="00D95EEE">
        <w:rPr>
          <w:rFonts w:ascii="Palatino Linotype" w:eastAsia="Palatino Linotype" w:hAnsi="Palatino Linotype" w:cs="Palatino Linotype"/>
          <w:color w:val="000000"/>
        </w:rPr>
        <w:t xml:space="preserve"> que contienen un oficio suscrito por </w:t>
      </w:r>
      <w:r w:rsidR="000A0BD7" w:rsidRPr="00D95EEE">
        <w:rPr>
          <w:rFonts w:ascii="Palatino Linotype" w:eastAsia="Palatino Linotype" w:hAnsi="Palatino Linotype" w:cs="Palatino Linotype"/>
          <w:color w:val="000000"/>
        </w:rPr>
        <w:t>el Titular de la Unidad de Transparencia</w:t>
      </w:r>
      <w:r w:rsidR="005B7E55" w:rsidRPr="00D95EEE">
        <w:rPr>
          <w:rFonts w:ascii="Palatino Linotype" w:eastAsia="Palatino Linotype" w:hAnsi="Palatino Linotype" w:cs="Palatino Linotype"/>
          <w:color w:val="000000"/>
        </w:rPr>
        <w:t xml:space="preserve"> a través del cual confirma su respuesta inicial y de manera adicional remite evidencia fotográfica de las unidades administrativas que se hacen alusión en el escrito recursal.</w:t>
      </w:r>
    </w:p>
    <w:p w:rsidR="00D95EEE" w:rsidRDefault="00D95EEE" w:rsidP="00D95EEE">
      <w:pPr>
        <w:pStyle w:val="Prrafodelista"/>
        <w:rPr>
          <w:rFonts w:ascii="Palatino Linotype" w:eastAsia="Palatino Linotype" w:hAnsi="Palatino Linotype" w:cs="Palatino Linotype"/>
          <w:b/>
          <w:color w:val="000000"/>
        </w:rPr>
      </w:pPr>
    </w:p>
    <w:p w:rsidR="00D95EEE" w:rsidRPr="00D95EEE" w:rsidRDefault="00D95EEE" w:rsidP="00D95EEE">
      <w:pPr>
        <w:pBdr>
          <w:top w:val="nil"/>
          <w:left w:val="nil"/>
          <w:bottom w:val="nil"/>
          <w:right w:val="nil"/>
          <w:between w:val="nil"/>
        </w:pBdr>
        <w:spacing w:line="360" w:lineRule="auto"/>
        <w:ind w:right="49"/>
        <w:jc w:val="both"/>
        <w:rPr>
          <w:rFonts w:ascii="Palatino Linotype" w:eastAsia="Palatino Linotype" w:hAnsi="Palatino Linotype" w:cs="Palatino Linotype"/>
          <w:b/>
          <w:color w:val="000000"/>
        </w:rPr>
      </w:pPr>
    </w:p>
    <w:p w:rsidR="00B84DF1" w:rsidRPr="00D95EEE" w:rsidRDefault="009D3673" w:rsidP="00D13D4B">
      <w:pPr>
        <w:pBdr>
          <w:top w:val="nil"/>
          <w:left w:val="nil"/>
          <w:bottom w:val="nil"/>
          <w:right w:val="nil"/>
          <w:between w:val="nil"/>
        </w:pBdr>
        <w:spacing w:line="360" w:lineRule="auto"/>
        <w:ind w:right="49"/>
        <w:jc w:val="center"/>
        <w:rPr>
          <w:rFonts w:ascii="Palatino Linotype" w:eastAsia="Palatino Linotype" w:hAnsi="Palatino Linotype" w:cs="Palatino Linotype"/>
          <w:b/>
          <w:color w:val="000000"/>
        </w:rPr>
      </w:pPr>
      <w:r w:rsidRPr="00D95EEE">
        <w:rPr>
          <w:rFonts w:ascii="Palatino Linotype" w:eastAsia="Palatino Linotype" w:hAnsi="Palatino Linotype" w:cs="Palatino Linotype"/>
          <w:b/>
          <w:color w:val="000000"/>
        </w:rPr>
        <w:t>C O N S I D E R A C I O N E S</w:t>
      </w:r>
    </w:p>
    <w:p w:rsidR="00B84DF1" w:rsidRPr="00D95EEE" w:rsidRDefault="00B84DF1" w:rsidP="00D13D4B">
      <w:pPr>
        <w:pBdr>
          <w:top w:val="nil"/>
          <w:left w:val="nil"/>
          <w:bottom w:val="nil"/>
          <w:right w:val="nil"/>
          <w:between w:val="nil"/>
        </w:pBdr>
        <w:spacing w:line="360" w:lineRule="auto"/>
        <w:ind w:right="49"/>
        <w:jc w:val="center"/>
        <w:rPr>
          <w:rFonts w:ascii="Palatino Linotype" w:eastAsia="Palatino Linotype" w:hAnsi="Palatino Linotype" w:cs="Palatino Linotype"/>
          <w:b/>
          <w:color w:val="000000"/>
        </w:rPr>
      </w:pPr>
    </w:p>
    <w:p w:rsidR="00B84DF1" w:rsidRPr="00D95EEE" w:rsidRDefault="003B59FA" w:rsidP="00D13D4B">
      <w:pPr>
        <w:pStyle w:val="Ttulo2"/>
        <w:spacing w:before="0" w:line="360" w:lineRule="auto"/>
        <w:ind w:right="49"/>
        <w:rPr>
          <w:rFonts w:ascii="Palatino Linotype" w:eastAsia="Palatino Linotype" w:hAnsi="Palatino Linotype" w:cs="Palatino Linotype"/>
          <w:b/>
          <w:color w:val="000000"/>
          <w:sz w:val="24"/>
          <w:szCs w:val="24"/>
        </w:rPr>
      </w:pPr>
      <w:bookmarkStart w:id="3" w:name="_heading=h.3znysh7" w:colFirst="0" w:colLast="0"/>
      <w:bookmarkEnd w:id="3"/>
      <w:r w:rsidRPr="00D95EEE">
        <w:rPr>
          <w:rFonts w:ascii="Palatino Linotype" w:eastAsia="Palatino Linotype" w:hAnsi="Palatino Linotype" w:cs="Palatino Linotype"/>
          <w:b/>
          <w:color w:val="000000"/>
          <w:sz w:val="24"/>
          <w:szCs w:val="24"/>
        </w:rPr>
        <w:t>PRIMERO</w:t>
      </w:r>
      <w:r w:rsidR="009D3673" w:rsidRPr="00D95EEE">
        <w:rPr>
          <w:rFonts w:ascii="Palatino Linotype" w:eastAsia="Palatino Linotype" w:hAnsi="Palatino Linotype" w:cs="Palatino Linotype"/>
          <w:b/>
          <w:color w:val="000000"/>
          <w:sz w:val="24"/>
          <w:szCs w:val="24"/>
        </w:rPr>
        <w:t>. Competencia</w:t>
      </w:r>
    </w:p>
    <w:p w:rsidR="00B84DF1" w:rsidRPr="00D95EEE" w:rsidRDefault="0090156E" w:rsidP="00D13D4B">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D95EEE">
        <w:rPr>
          <w:rFonts w:ascii="Palatino Linotype" w:eastAsia="Palatino Linotype" w:hAnsi="Palatino Linotype" w:cs="Palatino Linotype"/>
          <w:color w:val="000000"/>
        </w:rPr>
        <w:t xml:space="preserve">Este Instituto de Transparencia, Acceso a la Información Pública y Protección de Datos Personales del Estado de México y Municipios es competente para conocer y resolver el presente Recurso de Revisión, conforme a lo dispuesto en el artículo 5, párrafos </w:t>
      </w:r>
      <w:r w:rsidRPr="00D95EEE">
        <w:rPr>
          <w:rFonts w:ascii="Palatino Linotype" w:eastAsia="Palatino Linotype" w:hAnsi="Palatino Linotype" w:cs="Palatino Linotype"/>
        </w:rPr>
        <w:t>trigésimo</w:t>
      </w:r>
      <w:r w:rsidRPr="00D95EEE">
        <w:rPr>
          <w:rFonts w:ascii="Palatino Linotype" w:eastAsia="Palatino Linotype" w:hAnsi="Palatino Linotype" w:cs="Palatino Linotype"/>
          <w:color w:val="000000"/>
        </w:rPr>
        <w:t xml:space="preserve"> séptimo, trigésimo octavo y trigésimo noveno fracciones IV y V de la Constitución Política </w:t>
      </w:r>
      <w:r w:rsidRPr="00D95EEE">
        <w:rPr>
          <w:rFonts w:ascii="Palatino Linotype" w:eastAsia="Palatino Linotype" w:hAnsi="Palatino Linotype" w:cs="Palatino Linotype"/>
          <w:color w:val="000000"/>
        </w:rPr>
        <w:lastRenderedPageBreak/>
        <w:t>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6535A3" w:rsidRPr="00D95EEE" w:rsidRDefault="006535A3" w:rsidP="00D13D4B">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rsidR="00B84DF1" w:rsidRPr="00D95EEE" w:rsidRDefault="009D3673" w:rsidP="00D13D4B">
      <w:pPr>
        <w:pStyle w:val="Ttulo2"/>
        <w:spacing w:before="0" w:line="360" w:lineRule="auto"/>
        <w:ind w:right="49"/>
        <w:rPr>
          <w:rFonts w:ascii="Palatino Linotype" w:eastAsia="Palatino Linotype" w:hAnsi="Palatino Linotype" w:cs="Palatino Linotype"/>
          <w:b/>
          <w:color w:val="000000"/>
          <w:sz w:val="24"/>
          <w:szCs w:val="24"/>
        </w:rPr>
      </w:pPr>
      <w:bookmarkStart w:id="4" w:name="_heading=h.2et92p0" w:colFirst="0" w:colLast="0"/>
      <w:bookmarkEnd w:id="4"/>
      <w:r w:rsidRPr="00D95EEE">
        <w:rPr>
          <w:rFonts w:ascii="Palatino Linotype" w:eastAsia="Palatino Linotype" w:hAnsi="Palatino Linotype" w:cs="Palatino Linotype"/>
          <w:b/>
          <w:color w:val="000000"/>
          <w:sz w:val="24"/>
          <w:szCs w:val="24"/>
        </w:rPr>
        <w:t>SEGUND</w:t>
      </w:r>
      <w:r w:rsidR="003B59FA" w:rsidRPr="00D95EEE">
        <w:rPr>
          <w:rFonts w:ascii="Palatino Linotype" w:eastAsia="Palatino Linotype" w:hAnsi="Palatino Linotype" w:cs="Palatino Linotype"/>
          <w:b/>
          <w:color w:val="000000"/>
          <w:sz w:val="24"/>
          <w:szCs w:val="24"/>
        </w:rPr>
        <w:t>O</w:t>
      </w:r>
      <w:r w:rsidRPr="00D95EEE">
        <w:rPr>
          <w:rFonts w:ascii="Palatino Linotype" w:eastAsia="Palatino Linotype" w:hAnsi="Palatino Linotype" w:cs="Palatino Linotype"/>
          <w:b/>
          <w:color w:val="000000"/>
          <w:sz w:val="24"/>
          <w:szCs w:val="24"/>
        </w:rPr>
        <w:t>. Procedencia.</w:t>
      </w:r>
    </w:p>
    <w:p w:rsidR="00B84DF1" w:rsidRPr="00D95EEE" w:rsidRDefault="009D3673" w:rsidP="00D13D4B">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D95EEE">
        <w:rPr>
          <w:rFonts w:ascii="Palatino Linotype" w:eastAsia="Palatino Linotype" w:hAnsi="Palatino Linotype" w:cs="Palatino Linotype"/>
        </w:rPr>
        <w:t xml:space="preserve">Este Órgano Garante considera que el medio de impugnación reúne los requisitos de </w:t>
      </w:r>
      <w:r w:rsidRPr="00D95EEE">
        <w:rPr>
          <w:rFonts w:ascii="Palatino Linotype" w:eastAsia="Palatino Linotype" w:hAnsi="Palatino Linotype" w:cs="Palatino Linotype"/>
          <w:color w:val="000000"/>
        </w:rPr>
        <w:t>procedencia</w:t>
      </w:r>
      <w:r w:rsidRPr="00D95EEE">
        <w:rPr>
          <w:rFonts w:ascii="Palatino Linotype" w:eastAsia="Palatino Linotype" w:hAnsi="Palatino Linotype" w:cs="Palatino Linotype"/>
        </w:rPr>
        <w:t xml:space="preserve"> </w:t>
      </w:r>
      <w:r w:rsidRPr="00D95EEE">
        <w:rPr>
          <w:rFonts w:ascii="Palatino Linotype" w:eastAsia="Palatino Linotype" w:hAnsi="Palatino Linotype" w:cs="Palatino Linotype"/>
          <w:color w:val="000000"/>
        </w:rPr>
        <w:t>toda vez que el recurso fue presentado dentro del plazo establecido en el artículo 178 de la Ley de Transparencia y Acceso a la Información Pública del Estado de México y Municipios; asimismo no se tiene conocimiento de que se encuentre en trámite algún medio de defensa presentado por el Recurrente ante otra instancia.</w:t>
      </w:r>
    </w:p>
    <w:p w:rsidR="00D95EEE" w:rsidRPr="00D95EEE" w:rsidRDefault="00D95EEE" w:rsidP="00D95EEE">
      <w:pPr>
        <w:pBdr>
          <w:top w:val="nil"/>
          <w:left w:val="nil"/>
          <w:bottom w:val="nil"/>
          <w:right w:val="nil"/>
          <w:between w:val="nil"/>
        </w:pBdr>
        <w:spacing w:line="360" w:lineRule="auto"/>
        <w:ind w:right="49"/>
        <w:jc w:val="both"/>
        <w:rPr>
          <w:rFonts w:ascii="Palatino Linotype" w:eastAsia="Palatino Linotype" w:hAnsi="Palatino Linotype" w:cs="Palatino Linotype"/>
        </w:rPr>
      </w:pPr>
    </w:p>
    <w:p w:rsidR="00B84DF1" w:rsidRPr="00D95EEE" w:rsidRDefault="009D3673" w:rsidP="00D13D4B">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D95EEE">
        <w:rPr>
          <w:rFonts w:ascii="Palatino Linotype" w:eastAsia="Palatino Linotype" w:hAnsi="Palatino Linotype" w:cs="Palatino Linotype"/>
        </w:rPr>
        <w:t xml:space="preserve">Finalmente, el escrito contiene las formalidades previstas por el artículo 180 último </w:t>
      </w:r>
      <w:r w:rsidR="00A227E2" w:rsidRPr="00D95EEE">
        <w:rPr>
          <w:rFonts w:ascii="Palatino Linotype" w:eastAsia="Palatino Linotype" w:hAnsi="Palatino Linotype" w:cs="Palatino Linotype"/>
        </w:rPr>
        <w:t>párrafo de la citada Ley de la M</w:t>
      </w:r>
      <w:r w:rsidRPr="00D95EEE">
        <w:rPr>
          <w:rFonts w:ascii="Palatino Linotype" w:eastAsia="Palatino Linotype" w:hAnsi="Palatino Linotype" w:cs="Palatino Linotype"/>
        </w:rPr>
        <w:t>ateria, por lo que es procedente que este Instituto conozca y resuelva el presente Recurso de Revisión.</w:t>
      </w:r>
    </w:p>
    <w:p w:rsidR="00B84DF1" w:rsidRPr="00D95EEE" w:rsidRDefault="00B84DF1" w:rsidP="00D13D4B">
      <w:pPr>
        <w:pBdr>
          <w:top w:val="nil"/>
          <w:left w:val="nil"/>
          <w:bottom w:val="nil"/>
          <w:right w:val="nil"/>
          <w:between w:val="nil"/>
        </w:pBdr>
        <w:spacing w:line="360" w:lineRule="auto"/>
        <w:ind w:right="49"/>
        <w:rPr>
          <w:rFonts w:ascii="Palatino Linotype" w:eastAsia="Palatino Linotype" w:hAnsi="Palatino Linotype" w:cs="Palatino Linotype"/>
          <w:color w:val="000000"/>
        </w:rPr>
      </w:pPr>
    </w:p>
    <w:p w:rsidR="00313EA6" w:rsidRPr="00D95EEE" w:rsidRDefault="00313EA6" w:rsidP="00D13D4B">
      <w:pPr>
        <w:pStyle w:val="Ttulo2"/>
        <w:tabs>
          <w:tab w:val="left" w:pos="284"/>
          <w:tab w:val="left" w:pos="426"/>
        </w:tabs>
        <w:spacing w:before="0" w:line="360" w:lineRule="auto"/>
        <w:rPr>
          <w:rFonts w:ascii="Palatino Linotype" w:hAnsi="Palatino Linotype"/>
          <w:b/>
          <w:bCs/>
          <w:color w:val="000000" w:themeColor="text1"/>
          <w:sz w:val="24"/>
          <w:szCs w:val="24"/>
        </w:rPr>
      </w:pPr>
      <w:bookmarkStart w:id="5" w:name="_heading=h.tyjcwt" w:colFirst="0" w:colLast="0"/>
      <w:bookmarkStart w:id="6" w:name="_Toc500360400"/>
      <w:bookmarkStart w:id="7" w:name="_Toc81233127"/>
      <w:bookmarkStart w:id="8" w:name="_Toc459174366"/>
      <w:bookmarkStart w:id="9" w:name="_Toc459659884"/>
      <w:bookmarkStart w:id="10" w:name="_Toc461687280"/>
      <w:bookmarkStart w:id="11" w:name="_Toc462771051"/>
      <w:bookmarkStart w:id="12" w:name="_Toc464139201"/>
      <w:bookmarkStart w:id="13" w:name="_Toc495427545"/>
      <w:bookmarkStart w:id="14" w:name="_Toc499296549"/>
      <w:bookmarkEnd w:id="5"/>
      <w:r w:rsidRPr="00D95EEE">
        <w:rPr>
          <w:rFonts w:ascii="Palatino Linotype" w:hAnsi="Palatino Linotype"/>
          <w:b/>
          <w:bCs/>
          <w:color w:val="000000" w:themeColor="text1"/>
          <w:sz w:val="24"/>
          <w:szCs w:val="24"/>
        </w:rPr>
        <w:t xml:space="preserve">TERCERO. </w:t>
      </w:r>
      <w:bookmarkEnd w:id="6"/>
      <w:bookmarkEnd w:id="7"/>
      <w:r w:rsidRPr="00D95EEE">
        <w:rPr>
          <w:rFonts w:ascii="Palatino Linotype" w:hAnsi="Palatino Linotype"/>
          <w:b/>
          <w:bCs/>
          <w:color w:val="000000" w:themeColor="text1"/>
          <w:sz w:val="24"/>
          <w:szCs w:val="24"/>
        </w:rPr>
        <w:t>De</w:t>
      </w:r>
      <w:r w:rsidR="0044042A" w:rsidRPr="00D95EEE">
        <w:rPr>
          <w:rFonts w:ascii="Palatino Linotype" w:hAnsi="Palatino Linotype"/>
          <w:b/>
          <w:bCs/>
          <w:color w:val="000000" w:themeColor="text1"/>
          <w:sz w:val="24"/>
          <w:szCs w:val="24"/>
        </w:rPr>
        <w:t xml:space="preserve"> las causales de sobreseimiento.</w:t>
      </w:r>
    </w:p>
    <w:p w:rsidR="00313EA6" w:rsidRPr="00D95EEE" w:rsidRDefault="00313EA6" w:rsidP="00D13D4B">
      <w:pPr>
        <w:numPr>
          <w:ilvl w:val="0"/>
          <w:numId w:val="1"/>
        </w:numPr>
        <w:pBdr>
          <w:top w:val="nil"/>
          <w:left w:val="nil"/>
          <w:bottom w:val="nil"/>
          <w:right w:val="nil"/>
          <w:between w:val="nil"/>
        </w:pBdr>
        <w:spacing w:line="360" w:lineRule="auto"/>
        <w:ind w:left="0" w:right="49" w:firstLine="0"/>
        <w:jc w:val="both"/>
        <w:rPr>
          <w:rFonts w:ascii="Palatino Linotype" w:hAnsi="Palatino Linotype"/>
        </w:rPr>
      </w:pPr>
      <w:r w:rsidRPr="00D95EEE">
        <w:rPr>
          <w:rFonts w:ascii="Palatino Linotype" w:hAnsi="Palatino Linotype"/>
        </w:rPr>
        <w:t xml:space="preserve">Se solicitó </w:t>
      </w:r>
      <w:r w:rsidRPr="00D95EEE">
        <w:rPr>
          <w:rFonts w:ascii="Palatino Linotype" w:eastAsia="Palatino Linotype" w:hAnsi="Palatino Linotype" w:cs="Palatino Linotype"/>
        </w:rPr>
        <w:t>tener</w:t>
      </w:r>
      <w:r w:rsidRPr="00D95EEE">
        <w:rPr>
          <w:rFonts w:ascii="Palatino Linotype" w:hAnsi="Palatino Linotype"/>
        </w:rPr>
        <w:t xml:space="preserve"> </w:t>
      </w:r>
      <w:r w:rsidRPr="00D95EEE">
        <w:rPr>
          <w:rFonts w:ascii="Palatino Linotype" w:eastAsia="Palatino Linotype" w:hAnsi="Palatino Linotype" w:cs="Palatino Linotype"/>
        </w:rPr>
        <w:t>acceso</w:t>
      </w:r>
      <w:r w:rsidRPr="00D95EEE">
        <w:rPr>
          <w:rFonts w:ascii="Palatino Linotype" w:hAnsi="Palatino Linotype"/>
        </w:rPr>
        <w:t>, a la información que a continuación se simplifica:</w:t>
      </w:r>
    </w:p>
    <w:p w:rsidR="009D0F55" w:rsidRPr="00D95EEE" w:rsidRDefault="005B7E55" w:rsidP="00A07391">
      <w:pPr>
        <w:pStyle w:val="Prrafodelista"/>
        <w:numPr>
          <w:ilvl w:val="0"/>
          <w:numId w:val="35"/>
        </w:numPr>
        <w:pBdr>
          <w:top w:val="nil"/>
          <w:left w:val="nil"/>
          <w:bottom w:val="nil"/>
          <w:right w:val="nil"/>
          <w:between w:val="nil"/>
        </w:pBdr>
        <w:spacing w:line="360" w:lineRule="auto"/>
        <w:ind w:right="567"/>
        <w:contextualSpacing w:val="0"/>
        <w:jc w:val="both"/>
        <w:rPr>
          <w:rFonts w:ascii="Palatino Linotype" w:eastAsia="Calibri" w:hAnsi="Palatino Linotype" w:cs="Arial"/>
          <w:b/>
          <w:lang w:val="es-AR"/>
        </w:rPr>
      </w:pPr>
      <w:r w:rsidRPr="00D95EEE">
        <w:rPr>
          <w:rFonts w:ascii="Palatino Linotype" w:eastAsia="Palatino Linotype" w:hAnsi="Palatino Linotype" w:cs="Palatino Linotype"/>
          <w:b/>
        </w:rPr>
        <w:t>Evidencia fotográfica de las áreas de la estructura orgánica que integran la Dirección de Desarrollo Económico que deben contar con aviso de privacidad de tratamiento de datos personales.</w:t>
      </w:r>
    </w:p>
    <w:p w:rsidR="005B7E55" w:rsidRPr="00D95EEE" w:rsidRDefault="005B7E55" w:rsidP="005B7E55">
      <w:pPr>
        <w:pStyle w:val="Prrafodelista"/>
        <w:pBdr>
          <w:top w:val="nil"/>
          <w:left w:val="nil"/>
          <w:bottom w:val="nil"/>
          <w:right w:val="nil"/>
          <w:between w:val="nil"/>
        </w:pBdr>
        <w:spacing w:line="360" w:lineRule="auto"/>
        <w:ind w:left="1080" w:right="567"/>
        <w:contextualSpacing w:val="0"/>
        <w:jc w:val="both"/>
        <w:rPr>
          <w:rFonts w:ascii="Palatino Linotype" w:eastAsia="Calibri" w:hAnsi="Palatino Linotype" w:cs="Arial"/>
          <w:b/>
          <w:lang w:val="es-AR"/>
        </w:rPr>
      </w:pPr>
    </w:p>
    <w:p w:rsidR="00313EA6" w:rsidRPr="00D95EEE" w:rsidRDefault="00313EA6" w:rsidP="00D13D4B">
      <w:pPr>
        <w:numPr>
          <w:ilvl w:val="0"/>
          <w:numId w:val="1"/>
        </w:numPr>
        <w:pBdr>
          <w:top w:val="nil"/>
          <w:left w:val="nil"/>
          <w:bottom w:val="nil"/>
          <w:right w:val="nil"/>
          <w:between w:val="nil"/>
        </w:pBdr>
        <w:spacing w:line="360" w:lineRule="auto"/>
        <w:ind w:left="0" w:right="49" w:firstLine="0"/>
        <w:jc w:val="both"/>
        <w:rPr>
          <w:rFonts w:ascii="Palatino Linotype" w:hAnsi="Palatino Linotype"/>
        </w:rPr>
      </w:pPr>
      <w:r w:rsidRPr="00D95EEE">
        <w:rPr>
          <w:rFonts w:ascii="Palatino Linotype" w:hAnsi="Palatino Linotype"/>
        </w:rPr>
        <w:lastRenderedPageBreak/>
        <w:t xml:space="preserve">Inconforme con la respuesta, el solicitante interpuso recurso de revisión </w:t>
      </w:r>
      <w:r w:rsidR="00945C3B" w:rsidRPr="00D95EEE">
        <w:rPr>
          <w:rFonts w:ascii="Palatino Linotype" w:hAnsi="Palatino Linotype"/>
        </w:rPr>
        <w:t xml:space="preserve">de manera general </w:t>
      </w:r>
      <w:r w:rsidR="00F11260" w:rsidRPr="00D95EEE">
        <w:rPr>
          <w:rFonts w:ascii="Palatino Linotype" w:hAnsi="Palatino Linotype"/>
        </w:rPr>
        <w:t>en contra de</w:t>
      </w:r>
      <w:r w:rsidR="00945C3B" w:rsidRPr="00D95EEE">
        <w:rPr>
          <w:rFonts w:ascii="Palatino Linotype" w:hAnsi="Palatino Linotype"/>
        </w:rPr>
        <w:t xml:space="preserve"> </w:t>
      </w:r>
      <w:r w:rsidR="00763456" w:rsidRPr="00D95EEE">
        <w:rPr>
          <w:rFonts w:ascii="Palatino Linotype" w:hAnsi="Palatino Linotype"/>
        </w:rPr>
        <w:t>la entrega de información incompleta</w:t>
      </w:r>
      <w:r w:rsidRPr="00D95EEE">
        <w:rPr>
          <w:rFonts w:ascii="Palatino Linotype" w:eastAsia="Palatino Linotype" w:hAnsi="Palatino Linotype" w:cs="Palatino Linotype"/>
          <w:color w:val="000000"/>
        </w:rPr>
        <w:t xml:space="preserve">. </w:t>
      </w:r>
      <w:r w:rsidRPr="00D95EEE">
        <w:rPr>
          <w:rFonts w:ascii="Palatino Linotype" w:hAnsi="Palatino Linotype"/>
        </w:rPr>
        <w:t>En dichas condiciones, la controversia a resolver en el presente proveído, corresponde a determinar si se actualiza la causal de procedencia previst</w:t>
      </w:r>
      <w:r w:rsidR="007147C0" w:rsidRPr="00D95EEE">
        <w:rPr>
          <w:rFonts w:ascii="Palatino Linotype" w:hAnsi="Palatino Linotype"/>
        </w:rPr>
        <w:t xml:space="preserve">a en el artículo 179, fracción </w:t>
      </w:r>
      <w:r w:rsidR="00763456" w:rsidRPr="00D95EEE">
        <w:rPr>
          <w:rFonts w:ascii="Palatino Linotype" w:hAnsi="Palatino Linotype"/>
        </w:rPr>
        <w:t>V</w:t>
      </w:r>
      <w:r w:rsidRPr="00D95EEE">
        <w:rPr>
          <w:rFonts w:ascii="Palatino Linotype" w:hAnsi="Palatino Linotype"/>
        </w:rPr>
        <w:t xml:space="preserve">, de la Ley de Transparencia y Acceso a la Información Pública del Estado de México y Municipios; fracción que determina la hipótesis relativa a la </w:t>
      </w:r>
      <w:r w:rsidR="00763456" w:rsidRPr="00D95EEE">
        <w:rPr>
          <w:rFonts w:ascii="Palatino Linotype" w:hAnsi="Palatino Linotype"/>
        </w:rPr>
        <w:t>entrega de información incompleta</w:t>
      </w:r>
      <w:r w:rsidR="00F11260" w:rsidRPr="00D95EEE">
        <w:rPr>
          <w:rFonts w:ascii="Palatino Linotype" w:hAnsi="Palatino Linotype"/>
        </w:rPr>
        <w:t>;</w:t>
      </w:r>
      <w:r w:rsidRPr="00D95EEE">
        <w:rPr>
          <w:rFonts w:ascii="Palatino Linotype" w:hAnsi="Palatino Linotype"/>
        </w:rPr>
        <w:t xml:space="preserve"> contexto del cual se dolió el Recurrente al momento de interponer su inconformidad. De modo tal que el presente recurso de revisión se abocará en determinar si el Sujeto Obligado con su respuesta ciertamente actualiza la causal de procedencia señalada. </w:t>
      </w:r>
    </w:p>
    <w:p w:rsidR="00313EA6" w:rsidRPr="00D95EEE" w:rsidRDefault="00313EA6" w:rsidP="00D13D4B">
      <w:pPr>
        <w:pStyle w:val="Prrafodelista"/>
        <w:spacing w:line="360" w:lineRule="auto"/>
        <w:rPr>
          <w:rFonts w:ascii="Palatino Linotype" w:hAnsi="Palatino Linotype"/>
        </w:rPr>
      </w:pPr>
    </w:p>
    <w:p w:rsidR="00313EA6" w:rsidRPr="00D95EEE" w:rsidRDefault="00313EA6" w:rsidP="00D13D4B">
      <w:pPr>
        <w:numPr>
          <w:ilvl w:val="0"/>
          <w:numId w:val="1"/>
        </w:numPr>
        <w:pBdr>
          <w:top w:val="nil"/>
          <w:left w:val="nil"/>
          <w:bottom w:val="nil"/>
          <w:right w:val="nil"/>
          <w:between w:val="nil"/>
        </w:pBdr>
        <w:spacing w:line="360" w:lineRule="auto"/>
        <w:ind w:left="0" w:right="49" w:firstLine="0"/>
        <w:jc w:val="both"/>
        <w:rPr>
          <w:rFonts w:ascii="Palatino Linotype" w:hAnsi="Palatino Linotype"/>
        </w:rPr>
      </w:pPr>
      <w:r w:rsidRPr="00D95EEE">
        <w:rPr>
          <w:rFonts w:ascii="Palatino Linotype" w:hAnsi="Palatino Linotype"/>
        </w:rPr>
        <w:t>Determinado lo anterior; revisaremos la atención otorgada por el Sujeto Obligado a la solicitud que dio origen a este recurso, considerando imprescindible establecer lo que la regulación determina, por ello, en primer lugar, vamos a revisar lo que mandata nuestra Ley de Transparencia local, en su artículo 12, el cual establece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rsidR="00313EA6" w:rsidRPr="00D95EEE" w:rsidRDefault="00313EA6" w:rsidP="00D13D4B">
      <w:pPr>
        <w:pStyle w:val="Prrafodelista"/>
        <w:spacing w:line="360" w:lineRule="auto"/>
        <w:ind w:left="0"/>
        <w:jc w:val="both"/>
        <w:rPr>
          <w:rFonts w:ascii="Palatino Linotype" w:hAnsi="Palatino Linotype"/>
        </w:rPr>
      </w:pPr>
    </w:p>
    <w:p w:rsidR="00313EA6" w:rsidRPr="00D95EEE" w:rsidRDefault="00313EA6" w:rsidP="00D13D4B">
      <w:pPr>
        <w:numPr>
          <w:ilvl w:val="0"/>
          <w:numId w:val="1"/>
        </w:numPr>
        <w:pBdr>
          <w:top w:val="nil"/>
          <w:left w:val="nil"/>
          <w:bottom w:val="nil"/>
          <w:right w:val="nil"/>
          <w:between w:val="nil"/>
        </w:pBdr>
        <w:spacing w:line="360" w:lineRule="auto"/>
        <w:ind w:left="0" w:right="49" w:firstLine="0"/>
        <w:jc w:val="both"/>
        <w:rPr>
          <w:rFonts w:ascii="Palatino Linotype" w:hAnsi="Palatino Linotype"/>
        </w:rPr>
      </w:pPr>
      <w:r w:rsidRPr="00D95EEE">
        <w:rPr>
          <w:rFonts w:ascii="Palatino Linotype" w:hAnsi="Palatino Linotype"/>
        </w:rPr>
        <w:t xml:space="preserve">Asimismo, es relevante mencionar que el artículo 19, del ordenamiento local de la materia señala que se presume que la información debe existir si se refiere a las facultades, competencias y funciones que los ordenamientos jurídicos aplicables otorgan a los sujetos </w:t>
      </w:r>
      <w:r w:rsidRPr="00D95EEE">
        <w:rPr>
          <w:rFonts w:ascii="Palatino Linotype" w:hAnsi="Palatino Linotype"/>
        </w:rPr>
        <w:lastRenderedPageBreak/>
        <w:t>obligados y en caso de que dichas facultades no se hayan ejercido, se deberá motivar la respuesta en función de las causas que motivaron tal circunstancia.</w:t>
      </w:r>
    </w:p>
    <w:p w:rsidR="00313EA6" w:rsidRPr="00D95EEE" w:rsidRDefault="00313EA6" w:rsidP="00D13D4B">
      <w:pPr>
        <w:pStyle w:val="Prrafodelista"/>
        <w:spacing w:line="360" w:lineRule="auto"/>
        <w:rPr>
          <w:rFonts w:ascii="Palatino Linotype" w:hAnsi="Palatino Linotype"/>
        </w:rPr>
      </w:pPr>
    </w:p>
    <w:p w:rsidR="00313EA6" w:rsidRPr="00D95EEE" w:rsidRDefault="00313EA6" w:rsidP="00D13D4B">
      <w:pPr>
        <w:numPr>
          <w:ilvl w:val="0"/>
          <w:numId w:val="1"/>
        </w:numPr>
        <w:pBdr>
          <w:top w:val="nil"/>
          <w:left w:val="nil"/>
          <w:bottom w:val="nil"/>
          <w:right w:val="nil"/>
          <w:between w:val="nil"/>
        </w:pBdr>
        <w:spacing w:line="360" w:lineRule="auto"/>
        <w:ind w:left="0" w:right="49" w:firstLine="0"/>
        <w:jc w:val="both"/>
        <w:rPr>
          <w:rFonts w:ascii="Palatino Linotype" w:hAnsi="Palatino Linotype"/>
        </w:rPr>
      </w:pPr>
      <w:r w:rsidRPr="00D95EEE">
        <w:rPr>
          <w:rFonts w:ascii="Palatino Linotype" w:hAnsi="Palatino Linotype"/>
        </w:rPr>
        <w:t>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información, siempre y cuando no encuadre en una de las excepciones contempladas por la ley.</w:t>
      </w:r>
    </w:p>
    <w:p w:rsidR="00F867E2" w:rsidRPr="00D95EEE" w:rsidRDefault="00F867E2" w:rsidP="00D13D4B">
      <w:pPr>
        <w:pStyle w:val="Prrafodelista"/>
        <w:spacing w:line="360" w:lineRule="auto"/>
        <w:rPr>
          <w:rFonts w:ascii="Palatino Linotype" w:hAnsi="Palatino Linotype"/>
        </w:rPr>
      </w:pPr>
    </w:p>
    <w:p w:rsidR="005B7E55" w:rsidRPr="00D95EEE" w:rsidRDefault="00313EA6" w:rsidP="005B7E55">
      <w:pPr>
        <w:numPr>
          <w:ilvl w:val="0"/>
          <w:numId w:val="1"/>
        </w:numPr>
        <w:pBdr>
          <w:top w:val="nil"/>
          <w:left w:val="nil"/>
          <w:bottom w:val="nil"/>
          <w:right w:val="nil"/>
          <w:between w:val="nil"/>
        </w:pBdr>
        <w:spacing w:line="360" w:lineRule="auto"/>
        <w:ind w:left="0" w:right="49" w:firstLine="0"/>
        <w:jc w:val="both"/>
        <w:rPr>
          <w:rFonts w:ascii="Palatino Linotype" w:hAnsi="Palatino Linotype" w:cs="Arial"/>
        </w:rPr>
      </w:pPr>
      <w:bookmarkStart w:id="15" w:name="_Toc455991148"/>
      <w:bookmarkStart w:id="16" w:name="_Toc450120669"/>
      <w:bookmarkStart w:id="17" w:name="_Toc461555896"/>
      <w:bookmarkStart w:id="18" w:name="_Toc462154385"/>
      <w:bookmarkStart w:id="19" w:name="_Toc462660376"/>
      <w:bookmarkStart w:id="20" w:name="_Toc462660687"/>
      <w:bookmarkStart w:id="21" w:name="_Toc462660766"/>
      <w:bookmarkStart w:id="22" w:name="_Toc465264624"/>
      <w:bookmarkStart w:id="23" w:name="_Toc465264870"/>
      <w:bookmarkStart w:id="24" w:name="_Toc465266520"/>
      <w:bookmarkStart w:id="25" w:name="_Toc466302258"/>
      <w:bookmarkStart w:id="26" w:name="_Toc466371866"/>
      <w:bookmarkStart w:id="27" w:name="_Toc466371925"/>
      <w:bookmarkStart w:id="28" w:name="_Toc466377654"/>
      <w:bookmarkStart w:id="29" w:name="_Toc478549736"/>
      <w:bookmarkStart w:id="30" w:name="_Toc478572850"/>
      <w:bookmarkStart w:id="31" w:name="_Toc479238537"/>
      <w:bookmarkEnd w:id="8"/>
      <w:bookmarkEnd w:id="9"/>
      <w:bookmarkEnd w:id="10"/>
      <w:bookmarkEnd w:id="11"/>
      <w:bookmarkEnd w:id="12"/>
      <w:bookmarkEnd w:id="13"/>
      <w:bookmarkEnd w:id="14"/>
      <w:r w:rsidRPr="00D95EEE">
        <w:rPr>
          <w:rFonts w:ascii="Palatino Linotype" w:eastAsia="Palatino Linotype" w:hAnsi="Palatino Linotype" w:cs="Palatino Linotype"/>
        </w:rPr>
        <w:t xml:space="preserve">Dicho lo anterior es necesario </w:t>
      </w:r>
      <w:r w:rsidR="008D2D54" w:rsidRPr="00D95EEE">
        <w:rPr>
          <w:rFonts w:ascii="Palatino Linotype" w:eastAsia="Palatino Linotype" w:hAnsi="Palatino Linotype" w:cs="Palatino Linotype"/>
        </w:rPr>
        <w:t xml:space="preserve">traer a contexto los motivos de inconformidad; toda vez que </w:t>
      </w:r>
      <w:r w:rsidR="008D2D54" w:rsidRPr="00D95EEE">
        <w:rPr>
          <w:rFonts w:ascii="Palatino Linotype" w:hAnsi="Palatino Linotype"/>
        </w:rPr>
        <w:t>estos</w:t>
      </w:r>
      <w:r w:rsidR="008D2D54" w:rsidRPr="00D95EEE">
        <w:rPr>
          <w:rFonts w:ascii="Palatino Linotype" w:eastAsia="Palatino Linotype" w:hAnsi="Palatino Linotype" w:cs="Palatino Linotype"/>
        </w:rPr>
        <w:t xml:space="preserve"> </w:t>
      </w:r>
      <w:r w:rsidR="008D2D54" w:rsidRPr="00D95EEE">
        <w:rPr>
          <w:rFonts w:ascii="Palatino Linotype" w:hAnsi="Palatino Linotype"/>
        </w:rPr>
        <w:t>son</w:t>
      </w:r>
      <w:r w:rsidR="008D2D54" w:rsidRPr="00D95EEE">
        <w:rPr>
          <w:rFonts w:ascii="Palatino Linotype" w:eastAsia="Palatino Linotype" w:hAnsi="Palatino Linotype" w:cs="Palatino Linotype"/>
        </w:rPr>
        <w:t xml:space="preserve"> </w:t>
      </w:r>
      <w:r w:rsidR="008D2D54" w:rsidRPr="00D95EEE">
        <w:rPr>
          <w:rFonts w:ascii="Palatino Linotype" w:hAnsi="Palatino Linotype"/>
        </w:rPr>
        <w:t>tendentes</w:t>
      </w:r>
      <w:r w:rsidR="008D2D54" w:rsidRPr="00D95EEE">
        <w:rPr>
          <w:rFonts w:ascii="Palatino Linotype" w:eastAsia="Palatino Linotype" w:hAnsi="Palatino Linotype" w:cs="Palatino Linotype"/>
        </w:rPr>
        <w:t xml:space="preserve"> a impugnar </w:t>
      </w:r>
      <w:r w:rsidR="00763456" w:rsidRPr="00D95EEE">
        <w:rPr>
          <w:rFonts w:ascii="Palatino Linotype" w:eastAsia="Palatino Linotype" w:hAnsi="Palatino Linotype" w:cs="Palatino Linotype"/>
        </w:rPr>
        <w:t xml:space="preserve">la entrega de información incompleta, </w:t>
      </w:r>
      <w:r w:rsidR="005B7E55" w:rsidRPr="00D95EEE">
        <w:rPr>
          <w:rFonts w:ascii="Palatino Linotype" w:eastAsia="Palatino Linotype" w:hAnsi="Palatino Linotype" w:cs="Palatino Linotype"/>
        </w:rPr>
        <w:t>únicamente respecto de las áreas denominadas departamento de anuncios publicitarios y carga y descarga y el departamento de turismo, emprendimiento, de los que se aduce no conocer el nombre concreto</w:t>
      </w:r>
      <w:r w:rsidR="00763456" w:rsidRPr="00D95EEE">
        <w:rPr>
          <w:rFonts w:ascii="Palatino Linotype" w:eastAsia="Palatino Linotype" w:hAnsi="Palatino Linotype" w:cs="Palatino Linotype"/>
        </w:rPr>
        <w:t>.</w:t>
      </w:r>
    </w:p>
    <w:p w:rsidR="005B7E55" w:rsidRPr="00D95EEE" w:rsidRDefault="005B7E55" w:rsidP="005B7E55">
      <w:pPr>
        <w:pStyle w:val="Prrafodelista"/>
        <w:rPr>
          <w:rFonts w:ascii="Palatino Linotype" w:eastAsia="Palatino Linotype" w:hAnsi="Palatino Linotype" w:cs="Palatino Linotype"/>
        </w:rPr>
      </w:pPr>
    </w:p>
    <w:p w:rsidR="00A07391" w:rsidRPr="00D95EEE" w:rsidRDefault="00A07391" w:rsidP="00A07391">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D95EEE">
        <w:rPr>
          <w:rFonts w:ascii="Palatino Linotype" w:eastAsia="Palatino Linotype" w:hAnsi="Palatino Linotype" w:cs="Palatino Linotype"/>
        </w:rPr>
        <w:t xml:space="preserve">De tal forma que, la parte de la solicitud que no fue impugnada así como de lo ya entregado en calidad de respuesta, debe declararse consentida, toda vez que al no realizar manifestaciones de inconformidad; no pueden producirse efectos jurídicos tendentes a </w:t>
      </w:r>
      <w:r w:rsidRPr="00D95EEE">
        <w:rPr>
          <w:rFonts w:ascii="Palatino Linotype" w:eastAsia="Palatino Linotype" w:hAnsi="Palatino Linotype" w:cs="Palatino Linotype"/>
        </w:rPr>
        <w:lastRenderedPageBreak/>
        <w:t xml:space="preserve">revocar, confirmar o modificar el acto reclamado, ya que no realizó manifestación alguna al respecto. </w:t>
      </w:r>
    </w:p>
    <w:p w:rsidR="00A07391" w:rsidRPr="00D95EEE" w:rsidRDefault="00A07391" w:rsidP="00A07391">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rsidR="00A07391" w:rsidRPr="00D95EEE" w:rsidRDefault="00A07391" w:rsidP="00A07391">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D95EEE">
        <w:rPr>
          <w:rFonts w:ascii="Palatino Linotype" w:eastAsia="Palatino Linotype" w:hAnsi="Palatino Linotype" w:cs="Palatino Linotype"/>
        </w:rPr>
        <w:t>Sirve de sustento, la tesis jurisprudencial número VI.3o.C. J/60, publicada en el Semanario Judicial de la Federación y su Gaceta bajo el número de registro 176,608 que a la letra dice:</w:t>
      </w:r>
    </w:p>
    <w:p w:rsidR="00A07391" w:rsidRPr="00D95EEE" w:rsidRDefault="00A07391" w:rsidP="00A07391">
      <w:pPr>
        <w:tabs>
          <w:tab w:val="left" w:pos="851"/>
        </w:tabs>
        <w:spacing w:line="360" w:lineRule="auto"/>
        <w:ind w:left="851" w:right="616"/>
        <w:jc w:val="both"/>
        <w:rPr>
          <w:rFonts w:ascii="Palatino Linotype" w:eastAsia="Palatino Linotype" w:hAnsi="Palatino Linotype" w:cs="Palatino Linotype"/>
          <w:i/>
          <w:iCs/>
        </w:rPr>
      </w:pPr>
      <w:r w:rsidRPr="00D95EEE">
        <w:rPr>
          <w:rFonts w:ascii="Palatino Linotype" w:eastAsia="Palatino Linotype" w:hAnsi="Palatino Linotype" w:cs="Palatino Linotype"/>
          <w:b/>
          <w:bCs/>
          <w:i/>
          <w:iCs/>
        </w:rPr>
        <w:t xml:space="preserve">“ACTOS CONSENTIDOS. SON LOS QUE NO SE IMPUGNAN MEDIANTE EL RECURSO IDÓNEO. </w:t>
      </w:r>
      <w:r w:rsidRPr="00D95EEE">
        <w:rPr>
          <w:rFonts w:ascii="Palatino Linotype" w:eastAsia="Palatino Linotype" w:hAnsi="Palatino Linotype" w:cs="Palatino Linotype"/>
          <w:i/>
          <w:iCs/>
        </w:rPr>
        <w:t>Debe reputarse como consentido el acto que no se impugnó por el medio establecido por la ley,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rsidR="00A07391" w:rsidRPr="00D95EEE" w:rsidRDefault="00A07391" w:rsidP="00A07391">
      <w:pPr>
        <w:tabs>
          <w:tab w:val="left" w:pos="851"/>
        </w:tabs>
        <w:spacing w:line="360" w:lineRule="auto"/>
        <w:ind w:left="851" w:right="616"/>
        <w:jc w:val="both"/>
        <w:rPr>
          <w:rFonts w:ascii="Palatino Linotype" w:eastAsia="Palatino Linotype" w:hAnsi="Palatino Linotype" w:cs="Palatino Linotype"/>
          <w:i/>
          <w:iCs/>
        </w:rPr>
      </w:pPr>
    </w:p>
    <w:p w:rsidR="00A07391" w:rsidRPr="00D95EEE" w:rsidRDefault="00A07391" w:rsidP="00A07391">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D95EEE">
        <w:rPr>
          <w:rFonts w:ascii="Palatino Linotype" w:eastAsia="Palatino Linotype" w:hAnsi="Palatino Linotype" w:cs="Palatino Linotype"/>
        </w:rPr>
        <w:t xml:space="preserve">De la interpretación del Criterio antes citado, se advierte que cuando el particular impugnó la respuesta del </w:t>
      </w:r>
      <w:r w:rsidRPr="00D95EEE">
        <w:rPr>
          <w:rFonts w:ascii="Palatino Linotype" w:eastAsia="Palatino Linotype" w:hAnsi="Palatino Linotype" w:cs="Palatino Linotype"/>
          <w:b/>
          <w:bCs/>
        </w:rPr>
        <w:t>SUJETO OBLIGADO</w:t>
      </w:r>
      <w:r w:rsidRPr="00D95EEE">
        <w:rPr>
          <w:rFonts w:ascii="Palatino Linotype" w:eastAsia="Palatino Linotype" w:hAnsi="Palatino Linotype" w:cs="Palatino Linotype"/>
        </w:rPr>
        <w:t xml:space="preserve">, no expresó razón o motivo de inconformidad en contra de todos los rubros solicitados, por tanto, estos deben declararse atendidos, pues se entiende que </w:t>
      </w:r>
      <w:r w:rsidRPr="00D95EEE">
        <w:rPr>
          <w:rFonts w:ascii="Palatino Linotype" w:eastAsia="Palatino Linotype" w:hAnsi="Palatino Linotype" w:cs="Palatino Linotype"/>
          <w:b/>
          <w:bCs/>
        </w:rPr>
        <w:t>EL RECURRENTE</w:t>
      </w:r>
      <w:r w:rsidRPr="00D95EEE">
        <w:rPr>
          <w:rFonts w:ascii="Palatino Linotype" w:eastAsia="Palatino Linotype" w:hAnsi="Palatino Linotype" w:cs="Palatino Linotype"/>
        </w:rPr>
        <w:t xml:space="preserve"> está conforme con la respuesta proporcionada por </w:t>
      </w:r>
      <w:r w:rsidRPr="00D95EEE">
        <w:rPr>
          <w:rFonts w:ascii="Palatino Linotype" w:eastAsia="Palatino Linotype" w:hAnsi="Palatino Linotype" w:cs="Palatino Linotype"/>
          <w:b/>
          <w:bCs/>
        </w:rPr>
        <w:t>EL SUJETO OBLIGADO,</w:t>
      </w:r>
      <w:r w:rsidRPr="00D95EEE">
        <w:rPr>
          <w:rFonts w:ascii="Palatino Linotype" w:eastAsia="Palatino Linotype" w:hAnsi="Palatino Linotype" w:cs="Palatino Linotype"/>
        </w:rPr>
        <w:t xml:space="preserve"> al no contravenir la misma. </w:t>
      </w:r>
    </w:p>
    <w:p w:rsidR="00A07391" w:rsidRPr="00D95EEE" w:rsidRDefault="00A07391" w:rsidP="00A07391">
      <w:pPr>
        <w:spacing w:line="360" w:lineRule="auto"/>
        <w:jc w:val="both"/>
        <w:rPr>
          <w:rFonts w:ascii="Palatino Linotype" w:eastAsia="Palatino Linotype" w:hAnsi="Palatino Linotype" w:cs="Palatino Linotype"/>
        </w:rPr>
      </w:pPr>
    </w:p>
    <w:p w:rsidR="00A07391" w:rsidRPr="00D95EEE" w:rsidRDefault="00A07391" w:rsidP="00A07391">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D95EEE">
        <w:rPr>
          <w:rFonts w:ascii="Palatino Linotype" w:eastAsia="Palatino Linotype" w:hAnsi="Palatino Linotype" w:cs="Palatino Linotype"/>
        </w:rPr>
        <w:t>Atento a ello, es importante traer a contexto la Tesis Jurisprudencial Número 3ª./J.7/91, Publicada en el Semanario Judicial de la Federación y su Gaceta bajo el número de registro 174,177, que establece lo siguiente:</w:t>
      </w:r>
    </w:p>
    <w:p w:rsidR="00A07391" w:rsidRPr="00D95EEE" w:rsidRDefault="00A07391" w:rsidP="00A07391">
      <w:pPr>
        <w:pBdr>
          <w:top w:val="nil"/>
          <w:left w:val="nil"/>
          <w:bottom w:val="nil"/>
          <w:right w:val="nil"/>
          <w:between w:val="nil"/>
        </w:pBdr>
        <w:ind w:left="720"/>
        <w:rPr>
          <w:rFonts w:ascii="Palatino Linotype" w:eastAsia="Palatino Linotype" w:hAnsi="Palatino Linotype" w:cs="Palatino Linotype"/>
          <w:color w:val="000000"/>
        </w:rPr>
      </w:pPr>
    </w:p>
    <w:p w:rsidR="00A07391" w:rsidRPr="00D95EEE" w:rsidRDefault="00A07391" w:rsidP="00A07391">
      <w:pPr>
        <w:tabs>
          <w:tab w:val="left" w:pos="7937"/>
          <w:tab w:val="left" w:pos="8222"/>
        </w:tabs>
        <w:spacing w:line="360" w:lineRule="auto"/>
        <w:ind w:left="851" w:right="901"/>
        <w:jc w:val="both"/>
        <w:rPr>
          <w:rFonts w:ascii="Palatino Linotype" w:eastAsia="Palatino Linotype" w:hAnsi="Palatino Linotype" w:cs="Palatino Linotype"/>
          <w:i/>
          <w:iCs/>
        </w:rPr>
      </w:pPr>
      <w:r w:rsidRPr="00D95EEE">
        <w:rPr>
          <w:rFonts w:ascii="Palatino Linotype" w:eastAsia="Palatino Linotype" w:hAnsi="Palatino Linotype" w:cs="Palatino Linotype"/>
          <w:b/>
          <w:bCs/>
          <w:i/>
          <w:iCs/>
        </w:rPr>
        <w:lastRenderedPageBreak/>
        <w:t xml:space="preserve">“REVISIÓN EN AMPARO. LOS RESOLUTIVOS NO COMBATIDOS DEBEN DECLARARSE FIRMES. </w:t>
      </w:r>
      <w:r w:rsidRPr="00D95EEE">
        <w:rPr>
          <w:rFonts w:ascii="Palatino Linotype" w:eastAsia="Palatino Linotype" w:hAnsi="Palatino Linotype" w:cs="Palatino Linotype"/>
          <w:i/>
          <w:iCs/>
        </w:rPr>
        <w:t>Cuando algún resolutivo de la sentencia impugnada afecta a la recurrente, y ésta no expresa agravio en contra de las consideraciones que le sirven de base, dicho resolutivo debe declararse firme. Esto es, en el caso referido, no obstante que la materia de la revisión comprende a todos los resolutivos que afectan a la recurrente, deben declararse firmes aquéllos en contra de los cuales no se formuló agravio y dicha declaración de firmeza debe reflejarse en la parte considerativa y en los resolutivos debe confirmarse la sentencia recurrida en la parte correspondiente.”</w:t>
      </w:r>
    </w:p>
    <w:p w:rsidR="00A07391" w:rsidRPr="00D95EEE" w:rsidRDefault="00A07391" w:rsidP="00A07391">
      <w:pPr>
        <w:tabs>
          <w:tab w:val="left" w:pos="7937"/>
          <w:tab w:val="left" w:pos="8222"/>
        </w:tabs>
        <w:spacing w:line="360" w:lineRule="auto"/>
        <w:ind w:left="851" w:right="901"/>
        <w:jc w:val="both"/>
        <w:rPr>
          <w:rFonts w:ascii="Palatino Linotype" w:eastAsia="Palatino Linotype" w:hAnsi="Palatino Linotype" w:cs="Palatino Linotype"/>
          <w:i/>
          <w:iCs/>
        </w:rPr>
      </w:pPr>
    </w:p>
    <w:p w:rsidR="005B7E55" w:rsidRPr="00D95EEE" w:rsidRDefault="00A07391" w:rsidP="00A07391">
      <w:pPr>
        <w:numPr>
          <w:ilvl w:val="0"/>
          <w:numId w:val="1"/>
        </w:numPr>
        <w:pBdr>
          <w:top w:val="nil"/>
          <w:left w:val="nil"/>
          <w:bottom w:val="nil"/>
          <w:right w:val="nil"/>
          <w:between w:val="nil"/>
        </w:pBdr>
        <w:spacing w:line="360" w:lineRule="auto"/>
        <w:ind w:left="0" w:right="49" w:firstLine="0"/>
        <w:jc w:val="both"/>
        <w:rPr>
          <w:rFonts w:ascii="Palatino Linotype" w:hAnsi="Palatino Linotype" w:cs="Arial"/>
        </w:rPr>
      </w:pPr>
      <w:r w:rsidRPr="00D95EEE">
        <w:rPr>
          <w:rFonts w:ascii="Palatino Linotype" w:eastAsia="Palatino Linotype" w:hAnsi="Palatino Linotype" w:cs="Palatino Linotype"/>
        </w:rPr>
        <w:t>En consecuencia, que los demás fundamentos remitidos en respuesta. Se consideran un acto consentido y, en consecuencia, este Órgano Resolutor no entrará al estudio de los rubros no impugnados por las razones hasta aquí expuestas.</w:t>
      </w:r>
    </w:p>
    <w:p w:rsidR="005B7E55" w:rsidRPr="00D95EEE" w:rsidRDefault="005B7E55" w:rsidP="005B7E55">
      <w:pPr>
        <w:pStyle w:val="Prrafodelista"/>
        <w:rPr>
          <w:rFonts w:ascii="Palatino Linotype" w:eastAsia="Palatino Linotype" w:hAnsi="Palatino Linotype" w:cs="Palatino Linotype"/>
        </w:rPr>
      </w:pPr>
    </w:p>
    <w:p w:rsidR="0050215C" w:rsidRPr="00D95EEE" w:rsidRDefault="00A07391" w:rsidP="00A07391">
      <w:pPr>
        <w:numPr>
          <w:ilvl w:val="0"/>
          <w:numId w:val="1"/>
        </w:numPr>
        <w:pBdr>
          <w:top w:val="nil"/>
          <w:left w:val="nil"/>
          <w:bottom w:val="nil"/>
          <w:right w:val="nil"/>
          <w:between w:val="nil"/>
        </w:pBdr>
        <w:spacing w:line="360" w:lineRule="auto"/>
        <w:ind w:left="0" w:right="49" w:firstLine="0"/>
        <w:jc w:val="both"/>
        <w:rPr>
          <w:rFonts w:ascii="Palatino Linotype" w:hAnsi="Palatino Linotype" w:cs="Arial"/>
        </w:rPr>
      </w:pPr>
      <w:r w:rsidRPr="00D95EEE">
        <w:rPr>
          <w:rFonts w:ascii="Palatino Linotype" w:hAnsi="Palatino Linotype" w:cs="Arial"/>
        </w:rPr>
        <w:t>Respecto del motivo de inconformidad, relativo a que no se conoce con exactitud el nombre correcto de las unidades administrativas</w:t>
      </w:r>
      <w:r w:rsidRPr="00D95EEE">
        <w:rPr>
          <w:rFonts w:ascii="Palatino Linotype" w:eastAsia="Palatino Linotype" w:hAnsi="Palatino Linotype" w:cs="Palatino Linotype"/>
        </w:rPr>
        <w:t>; a</w:t>
      </w:r>
      <w:r w:rsidR="00763456" w:rsidRPr="00D95EEE">
        <w:rPr>
          <w:rFonts w:ascii="Palatino Linotype" w:hAnsi="Palatino Linotype" w:cs="Arial"/>
        </w:rPr>
        <w:t xml:space="preserve">l respecto se establece que </w:t>
      </w:r>
      <w:r w:rsidR="00D6542A" w:rsidRPr="00D95EEE">
        <w:rPr>
          <w:rFonts w:ascii="Palatino Linotype" w:hAnsi="Palatino Linotype" w:cs="Arial"/>
        </w:rPr>
        <w:t>los solicitantes no están obligados a referir con exactitud el nombre administrativo, técnico</w:t>
      </w:r>
      <w:r w:rsidR="00D13D4B" w:rsidRPr="00D95EEE">
        <w:rPr>
          <w:rFonts w:ascii="Palatino Linotype" w:hAnsi="Palatino Linotype" w:cs="Arial"/>
        </w:rPr>
        <w:t>,</w:t>
      </w:r>
      <w:r w:rsidR="00D6542A" w:rsidRPr="00D95EEE">
        <w:rPr>
          <w:rFonts w:ascii="Palatino Linotype" w:hAnsi="Palatino Linotype" w:cs="Arial"/>
        </w:rPr>
        <w:t xml:space="preserve"> o jurídico de los documentos a los que desean acceder, </w:t>
      </w:r>
      <w:r w:rsidRPr="00D95EEE">
        <w:rPr>
          <w:rFonts w:ascii="Palatino Linotype" w:hAnsi="Palatino Linotype" w:cs="Arial"/>
        </w:rPr>
        <w:t xml:space="preserve">o en el caso concreto de las unidades administrativas, </w:t>
      </w:r>
      <w:r w:rsidR="00D6542A" w:rsidRPr="00D95EEE">
        <w:rPr>
          <w:rFonts w:ascii="Palatino Linotype" w:hAnsi="Palatino Linotype" w:cs="Arial"/>
        </w:rPr>
        <w:t>bastando con otorgar una expresión documental de lo que requieren y, en todo caso es obligación de los sujetos obligados otorgar una expresión documental y entregar los documentos que se hayan generado, poseído o administrado, que contengan la información solicitada, como ciertamente ocurre en el caso concreto.</w:t>
      </w:r>
    </w:p>
    <w:p w:rsidR="0050215C" w:rsidRPr="00D95EEE" w:rsidRDefault="0050215C" w:rsidP="00D13D4B">
      <w:pPr>
        <w:pStyle w:val="Prrafodelista"/>
        <w:spacing w:line="360" w:lineRule="auto"/>
        <w:rPr>
          <w:rFonts w:ascii="Palatino Linotype" w:hAnsi="Palatino Linotype" w:cs="Arial"/>
        </w:rPr>
      </w:pPr>
    </w:p>
    <w:p w:rsidR="00B7456C" w:rsidRPr="00D95EEE" w:rsidRDefault="00A07391" w:rsidP="00F40A57">
      <w:pPr>
        <w:numPr>
          <w:ilvl w:val="0"/>
          <w:numId w:val="1"/>
        </w:numPr>
        <w:pBdr>
          <w:top w:val="nil"/>
          <w:left w:val="nil"/>
          <w:bottom w:val="nil"/>
          <w:right w:val="nil"/>
          <w:between w:val="nil"/>
        </w:pBdr>
        <w:spacing w:line="360" w:lineRule="auto"/>
        <w:ind w:left="0" w:right="49" w:firstLine="0"/>
        <w:jc w:val="both"/>
        <w:rPr>
          <w:rFonts w:ascii="Palatino Linotype" w:hAnsi="Palatino Linotype"/>
        </w:rPr>
      </w:pPr>
      <w:r w:rsidRPr="00D95EEE">
        <w:rPr>
          <w:rFonts w:ascii="Palatino Linotype" w:hAnsi="Palatino Linotype"/>
        </w:rPr>
        <w:lastRenderedPageBreak/>
        <w:t>En ese sentido es que</w:t>
      </w:r>
      <w:r w:rsidR="00B7456C" w:rsidRPr="00D95EEE">
        <w:rPr>
          <w:rFonts w:ascii="Palatino Linotype" w:hAnsi="Palatino Linotype"/>
        </w:rPr>
        <w:t xml:space="preserve">, en un hecho posterior a la interposición del recurso de revisión, el </w:t>
      </w:r>
      <w:r w:rsidR="00B7456C" w:rsidRPr="00D95EEE">
        <w:rPr>
          <w:rFonts w:ascii="Palatino Linotype" w:hAnsi="Palatino Linotype"/>
          <w:b/>
        </w:rPr>
        <w:t>SUJETO OBLIGADO</w:t>
      </w:r>
      <w:r w:rsidR="00B7456C" w:rsidRPr="00D95EEE">
        <w:rPr>
          <w:rFonts w:ascii="Palatino Linotype" w:hAnsi="Palatino Linotype"/>
        </w:rPr>
        <w:t xml:space="preserve"> en calidad de informe justificado, modificó su respuesta, </w:t>
      </w:r>
      <w:r w:rsidR="00B7456C" w:rsidRPr="00D95EEE">
        <w:rPr>
          <w:rFonts w:ascii="Palatino Linotype" w:hAnsi="Palatino Linotype" w:cs="Arial"/>
        </w:rPr>
        <w:t>informando</w:t>
      </w:r>
      <w:r w:rsidR="00D41356" w:rsidRPr="00D95EEE">
        <w:rPr>
          <w:rFonts w:ascii="Palatino Linotype" w:hAnsi="Palatino Linotype" w:cs="Arial"/>
        </w:rPr>
        <w:t xml:space="preserve"> que</w:t>
      </w:r>
      <w:r w:rsidR="00F40A57" w:rsidRPr="00D95EEE">
        <w:rPr>
          <w:rFonts w:ascii="Palatino Linotype" w:hAnsi="Palatino Linotype"/>
        </w:rPr>
        <w:t xml:space="preserve"> se remitían </w:t>
      </w:r>
      <w:r w:rsidR="00D41356" w:rsidRPr="00D95EEE">
        <w:rPr>
          <w:rFonts w:ascii="Palatino Linotype" w:hAnsi="Palatino Linotype"/>
        </w:rPr>
        <w:t>las evidencias fotográficas</w:t>
      </w:r>
      <w:r w:rsidR="00F40A57" w:rsidRPr="00D95EEE">
        <w:rPr>
          <w:rFonts w:ascii="Palatino Linotype" w:hAnsi="Palatino Linotype"/>
        </w:rPr>
        <w:t xml:space="preserve"> correspondientes, a saber: Departamento de Promoción Turística y el Departamento de Publicidad y Actividades de Carga y Descarga de la Subdirección de Fomento Económico, adscrita a la Dirección de Desarrollo Económico, así como del Centro de Innovación y Capacitación para el Emprendimiento de la misma Subdirección de Fomento Económico adscrita a la Dirección de Desarrollo Económico.</w:t>
      </w:r>
    </w:p>
    <w:p w:rsidR="009D364A" w:rsidRPr="00D95EEE" w:rsidRDefault="009D364A" w:rsidP="00D13D4B">
      <w:pPr>
        <w:pStyle w:val="Prrafodelista"/>
        <w:spacing w:line="360" w:lineRule="auto"/>
        <w:rPr>
          <w:rFonts w:ascii="Palatino Linotype" w:hAnsi="Palatino Linotype"/>
          <w:b/>
        </w:rPr>
      </w:pPr>
    </w:p>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rsidR="0044042A" w:rsidRPr="00D95EEE" w:rsidRDefault="0044042A" w:rsidP="00D13D4B">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D95EEE">
        <w:rPr>
          <w:rFonts w:ascii="Palatino Linotype" w:hAnsi="Palatino Linotype"/>
          <w:bCs/>
        </w:rPr>
        <w:t xml:space="preserve">En razón de lo anterior, es que se estima que la información remitida en un hecho posterior </w:t>
      </w:r>
      <w:r w:rsidRPr="00D95EEE">
        <w:rPr>
          <w:rFonts w:ascii="Palatino Linotype" w:hAnsi="Palatino Linotype" w:cs="Arial"/>
        </w:rPr>
        <w:t>como</w:t>
      </w:r>
      <w:r w:rsidRPr="00D95EEE">
        <w:rPr>
          <w:rFonts w:ascii="Palatino Linotype" w:hAnsi="Palatino Linotype"/>
          <w:bCs/>
        </w:rPr>
        <w:t xml:space="preserve"> lo es la etapa de manifestaciones en calidad de informe justificado</w:t>
      </w:r>
      <w:r w:rsidRPr="00D95EEE">
        <w:rPr>
          <w:rFonts w:ascii="Palatino Linotype" w:hAnsi="Palatino Linotype"/>
        </w:rPr>
        <w:t xml:space="preserve">, </w:t>
      </w:r>
      <w:r w:rsidRPr="00D95EEE">
        <w:rPr>
          <w:rFonts w:ascii="Palatino Linotype" w:hAnsi="Palatino Linotype" w:cs="Arial"/>
        </w:rPr>
        <w:t>resulta</w:t>
      </w:r>
      <w:r w:rsidRPr="00D95EEE">
        <w:rPr>
          <w:rFonts w:ascii="Palatino Linotype" w:hAnsi="Palatino Linotype"/>
        </w:rPr>
        <w:t xml:space="preserve"> un hecho que actualiza una causal de sobreseimiento del Recurso de Revisión de mérito, en términos de lo dispuesto por</w:t>
      </w:r>
      <w:r w:rsidRPr="00D95EEE">
        <w:rPr>
          <w:rFonts w:ascii="Palatino Linotype" w:eastAsia="Palatino Linotype" w:hAnsi="Palatino Linotype" w:cs="Palatino Linotype"/>
        </w:rPr>
        <w:t xml:space="preserve"> la fracción III del artículo 192 de la Ley de Transparencia y Acceso a la Información Pública del Estado de México y Municipios en su correlación con la causal de improcedencia contemplada en la </w:t>
      </w:r>
      <w:r w:rsidRPr="00D95EEE">
        <w:rPr>
          <w:rFonts w:ascii="Palatino Linotype" w:eastAsia="Palatino Linotype" w:hAnsi="Palatino Linotype" w:cs="Palatino Linotype"/>
        </w:rPr>
        <w:fldChar w:fldCharType="begin"/>
      </w:r>
      <w:r w:rsidRPr="00D95EEE">
        <w:rPr>
          <w:rFonts w:ascii="Palatino Linotype" w:eastAsia="Palatino Linotype" w:hAnsi="Palatino Linotype" w:cs="Palatino Linotype"/>
        </w:rPr>
        <w:instrText xml:space="preserve"> fracción VII del  </w:instrText>
      </w:r>
      <w:r w:rsidRPr="00D95EEE">
        <w:rPr>
          <w:rFonts w:ascii="Palatino Linotype" w:eastAsia="Palatino Linotype" w:hAnsi="Palatino Linotype" w:cs="Palatino Linotype"/>
        </w:rPr>
        <w:fldChar w:fldCharType="separate"/>
      </w:r>
      <w:r w:rsidR="003D736D" w:rsidRPr="00D95EEE">
        <w:rPr>
          <w:rFonts w:ascii="Palatino Linotype" w:eastAsia="Palatino Linotype" w:hAnsi="Palatino Linotype" w:cs="Palatino Linotype"/>
          <w:b/>
          <w:bCs/>
          <w:lang w:val="es-ES"/>
        </w:rPr>
        <w:t>¡Error! Marcador no definido.</w:t>
      </w:r>
      <w:r w:rsidRPr="00D95EEE">
        <w:rPr>
          <w:rFonts w:ascii="Palatino Linotype" w:eastAsia="Palatino Linotype" w:hAnsi="Palatino Linotype" w:cs="Palatino Linotype"/>
        </w:rPr>
        <w:fldChar w:fldCharType="end"/>
      </w:r>
      <w:r w:rsidRPr="00D95EEE">
        <w:rPr>
          <w:rFonts w:ascii="Palatino Linotype" w:eastAsia="Palatino Linotype" w:hAnsi="Palatino Linotype" w:cs="Palatino Linotype"/>
        </w:rPr>
        <w:t>artículo 191 del ordenamiento legal en cita, los que se transcriben a continuación, para un mejor entendimiento:</w:t>
      </w:r>
    </w:p>
    <w:p w:rsidR="0044042A" w:rsidRPr="00D95EEE" w:rsidRDefault="0044042A" w:rsidP="00D13D4B">
      <w:pPr>
        <w:pStyle w:val="Prrafodelista"/>
        <w:pBdr>
          <w:top w:val="nil"/>
          <w:left w:val="nil"/>
          <w:bottom w:val="nil"/>
          <w:right w:val="nil"/>
          <w:between w:val="nil"/>
        </w:pBdr>
        <w:tabs>
          <w:tab w:val="left" w:pos="7938"/>
        </w:tabs>
        <w:spacing w:line="360" w:lineRule="auto"/>
        <w:ind w:left="360" w:right="902"/>
        <w:jc w:val="both"/>
        <w:rPr>
          <w:rFonts w:ascii="Palatino Linotype" w:eastAsia="Palatino Linotype" w:hAnsi="Palatino Linotype" w:cs="Palatino Linotype"/>
          <w:i/>
        </w:rPr>
      </w:pPr>
      <w:r w:rsidRPr="00D95EEE">
        <w:rPr>
          <w:rFonts w:ascii="Palatino Linotype" w:eastAsia="Palatino Linotype" w:hAnsi="Palatino Linotype" w:cs="Palatino Linotype"/>
          <w:b/>
          <w:i/>
        </w:rPr>
        <w:t>Artículo 192.</w:t>
      </w:r>
      <w:r w:rsidRPr="00D95EEE">
        <w:rPr>
          <w:rFonts w:ascii="Palatino Linotype" w:eastAsia="Palatino Linotype" w:hAnsi="Palatino Linotype" w:cs="Palatino Linotype"/>
          <w:i/>
        </w:rPr>
        <w:t xml:space="preserve"> El recurso será sobreseído, en todo o en parte, cuando una vez admitido, se actualicen alguno de los siguientes supuestos:</w:t>
      </w:r>
    </w:p>
    <w:p w:rsidR="0044042A" w:rsidRPr="00D95EEE" w:rsidRDefault="0044042A" w:rsidP="00D13D4B">
      <w:pPr>
        <w:pStyle w:val="Prrafodelista"/>
        <w:pBdr>
          <w:top w:val="nil"/>
          <w:left w:val="nil"/>
          <w:bottom w:val="nil"/>
          <w:right w:val="nil"/>
          <w:between w:val="nil"/>
        </w:pBdr>
        <w:tabs>
          <w:tab w:val="left" w:pos="7938"/>
        </w:tabs>
        <w:spacing w:line="360" w:lineRule="auto"/>
        <w:ind w:left="360" w:right="902"/>
        <w:jc w:val="both"/>
        <w:rPr>
          <w:rFonts w:ascii="Palatino Linotype" w:eastAsia="Palatino Linotype" w:hAnsi="Palatino Linotype" w:cs="Palatino Linotype"/>
          <w:i/>
        </w:rPr>
      </w:pPr>
      <w:r w:rsidRPr="00D95EEE">
        <w:rPr>
          <w:rFonts w:ascii="Palatino Linotype" w:eastAsia="Palatino Linotype" w:hAnsi="Palatino Linotype" w:cs="Palatino Linotype"/>
          <w:i/>
        </w:rPr>
        <w:t>…</w:t>
      </w:r>
    </w:p>
    <w:p w:rsidR="0044042A" w:rsidRPr="00D95EEE" w:rsidRDefault="0044042A" w:rsidP="00D13D4B">
      <w:pPr>
        <w:pStyle w:val="Prrafodelista"/>
        <w:pBdr>
          <w:top w:val="nil"/>
          <w:left w:val="nil"/>
          <w:bottom w:val="nil"/>
          <w:right w:val="nil"/>
          <w:between w:val="nil"/>
        </w:pBdr>
        <w:tabs>
          <w:tab w:val="left" w:pos="7938"/>
        </w:tabs>
        <w:spacing w:line="360" w:lineRule="auto"/>
        <w:ind w:left="360" w:right="902"/>
        <w:jc w:val="both"/>
        <w:rPr>
          <w:rFonts w:ascii="Palatino Linotype" w:eastAsia="Palatino Linotype" w:hAnsi="Palatino Linotype" w:cs="Palatino Linotype"/>
          <w:i/>
        </w:rPr>
      </w:pPr>
      <w:r w:rsidRPr="00D95EEE">
        <w:rPr>
          <w:rFonts w:ascii="Palatino Linotype" w:eastAsia="Palatino Linotype" w:hAnsi="Palatino Linotype" w:cs="Palatino Linotype"/>
          <w:b/>
          <w:i/>
        </w:rPr>
        <w:t xml:space="preserve">III. </w:t>
      </w:r>
      <w:r w:rsidRPr="00D95EEE">
        <w:rPr>
          <w:rFonts w:ascii="Palatino Linotype" w:eastAsia="Palatino Linotype" w:hAnsi="Palatino Linotype" w:cs="Palatino Linotype"/>
          <w:b/>
          <w:bCs/>
          <w:i/>
        </w:rPr>
        <w:t>El sujeto obligado responsable del acto lo modifique o revoque de tal manera que el recurso de revisión quede sin materia</w:t>
      </w:r>
      <w:r w:rsidRPr="00D95EEE">
        <w:rPr>
          <w:rFonts w:ascii="Palatino Linotype" w:eastAsia="Palatino Linotype" w:hAnsi="Palatino Linotype" w:cs="Palatino Linotype"/>
          <w:bCs/>
          <w:i/>
        </w:rPr>
        <w:t>;</w:t>
      </w:r>
      <w:r w:rsidRPr="00D95EEE">
        <w:rPr>
          <w:rFonts w:ascii="Palatino Linotype" w:eastAsia="Palatino Linotype" w:hAnsi="Palatino Linotype" w:cs="Palatino Linotype"/>
          <w:i/>
        </w:rPr>
        <w:t xml:space="preserve"> </w:t>
      </w:r>
    </w:p>
    <w:p w:rsidR="0044042A" w:rsidRPr="00D95EEE" w:rsidRDefault="0044042A" w:rsidP="00D13D4B">
      <w:pPr>
        <w:pStyle w:val="Prrafodelista"/>
        <w:pBdr>
          <w:top w:val="nil"/>
          <w:left w:val="nil"/>
          <w:bottom w:val="nil"/>
          <w:right w:val="nil"/>
          <w:between w:val="nil"/>
        </w:pBdr>
        <w:tabs>
          <w:tab w:val="left" w:pos="7938"/>
        </w:tabs>
        <w:spacing w:line="360" w:lineRule="auto"/>
        <w:ind w:left="360" w:right="902"/>
        <w:jc w:val="both"/>
        <w:rPr>
          <w:rFonts w:ascii="Palatino Linotype" w:eastAsia="Palatino Linotype" w:hAnsi="Palatino Linotype" w:cs="Palatino Linotype"/>
          <w:i/>
        </w:rPr>
      </w:pPr>
      <w:r w:rsidRPr="00D95EEE">
        <w:rPr>
          <w:rFonts w:ascii="Palatino Linotype" w:eastAsia="Palatino Linotype" w:hAnsi="Palatino Linotype" w:cs="Palatino Linotype"/>
          <w:b/>
          <w:i/>
        </w:rPr>
        <w:t>…</w:t>
      </w:r>
      <w:r w:rsidRPr="00D95EEE">
        <w:rPr>
          <w:rFonts w:ascii="Palatino Linotype" w:eastAsia="Palatino Linotype" w:hAnsi="Palatino Linotype" w:cs="Palatino Linotype"/>
          <w:i/>
        </w:rPr>
        <w:t>“</w:t>
      </w:r>
    </w:p>
    <w:p w:rsidR="0044042A" w:rsidRPr="00D95EEE" w:rsidRDefault="0044042A" w:rsidP="00D13D4B">
      <w:pPr>
        <w:pStyle w:val="Prrafodelista"/>
        <w:pBdr>
          <w:top w:val="nil"/>
          <w:left w:val="nil"/>
          <w:bottom w:val="nil"/>
          <w:right w:val="nil"/>
          <w:between w:val="nil"/>
        </w:pBdr>
        <w:tabs>
          <w:tab w:val="left" w:pos="7938"/>
        </w:tabs>
        <w:spacing w:line="360" w:lineRule="auto"/>
        <w:ind w:left="360" w:right="902"/>
        <w:jc w:val="both"/>
        <w:rPr>
          <w:rFonts w:ascii="Palatino Linotype" w:eastAsia="Palatino Linotype" w:hAnsi="Palatino Linotype" w:cs="Palatino Linotype"/>
        </w:rPr>
      </w:pPr>
      <w:r w:rsidRPr="00D95EEE">
        <w:rPr>
          <w:rFonts w:ascii="Palatino Linotype" w:eastAsia="Palatino Linotype" w:hAnsi="Palatino Linotype" w:cs="Palatino Linotype"/>
        </w:rPr>
        <w:t>Énfasis propio</w:t>
      </w:r>
    </w:p>
    <w:p w:rsidR="0044042A" w:rsidRPr="00D95EEE" w:rsidRDefault="0044042A" w:rsidP="00D13D4B">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D95EEE">
        <w:rPr>
          <w:rFonts w:ascii="Palatino Linotype" w:eastAsia="Palatino Linotype" w:hAnsi="Palatino Linotype" w:cs="Palatino Linotype"/>
        </w:rPr>
        <w:lastRenderedPageBreak/>
        <w:t xml:space="preserve">Siendo el sobreseimiento un acto que da por terminado el procedimiento </w:t>
      </w:r>
      <w:r w:rsidRPr="00D95EEE">
        <w:rPr>
          <w:rFonts w:ascii="Palatino Linotype" w:hAnsi="Palatino Linotype"/>
          <w:bCs/>
        </w:rPr>
        <w:t>administrativo</w:t>
      </w:r>
      <w:r w:rsidRPr="00D95EEE">
        <w:rPr>
          <w:rFonts w:ascii="Palatino Linotype" w:eastAsia="Palatino Linotype" w:hAnsi="Palatino Linotype" w:cs="Palatino Linotype"/>
        </w:rPr>
        <w:t xml:space="preserve"> de </w:t>
      </w:r>
      <w:r w:rsidRPr="00D95EEE">
        <w:rPr>
          <w:rFonts w:ascii="Palatino Linotype" w:hAnsi="Palatino Linotype"/>
        </w:rPr>
        <w:t>impugnación</w:t>
      </w:r>
      <w:r w:rsidRPr="00D95EEE">
        <w:rPr>
          <w:rFonts w:ascii="Palatino Linotype" w:eastAsia="Palatino Linotype" w:hAnsi="Palatino Linotype" w:cs="Palatino Linotype"/>
        </w:rPr>
        <w:t xml:space="preserve"> sin resolver el fondo de la cuestión planteada, por presentarse causas que impiden a la autoridad referirse a lo sustancial de lo planteado por </w:t>
      </w:r>
      <w:r w:rsidRPr="00D95EEE">
        <w:rPr>
          <w:rFonts w:ascii="Palatino Linotype" w:eastAsia="Palatino Linotype" w:hAnsi="Palatino Linotype" w:cs="Palatino Linotype"/>
          <w:b/>
        </w:rPr>
        <w:t>EL RECURRENTE</w:t>
      </w:r>
      <w:r w:rsidRPr="00D95EEE">
        <w:rPr>
          <w:rFonts w:ascii="Palatino Linotype" w:eastAsia="Palatino Linotype" w:hAnsi="Palatino Linotype" w:cs="Palatino Linotype"/>
        </w:rPr>
        <w:t>, los efectos del sobreseimiento consisten en dar por concluido el recurso administrativo sin entrar al estudio de fondo del asunto de que se trate; lo anterior con apoyo en el criterio del Poder Judicial de la Federación con rubro:</w:t>
      </w:r>
    </w:p>
    <w:p w:rsidR="0044042A" w:rsidRPr="00D95EEE" w:rsidRDefault="0044042A" w:rsidP="00D13D4B">
      <w:pPr>
        <w:pStyle w:val="Prrafodelista"/>
        <w:spacing w:line="360" w:lineRule="auto"/>
        <w:ind w:left="360" w:right="902"/>
        <w:jc w:val="both"/>
        <w:rPr>
          <w:rFonts w:ascii="Palatino Linotype" w:eastAsia="Palatino Linotype" w:hAnsi="Palatino Linotype" w:cs="Palatino Linotype"/>
          <w:b/>
          <w:i/>
        </w:rPr>
      </w:pPr>
      <w:r w:rsidRPr="00D95EEE">
        <w:rPr>
          <w:rFonts w:ascii="Palatino Linotype" w:eastAsia="Palatino Linotype" w:hAnsi="Palatino Linotype" w:cs="Palatino Linotype"/>
          <w:i/>
        </w:rPr>
        <w:t>“</w:t>
      </w:r>
      <w:r w:rsidRPr="00D95EEE">
        <w:rPr>
          <w:rFonts w:ascii="Palatino Linotype" w:eastAsia="Palatino Linotype" w:hAnsi="Palatino Linotype" w:cs="Palatino Linotype"/>
          <w:b/>
          <w:i/>
        </w:rPr>
        <w:t>SOBRESEIMIENTO, NO PERMITE ENTRAR AL ESTUDIO DE LAS CUESTIONES DE FONDO</w:t>
      </w:r>
    </w:p>
    <w:p w:rsidR="0044042A" w:rsidRPr="00D95EEE" w:rsidRDefault="0044042A" w:rsidP="00D13D4B">
      <w:pPr>
        <w:pStyle w:val="Prrafodelista"/>
        <w:spacing w:line="360" w:lineRule="auto"/>
        <w:ind w:left="360" w:right="902"/>
        <w:jc w:val="both"/>
        <w:rPr>
          <w:rFonts w:ascii="Palatino Linotype" w:eastAsia="Palatino Linotype" w:hAnsi="Palatino Linotype" w:cs="Palatino Linotype"/>
          <w:i/>
        </w:rPr>
      </w:pPr>
      <w:r w:rsidRPr="00D95EEE">
        <w:rPr>
          <w:rFonts w:ascii="Palatino Linotype" w:eastAsia="Palatino Linotype" w:hAnsi="Palatino Linotype" w:cs="Palatino Linotype"/>
          <w:i/>
        </w:rPr>
        <w:t>Localización: 213609. II.2o.183 K. Tribunales Colegiados de Circuito. Octava Época. Semanario Judicial de la Federación. Tomo XIII, Febrero de 1994, Pág. 420</w:t>
      </w:r>
    </w:p>
    <w:p w:rsidR="0044042A" w:rsidRPr="00D95EEE" w:rsidRDefault="0044042A" w:rsidP="00D13D4B">
      <w:pPr>
        <w:pStyle w:val="Prrafodelista"/>
        <w:spacing w:line="360" w:lineRule="auto"/>
        <w:ind w:left="360" w:right="902"/>
        <w:jc w:val="both"/>
        <w:rPr>
          <w:rFonts w:ascii="Palatino Linotype" w:eastAsia="Palatino Linotype" w:hAnsi="Palatino Linotype" w:cs="Palatino Linotype"/>
          <w:i/>
        </w:rPr>
      </w:pPr>
      <w:r w:rsidRPr="00D95EEE">
        <w:rPr>
          <w:rFonts w:ascii="Palatino Linotype" w:eastAsia="Palatino Linotype" w:hAnsi="Palatino Linotype" w:cs="Palatino Linotype"/>
          <w:i/>
        </w:rPr>
        <w:t xml:space="preserve">Cuerpo de tesis: No causa agravio la sentencia que no se ocupa de los razonamientos tendientes a demostrar la inconstitucionalidad de los actos reclamados de las autoridades responsables, que constituyen el problema de fondo, si se decreta el sobreseimiento del juicio.” </w:t>
      </w:r>
    </w:p>
    <w:p w:rsidR="0044042A" w:rsidRPr="00D95EEE" w:rsidRDefault="0044042A" w:rsidP="00D13D4B">
      <w:pPr>
        <w:pStyle w:val="Prrafodelista"/>
        <w:spacing w:line="360" w:lineRule="auto"/>
        <w:ind w:left="360" w:right="902"/>
        <w:jc w:val="both"/>
        <w:rPr>
          <w:rFonts w:ascii="Palatino Linotype" w:eastAsia="Palatino Linotype" w:hAnsi="Palatino Linotype" w:cs="Palatino Linotype"/>
          <w:i/>
        </w:rPr>
      </w:pPr>
    </w:p>
    <w:p w:rsidR="0044042A" w:rsidRPr="00D95EEE" w:rsidRDefault="0044042A" w:rsidP="00D13D4B">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D95EEE">
        <w:rPr>
          <w:rFonts w:ascii="Palatino Linotype" w:eastAsia="Palatino Linotype" w:hAnsi="Palatino Linotype" w:cs="Palatino Linotype"/>
        </w:rPr>
        <w:t>Cabe destacar que la decisión de este Organismo Colegiado de sobreseer el recurso de revisión no implica una limitación o negación a la justicia, según lo ha establecido el Poder Judicial Federal, en el criterio que es aplicable por analogía, con rubro:</w:t>
      </w:r>
    </w:p>
    <w:p w:rsidR="0044042A" w:rsidRPr="00D95EEE" w:rsidRDefault="0044042A" w:rsidP="00D13D4B">
      <w:pPr>
        <w:pStyle w:val="Prrafodelista"/>
        <w:spacing w:line="360" w:lineRule="auto"/>
        <w:ind w:left="360" w:right="902"/>
        <w:jc w:val="both"/>
        <w:rPr>
          <w:rFonts w:ascii="Palatino Linotype" w:eastAsia="Palatino Linotype" w:hAnsi="Palatino Linotype" w:cs="Palatino Linotype"/>
          <w:b/>
          <w:i/>
        </w:rPr>
      </w:pPr>
      <w:r w:rsidRPr="00D95EEE">
        <w:rPr>
          <w:rFonts w:ascii="Palatino Linotype" w:eastAsia="Palatino Linotype" w:hAnsi="Palatino Linotype" w:cs="Palatino Linotype"/>
          <w:b/>
          <w:i/>
        </w:rPr>
        <w:t>“DESECHAMIENTO O SOBRESEIMIENTO EN EL JUICIO DE AMPARO. NO IMPLICA DENEGACIÓN DE JUSTICIA NI GENERA INSEGURIDAD JURÍDICA”</w:t>
      </w:r>
    </w:p>
    <w:p w:rsidR="0044042A" w:rsidRPr="00D95EEE" w:rsidRDefault="0044042A" w:rsidP="00D13D4B">
      <w:pPr>
        <w:pStyle w:val="Prrafodelista"/>
        <w:spacing w:line="360" w:lineRule="auto"/>
        <w:ind w:left="360" w:right="902"/>
        <w:jc w:val="both"/>
        <w:rPr>
          <w:rFonts w:ascii="Palatino Linotype" w:eastAsia="Palatino Linotype" w:hAnsi="Palatino Linotype" w:cs="Palatino Linotype"/>
          <w:i/>
        </w:rPr>
      </w:pPr>
      <w:r w:rsidRPr="00D95EEE">
        <w:rPr>
          <w:rFonts w:ascii="Palatino Linotype" w:eastAsia="Palatino Linotype" w:hAnsi="Palatino Linotype" w:cs="Palatino Linotype"/>
          <w:i/>
        </w:rPr>
        <w:t xml:space="preserve">Cuerpo de la tesis: Cuando se desecha una demanda de amparo o se sobresee en el juicio, ello no implica denegar justicia ni genera inseguridad jurídica, ya que la obligación de los tribunales no es tramitar y resolver en el fondo todos los asuntos sometidos a su </w:t>
      </w:r>
      <w:r w:rsidRPr="00D95EEE">
        <w:rPr>
          <w:rFonts w:ascii="Palatino Linotype" w:eastAsia="Palatino Linotype" w:hAnsi="Palatino Linotype" w:cs="Palatino Linotype"/>
          <w:i/>
        </w:rPr>
        <w:lastRenderedPageBreak/>
        <w:t xml:space="preserve">consideración en forma favorable a los intereses del solicitante, sino que se circunscribe a la posibilidad que tiene cualquier individuo de acudir ante los órganos jurisdiccionales, con su promoción (demanda), a la cual debe darse el trámite acorde a las formalidades rectoras del procedimiento respectivo, dentro de las cuales el legislador previó las causales de improcedencia y sobreseimiento. Así, cuando el juzgador o tribunal de amparo se funda en una de ellas para desechar o sobreseer en un juicio, imparte justicia, puesto que el acceso a ella no se ve menoscabado, sino que es efectivo, ni se deja en estado de indefensión al promovente, no obstante sea desfavorable, al no poder negar que se da respuesta a la petición de amparo, con independencia de que no comparta el sentido de la resolución, dado que de esa forma quien imparte justicia se pronuncia sobre la acción, diciendo así el derecho y permitiendo que impere el orden jurídico.” </w:t>
      </w:r>
    </w:p>
    <w:p w:rsidR="0044042A" w:rsidRPr="00D95EEE" w:rsidRDefault="0044042A" w:rsidP="00D13D4B">
      <w:pPr>
        <w:pStyle w:val="Prrafodelista"/>
        <w:spacing w:line="360" w:lineRule="auto"/>
        <w:ind w:left="360" w:right="902"/>
        <w:jc w:val="both"/>
        <w:rPr>
          <w:rFonts w:ascii="Palatino Linotype" w:eastAsia="Palatino Linotype" w:hAnsi="Palatino Linotype" w:cs="Palatino Linotype"/>
          <w:i/>
        </w:rPr>
      </w:pPr>
    </w:p>
    <w:p w:rsidR="00F757BF" w:rsidRPr="00D95EEE" w:rsidRDefault="00F757BF" w:rsidP="00F757BF">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D95EEE">
        <w:rPr>
          <w:rFonts w:ascii="Palatino Linotype" w:eastAsia="Palatino Linotype" w:hAnsi="Palatino Linotype" w:cs="Palatino Linotype"/>
        </w:rPr>
        <w:t xml:space="preserve">Acotado lo anterior, no es ocioso mencionar que relativo a lo requerido, ciertamente se deben contar con avisos de privacidad visibles, accesibles y disponibles para los titulares de los datos al momento en que se recaban, ya sea de forma física, electrónica </w:t>
      </w:r>
      <w:r w:rsidR="00D41356" w:rsidRPr="00D95EEE">
        <w:rPr>
          <w:rFonts w:ascii="Palatino Linotype" w:eastAsia="Palatino Linotype" w:hAnsi="Palatino Linotype" w:cs="Palatino Linotype"/>
        </w:rPr>
        <w:t>o por cualquier otra tecnología;</w:t>
      </w:r>
      <w:r w:rsidRPr="00D95EEE">
        <w:rPr>
          <w:rFonts w:ascii="Palatino Linotype" w:eastAsia="Palatino Linotype" w:hAnsi="Palatino Linotype" w:cs="Palatino Linotype"/>
        </w:rPr>
        <w:t xml:space="preserve"> entendiendo por visible que los avisos deben colocarse en sitios físicos o electrónicos de fácil acceso para que el titular conozca el texto completo antes de proporcionar su información, </w:t>
      </w:r>
      <w:r w:rsidR="00D41356" w:rsidRPr="00D95EEE">
        <w:rPr>
          <w:rFonts w:ascii="Palatino Linotype" w:eastAsia="Palatino Linotype" w:hAnsi="Palatino Linotype" w:cs="Palatino Linotype"/>
        </w:rPr>
        <w:t xml:space="preserve">siendo </w:t>
      </w:r>
      <w:r w:rsidRPr="00D95EEE">
        <w:rPr>
          <w:rFonts w:ascii="Palatino Linotype" w:eastAsia="Palatino Linotype" w:hAnsi="Palatino Linotype" w:cs="Palatino Linotype"/>
        </w:rPr>
        <w:t>más comúnmente el aviso simplificado ya que este debe estar visible cuando se rec</w:t>
      </w:r>
      <w:r w:rsidR="00D41356" w:rsidRPr="00D95EEE">
        <w:rPr>
          <w:rFonts w:ascii="Palatino Linotype" w:eastAsia="Palatino Linotype" w:hAnsi="Palatino Linotype" w:cs="Palatino Linotype"/>
        </w:rPr>
        <w:t>aban datos por medios directos,</w:t>
      </w:r>
      <w:r w:rsidRPr="00D95EEE">
        <w:rPr>
          <w:rFonts w:ascii="Palatino Linotype" w:eastAsia="Palatino Linotype" w:hAnsi="Palatino Linotype" w:cs="Palatino Linotype"/>
        </w:rPr>
        <w:t xml:space="preserve"> utiliza</w:t>
      </w:r>
      <w:r w:rsidR="00D41356" w:rsidRPr="00D95EEE">
        <w:rPr>
          <w:rFonts w:ascii="Palatino Linotype" w:eastAsia="Palatino Linotype" w:hAnsi="Palatino Linotype" w:cs="Palatino Linotype"/>
        </w:rPr>
        <w:t>ndo</w:t>
      </w:r>
      <w:r w:rsidRPr="00D95EEE">
        <w:rPr>
          <w:rFonts w:ascii="Palatino Linotype" w:eastAsia="Palatino Linotype" w:hAnsi="Palatino Linotype" w:cs="Palatino Linotype"/>
        </w:rPr>
        <w:t xml:space="preserve"> un aviso simplificado que incluya la identidad del responsable, finalidades y mecanismos para conocer el aviso integral. No obstante </w:t>
      </w:r>
      <w:r w:rsidR="00D41356" w:rsidRPr="00D95EEE">
        <w:rPr>
          <w:rFonts w:ascii="Palatino Linotype" w:eastAsia="Palatino Linotype" w:hAnsi="Palatino Linotype" w:cs="Palatino Linotype"/>
        </w:rPr>
        <w:t xml:space="preserve">lo anterior </w:t>
      </w:r>
      <w:r w:rsidRPr="00D95EEE">
        <w:rPr>
          <w:rFonts w:ascii="Palatino Linotype" w:eastAsia="Palatino Linotype" w:hAnsi="Palatino Linotype" w:cs="Palatino Linotype"/>
        </w:rPr>
        <w:t xml:space="preserve">no existe una fuente obligacional que constriña a los sujetos obligados a generar un álbum, catalogo o documento similar con evidencias fotográficas de avisos de privacidad de un área específica como lo es </w:t>
      </w:r>
      <w:r w:rsidR="00D41356" w:rsidRPr="00D95EEE">
        <w:rPr>
          <w:rFonts w:ascii="Palatino Linotype" w:eastAsia="Palatino Linotype" w:hAnsi="Palatino Linotype" w:cs="Palatino Linotype"/>
        </w:rPr>
        <w:t xml:space="preserve">en el caso concreto la </w:t>
      </w:r>
      <w:r w:rsidRPr="00D95EEE">
        <w:rPr>
          <w:rFonts w:ascii="Palatino Linotype" w:eastAsia="Palatino Linotype" w:hAnsi="Palatino Linotype" w:cs="Palatino Linotype"/>
        </w:rPr>
        <w:t>Dirección de Desarrollo Económico.</w:t>
      </w:r>
    </w:p>
    <w:p w:rsidR="00F757BF" w:rsidRPr="00D95EEE" w:rsidRDefault="00F757BF" w:rsidP="00F757BF">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D95EEE">
        <w:rPr>
          <w:rFonts w:ascii="Palatino Linotype" w:eastAsia="Palatino Linotype" w:hAnsi="Palatino Linotype" w:cs="Palatino Linotype"/>
        </w:rPr>
        <w:lastRenderedPageBreak/>
        <w:t>Asimismo hacer mención, que el acceso a la información se colma con la entrega del soporte documental en que conste o se advierta lo solicitado</w:t>
      </w:r>
      <w:r w:rsidR="00794056" w:rsidRPr="00D95EEE">
        <w:rPr>
          <w:rFonts w:ascii="Palatino Linotype" w:eastAsia="Palatino Linotype" w:hAnsi="Palatino Linotype" w:cs="Palatino Linotype"/>
        </w:rPr>
        <w:t xml:space="preserve"> previo a la fecha de interposición de una solicitud de información</w:t>
      </w:r>
      <w:r w:rsidRPr="00D95EEE">
        <w:rPr>
          <w:rFonts w:ascii="Palatino Linotype" w:eastAsia="Palatino Linotype" w:hAnsi="Palatino Linotype" w:cs="Palatino Linotype"/>
        </w:rPr>
        <w:t xml:space="preserve">, sin que ello implique que los sujetos obligados generen documentos </w:t>
      </w:r>
      <w:r w:rsidRPr="00D95EEE">
        <w:rPr>
          <w:rFonts w:ascii="Palatino Linotype" w:eastAsia="Palatino Linotype" w:hAnsi="Palatino Linotype" w:cs="Palatino Linotype"/>
          <w:i/>
          <w:iCs/>
        </w:rPr>
        <w:t xml:space="preserve">ad hoc </w:t>
      </w:r>
      <w:r w:rsidRPr="00D95EEE">
        <w:rPr>
          <w:rFonts w:ascii="Palatino Linotype" w:eastAsia="Palatino Linotype" w:hAnsi="Palatino Linotype" w:cs="Palatino Linotype"/>
        </w:rPr>
        <w:t xml:space="preserve">conforme a los intereses particulares de los solicitantes. Sirve como apoyo a lo anterior -por analogía- el </w:t>
      </w:r>
      <w:r w:rsidRPr="00D95EEE">
        <w:rPr>
          <w:rFonts w:ascii="Palatino Linotype" w:eastAsia="Palatino Linotype" w:hAnsi="Palatino Linotype" w:cs="Palatino Linotype"/>
          <w:b/>
          <w:bCs/>
        </w:rPr>
        <w:t xml:space="preserve">Criterio 03/17 </w:t>
      </w:r>
      <w:r w:rsidRPr="00D95EEE">
        <w:rPr>
          <w:rFonts w:ascii="Palatino Linotype" w:eastAsia="Palatino Linotype" w:hAnsi="Palatino Linotype" w:cs="Palatino Linotype"/>
        </w:rPr>
        <w:t>en materia de acceso a la información pública, emitido por el Pleno del entonces Instituto Nacional de Transparencia, Acceso a la Información y Protección de Datos Personales (INAI), que a la letra dice:</w:t>
      </w:r>
    </w:p>
    <w:p w:rsidR="00F757BF" w:rsidRPr="00D95EEE" w:rsidRDefault="00F757BF" w:rsidP="00F757BF">
      <w:pPr>
        <w:pBdr>
          <w:top w:val="nil"/>
          <w:left w:val="nil"/>
          <w:bottom w:val="nil"/>
          <w:right w:val="nil"/>
          <w:between w:val="nil"/>
        </w:pBdr>
        <w:spacing w:line="360" w:lineRule="auto"/>
        <w:ind w:left="567" w:right="618"/>
        <w:jc w:val="both"/>
        <w:rPr>
          <w:rFonts w:ascii="Palatino Linotype" w:eastAsia="Palatino Linotype" w:hAnsi="Palatino Linotype" w:cs="Palatino Linotype"/>
          <w:i/>
          <w:iCs/>
          <w:color w:val="000000"/>
        </w:rPr>
      </w:pPr>
      <w:r w:rsidRPr="00D95EEE">
        <w:rPr>
          <w:rFonts w:ascii="Palatino Linotype" w:eastAsia="Palatino Linotype" w:hAnsi="Palatino Linotype" w:cs="Palatino Linotype"/>
          <w:b/>
          <w:bCs/>
          <w:i/>
          <w:iCs/>
          <w:color w:val="000000"/>
        </w:rPr>
        <w:t xml:space="preserve">“No existe obligación de elaborar documentos ad hoc para atender las solicitudes de acceso a la información. </w:t>
      </w:r>
      <w:r w:rsidRPr="00D95EEE">
        <w:rPr>
          <w:rFonts w:ascii="Palatino Linotype" w:eastAsia="Palatino Linotype" w:hAnsi="Palatino Linotype" w:cs="Palatino Linotype"/>
          <w:i/>
          <w:iCs/>
          <w:color w:val="000000"/>
        </w:rPr>
        <w:t>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rsidR="00794056" w:rsidRPr="00D95EEE" w:rsidRDefault="00794056" w:rsidP="00F757BF">
      <w:pPr>
        <w:pBdr>
          <w:top w:val="nil"/>
          <w:left w:val="nil"/>
          <w:bottom w:val="nil"/>
          <w:right w:val="nil"/>
          <w:between w:val="nil"/>
        </w:pBdr>
        <w:spacing w:line="360" w:lineRule="auto"/>
        <w:ind w:left="567" w:right="618"/>
        <w:jc w:val="both"/>
        <w:rPr>
          <w:rFonts w:ascii="Palatino Linotype" w:eastAsia="Palatino Linotype" w:hAnsi="Palatino Linotype" w:cs="Palatino Linotype"/>
          <w:i/>
          <w:iCs/>
          <w:color w:val="000000"/>
        </w:rPr>
      </w:pPr>
    </w:p>
    <w:p w:rsidR="0044042A" w:rsidRPr="00D95EEE" w:rsidRDefault="00794056" w:rsidP="00471946">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D95EEE">
        <w:rPr>
          <w:rFonts w:ascii="Palatino Linotype" w:eastAsia="Palatino Linotype" w:hAnsi="Palatino Linotype" w:cs="Palatino Linotype"/>
        </w:rPr>
        <w:t>No obstante tampoco hay normatividad o precepto legal que lo impida, por lo que al haberse remitido en el presente asunto lo puntualmente impugnado en calidad de informe justificado, se reitera la procedencia del sobreseimiento</w:t>
      </w:r>
      <w:r w:rsidR="0044042A" w:rsidRPr="00D95EEE">
        <w:rPr>
          <w:rFonts w:ascii="Palatino Linotype" w:eastAsia="Palatino Linotype" w:hAnsi="Palatino Linotype" w:cs="Palatino Linotype"/>
        </w:rPr>
        <w:t xml:space="preserve"> con fundamento en la segunda hipótesis de la fracción I del artículo 186, de la Ley de Transparencia y Acceso a la </w:t>
      </w:r>
      <w:r w:rsidR="0044042A" w:rsidRPr="00D95EEE">
        <w:rPr>
          <w:rFonts w:ascii="Palatino Linotype" w:eastAsia="Palatino Linotype" w:hAnsi="Palatino Linotype" w:cs="Palatino Linotype"/>
        </w:rPr>
        <w:lastRenderedPageBreak/>
        <w:t xml:space="preserve">Información Pública del Estado de México y Municipios, se </w:t>
      </w:r>
      <w:r w:rsidR="0044042A" w:rsidRPr="00D95EEE">
        <w:rPr>
          <w:rFonts w:ascii="Palatino Linotype" w:eastAsia="Palatino Linotype" w:hAnsi="Palatino Linotype" w:cs="Palatino Linotype"/>
          <w:b/>
        </w:rPr>
        <w:t xml:space="preserve">sobresee </w:t>
      </w:r>
      <w:r w:rsidR="0044042A" w:rsidRPr="00D95EEE">
        <w:rPr>
          <w:rFonts w:ascii="Palatino Linotype" w:eastAsia="Palatino Linotype" w:hAnsi="Palatino Linotype" w:cs="Palatino Linotype"/>
        </w:rPr>
        <w:t xml:space="preserve">el Recurso de Revisión </w:t>
      </w:r>
      <w:r w:rsidR="00252B9F" w:rsidRPr="00D95EEE">
        <w:rPr>
          <w:rFonts w:ascii="Palatino Linotype" w:eastAsia="Palatino Linotype" w:hAnsi="Palatino Linotype" w:cs="Palatino Linotype"/>
          <w:b/>
        </w:rPr>
        <w:t>14133/INFOEM/IP/RR/2025</w:t>
      </w:r>
      <w:r w:rsidR="0044042A" w:rsidRPr="00D95EEE">
        <w:rPr>
          <w:rFonts w:ascii="Palatino Linotype" w:eastAsia="Palatino Linotype" w:hAnsi="Palatino Linotype" w:cs="Palatino Linotype"/>
        </w:rPr>
        <w:t>, que ha sido materia del presente fallo.</w:t>
      </w:r>
    </w:p>
    <w:p w:rsidR="009D364A" w:rsidRPr="00D95EEE" w:rsidRDefault="009D364A" w:rsidP="00D13D4B">
      <w:pPr>
        <w:pBdr>
          <w:top w:val="nil"/>
          <w:left w:val="nil"/>
          <w:bottom w:val="nil"/>
          <w:right w:val="nil"/>
          <w:between w:val="nil"/>
        </w:pBdr>
        <w:spacing w:line="360" w:lineRule="auto"/>
        <w:ind w:right="49"/>
        <w:jc w:val="both"/>
        <w:rPr>
          <w:rFonts w:ascii="Palatino Linotype" w:hAnsi="Palatino Linotype" w:cs="Arial"/>
          <w:color w:val="000000" w:themeColor="text1"/>
        </w:rPr>
      </w:pPr>
    </w:p>
    <w:p w:rsidR="0044042A" w:rsidRPr="00D95EEE" w:rsidRDefault="0044042A" w:rsidP="00D13D4B">
      <w:pPr>
        <w:numPr>
          <w:ilvl w:val="0"/>
          <w:numId w:val="1"/>
        </w:numPr>
        <w:pBdr>
          <w:top w:val="nil"/>
          <w:left w:val="nil"/>
          <w:bottom w:val="nil"/>
          <w:right w:val="nil"/>
          <w:between w:val="nil"/>
        </w:pBdr>
        <w:spacing w:line="360" w:lineRule="auto"/>
        <w:ind w:left="0" w:right="49" w:firstLine="0"/>
        <w:jc w:val="both"/>
        <w:rPr>
          <w:rFonts w:ascii="Palatino Linotype" w:hAnsi="Palatino Linotype" w:cs="Arial"/>
          <w:color w:val="000000" w:themeColor="text1"/>
        </w:rPr>
      </w:pPr>
      <w:r w:rsidRPr="00D95EEE">
        <w:rPr>
          <w:rFonts w:ascii="Palatino Linotype" w:eastAsia="Palatino Linotype" w:hAnsi="Palatino Linotype" w:cs="Palatino Linotype"/>
        </w:rPr>
        <w:t>Así, con fundamento en lo prescrito en los artículos 5 párrafos trigésimo, trigésimo primero y trigésimo segundo de la Constitución Política del Estado Libre y Soberano de México; 2, fracción II; 29, 36 fracciones I y II; 176, 178, 181, 185 y 186 fracción II de la Ley de Transparencia y Acceso a la Información Pública del Estado de México y Municipios, este Pleno</w:t>
      </w:r>
      <w:r w:rsidRPr="00D95EEE">
        <w:rPr>
          <w:rFonts w:ascii="Palatino Linotype" w:eastAsia="Palatino Linotype" w:hAnsi="Palatino Linotype" w:cs="Palatino Linotype"/>
          <w:color w:val="000000"/>
        </w:rPr>
        <w:t xml:space="preserve"> emite los siguientes:</w:t>
      </w:r>
    </w:p>
    <w:p w:rsidR="0044042A" w:rsidRPr="00D95EEE" w:rsidRDefault="0044042A" w:rsidP="00D13D4B">
      <w:pPr>
        <w:spacing w:line="360" w:lineRule="auto"/>
        <w:contextualSpacing/>
        <w:jc w:val="center"/>
        <w:rPr>
          <w:rFonts w:ascii="Palatino Linotype" w:eastAsia="Palatino Linotype" w:hAnsi="Palatino Linotype" w:cs="Palatino Linotype"/>
        </w:rPr>
      </w:pPr>
    </w:p>
    <w:p w:rsidR="0044042A" w:rsidRPr="00D95EEE" w:rsidRDefault="0044042A" w:rsidP="00D13D4B">
      <w:pPr>
        <w:pBdr>
          <w:top w:val="nil"/>
          <w:left w:val="nil"/>
          <w:bottom w:val="nil"/>
          <w:right w:val="nil"/>
          <w:between w:val="nil"/>
        </w:pBdr>
        <w:spacing w:line="360" w:lineRule="auto"/>
        <w:jc w:val="center"/>
        <w:rPr>
          <w:rFonts w:ascii="Palatino Linotype" w:eastAsia="Palatino Linotype" w:hAnsi="Palatino Linotype" w:cs="Palatino Linotype"/>
          <w:b/>
        </w:rPr>
      </w:pPr>
      <w:r w:rsidRPr="00D95EEE">
        <w:rPr>
          <w:rFonts w:ascii="Palatino Linotype" w:eastAsia="Palatino Linotype" w:hAnsi="Palatino Linotype" w:cs="Palatino Linotype"/>
          <w:b/>
        </w:rPr>
        <w:t>R E S O L U T I V O S</w:t>
      </w:r>
    </w:p>
    <w:p w:rsidR="0044042A" w:rsidRPr="00D95EEE" w:rsidRDefault="0044042A" w:rsidP="00D13D4B">
      <w:pPr>
        <w:pBdr>
          <w:top w:val="nil"/>
          <w:left w:val="nil"/>
          <w:bottom w:val="nil"/>
          <w:right w:val="nil"/>
          <w:between w:val="nil"/>
        </w:pBdr>
        <w:spacing w:line="360" w:lineRule="auto"/>
        <w:jc w:val="center"/>
        <w:rPr>
          <w:rFonts w:ascii="Palatino Linotype" w:eastAsia="Palatino Linotype" w:hAnsi="Palatino Linotype" w:cs="Palatino Linotype"/>
          <w:b/>
        </w:rPr>
      </w:pPr>
    </w:p>
    <w:p w:rsidR="0044042A" w:rsidRPr="00D95EEE" w:rsidRDefault="0044042A" w:rsidP="00D13D4B">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r w:rsidRPr="00D95EEE">
        <w:rPr>
          <w:rFonts w:ascii="Palatino Linotype" w:eastAsia="Palatino Linotype" w:hAnsi="Palatino Linotype" w:cs="Palatino Linotype"/>
          <w:b/>
          <w:color w:val="000000"/>
        </w:rPr>
        <w:t xml:space="preserve">PRIMERO. </w:t>
      </w:r>
      <w:r w:rsidRPr="00D95EEE">
        <w:rPr>
          <w:rFonts w:ascii="Palatino Linotype" w:eastAsia="Palatino Linotype" w:hAnsi="Palatino Linotype" w:cs="Palatino Linotype"/>
          <w:color w:val="000000"/>
        </w:rPr>
        <w:t xml:space="preserve">Se </w:t>
      </w:r>
      <w:r w:rsidRPr="00D95EEE">
        <w:rPr>
          <w:rFonts w:ascii="Palatino Linotype" w:eastAsia="Palatino Linotype" w:hAnsi="Palatino Linotype" w:cs="Palatino Linotype"/>
          <w:b/>
          <w:color w:val="000000"/>
        </w:rPr>
        <w:t>SOBRESEE</w:t>
      </w:r>
      <w:r w:rsidRPr="00D95EEE">
        <w:rPr>
          <w:rFonts w:ascii="Palatino Linotype" w:eastAsia="Palatino Linotype" w:hAnsi="Palatino Linotype" w:cs="Palatino Linotype"/>
          <w:color w:val="000000"/>
        </w:rPr>
        <w:t xml:space="preserve"> el Recurso de Revisión número </w:t>
      </w:r>
      <w:r w:rsidR="00252B9F" w:rsidRPr="00D95EEE">
        <w:rPr>
          <w:rFonts w:ascii="Palatino Linotype" w:eastAsia="Palatino Linotype" w:hAnsi="Palatino Linotype" w:cs="Palatino Linotype"/>
          <w:b/>
          <w:color w:val="000000"/>
        </w:rPr>
        <w:t>14133/INFOEM/IP/RR/2025</w:t>
      </w:r>
      <w:r w:rsidRPr="00D95EEE">
        <w:rPr>
          <w:rFonts w:ascii="Palatino Linotype" w:eastAsia="Palatino Linotype" w:hAnsi="Palatino Linotype" w:cs="Palatino Linotype"/>
          <w:color w:val="000000"/>
        </w:rPr>
        <w:t>, conforme al artículo 192</w:t>
      </w:r>
      <w:r w:rsidR="006A4584" w:rsidRPr="00D95EEE">
        <w:rPr>
          <w:rFonts w:ascii="Palatino Linotype" w:eastAsia="Palatino Linotype" w:hAnsi="Palatino Linotype" w:cs="Palatino Linotype"/>
          <w:color w:val="000000"/>
        </w:rPr>
        <w:t>,</w:t>
      </w:r>
      <w:r w:rsidRPr="00D95EEE">
        <w:rPr>
          <w:rFonts w:ascii="Palatino Linotype" w:eastAsia="Palatino Linotype" w:hAnsi="Palatino Linotype" w:cs="Palatino Linotype"/>
          <w:color w:val="000000"/>
        </w:rPr>
        <w:t xml:space="preserve"> fracción III</w:t>
      </w:r>
      <w:r w:rsidR="006A4584" w:rsidRPr="00D95EEE">
        <w:rPr>
          <w:rFonts w:ascii="Palatino Linotype" w:eastAsia="Palatino Linotype" w:hAnsi="Palatino Linotype" w:cs="Palatino Linotype"/>
          <w:color w:val="000000"/>
        </w:rPr>
        <w:t>,</w:t>
      </w:r>
      <w:r w:rsidRPr="00D95EEE">
        <w:rPr>
          <w:rFonts w:ascii="Palatino Linotype" w:eastAsia="Palatino Linotype" w:hAnsi="Palatino Linotype" w:cs="Palatino Linotype"/>
        </w:rPr>
        <w:t xml:space="preserve"> de la Ley de Transparencia y Acceso a la Información Pública del Estado de México y Municipios</w:t>
      </w:r>
      <w:r w:rsidRPr="00D95EEE">
        <w:rPr>
          <w:rFonts w:ascii="Palatino Linotype" w:eastAsia="Palatino Linotype" w:hAnsi="Palatino Linotype" w:cs="Palatino Linotype"/>
          <w:color w:val="000000"/>
        </w:rPr>
        <w:t xml:space="preserve">, porque al modificar su respuesta el </w:t>
      </w:r>
      <w:r w:rsidRPr="00D95EEE">
        <w:rPr>
          <w:rFonts w:ascii="Palatino Linotype" w:eastAsia="Palatino Linotype" w:hAnsi="Palatino Linotype" w:cs="Palatino Linotype"/>
          <w:b/>
          <w:color w:val="000000"/>
        </w:rPr>
        <w:t>SUJETO OBLIGADO</w:t>
      </w:r>
      <w:r w:rsidRPr="00D95EEE">
        <w:rPr>
          <w:rFonts w:ascii="Palatino Linotype" w:eastAsia="Palatino Linotype" w:hAnsi="Palatino Linotype" w:cs="Palatino Linotype"/>
          <w:color w:val="000000"/>
        </w:rPr>
        <w:t xml:space="preserve">; el Recurso de Revisión quedó sin materia en términos del  Considerando </w:t>
      </w:r>
      <w:r w:rsidRPr="00D95EEE">
        <w:rPr>
          <w:rFonts w:ascii="Palatino Linotype" w:eastAsia="Palatino Linotype" w:hAnsi="Palatino Linotype" w:cs="Palatino Linotype"/>
          <w:b/>
          <w:color w:val="000000"/>
        </w:rPr>
        <w:t>TERCERO</w:t>
      </w:r>
      <w:r w:rsidRPr="00D95EEE">
        <w:rPr>
          <w:rFonts w:ascii="Palatino Linotype" w:eastAsia="Palatino Linotype" w:hAnsi="Palatino Linotype" w:cs="Palatino Linotype"/>
          <w:color w:val="000000"/>
        </w:rPr>
        <w:t xml:space="preserve"> de la presente Resolución.</w:t>
      </w:r>
    </w:p>
    <w:p w:rsidR="0044042A" w:rsidRPr="00D95EEE" w:rsidRDefault="0044042A" w:rsidP="00D13D4B">
      <w:pPr>
        <w:spacing w:line="360" w:lineRule="auto"/>
        <w:ind w:right="49"/>
        <w:jc w:val="both"/>
        <w:rPr>
          <w:rFonts w:ascii="Palatino Linotype" w:eastAsia="Palatino Linotype" w:hAnsi="Palatino Linotype" w:cs="Palatino Linotype"/>
          <w:b/>
        </w:rPr>
      </w:pPr>
    </w:p>
    <w:p w:rsidR="0044042A" w:rsidRPr="00D95EEE" w:rsidRDefault="0044042A" w:rsidP="00D13D4B">
      <w:pPr>
        <w:pBdr>
          <w:top w:val="nil"/>
          <w:left w:val="nil"/>
          <w:bottom w:val="nil"/>
          <w:right w:val="nil"/>
          <w:between w:val="nil"/>
        </w:pBdr>
        <w:spacing w:line="360" w:lineRule="auto"/>
        <w:ind w:right="49"/>
        <w:jc w:val="both"/>
        <w:rPr>
          <w:rFonts w:ascii="Palatino Linotype" w:eastAsia="Palatino Linotype" w:hAnsi="Palatino Linotype" w:cs="Palatino Linotype"/>
          <w:b/>
          <w:color w:val="000000"/>
        </w:rPr>
      </w:pPr>
      <w:bookmarkStart w:id="32" w:name="_heading=h.35nkun2" w:colFirst="0" w:colLast="0"/>
      <w:bookmarkEnd w:id="32"/>
      <w:r w:rsidRPr="00D95EEE">
        <w:rPr>
          <w:rFonts w:ascii="Palatino Linotype" w:eastAsia="Palatino Linotype" w:hAnsi="Palatino Linotype" w:cs="Palatino Linotype"/>
          <w:b/>
          <w:color w:val="000000"/>
        </w:rPr>
        <w:t xml:space="preserve">SEGUNDO. Notifíquese </w:t>
      </w:r>
      <w:r w:rsidRPr="00D95EEE">
        <w:rPr>
          <w:rFonts w:ascii="Palatino Linotype" w:eastAsia="Palatino Linotype" w:hAnsi="Palatino Linotype" w:cs="Palatino Linotype"/>
          <w:color w:val="000000"/>
        </w:rPr>
        <w:t xml:space="preserve">a través del Sistema de Acceso a la Información Mexiquense </w:t>
      </w:r>
      <w:r w:rsidRPr="00D95EEE">
        <w:rPr>
          <w:rFonts w:ascii="Palatino Linotype" w:eastAsia="Palatino Linotype" w:hAnsi="Palatino Linotype" w:cs="Palatino Linotype"/>
          <w:b/>
          <w:color w:val="000000"/>
        </w:rPr>
        <w:t xml:space="preserve">(SAIMEX) </w:t>
      </w:r>
      <w:r w:rsidRPr="00D95EEE">
        <w:rPr>
          <w:rFonts w:ascii="Palatino Linotype" w:eastAsia="Palatino Linotype" w:hAnsi="Palatino Linotype" w:cs="Palatino Linotype"/>
          <w:color w:val="000000"/>
        </w:rPr>
        <w:t>la presente Resolución al Titular de la Unidad de Transparencia del</w:t>
      </w:r>
      <w:r w:rsidRPr="00D95EEE">
        <w:rPr>
          <w:rFonts w:ascii="Palatino Linotype" w:eastAsia="Palatino Linotype" w:hAnsi="Palatino Linotype" w:cs="Palatino Linotype"/>
          <w:b/>
          <w:color w:val="000000"/>
        </w:rPr>
        <w:t xml:space="preserve"> SUJETO OBLIGADO</w:t>
      </w:r>
      <w:r w:rsidRPr="00D95EEE">
        <w:rPr>
          <w:rFonts w:ascii="Palatino Linotype" w:eastAsia="Palatino Linotype" w:hAnsi="Palatino Linotype" w:cs="Palatino Linotype"/>
          <w:color w:val="000000"/>
        </w:rPr>
        <w:t>, para su conocimiento.</w:t>
      </w:r>
      <w:r w:rsidRPr="00D95EEE">
        <w:rPr>
          <w:rFonts w:ascii="Palatino Linotype" w:eastAsia="Palatino Linotype" w:hAnsi="Palatino Linotype" w:cs="Palatino Linotype"/>
          <w:b/>
          <w:color w:val="000000"/>
        </w:rPr>
        <w:t xml:space="preserve"> </w:t>
      </w:r>
    </w:p>
    <w:p w:rsidR="00794056" w:rsidRPr="00D95EEE" w:rsidRDefault="00794056" w:rsidP="00D13D4B">
      <w:pPr>
        <w:pBdr>
          <w:top w:val="nil"/>
          <w:left w:val="nil"/>
          <w:bottom w:val="nil"/>
          <w:right w:val="nil"/>
          <w:between w:val="nil"/>
        </w:pBdr>
        <w:spacing w:line="360" w:lineRule="auto"/>
        <w:ind w:right="49"/>
        <w:jc w:val="both"/>
        <w:rPr>
          <w:rFonts w:ascii="Palatino Linotype" w:eastAsia="Palatino Linotype" w:hAnsi="Palatino Linotype" w:cs="Palatino Linotype"/>
          <w:b/>
          <w:color w:val="000000"/>
        </w:rPr>
      </w:pPr>
    </w:p>
    <w:p w:rsidR="0044042A" w:rsidRPr="00D95EEE" w:rsidRDefault="0044042A" w:rsidP="00D13D4B">
      <w:pPr>
        <w:pBdr>
          <w:top w:val="nil"/>
          <w:left w:val="nil"/>
          <w:bottom w:val="nil"/>
          <w:right w:val="nil"/>
          <w:between w:val="nil"/>
        </w:pBdr>
        <w:spacing w:line="360" w:lineRule="auto"/>
        <w:ind w:right="49"/>
        <w:jc w:val="both"/>
        <w:rPr>
          <w:rFonts w:ascii="Palatino Linotype" w:eastAsia="Palatino Linotype" w:hAnsi="Palatino Linotype" w:cs="Palatino Linotype"/>
          <w:b/>
          <w:color w:val="000000"/>
        </w:rPr>
      </w:pPr>
      <w:r w:rsidRPr="00D95EEE">
        <w:rPr>
          <w:rFonts w:ascii="Palatino Linotype" w:eastAsia="Palatino Linotype" w:hAnsi="Palatino Linotype" w:cs="Palatino Linotype"/>
          <w:b/>
          <w:color w:val="000000"/>
        </w:rPr>
        <w:t xml:space="preserve">TERCERO. Notifíquese </w:t>
      </w:r>
      <w:r w:rsidRPr="00D95EEE">
        <w:rPr>
          <w:rFonts w:ascii="Palatino Linotype" w:eastAsia="Palatino Linotype" w:hAnsi="Palatino Linotype" w:cs="Palatino Linotype"/>
          <w:color w:val="000000"/>
        </w:rPr>
        <w:t xml:space="preserve">a </w:t>
      </w:r>
      <w:r w:rsidRPr="00D95EEE">
        <w:rPr>
          <w:rFonts w:ascii="Palatino Linotype" w:eastAsia="Palatino Linotype" w:hAnsi="Palatino Linotype" w:cs="Palatino Linotype"/>
          <w:b/>
          <w:color w:val="000000"/>
        </w:rPr>
        <w:t xml:space="preserve">EL RECURRENTE </w:t>
      </w:r>
      <w:r w:rsidRPr="00D95EEE">
        <w:rPr>
          <w:rFonts w:ascii="Palatino Linotype" w:eastAsia="Palatino Linotype" w:hAnsi="Palatino Linotype" w:cs="Palatino Linotype"/>
          <w:color w:val="000000"/>
        </w:rPr>
        <w:t xml:space="preserve">la presente Resolución, vía </w:t>
      </w:r>
      <w:r w:rsidRPr="00D95EEE">
        <w:rPr>
          <w:rFonts w:ascii="Palatino Linotype" w:eastAsia="Palatino Linotype" w:hAnsi="Palatino Linotype" w:cs="Palatino Linotype"/>
          <w:b/>
          <w:color w:val="000000"/>
        </w:rPr>
        <w:t>SAIMEX.</w:t>
      </w:r>
    </w:p>
    <w:p w:rsidR="00D13D4B" w:rsidRPr="00D95EEE" w:rsidRDefault="00D13D4B" w:rsidP="00D13D4B">
      <w:pPr>
        <w:pBdr>
          <w:top w:val="nil"/>
          <w:left w:val="nil"/>
          <w:bottom w:val="nil"/>
          <w:right w:val="nil"/>
          <w:between w:val="nil"/>
        </w:pBdr>
        <w:spacing w:line="360" w:lineRule="auto"/>
        <w:ind w:right="49"/>
        <w:jc w:val="both"/>
        <w:rPr>
          <w:rFonts w:ascii="Palatino Linotype" w:eastAsia="Palatino Linotype" w:hAnsi="Palatino Linotype" w:cs="Palatino Linotype"/>
          <w:b/>
          <w:color w:val="000000"/>
        </w:rPr>
      </w:pPr>
    </w:p>
    <w:p w:rsidR="0044042A" w:rsidRPr="00D95EEE" w:rsidRDefault="0044042A" w:rsidP="00D13D4B">
      <w:pPr>
        <w:shd w:val="clear" w:color="auto" w:fill="FFFFFF"/>
        <w:spacing w:line="360" w:lineRule="auto"/>
        <w:ind w:right="49"/>
        <w:jc w:val="both"/>
        <w:rPr>
          <w:rFonts w:ascii="Palatino Linotype" w:eastAsia="Palatino Linotype" w:hAnsi="Palatino Linotype" w:cs="Palatino Linotype"/>
        </w:rPr>
      </w:pPr>
      <w:r w:rsidRPr="00D95EEE">
        <w:rPr>
          <w:rFonts w:ascii="Palatino Linotype" w:eastAsia="Palatino Linotype" w:hAnsi="Palatino Linotype" w:cs="Palatino Linotype"/>
          <w:b/>
        </w:rPr>
        <w:lastRenderedPageBreak/>
        <w:t>CUARTO.</w:t>
      </w:r>
      <w:r w:rsidRPr="00D95EEE">
        <w:rPr>
          <w:rFonts w:ascii="Palatino Linotype" w:eastAsia="Palatino Linotype" w:hAnsi="Palatino Linotype" w:cs="Palatino Linotype"/>
        </w:rPr>
        <w:t xml:space="preserve"> Se hace del conocimiento de </w:t>
      </w:r>
      <w:r w:rsidRPr="00D95EEE">
        <w:rPr>
          <w:rFonts w:ascii="Palatino Linotype" w:eastAsia="Palatino Linotype" w:hAnsi="Palatino Linotype" w:cs="Palatino Linotype"/>
          <w:b/>
        </w:rPr>
        <w:t xml:space="preserve">EL RECURRENTE </w:t>
      </w:r>
      <w:r w:rsidRPr="00D95EEE">
        <w:rPr>
          <w:rFonts w:ascii="Palatino Linotype" w:eastAsia="Palatino Linotype" w:hAnsi="Palatino Linotype" w:cs="Palatino Linotype"/>
        </w:rPr>
        <w:t>que de conformidad con lo establecido en el artículo 196 de la Ley de Transparencia y Acceso a la Información Pública del Estado de México y Municipios, e</w:t>
      </w:r>
      <w:r w:rsidR="00D13D4B" w:rsidRPr="00D95EEE">
        <w:rPr>
          <w:rFonts w:ascii="Palatino Linotype" w:eastAsia="Palatino Linotype" w:hAnsi="Palatino Linotype" w:cs="Palatino Linotype"/>
        </w:rPr>
        <w:t>n caso de que considere que la R</w:t>
      </w:r>
      <w:r w:rsidRPr="00D95EEE">
        <w:rPr>
          <w:rFonts w:ascii="Palatino Linotype" w:eastAsia="Palatino Linotype" w:hAnsi="Palatino Linotype" w:cs="Palatino Linotype"/>
        </w:rPr>
        <w:t>esolución le cause algún perjuicio podrá impugnar vía juicio de amparo en los términos de las leyes aplicables.</w:t>
      </w:r>
    </w:p>
    <w:p w:rsidR="00083BB7" w:rsidRPr="00D95EEE" w:rsidRDefault="00083BB7" w:rsidP="00D13D4B">
      <w:pPr>
        <w:shd w:val="clear" w:color="auto" w:fill="FFFFFF"/>
        <w:spacing w:line="360" w:lineRule="auto"/>
        <w:ind w:right="49"/>
        <w:jc w:val="both"/>
        <w:rPr>
          <w:rFonts w:ascii="Palatino Linotype" w:eastAsia="Palatino Linotype" w:hAnsi="Palatino Linotype" w:cs="Palatino Linotype"/>
        </w:rPr>
      </w:pPr>
    </w:p>
    <w:p w:rsidR="006A4584" w:rsidRPr="00D95EEE" w:rsidRDefault="006A4584" w:rsidP="006A4584">
      <w:pPr>
        <w:spacing w:before="240" w:after="240" w:line="360" w:lineRule="auto"/>
        <w:ind w:firstLine="1"/>
        <w:jc w:val="both"/>
        <w:rPr>
          <w:rFonts w:ascii="Palatino Linotype" w:hAnsi="Palatino Linotype"/>
        </w:rPr>
      </w:pPr>
      <w:bookmarkStart w:id="33" w:name="_Hlk99014733"/>
      <w:r w:rsidRPr="00D95EEE">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QUINTA SESIÓN ORDINARIA, CELEBRADA EL ONCE (11) DE FEBRERO DE DOS MIL VEINTISÉIS, ANTE EL SECRETARIO TÉCNICO DEL PLENO </w:t>
      </w:r>
      <w:r w:rsidRPr="00D95EEE">
        <w:rPr>
          <w:rFonts w:ascii="Palatino Linotype" w:hAnsi="Palatino Linotype" w:cs="Palatino Linotype"/>
          <w:color w:val="000000" w:themeColor="text1"/>
        </w:rPr>
        <w:t>ALEXIS TAPIA RAMÍREZ.</w:t>
      </w:r>
    </w:p>
    <w:bookmarkEnd w:id="33"/>
    <w:p w:rsidR="00B84DF1" w:rsidRPr="00D95EEE" w:rsidRDefault="00B84DF1" w:rsidP="00D13D4B">
      <w:pPr>
        <w:spacing w:line="360" w:lineRule="auto"/>
        <w:ind w:right="49"/>
        <w:rPr>
          <w:rFonts w:ascii="Palatino Linotype" w:eastAsia="Palatino Linotype" w:hAnsi="Palatino Linotype" w:cs="Palatino Linotype"/>
        </w:rPr>
      </w:pPr>
    </w:p>
    <w:p w:rsidR="00B84DF1" w:rsidRPr="00D95EEE" w:rsidRDefault="00B84DF1" w:rsidP="00D13D4B">
      <w:pPr>
        <w:spacing w:line="360" w:lineRule="auto"/>
        <w:ind w:right="49"/>
        <w:rPr>
          <w:rFonts w:ascii="Palatino Linotype" w:eastAsia="Palatino Linotype" w:hAnsi="Palatino Linotype" w:cs="Palatino Linotype"/>
        </w:rPr>
      </w:pPr>
    </w:p>
    <w:p w:rsidR="00B84DF1" w:rsidRPr="00D95EEE" w:rsidRDefault="00B84DF1" w:rsidP="00D13D4B">
      <w:pPr>
        <w:spacing w:line="360" w:lineRule="auto"/>
        <w:ind w:right="49"/>
        <w:rPr>
          <w:rFonts w:ascii="Palatino Linotype" w:eastAsia="Palatino Linotype" w:hAnsi="Palatino Linotype" w:cs="Palatino Linotype"/>
        </w:rPr>
      </w:pPr>
    </w:p>
    <w:p w:rsidR="00B84DF1" w:rsidRPr="00D95EEE" w:rsidRDefault="009D3673" w:rsidP="00D13D4B">
      <w:pPr>
        <w:tabs>
          <w:tab w:val="left" w:pos="3374"/>
        </w:tabs>
        <w:spacing w:line="360" w:lineRule="auto"/>
        <w:ind w:right="49"/>
        <w:rPr>
          <w:rFonts w:ascii="Palatino Linotype" w:eastAsia="Palatino Linotype" w:hAnsi="Palatino Linotype" w:cs="Palatino Linotype"/>
        </w:rPr>
      </w:pPr>
      <w:r w:rsidRPr="00D95EEE">
        <w:rPr>
          <w:rFonts w:ascii="Palatino Linotype" w:eastAsia="Palatino Linotype" w:hAnsi="Palatino Linotype" w:cs="Palatino Linotype"/>
        </w:rPr>
        <w:tab/>
      </w:r>
    </w:p>
    <w:p w:rsidR="00B84DF1" w:rsidRPr="00D95EEE" w:rsidRDefault="00B84DF1" w:rsidP="00D13D4B">
      <w:pPr>
        <w:tabs>
          <w:tab w:val="left" w:pos="3374"/>
        </w:tabs>
        <w:spacing w:line="360" w:lineRule="auto"/>
        <w:ind w:right="49"/>
        <w:rPr>
          <w:rFonts w:ascii="Palatino Linotype" w:eastAsia="Palatino Linotype" w:hAnsi="Palatino Linotype" w:cs="Palatino Linotype"/>
        </w:rPr>
      </w:pPr>
    </w:p>
    <w:p w:rsidR="00B84DF1" w:rsidRPr="00D95EEE" w:rsidRDefault="00B84DF1" w:rsidP="00D13D4B">
      <w:pPr>
        <w:tabs>
          <w:tab w:val="left" w:pos="3374"/>
        </w:tabs>
        <w:spacing w:line="360" w:lineRule="auto"/>
        <w:ind w:right="49"/>
        <w:rPr>
          <w:rFonts w:ascii="Palatino Linotype" w:eastAsia="Palatino Linotype" w:hAnsi="Palatino Linotype" w:cs="Palatino Linotype"/>
        </w:rPr>
      </w:pPr>
    </w:p>
    <w:p w:rsidR="00B84DF1" w:rsidRPr="00D95EEE" w:rsidRDefault="00B84DF1" w:rsidP="00D13D4B">
      <w:pPr>
        <w:tabs>
          <w:tab w:val="left" w:pos="3374"/>
        </w:tabs>
        <w:spacing w:line="360" w:lineRule="auto"/>
        <w:ind w:right="49"/>
        <w:rPr>
          <w:rFonts w:ascii="Palatino Linotype" w:eastAsia="Palatino Linotype" w:hAnsi="Palatino Linotype" w:cs="Palatino Linotype"/>
        </w:rPr>
      </w:pPr>
    </w:p>
    <w:p w:rsidR="00B84DF1" w:rsidRPr="00D95EEE" w:rsidRDefault="00B84DF1" w:rsidP="00D13D4B">
      <w:pPr>
        <w:tabs>
          <w:tab w:val="left" w:pos="3374"/>
        </w:tabs>
        <w:spacing w:line="360" w:lineRule="auto"/>
        <w:ind w:right="49"/>
        <w:rPr>
          <w:rFonts w:ascii="Palatino Linotype" w:eastAsia="Palatino Linotype" w:hAnsi="Palatino Linotype" w:cs="Palatino Linotype"/>
        </w:rPr>
      </w:pPr>
    </w:p>
    <w:p w:rsidR="00B84DF1" w:rsidRPr="00D95EEE" w:rsidRDefault="00B84DF1" w:rsidP="00D13D4B">
      <w:pPr>
        <w:tabs>
          <w:tab w:val="left" w:pos="3374"/>
        </w:tabs>
        <w:spacing w:line="360" w:lineRule="auto"/>
        <w:ind w:right="49"/>
        <w:rPr>
          <w:rFonts w:ascii="Palatino Linotype" w:eastAsia="Palatino Linotype" w:hAnsi="Palatino Linotype" w:cs="Palatino Linotype"/>
        </w:rPr>
      </w:pPr>
    </w:p>
    <w:p w:rsidR="00B84DF1" w:rsidRPr="00D95EEE" w:rsidRDefault="00B84DF1" w:rsidP="00D13D4B">
      <w:pPr>
        <w:tabs>
          <w:tab w:val="left" w:pos="3374"/>
        </w:tabs>
        <w:spacing w:line="360" w:lineRule="auto"/>
        <w:ind w:right="49"/>
        <w:rPr>
          <w:rFonts w:ascii="Palatino Linotype" w:eastAsia="Palatino Linotype" w:hAnsi="Palatino Linotype" w:cs="Palatino Linotype"/>
        </w:rPr>
      </w:pPr>
    </w:p>
    <w:p w:rsidR="00B84DF1" w:rsidRPr="00D95EEE" w:rsidRDefault="00B84DF1" w:rsidP="00D13D4B">
      <w:pPr>
        <w:tabs>
          <w:tab w:val="left" w:pos="3374"/>
        </w:tabs>
        <w:spacing w:line="360" w:lineRule="auto"/>
        <w:ind w:right="49"/>
        <w:rPr>
          <w:rFonts w:ascii="Palatino Linotype" w:eastAsia="Palatino Linotype" w:hAnsi="Palatino Linotype" w:cs="Palatino Linotype"/>
        </w:rPr>
      </w:pPr>
    </w:p>
    <w:p w:rsidR="00B84DF1" w:rsidRPr="00D95EEE" w:rsidRDefault="00B84DF1" w:rsidP="00D13D4B">
      <w:pPr>
        <w:tabs>
          <w:tab w:val="left" w:pos="3374"/>
        </w:tabs>
        <w:spacing w:line="360" w:lineRule="auto"/>
        <w:ind w:right="49"/>
        <w:rPr>
          <w:rFonts w:ascii="Palatino Linotype" w:eastAsia="Palatino Linotype" w:hAnsi="Palatino Linotype" w:cs="Palatino Linotype"/>
        </w:rPr>
      </w:pPr>
    </w:p>
    <w:p w:rsidR="00B84DF1" w:rsidRPr="00D95EEE" w:rsidRDefault="00B84DF1" w:rsidP="00D13D4B">
      <w:pPr>
        <w:spacing w:line="360" w:lineRule="auto"/>
        <w:ind w:right="49"/>
        <w:rPr>
          <w:rFonts w:ascii="Palatino Linotype" w:eastAsia="Palatino Linotype" w:hAnsi="Palatino Linotype" w:cs="Palatino Linotype"/>
        </w:rPr>
      </w:pPr>
    </w:p>
    <w:p w:rsidR="00053E66" w:rsidRPr="00D95EEE" w:rsidRDefault="00053E66" w:rsidP="00D13D4B">
      <w:pPr>
        <w:spacing w:line="360" w:lineRule="auto"/>
        <w:ind w:right="49"/>
        <w:rPr>
          <w:rFonts w:ascii="Palatino Linotype" w:eastAsia="Palatino Linotype" w:hAnsi="Palatino Linotype" w:cs="Palatino Linotype"/>
        </w:rPr>
      </w:pPr>
    </w:p>
    <w:p w:rsidR="00053E66" w:rsidRPr="00D95EEE" w:rsidRDefault="00053E66" w:rsidP="00D13D4B">
      <w:pPr>
        <w:spacing w:line="360" w:lineRule="auto"/>
        <w:ind w:right="49"/>
        <w:rPr>
          <w:rFonts w:ascii="Palatino Linotype" w:eastAsia="Palatino Linotype" w:hAnsi="Palatino Linotype" w:cs="Palatino Linotype"/>
        </w:rPr>
      </w:pPr>
    </w:p>
    <w:p w:rsidR="00053E66" w:rsidRPr="00D95EEE" w:rsidRDefault="00053E66" w:rsidP="00D13D4B">
      <w:pPr>
        <w:spacing w:line="360" w:lineRule="auto"/>
        <w:ind w:right="49"/>
        <w:rPr>
          <w:rFonts w:ascii="Palatino Linotype" w:eastAsia="Palatino Linotype" w:hAnsi="Palatino Linotype" w:cs="Palatino Linotype"/>
        </w:rPr>
      </w:pPr>
    </w:p>
    <w:p w:rsidR="00053E66" w:rsidRPr="00D95EEE" w:rsidRDefault="00053E66" w:rsidP="00D13D4B">
      <w:pPr>
        <w:spacing w:line="360" w:lineRule="auto"/>
        <w:ind w:right="49"/>
        <w:rPr>
          <w:rFonts w:ascii="Palatino Linotype" w:eastAsia="Palatino Linotype" w:hAnsi="Palatino Linotype" w:cs="Palatino Linotype"/>
        </w:rPr>
      </w:pPr>
    </w:p>
    <w:p w:rsidR="00053E66" w:rsidRPr="00D95EEE" w:rsidRDefault="00053E66" w:rsidP="00D13D4B">
      <w:pPr>
        <w:spacing w:line="360" w:lineRule="auto"/>
        <w:ind w:right="49"/>
        <w:rPr>
          <w:rFonts w:ascii="Palatino Linotype" w:eastAsia="Palatino Linotype" w:hAnsi="Palatino Linotype" w:cs="Palatino Linotype"/>
        </w:rPr>
      </w:pPr>
    </w:p>
    <w:p w:rsidR="00053E66" w:rsidRPr="00D95EEE" w:rsidRDefault="00053E66" w:rsidP="00D13D4B">
      <w:pPr>
        <w:spacing w:line="360" w:lineRule="auto"/>
        <w:ind w:right="49"/>
        <w:rPr>
          <w:rFonts w:ascii="Palatino Linotype" w:eastAsia="Palatino Linotype" w:hAnsi="Palatino Linotype" w:cs="Palatino Linotype"/>
        </w:rPr>
      </w:pPr>
    </w:p>
    <w:p w:rsidR="00053E66" w:rsidRPr="00D95EEE" w:rsidRDefault="00053E66" w:rsidP="00D13D4B">
      <w:pPr>
        <w:spacing w:line="360" w:lineRule="auto"/>
        <w:ind w:right="49"/>
        <w:rPr>
          <w:rFonts w:ascii="Palatino Linotype" w:eastAsia="Palatino Linotype" w:hAnsi="Palatino Linotype" w:cs="Palatino Linotype"/>
        </w:rPr>
      </w:pPr>
    </w:p>
    <w:sectPr w:rsidR="00053E66" w:rsidRPr="00D95EEE" w:rsidSect="00D95EEE">
      <w:headerReference w:type="even" r:id="rId9"/>
      <w:headerReference w:type="default" r:id="rId10"/>
      <w:footerReference w:type="default" r:id="rId11"/>
      <w:headerReference w:type="first" r:id="rId12"/>
      <w:footerReference w:type="first" r:id="rId13"/>
      <w:pgSz w:w="12240" w:h="15840"/>
      <w:pgMar w:top="2268" w:right="758" w:bottom="1985"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2CEE" w:rsidRDefault="00E82CEE">
      <w:r>
        <w:separator/>
      </w:r>
    </w:p>
  </w:endnote>
  <w:endnote w:type="continuationSeparator" w:id="0">
    <w:p w:rsidR="00E82CEE" w:rsidRDefault="00E82C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7391" w:rsidRPr="00D95EEE" w:rsidRDefault="00A07391">
    <w:pPr>
      <w:pBdr>
        <w:top w:val="nil"/>
        <w:left w:val="nil"/>
        <w:bottom w:val="nil"/>
        <w:right w:val="nil"/>
        <w:between w:val="nil"/>
      </w:pBdr>
      <w:tabs>
        <w:tab w:val="center" w:pos="4419"/>
        <w:tab w:val="right" w:pos="8838"/>
      </w:tabs>
      <w:jc w:val="right"/>
      <w:rPr>
        <w:rFonts w:ascii="Palatino Linotype" w:eastAsia="Palatino Linotype" w:hAnsi="Palatino Linotype" w:cs="Palatino Linotype"/>
        <w:b/>
        <w:color w:val="000000"/>
        <w:sz w:val="22"/>
        <w:szCs w:val="20"/>
      </w:rPr>
    </w:pPr>
    <w:r w:rsidRPr="00D95EEE">
      <w:rPr>
        <w:rFonts w:ascii="Palatino Linotype" w:eastAsia="Palatino Linotype" w:hAnsi="Palatino Linotype" w:cs="Palatino Linotype"/>
        <w:b/>
        <w:color w:val="000000"/>
        <w:sz w:val="22"/>
        <w:szCs w:val="20"/>
      </w:rPr>
      <w:t xml:space="preserve">Página </w:t>
    </w:r>
    <w:r w:rsidRPr="00D95EEE">
      <w:rPr>
        <w:rFonts w:ascii="Palatino Linotype" w:eastAsia="Palatino Linotype" w:hAnsi="Palatino Linotype" w:cs="Palatino Linotype"/>
        <w:b/>
        <w:color w:val="000000"/>
        <w:sz w:val="22"/>
        <w:szCs w:val="20"/>
      </w:rPr>
      <w:fldChar w:fldCharType="begin"/>
    </w:r>
    <w:r w:rsidRPr="00D95EEE">
      <w:rPr>
        <w:rFonts w:ascii="Palatino Linotype" w:eastAsia="Palatino Linotype" w:hAnsi="Palatino Linotype" w:cs="Palatino Linotype"/>
        <w:b/>
        <w:color w:val="000000"/>
        <w:sz w:val="22"/>
        <w:szCs w:val="20"/>
      </w:rPr>
      <w:instrText>PAGE</w:instrText>
    </w:r>
    <w:r w:rsidRPr="00D95EEE">
      <w:rPr>
        <w:rFonts w:ascii="Palatino Linotype" w:eastAsia="Palatino Linotype" w:hAnsi="Palatino Linotype" w:cs="Palatino Linotype"/>
        <w:b/>
        <w:color w:val="000000"/>
        <w:sz w:val="22"/>
        <w:szCs w:val="20"/>
      </w:rPr>
      <w:fldChar w:fldCharType="separate"/>
    </w:r>
    <w:r w:rsidR="00D95EEE">
      <w:rPr>
        <w:rFonts w:ascii="Palatino Linotype" w:eastAsia="Palatino Linotype" w:hAnsi="Palatino Linotype" w:cs="Palatino Linotype"/>
        <w:b/>
        <w:noProof/>
        <w:color w:val="000000"/>
        <w:sz w:val="22"/>
        <w:szCs w:val="20"/>
      </w:rPr>
      <w:t>15</w:t>
    </w:r>
    <w:r w:rsidRPr="00D95EEE">
      <w:rPr>
        <w:rFonts w:ascii="Palatino Linotype" w:eastAsia="Palatino Linotype" w:hAnsi="Palatino Linotype" w:cs="Palatino Linotype"/>
        <w:b/>
        <w:color w:val="000000"/>
        <w:sz w:val="22"/>
        <w:szCs w:val="20"/>
      </w:rPr>
      <w:fldChar w:fldCharType="end"/>
    </w:r>
    <w:r w:rsidRPr="00D95EEE">
      <w:rPr>
        <w:rFonts w:ascii="Palatino Linotype" w:eastAsia="Palatino Linotype" w:hAnsi="Palatino Linotype" w:cs="Palatino Linotype"/>
        <w:b/>
        <w:color w:val="000000"/>
        <w:sz w:val="22"/>
        <w:szCs w:val="20"/>
      </w:rPr>
      <w:t xml:space="preserve"> de </w:t>
    </w:r>
    <w:r w:rsidRPr="00D95EEE">
      <w:rPr>
        <w:rFonts w:ascii="Palatino Linotype" w:eastAsia="Palatino Linotype" w:hAnsi="Palatino Linotype" w:cs="Palatino Linotype"/>
        <w:b/>
        <w:color w:val="000000"/>
        <w:sz w:val="22"/>
        <w:szCs w:val="20"/>
      </w:rPr>
      <w:fldChar w:fldCharType="begin"/>
    </w:r>
    <w:r w:rsidRPr="00D95EEE">
      <w:rPr>
        <w:rFonts w:ascii="Palatino Linotype" w:eastAsia="Palatino Linotype" w:hAnsi="Palatino Linotype" w:cs="Palatino Linotype"/>
        <w:b/>
        <w:color w:val="000000"/>
        <w:sz w:val="22"/>
        <w:szCs w:val="20"/>
      </w:rPr>
      <w:instrText>NUMPAGES</w:instrText>
    </w:r>
    <w:r w:rsidRPr="00D95EEE">
      <w:rPr>
        <w:rFonts w:ascii="Palatino Linotype" w:eastAsia="Palatino Linotype" w:hAnsi="Palatino Linotype" w:cs="Palatino Linotype"/>
        <w:b/>
        <w:color w:val="000000"/>
        <w:sz w:val="22"/>
        <w:szCs w:val="20"/>
      </w:rPr>
      <w:fldChar w:fldCharType="separate"/>
    </w:r>
    <w:r w:rsidR="00D95EEE">
      <w:rPr>
        <w:rFonts w:ascii="Palatino Linotype" w:eastAsia="Palatino Linotype" w:hAnsi="Palatino Linotype" w:cs="Palatino Linotype"/>
        <w:b/>
        <w:noProof/>
        <w:color w:val="000000"/>
        <w:sz w:val="22"/>
        <w:szCs w:val="20"/>
      </w:rPr>
      <w:t>15</w:t>
    </w:r>
    <w:r w:rsidRPr="00D95EEE">
      <w:rPr>
        <w:rFonts w:ascii="Palatino Linotype" w:eastAsia="Palatino Linotype" w:hAnsi="Palatino Linotype" w:cs="Palatino Linotype"/>
        <w:b/>
        <w:color w:val="000000"/>
        <w:sz w:val="22"/>
        <w:szCs w:val="20"/>
      </w:rPr>
      <w:fldChar w:fldCharType="end"/>
    </w:r>
  </w:p>
  <w:p w:rsidR="00A07391" w:rsidRDefault="00A07391">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7391" w:rsidRPr="00D95EEE" w:rsidRDefault="00A07391">
    <w:pPr>
      <w:pBdr>
        <w:top w:val="nil"/>
        <w:left w:val="nil"/>
        <w:bottom w:val="nil"/>
        <w:right w:val="nil"/>
        <w:between w:val="nil"/>
      </w:pBdr>
      <w:tabs>
        <w:tab w:val="center" w:pos="4419"/>
        <w:tab w:val="right" w:pos="8838"/>
      </w:tabs>
      <w:jc w:val="right"/>
      <w:rPr>
        <w:rFonts w:ascii="Palatino Linotype" w:eastAsia="Palatino Linotype" w:hAnsi="Palatino Linotype" w:cs="Palatino Linotype"/>
        <w:b/>
        <w:color w:val="000000"/>
        <w:sz w:val="22"/>
        <w:szCs w:val="20"/>
      </w:rPr>
    </w:pPr>
    <w:r w:rsidRPr="00D95EEE">
      <w:rPr>
        <w:rFonts w:ascii="Palatino Linotype" w:eastAsia="Palatino Linotype" w:hAnsi="Palatino Linotype" w:cs="Palatino Linotype"/>
        <w:b/>
        <w:color w:val="000000"/>
        <w:sz w:val="22"/>
        <w:szCs w:val="20"/>
      </w:rPr>
      <w:t xml:space="preserve">Página </w:t>
    </w:r>
    <w:r w:rsidRPr="00D95EEE">
      <w:rPr>
        <w:rFonts w:ascii="Palatino Linotype" w:eastAsia="Palatino Linotype" w:hAnsi="Palatino Linotype" w:cs="Palatino Linotype"/>
        <w:b/>
        <w:color w:val="000000"/>
        <w:sz w:val="22"/>
        <w:szCs w:val="20"/>
      </w:rPr>
      <w:fldChar w:fldCharType="begin"/>
    </w:r>
    <w:r w:rsidRPr="00D95EEE">
      <w:rPr>
        <w:rFonts w:ascii="Palatino Linotype" w:eastAsia="Palatino Linotype" w:hAnsi="Palatino Linotype" w:cs="Palatino Linotype"/>
        <w:b/>
        <w:color w:val="000000"/>
        <w:sz w:val="22"/>
        <w:szCs w:val="20"/>
      </w:rPr>
      <w:instrText>PAGE</w:instrText>
    </w:r>
    <w:r w:rsidRPr="00D95EEE">
      <w:rPr>
        <w:rFonts w:ascii="Palatino Linotype" w:eastAsia="Palatino Linotype" w:hAnsi="Palatino Linotype" w:cs="Palatino Linotype"/>
        <w:b/>
        <w:color w:val="000000"/>
        <w:sz w:val="22"/>
        <w:szCs w:val="20"/>
      </w:rPr>
      <w:fldChar w:fldCharType="separate"/>
    </w:r>
    <w:r w:rsidR="00D95EEE">
      <w:rPr>
        <w:rFonts w:ascii="Palatino Linotype" w:eastAsia="Palatino Linotype" w:hAnsi="Palatino Linotype" w:cs="Palatino Linotype"/>
        <w:b/>
        <w:noProof/>
        <w:color w:val="000000"/>
        <w:sz w:val="22"/>
        <w:szCs w:val="20"/>
      </w:rPr>
      <w:t>1</w:t>
    </w:r>
    <w:r w:rsidRPr="00D95EEE">
      <w:rPr>
        <w:rFonts w:ascii="Palatino Linotype" w:eastAsia="Palatino Linotype" w:hAnsi="Palatino Linotype" w:cs="Palatino Linotype"/>
        <w:b/>
        <w:color w:val="000000"/>
        <w:sz w:val="22"/>
        <w:szCs w:val="20"/>
      </w:rPr>
      <w:fldChar w:fldCharType="end"/>
    </w:r>
    <w:r w:rsidRPr="00D95EEE">
      <w:rPr>
        <w:rFonts w:ascii="Palatino Linotype" w:eastAsia="Palatino Linotype" w:hAnsi="Palatino Linotype" w:cs="Palatino Linotype"/>
        <w:b/>
        <w:color w:val="000000"/>
        <w:sz w:val="22"/>
        <w:szCs w:val="20"/>
      </w:rPr>
      <w:t xml:space="preserve"> de </w:t>
    </w:r>
    <w:r w:rsidRPr="00D95EEE">
      <w:rPr>
        <w:rFonts w:ascii="Palatino Linotype" w:eastAsia="Palatino Linotype" w:hAnsi="Palatino Linotype" w:cs="Palatino Linotype"/>
        <w:b/>
        <w:color w:val="000000"/>
        <w:sz w:val="22"/>
        <w:szCs w:val="20"/>
      </w:rPr>
      <w:fldChar w:fldCharType="begin"/>
    </w:r>
    <w:r w:rsidRPr="00D95EEE">
      <w:rPr>
        <w:rFonts w:ascii="Palatino Linotype" w:eastAsia="Palatino Linotype" w:hAnsi="Palatino Linotype" w:cs="Palatino Linotype"/>
        <w:b/>
        <w:color w:val="000000"/>
        <w:sz w:val="22"/>
        <w:szCs w:val="20"/>
      </w:rPr>
      <w:instrText>NUMPAGES</w:instrText>
    </w:r>
    <w:r w:rsidRPr="00D95EEE">
      <w:rPr>
        <w:rFonts w:ascii="Palatino Linotype" w:eastAsia="Palatino Linotype" w:hAnsi="Palatino Linotype" w:cs="Palatino Linotype"/>
        <w:b/>
        <w:color w:val="000000"/>
        <w:sz w:val="22"/>
        <w:szCs w:val="20"/>
      </w:rPr>
      <w:fldChar w:fldCharType="separate"/>
    </w:r>
    <w:r w:rsidR="00D95EEE">
      <w:rPr>
        <w:rFonts w:ascii="Palatino Linotype" w:eastAsia="Palatino Linotype" w:hAnsi="Palatino Linotype" w:cs="Palatino Linotype"/>
        <w:b/>
        <w:noProof/>
        <w:color w:val="000000"/>
        <w:sz w:val="22"/>
        <w:szCs w:val="20"/>
      </w:rPr>
      <w:t>15</w:t>
    </w:r>
    <w:r w:rsidRPr="00D95EEE">
      <w:rPr>
        <w:rFonts w:ascii="Palatino Linotype" w:eastAsia="Palatino Linotype" w:hAnsi="Palatino Linotype" w:cs="Palatino Linotype"/>
        <w:b/>
        <w:color w:val="000000"/>
        <w:sz w:val="22"/>
        <w:szCs w:val="20"/>
      </w:rPr>
      <w:fldChar w:fldCharType="end"/>
    </w:r>
  </w:p>
  <w:p w:rsidR="00A07391" w:rsidRDefault="00A07391">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2CEE" w:rsidRDefault="00E82CEE">
      <w:r>
        <w:separator/>
      </w:r>
    </w:p>
  </w:footnote>
  <w:footnote w:type="continuationSeparator" w:id="0">
    <w:p w:rsidR="00E82CEE" w:rsidRDefault="00E82C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7391" w:rsidRDefault="00E82CEE">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2"/>
      <w:tblW w:w="7371" w:type="dxa"/>
      <w:tblInd w:w="2977" w:type="dxa"/>
      <w:tblLayout w:type="fixed"/>
      <w:tblLook w:val="0400" w:firstRow="0" w:lastRow="0" w:firstColumn="0" w:lastColumn="0" w:noHBand="0" w:noVBand="1"/>
    </w:tblPr>
    <w:tblGrid>
      <w:gridCol w:w="2976"/>
      <w:gridCol w:w="4395"/>
    </w:tblGrid>
    <w:tr w:rsidR="00A07391" w:rsidTr="00D95EEE">
      <w:trPr>
        <w:trHeight w:val="227"/>
      </w:trPr>
      <w:tc>
        <w:tcPr>
          <w:tcW w:w="2976" w:type="dxa"/>
          <w:vAlign w:val="center"/>
        </w:tcPr>
        <w:p w:rsidR="00A07391" w:rsidRPr="00D95EEE" w:rsidRDefault="00A07391">
          <w:pPr>
            <w:ind w:right="34"/>
            <w:jc w:val="right"/>
            <w:rPr>
              <w:rFonts w:ascii="Palatino Linotype" w:eastAsia="Palatino Linotype" w:hAnsi="Palatino Linotype" w:cs="Palatino Linotype"/>
              <w:b/>
              <w:szCs w:val="22"/>
            </w:rPr>
          </w:pPr>
          <w:r w:rsidRPr="00D95EEE">
            <w:rPr>
              <w:rFonts w:ascii="Palatino Linotype" w:eastAsia="Palatino Linotype" w:hAnsi="Palatino Linotype" w:cs="Palatino Linotype"/>
              <w:b/>
              <w:szCs w:val="22"/>
            </w:rPr>
            <w:t>Recurso de Revisión:</w:t>
          </w:r>
        </w:p>
      </w:tc>
      <w:tc>
        <w:tcPr>
          <w:tcW w:w="4395" w:type="dxa"/>
          <w:vAlign w:val="center"/>
        </w:tcPr>
        <w:p w:rsidR="00A07391" w:rsidRPr="00D95EEE" w:rsidRDefault="00A07391" w:rsidP="00D95EEE">
          <w:pPr>
            <w:pBdr>
              <w:top w:val="nil"/>
              <w:left w:val="nil"/>
              <w:bottom w:val="nil"/>
              <w:right w:val="nil"/>
              <w:between w:val="nil"/>
            </w:pBdr>
            <w:tabs>
              <w:tab w:val="right" w:pos="8838"/>
            </w:tabs>
            <w:rPr>
              <w:rFonts w:ascii="Palatino Linotype" w:eastAsia="Palatino Linotype" w:hAnsi="Palatino Linotype" w:cs="Palatino Linotype"/>
              <w:color w:val="000000"/>
              <w:szCs w:val="22"/>
              <w:highlight w:val="green"/>
            </w:rPr>
          </w:pPr>
          <w:r w:rsidRPr="00D95EEE">
            <w:rPr>
              <w:rFonts w:ascii="Palatino Linotype" w:eastAsia="Palatino Linotype" w:hAnsi="Palatino Linotype" w:cs="Palatino Linotype"/>
              <w:color w:val="000000"/>
              <w:szCs w:val="22"/>
            </w:rPr>
            <w:t>14133/INFOEM/IP/RR/2025</w:t>
          </w:r>
        </w:p>
      </w:tc>
    </w:tr>
    <w:tr w:rsidR="00A07391" w:rsidTr="00D95EEE">
      <w:trPr>
        <w:trHeight w:val="242"/>
      </w:trPr>
      <w:tc>
        <w:tcPr>
          <w:tcW w:w="2976" w:type="dxa"/>
          <w:vAlign w:val="center"/>
        </w:tcPr>
        <w:p w:rsidR="00A07391" w:rsidRPr="00D95EEE" w:rsidRDefault="00A07391">
          <w:pPr>
            <w:ind w:right="34"/>
            <w:jc w:val="right"/>
            <w:rPr>
              <w:rFonts w:ascii="Palatino Linotype" w:eastAsia="Palatino Linotype" w:hAnsi="Palatino Linotype" w:cs="Palatino Linotype"/>
              <w:b/>
              <w:szCs w:val="22"/>
            </w:rPr>
          </w:pPr>
          <w:r w:rsidRPr="00D95EEE">
            <w:rPr>
              <w:rFonts w:ascii="Palatino Linotype" w:eastAsia="Palatino Linotype" w:hAnsi="Palatino Linotype" w:cs="Palatino Linotype"/>
              <w:b/>
              <w:szCs w:val="22"/>
            </w:rPr>
            <w:t>Sujeto Obligado:</w:t>
          </w:r>
        </w:p>
      </w:tc>
      <w:tc>
        <w:tcPr>
          <w:tcW w:w="4395" w:type="dxa"/>
          <w:vAlign w:val="center"/>
        </w:tcPr>
        <w:p w:rsidR="00A07391" w:rsidRPr="00D95EEE" w:rsidRDefault="006A4584" w:rsidP="00D95EEE">
          <w:pPr>
            <w:pBdr>
              <w:top w:val="nil"/>
              <w:left w:val="nil"/>
              <w:bottom w:val="nil"/>
              <w:right w:val="nil"/>
              <w:between w:val="nil"/>
            </w:pBdr>
            <w:tabs>
              <w:tab w:val="right" w:pos="8838"/>
            </w:tabs>
            <w:rPr>
              <w:rFonts w:ascii="Palatino Linotype" w:eastAsia="Palatino Linotype" w:hAnsi="Palatino Linotype" w:cs="Palatino Linotype"/>
              <w:color w:val="000000"/>
              <w:szCs w:val="22"/>
              <w:highlight w:val="green"/>
            </w:rPr>
          </w:pPr>
          <w:r w:rsidRPr="00D95EEE">
            <w:rPr>
              <w:rFonts w:ascii="Palatino Linotype" w:eastAsia="Palatino Linotype" w:hAnsi="Palatino Linotype" w:cs="Palatino Linotype"/>
              <w:color w:val="000000"/>
              <w:szCs w:val="22"/>
            </w:rPr>
            <w:t>Ayuntamiento de Cuautitlán Izcalli</w:t>
          </w:r>
        </w:p>
      </w:tc>
    </w:tr>
    <w:tr w:rsidR="00A07391" w:rsidTr="00D95EEE">
      <w:trPr>
        <w:trHeight w:val="342"/>
      </w:trPr>
      <w:tc>
        <w:tcPr>
          <w:tcW w:w="2976" w:type="dxa"/>
          <w:vAlign w:val="center"/>
        </w:tcPr>
        <w:p w:rsidR="00A07391" w:rsidRPr="00D95EEE" w:rsidRDefault="00A07391">
          <w:pPr>
            <w:ind w:right="34"/>
            <w:jc w:val="right"/>
            <w:rPr>
              <w:rFonts w:ascii="Palatino Linotype" w:eastAsia="Palatino Linotype" w:hAnsi="Palatino Linotype" w:cs="Palatino Linotype"/>
              <w:b/>
              <w:szCs w:val="22"/>
            </w:rPr>
          </w:pPr>
          <w:r w:rsidRPr="00D95EEE">
            <w:rPr>
              <w:rFonts w:ascii="Palatino Linotype" w:eastAsia="Palatino Linotype" w:hAnsi="Palatino Linotype" w:cs="Palatino Linotype"/>
              <w:b/>
              <w:szCs w:val="22"/>
            </w:rPr>
            <w:t>Comisionada Ponente:</w:t>
          </w:r>
        </w:p>
      </w:tc>
      <w:tc>
        <w:tcPr>
          <w:tcW w:w="4395" w:type="dxa"/>
          <w:vAlign w:val="center"/>
        </w:tcPr>
        <w:p w:rsidR="00A07391" w:rsidRPr="00D95EEE" w:rsidRDefault="00A07391" w:rsidP="00D95EEE">
          <w:pPr>
            <w:pBdr>
              <w:top w:val="nil"/>
              <w:left w:val="nil"/>
              <w:bottom w:val="nil"/>
              <w:right w:val="nil"/>
              <w:between w:val="nil"/>
            </w:pBdr>
            <w:tabs>
              <w:tab w:val="right" w:pos="8838"/>
            </w:tabs>
            <w:rPr>
              <w:rFonts w:ascii="Palatino Linotype" w:eastAsia="Palatino Linotype" w:hAnsi="Palatino Linotype" w:cs="Palatino Linotype"/>
              <w:color w:val="000000"/>
              <w:szCs w:val="22"/>
            </w:rPr>
          </w:pPr>
          <w:r w:rsidRPr="00D95EEE">
            <w:rPr>
              <w:rFonts w:ascii="Palatino Linotype" w:eastAsia="Palatino Linotype" w:hAnsi="Palatino Linotype" w:cs="Palatino Linotype"/>
              <w:color w:val="000000"/>
              <w:szCs w:val="22"/>
            </w:rPr>
            <w:t>María del Rosario Mejía Ayala</w:t>
          </w:r>
        </w:p>
      </w:tc>
    </w:tr>
  </w:tbl>
  <w:p w:rsidR="00A07391" w:rsidRDefault="00E82CEE">
    <w:pPr>
      <w:pBdr>
        <w:top w:val="nil"/>
        <w:left w:val="nil"/>
        <w:bottom w:val="nil"/>
        <w:right w:val="nil"/>
        <w:between w:val="nil"/>
      </w:pBdr>
      <w:tabs>
        <w:tab w:val="center" w:pos="4419"/>
        <w:tab w:val="right" w:pos="8838"/>
        <w:tab w:val="left" w:pos="6005"/>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77.55pt;margin-top:-132.5pt;width:609.4pt;height:793.75pt;z-index:-251659776;mso-position-horizontal-relative:margin;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3"/>
      <w:tblW w:w="7087" w:type="dxa"/>
      <w:tblInd w:w="2977" w:type="dxa"/>
      <w:tblLayout w:type="fixed"/>
      <w:tblLook w:val="0400" w:firstRow="0" w:lastRow="0" w:firstColumn="0" w:lastColumn="0" w:noHBand="0" w:noVBand="1"/>
    </w:tblPr>
    <w:tblGrid>
      <w:gridCol w:w="2977"/>
      <w:gridCol w:w="4110"/>
    </w:tblGrid>
    <w:tr w:rsidR="00A07391" w:rsidTr="00D95EEE">
      <w:trPr>
        <w:trHeight w:val="227"/>
      </w:trPr>
      <w:tc>
        <w:tcPr>
          <w:tcW w:w="2977" w:type="dxa"/>
          <w:vAlign w:val="center"/>
        </w:tcPr>
        <w:p w:rsidR="00A07391" w:rsidRPr="00D95EEE" w:rsidRDefault="00A07391">
          <w:pPr>
            <w:jc w:val="right"/>
            <w:rPr>
              <w:rFonts w:ascii="Palatino Linotype" w:eastAsia="Palatino Linotype" w:hAnsi="Palatino Linotype" w:cs="Palatino Linotype"/>
              <w:b/>
              <w:szCs w:val="22"/>
            </w:rPr>
          </w:pPr>
          <w:r w:rsidRPr="00D95EEE">
            <w:rPr>
              <w:rFonts w:ascii="Palatino Linotype" w:eastAsia="Palatino Linotype" w:hAnsi="Palatino Linotype" w:cs="Palatino Linotype"/>
              <w:b/>
              <w:szCs w:val="22"/>
            </w:rPr>
            <w:t>Recurso de Revisión:</w:t>
          </w:r>
        </w:p>
      </w:tc>
      <w:tc>
        <w:tcPr>
          <w:tcW w:w="4110" w:type="dxa"/>
          <w:vAlign w:val="center"/>
        </w:tcPr>
        <w:p w:rsidR="00A07391" w:rsidRPr="00D95EEE" w:rsidRDefault="00A07391" w:rsidP="00CB1566">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highlight w:val="green"/>
            </w:rPr>
          </w:pPr>
          <w:r w:rsidRPr="00D95EEE">
            <w:rPr>
              <w:rFonts w:ascii="Palatino Linotype" w:eastAsia="Palatino Linotype" w:hAnsi="Palatino Linotype" w:cs="Palatino Linotype"/>
              <w:color w:val="000000"/>
              <w:szCs w:val="22"/>
            </w:rPr>
            <w:t>14133/INFOEM/IP/RR/2025</w:t>
          </w:r>
        </w:p>
      </w:tc>
    </w:tr>
    <w:tr w:rsidR="00A07391" w:rsidTr="00D95EEE">
      <w:trPr>
        <w:trHeight w:val="242"/>
      </w:trPr>
      <w:tc>
        <w:tcPr>
          <w:tcW w:w="2977" w:type="dxa"/>
          <w:vAlign w:val="center"/>
        </w:tcPr>
        <w:p w:rsidR="00A07391" w:rsidRPr="00D95EEE" w:rsidRDefault="00A07391">
          <w:pPr>
            <w:jc w:val="right"/>
            <w:rPr>
              <w:rFonts w:ascii="Palatino Linotype" w:eastAsia="Palatino Linotype" w:hAnsi="Palatino Linotype" w:cs="Palatino Linotype"/>
              <w:b/>
              <w:szCs w:val="22"/>
            </w:rPr>
          </w:pPr>
          <w:r w:rsidRPr="00D95EEE">
            <w:rPr>
              <w:rFonts w:ascii="Palatino Linotype" w:eastAsia="Palatino Linotype" w:hAnsi="Palatino Linotype" w:cs="Palatino Linotype"/>
              <w:b/>
              <w:szCs w:val="22"/>
            </w:rPr>
            <w:t>Recurrente:</w:t>
          </w:r>
        </w:p>
      </w:tc>
      <w:tc>
        <w:tcPr>
          <w:tcW w:w="4110" w:type="dxa"/>
        </w:tcPr>
        <w:p w:rsidR="00A07391" w:rsidRPr="00D95EEE" w:rsidRDefault="00A07391">
          <w:pPr>
            <w:pBdr>
              <w:top w:val="nil"/>
              <w:left w:val="nil"/>
              <w:bottom w:val="nil"/>
              <w:right w:val="nil"/>
              <w:between w:val="nil"/>
            </w:pBdr>
            <w:tabs>
              <w:tab w:val="center" w:pos="4419"/>
              <w:tab w:val="right" w:pos="8838"/>
              <w:tab w:val="left" w:pos="521"/>
            </w:tabs>
            <w:rPr>
              <w:rFonts w:ascii="Palatino Linotype" w:eastAsia="Palatino Linotype" w:hAnsi="Palatino Linotype" w:cs="Palatino Linotype"/>
              <w:color w:val="000000"/>
              <w:szCs w:val="22"/>
              <w:highlight w:val="green"/>
            </w:rPr>
          </w:pPr>
        </w:p>
      </w:tc>
    </w:tr>
    <w:tr w:rsidR="00A07391" w:rsidTr="00D95EEE">
      <w:trPr>
        <w:trHeight w:val="342"/>
      </w:trPr>
      <w:tc>
        <w:tcPr>
          <w:tcW w:w="2977" w:type="dxa"/>
          <w:vAlign w:val="center"/>
        </w:tcPr>
        <w:p w:rsidR="00A07391" w:rsidRPr="00D95EEE" w:rsidRDefault="00A07391">
          <w:pPr>
            <w:jc w:val="right"/>
            <w:rPr>
              <w:rFonts w:ascii="Palatino Linotype" w:eastAsia="Palatino Linotype" w:hAnsi="Palatino Linotype" w:cs="Palatino Linotype"/>
              <w:b/>
              <w:szCs w:val="22"/>
            </w:rPr>
          </w:pPr>
          <w:r w:rsidRPr="00D95EEE">
            <w:rPr>
              <w:rFonts w:ascii="Palatino Linotype" w:eastAsia="Palatino Linotype" w:hAnsi="Palatino Linotype" w:cs="Palatino Linotype"/>
              <w:b/>
              <w:szCs w:val="22"/>
            </w:rPr>
            <w:t>Sujeto Obligado:</w:t>
          </w:r>
        </w:p>
      </w:tc>
      <w:tc>
        <w:tcPr>
          <w:tcW w:w="4110" w:type="dxa"/>
          <w:vAlign w:val="center"/>
        </w:tcPr>
        <w:p w:rsidR="00A07391" w:rsidRPr="00D95EEE" w:rsidRDefault="00A07391" w:rsidP="00E17E99">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highlight w:val="green"/>
            </w:rPr>
          </w:pPr>
          <w:r w:rsidRPr="00D95EEE">
            <w:rPr>
              <w:rFonts w:ascii="Palatino Linotype" w:eastAsia="Palatino Linotype" w:hAnsi="Palatino Linotype" w:cs="Palatino Linotype"/>
              <w:color w:val="000000"/>
              <w:szCs w:val="22"/>
            </w:rPr>
            <w:t>Ayuntamiento de Cuautitlán Izcalli</w:t>
          </w:r>
        </w:p>
      </w:tc>
    </w:tr>
    <w:tr w:rsidR="00A07391" w:rsidTr="00D95EEE">
      <w:trPr>
        <w:trHeight w:val="342"/>
      </w:trPr>
      <w:tc>
        <w:tcPr>
          <w:tcW w:w="2977" w:type="dxa"/>
          <w:vAlign w:val="center"/>
        </w:tcPr>
        <w:p w:rsidR="00A07391" w:rsidRPr="00D95EEE" w:rsidRDefault="00A07391">
          <w:pPr>
            <w:jc w:val="right"/>
            <w:rPr>
              <w:rFonts w:ascii="Palatino Linotype" w:eastAsia="Palatino Linotype" w:hAnsi="Palatino Linotype" w:cs="Palatino Linotype"/>
              <w:b/>
              <w:szCs w:val="22"/>
            </w:rPr>
          </w:pPr>
          <w:r w:rsidRPr="00D95EEE">
            <w:rPr>
              <w:rFonts w:ascii="Palatino Linotype" w:eastAsia="Palatino Linotype" w:hAnsi="Palatino Linotype" w:cs="Palatino Linotype"/>
              <w:b/>
              <w:szCs w:val="22"/>
            </w:rPr>
            <w:t>Comisionada Ponente:</w:t>
          </w:r>
        </w:p>
      </w:tc>
      <w:tc>
        <w:tcPr>
          <w:tcW w:w="4110" w:type="dxa"/>
          <w:vAlign w:val="center"/>
        </w:tcPr>
        <w:p w:rsidR="00A07391" w:rsidRPr="00D95EEE" w:rsidRDefault="00A07391">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rPr>
          </w:pPr>
          <w:r w:rsidRPr="00D95EEE">
            <w:rPr>
              <w:rFonts w:ascii="Palatino Linotype" w:eastAsia="Palatino Linotype" w:hAnsi="Palatino Linotype" w:cs="Palatino Linotype"/>
              <w:color w:val="000000"/>
              <w:szCs w:val="22"/>
            </w:rPr>
            <w:t>María del Rosario Mejía Ayala</w:t>
          </w:r>
        </w:p>
      </w:tc>
    </w:tr>
  </w:tbl>
  <w:p w:rsidR="00A07391" w:rsidRDefault="00E82CEE">
    <w:pPr>
      <w:pBdr>
        <w:top w:val="nil"/>
        <w:left w:val="nil"/>
        <w:bottom w:val="nil"/>
        <w:right w:val="nil"/>
        <w:between w:val="nil"/>
      </w:pBdr>
      <w:tabs>
        <w:tab w:val="center" w:pos="4419"/>
        <w:tab w:val="right" w:pos="8838"/>
      </w:tabs>
      <w:rPr>
        <w:color w:val="000000"/>
        <w:sz w:val="16"/>
        <w:szCs w:val="16"/>
      </w:rPr>
    </w:pPr>
    <w:r>
      <w:rPr>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84.55pt;margin-top:-126.1pt;width:609.4pt;height:793.75pt;z-index:-251658752;mso-position-horizontal-relative:margin;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7816848E"/>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1EB365A"/>
    <w:multiLevelType w:val="hybridMultilevel"/>
    <w:tmpl w:val="F0BE28A8"/>
    <w:lvl w:ilvl="0" w:tplc="11266696">
      <w:start w:val="1"/>
      <w:numFmt w:val="decimal"/>
      <w:lvlText w:val="%1."/>
      <w:lvlJc w:val="left"/>
      <w:pPr>
        <w:ind w:left="720" w:hanging="360"/>
      </w:pPr>
      <w:rPr>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40A10F9"/>
    <w:multiLevelType w:val="hybridMultilevel"/>
    <w:tmpl w:val="A4E20040"/>
    <w:lvl w:ilvl="0" w:tplc="8DA468A0">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7F9189B"/>
    <w:multiLevelType w:val="hybridMultilevel"/>
    <w:tmpl w:val="3EACB9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9C4464B"/>
    <w:multiLevelType w:val="multilevel"/>
    <w:tmpl w:val="FDD45C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26E3E65"/>
    <w:multiLevelType w:val="hybridMultilevel"/>
    <w:tmpl w:val="AA82C2A8"/>
    <w:lvl w:ilvl="0" w:tplc="2DC417EC">
      <w:start w:val="1"/>
      <w:numFmt w:val="decimal"/>
      <w:lvlText w:val="%1."/>
      <w:lvlJc w:val="left"/>
      <w:pPr>
        <w:ind w:left="720" w:hanging="360"/>
      </w:pPr>
      <w:rPr>
        <w:b/>
        <w:i w:val="0"/>
      </w:rPr>
    </w:lvl>
    <w:lvl w:ilvl="1" w:tplc="5C580E56">
      <w:start w:val="5"/>
      <w:numFmt w:val="bullet"/>
      <w:lvlText w:val="•"/>
      <w:lvlJc w:val="left"/>
      <w:pPr>
        <w:ind w:left="1785" w:hanging="705"/>
      </w:pPr>
      <w:rPr>
        <w:rFonts w:ascii="Palatino Linotype" w:eastAsiaTheme="minorEastAsia" w:hAnsi="Palatino Linotype" w:cs="Arial" w:hint="default"/>
      </w:rPr>
    </w:lvl>
    <w:lvl w:ilvl="2" w:tplc="8D2E970C">
      <w:start w:val="1"/>
      <w:numFmt w:val="lowerLetter"/>
      <w:lvlText w:val="%3)"/>
      <w:lvlJc w:val="left"/>
      <w:pPr>
        <w:ind w:left="2820" w:hanging="840"/>
      </w:pPr>
      <w:rPr>
        <w:rFonts w:hint="default"/>
      </w:rPr>
    </w:lvl>
    <w:lvl w:ilvl="3" w:tplc="354C2A32">
      <w:start w:val="1"/>
      <w:numFmt w:val="upperRoman"/>
      <w:lvlText w:val="%4."/>
      <w:lvlJc w:val="left"/>
      <w:pPr>
        <w:ind w:left="3240" w:hanging="720"/>
      </w:pPr>
      <w:rPr>
        <w:rFonts w:hint="default"/>
      </w:rPr>
    </w:lvl>
    <w:lvl w:ilvl="4" w:tplc="5F60518E">
      <w:start w:val="1"/>
      <w:numFmt w:val="upperLetter"/>
      <w:lvlText w:val="%5."/>
      <w:lvlJc w:val="left"/>
      <w:pPr>
        <w:ind w:left="3600" w:hanging="360"/>
      </w:pPr>
      <w:rPr>
        <w:rFonts w:hint="default"/>
      </w:rPr>
    </w:lvl>
    <w:lvl w:ilvl="5" w:tplc="DAF0C25E">
      <w:start w:val="70"/>
      <w:numFmt w:val="bullet"/>
      <w:lvlText w:val="·"/>
      <w:lvlJc w:val="left"/>
      <w:pPr>
        <w:ind w:left="4500" w:hanging="360"/>
      </w:pPr>
      <w:rPr>
        <w:rFonts w:ascii="Palatino Linotype" w:eastAsiaTheme="minorEastAsia" w:hAnsi="Palatino Linotype" w:cs="Arial" w:hint="default"/>
      </w:r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7670094"/>
    <w:multiLevelType w:val="multilevel"/>
    <w:tmpl w:val="9932B572"/>
    <w:lvl w:ilvl="0">
      <w:start w:val="1"/>
      <w:numFmt w:val="decimal"/>
      <w:lvlText w:val="%1."/>
      <w:lvlJc w:val="left"/>
      <w:pPr>
        <w:ind w:left="644"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7F07688"/>
    <w:multiLevelType w:val="hybridMultilevel"/>
    <w:tmpl w:val="659A62FA"/>
    <w:lvl w:ilvl="0" w:tplc="87020152">
      <w:start w:val="1"/>
      <w:numFmt w:val="decimal"/>
      <w:lvlText w:val="%1."/>
      <w:lvlJc w:val="left"/>
      <w:pPr>
        <w:ind w:left="644" w:hanging="360"/>
      </w:pPr>
      <w:rPr>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4737F47"/>
    <w:multiLevelType w:val="multilevel"/>
    <w:tmpl w:val="3710C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365323"/>
    <w:multiLevelType w:val="multilevel"/>
    <w:tmpl w:val="4434E6B8"/>
    <w:lvl w:ilvl="0">
      <w:start w:val="1"/>
      <w:numFmt w:val="decimal"/>
      <w:lvlText w:val="%1."/>
      <w:lvlJc w:val="left"/>
      <w:pPr>
        <w:ind w:left="644"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9962B1F"/>
    <w:multiLevelType w:val="hybridMultilevel"/>
    <w:tmpl w:val="6540BC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A0C5B26"/>
    <w:multiLevelType w:val="hybridMultilevel"/>
    <w:tmpl w:val="860CF226"/>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2" w15:restartNumberingAfterBreak="0">
    <w:nsid w:val="2BFA4E07"/>
    <w:multiLevelType w:val="multilevel"/>
    <w:tmpl w:val="3DF6786E"/>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13" w15:restartNumberingAfterBreak="0">
    <w:nsid w:val="2EE82D25"/>
    <w:multiLevelType w:val="multilevel"/>
    <w:tmpl w:val="1C6CA70E"/>
    <w:lvl w:ilvl="0">
      <w:start w:val="1"/>
      <w:numFmt w:val="upperRoman"/>
      <w:lvlText w:val="%1."/>
      <w:lvlJc w:val="left"/>
      <w:pPr>
        <w:ind w:left="1571" w:hanging="72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4" w15:restartNumberingAfterBreak="0">
    <w:nsid w:val="331E40FB"/>
    <w:multiLevelType w:val="hybridMultilevel"/>
    <w:tmpl w:val="482877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4317490"/>
    <w:multiLevelType w:val="hybridMultilevel"/>
    <w:tmpl w:val="FD30DC42"/>
    <w:lvl w:ilvl="0" w:tplc="92BE0B36">
      <w:start w:val="1"/>
      <w:numFmt w:val="decimal"/>
      <w:lvlText w:val="%1."/>
      <w:lvlJc w:val="left"/>
      <w:pPr>
        <w:ind w:left="4613" w:hanging="360"/>
      </w:pPr>
      <w:rPr>
        <w:rFonts w:ascii="Palatino Linotype" w:hAnsi="Palatino Linotype" w:hint="default"/>
        <w:b/>
        <w:i w:val="0"/>
        <w:color w:val="auto"/>
        <w:sz w:val="24"/>
      </w:rPr>
    </w:lvl>
    <w:lvl w:ilvl="1" w:tplc="689ED1C2">
      <w:start w:val="1"/>
      <w:numFmt w:val="upperRoman"/>
      <w:lvlText w:val="%2."/>
      <w:lvlJc w:val="left"/>
      <w:pPr>
        <w:ind w:left="1800" w:hanging="720"/>
      </w:pPr>
      <w:rPr>
        <w:rFonts w:ascii="Palatino Linotype" w:hAnsi="Palatino Linotype" w:hint="default"/>
        <w:b/>
        <w:color w:val="auto"/>
      </w:rPr>
    </w:lvl>
    <w:lvl w:ilvl="2" w:tplc="080A001B">
      <w:start w:val="1"/>
      <w:numFmt w:val="lowerRoman"/>
      <w:lvlText w:val="%3."/>
      <w:lvlJc w:val="right"/>
      <w:pPr>
        <w:ind w:left="2160" w:hanging="180"/>
      </w:pPr>
    </w:lvl>
    <w:lvl w:ilvl="3" w:tplc="080A0017">
      <w:start w:val="1"/>
      <w:numFmt w:val="lowerLetter"/>
      <w:lvlText w:val="%4)"/>
      <w:lvlJc w:val="left"/>
      <w:pPr>
        <w:ind w:left="2880" w:hanging="360"/>
      </w:pPr>
    </w:lvl>
    <w:lvl w:ilvl="4" w:tplc="080A0019">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8985675"/>
    <w:multiLevelType w:val="hybridMultilevel"/>
    <w:tmpl w:val="96F0E4D2"/>
    <w:lvl w:ilvl="0" w:tplc="721633D0">
      <w:start w:val="1"/>
      <w:numFmt w:val="lowerLetter"/>
      <w:lvlText w:val="%1)"/>
      <w:lvlJc w:val="left"/>
      <w:pPr>
        <w:ind w:left="720" w:hanging="360"/>
      </w:pPr>
      <w:rPr>
        <w:b/>
      </w:rPr>
    </w:lvl>
    <w:lvl w:ilvl="1" w:tplc="F33E2EC8">
      <w:start w:val="1"/>
      <w:numFmt w:val="lowerLetter"/>
      <w:lvlText w:val="%2."/>
      <w:lvlJc w:val="left"/>
      <w:pPr>
        <w:ind w:left="1440" w:hanging="360"/>
      </w:pPr>
      <w:rPr>
        <w:color w:val="auto"/>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7" w15:restartNumberingAfterBreak="0">
    <w:nsid w:val="3EF44905"/>
    <w:multiLevelType w:val="multilevel"/>
    <w:tmpl w:val="221A92C6"/>
    <w:lvl w:ilvl="0">
      <w:start w:val="1"/>
      <w:numFmt w:val="decimal"/>
      <w:lvlText w:val="%1."/>
      <w:lvlJc w:val="left"/>
      <w:pPr>
        <w:ind w:left="784" w:hanging="357"/>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2310F98"/>
    <w:multiLevelType w:val="hybridMultilevel"/>
    <w:tmpl w:val="4198C234"/>
    <w:lvl w:ilvl="0" w:tplc="A2DC400A">
      <w:numFmt w:val="bullet"/>
      <w:lvlText w:val="-"/>
      <w:lvlJc w:val="left"/>
      <w:pPr>
        <w:ind w:left="1080" w:hanging="360"/>
      </w:pPr>
      <w:rPr>
        <w:rFonts w:ascii="Palatino Linotype" w:eastAsia="Palatino Linotype" w:hAnsi="Palatino Linotype" w:cs="Palatino Linotype"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9" w15:restartNumberingAfterBreak="0">
    <w:nsid w:val="44EF4BDC"/>
    <w:multiLevelType w:val="hybridMultilevel"/>
    <w:tmpl w:val="E53CC988"/>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0" w15:restartNumberingAfterBreak="0">
    <w:nsid w:val="4EA67C1A"/>
    <w:multiLevelType w:val="multilevel"/>
    <w:tmpl w:val="7360ADAC"/>
    <w:lvl w:ilvl="0">
      <w:start w:val="1"/>
      <w:numFmt w:val="decimal"/>
      <w:lvlText w:val="%1."/>
      <w:lvlJc w:val="left"/>
      <w:pPr>
        <w:ind w:left="720" w:hanging="360"/>
      </w:pPr>
      <w:rPr>
        <w:rFonts w:ascii="Palatino Linotype" w:eastAsia="Palatino Linotype" w:hAnsi="Palatino Linotype" w:cs="Palatino Linotype"/>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F734587"/>
    <w:multiLevelType w:val="multilevel"/>
    <w:tmpl w:val="366630E2"/>
    <w:lvl w:ilvl="0">
      <w:start w:val="1"/>
      <w:numFmt w:val="decimal"/>
      <w:lvlText w:val="%1."/>
      <w:lvlJc w:val="left"/>
      <w:pPr>
        <w:ind w:left="502" w:hanging="360"/>
      </w:pPr>
      <w:rPr>
        <w:b/>
        <w:i w:val="0"/>
        <w:sz w:val="24"/>
        <w:szCs w:val="24"/>
      </w:rPr>
    </w:lvl>
    <w:lvl w:ilvl="1">
      <w:start w:val="5"/>
      <w:numFmt w:val="bullet"/>
      <w:lvlText w:val="•"/>
      <w:lvlJc w:val="left"/>
      <w:pPr>
        <w:ind w:left="1785" w:hanging="705"/>
      </w:pPr>
      <w:rPr>
        <w:rFonts w:ascii="Palatino Linotype" w:eastAsia="Palatino Linotype" w:hAnsi="Palatino Linotype" w:cs="Palatino Linotype"/>
      </w:rPr>
    </w:lvl>
    <w:lvl w:ilvl="2">
      <w:start w:val="1"/>
      <w:numFmt w:val="lowerLetter"/>
      <w:lvlText w:val="%3)"/>
      <w:lvlJc w:val="left"/>
      <w:pPr>
        <w:ind w:left="2820" w:hanging="840"/>
      </w:pPr>
    </w:lvl>
    <w:lvl w:ilvl="3">
      <w:start w:val="1"/>
      <w:numFmt w:val="upperRoman"/>
      <w:lvlText w:val="%4."/>
      <w:lvlJc w:val="left"/>
      <w:pPr>
        <w:ind w:left="3240" w:hanging="720"/>
      </w:pPr>
    </w:lvl>
    <w:lvl w:ilvl="4">
      <w:start w:val="1"/>
      <w:numFmt w:val="upperLetter"/>
      <w:lvlText w:val="%5."/>
      <w:lvlJc w:val="left"/>
      <w:pPr>
        <w:ind w:left="786" w:hanging="360"/>
      </w:pPr>
    </w:lvl>
    <w:lvl w:ilvl="5">
      <w:start w:val="70"/>
      <w:numFmt w:val="bullet"/>
      <w:lvlText w:val="·"/>
      <w:lvlJc w:val="left"/>
      <w:pPr>
        <w:ind w:left="4500" w:hanging="360"/>
      </w:pPr>
      <w:rPr>
        <w:rFonts w:ascii="Palatino Linotype" w:eastAsia="Palatino Linotype" w:hAnsi="Palatino Linotype" w:cs="Palatino Linotype"/>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60839D1"/>
    <w:multiLevelType w:val="hybridMultilevel"/>
    <w:tmpl w:val="85B60A3A"/>
    <w:lvl w:ilvl="0" w:tplc="92067BEA">
      <w:start w:val="1"/>
      <w:numFmt w:val="decimal"/>
      <w:lvlText w:val="%1."/>
      <w:lvlJc w:val="left"/>
      <w:pPr>
        <w:ind w:left="502" w:hanging="360"/>
      </w:pPr>
      <w:rPr>
        <w:rFonts w:ascii="Palatino Linotype" w:hAnsi="Palatino Linotype" w:hint="default"/>
        <w:b/>
        <w:i w:val="0"/>
        <w:color w:val="000000" w:themeColor="text1"/>
        <w:sz w:val="24"/>
        <w:szCs w:val="24"/>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3" w15:restartNumberingAfterBreak="0">
    <w:nsid w:val="57291810"/>
    <w:multiLevelType w:val="multilevel"/>
    <w:tmpl w:val="C186AC70"/>
    <w:lvl w:ilvl="0">
      <w:start w:val="1"/>
      <w:numFmt w:val="bullet"/>
      <w:lvlText w:val="●"/>
      <w:lvlJc w:val="left"/>
      <w:pPr>
        <w:ind w:left="1068" w:hanging="360"/>
      </w:pPr>
      <w:rPr>
        <w:rFonts w:ascii="Noto Sans Symbols" w:eastAsia="Noto Sans Symbols" w:hAnsi="Noto Sans Symbols" w:cs="Noto Sans Symbols"/>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24" w15:restartNumberingAfterBreak="0">
    <w:nsid w:val="577202FA"/>
    <w:multiLevelType w:val="hybridMultilevel"/>
    <w:tmpl w:val="D91489B2"/>
    <w:lvl w:ilvl="0" w:tplc="DDC08822">
      <w:start w:val="1"/>
      <w:numFmt w:val="decimal"/>
      <w:lvlText w:val="%1."/>
      <w:lvlJc w:val="left"/>
      <w:pPr>
        <w:ind w:left="360" w:hanging="360"/>
      </w:pPr>
      <w:rPr>
        <w:rFonts w:hAnsi="Arial Unicode MS" w:hint="default"/>
        <w:b/>
        <w:i w:val="0"/>
        <w:caps w:val="0"/>
        <w:smallCaps w:val="0"/>
        <w:strike w:val="0"/>
        <w:dstrike w:val="0"/>
        <w:outline w:val="0"/>
        <w:emboss w:val="0"/>
        <w:imprint w:val="0"/>
        <w:spacing w:val="0"/>
        <w:w w:val="100"/>
        <w:kern w:val="0"/>
        <w:position w:val="0"/>
        <w:highlight w:val="none"/>
        <w:u w:val="none"/>
        <w:vertAlign w:val="baseline"/>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5A177B67"/>
    <w:multiLevelType w:val="multilevel"/>
    <w:tmpl w:val="D236FA1A"/>
    <w:lvl w:ilvl="0">
      <w:start w:val="1"/>
      <w:numFmt w:val="decimal"/>
      <w:lvlText w:val="%1."/>
      <w:lvlJc w:val="left"/>
      <w:pPr>
        <w:ind w:left="502"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ABD4987"/>
    <w:multiLevelType w:val="hybridMultilevel"/>
    <w:tmpl w:val="0B565E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5D67723C"/>
    <w:multiLevelType w:val="multilevel"/>
    <w:tmpl w:val="7A349094"/>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8" w15:restartNumberingAfterBreak="0">
    <w:nsid w:val="63AA2F76"/>
    <w:multiLevelType w:val="hybridMultilevel"/>
    <w:tmpl w:val="1E5AEA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63E51343"/>
    <w:multiLevelType w:val="hybridMultilevel"/>
    <w:tmpl w:val="F0464C62"/>
    <w:lvl w:ilvl="0" w:tplc="C4DE3676">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66465D6D"/>
    <w:multiLevelType w:val="multilevel"/>
    <w:tmpl w:val="DB668E56"/>
    <w:lvl w:ilvl="0">
      <w:start w:val="1"/>
      <w:numFmt w:val="decimal"/>
      <w:lvlText w:val="%1."/>
      <w:lvlJc w:val="left"/>
      <w:pPr>
        <w:ind w:left="502"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65A5835"/>
    <w:multiLevelType w:val="multilevel"/>
    <w:tmpl w:val="BAD63276"/>
    <w:lvl w:ilvl="0">
      <w:start w:val="24"/>
      <w:numFmt w:val="decimal"/>
      <w:lvlText w:val="%1."/>
      <w:lvlJc w:val="left"/>
      <w:pPr>
        <w:ind w:left="360" w:hanging="360"/>
      </w:pPr>
      <w:rPr>
        <w:rFonts w:ascii="Palatino Linotype" w:hAnsi="Palatino Linotype" w:hint="default"/>
        <w:b/>
        <w:i w:val="0"/>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6AA0407A"/>
    <w:multiLevelType w:val="hybridMultilevel"/>
    <w:tmpl w:val="41D8750E"/>
    <w:lvl w:ilvl="0" w:tplc="14F8B114">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B3F306F"/>
    <w:multiLevelType w:val="hybridMultilevel"/>
    <w:tmpl w:val="792039A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6B4E5D21"/>
    <w:multiLevelType w:val="multilevel"/>
    <w:tmpl w:val="F08A9B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6FCF1743"/>
    <w:multiLevelType w:val="multilevel"/>
    <w:tmpl w:val="2938D5EC"/>
    <w:lvl w:ilvl="0">
      <w:start w:val="1"/>
      <w:numFmt w:val="bullet"/>
      <w:lvlText w:val="●"/>
      <w:lvlJc w:val="left"/>
      <w:pPr>
        <w:ind w:left="709" w:hanging="358"/>
      </w:pPr>
      <w:rPr>
        <w:rFonts w:ascii="Noto Sans Symbols" w:eastAsia="Noto Sans Symbols" w:hAnsi="Noto Sans Symbols" w:cs="Noto Sans Symbols"/>
      </w:rPr>
    </w:lvl>
    <w:lvl w:ilvl="1">
      <w:start w:val="1"/>
      <w:numFmt w:val="bullet"/>
      <w:lvlText w:val="o"/>
      <w:lvlJc w:val="left"/>
      <w:pPr>
        <w:ind w:left="1429" w:hanging="360"/>
      </w:pPr>
      <w:rPr>
        <w:rFonts w:ascii="Courier New" w:eastAsia="Courier New" w:hAnsi="Courier New" w:cs="Courier New"/>
      </w:rPr>
    </w:lvl>
    <w:lvl w:ilvl="2">
      <w:start w:val="1"/>
      <w:numFmt w:val="bullet"/>
      <w:lvlText w:val="▪"/>
      <w:lvlJc w:val="left"/>
      <w:pPr>
        <w:ind w:left="2149" w:hanging="360"/>
      </w:pPr>
      <w:rPr>
        <w:rFonts w:ascii="Noto Sans Symbols" w:eastAsia="Noto Sans Symbols" w:hAnsi="Noto Sans Symbols" w:cs="Noto Sans Symbols"/>
      </w:rPr>
    </w:lvl>
    <w:lvl w:ilvl="3">
      <w:start w:val="1"/>
      <w:numFmt w:val="bullet"/>
      <w:lvlText w:val="●"/>
      <w:lvlJc w:val="left"/>
      <w:pPr>
        <w:ind w:left="2869" w:hanging="360"/>
      </w:pPr>
      <w:rPr>
        <w:rFonts w:ascii="Noto Sans Symbols" w:eastAsia="Noto Sans Symbols" w:hAnsi="Noto Sans Symbols" w:cs="Noto Sans Symbols"/>
      </w:rPr>
    </w:lvl>
    <w:lvl w:ilvl="4">
      <w:start w:val="1"/>
      <w:numFmt w:val="bullet"/>
      <w:lvlText w:val="o"/>
      <w:lvlJc w:val="left"/>
      <w:pPr>
        <w:ind w:left="3589" w:hanging="360"/>
      </w:pPr>
      <w:rPr>
        <w:rFonts w:ascii="Courier New" w:eastAsia="Courier New" w:hAnsi="Courier New" w:cs="Courier New"/>
      </w:rPr>
    </w:lvl>
    <w:lvl w:ilvl="5">
      <w:start w:val="1"/>
      <w:numFmt w:val="bullet"/>
      <w:lvlText w:val="▪"/>
      <w:lvlJc w:val="left"/>
      <w:pPr>
        <w:ind w:left="4309" w:hanging="360"/>
      </w:pPr>
      <w:rPr>
        <w:rFonts w:ascii="Noto Sans Symbols" w:eastAsia="Noto Sans Symbols" w:hAnsi="Noto Sans Symbols" w:cs="Noto Sans Symbols"/>
      </w:rPr>
    </w:lvl>
    <w:lvl w:ilvl="6">
      <w:start w:val="1"/>
      <w:numFmt w:val="bullet"/>
      <w:lvlText w:val="●"/>
      <w:lvlJc w:val="left"/>
      <w:pPr>
        <w:ind w:left="5029" w:hanging="360"/>
      </w:pPr>
      <w:rPr>
        <w:rFonts w:ascii="Noto Sans Symbols" w:eastAsia="Noto Sans Symbols" w:hAnsi="Noto Sans Symbols" w:cs="Noto Sans Symbols"/>
      </w:rPr>
    </w:lvl>
    <w:lvl w:ilvl="7">
      <w:start w:val="1"/>
      <w:numFmt w:val="bullet"/>
      <w:lvlText w:val="o"/>
      <w:lvlJc w:val="left"/>
      <w:pPr>
        <w:ind w:left="5749" w:hanging="360"/>
      </w:pPr>
      <w:rPr>
        <w:rFonts w:ascii="Courier New" w:eastAsia="Courier New" w:hAnsi="Courier New" w:cs="Courier New"/>
      </w:rPr>
    </w:lvl>
    <w:lvl w:ilvl="8">
      <w:start w:val="1"/>
      <w:numFmt w:val="bullet"/>
      <w:lvlText w:val="▪"/>
      <w:lvlJc w:val="left"/>
      <w:pPr>
        <w:ind w:left="6469" w:hanging="360"/>
      </w:pPr>
      <w:rPr>
        <w:rFonts w:ascii="Noto Sans Symbols" w:eastAsia="Noto Sans Symbols" w:hAnsi="Noto Sans Symbols" w:cs="Noto Sans Symbols"/>
      </w:rPr>
    </w:lvl>
  </w:abstractNum>
  <w:abstractNum w:abstractNumId="36" w15:restartNumberingAfterBreak="0">
    <w:nsid w:val="718B2BC2"/>
    <w:multiLevelType w:val="hybridMultilevel"/>
    <w:tmpl w:val="E15404F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71EF326D"/>
    <w:multiLevelType w:val="hybridMultilevel"/>
    <w:tmpl w:val="2A4ACED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72380D6D"/>
    <w:multiLevelType w:val="multilevel"/>
    <w:tmpl w:val="8B747898"/>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39" w15:restartNumberingAfterBreak="0">
    <w:nsid w:val="73A8548D"/>
    <w:multiLevelType w:val="multilevel"/>
    <w:tmpl w:val="D1F2CB3E"/>
    <w:lvl w:ilvl="0">
      <w:start w:val="1"/>
      <w:numFmt w:val="upperRoman"/>
      <w:lvlText w:val="%1."/>
      <w:lvlJc w:val="left"/>
      <w:pPr>
        <w:ind w:left="1571" w:hanging="72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40" w15:restartNumberingAfterBreak="0">
    <w:nsid w:val="7A914D4F"/>
    <w:multiLevelType w:val="hybridMultilevel"/>
    <w:tmpl w:val="7072356C"/>
    <w:lvl w:ilvl="0" w:tplc="D53629EC">
      <w:start w:val="1"/>
      <w:numFmt w:val="lowerLetter"/>
      <w:lvlText w:val="%1)"/>
      <w:lvlJc w:val="left"/>
      <w:pPr>
        <w:ind w:left="1713" w:hanging="360"/>
      </w:pPr>
      <w:rPr>
        <w:b/>
        <w:i w:val="0"/>
      </w:rPr>
    </w:lvl>
    <w:lvl w:ilvl="1" w:tplc="080A0019" w:tentative="1">
      <w:start w:val="1"/>
      <w:numFmt w:val="lowerLetter"/>
      <w:lvlText w:val="%2."/>
      <w:lvlJc w:val="left"/>
      <w:pPr>
        <w:ind w:left="2433" w:hanging="360"/>
      </w:pPr>
    </w:lvl>
    <w:lvl w:ilvl="2" w:tplc="080A001B" w:tentative="1">
      <w:start w:val="1"/>
      <w:numFmt w:val="lowerRoman"/>
      <w:lvlText w:val="%3."/>
      <w:lvlJc w:val="right"/>
      <w:pPr>
        <w:ind w:left="3153" w:hanging="180"/>
      </w:pPr>
    </w:lvl>
    <w:lvl w:ilvl="3" w:tplc="080A000F" w:tentative="1">
      <w:start w:val="1"/>
      <w:numFmt w:val="decimal"/>
      <w:lvlText w:val="%4."/>
      <w:lvlJc w:val="left"/>
      <w:pPr>
        <w:ind w:left="3873" w:hanging="360"/>
      </w:pPr>
    </w:lvl>
    <w:lvl w:ilvl="4" w:tplc="080A0019" w:tentative="1">
      <w:start w:val="1"/>
      <w:numFmt w:val="lowerLetter"/>
      <w:lvlText w:val="%5."/>
      <w:lvlJc w:val="left"/>
      <w:pPr>
        <w:ind w:left="4593" w:hanging="360"/>
      </w:pPr>
    </w:lvl>
    <w:lvl w:ilvl="5" w:tplc="080A001B" w:tentative="1">
      <w:start w:val="1"/>
      <w:numFmt w:val="lowerRoman"/>
      <w:lvlText w:val="%6."/>
      <w:lvlJc w:val="right"/>
      <w:pPr>
        <w:ind w:left="5313" w:hanging="180"/>
      </w:pPr>
    </w:lvl>
    <w:lvl w:ilvl="6" w:tplc="080A000F" w:tentative="1">
      <w:start w:val="1"/>
      <w:numFmt w:val="decimal"/>
      <w:lvlText w:val="%7."/>
      <w:lvlJc w:val="left"/>
      <w:pPr>
        <w:ind w:left="6033" w:hanging="360"/>
      </w:pPr>
    </w:lvl>
    <w:lvl w:ilvl="7" w:tplc="080A0019" w:tentative="1">
      <w:start w:val="1"/>
      <w:numFmt w:val="lowerLetter"/>
      <w:lvlText w:val="%8."/>
      <w:lvlJc w:val="left"/>
      <w:pPr>
        <w:ind w:left="6753" w:hanging="360"/>
      </w:pPr>
    </w:lvl>
    <w:lvl w:ilvl="8" w:tplc="080A001B" w:tentative="1">
      <w:start w:val="1"/>
      <w:numFmt w:val="lowerRoman"/>
      <w:lvlText w:val="%9."/>
      <w:lvlJc w:val="right"/>
      <w:pPr>
        <w:ind w:left="7473" w:hanging="180"/>
      </w:pPr>
    </w:lvl>
  </w:abstractNum>
  <w:abstractNum w:abstractNumId="41" w15:restartNumberingAfterBreak="0">
    <w:nsid w:val="7AEF684B"/>
    <w:multiLevelType w:val="hybridMultilevel"/>
    <w:tmpl w:val="BE0A2204"/>
    <w:lvl w:ilvl="0" w:tplc="EE586E7C">
      <w:start w:val="1"/>
      <w:numFmt w:val="bullet"/>
      <w:lvlText w:val=""/>
      <w:lvlJc w:val="left"/>
      <w:pPr>
        <w:ind w:left="1069" w:hanging="360"/>
      </w:pPr>
      <w:rPr>
        <w:rFonts w:ascii="Symbol" w:hAnsi="Symbol" w:hint="default"/>
        <w:color w:val="auto"/>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42" w15:restartNumberingAfterBreak="0">
    <w:nsid w:val="7B8F71ED"/>
    <w:multiLevelType w:val="hybridMultilevel"/>
    <w:tmpl w:val="A524CD60"/>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7D5D25CD"/>
    <w:multiLevelType w:val="multilevel"/>
    <w:tmpl w:val="4EA0A93E"/>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E456C33"/>
    <w:multiLevelType w:val="hybridMultilevel"/>
    <w:tmpl w:val="579C618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5"/>
  </w:num>
  <w:num w:numId="2">
    <w:abstractNumId w:val="12"/>
  </w:num>
  <w:num w:numId="3">
    <w:abstractNumId w:val="23"/>
  </w:num>
  <w:num w:numId="4">
    <w:abstractNumId w:val="38"/>
  </w:num>
  <w:num w:numId="5">
    <w:abstractNumId w:val="35"/>
  </w:num>
  <w:num w:numId="6">
    <w:abstractNumId w:val="3"/>
  </w:num>
  <w:num w:numId="7">
    <w:abstractNumId w:val="10"/>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num>
  <w:num w:numId="10">
    <w:abstractNumId w:val="43"/>
    <w:lvlOverride w:ilvl="0">
      <w:lvl w:ilvl="0">
        <w:numFmt w:val="decimal"/>
        <w:lvlText w:val="%1."/>
        <w:lvlJc w:val="left"/>
        <w:rPr>
          <w:b/>
        </w:rPr>
      </w:lvl>
    </w:lvlOverride>
  </w:num>
  <w:num w:numId="11">
    <w:abstractNumId w:val="14"/>
  </w:num>
  <w:num w:numId="12">
    <w:abstractNumId w:val="17"/>
  </w:num>
  <w:num w:numId="13">
    <w:abstractNumId w:val="6"/>
  </w:num>
  <w:num w:numId="14">
    <w:abstractNumId w:val="40"/>
  </w:num>
  <w:num w:numId="15">
    <w:abstractNumId w:val="21"/>
  </w:num>
  <w:num w:numId="16">
    <w:abstractNumId w:val="13"/>
  </w:num>
  <w:num w:numId="17">
    <w:abstractNumId w:val="0"/>
  </w:num>
  <w:num w:numId="18">
    <w:abstractNumId w:val="5"/>
  </w:num>
  <w:num w:numId="19">
    <w:abstractNumId w:val="27"/>
  </w:num>
  <w:num w:numId="20">
    <w:abstractNumId w:val="39"/>
  </w:num>
  <w:num w:numId="21">
    <w:abstractNumId w:val="2"/>
  </w:num>
  <w:num w:numId="22">
    <w:abstractNumId w:val="24"/>
  </w:num>
  <w:num w:numId="23">
    <w:abstractNumId w:val="33"/>
  </w:num>
  <w:num w:numId="24">
    <w:abstractNumId w:val="44"/>
  </w:num>
  <w:num w:numId="25">
    <w:abstractNumId w:val="4"/>
  </w:num>
  <w:num w:numId="26">
    <w:abstractNumId w:val="18"/>
  </w:num>
  <w:num w:numId="27">
    <w:abstractNumId w:val="19"/>
  </w:num>
  <w:num w:numId="28">
    <w:abstractNumId w:val="1"/>
  </w:num>
  <w:num w:numId="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num>
  <w:num w:numId="32">
    <w:abstractNumId w:val="8"/>
  </w:num>
  <w:num w:numId="33">
    <w:abstractNumId w:val="20"/>
  </w:num>
  <w:num w:numId="3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1"/>
  </w:num>
  <w:num w:numId="36">
    <w:abstractNumId w:val="31"/>
  </w:num>
  <w:num w:numId="37">
    <w:abstractNumId w:val="41"/>
  </w:num>
  <w:num w:numId="38">
    <w:abstractNumId w:val="7"/>
  </w:num>
  <w:num w:numId="39">
    <w:abstractNumId w:val="34"/>
  </w:num>
  <w:num w:numId="40">
    <w:abstractNumId w:val="9"/>
  </w:num>
  <w:num w:numId="41">
    <w:abstractNumId w:val="42"/>
  </w:num>
  <w:num w:numId="42">
    <w:abstractNumId w:val="26"/>
  </w:num>
  <w:num w:numId="4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0"/>
  </w:num>
  <w:num w:numId="45">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DF1"/>
    <w:rsid w:val="0000677B"/>
    <w:rsid w:val="00015CA6"/>
    <w:rsid w:val="00025289"/>
    <w:rsid w:val="00031DF2"/>
    <w:rsid w:val="00034F10"/>
    <w:rsid w:val="000378F8"/>
    <w:rsid w:val="00041443"/>
    <w:rsid w:val="000444BD"/>
    <w:rsid w:val="00053809"/>
    <w:rsid w:val="00053E66"/>
    <w:rsid w:val="00071823"/>
    <w:rsid w:val="00083BB7"/>
    <w:rsid w:val="000877E9"/>
    <w:rsid w:val="000A0BD7"/>
    <w:rsid w:val="000A6691"/>
    <w:rsid w:val="000A6833"/>
    <w:rsid w:val="000B137A"/>
    <w:rsid w:val="000B554D"/>
    <w:rsid w:val="000C7A68"/>
    <w:rsid w:val="000E5750"/>
    <w:rsid w:val="000E7F59"/>
    <w:rsid w:val="000F0720"/>
    <w:rsid w:val="000F1E77"/>
    <w:rsid w:val="00120600"/>
    <w:rsid w:val="001268E9"/>
    <w:rsid w:val="00134848"/>
    <w:rsid w:val="001360AA"/>
    <w:rsid w:val="00137E3A"/>
    <w:rsid w:val="001737E1"/>
    <w:rsid w:val="001857C9"/>
    <w:rsid w:val="00194544"/>
    <w:rsid w:val="001964B7"/>
    <w:rsid w:val="001C3453"/>
    <w:rsid w:val="001D7945"/>
    <w:rsid w:val="001E06BF"/>
    <w:rsid w:val="001E3052"/>
    <w:rsid w:val="0021003A"/>
    <w:rsid w:val="00212FD8"/>
    <w:rsid w:val="0023609E"/>
    <w:rsid w:val="00246311"/>
    <w:rsid w:val="00252B9F"/>
    <w:rsid w:val="00256C47"/>
    <w:rsid w:val="00260274"/>
    <w:rsid w:val="00261EEB"/>
    <w:rsid w:val="0026445F"/>
    <w:rsid w:val="0026452F"/>
    <w:rsid w:val="00267DE2"/>
    <w:rsid w:val="00271109"/>
    <w:rsid w:val="00275205"/>
    <w:rsid w:val="0029404D"/>
    <w:rsid w:val="00297E94"/>
    <w:rsid w:val="002A5587"/>
    <w:rsid w:val="002B1760"/>
    <w:rsid w:val="002B6B27"/>
    <w:rsid w:val="002C2106"/>
    <w:rsid w:val="002D3FE5"/>
    <w:rsid w:val="002D50F0"/>
    <w:rsid w:val="002E0DF4"/>
    <w:rsid w:val="002E5220"/>
    <w:rsid w:val="002F7D36"/>
    <w:rsid w:val="003063EE"/>
    <w:rsid w:val="00313EA6"/>
    <w:rsid w:val="00320F2D"/>
    <w:rsid w:val="00320FD6"/>
    <w:rsid w:val="0032619C"/>
    <w:rsid w:val="0034676E"/>
    <w:rsid w:val="00352795"/>
    <w:rsid w:val="00380BD1"/>
    <w:rsid w:val="003960D8"/>
    <w:rsid w:val="003A10C2"/>
    <w:rsid w:val="003B54B3"/>
    <w:rsid w:val="003B59FA"/>
    <w:rsid w:val="003B6629"/>
    <w:rsid w:val="003D2130"/>
    <w:rsid w:val="003D408C"/>
    <w:rsid w:val="003D736D"/>
    <w:rsid w:val="003D7E7B"/>
    <w:rsid w:val="003E15C4"/>
    <w:rsid w:val="003E42B6"/>
    <w:rsid w:val="004204F5"/>
    <w:rsid w:val="00425628"/>
    <w:rsid w:val="00425B7C"/>
    <w:rsid w:val="00427B63"/>
    <w:rsid w:val="00430300"/>
    <w:rsid w:val="00434ACE"/>
    <w:rsid w:val="00435EA5"/>
    <w:rsid w:val="0044042A"/>
    <w:rsid w:val="00447084"/>
    <w:rsid w:val="00454DEC"/>
    <w:rsid w:val="00456AC6"/>
    <w:rsid w:val="004656BC"/>
    <w:rsid w:val="00472A9C"/>
    <w:rsid w:val="00473AB3"/>
    <w:rsid w:val="00481DE3"/>
    <w:rsid w:val="004A0C6B"/>
    <w:rsid w:val="004A2ACD"/>
    <w:rsid w:val="004B459A"/>
    <w:rsid w:val="004B5F96"/>
    <w:rsid w:val="004D4188"/>
    <w:rsid w:val="004D47CA"/>
    <w:rsid w:val="004E489A"/>
    <w:rsid w:val="004E4B9F"/>
    <w:rsid w:val="0050215C"/>
    <w:rsid w:val="00514236"/>
    <w:rsid w:val="005311B9"/>
    <w:rsid w:val="005432FF"/>
    <w:rsid w:val="005531B6"/>
    <w:rsid w:val="00555782"/>
    <w:rsid w:val="00561B00"/>
    <w:rsid w:val="00564C26"/>
    <w:rsid w:val="005705FE"/>
    <w:rsid w:val="0057241F"/>
    <w:rsid w:val="00582B7B"/>
    <w:rsid w:val="005A0D41"/>
    <w:rsid w:val="005B2DCD"/>
    <w:rsid w:val="005B7E55"/>
    <w:rsid w:val="005C66F7"/>
    <w:rsid w:val="005D442D"/>
    <w:rsid w:val="006027C3"/>
    <w:rsid w:val="00606C9D"/>
    <w:rsid w:val="006077D4"/>
    <w:rsid w:val="006261B6"/>
    <w:rsid w:val="006416FA"/>
    <w:rsid w:val="00644E0D"/>
    <w:rsid w:val="0064652D"/>
    <w:rsid w:val="00651421"/>
    <w:rsid w:val="006535A3"/>
    <w:rsid w:val="00654047"/>
    <w:rsid w:val="00655B77"/>
    <w:rsid w:val="0066627C"/>
    <w:rsid w:val="00671E11"/>
    <w:rsid w:val="00681C04"/>
    <w:rsid w:val="006A4584"/>
    <w:rsid w:val="006B7977"/>
    <w:rsid w:val="006C4668"/>
    <w:rsid w:val="006C4EFA"/>
    <w:rsid w:val="006E36A4"/>
    <w:rsid w:val="006E7948"/>
    <w:rsid w:val="006E79B6"/>
    <w:rsid w:val="00704604"/>
    <w:rsid w:val="007137AB"/>
    <w:rsid w:val="007147C0"/>
    <w:rsid w:val="00714C89"/>
    <w:rsid w:val="00725BBA"/>
    <w:rsid w:val="0073213D"/>
    <w:rsid w:val="00760330"/>
    <w:rsid w:val="00763456"/>
    <w:rsid w:val="00764D13"/>
    <w:rsid w:val="00776DCF"/>
    <w:rsid w:val="00780B76"/>
    <w:rsid w:val="00792763"/>
    <w:rsid w:val="007939B9"/>
    <w:rsid w:val="00794056"/>
    <w:rsid w:val="007A402E"/>
    <w:rsid w:val="007D013F"/>
    <w:rsid w:val="007D1050"/>
    <w:rsid w:val="007D4A48"/>
    <w:rsid w:val="007E1DBF"/>
    <w:rsid w:val="007E6134"/>
    <w:rsid w:val="007F745B"/>
    <w:rsid w:val="007F7F26"/>
    <w:rsid w:val="00805083"/>
    <w:rsid w:val="00805D93"/>
    <w:rsid w:val="0081462E"/>
    <w:rsid w:val="00825F36"/>
    <w:rsid w:val="00826A75"/>
    <w:rsid w:val="008311D3"/>
    <w:rsid w:val="0083179B"/>
    <w:rsid w:val="00831F7B"/>
    <w:rsid w:val="008330D2"/>
    <w:rsid w:val="00834AB8"/>
    <w:rsid w:val="00850FB6"/>
    <w:rsid w:val="00854B9E"/>
    <w:rsid w:val="008572AA"/>
    <w:rsid w:val="0086180F"/>
    <w:rsid w:val="008704F4"/>
    <w:rsid w:val="00874872"/>
    <w:rsid w:val="00874B71"/>
    <w:rsid w:val="00885F80"/>
    <w:rsid w:val="00886BE8"/>
    <w:rsid w:val="008940A5"/>
    <w:rsid w:val="008D2D54"/>
    <w:rsid w:val="008F56FA"/>
    <w:rsid w:val="00900624"/>
    <w:rsid w:val="0090156E"/>
    <w:rsid w:val="00924256"/>
    <w:rsid w:val="00945C3B"/>
    <w:rsid w:val="00961CA6"/>
    <w:rsid w:val="00972164"/>
    <w:rsid w:val="009A0E35"/>
    <w:rsid w:val="009C08D3"/>
    <w:rsid w:val="009D0F55"/>
    <w:rsid w:val="009D2474"/>
    <w:rsid w:val="009D364A"/>
    <w:rsid w:val="009D3673"/>
    <w:rsid w:val="009F12B3"/>
    <w:rsid w:val="009F6E27"/>
    <w:rsid w:val="009F74E7"/>
    <w:rsid w:val="009F7C6A"/>
    <w:rsid w:val="00A07391"/>
    <w:rsid w:val="00A07D00"/>
    <w:rsid w:val="00A1164D"/>
    <w:rsid w:val="00A227E2"/>
    <w:rsid w:val="00A3180B"/>
    <w:rsid w:val="00A31ACC"/>
    <w:rsid w:val="00A34C8C"/>
    <w:rsid w:val="00A36A65"/>
    <w:rsid w:val="00A43841"/>
    <w:rsid w:val="00A502B5"/>
    <w:rsid w:val="00A634F0"/>
    <w:rsid w:val="00A73911"/>
    <w:rsid w:val="00A77DDE"/>
    <w:rsid w:val="00AA53A0"/>
    <w:rsid w:val="00AC01CA"/>
    <w:rsid w:val="00AD2D90"/>
    <w:rsid w:val="00AD30C0"/>
    <w:rsid w:val="00AD753F"/>
    <w:rsid w:val="00AE3D3C"/>
    <w:rsid w:val="00AF048E"/>
    <w:rsid w:val="00AF6023"/>
    <w:rsid w:val="00B01467"/>
    <w:rsid w:val="00B01E96"/>
    <w:rsid w:val="00B02063"/>
    <w:rsid w:val="00B040C3"/>
    <w:rsid w:val="00B05FE8"/>
    <w:rsid w:val="00B11C54"/>
    <w:rsid w:val="00B21ADF"/>
    <w:rsid w:val="00B33052"/>
    <w:rsid w:val="00B3387E"/>
    <w:rsid w:val="00B36DB4"/>
    <w:rsid w:val="00B41162"/>
    <w:rsid w:val="00B44995"/>
    <w:rsid w:val="00B5309F"/>
    <w:rsid w:val="00B60BC1"/>
    <w:rsid w:val="00B62425"/>
    <w:rsid w:val="00B64111"/>
    <w:rsid w:val="00B65101"/>
    <w:rsid w:val="00B7456C"/>
    <w:rsid w:val="00B77AB7"/>
    <w:rsid w:val="00B84DF1"/>
    <w:rsid w:val="00B908BD"/>
    <w:rsid w:val="00B91685"/>
    <w:rsid w:val="00BA3D27"/>
    <w:rsid w:val="00BB4401"/>
    <w:rsid w:val="00BD5B3D"/>
    <w:rsid w:val="00BD7237"/>
    <w:rsid w:val="00BE415E"/>
    <w:rsid w:val="00BE5C3A"/>
    <w:rsid w:val="00C1203A"/>
    <w:rsid w:val="00C132F6"/>
    <w:rsid w:val="00C273BD"/>
    <w:rsid w:val="00C33B64"/>
    <w:rsid w:val="00C33FDB"/>
    <w:rsid w:val="00C449F2"/>
    <w:rsid w:val="00C45F15"/>
    <w:rsid w:val="00C73A98"/>
    <w:rsid w:val="00C82EDE"/>
    <w:rsid w:val="00CA0332"/>
    <w:rsid w:val="00CA7D5D"/>
    <w:rsid w:val="00CB0A99"/>
    <w:rsid w:val="00CB1255"/>
    <w:rsid w:val="00CB1566"/>
    <w:rsid w:val="00CB4A28"/>
    <w:rsid w:val="00CC616B"/>
    <w:rsid w:val="00CC78CD"/>
    <w:rsid w:val="00CD27D3"/>
    <w:rsid w:val="00CD2FD3"/>
    <w:rsid w:val="00CD36ED"/>
    <w:rsid w:val="00CE34F2"/>
    <w:rsid w:val="00CE38F5"/>
    <w:rsid w:val="00CF5DF5"/>
    <w:rsid w:val="00CF698F"/>
    <w:rsid w:val="00CF798E"/>
    <w:rsid w:val="00D01E27"/>
    <w:rsid w:val="00D03874"/>
    <w:rsid w:val="00D03A0D"/>
    <w:rsid w:val="00D11877"/>
    <w:rsid w:val="00D13D4B"/>
    <w:rsid w:val="00D22942"/>
    <w:rsid w:val="00D36388"/>
    <w:rsid w:val="00D41150"/>
    <w:rsid w:val="00D41356"/>
    <w:rsid w:val="00D52722"/>
    <w:rsid w:val="00D6542A"/>
    <w:rsid w:val="00D77568"/>
    <w:rsid w:val="00D82D8C"/>
    <w:rsid w:val="00D95EEE"/>
    <w:rsid w:val="00DA1300"/>
    <w:rsid w:val="00DB20B2"/>
    <w:rsid w:val="00DB7C4B"/>
    <w:rsid w:val="00DC2BB2"/>
    <w:rsid w:val="00DC7C5B"/>
    <w:rsid w:val="00DD370B"/>
    <w:rsid w:val="00DD52D1"/>
    <w:rsid w:val="00DF2FE0"/>
    <w:rsid w:val="00DF36EF"/>
    <w:rsid w:val="00DF4EBD"/>
    <w:rsid w:val="00E17E99"/>
    <w:rsid w:val="00E30F92"/>
    <w:rsid w:val="00E46D33"/>
    <w:rsid w:val="00E76B90"/>
    <w:rsid w:val="00E81E4D"/>
    <w:rsid w:val="00E82CEE"/>
    <w:rsid w:val="00E839D9"/>
    <w:rsid w:val="00E845E2"/>
    <w:rsid w:val="00E8516D"/>
    <w:rsid w:val="00E87A76"/>
    <w:rsid w:val="00E87C17"/>
    <w:rsid w:val="00E96581"/>
    <w:rsid w:val="00EC2856"/>
    <w:rsid w:val="00ED0A54"/>
    <w:rsid w:val="00ED457F"/>
    <w:rsid w:val="00EE43F4"/>
    <w:rsid w:val="00EE5A08"/>
    <w:rsid w:val="00EF7EF9"/>
    <w:rsid w:val="00F0736F"/>
    <w:rsid w:val="00F11260"/>
    <w:rsid w:val="00F15452"/>
    <w:rsid w:val="00F167E6"/>
    <w:rsid w:val="00F22E98"/>
    <w:rsid w:val="00F321D3"/>
    <w:rsid w:val="00F33652"/>
    <w:rsid w:val="00F40A57"/>
    <w:rsid w:val="00F413BE"/>
    <w:rsid w:val="00F427A0"/>
    <w:rsid w:val="00F6082D"/>
    <w:rsid w:val="00F62D4D"/>
    <w:rsid w:val="00F757BF"/>
    <w:rsid w:val="00F816BF"/>
    <w:rsid w:val="00F85D77"/>
    <w:rsid w:val="00F8679D"/>
    <w:rsid w:val="00F867E2"/>
    <w:rsid w:val="00F916D5"/>
    <w:rsid w:val="00F97F2C"/>
    <w:rsid w:val="00FA1827"/>
    <w:rsid w:val="00FC4FFC"/>
    <w:rsid w:val="00FD54ED"/>
    <w:rsid w:val="00FD719C"/>
    <w:rsid w:val="00FF18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6883B1D0-BBD8-44E9-8C8E-DA36B95FA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2616"/>
    <w:rPr>
      <w:rFonts w:eastAsiaTheme="minorEastAsia"/>
      <w:lang w:eastAsia="es-ES"/>
    </w:rPr>
  </w:style>
  <w:style w:type="paragraph" w:styleId="Ttulo1">
    <w:name w:val="heading 1"/>
    <w:basedOn w:val="Normal"/>
    <w:next w:val="Normal"/>
    <w:link w:val="Ttulo1Car"/>
    <w:uiPriority w:val="9"/>
    <w:qFormat/>
    <w:rsid w:val="0094261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94261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Ttulo1Car">
    <w:name w:val="Título 1 Car"/>
    <w:basedOn w:val="Fuentedeprrafopredeter"/>
    <w:link w:val="Ttulo1"/>
    <w:uiPriority w:val="9"/>
    <w:rsid w:val="00942616"/>
    <w:rPr>
      <w:rFonts w:asciiTheme="majorHAnsi" w:eastAsiaTheme="majorEastAsia" w:hAnsiTheme="majorHAnsi" w:cstheme="majorBidi"/>
      <w:color w:val="2F5496" w:themeColor="accent1" w:themeShade="BF"/>
      <w:sz w:val="32"/>
      <w:szCs w:val="32"/>
      <w:lang w:val="es-ES_tradnl" w:eastAsia="es-ES"/>
    </w:rPr>
  </w:style>
  <w:style w:type="character" w:customStyle="1" w:styleId="Ttulo2Car">
    <w:name w:val="Título 2 Car"/>
    <w:basedOn w:val="Fuentedeprrafopredeter"/>
    <w:link w:val="Ttulo2"/>
    <w:uiPriority w:val="9"/>
    <w:rsid w:val="00942616"/>
    <w:rPr>
      <w:rFonts w:asciiTheme="majorHAnsi" w:eastAsiaTheme="majorEastAsia" w:hAnsiTheme="majorHAnsi" w:cstheme="majorBidi"/>
      <w:color w:val="2F5496" w:themeColor="accent1" w:themeShade="BF"/>
      <w:sz w:val="26"/>
      <w:szCs w:val="26"/>
      <w:lang w:val="es-ES_tradnl" w:eastAsia="es-ES"/>
    </w:rPr>
  </w:style>
  <w:style w:type="paragraph" w:styleId="Encabezado">
    <w:name w:val="header"/>
    <w:basedOn w:val="Normal"/>
    <w:link w:val="EncabezadoCar"/>
    <w:uiPriority w:val="99"/>
    <w:unhideWhenUsed/>
    <w:rsid w:val="00942616"/>
    <w:pPr>
      <w:tabs>
        <w:tab w:val="center" w:pos="4419"/>
        <w:tab w:val="right" w:pos="8838"/>
      </w:tabs>
    </w:pPr>
  </w:style>
  <w:style w:type="character" w:customStyle="1" w:styleId="EncabezadoCar">
    <w:name w:val="Encabezado Car"/>
    <w:basedOn w:val="Fuentedeprrafopredeter"/>
    <w:link w:val="Encabezado"/>
    <w:uiPriority w:val="99"/>
    <w:rsid w:val="00942616"/>
    <w:rPr>
      <w:rFonts w:eastAsiaTheme="minorEastAsia"/>
      <w:sz w:val="24"/>
      <w:szCs w:val="24"/>
      <w:lang w:val="es-ES_tradnl" w:eastAsia="es-ES"/>
    </w:rPr>
  </w:style>
  <w:style w:type="paragraph" w:styleId="Piedepgina">
    <w:name w:val="footer"/>
    <w:basedOn w:val="Normal"/>
    <w:link w:val="PiedepginaCar"/>
    <w:uiPriority w:val="99"/>
    <w:unhideWhenUsed/>
    <w:rsid w:val="00942616"/>
    <w:pPr>
      <w:tabs>
        <w:tab w:val="center" w:pos="4419"/>
        <w:tab w:val="right" w:pos="8838"/>
      </w:tabs>
    </w:pPr>
  </w:style>
  <w:style w:type="character" w:customStyle="1" w:styleId="PiedepginaCar">
    <w:name w:val="Pie de página Car"/>
    <w:basedOn w:val="Fuentedeprrafopredeter"/>
    <w:link w:val="Piedepgina"/>
    <w:uiPriority w:val="99"/>
    <w:rsid w:val="00942616"/>
    <w:rPr>
      <w:rFonts w:eastAsiaTheme="minorEastAsia"/>
      <w:sz w:val="24"/>
      <w:szCs w:val="24"/>
      <w:lang w:val="es-ES_tradnl"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942616"/>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942616"/>
    <w:rPr>
      <w:rFonts w:eastAsiaTheme="minorHAnsi"/>
      <w:sz w:val="20"/>
      <w:szCs w:val="20"/>
      <w:lang w:val="es-MX" w:eastAsia="en-US"/>
    </w:rPr>
  </w:style>
  <w:style w:type="character" w:customStyle="1" w:styleId="TextonotapieCar1">
    <w:name w:val="Texto nota pie Car1"/>
    <w:basedOn w:val="Fuentedeprrafopredeter"/>
    <w:uiPriority w:val="99"/>
    <w:semiHidden/>
    <w:rsid w:val="00942616"/>
    <w:rPr>
      <w:rFonts w:eastAsiaTheme="minorEastAsia"/>
      <w:sz w:val="20"/>
      <w:szCs w:val="20"/>
      <w:lang w:val="es-ES_tradnl"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942616"/>
    <w:rPr>
      <w:vertAlign w:val="superscript"/>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942616"/>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42616"/>
    <w:rPr>
      <w:rFonts w:eastAsiaTheme="minorEastAsia"/>
      <w:sz w:val="24"/>
      <w:szCs w:val="24"/>
      <w:lang w:val="es-ES_tradnl" w:eastAsia="es-ES"/>
    </w:rPr>
  </w:style>
  <w:style w:type="table" w:styleId="Tablanormal1">
    <w:name w:val="Plain Table 1"/>
    <w:basedOn w:val="Tablanormal"/>
    <w:uiPriority w:val="41"/>
    <w:rsid w:val="0094261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vnculo">
    <w:name w:val="Hyperlink"/>
    <w:aliases w:val="Hipervínculo1,Hipervínculo11,Hipervínculo12,Hipervínculo13,Hipervínculo14,Hipervínculo15"/>
    <w:basedOn w:val="Fuentedeprrafopredeter"/>
    <w:uiPriority w:val="99"/>
    <w:unhideWhenUsed/>
    <w:qFormat/>
    <w:rsid w:val="004D1B9C"/>
    <w:rPr>
      <w:color w:val="0563C1" w:themeColor="hyperlink"/>
      <w:u w:val="single"/>
    </w:rPr>
  </w:style>
  <w:style w:type="table" w:styleId="Tablaconcuadrcula">
    <w:name w:val="Table Grid"/>
    <w:basedOn w:val="Tablanormal"/>
    <w:uiPriority w:val="39"/>
    <w:rsid w:val="002847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undamentos">
    <w:name w:val="Fundamentos"/>
    <w:basedOn w:val="Normal"/>
    <w:next w:val="Normal"/>
    <w:qFormat/>
    <w:rsid w:val="00D70F20"/>
    <w:pPr>
      <w:pBdr>
        <w:top w:val="nil"/>
        <w:left w:val="nil"/>
        <w:bottom w:val="nil"/>
        <w:right w:val="nil"/>
        <w:between w:val="nil"/>
      </w:pBdr>
      <w:ind w:left="567" w:right="567"/>
      <w:contextualSpacing/>
      <w:jc w:val="both"/>
    </w:pPr>
    <w:rPr>
      <w:rFonts w:ascii="Palatino Linotype" w:eastAsia="Palatino Linotype" w:hAnsi="Palatino Linotype" w:cs="Palatino Linotype"/>
      <w:i/>
      <w:color w:val="000000"/>
      <w:sz w:val="22"/>
      <w:lang w:eastAsia="es-MX"/>
    </w:rPr>
  </w:style>
  <w:style w:type="paragraph" w:styleId="Sinespaciado">
    <w:name w:val="No Spacing"/>
    <w:aliases w:val="Francesa,INAI"/>
    <w:link w:val="SinespaciadoCar"/>
    <w:uiPriority w:val="1"/>
    <w:qFormat/>
    <w:rsid w:val="00071265"/>
  </w:style>
  <w:style w:type="character" w:customStyle="1" w:styleId="SinespaciadoCar">
    <w:name w:val="Sin espaciado Car"/>
    <w:aliases w:val="Francesa Car,INAI Car"/>
    <w:link w:val="Sinespaciado"/>
    <w:uiPriority w:val="1"/>
    <w:qFormat/>
    <w:locked/>
    <w:rsid w:val="00071265"/>
  </w:style>
  <w:style w:type="paragraph" w:customStyle="1" w:styleId="Default">
    <w:name w:val="Default"/>
    <w:qFormat/>
    <w:rsid w:val="001C69FE"/>
    <w:pPr>
      <w:autoSpaceDE w:val="0"/>
      <w:autoSpaceDN w:val="0"/>
      <w:adjustRightInd w:val="0"/>
    </w:pPr>
    <w:rPr>
      <w:rFonts w:ascii="Arial" w:hAnsi="Arial" w:cs="Arial"/>
      <w:color w:val="000000"/>
    </w:rPr>
  </w:style>
  <w:style w:type="table" w:customStyle="1" w:styleId="Tablanormal12">
    <w:name w:val="Tabla normal 12"/>
    <w:basedOn w:val="Tablanormal"/>
    <w:next w:val="Tablanormal1"/>
    <w:uiPriority w:val="41"/>
    <w:rsid w:val="00C3684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Textoennegrita">
    <w:name w:val="Strong"/>
    <w:uiPriority w:val="22"/>
    <w:qFormat/>
    <w:rsid w:val="003F5071"/>
    <w:rPr>
      <w:b/>
      <w:bC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70" w:type="dxa"/>
        <w:right w:w="70" w:type="dxa"/>
      </w:tblCellMar>
    </w:tblPr>
  </w:style>
  <w:style w:type="table" w:customStyle="1" w:styleId="a1">
    <w:basedOn w:val="TableNormal0"/>
    <w:tblPr>
      <w:tblStyleRowBandSize w:val="1"/>
      <w:tblStyleColBandSize w:val="1"/>
      <w:tblCellMar>
        <w:left w:w="70" w:type="dxa"/>
        <w:right w:w="70" w:type="dxa"/>
      </w:tblCellMar>
    </w:tblPr>
  </w:style>
  <w:style w:type="paragraph" w:customStyle="1" w:styleId="Citas">
    <w:name w:val="Citas"/>
    <w:basedOn w:val="Normal"/>
    <w:qFormat/>
    <w:rsid w:val="00E803AA"/>
    <w:pPr>
      <w:spacing w:before="240" w:after="160" w:line="360" w:lineRule="auto"/>
      <w:ind w:left="851" w:right="851"/>
      <w:jc w:val="both"/>
    </w:pPr>
    <w:rPr>
      <w:rFonts w:ascii="Palatino Linotype" w:eastAsiaTheme="minorHAnsi" w:hAnsi="Palatino Linotype" w:cs="Arial"/>
      <w:i/>
      <w:sz w:val="22"/>
      <w:szCs w:val="22"/>
      <w:lang w:val="es-MX" w:eastAsia="en-US"/>
    </w:rPr>
  </w:style>
  <w:style w:type="paragraph" w:customStyle="1" w:styleId="CitasINFOEM">
    <w:name w:val="Citas INFOEM"/>
    <w:basedOn w:val="Normal"/>
    <w:qFormat/>
    <w:rsid w:val="00F37A04"/>
    <w:pPr>
      <w:spacing w:before="240" w:after="160" w:line="360" w:lineRule="auto"/>
      <w:ind w:left="851" w:right="851"/>
      <w:jc w:val="both"/>
    </w:pPr>
    <w:rPr>
      <w:rFonts w:ascii="Palatino Linotype" w:eastAsia="Times New Roman" w:hAnsi="Palatino Linotype" w:cs="Times New Roman"/>
      <w:i/>
      <w:sz w:val="22"/>
      <w:lang w:val="es-MX" w:eastAsia="en-US"/>
    </w:rPr>
  </w:style>
  <w:style w:type="paragraph" w:styleId="NormalWeb">
    <w:name w:val="Normal (Web)"/>
    <w:basedOn w:val="Normal"/>
    <w:uiPriority w:val="99"/>
    <w:rsid w:val="00151F2D"/>
    <w:pPr>
      <w:spacing w:before="100" w:beforeAutospacing="1" w:after="100" w:afterAutospacing="1"/>
    </w:pPr>
    <w:rPr>
      <w:rFonts w:ascii="Times New Roman" w:eastAsia="Times New Roman" w:hAnsi="Times New Roman" w:cs="Times New Roman"/>
      <w:lang w:val="es-MX" w:eastAsia="es-MX"/>
    </w:rPr>
  </w:style>
  <w:style w:type="table" w:customStyle="1" w:styleId="a2">
    <w:basedOn w:val="TableNormal0"/>
    <w:tblPr>
      <w:tblStyleRowBandSize w:val="1"/>
      <w:tblStyleColBandSize w:val="1"/>
      <w:tblCellMar>
        <w:left w:w="70" w:type="dxa"/>
        <w:right w:w="70" w:type="dxa"/>
      </w:tblCellMar>
    </w:tblPr>
  </w:style>
  <w:style w:type="table" w:customStyle="1" w:styleId="a3">
    <w:basedOn w:val="TableNormal0"/>
    <w:tblPr>
      <w:tblStyleRowBandSize w:val="1"/>
      <w:tblStyleColBandSize w:val="1"/>
      <w:tblCellMar>
        <w:left w:w="70" w:type="dxa"/>
        <w:right w:w="70" w:type="dxa"/>
      </w:tblCellMar>
    </w:tblPr>
  </w:style>
  <w:style w:type="paragraph" w:styleId="Listaconvietas2">
    <w:name w:val="List Bullet 2"/>
    <w:basedOn w:val="Normal"/>
    <w:uiPriority w:val="99"/>
    <w:unhideWhenUsed/>
    <w:qFormat/>
    <w:rsid w:val="007137AB"/>
    <w:pPr>
      <w:numPr>
        <w:numId w:val="17"/>
      </w:numPr>
      <w:contextualSpacing/>
    </w:pPr>
    <w:rPr>
      <w:rFonts w:ascii="Times New Roman" w:eastAsia="Times New Roman" w:hAnsi="Times New Roman" w:cs="Times New Roman"/>
      <w:sz w:val="20"/>
      <w:szCs w:val="20"/>
      <w:lang w:val="es-MX"/>
    </w:rPr>
  </w:style>
  <w:style w:type="paragraph" w:customStyle="1" w:styleId="paragraph">
    <w:name w:val="paragraph"/>
    <w:basedOn w:val="Normal"/>
    <w:rsid w:val="008330D2"/>
    <w:pPr>
      <w:spacing w:before="100" w:beforeAutospacing="1" w:after="100" w:afterAutospacing="1"/>
    </w:pPr>
    <w:rPr>
      <w:rFonts w:ascii="Times New Roman" w:eastAsia="Times New Roman" w:hAnsi="Times New Roman" w:cs="Times New Roman"/>
      <w:lang w:val="es-MX" w:eastAsia="es-MX"/>
    </w:rPr>
  </w:style>
  <w:style w:type="paragraph" w:customStyle="1" w:styleId="rtejustify">
    <w:name w:val="rtejustify"/>
    <w:basedOn w:val="Normal"/>
    <w:rsid w:val="00924256"/>
    <w:pPr>
      <w:spacing w:before="100" w:beforeAutospacing="1" w:after="100" w:afterAutospacing="1"/>
    </w:pPr>
    <w:rPr>
      <w:rFonts w:ascii="Times New Roman" w:eastAsia="Times New Roman" w:hAnsi="Times New Roman" w:cs="Times New Roman"/>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1372056">
      <w:bodyDiv w:val="1"/>
      <w:marLeft w:val="0"/>
      <w:marRight w:val="0"/>
      <w:marTop w:val="0"/>
      <w:marBottom w:val="0"/>
      <w:divBdr>
        <w:top w:val="none" w:sz="0" w:space="0" w:color="auto"/>
        <w:left w:val="none" w:sz="0" w:space="0" w:color="auto"/>
        <w:bottom w:val="none" w:sz="0" w:space="0" w:color="auto"/>
        <w:right w:val="none" w:sz="0" w:space="0" w:color="auto"/>
      </w:divBdr>
    </w:div>
    <w:div w:id="19166201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K8DCR661JXnLG5bgLMe5znzAKQ==">CgMxLjAyCGguZ2pkZ3hzMgloLjMwajB6bGwyCWguMWZvYjl0ZTIOaC5jNGEwNjRzOHA3czkyCWguM3pueXNoNzIJaC4yZXQ5MnAwMghoLnR5amN3dDIJaC4zZHk2dmttMgloLjRkMzRvZzgyCWguMXQzaDVzZjIJaC4zNW5rdW4yOAByITF5b2VuQ3NQcW1KQ1RmVTY4UFVNaFA3b2lsOTZDWlk4bQ==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3D9D23A-90E9-405B-AAD5-6D5DA896BF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15</Pages>
  <Words>3170</Words>
  <Characters>17440</Characters>
  <Application>Microsoft Office Word</Application>
  <DocSecurity>0</DocSecurity>
  <Lines>145</Lines>
  <Paragraphs>41</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20569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Paola Belen Sanchez Estrada</dc:creator>
  <cp:lastModifiedBy>Cuenta Microsoft</cp:lastModifiedBy>
  <cp:revision>9</cp:revision>
  <cp:lastPrinted>2026-02-13T16:05:00Z</cp:lastPrinted>
  <dcterms:created xsi:type="dcterms:W3CDTF">2026-02-05T17:53:00Z</dcterms:created>
  <dcterms:modified xsi:type="dcterms:W3CDTF">2026-02-20T20:15:00Z</dcterms:modified>
</cp:coreProperties>
</file>