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5AC49" w14:textId="6CC84ABF" w:rsidR="00B0371D" w:rsidRPr="009C3A3C" w:rsidRDefault="00444611">
      <w:pPr>
        <w:spacing w:line="360" w:lineRule="auto"/>
        <w:ind w:right="49"/>
        <w:jc w:val="both"/>
        <w:rPr>
          <w:rFonts w:ascii="Palatino Linotype" w:eastAsia="Palatino Linotype" w:hAnsi="Palatino Linotype" w:cs="Palatino Linotype"/>
          <w:sz w:val="22"/>
          <w:szCs w:val="22"/>
        </w:rPr>
      </w:pPr>
      <w:bookmarkStart w:id="0" w:name="_GoBack"/>
      <w:bookmarkEnd w:id="0"/>
      <w:r w:rsidRPr="009C3A3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3C0F54" w:rsidRPr="009C3A3C">
        <w:rPr>
          <w:rFonts w:ascii="Palatino Linotype" w:eastAsia="Palatino Linotype" w:hAnsi="Palatino Linotype" w:cs="Palatino Linotype"/>
          <w:b/>
          <w:bCs/>
          <w:sz w:val="22"/>
          <w:szCs w:val="22"/>
        </w:rPr>
        <w:t xml:space="preserve">veintiocho de enero </w:t>
      </w:r>
      <w:r w:rsidRPr="009C3A3C">
        <w:rPr>
          <w:rFonts w:ascii="Palatino Linotype" w:eastAsia="Palatino Linotype" w:hAnsi="Palatino Linotype" w:cs="Palatino Linotype"/>
          <w:b/>
          <w:bCs/>
          <w:sz w:val="22"/>
          <w:szCs w:val="22"/>
        </w:rPr>
        <w:t xml:space="preserve">de dos mil </w:t>
      </w:r>
      <w:r w:rsidR="003C0F54" w:rsidRPr="009C3A3C">
        <w:rPr>
          <w:rFonts w:ascii="Palatino Linotype" w:eastAsia="Palatino Linotype" w:hAnsi="Palatino Linotype" w:cs="Palatino Linotype"/>
          <w:b/>
          <w:bCs/>
          <w:sz w:val="22"/>
          <w:szCs w:val="22"/>
        </w:rPr>
        <w:t xml:space="preserve">veintiséis. </w:t>
      </w:r>
    </w:p>
    <w:p w14:paraId="1E1F56D8" w14:textId="77777777" w:rsidR="00B0371D" w:rsidRPr="009C3A3C" w:rsidRDefault="00B0371D">
      <w:pPr>
        <w:spacing w:line="360" w:lineRule="auto"/>
        <w:ind w:right="49"/>
        <w:jc w:val="both"/>
        <w:rPr>
          <w:rFonts w:ascii="Palatino Linotype" w:eastAsia="Palatino Linotype" w:hAnsi="Palatino Linotype" w:cs="Palatino Linotype"/>
          <w:sz w:val="22"/>
          <w:szCs w:val="22"/>
        </w:rPr>
      </w:pPr>
    </w:p>
    <w:p w14:paraId="33536CA5" w14:textId="515B2990" w:rsidR="00B0371D" w:rsidRPr="009C3A3C" w:rsidRDefault="00444611">
      <w:pPr>
        <w:spacing w:line="360" w:lineRule="auto"/>
        <w:ind w:right="49"/>
        <w:jc w:val="both"/>
        <w:rPr>
          <w:rFonts w:ascii="Palatino Linotype" w:eastAsia="Palatino Linotype" w:hAnsi="Palatino Linotype" w:cs="Palatino Linotype"/>
          <w:sz w:val="22"/>
          <w:szCs w:val="22"/>
        </w:rPr>
      </w:pPr>
      <w:bookmarkStart w:id="1" w:name="_heading=h.89eouw5hmc9z" w:colFirst="0" w:colLast="0"/>
      <w:bookmarkEnd w:id="1"/>
      <w:r w:rsidRPr="009C3A3C">
        <w:rPr>
          <w:rFonts w:ascii="Palatino Linotype" w:eastAsia="Palatino Linotype" w:hAnsi="Palatino Linotype" w:cs="Palatino Linotype"/>
          <w:b/>
          <w:bCs/>
          <w:sz w:val="22"/>
          <w:szCs w:val="22"/>
        </w:rPr>
        <w:t xml:space="preserve">VISTO </w:t>
      </w:r>
      <w:r w:rsidR="003C0F54" w:rsidRPr="009C3A3C">
        <w:rPr>
          <w:rFonts w:ascii="Palatino Linotype" w:eastAsia="Palatino Linotype" w:hAnsi="Palatino Linotype" w:cs="Palatino Linotype"/>
          <w:sz w:val="22"/>
          <w:szCs w:val="22"/>
        </w:rPr>
        <w:t>los</w:t>
      </w:r>
      <w:r w:rsidRPr="009C3A3C">
        <w:rPr>
          <w:rFonts w:ascii="Palatino Linotype" w:eastAsia="Palatino Linotype" w:hAnsi="Palatino Linotype" w:cs="Palatino Linotype"/>
          <w:sz w:val="22"/>
          <w:szCs w:val="22"/>
        </w:rPr>
        <w:t xml:space="preserve"> expediente</w:t>
      </w:r>
      <w:r w:rsidR="003C0F54"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w:t>
      </w:r>
      <w:r w:rsidR="003C0F54" w:rsidRPr="009C3A3C">
        <w:rPr>
          <w:rFonts w:ascii="Palatino Linotype" w:eastAsia="Palatino Linotype" w:hAnsi="Palatino Linotype" w:cs="Palatino Linotype"/>
          <w:sz w:val="22"/>
          <w:szCs w:val="22"/>
        </w:rPr>
        <w:t>formados con motivo de los</w:t>
      </w:r>
      <w:r w:rsidRPr="009C3A3C">
        <w:rPr>
          <w:rFonts w:ascii="Palatino Linotype" w:eastAsia="Palatino Linotype" w:hAnsi="Palatino Linotype" w:cs="Palatino Linotype"/>
          <w:sz w:val="22"/>
          <w:szCs w:val="22"/>
        </w:rPr>
        <w:t xml:space="preserve"> recurso</w:t>
      </w:r>
      <w:r w:rsidR="003C0F54"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de revisión </w:t>
      </w:r>
      <w:r w:rsidR="003C0F54" w:rsidRPr="009C3A3C">
        <w:rPr>
          <w:rFonts w:ascii="Palatino Linotype" w:eastAsia="Palatino Linotype" w:hAnsi="Palatino Linotype" w:cs="Palatino Linotype"/>
          <w:b/>
          <w:bCs/>
          <w:sz w:val="22"/>
          <w:szCs w:val="22"/>
        </w:rPr>
        <w:t>10914/INFOEM/IP/RR/2025 y 10915/INFOEM/IP/RR/2025,</w:t>
      </w:r>
      <w:r w:rsidRPr="009C3A3C">
        <w:rPr>
          <w:rFonts w:ascii="Palatino Linotype" w:eastAsia="Palatino Linotype" w:hAnsi="Palatino Linotype" w:cs="Palatino Linotype"/>
          <w:b/>
          <w:bCs/>
          <w:sz w:val="22"/>
          <w:szCs w:val="22"/>
        </w:rPr>
        <w:t xml:space="preserve"> </w:t>
      </w:r>
      <w:r w:rsidRPr="009C3A3C">
        <w:rPr>
          <w:rFonts w:ascii="Palatino Linotype" w:eastAsia="Palatino Linotype" w:hAnsi="Palatino Linotype" w:cs="Palatino Linotype"/>
          <w:sz w:val="22"/>
          <w:szCs w:val="22"/>
        </w:rPr>
        <w:t>interpuesto</w:t>
      </w:r>
      <w:r w:rsidR="003C0F54"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por </w:t>
      </w:r>
      <w:r w:rsidR="003C0F54" w:rsidRPr="009C3A3C">
        <w:rPr>
          <w:rFonts w:ascii="Palatino Linotype" w:eastAsia="Palatino Linotype" w:hAnsi="Palatino Linotype" w:cs="Palatino Linotype"/>
          <w:b/>
          <w:bCs/>
          <w:sz w:val="22"/>
          <w:szCs w:val="22"/>
        </w:rPr>
        <w:t>una persona que no proporcionó nombre o seudónimo</w:t>
      </w:r>
      <w:r w:rsidRPr="009C3A3C">
        <w:rPr>
          <w:rFonts w:ascii="Palatino Linotype" w:eastAsia="Palatino Linotype" w:hAnsi="Palatino Linotype" w:cs="Palatino Linotype"/>
          <w:b/>
          <w:bCs/>
          <w:sz w:val="22"/>
          <w:szCs w:val="22"/>
        </w:rPr>
        <w:t>,</w:t>
      </w:r>
      <w:r w:rsidRPr="009C3A3C">
        <w:rPr>
          <w:rFonts w:ascii="Palatino Linotype" w:eastAsia="Palatino Linotype" w:hAnsi="Palatino Linotype" w:cs="Palatino Linotype"/>
          <w:sz w:val="22"/>
          <w:szCs w:val="22"/>
        </w:rPr>
        <w:t xml:space="preserve"> en lo sucesivo la parte </w:t>
      </w:r>
      <w:r w:rsidRPr="009C3A3C">
        <w:rPr>
          <w:rFonts w:ascii="Palatino Linotype" w:eastAsia="Palatino Linotype" w:hAnsi="Palatino Linotype" w:cs="Palatino Linotype"/>
          <w:b/>
          <w:bCs/>
          <w:sz w:val="22"/>
          <w:szCs w:val="22"/>
        </w:rPr>
        <w:t>Recurrente</w:t>
      </w:r>
      <w:r w:rsidRPr="009C3A3C">
        <w:rPr>
          <w:rFonts w:ascii="Palatino Linotype" w:eastAsia="Palatino Linotype" w:hAnsi="Palatino Linotype" w:cs="Palatino Linotype"/>
          <w:sz w:val="22"/>
          <w:szCs w:val="22"/>
        </w:rPr>
        <w:t>, en contra de la</w:t>
      </w:r>
      <w:r w:rsidR="003C0F54"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respuesta</w:t>
      </w:r>
      <w:r w:rsidR="003C0F54"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a la</w:t>
      </w:r>
      <w:r w:rsidR="003C0F54"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solicitud</w:t>
      </w:r>
      <w:r w:rsidR="003C0F54" w:rsidRPr="009C3A3C">
        <w:rPr>
          <w:rFonts w:ascii="Palatino Linotype" w:eastAsia="Palatino Linotype" w:hAnsi="Palatino Linotype" w:cs="Palatino Linotype"/>
          <w:sz w:val="22"/>
          <w:szCs w:val="22"/>
        </w:rPr>
        <w:t>es</w:t>
      </w:r>
      <w:r w:rsidRPr="009C3A3C">
        <w:rPr>
          <w:rFonts w:ascii="Palatino Linotype" w:eastAsia="Palatino Linotype" w:hAnsi="Palatino Linotype" w:cs="Palatino Linotype"/>
          <w:sz w:val="22"/>
          <w:szCs w:val="22"/>
        </w:rPr>
        <w:t xml:space="preserve"> de información por parte del </w:t>
      </w:r>
      <w:r w:rsidR="003C0F54" w:rsidRPr="009C3A3C">
        <w:rPr>
          <w:rFonts w:ascii="Palatino Linotype" w:eastAsia="Palatino Linotype" w:hAnsi="Palatino Linotype" w:cs="Palatino Linotype"/>
          <w:b/>
          <w:bCs/>
          <w:sz w:val="22"/>
          <w:szCs w:val="22"/>
        </w:rPr>
        <w:t>Ayuntamiento de Tianguistenco</w:t>
      </w:r>
      <w:r w:rsidRPr="009C3A3C">
        <w:rPr>
          <w:rFonts w:ascii="Palatino Linotype" w:eastAsia="Palatino Linotype" w:hAnsi="Palatino Linotype" w:cs="Palatino Linotype"/>
          <w:sz w:val="22"/>
          <w:szCs w:val="22"/>
        </w:rPr>
        <w:t xml:space="preserve">, en lo sucesivo el </w:t>
      </w:r>
      <w:r w:rsidRPr="009C3A3C">
        <w:rPr>
          <w:rFonts w:ascii="Palatino Linotype" w:eastAsia="Palatino Linotype" w:hAnsi="Palatino Linotype" w:cs="Palatino Linotype"/>
          <w:b/>
          <w:bCs/>
          <w:sz w:val="22"/>
          <w:szCs w:val="22"/>
        </w:rPr>
        <w:t xml:space="preserve">Sujeto Obligado; </w:t>
      </w:r>
      <w:r w:rsidRPr="009C3A3C">
        <w:rPr>
          <w:rFonts w:ascii="Palatino Linotype" w:eastAsia="Palatino Linotype" w:hAnsi="Palatino Linotype" w:cs="Palatino Linotype"/>
          <w:sz w:val="22"/>
          <w:szCs w:val="22"/>
        </w:rPr>
        <w:t>se procede a dictar la presente resolución, con base en lo siguiente.</w:t>
      </w:r>
    </w:p>
    <w:p w14:paraId="227BB70E" w14:textId="77777777" w:rsidR="00B0371D" w:rsidRPr="009C3A3C" w:rsidRDefault="00444611">
      <w:pPr>
        <w:spacing w:line="360" w:lineRule="auto"/>
        <w:ind w:right="49"/>
        <w:jc w:val="center"/>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I.</w:t>
      </w:r>
      <w:r w:rsidRPr="009C3A3C">
        <w:rPr>
          <w:rFonts w:ascii="Palatino Linotype" w:eastAsia="Palatino Linotype" w:hAnsi="Palatino Linotype" w:cs="Palatino Linotype"/>
          <w:b/>
          <w:bCs/>
          <w:sz w:val="22"/>
          <w:szCs w:val="22"/>
        </w:rPr>
        <w:tab/>
        <w:t>A N T E C E D E N T E S</w:t>
      </w:r>
    </w:p>
    <w:p w14:paraId="7F2A6801" w14:textId="77777777" w:rsidR="00B0371D" w:rsidRPr="009C3A3C" w:rsidRDefault="00B0371D">
      <w:pPr>
        <w:spacing w:line="360" w:lineRule="auto"/>
        <w:ind w:right="49"/>
        <w:jc w:val="both"/>
        <w:rPr>
          <w:rFonts w:ascii="Palatino Linotype" w:eastAsia="Palatino Linotype" w:hAnsi="Palatino Linotype" w:cs="Palatino Linotype"/>
          <w:sz w:val="22"/>
          <w:szCs w:val="22"/>
        </w:rPr>
      </w:pPr>
    </w:p>
    <w:p w14:paraId="18E4D8FD" w14:textId="63F11E73"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bCs/>
          <w:sz w:val="22"/>
          <w:szCs w:val="22"/>
        </w:rPr>
        <w:t>1.</w:t>
      </w:r>
      <w:r w:rsidRPr="009C3A3C">
        <w:rPr>
          <w:rFonts w:ascii="Palatino Linotype" w:eastAsia="Palatino Linotype" w:hAnsi="Palatino Linotype" w:cs="Palatino Linotype"/>
          <w:sz w:val="22"/>
          <w:szCs w:val="22"/>
        </w:rPr>
        <w:t xml:space="preserve"> </w:t>
      </w:r>
      <w:r w:rsidRPr="009C3A3C">
        <w:rPr>
          <w:rFonts w:ascii="Palatino Linotype" w:eastAsia="Palatino Linotype" w:hAnsi="Palatino Linotype" w:cs="Palatino Linotype"/>
          <w:b/>
          <w:bCs/>
          <w:sz w:val="22"/>
          <w:szCs w:val="22"/>
        </w:rPr>
        <w:t>Solicitud</w:t>
      </w:r>
      <w:r w:rsidR="003C0F54" w:rsidRPr="009C3A3C">
        <w:rPr>
          <w:rFonts w:ascii="Palatino Linotype" w:eastAsia="Palatino Linotype" w:hAnsi="Palatino Linotype" w:cs="Palatino Linotype"/>
          <w:b/>
          <w:bCs/>
          <w:sz w:val="22"/>
          <w:szCs w:val="22"/>
        </w:rPr>
        <w:t>es</w:t>
      </w:r>
      <w:r w:rsidRPr="009C3A3C">
        <w:rPr>
          <w:rFonts w:ascii="Palatino Linotype" w:eastAsia="Palatino Linotype" w:hAnsi="Palatino Linotype" w:cs="Palatino Linotype"/>
          <w:b/>
          <w:bCs/>
          <w:sz w:val="22"/>
          <w:szCs w:val="22"/>
        </w:rPr>
        <w:t xml:space="preserve"> de Acceso a la Información. El </w:t>
      </w:r>
      <w:r w:rsidR="003C0F54" w:rsidRPr="009C3A3C">
        <w:rPr>
          <w:rFonts w:ascii="Palatino Linotype" w:eastAsia="Palatino Linotype" w:hAnsi="Palatino Linotype" w:cs="Palatino Linotype"/>
          <w:b/>
          <w:bCs/>
          <w:sz w:val="22"/>
          <w:szCs w:val="22"/>
        </w:rPr>
        <w:t>dos de septiembre</w:t>
      </w:r>
      <w:r w:rsidRPr="009C3A3C">
        <w:rPr>
          <w:rFonts w:ascii="Palatino Linotype" w:eastAsia="Palatino Linotype" w:hAnsi="Palatino Linotype" w:cs="Palatino Linotype"/>
          <w:b/>
          <w:bCs/>
          <w:sz w:val="22"/>
          <w:szCs w:val="22"/>
        </w:rPr>
        <w:t xml:space="preserve"> de dos mil veinticinco</w:t>
      </w:r>
      <w:r w:rsidRPr="009C3A3C">
        <w:rPr>
          <w:rFonts w:ascii="Palatino Linotype" w:eastAsia="Palatino Linotype" w:hAnsi="Palatino Linotype" w:cs="Palatino Linotype"/>
          <w:sz w:val="22"/>
          <w:szCs w:val="22"/>
        </w:rPr>
        <w:t xml:space="preserve">, </w:t>
      </w:r>
      <w:r w:rsidRPr="009C3A3C">
        <w:rPr>
          <w:rFonts w:ascii="Palatino Linotype" w:eastAsia="Palatino Linotype" w:hAnsi="Palatino Linotype" w:cs="Palatino Linotype"/>
          <w:b/>
          <w:bCs/>
          <w:sz w:val="22"/>
          <w:szCs w:val="22"/>
        </w:rPr>
        <w:t>LA PARTE</w:t>
      </w:r>
      <w:r w:rsidRPr="009C3A3C">
        <w:rPr>
          <w:rFonts w:ascii="Palatino Linotype" w:eastAsia="Palatino Linotype" w:hAnsi="Palatino Linotype" w:cs="Palatino Linotype"/>
          <w:sz w:val="22"/>
          <w:szCs w:val="22"/>
        </w:rPr>
        <w:t xml:space="preserve"> </w:t>
      </w:r>
      <w:r w:rsidRPr="009C3A3C">
        <w:rPr>
          <w:rFonts w:ascii="Palatino Linotype" w:eastAsia="Palatino Linotype" w:hAnsi="Palatino Linotype" w:cs="Palatino Linotype"/>
          <w:b/>
          <w:bCs/>
          <w:sz w:val="22"/>
          <w:szCs w:val="22"/>
        </w:rPr>
        <w:t>RECURRENTE</w:t>
      </w:r>
      <w:r w:rsidRPr="009C3A3C">
        <w:rPr>
          <w:rFonts w:ascii="Palatino Linotype" w:eastAsia="Palatino Linotype" w:hAnsi="Palatino Linotype" w:cs="Palatino Linotype"/>
          <w:sz w:val="22"/>
          <w:szCs w:val="22"/>
        </w:rPr>
        <w:t xml:space="preserve"> formuló solicitud de acceso a información pública a través del </w:t>
      </w:r>
      <w:r w:rsidRPr="009C3A3C">
        <w:rPr>
          <w:rFonts w:ascii="Palatino Linotype" w:eastAsia="Palatino Linotype" w:hAnsi="Palatino Linotype" w:cs="Palatino Linotype"/>
          <w:b/>
          <w:bCs/>
          <w:sz w:val="22"/>
          <w:szCs w:val="22"/>
        </w:rPr>
        <w:t>SAIMEX</w:t>
      </w:r>
      <w:r w:rsidRPr="009C3A3C">
        <w:rPr>
          <w:rFonts w:ascii="Palatino Linotype" w:eastAsia="Palatino Linotype" w:hAnsi="Palatino Linotype" w:cs="Palatino Linotype"/>
          <w:sz w:val="22"/>
          <w:szCs w:val="22"/>
        </w:rPr>
        <w:t>, en la que requirió lo siguiente:</w:t>
      </w:r>
    </w:p>
    <w:p w14:paraId="1E6527AC"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0A070A4C" w14:textId="77777777" w:rsidR="003C0F54" w:rsidRPr="009C3A3C" w:rsidRDefault="003C0F54">
      <w:pPr>
        <w:spacing w:line="276" w:lineRule="auto"/>
        <w:ind w:left="567" w:right="843"/>
        <w:jc w:val="both"/>
        <w:rPr>
          <w:rFonts w:ascii="Palatino Linotype" w:eastAsia="Palatino Linotype" w:hAnsi="Palatino Linotype" w:cs="Palatino Linotype"/>
          <w:b/>
          <w:bCs/>
          <w:sz w:val="22"/>
          <w:szCs w:val="22"/>
        </w:rPr>
      </w:pPr>
      <w:bookmarkStart w:id="2" w:name="_heading=h.3znysh7" w:colFirst="0" w:colLast="0"/>
      <w:bookmarkEnd w:id="2"/>
      <w:r w:rsidRPr="009C3A3C">
        <w:rPr>
          <w:rFonts w:ascii="Palatino Linotype" w:eastAsia="Palatino Linotype" w:hAnsi="Palatino Linotype" w:cs="Palatino Linotype"/>
          <w:b/>
          <w:bCs/>
          <w:sz w:val="22"/>
          <w:szCs w:val="22"/>
        </w:rPr>
        <w:t>00167/TIANGUIS/IP/2025</w:t>
      </w:r>
    </w:p>
    <w:p w14:paraId="105C7910" w14:textId="77777777" w:rsidR="003C0F54" w:rsidRPr="009C3A3C" w:rsidRDefault="003C0F54">
      <w:pPr>
        <w:spacing w:line="276" w:lineRule="auto"/>
        <w:ind w:left="567" w:right="843"/>
        <w:jc w:val="both"/>
        <w:rPr>
          <w:rFonts w:ascii="Palatino Linotype" w:eastAsia="Palatino Linotype" w:hAnsi="Palatino Linotype" w:cs="Palatino Linotype"/>
          <w:b/>
          <w:bCs/>
          <w:sz w:val="22"/>
          <w:szCs w:val="22"/>
        </w:rPr>
      </w:pPr>
    </w:p>
    <w:p w14:paraId="52F65BED" w14:textId="0C553A5A" w:rsidR="00B0371D" w:rsidRPr="009C3A3C" w:rsidRDefault="00444611">
      <w:pPr>
        <w:spacing w:line="276" w:lineRule="auto"/>
        <w:ind w:left="567" w:right="843"/>
        <w:jc w:val="both"/>
        <w:rPr>
          <w:rFonts w:ascii="Palatino Linotype" w:eastAsia="Palatino Linotype" w:hAnsi="Palatino Linotype" w:cs="Palatino Linotype"/>
          <w:b/>
          <w:bCs/>
          <w:i/>
          <w:iCs/>
          <w:sz w:val="22"/>
          <w:szCs w:val="22"/>
        </w:rPr>
      </w:pPr>
      <w:r w:rsidRPr="009C3A3C">
        <w:rPr>
          <w:rFonts w:ascii="Palatino Linotype" w:eastAsia="Palatino Linotype" w:hAnsi="Palatino Linotype" w:cs="Palatino Linotype"/>
          <w:sz w:val="22"/>
          <w:szCs w:val="22"/>
        </w:rPr>
        <w:tab/>
      </w:r>
      <w:r w:rsidRPr="009C3A3C">
        <w:rPr>
          <w:rFonts w:ascii="Palatino Linotype" w:eastAsia="Palatino Linotype" w:hAnsi="Palatino Linotype" w:cs="Palatino Linotype"/>
          <w:i/>
          <w:iCs/>
          <w:sz w:val="22"/>
          <w:szCs w:val="22"/>
        </w:rPr>
        <w:t>“</w:t>
      </w:r>
      <w:r w:rsidR="003C0F54" w:rsidRPr="009C3A3C">
        <w:rPr>
          <w:rFonts w:ascii="Palatino Linotype" w:eastAsia="Palatino Linotype" w:hAnsi="Palatino Linotype" w:cs="Palatino Linotype"/>
          <w:i/>
          <w:iCs/>
          <w:sz w:val="22"/>
          <w:szCs w:val="22"/>
        </w:rPr>
        <w:t>Quiero que me proporcionen los contratos de arrendamiento de todos los vehículos con los que cuenta el ayuntamiento</w:t>
      </w:r>
      <w:r w:rsidRPr="009C3A3C">
        <w:rPr>
          <w:rFonts w:ascii="Palatino Linotype" w:eastAsia="Palatino Linotype" w:hAnsi="Palatino Linotype" w:cs="Palatino Linotype"/>
          <w:i/>
          <w:iCs/>
          <w:sz w:val="22"/>
          <w:szCs w:val="22"/>
        </w:rPr>
        <w:t>.</w:t>
      </w:r>
      <w:r w:rsidRPr="009C3A3C">
        <w:rPr>
          <w:rFonts w:ascii="Palatino Linotype" w:eastAsia="Palatino Linotype" w:hAnsi="Palatino Linotype" w:cs="Palatino Linotype"/>
          <w:b/>
          <w:bCs/>
          <w:i/>
          <w:iCs/>
          <w:sz w:val="22"/>
          <w:szCs w:val="22"/>
        </w:rPr>
        <w:t>” (Sic.)</w:t>
      </w:r>
    </w:p>
    <w:p w14:paraId="50317002" w14:textId="3CAC544E" w:rsidR="00B0371D" w:rsidRPr="009C3A3C" w:rsidRDefault="00B0371D">
      <w:pPr>
        <w:spacing w:line="360" w:lineRule="auto"/>
        <w:ind w:left="567" w:right="843"/>
        <w:jc w:val="both"/>
        <w:rPr>
          <w:rFonts w:ascii="Palatino Linotype" w:eastAsia="Palatino Linotype" w:hAnsi="Palatino Linotype" w:cs="Palatino Linotype"/>
          <w:i/>
          <w:iCs/>
          <w:sz w:val="22"/>
          <w:szCs w:val="22"/>
        </w:rPr>
      </w:pPr>
    </w:p>
    <w:p w14:paraId="3A2B045C" w14:textId="2CC70A4B" w:rsidR="003C0F54" w:rsidRPr="009C3A3C" w:rsidRDefault="003C0F54">
      <w:pPr>
        <w:spacing w:line="360" w:lineRule="auto"/>
        <w:ind w:left="567" w:right="843"/>
        <w:jc w:val="both"/>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00168/TIANGUIS/IP/2025</w:t>
      </w:r>
    </w:p>
    <w:p w14:paraId="714FF259" w14:textId="02D93646" w:rsidR="003C0F54" w:rsidRPr="009C3A3C" w:rsidRDefault="003C0F54" w:rsidP="003C0F54">
      <w:pPr>
        <w:spacing w:line="276" w:lineRule="auto"/>
        <w:ind w:left="567" w:right="843"/>
        <w:jc w:val="both"/>
        <w:rPr>
          <w:rFonts w:ascii="Palatino Linotype" w:eastAsia="Palatino Linotype" w:hAnsi="Palatino Linotype" w:cs="Palatino Linotype"/>
          <w:b/>
          <w:bCs/>
          <w:i/>
          <w:iCs/>
          <w:sz w:val="22"/>
          <w:szCs w:val="22"/>
        </w:rPr>
      </w:pPr>
      <w:r w:rsidRPr="009C3A3C">
        <w:rPr>
          <w:rFonts w:ascii="Palatino Linotype" w:eastAsia="Palatino Linotype" w:hAnsi="Palatino Linotype" w:cs="Palatino Linotype"/>
          <w:sz w:val="22"/>
          <w:szCs w:val="22"/>
        </w:rPr>
        <w:tab/>
      </w:r>
      <w:r w:rsidRPr="009C3A3C">
        <w:rPr>
          <w:rFonts w:ascii="Palatino Linotype" w:eastAsia="Palatino Linotype" w:hAnsi="Palatino Linotype" w:cs="Palatino Linotype"/>
          <w:i/>
          <w:iCs/>
          <w:sz w:val="22"/>
          <w:szCs w:val="22"/>
        </w:rPr>
        <w:t>“Quiero que me proporcionen los contratos de arrendamiento de las patrullas del ayuntamiento de Tianguistenco.</w:t>
      </w:r>
      <w:r w:rsidRPr="009C3A3C">
        <w:rPr>
          <w:rFonts w:ascii="Palatino Linotype" w:eastAsia="Palatino Linotype" w:hAnsi="Palatino Linotype" w:cs="Palatino Linotype"/>
          <w:b/>
          <w:bCs/>
          <w:i/>
          <w:iCs/>
          <w:sz w:val="22"/>
          <w:szCs w:val="22"/>
        </w:rPr>
        <w:t>” (Sic.)</w:t>
      </w:r>
    </w:p>
    <w:p w14:paraId="145FBEFD" w14:textId="77777777" w:rsidR="003C0F54" w:rsidRPr="009C3A3C" w:rsidRDefault="003C0F54">
      <w:pPr>
        <w:spacing w:line="360" w:lineRule="auto"/>
        <w:ind w:left="567" w:right="843"/>
        <w:jc w:val="both"/>
        <w:rPr>
          <w:rFonts w:ascii="Palatino Linotype" w:eastAsia="Palatino Linotype" w:hAnsi="Palatino Linotype" w:cs="Palatino Linotype"/>
          <w:b/>
          <w:bCs/>
          <w:sz w:val="22"/>
          <w:szCs w:val="22"/>
        </w:rPr>
      </w:pPr>
    </w:p>
    <w:p w14:paraId="51A4B787" w14:textId="77777777" w:rsidR="003C0F54" w:rsidRPr="009C3A3C" w:rsidRDefault="003C0F54">
      <w:pPr>
        <w:spacing w:line="360" w:lineRule="auto"/>
        <w:ind w:left="567" w:right="843"/>
        <w:jc w:val="both"/>
        <w:rPr>
          <w:rFonts w:ascii="Palatino Linotype" w:eastAsia="Palatino Linotype" w:hAnsi="Palatino Linotype" w:cs="Palatino Linotype"/>
          <w:i/>
          <w:iCs/>
          <w:sz w:val="22"/>
          <w:szCs w:val="22"/>
        </w:rPr>
      </w:pPr>
    </w:p>
    <w:p w14:paraId="13A2DF8F" w14:textId="77777777" w:rsidR="00B0371D" w:rsidRPr="009C3A3C" w:rsidRDefault="00444611">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bCs/>
          <w:sz w:val="22"/>
          <w:szCs w:val="22"/>
        </w:rPr>
        <w:lastRenderedPageBreak/>
        <w:t>Modalidad elegida para la entrega de la información:</w:t>
      </w:r>
      <w:r w:rsidRPr="009C3A3C">
        <w:rPr>
          <w:rFonts w:ascii="Palatino Linotype" w:eastAsia="Palatino Linotype" w:hAnsi="Palatino Linotype" w:cs="Palatino Linotype"/>
          <w:sz w:val="22"/>
          <w:szCs w:val="22"/>
        </w:rPr>
        <w:t xml:space="preserve"> a través del Sistema de Acceso a la Información Mexiquense (SAIMEX).</w:t>
      </w:r>
    </w:p>
    <w:p w14:paraId="6A673AD4" w14:textId="77777777" w:rsidR="00B0371D" w:rsidRPr="009C3A3C" w:rsidRDefault="00B0371D">
      <w:pPr>
        <w:widowControl w:val="0"/>
        <w:spacing w:line="360" w:lineRule="auto"/>
        <w:jc w:val="both"/>
        <w:rPr>
          <w:rFonts w:ascii="Palatino Linotype" w:eastAsia="Palatino Linotype" w:hAnsi="Palatino Linotype" w:cs="Palatino Linotype"/>
          <w:b/>
          <w:bCs/>
          <w:sz w:val="22"/>
          <w:szCs w:val="22"/>
        </w:rPr>
      </w:pPr>
    </w:p>
    <w:p w14:paraId="1548B49B" w14:textId="33594A40" w:rsidR="00B0371D" w:rsidRPr="009C3A3C" w:rsidRDefault="00444611">
      <w:pPr>
        <w:widowControl w:val="0"/>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bCs/>
          <w:sz w:val="22"/>
          <w:szCs w:val="22"/>
        </w:rPr>
        <w:t>2. Respuesta.</w:t>
      </w:r>
      <w:r w:rsidRPr="009C3A3C">
        <w:rPr>
          <w:rFonts w:ascii="Palatino Linotype" w:eastAsia="Palatino Linotype" w:hAnsi="Palatino Linotype" w:cs="Palatino Linotype"/>
          <w:sz w:val="22"/>
          <w:szCs w:val="22"/>
        </w:rPr>
        <w:t xml:space="preserve"> El </w:t>
      </w:r>
      <w:r w:rsidR="003C0F54" w:rsidRPr="009C3A3C">
        <w:rPr>
          <w:rFonts w:ascii="Palatino Linotype" w:eastAsia="Palatino Linotype" w:hAnsi="Palatino Linotype" w:cs="Palatino Linotype"/>
          <w:b/>
          <w:bCs/>
          <w:sz w:val="22"/>
          <w:szCs w:val="22"/>
        </w:rPr>
        <w:t>nueve de septiembre</w:t>
      </w:r>
      <w:r w:rsidRPr="009C3A3C">
        <w:rPr>
          <w:rFonts w:ascii="Palatino Linotype" w:eastAsia="Palatino Linotype" w:hAnsi="Palatino Linotype" w:cs="Palatino Linotype"/>
          <w:b/>
          <w:bCs/>
          <w:sz w:val="22"/>
          <w:szCs w:val="22"/>
        </w:rPr>
        <w:t xml:space="preserve"> de dos mil veinticinco</w:t>
      </w:r>
      <w:r w:rsidRPr="009C3A3C">
        <w:rPr>
          <w:rFonts w:ascii="Palatino Linotype" w:eastAsia="Palatino Linotype" w:hAnsi="Palatino Linotype" w:cs="Palatino Linotype"/>
          <w:sz w:val="22"/>
          <w:szCs w:val="22"/>
        </w:rPr>
        <w:t xml:space="preserve">, el Sujeto Obligado dio respuesta a la solicitud, </w:t>
      </w:r>
      <w:r w:rsidR="003C0F54" w:rsidRPr="009C3A3C">
        <w:rPr>
          <w:rFonts w:ascii="Palatino Linotype" w:eastAsia="Palatino Linotype" w:hAnsi="Palatino Linotype" w:cs="Palatino Linotype"/>
          <w:sz w:val="22"/>
          <w:szCs w:val="22"/>
        </w:rPr>
        <w:t>mediante los siguientes documentos</w:t>
      </w:r>
      <w:r w:rsidRPr="009C3A3C">
        <w:rPr>
          <w:rFonts w:ascii="Palatino Linotype" w:eastAsia="Palatino Linotype" w:hAnsi="Palatino Linotype" w:cs="Palatino Linotype"/>
          <w:sz w:val="22"/>
          <w:szCs w:val="22"/>
        </w:rPr>
        <w:t>:</w:t>
      </w:r>
    </w:p>
    <w:p w14:paraId="21454CC4" w14:textId="03823B44" w:rsidR="00B0371D" w:rsidRPr="009C3A3C" w:rsidRDefault="00B0371D">
      <w:pPr>
        <w:widowControl w:val="0"/>
        <w:spacing w:line="360" w:lineRule="auto"/>
        <w:jc w:val="both"/>
        <w:rPr>
          <w:rFonts w:ascii="Palatino Linotype" w:eastAsia="Palatino Linotype" w:hAnsi="Palatino Linotype" w:cs="Palatino Linotype"/>
          <w:sz w:val="22"/>
          <w:szCs w:val="22"/>
        </w:rPr>
      </w:pPr>
    </w:p>
    <w:p w14:paraId="36285427" w14:textId="3F366320" w:rsidR="003C0F54" w:rsidRPr="009C3A3C" w:rsidRDefault="003C0F54" w:rsidP="003C0F54">
      <w:pPr>
        <w:pStyle w:val="Prrafodelista"/>
        <w:widowControl w:val="0"/>
        <w:numPr>
          <w:ilvl w:val="0"/>
          <w:numId w:val="9"/>
        </w:num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Oficio mediante el cual el Titular de la Unidad de Transparencia turna la solicitud de información al servidor público habilitado de la Dirección de Administración. </w:t>
      </w:r>
    </w:p>
    <w:p w14:paraId="24858730" w14:textId="55D26ACD" w:rsidR="003C0F54" w:rsidRPr="009C3A3C" w:rsidRDefault="003C0F54" w:rsidP="003C0F54">
      <w:pPr>
        <w:pStyle w:val="Prrafodelista"/>
        <w:widowControl w:val="0"/>
        <w:numPr>
          <w:ilvl w:val="0"/>
          <w:numId w:val="9"/>
        </w:num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Oficio mediante el cual el Servidor Público Habilitado de la Dirección de Administración mediante el cual cita los artículos 12, </w:t>
      </w:r>
      <w:r w:rsidR="00FB321F" w:rsidRPr="009C3A3C">
        <w:rPr>
          <w:rFonts w:ascii="Palatino Linotype" w:eastAsia="Palatino Linotype" w:hAnsi="Palatino Linotype" w:cs="Palatino Linotype"/>
          <w:sz w:val="22"/>
          <w:szCs w:val="22"/>
        </w:rPr>
        <w:t xml:space="preserve">75 y 76 de la Ley de Transparencia del Estado de México, así como </w:t>
      </w:r>
      <w:r w:rsidR="00A2621E" w:rsidRPr="009C3A3C">
        <w:rPr>
          <w:rFonts w:ascii="Palatino Linotype" w:eastAsia="Palatino Linotype" w:hAnsi="Palatino Linotype" w:cs="Palatino Linotype"/>
          <w:sz w:val="22"/>
          <w:szCs w:val="22"/>
        </w:rPr>
        <w:t>el criterio</w:t>
      </w:r>
      <w:r w:rsidR="00FB321F" w:rsidRPr="009C3A3C">
        <w:rPr>
          <w:rFonts w:ascii="Palatino Linotype" w:eastAsia="Palatino Linotype" w:hAnsi="Palatino Linotype" w:cs="Palatino Linotype"/>
          <w:sz w:val="22"/>
          <w:szCs w:val="22"/>
        </w:rPr>
        <w:t xml:space="preserve"> orientador 09-10 emitido por el entonces Instituto Federal de Acceso a la Información y Protección de datos relativo a que no existe obligación de elaborar documentos ad hoc para atender las solicitudes de acceso a la información, </w:t>
      </w:r>
      <w:r w:rsidR="00D2540E" w:rsidRPr="009C3A3C">
        <w:rPr>
          <w:rFonts w:ascii="Palatino Linotype" w:eastAsia="Palatino Linotype" w:hAnsi="Palatino Linotype" w:cs="Palatino Linotype"/>
          <w:sz w:val="22"/>
          <w:szCs w:val="22"/>
        </w:rPr>
        <w:t>dando así</w:t>
      </w:r>
      <w:r w:rsidR="00FB321F" w:rsidRPr="009C3A3C">
        <w:rPr>
          <w:rFonts w:ascii="Palatino Linotype" w:eastAsia="Palatino Linotype" w:hAnsi="Palatino Linotype" w:cs="Palatino Linotype"/>
          <w:sz w:val="22"/>
          <w:szCs w:val="22"/>
        </w:rPr>
        <w:t xml:space="preserve"> respuesta al requerimiento en tiempo y forma.  </w:t>
      </w:r>
    </w:p>
    <w:p w14:paraId="37A2AAEF" w14:textId="77777777" w:rsidR="00B0371D" w:rsidRPr="009C3A3C" w:rsidRDefault="00B0371D">
      <w:pPr>
        <w:widowControl w:val="0"/>
        <w:spacing w:line="360" w:lineRule="auto"/>
        <w:jc w:val="both"/>
        <w:rPr>
          <w:rFonts w:ascii="Palatino Linotype" w:eastAsia="Palatino Linotype" w:hAnsi="Palatino Linotype" w:cs="Palatino Linotype"/>
          <w:sz w:val="22"/>
          <w:szCs w:val="22"/>
        </w:rPr>
      </w:pPr>
    </w:p>
    <w:p w14:paraId="768456C8" w14:textId="2635B82C"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bCs/>
          <w:sz w:val="22"/>
          <w:szCs w:val="22"/>
        </w:rPr>
        <w:t xml:space="preserve">3. Del Recurso de Revisión. </w:t>
      </w:r>
      <w:r w:rsidRPr="009C3A3C">
        <w:rPr>
          <w:rFonts w:ascii="Palatino Linotype" w:eastAsia="Palatino Linotype" w:hAnsi="Palatino Linotype" w:cs="Palatino Linotype"/>
          <w:sz w:val="22"/>
          <w:szCs w:val="22"/>
        </w:rPr>
        <w:t>Inconforme con la</w:t>
      </w:r>
      <w:r w:rsidR="00D2540E"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respuesta</w:t>
      </w:r>
      <w:r w:rsidR="00D2540E"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del</w:t>
      </w:r>
      <w:r w:rsidRPr="009C3A3C">
        <w:rPr>
          <w:rFonts w:ascii="Palatino Linotype" w:eastAsia="Palatino Linotype" w:hAnsi="Palatino Linotype" w:cs="Palatino Linotype"/>
          <w:b/>
          <w:bCs/>
          <w:sz w:val="22"/>
          <w:szCs w:val="22"/>
        </w:rPr>
        <w:t xml:space="preserve"> </w:t>
      </w:r>
      <w:r w:rsidR="00D2540E" w:rsidRPr="009C3A3C">
        <w:rPr>
          <w:rFonts w:ascii="Palatino Linotype" w:eastAsia="Palatino Linotype" w:hAnsi="Palatino Linotype" w:cs="Palatino Linotype"/>
          <w:b/>
          <w:bCs/>
          <w:sz w:val="22"/>
          <w:szCs w:val="22"/>
        </w:rPr>
        <w:t>Sujeto Obligado</w:t>
      </w:r>
      <w:r w:rsidRPr="009C3A3C">
        <w:rPr>
          <w:rFonts w:ascii="Palatino Linotype" w:eastAsia="Palatino Linotype" w:hAnsi="Palatino Linotype" w:cs="Palatino Linotype"/>
          <w:b/>
          <w:bCs/>
          <w:sz w:val="22"/>
          <w:szCs w:val="22"/>
        </w:rPr>
        <w:t xml:space="preserve">, </w:t>
      </w:r>
      <w:r w:rsidRPr="009C3A3C">
        <w:rPr>
          <w:rFonts w:ascii="Palatino Linotype" w:eastAsia="Palatino Linotype" w:hAnsi="Palatino Linotype" w:cs="Palatino Linotype"/>
          <w:sz w:val="22"/>
          <w:szCs w:val="22"/>
        </w:rPr>
        <w:t xml:space="preserve">el </w:t>
      </w:r>
      <w:r w:rsidR="00D2540E" w:rsidRPr="009C3A3C">
        <w:rPr>
          <w:rFonts w:ascii="Palatino Linotype" w:eastAsia="Palatino Linotype" w:hAnsi="Palatino Linotype" w:cs="Palatino Linotype"/>
          <w:b/>
          <w:bCs/>
          <w:sz w:val="22"/>
          <w:szCs w:val="22"/>
        </w:rPr>
        <w:t xml:space="preserve">diecinueve de septiembre </w:t>
      </w:r>
      <w:r w:rsidRPr="009C3A3C">
        <w:rPr>
          <w:rFonts w:ascii="Palatino Linotype" w:eastAsia="Palatino Linotype" w:hAnsi="Palatino Linotype" w:cs="Palatino Linotype"/>
          <w:b/>
          <w:bCs/>
          <w:sz w:val="22"/>
          <w:szCs w:val="22"/>
        </w:rPr>
        <w:t xml:space="preserve">de dos mil veinticinco, </w:t>
      </w:r>
      <w:r w:rsidR="00D2540E" w:rsidRPr="009C3A3C">
        <w:rPr>
          <w:rFonts w:ascii="Palatino Linotype" w:eastAsia="Palatino Linotype" w:hAnsi="Palatino Linotype" w:cs="Palatino Linotype"/>
          <w:b/>
          <w:bCs/>
          <w:sz w:val="22"/>
          <w:szCs w:val="22"/>
        </w:rPr>
        <w:t xml:space="preserve">la parte recurrente </w:t>
      </w:r>
      <w:r w:rsidRPr="009C3A3C">
        <w:rPr>
          <w:rFonts w:ascii="Palatino Linotype" w:eastAsia="Palatino Linotype" w:hAnsi="Palatino Linotype" w:cs="Palatino Linotype"/>
          <w:sz w:val="22"/>
          <w:szCs w:val="22"/>
        </w:rPr>
        <w:t xml:space="preserve">interpuso </w:t>
      </w:r>
      <w:r w:rsidR="00D2540E" w:rsidRPr="009C3A3C">
        <w:rPr>
          <w:rFonts w:ascii="Palatino Linotype" w:eastAsia="Palatino Linotype" w:hAnsi="Palatino Linotype" w:cs="Palatino Linotype"/>
          <w:sz w:val="22"/>
          <w:szCs w:val="22"/>
        </w:rPr>
        <w:t>los</w:t>
      </w:r>
      <w:r w:rsidRPr="009C3A3C">
        <w:rPr>
          <w:rFonts w:ascii="Palatino Linotype" w:eastAsia="Palatino Linotype" w:hAnsi="Palatino Linotype" w:cs="Palatino Linotype"/>
          <w:sz w:val="22"/>
          <w:szCs w:val="22"/>
        </w:rPr>
        <w:t xml:space="preserve"> recurso</w:t>
      </w:r>
      <w:r w:rsidR="00D2540E"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de revisión, mediante </w:t>
      </w:r>
      <w:r w:rsidR="00D2540E" w:rsidRPr="009C3A3C">
        <w:rPr>
          <w:rFonts w:ascii="Palatino Linotype" w:eastAsia="Palatino Linotype" w:hAnsi="Palatino Linotype" w:cs="Palatino Linotype"/>
          <w:sz w:val="22"/>
          <w:szCs w:val="22"/>
        </w:rPr>
        <w:t>los</w:t>
      </w:r>
      <w:r w:rsidRPr="009C3A3C">
        <w:rPr>
          <w:rFonts w:ascii="Palatino Linotype" w:eastAsia="Palatino Linotype" w:hAnsi="Palatino Linotype" w:cs="Palatino Linotype"/>
          <w:sz w:val="22"/>
          <w:szCs w:val="22"/>
        </w:rPr>
        <w:t xml:space="preserve"> cual</w:t>
      </w:r>
      <w:r w:rsidR="00D2540E" w:rsidRPr="009C3A3C">
        <w:rPr>
          <w:rFonts w:ascii="Palatino Linotype" w:eastAsia="Palatino Linotype" w:hAnsi="Palatino Linotype" w:cs="Palatino Linotype"/>
          <w:sz w:val="22"/>
          <w:szCs w:val="22"/>
        </w:rPr>
        <w:t>es</w:t>
      </w:r>
      <w:r w:rsidRPr="009C3A3C">
        <w:rPr>
          <w:rFonts w:ascii="Palatino Linotype" w:eastAsia="Palatino Linotype" w:hAnsi="Palatino Linotype" w:cs="Palatino Linotype"/>
          <w:sz w:val="22"/>
          <w:szCs w:val="22"/>
        </w:rPr>
        <w:t xml:space="preserve"> y manifestó lo siguiente: </w:t>
      </w:r>
    </w:p>
    <w:p w14:paraId="3852FB7B" w14:textId="77777777" w:rsidR="00D2540E" w:rsidRPr="009C3A3C" w:rsidRDefault="00D2540E">
      <w:pPr>
        <w:spacing w:line="360" w:lineRule="auto"/>
        <w:jc w:val="both"/>
        <w:rPr>
          <w:rFonts w:ascii="Palatino Linotype" w:eastAsia="Palatino Linotype" w:hAnsi="Palatino Linotype" w:cs="Palatino Linotype"/>
          <w:b/>
          <w:bCs/>
          <w:sz w:val="22"/>
          <w:szCs w:val="22"/>
        </w:rPr>
      </w:pPr>
    </w:p>
    <w:p w14:paraId="4E022D31" w14:textId="30473F45" w:rsidR="00B0371D" w:rsidRPr="009C3A3C" w:rsidRDefault="00D2540E">
      <w:pPr>
        <w:spacing w:line="360" w:lineRule="auto"/>
        <w:jc w:val="both"/>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10914/INFOEM/IP/RR/2025</w:t>
      </w:r>
    </w:p>
    <w:p w14:paraId="592E9DAC" w14:textId="77777777" w:rsidR="00D2540E" w:rsidRPr="009C3A3C" w:rsidRDefault="00D2540E" w:rsidP="00D2540E">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14:paraId="448C986D" w14:textId="2AEF2D7F" w:rsidR="00B0371D" w:rsidRPr="009C3A3C" w:rsidRDefault="00444611">
      <w:pPr>
        <w:numPr>
          <w:ilvl w:val="0"/>
          <w:numId w:val="4"/>
        </w:numPr>
        <w:pBdr>
          <w:top w:val="nil"/>
          <w:left w:val="nil"/>
          <w:bottom w:val="nil"/>
          <w:right w:val="nil"/>
          <w:between w:val="nil"/>
        </w:pBdr>
        <w:spacing w:line="276" w:lineRule="auto"/>
        <w:ind w:right="56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Acto Impugnado:</w:t>
      </w:r>
      <w:r w:rsidRPr="009C3A3C">
        <w:rPr>
          <w:rFonts w:ascii="Palatino Linotype" w:eastAsia="Palatino Linotype" w:hAnsi="Palatino Linotype" w:cs="Palatino Linotype"/>
          <w:i/>
          <w:iCs/>
          <w:sz w:val="22"/>
          <w:szCs w:val="22"/>
        </w:rPr>
        <w:t xml:space="preserve"> “</w:t>
      </w:r>
      <w:r w:rsidR="00D2540E" w:rsidRPr="009C3A3C">
        <w:rPr>
          <w:rFonts w:ascii="Palatino Linotype" w:eastAsia="Palatino Linotype" w:hAnsi="Palatino Linotype" w:cs="Palatino Linotype"/>
          <w:i/>
          <w:iCs/>
          <w:sz w:val="22"/>
          <w:szCs w:val="22"/>
        </w:rPr>
        <w:t>la negativa de la informacion, en toda su respuesta no me dicen nada, mas bien solo estan omitiendo proporcionar la respuesta, como consecuencia solicito al INFOEM sea sancionado el servidor publico responsable de proporcionar la informacion y que la esta negando</w:t>
      </w:r>
      <w:r w:rsidRPr="009C3A3C">
        <w:rPr>
          <w:rFonts w:ascii="Palatino Linotype" w:eastAsia="Palatino Linotype" w:hAnsi="Palatino Linotype" w:cs="Palatino Linotype"/>
          <w:i/>
          <w:iCs/>
          <w:sz w:val="22"/>
          <w:szCs w:val="22"/>
        </w:rPr>
        <w:t>” (Sic.)</w:t>
      </w:r>
    </w:p>
    <w:p w14:paraId="60C06F74" w14:textId="77777777" w:rsidR="00B0371D" w:rsidRPr="009C3A3C" w:rsidRDefault="00B0371D">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14:paraId="51809785" w14:textId="57C64A28" w:rsidR="00B0371D" w:rsidRPr="009C3A3C" w:rsidRDefault="00444611">
      <w:pPr>
        <w:numPr>
          <w:ilvl w:val="0"/>
          <w:numId w:val="4"/>
        </w:numPr>
        <w:pBdr>
          <w:top w:val="nil"/>
          <w:left w:val="nil"/>
          <w:bottom w:val="nil"/>
          <w:right w:val="nil"/>
          <w:between w:val="nil"/>
        </w:pBdr>
        <w:spacing w:line="276" w:lineRule="auto"/>
        <w:ind w:right="56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lastRenderedPageBreak/>
        <w:t>Motivo de inconformidad:</w:t>
      </w:r>
      <w:r w:rsidRPr="009C3A3C">
        <w:rPr>
          <w:rFonts w:ascii="Palatino Linotype" w:eastAsia="Palatino Linotype" w:hAnsi="Palatino Linotype" w:cs="Palatino Linotype"/>
          <w:i/>
          <w:iCs/>
          <w:sz w:val="22"/>
          <w:szCs w:val="22"/>
        </w:rPr>
        <w:t xml:space="preserve"> “</w:t>
      </w:r>
      <w:r w:rsidR="00D2540E" w:rsidRPr="009C3A3C">
        <w:rPr>
          <w:rFonts w:ascii="Palatino Linotype" w:eastAsia="Palatino Linotype" w:hAnsi="Palatino Linotype" w:cs="Palatino Linotype"/>
          <w:i/>
          <w:iCs/>
          <w:sz w:val="22"/>
          <w:szCs w:val="22"/>
        </w:rPr>
        <w:t>la negativa de la informacion, en toda su respuesta no me dicen nada, mas bien solo estan omitiendo proporcionar la respuesta, como consecuencia solicito al INFOEM sea sancionado el servidor publico responsable de proporcionar la informacion y que la esta negando</w:t>
      </w:r>
      <w:r w:rsidRPr="009C3A3C">
        <w:rPr>
          <w:rFonts w:ascii="Palatino Linotype" w:eastAsia="Palatino Linotype" w:hAnsi="Palatino Linotype" w:cs="Palatino Linotype"/>
          <w:i/>
          <w:iCs/>
          <w:sz w:val="22"/>
          <w:szCs w:val="22"/>
        </w:rPr>
        <w:t>.” (Sic.)</w:t>
      </w:r>
    </w:p>
    <w:p w14:paraId="4D41B61D" w14:textId="1B4CF2B8" w:rsidR="00B0371D" w:rsidRPr="009C3A3C" w:rsidRDefault="00B0371D">
      <w:pPr>
        <w:spacing w:line="360" w:lineRule="auto"/>
        <w:ind w:left="142" w:right="560"/>
        <w:jc w:val="both"/>
        <w:rPr>
          <w:rFonts w:ascii="Palatino Linotype" w:eastAsia="Palatino Linotype" w:hAnsi="Palatino Linotype" w:cs="Palatino Linotype"/>
          <w:i/>
          <w:iCs/>
          <w:sz w:val="22"/>
          <w:szCs w:val="22"/>
        </w:rPr>
      </w:pPr>
    </w:p>
    <w:p w14:paraId="4348DC63" w14:textId="77777777" w:rsidR="00D2540E" w:rsidRPr="009C3A3C" w:rsidRDefault="00D2540E" w:rsidP="00D2540E">
      <w:pPr>
        <w:spacing w:line="360" w:lineRule="auto"/>
        <w:jc w:val="both"/>
        <w:rPr>
          <w:rFonts w:ascii="Palatino Linotype" w:eastAsia="Palatino Linotype" w:hAnsi="Palatino Linotype" w:cs="Palatino Linotype"/>
          <w:b/>
          <w:bCs/>
          <w:sz w:val="22"/>
          <w:szCs w:val="22"/>
        </w:rPr>
      </w:pPr>
    </w:p>
    <w:p w14:paraId="5D3B979B" w14:textId="62B896DC" w:rsidR="00D2540E" w:rsidRPr="009C3A3C" w:rsidRDefault="00D2540E" w:rsidP="00D2540E">
      <w:pPr>
        <w:spacing w:line="360" w:lineRule="auto"/>
        <w:jc w:val="both"/>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10915/INFOEM/IP/RR/2025</w:t>
      </w:r>
    </w:p>
    <w:p w14:paraId="523406C0" w14:textId="77777777" w:rsidR="00D2540E" w:rsidRPr="009C3A3C" w:rsidRDefault="00D2540E" w:rsidP="00D2540E">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14:paraId="30F3CDBD" w14:textId="0ACDD2D4" w:rsidR="00D2540E" w:rsidRPr="009C3A3C" w:rsidRDefault="00D2540E" w:rsidP="00D2540E">
      <w:pPr>
        <w:numPr>
          <w:ilvl w:val="0"/>
          <w:numId w:val="4"/>
        </w:numPr>
        <w:pBdr>
          <w:top w:val="nil"/>
          <w:left w:val="nil"/>
          <w:bottom w:val="nil"/>
          <w:right w:val="nil"/>
          <w:between w:val="nil"/>
        </w:pBdr>
        <w:spacing w:line="276" w:lineRule="auto"/>
        <w:ind w:right="56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Acto Impugnado:</w:t>
      </w:r>
      <w:r w:rsidRPr="009C3A3C">
        <w:rPr>
          <w:rFonts w:ascii="Palatino Linotype" w:eastAsia="Palatino Linotype" w:hAnsi="Palatino Linotype" w:cs="Palatino Linotype"/>
          <w:i/>
          <w:iCs/>
          <w:sz w:val="22"/>
          <w:szCs w:val="22"/>
        </w:rPr>
        <w:t xml:space="preserve"> “</w:t>
      </w:r>
      <w:r w:rsidR="00411AAC" w:rsidRPr="009C3A3C">
        <w:rPr>
          <w:rFonts w:ascii="Palatino Linotype" w:eastAsia="Palatino Linotype" w:hAnsi="Palatino Linotype" w:cs="Palatino Linotype"/>
          <w:i/>
          <w:iCs/>
          <w:sz w:val="22"/>
          <w:szCs w:val="22"/>
        </w:rPr>
        <w:t>la negativa de la informacion, en toda su respuesta no me dicen nada, mas bien solo estan omitiendo proporcionar la respuesta, como consecuencia solicito al INFOEM sea sancionado el servidor publico responsable de proporcionar la informacion y que la esta negando,</w:t>
      </w:r>
      <w:r w:rsidRPr="009C3A3C">
        <w:rPr>
          <w:rFonts w:ascii="Palatino Linotype" w:eastAsia="Palatino Linotype" w:hAnsi="Palatino Linotype" w:cs="Palatino Linotype"/>
          <w:i/>
          <w:iCs/>
          <w:sz w:val="22"/>
          <w:szCs w:val="22"/>
        </w:rPr>
        <w:t>” (Sic.)</w:t>
      </w:r>
    </w:p>
    <w:p w14:paraId="1428AB46" w14:textId="77777777" w:rsidR="00D2540E" w:rsidRPr="009C3A3C" w:rsidRDefault="00D2540E" w:rsidP="00D2540E">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14:paraId="773F4736" w14:textId="6B3F01D2" w:rsidR="00D2540E" w:rsidRPr="009C3A3C" w:rsidRDefault="00D2540E" w:rsidP="00D2540E">
      <w:pPr>
        <w:numPr>
          <w:ilvl w:val="0"/>
          <w:numId w:val="4"/>
        </w:numPr>
        <w:pBdr>
          <w:top w:val="nil"/>
          <w:left w:val="nil"/>
          <w:bottom w:val="nil"/>
          <w:right w:val="nil"/>
          <w:between w:val="nil"/>
        </w:pBdr>
        <w:spacing w:line="276" w:lineRule="auto"/>
        <w:ind w:right="56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Motivo de inconformidad:</w:t>
      </w:r>
      <w:r w:rsidRPr="009C3A3C">
        <w:rPr>
          <w:rFonts w:ascii="Palatino Linotype" w:eastAsia="Palatino Linotype" w:hAnsi="Palatino Linotype" w:cs="Palatino Linotype"/>
          <w:i/>
          <w:iCs/>
          <w:sz w:val="22"/>
          <w:szCs w:val="22"/>
        </w:rPr>
        <w:t xml:space="preserve"> “</w:t>
      </w:r>
      <w:r w:rsidR="00411AAC" w:rsidRPr="009C3A3C">
        <w:rPr>
          <w:rFonts w:ascii="Palatino Linotype" w:eastAsia="Palatino Linotype" w:hAnsi="Palatino Linotype" w:cs="Palatino Linotype"/>
          <w:i/>
          <w:iCs/>
          <w:sz w:val="22"/>
          <w:szCs w:val="22"/>
        </w:rPr>
        <w:t>la negativa de la informacion, en toda su respuesta no me dicen nada, mas bien solo estan omitiendo proporcionar la respuesta, como consecuencia solicito al INFOEM sea sancionado el servidor publico responsable de proporcionar la informacion y que la esta negando</w:t>
      </w:r>
      <w:r w:rsidRPr="009C3A3C">
        <w:rPr>
          <w:rFonts w:ascii="Palatino Linotype" w:eastAsia="Palatino Linotype" w:hAnsi="Palatino Linotype" w:cs="Palatino Linotype"/>
          <w:i/>
          <w:iCs/>
          <w:sz w:val="22"/>
          <w:szCs w:val="22"/>
        </w:rPr>
        <w:t>.” (Sic.)</w:t>
      </w:r>
    </w:p>
    <w:p w14:paraId="72084B97" w14:textId="77777777" w:rsidR="00D2540E" w:rsidRPr="009C3A3C" w:rsidRDefault="00D2540E">
      <w:pPr>
        <w:spacing w:line="360" w:lineRule="auto"/>
        <w:ind w:left="142" w:right="560"/>
        <w:jc w:val="both"/>
        <w:rPr>
          <w:rFonts w:ascii="Palatino Linotype" w:eastAsia="Palatino Linotype" w:hAnsi="Palatino Linotype" w:cs="Palatino Linotype"/>
          <w:i/>
          <w:iCs/>
          <w:sz w:val="22"/>
          <w:szCs w:val="22"/>
        </w:rPr>
      </w:pPr>
    </w:p>
    <w:p w14:paraId="37A09139" w14:textId="3968B9DB" w:rsidR="00411AAC" w:rsidRPr="009C3A3C" w:rsidRDefault="00411AAC" w:rsidP="00411AAC">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sz w:val="22"/>
          <w:szCs w:val="22"/>
        </w:rPr>
        <w:t xml:space="preserve">4. Turno. </w:t>
      </w:r>
      <w:r w:rsidRPr="009C3A3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los recursos de revisión fueron turnados de la siguiente manera a efecto de presentar al Pleno los proyectos de resolución correspondientes: </w:t>
      </w: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EB6649" w:rsidRPr="009C3A3C" w14:paraId="6563E68D" w14:textId="77777777" w:rsidTr="00222466">
        <w:tc>
          <w:tcPr>
            <w:tcW w:w="4460" w:type="dxa"/>
            <w:shd w:val="clear" w:color="auto" w:fill="DBEEF3"/>
          </w:tcPr>
          <w:p w14:paraId="25EFFDD8" w14:textId="77777777" w:rsidR="00411AAC" w:rsidRPr="009C3A3C" w:rsidRDefault="00411AAC" w:rsidP="00222466">
            <w:pPr>
              <w:spacing w:line="360" w:lineRule="auto"/>
              <w:jc w:val="center"/>
              <w:rPr>
                <w:rFonts w:ascii="Palatino Linotype" w:eastAsia="Palatino Linotype" w:hAnsi="Palatino Linotype" w:cs="Palatino Linotype"/>
                <w:b/>
                <w:sz w:val="22"/>
                <w:szCs w:val="22"/>
              </w:rPr>
            </w:pPr>
            <w:r w:rsidRPr="009C3A3C">
              <w:rPr>
                <w:rFonts w:ascii="Palatino Linotype" w:eastAsia="Palatino Linotype" w:hAnsi="Palatino Linotype" w:cs="Palatino Linotype"/>
                <w:b/>
                <w:sz w:val="22"/>
                <w:szCs w:val="22"/>
              </w:rPr>
              <w:t>Recurso de Revisión</w:t>
            </w:r>
          </w:p>
        </w:tc>
        <w:tc>
          <w:tcPr>
            <w:tcW w:w="4461" w:type="dxa"/>
            <w:shd w:val="clear" w:color="auto" w:fill="DBEEF3"/>
          </w:tcPr>
          <w:p w14:paraId="02E9FB8C" w14:textId="77777777" w:rsidR="00411AAC" w:rsidRPr="009C3A3C" w:rsidRDefault="00411AAC" w:rsidP="00222466">
            <w:pPr>
              <w:spacing w:line="360" w:lineRule="auto"/>
              <w:jc w:val="center"/>
              <w:rPr>
                <w:rFonts w:ascii="Palatino Linotype" w:eastAsia="Palatino Linotype" w:hAnsi="Palatino Linotype" w:cs="Palatino Linotype"/>
                <w:b/>
                <w:sz w:val="22"/>
                <w:szCs w:val="22"/>
              </w:rPr>
            </w:pPr>
            <w:r w:rsidRPr="009C3A3C">
              <w:rPr>
                <w:rFonts w:ascii="Palatino Linotype" w:eastAsia="Palatino Linotype" w:hAnsi="Palatino Linotype" w:cs="Palatino Linotype"/>
                <w:b/>
                <w:sz w:val="22"/>
                <w:szCs w:val="22"/>
              </w:rPr>
              <w:t>Comisionada</w:t>
            </w:r>
          </w:p>
        </w:tc>
      </w:tr>
      <w:tr w:rsidR="00EB6649" w:rsidRPr="009C3A3C" w14:paraId="157B191C" w14:textId="77777777" w:rsidTr="00222466">
        <w:tc>
          <w:tcPr>
            <w:tcW w:w="4460" w:type="dxa"/>
          </w:tcPr>
          <w:p w14:paraId="650ABF84" w14:textId="199C2D9A" w:rsidR="00411AAC" w:rsidRPr="009C3A3C" w:rsidRDefault="00411AAC" w:rsidP="00222466">
            <w:pPr>
              <w:rPr>
                <w:rFonts w:ascii="Palatino Linotype" w:eastAsia="Palatino Linotype" w:hAnsi="Palatino Linotype" w:cs="Palatino Linotype"/>
                <w:b/>
                <w:sz w:val="22"/>
                <w:szCs w:val="22"/>
                <w:lang w:val="en-US"/>
              </w:rPr>
            </w:pPr>
            <w:r w:rsidRPr="009C3A3C">
              <w:rPr>
                <w:rFonts w:ascii="Palatino Linotype" w:eastAsia="Palatino Linotype" w:hAnsi="Palatino Linotype" w:cs="Palatino Linotype"/>
                <w:b/>
                <w:sz w:val="22"/>
                <w:szCs w:val="22"/>
                <w:lang w:val="en-US"/>
              </w:rPr>
              <w:t>10914/INFOEM/IP/RR/2025</w:t>
            </w:r>
          </w:p>
        </w:tc>
        <w:tc>
          <w:tcPr>
            <w:tcW w:w="4461" w:type="dxa"/>
          </w:tcPr>
          <w:p w14:paraId="686212E0" w14:textId="77777777" w:rsidR="00411AAC" w:rsidRPr="009C3A3C" w:rsidRDefault="00411AAC" w:rsidP="00222466">
            <w:pPr>
              <w:jc w:val="center"/>
              <w:rPr>
                <w:rFonts w:ascii="Palatino Linotype" w:eastAsia="Palatino Linotype" w:hAnsi="Palatino Linotype" w:cs="Palatino Linotype"/>
                <w:bCs/>
                <w:sz w:val="22"/>
                <w:szCs w:val="22"/>
              </w:rPr>
            </w:pPr>
            <w:r w:rsidRPr="009C3A3C">
              <w:rPr>
                <w:rFonts w:ascii="Palatino Linotype" w:eastAsia="Palatino Linotype" w:hAnsi="Palatino Linotype" w:cs="Palatino Linotype"/>
                <w:bCs/>
                <w:sz w:val="22"/>
                <w:szCs w:val="22"/>
              </w:rPr>
              <w:t>Comisionada Guadalupe Ramírez Peña</w:t>
            </w:r>
          </w:p>
        </w:tc>
      </w:tr>
      <w:tr w:rsidR="00411AAC" w:rsidRPr="009C3A3C" w14:paraId="25FE8D1C" w14:textId="77777777" w:rsidTr="00222466">
        <w:tc>
          <w:tcPr>
            <w:tcW w:w="4460" w:type="dxa"/>
          </w:tcPr>
          <w:p w14:paraId="2D460ECD" w14:textId="0D6D3721" w:rsidR="00411AAC" w:rsidRPr="009C3A3C" w:rsidRDefault="00411AAC" w:rsidP="00222466">
            <w:pPr>
              <w:rPr>
                <w:rFonts w:ascii="Palatino Linotype" w:eastAsia="Palatino Linotype" w:hAnsi="Palatino Linotype" w:cs="Palatino Linotype"/>
                <w:b/>
                <w:sz w:val="22"/>
                <w:szCs w:val="22"/>
              </w:rPr>
            </w:pPr>
            <w:r w:rsidRPr="009C3A3C">
              <w:rPr>
                <w:rFonts w:ascii="Palatino Linotype" w:eastAsia="Palatino Linotype" w:hAnsi="Palatino Linotype" w:cs="Palatino Linotype"/>
                <w:b/>
                <w:sz w:val="22"/>
                <w:szCs w:val="22"/>
                <w:lang w:val="en-US"/>
              </w:rPr>
              <w:t>10915/INFOEM/IP/RR/2025</w:t>
            </w:r>
          </w:p>
        </w:tc>
        <w:tc>
          <w:tcPr>
            <w:tcW w:w="4461" w:type="dxa"/>
          </w:tcPr>
          <w:p w14:paraId="73B29B59" w14:textId="77777777" w:rsidR="00411AAC" w:rsidRPr="009C3A3C" w:rsidRDefault="00411AAC" w:rsidP="00222466">
            <w:pPr>
              <w:jc w:val="center"/>
              <w:rPr>
                <w:rFonts w:ascii="Palatino Linotype" w:eastAsia="Palatino Linotype" w:hAnsi="Palatino Linotype" w:cs="Palatino Linotype"/>
                <w:bCs/>
                <w:sz w:val="22"/>
                <w:szCs w:val="22"/>
              </w:rPr>
            </w:pPr>
            <w:r w:rsidRPr="009C3A3C">
              <w:rPr>
                <w:rFonts w:ascii="Palatino Linotype" w:eastAsia="Palatino Linotype" w:hAnsi="Palatino Linotype" w:cs="Palatino Linotype"/>
                <w:bCs/>
                <w:sz w:val="22"/>
                <w:szCs w:val="22"/>
              </w:rPr>
              <w:t xml:space="preserve">Comisionado José Martínez Vilchis. </w:t>
            </w:r>
          </w:p>
        </w:tc>
      </w:tr>
    </w:tbl>
    <w:p w14:paraId="7240D59D"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3C4FEED5" w14:textId="1CCBF0D1" w:rsidR="00B0371D" w:rsidRPr="009C3A3C" w:rsidRDefault="00444611">
      <w:pPr>
        <w:spacing w:line="360" w:lineRule="auto"/>
        <w:jc w:val="both"/>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 xml:space="preserve">5. Admisión. </w:t>
      </w:r>
      <w:r w:rsidRPr="009C3A3C">
        <w:rPr>
          <w:rFonts w:ascii="Palatino Linotype" w:eastAsia="Palatino Linotype" w:hAnsi="Palatino Linotype" w:cs="Palatino Linotype"/>
          <w:sz w:val="22"/>
          <w:szCs w:val="22"/>
        </w:rPr>
        <w:t xml:space="preserve">El </w:t>
      </w:r>
      <w:r w:rsidR="00411AAC" w:rsidRPr="009C3A3C">
        <w:rPr>
          <w:rFonts w:ascii="Palatino Linotype" w:eastAsia="Palatino Linotype" w:hAnsi="Palatino Linotype" w:cs="Palatino Linotype"/>
          <w:b/>
          <w:bCs/>
          <w:sz w:val="22"/>
          <w:szCs w:val="22"/>
        </w:rPr>
        <w:t xml:space="preserve">veinticuatro y veinticinco de septiembre </w:t>
      </w:r>
      <w:r w:rsidRPr="009C3A3C">
        <w:rPr>
          <w:rFonts w:ascii="Palatino Linotype" w:eastAsia="Palatino Linotype" w:hAnsi="Palatino Linotype" w:cs="Palatino Linotype"/>
          <w:b/>
          <w:bCs/>
          <w:sz w:val="22"/>
          <w:szCs w:val="22"/>
        </w:rPr>
        <w:t>de dos mil veinticinco</w:t>
      </w:r>
      <w:r w:rsidRPr="009C3A3C">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w:t>
      </w:r>
      <w:r w:rsidR="00411AAC" w:rsidRPr="009C3A3C">
        <w:rPr>
          <w:rFonts w:ascii="Palatino Linotype" w:eastAsia="Palatino Linotype" w:hAnsi="Palatino Linotype" w:cs="Palatino Linotype"/>
          <w:sz w:val="22"/>
          <w:szCs w:val="22"/>
        </w:rPr>
        <w:t>eron</w:t>
      </w:r>
      <w:r w:rsidRPr="009C3A3C">
        <w:rPr>
          <w:rFonts w:ascii="Palatino Linotype" w:eastAsia="Palatino Linotype" w:hAnsi="Palatino Linotype" w:cs="Palatino Linotype"/>
          <w:sz w:val="22"/>
          <w:szCs w:val="22"/>
        </w:rPr>
        <w:t xml:space="preserve"> a trámite </w:t>
      </w:r>
      <w:r w:rsidR="00411AAC" w:rsidRPr="009C3A3C">
        <w:rPr>
          <w:rFonts w:ascii="Palatino Linotype" w:eastAsia="Palatino Linotype" w:hAnsi="Palatino Linotype" w:cs="Palatino Linotype"/>
          <w:sz w:val="22"/>
          <w:szCs w:val="22"/>
        </w:rPr>
        <w:t xml:space="preserve">los </w:t>
      </w:r>
      <w:r w:rsidRPr="009C3A3C">
        <w:rPr>
          <w:rFonts w:ascii="Palatino Linotype" w:eastAsia="Palatino Linotype" w:hAnsi="Palatino Linotype" w:cs="Palatino Linotype"/>
          <w:sz w:val="22"/>
          <w:szCs w:val="22"/>
        </w:rPr>
        <w:t>recurso</w:t>
      </w:r>
      <w:r w:rsidR="00411AAC"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de revisión</w:t>
      </w:r>
      <w:r w:rsidRPr="009C3A3C">
        <w:rPr>
          <w:rFonts w:ascii="Palatino Linotype" w:eastAsia="Palatino Linotype" w:hAnsi="Palatino Linotype" w:cs="Palatino Linotype"/>
          <w:b/>
          <w:bCs/>
          <w:sz w:val="22"/>
          <w:szCs w:val="22"/>
        </w:rPr>
        <w:t>.</w:t>
      </w:r>
    </w:p>
    <w:p w14:paraId="618A3286" w14:textId="77777777" w:rsidR="00B0371D" w:rsidRPr="009C3A3C" w:rsidRDefault="00B0371D">
      <w:pPr>
        <w:spacing w:line="360" w:lineRule="auto"/>
        <w:jc w:val="both"/>
        <w:rPr>
          <w:rFonts w:ascii="Palatino Linotype" w:eastAsia="Palatino Linotype" w:hAnsi="Palatino Linotype" w:cs="Palatino Linotype"/>
          <w:b/>
          <w:bCs/>
          <w:sz w:val="22"/>
          <w:szCs w:val="22"/>
        </w:rPr>
      </w:pPr>
    </w:p>
    <w:p w14:paraId="2DD422B3" w14:textId="5072E338" w:rsidR="00411AAC" w:rsidRPr="009C3A3C" w:rsidRDefault="00444611" w:rsidP="00411AAC">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bCs/>
          <w:sz w:val="22"/>
          <w:szCs w:val="22"/>
        </w:rPr>
        <w:t>6. Manifestaciones.</w:t>
      </w:r>
      <w:r w:rsidRPr="009C3A3C">
        <w:rPr>
          <w:rFonts w:ascii="Palatino Linotype" w:eastAsia="Palatino Linotype" w:hAnsi="Palatino Linotype" w:cs="Palatino Linotype"/>
          <w:sz w:val="22"/>
          <w:szCs w:val="22"/>
        </w:rPr>
        <w:t xml:space="preserve"> </w:t>
      </w:r>
      <w:r w:rsidR="00411AAC" w:rsidRPr="009C3A3C">
        <w:rPr>
          <w:rFonts w:ascii="Palatino Linotype" w:eastAsia="Palatino Linotype" w:hAnsi="Palatino Linotype" w:cs="Palatino Linotype"/>
          <w:sz w:val="22"/>
          <w:szCs w:val="22"/>
        </w:rPr>
        <w:t xml:space="preserve">En fechas </w:t>
      </w:r>
      <w:r w:rsidR="00411AAC" w:rsidRPr="009C3A3C">
        <w:rPr>
          <w:rFonts w:ascii="Palatino Linotype" w:eastAsia="Palatino Linotype" w:hAnsi="Palatino Linotype" w:cs="Palatino Linotype"/>
          <w:b/>
          <w:sz w:val="22"/>
          <w:szCs w:val="22"/>
        </w:rPr>
        <w:t>veintinueve de septiembre de dos mil veinticinco</w:t>
      </w:r>
      <w:r w:rsidR="00411AAC" w:rsidRPr="009C3A3C">
        <w:rPr>
          <w:rFonts w:ascii="Palatino Linotype" w:eastAsia="Palatino Linotype" w:hAnsi="Palatino Linotype" w:cs="Palatino Linotype"/>
          <w:sz w:val="22"/>
          <w:szCs w:val="22"/>
        </w:rPr>
        <w:t xml:space="preserve">, el </w:t>
      </w:r>
      <w:r w:rsidR="00411AAC" w:rsidRPr="009C3A3C">
        <w:rPr>
          <w:rFonts w:ascii="Palatino Linotype" w:eastAsia="Palatino Linotype" w:hAnsi="Palatino Linotype" w:cs="Palatino Linotype"/>
          <w:b/>
          <w:sz w:val="22"/>
          <w:szCs w:val="22"/>
        </w:rPr>
        <w:t>Sujeto Obligado</w:t>
      </w:r>
      <w:r w:rsidR="00411AAC" w:rsidRPr="009C3A3C">
        <w:rPr>
          <w:rFonts w:ascii="Palatino Linotype" w:eastAsia="Palatino Linotype" w:hAnsi="Palatino Linotype" w:cs="Palatino Linotype"/>
          <w:sz w:val="22"/>
          <w:szCs w:val="22"/>
        </w:rPr>
        <w:t xml:space="preserve"> remitió, a través del SAIMEX, sus informes justificados, mediante los cuales ratificó en lo sustancial las respuestas emitidas en primera instancia. Una vez analizada la información, se hizo del conocimiento de la persona solicitante en fecha </w:t>
      </w:r>
      <w:r w:rsidR="00EB2E0D" w:rsidRPr="009C3A3C">
        <w:rPr>
          <w:rFonts w:ascii="Palatino Linotype" w:eastAsia="Palatino Linotype" w:hAnsi="Palatino Linotype" w:cs="Palatino Linotype"/>
          <w:b/>
          <w:bCs/>
          <w:sz w:val="22"/>
          <w:szCs w:val="22"/>
        </w:rPr>
        <w:t>veintidós</w:t>
      </w:r>
      <w:r w:rsidR="00411AAC" w:rsidRPr="009C3A3C">
        <w:rPr>
          <w:rFonts w:ascii="Palatino Linotype" w:eastAsia="Palatino Linotype" w:hAnsi="Palatino Linotype" w:cs="Palatino Linotype"/>
          <w:b/>
          <w:bCs/>
          <w:sz w:val="22"/>
          <w:szCs w:val="22"/>
        </w:rPr>
        <w:t xml:space="preserve"> de enero de dos mil veintiséis</w:t>
      </w:r>
      <w:r w:rsidR="00411AAC" w:rsidRPr="009C3A3C">
        <w:rPr>
          <w:rFonts w:ascii="Palatino Linotype" w:eastAsia="Palatino Linotype" w:hAnsi="Palatino Linotype" w:cs="Palatino Linotype"/>
          <w:sz w:val="22"/>
          <w:szCs w:val="22"/>
        </w:rPr>
        <w:t>, a efecto de que manifestara lo que a su derecho estimara conveniente, siendo omisa en ejercer dicha prerrogativa.</w:t>
      </w:r>
    </w:p>
    <w:p w14:paraId="16A7F098" w14:textId="77777777" w:rsidR="00411AAC" w:rsidRPr="009C3A3C" w:rsidRDefault="00411AAC" w:rsidP="00411AAC">
      <w:pPr>
        <w:spacing w:line="360" w:lineRule="auto"/>
        <w:jc w:val="both"/>
        <w:rPr>
          <w:rFonts w:ascii="Palatino Linotype" w:eastAsia="Palatino Linotype" w:hAnsi="Palatino Linotype" w:cs="Palatino Linotype"/>
          <w:sz w:val="22"/>
          <w:szCs w:val="22"/>
        </w:rPr>
      </w:pPr>
    </w:p>
    <w:p w14:paraId="391B5F1A" w14:textId="262DBF3C" w:rsidR="00411AAC" w:rsidRPr="009C3A3C" w:rsidRDefault="00411AAC" w:rsidP="00411AA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sz w:val="22"/>
          <w:szCs w:val="22"/>
        </w:rPr>
        <w:t>7. Ampliación de plazo:</w:t>
      </w:r>
      <w:r w:rsidRPr="009C3A3C">
        <w:rPr>
          <w:rFonts w:ascii="Palatino Linotype" w:eastAsia="Palatino Linotype" w:hAnsi="Palatino Linotype" w:cs="Palatino Linotype"/>
          <w:sz w:val="22"/>
          <w:szCs w:val="22"/>
        </w:rPr>
        <w:t xml:space="preserve"> El</w:t>
      </w:r>
      <w:r w:rsidRPr="009C3A3C">
        <w:rPr>
          <w:rFonts w:ascii="Palatino Linotype" w:eastAsia="Palatino Linotype" w:hAnsi="Palatino Linotype" w:cs="Palatino Linotype"/>
          <w:b/>
          <w:sz w:val="22"/>
          <w:szCs w:val="22"/>
        </w:rPr>
        <w:t xml:space="preserve"> </w:t>
      </w:r>
      <w:r w:rsidR="00EB2E0D" w:rsidRPr="009C3A3C">
        <w:rPr>
          <w:rFonts w:ascii="Palatino Linotype" w:eastAsia="Palatino Linotype" w:hAnsi="Palatino Linotype" w:cs="Palatino Linotype"/>
          <w:b/>
          <w:sz w:val="22"/>
          <w:szCs w:val="22"/>
        </w:rPr>
        <w:t>veintidós</w:t>
      </w:r>
      <w:r w:rsidRPr="009C3A3C">
        <w:rPr>
          <w:rFonts w:ascii="Palatino Linotype" w:eastAsia="Palatino Linotype" w:hAnsi="Palatino Linotype" w:cs="Palatino Linotype"/>
          <w:b/>
          <w:sz w:val="22"/>
          <w:szCs w:val="22"/>
        </w:rPr>
        <w:t xml:space="preserve"> de enero de dos mil veintiséis</w:t>
      </w:r>
      <w:r w:rsidRPr="009C3A3C">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A1C3DDC"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p>
    <w:p w14:paraId="587E23D2" w14:textId="77777777" w:rsidR="00411AAC" w:rsidRPr="009C3A3C" w:rsidRDefault="00411AAC" w:rsidP="00411AAC">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A3115A3"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 </w:t>
      </w:r>
    </w:p>
    <w:p w14:paraId="48181310"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EA02899"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 </w:t>
      </w:r>
    </w:p>
    <w:p w14:paraId="414262FA"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ADBF227"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p>
    <w:p w14:paraId="52E59A22"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D56EDA2"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p>
    <w:p w14:paraId="1AE72D2E"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1BD0292"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p>
    <w:p w14:paraId="3B18721B" w14:textId="77777777" w:rsidR="00411AAC" w:rsidRPr="009C3A3C" w:rsidRDefault="00411AAC" w:rsidP="00411AAC">
      <w:pPr>
        <w:tabs>
          <w:tab w:val="left" w:pos="709"/>
        </w:tabs>
        <w:spacing w:line="360" w:lineRule="auto"/>
        <w:ind w:left="567" w:right="560"/>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sz w:val="22"/>
          <w:szCs w:val="22"/>
        </w:rPr>
        <w:t>a)    Complejidad del asunto:</w:t>
      </w:r>
      <w:r w:rsidRPr="009C3A3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33DE5232" w14:textId="77777777" w:rsidR="00411AAC" w:rsidRPr="009C3A3C" w:rsidRDefault="00411AAC" w:rsidP="00411AAC">
      <w:pPr>
        <w:tabs>
          <w:tab w:val="left" w:pos="709"/>
        </w:tabs>
        <w:spacing w:line="360" w:lineRule="auto"/>
        <w:ind w:left="567" w:right="560"/>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sz w:val="22"/>
          <w:szCs w:val="22"/>
        </w:rPr>
        <w:t>b)   Actividad Procesal del interesado</w:t>
      </w:r>
      <w:r w:rsidRPr="009C3A3C">
        <w:rPr>
          <w:rFonts w:ascii="Palatino Linotype" w:eastAsia="Palatino Linotype" w:hAnsi="Palatino Linotype" w:cs="Palatino Linotype"/>
          <w:sz w:val="22"/>
          <w:szCs w:val="22"/>
        </w:rPr>
        <w:t>: Acciones u omisiones del interesado.</w:t>
      </w:r>
    </w:p>
    <w:p w14:paraId="73042094" w14:textId="77777777" w:rsidR="00411AAC" w:rsidRPr="009C3A3C" w:rsidRDefault="00411AAC" w:rsidP="00411AAC">
      <w:pPr>
        <w:tabs>
          <w:tab w:val="left" w:pos="851"/>
        </w:tabs>
        <w:spacing w:line="360" w:lineRule="auto"/>
        <w:ind w:left="567" w:right="560"/>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sz w:val="22"/>
          <w:szCs w:val="22"/>
        </w:rPr>
        <w:t>c)  Conducta de la Autoridad:</w:t>
      </w:r>
      <w:r w:rsidRPr="009C3A3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0062B47F" w14:textId="77777777" w:rsidR="00411AAC" w:rsidRPr="009C3A3C" w:rsidRDefault="00411AAC" w:rsidP="00411AAC">
      <w:pPr>
        <w:tabs>
          <w:tab w:val="left" w:pos="851"/>
        </w:tabs>
        <w:spacing w:line="360" w:lineRule="auto"/>
        <w:ind w:left="567" w:right="560"/>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sz w:val="22"/>
          <w:szCs w:val="22"/>
        </w:rPr>
        <w:t>d) La afectación generada en la situación jurídica de la persona involucrada en el proceso:</w:t>
      </w:r>
      <w:r w:rsidRPr="009C3A3C">
        <w:rPr>
          <w:rFonts w:ascii="Palatino Linotype" w:eastAsia="Palatino Linotype" w:hAnsi="Palatino Linotype" w:cs="Palatino Linotype"/>
          <w:sz w:val="22"/>
          <w:szCs w:val="22"/>
        </w:rPr>
        <w:t xml:space="preserve"> Violación a sus derechos humanos.</w:t>
      </w:r>
    </w:p>
    <w:p w14:paraId="65B320CF" w14:textId="77777777" w:rsidR="00411AAC" w:rsidRPr="009C3A3C" w:rsidRDefault="00411AAC" w:rsidP="00411AAC">
      <w:pPr>
        <w:tabs>
          <w:tab w:val="left" w:pos="851"/>
        </w:tabs>
        <w:spacing w:line="360" w:lineRule="auto"/>
        <w:ind w:left="567" w:right="560"/>
        <w:jc w:val="both"/>
        <w:rPr>
          <w:rFonts w:ascii="Palatino Linotype" w:eastAsia="Palatino Linotype" w:hAnsi="Palatino Linotype" w:cs="Palatino Linotype"/>
          <w:sz w:val="22"/>
          <w:szCs w:val="22"/>
        </w:rPr>
      </w:pPr>
    </w:p>
    <w:p w14:paraId="23FE99A4"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958F4C7"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 </w:t>
      </w:r>
    </w:p>
    <w:p w14:paraId="64B36C14"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9C3A3C">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9C3A3C">
        <w:rPr>
          <w:rFonts w:ascii="Palatino Linotype" w:eastAsia="Palatino Linotype" w:hAnsi="Palatino Linotype" w:cs="Palatino Linotype"/>
          <w:sz w:val="22"/>
          <w:szCs w:val="22"/>
        </w:rPr>
        <w:t>, visible en la Gaceta del Seminario Judicial de la Federación con el registro digital 205635.</w:t>
      </w:r>
    </w:p>
    <w:p w14:paraId="524629C9"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 </w:t>
      </w:r>
    </w:p>
    <w:p w14:paraId="68BDDAC9"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7F37E5"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p>
    <w:p w14:paraId="69903517"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C519895" w14:textId="77777777" w:rsidR="00411AAC" w:rsidRPr="009C3A3C" w:rsidRDefault="00411AAC" w:rsidP="00411AAC">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 </w:t>
      </w:r>
    </w:p>
    <w:p w14:paraId="4157752E" w14:textId="77777777" w:rsidR="00411AAC" w:rsidRPr="009C3A3C" w:rsidRDefault="00411AAC" w:rsidP="00411AAC">
      <w:pPr>
        <w:spacing w:line="276" w:lineRule="auto"/>
        <w:ind w:left="567" w:right="560"/>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9C3A3C">
        <w:rPr>
          <w:rFonts w:ascii="Palatino Linotype" w:eastAsia="Palatino Linotype" w:hAnsi="Palatino Linotype" w:cs="Palatino Linotype"/>
          <w:sz w:val="22"/>
          <w:szCs w:val="22"/>
        </w:rPr>
        <w:t xml:space="preserve"> consultable en el Seminario Judicial de la Federación y su gaceta, con el registro digital 2002351.</w:t>
      </w:r>
    </w:p>
    <w:p w14:paraId="53373283" w14:textId="77777777" w:rsidR="00411AAC" w:rsidRPr="009C3A3C" w:rsidRDefault="00411AAC" w:rsidP="00411AAC">
      <w:pPr>
        <w:spacing w:line="276" w:lineRule="auto"/>
        <w:ind w:left="567" w:right="560"/>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 </w:t>
      </w:r>
    </w:p>
    <w:p w14:paraId="0799AC67" w14:textId="77777777" w:rsidR="00411AAC" w:rsidRPr="009C3A3C" w:rsidRDefault="00411AAC" w:rsidP="00411AAC">
      <w:pPr>
        <w:spacing w:line="276" w:lineRule="auto"/>
        <w:ind w:left="567" w:right="560"/>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9C3A3C">
        <w:rPr>
          <w:rFonts w:ascii="Palatino Linotype" w:eastAsia="Palatino Linotype" w:hAnsi="Palatino Linotype" w:cs="Palatino Linotype"/>
          <w:sz w:val="22"/>
          <w:szCs w:val="22"/>
        </w:rPr>
        <w:t xml:space="preserve"> visible en el Seminario Judicial de la Federación y su gaceta, con el registro digital 2002350.</w:t>
      </w:r>
    </w:p>
    <w:p w14:paraId="2D77929B" w14:textId="77777777" w:rsidR="00411AAC" w:rsidRPr="009C3A3C" w:rsidRDefault="00411AAC" w:rsidP="00411AA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F401E12" w14:textId="77777777" w:rsidR="00411AAC" w:rsidRPr="009C3A3C" w:rsidRDefault="00411AAC" w:rsidP="00411AA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3C512218" w14:textId="634CF47D" w:rsidR="00B0371D" w:rsidRPr="009C3A3C" w:rsidRDefault="00B037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C2B5C2A" w14:textId="576CCA42" w:rsidR="00411AAC" w:rsidRPr="009C3A3C" w:rsidRDefault="00411AAC" w:rsidP="00411AA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bCs/>
          <w:sz w:val="22"/>
          <w:szCs w:val="22"/>
        </w:rPr>
        <w:t>8. Cierre de instrucción</w:t>
      </w:r>
      <w:r w:rsidRPr="009C3A3C">
        <w:rPr>
          <w:rFonts w:ascii="Palatino Linotype" w:eastAsia="Palatino Linotype" w:hAnsi="Palatino Linotype" w:cs="Palatino Linotype"/>
          <w:sz w:val="22"/>
          <w:szCs w:val="22"/>
        </w:rPr>
        <w:t xml:space="preserve">. En fecha </w:t>
      </w:r>
      <w:r w:rsidRPr="009C3A3C">
        <w:rPr>
          <w:rFonts w:ascii="Palatino Linotype" w:eastAsia="Palatino Linotype" w:hAnsi="Palatino Linotype" w:cs="Palatino Linotype"/>
          <w:b/>
          <w:bCs/>
          <w:sz w:val="22"/>
          <w:szCs w:val="22"/>
        </w:rPr>
        <w:t>veinti</w:t>
      </w:r>
      <w:r w:rsidR="00EB2E0D" w:rsidRPr="009C3A3C">
        <w:rPr>
          <w:rFonts w:ascii="Palatino Linotype" w:eastAsia="Palatino Linotype" w:hAnsi="Palatino Linotype" w:cs="Palatino Linotype"/>
          <w:b/>
          <w:bCs/>
          <w:sz w:val="22"/>
          <w:szCs w:val="22"/>
        </w:rPr>
        <w:t>ocho</w:t>
      </w:r>
      <w:r w:rsidRPr="009C3A3C">
        <w:rPr>
          <w:rFonts w:ascii="Palatino Linotype" w:eastAsia="Palatino Linotype" w:hAnsi="Palatino Linotype" w:cs="Palatino Linotype"/>
          <w:b/>
          <w:bCs/>
          <w:sz w:val="22"/>
          <w:szCs w:val="22"/>
        </w:rPr>
        <w:t xml:space="preserve"> de enero de dos mil veintiséis</w:t>
      </w:r>
      <w:r w:rsidRPr="009C3A3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F95D7E0" w14:textId="77777777" w:rsidR="00B0371D" w:rsidRPr="009C3A3C" w:rsidRDefault="0044461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 </w:t>
      </w:r>
    </w:p>
    <w:p w14:paraId="02876819" w14:textId="77777777" w:rsidR="00B0371D" w:rsidRPr="009C3A3C" w:rsidRDefault="00444611">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1FB131A5" w14:textId="77777777" w:rsidR="00B0371D" w:rsidRPr="009C3A3C" w:rsidRDefault="00B0371D">
      <w:pPr>
        <w:spacing w:line="360" w:lineRule="auto"/>
        <w:ind w:right="49"/>
        <w:jc w:val="both"/>
        <w:rPr>
          <w:rFonts w:ascii="Palatino Linotype" w:eastAsia="Palatino Linotype" w:hAnsi="Palatino Linotype" w:cs="Palatino Linotype"/>
          <w:sz w:val="22"/>
          <w:szCs w:val="22"/>
        </w:rPr>
      </w:pPr>
    </w:p>
    <w:p w14:paraId="6BCA4103" w14:textId="77777777" w:rsidR="00B0371D" w:rsidRPr="009C3A3C" w:rsidRDefault="00444611">
      <w:pPr>
        <w:spacing w:line="360" w:lineRule="auto"/>
        <w:ind w:right="49"/>
        <w:jc w:val="center"/>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II.</w:t>
      </w:r>
      <w:r w:rsidRPr="009C3A3C">
        <w:rPr>
          <w:rFonts w:ascii="Palatino Linotype" w:eastAsia="Palatino Linotype" w:hAnsi="Palatino Linotype" w:cs="Palatino Linotype"/>
          <w:b/>
          <w:bCs/>
          <w:sz w:val="22"/>
          <w:szCs w:val="22"/>
        </w:rPr>
        <w:tab/>
        <w:t>C O N S I D E R A N D O:</w:t>
      </w:r>
    </w:p>
    <w:p w14:paraId="492CF82A" w14:textId="77777777" w:rsidR="00B0371D" w:rsidRPr="009C3A3C" w:rsidRDefault="00B0371D">
      <w:pPr>
        <w:spacing w:line="360" w:lineRule="auto"/>
        <w:ind w:right="49"/>
        <w:jc w:val="both"/>
        <w:rPr>
          <w:rFonts w:ascii="Palatino Linotype" w:eastAsia="Palatino Linotype" w:hAnsi="Palatino Linotype" w:cs="Palatino Linotype"/>
          <w:sz w:val="22"/>
          <w:szCs w:val="22"/>
        </w:rPr>
      </w:pPr>
    </w:p>
    <w:p w14:paraId="177F140F" w14:textId="77777777" w:rsidR="00411AAC" w:rsidRPr="009C3A3C" w:rsidRDefault="00411AAC" w:rsidP="00411AAC">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sz w:val="22"/>
          <w:szCs w:val="22"/>
        </w:rPr>
        <w:t>Primero. Competencia.</w:t>
      </w:r>
      <w:r w:rsidRPr="009C3A3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79A465D6" w14:textId="6564EF9D" w:rsidR="00B0371D" w:rsidRPr="009C3A3C" w:rsidRDefault="00444611">
      <w:pP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bCs/>
          <w:sz w:val="22"/>
          <w:szCs w:val="22"/>
        </w:rPr>
        <w:t xml:space="preserve">Segundo. Oportunidad y Procedibilidad del Recurso de Revisión. </w:t>
      </w:r>
      <w:r w:rsidRPr="009C3A3C">
        <w:rPr>
          <w:rFonts w:ascii="Palatino Linotype" w:eastAsia="Palatino Linotype" w:hAnsi="Palatino Linotype" w:cs="Palatino Linotype"/>
          <w:sz w:val="22"/>
          <w:szCs w:val="22"/>
        </w:rPr>
        <w:t>Previo al estudio del fondo del asunto, se procede a analizar los requisitos de oportunidad y procedibilidad que debe</w:t>
      </w:r>
      <w:r w:rsidR="00411AAC" w:rsidRPr="009C3A3C">
        <w:rPr>
          <w:rFonts w:ascii="Palatino Linotype" w:eastAsia="Palatino Linotype" w:hAnsi="Palatino Linotype" w:cs="Palatino Linotype"/>
          <w:sz w:val="22"/>
          <w:szCs w:val="22"/>
        </w:rPr>
        <w:t xml:space="preserve">n </w:t>
      </w:r>
      <w:r w:rsidRPr="009C3A3C">
        <w:rPr>
          <w:rFonts w:ascii="Palatino Linotype" w:eastAsia="Palatino Linotype" w:hAnsi="Palatino Linotype" w:cs="Palatino Linotype"/>
          <w:sz w:val="22"/>
          <w:szCs w:val="22"/>
        </w:rPr>
        <w:t xml:space="preserve">reunir </w:t>
      </w:r>
      <w:r w:rsidR="00411AAC" w:rsidRPr="009C3A3C">
        <w:rPr>
          <w:rFonts w:ascii="Palatino Linotype" w:eastAsia="Palatino Linotype" w:hAnsi="Palatino Linotype" w:cs="Palatino Linotype"/>
          <w:sz w:val="22"/>
          <w:szCs w:val="22"/>
        </w:rPr>
        <w:t>los</w:t>
      </w:r>
      <w:r w:rsidRPr="009C3A3C">
        <w:rPr>
          <w:rFonts w:ascii="Palatino Linotype" w:eastAsia="Palatino Linotype" w:hAnsi="Palatino Linotype" w:cs="Palatino Linotype"/>
          <w:sz w:val="22"/>
          <w:szCs w:val="22"/>
        </w:rPr>
        <w:t xml:space="preserve"> recurs</w:t>
      </w:r>
      <w:r w:rsidR="00411AAC" w:rsidRPr="009C3A3C">
        <w:rPr>
          <w:rFonts w:ascii="Palatino Linotype" w:eastAsia="Palatino Linotype" w:hAnsi="Palatino Linotype" w:cs="Palatino Linotype"/>
          <w:sz w:val="22"/>
          <w:szCs w:val="22"/>
        </w:rPr>
        <w:t>os</w:t>
      </w:r>
      <w:r w:rsidRPr="009C3A3C">
        <w:rPr>
          <w:rFonts w:ascii="Palatino Linotype" w:eastAsia="Palatino Linotype" w:hAnsi="Palatino Linotype" w:cs="Palatino Linotype"/>
          <w:sz w:val="22"/>
          <w:szCs w:val="22"/>
        </w:rPr>
        <w:t xml:space="preserve"> de revisión interpuesto</w:t>
      </w:r>
      <w:r w:rsidR="00411AAC"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previstos en los artículos 178 y 180 de la Ley de Transparencia y Acceso a la Información Pública del Estado de México y Municipios.</w:t>
      </w:r>
    </w:p>
    <w:p w14:paraId="32E3ADAA" w14:textId="77777777" w:rsidR="00B0371D" w:rsidRPr="009C3A3C" w:rsidRDefault="00444611">
      <w:pP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38A3463" w14:textId="77777777" w:rsidR="00B0371D" w:rsidRPr="009C3A3C" w:rsidRDefault="00444611">
      <w:pPr>
        <w:spacing w:line="360" w:lineRule="auto"/>
        <w:ind w:left="851"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 xml:space="preserve">“Artículo 178. </w:t>
      </w:r>
      <w:r w:rsidRPr="009C3A3C">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808ADCE" w14:textId="7739F36D" w:rsidR="00B0371D" w:rsidRPr="009C3A3C" w:rsidRDefault="00444611">
      <w:pPr>
        <w:spacing w:before="240" w:after="240"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9C3A3C">
        <w:rPr>
          <w:rFonts w:ascii="Palatino Linotype" w:eastAsia="Palatino Linotype" w:hAnsi="Palatino Linotype" w:cs="Palatino Linotype"/>
          <w:b/>
          <w:bCs/>
          <w:sz w:val="22"/>
          <w:szCs w:val="22"/>
        </w:rPr>
        <w:t>SUJETO OBLIGADO</w:t>
      </w:r>
      <w:r w:rsidRPr="009C3A3C">
        <w:rPr>
          <w:rFonts w:ascii="Palatino Linotype" w:eastAsia="Palatino Linotype" w:hAnsi="Palatino Linotype" w:cs="Palatino Linotype"/>
          <w:sz w:val="22"/>
          <w:szCs w:val="22"/>
        </w:rPr>
        <w:t xml:space="preserve"> remitió la respuesta a la</w:t>
      </w:r>
      <w:r w:rsidR="00411AAC"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solicitud</w:t>
      </w:r>
      <w:r w:rsidR="00411AAC" w:rsidRPr="009C3A3C">
        <w:rPr>
          <w:rFonts w:ascii="Palatino Linotype" w:eastAsia="Palatino Linotype" w:hAnsi="Palatino Linotype" w:cs="Palatino Linotype"/>
          <w:sz w:val="22"/>
          <w:szCs w:val="22"/>
        </w:rPr>
        <w:t>es</w:t>
      </w:r>
      <w:r w:rsidRPr="009C3A3C">
        <w:rPr>
          <w:rFonts w:ascii="Palatino Linotype" w:eastAsia="Palatino Linotype" w:hAnsi="Palatino Linotype" w:cs="Palatino Linotype"/>
          <w:sz w:val="22"/>
          <w:szCs w:val="22"/>
        </w:rPr>
        <w:t xml:space="preserve"> de información el día </w:t>
      </w:r>
      <w:r w:rsidR="00411AAC" w:rsidRPr="009C3A3C">
        <w:rPr>
          <w:rFonts w:ascii="Palatino Linotype" w:eastAsia="Palatino Linotype" w:hAnsi="Palatino Linotype" w:cs="Palatino Linotype"/>
          <w:b/>
          <w:bCs/>
          <w:sz w:val="22"/>
          <w:szCs w:val="22"/>
        </w:rPr>
        <w:t>nueve de septiembre</w:t>
      </w:r>
      <w:r w:rsidRPr="009C3A3C">
        <w:rPr>
          <w:rFonts w:ascii="Palatino Linotype" w:eastAsia="Palatino Linotype" w:hAnsi="Palatino Linotype" w:cs="Palatino Linotype"/>
          <w:b/>
          <w:bCs/>
          <w:sz w:val="22"/>
          <w:szCs w:val="22"/>
        </w:rPr>
        <w:t xml:space="preserve"> de dos mil veinticinco, </w:t>
      </w:r>
      <w:r w:rsidRPr="009C3A3C">
        <w:rPr>
          <w:rFonts w:ascii="Palatino Linotype" w:eastAsia="Palatino Linotype" w:hAnsi="Palatino Linotype" w:cs="Palatino Linotype"/>
          <w:sz w:val="22"/>
          <w:szCs w:val="22"/>
        </w:rPr>
        <w:t xml:space="preserve">mientras que el recurso de revisión interpuesto por la parte </w:t>
      </w:r>
      <w:r w:rsidRPr="009C3A3C">
        <w:rPr>
          <w:rFonts w:ascii="Palatino Linotype" w:eastAsia="Palatino Linotype" w:hAnsi="Palatino Linotype" w:cs="Palatino Linotype"/>
          <w:b/>
          <w:bCs/>
          <w:sz w:val="22"/>
          <w:szCs w:val="22"/>
        </w:rPr>
        <w:t>RECURRENTE</w:t>
      </w:r>
      <w:r w:rsidRPr="009C3A3C">
        <w:rPr>
          <w:rFonts w:ascii="Palatino Linotype" w:eastAsia="Palatino Linotype" w:hAnsi="Palatino Linotype" w:cs="Palatino Linotype"/>
          <w:sz w:val="22"/>
          <w:szCs w:val="22"/>
        </w:rPr>
        <w:t xml:space="preserve">, se tuvo por presentado el </w:t>
      </w:r>
      <w:r w:rsidR="00411AAC" w:rsidRPr="009C3A3C">
        <w:rPr>
          <w:rFonts w:ascii="Palatino Linotype" w:eastAsia="Palatino Linotype" w:hAnsi="Palatino Linotype" w:cs="Palatino Linotype"/>
          <w:b/>
          <w:bCs/>
          <w:sz w:val="22"/>
          <w:szCs w:val="22"/>
        </w:rPr>
        <w:t>diecinueve de septiembre</w:t>
      </w:r>
      <w:r w:rsidRPr="009C3A3C">
        <w:rPr>
          <w:rFonts w:ascii="Palatino Linotype" w:eastAsia="Palatino Linotype" w:hAnsi="Palatino Linotype" w:cs="Palatino Linotype"/>
          <w:b/>
          <w:bCs/>
          <w:sz w:val="22"/>
          <w:szCs w:val="22"/>
        </w:rPr>
        <w:t xml:space="preserve"> del año dos mil veinticinco</w:t>
      </w:r>
      <w:r w:rsidRPr="009C3A3C">
        <w:rPr>
          <w:rFonts w:ascii="Palatino Linotype" w:eastAsia="Palatino Linotype" w:hAnsi="Palatino Linotype" w:cs="Palatino Linotype"/>
          <w:sz w:val="22"/>
          <w:szCs w:val="22"/>
        </w:rPr>
        <w:t xml:space="preserve">; esto es, al </w:t>
      </w:r>
      <w:r w:rsidR="00411AAC" w:rsidRPr="009C3A3C">
        <w:rPr>
          <w:rFonts w:ascii="Palatino Linotype" w:eastAsia="Palatino Linotype" w:hAnsi="Palatino Linotype" w:cs="Palatino Linotype"/>
          <w:b/>
          <w:bCs/>
          <w:sz w:val="22"/>
          <w:szCs w:val="22"/>
        </w:rPr>
        <w:t>séptimo</w:t>
      </w:r>
      <w:r w:rsidRPr="009C3A3C">
        <w:rPr>
          <w:rFonts w:ascii="Palatino Linotype" w:eastAsia="Palatino Linotype" w:hAnsi="Palatino Linotype" w:cs="Palatino Linotype"/>
          <w:sz w:val="22"/>
          <w:szCs w:val="22"/>
        </w:rPr>
        <w:t xml:space="preserve"> </w:t>
      </w:r>
      <w:r w:rsidRPr="009C3A3C">
        <w:rPr>
          <w:rFonts w:ascii="Palatino Linotype" w:eastAsia="Palatino Linotype" w:hAnsi="Palatino Linotype" w:cs="Palatino Linotype"/>
          <w:b/>
          <w:bCs/>
          <w:sz w:val="22"/>
          <w:szCs w:val="22"/>
        </w:rPr>
        <w:t xml:space="preserve">día hábil </w:t>
      </w:r>
      <w:r w:rsidRPr="009C3A3C">
        <w:rPr>
          <w:rFonts w:ascii="Palatino Linotype" w:eastAsia="Palatino Linotype" w:hAnsi="Palatino Linotype" w:cs="Palatino Linotype"/>
          <w:sz w:val="22"/>
          <w:szCs w:val="22"/>
        </w:rPr>
        <w:t>siguiente al que se tuvo conocimiento de la respuesta respectivamente.</w:t>
      </w:r>
    </w:p>
    <w:p w14:paraId="3B0A8E34" w14:textId="77777777" w:rsidR="00A2621E" w:rsidRPr="009C3A3C" w:rsidRDefault="00A2621E" w:rsidP="00A2621E">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Además, por cuanto hace a la procedibilidad de los recursos de revisión, es de suma importancia señalar que la parte</w:t>
      </w:r>
      <w:r w:rsidRPr="009C3A3C">
        <w:rPr>
          <w:rFonts w:ascii="Palatino Linotype" w:eastAsia="Palatino Linotype" w:hAnsi="Palatino Linotype" w:cs="Palatino Linotype"/>
          <w:b/>
          <w:sz w:val="22"/>
          <w:szCs w:val="22"/>
        </w:rPr>
        <w:t xml:space="preserve"> Recurrente</w:t>
      </w:r>
      <w:r w:rsidRPr="009C3A3C">
        <w:rPr>
          <w:rFonts w:ascii="Palatino Linotype" w:eastAsia="Palatino Linotype" w:hAnsi="Palatino Linotype" w:cs="Palatino Linotype"/>
          <w:sz w:val="22"/>
          <w:szCs w:val="22"/>
        </w:rPr>
        <w:t>, no señaló un nombre o seudónimo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EFE2BBF" w14:textId="77777777" w:rsidR="00A2621E" w:rsidRPr="009C3A3C" w:rsidRDefault="00A2621E" w:rsidP="00A2621E">
      <w:pPr>
        <w:spacing w:line="360" w:lineRule="auto"/>
        <w:jc w:val="both"/>
        <w:rPr>
          <w:rFonts w:ascii="Palatino Linotype" w:eastAsia="Palatino Linotype" w:hAnsi="Palatino Linotype" w:cs="Palatino Linotype"/>
          <w:sz w:val="22"/>
          <w:szCs w:val="22"/>
        </w:rPr>
      </w:pPr>
    </w:p>
    <w:p w14:paraId="17E10379" w14:textId="77777777" w:rsidR="00A2621E" w:rsidRPr="009C3A3C" w:rsidRDefault="00A2621E" w:rsidP="00A2621E">
      <w:pPr>
        <w:ind w:left="860" w:right="900"/>
        <w:jc w:val="both"/>
        <w:rPr>
          <w:rFonts w:ascii="Palatino Linotype" w:eastAsia="Palatino Linotype" w:hAnsi="Palatino Linotype" w:cs="Palatino Linotype"/>
          <w:i/>
          <w:sz w:val="22"/>
          <w:szCs w:val="22"/>
        </w:rPr>
      </w:pPr>
      <w:r w:rsidRPr="009C3A3C">
        <w:rPr>
          <w:rFonts w:ascii="Palatino Linotype" w:eastAsia="Palatino Linotype" w:hAnsi="Palatino Linotype" w:cs="Palatino Linotype"/>
          <w:i/>
          <w:sz w:val="22"/>
          <w:szCs w:val="22"/>
        </w:rPr>
        <w:t>"</w:t>
      </w:r>
      <w:r w:rsidRPr="009C3A3C">
        <w:rPr>
          <w:rFonts w:ascii="Palatino Linotype" w:eastAsia="Palatino Linotype" w:hAnsi="Palatino Linotype" w:cs="Palatino Linotype"/>
          <w:b/>
          <w:i/>
          <w:sz w:val="22"/>
          <w:szCs w:val="22"/>
        </w:rPr>
        <w:t>Las solicitudes anónimas</w:t>
      </w:r>
      <w:r w:rsidRPr="009C3A3C">
        <w:rPr>
          <w:rFonts w:ascii="Palatino Linotype" w:eastAsia="Palatino Linotype" w:hAnsi="Palatino Linotype" w:cs="Palatino Linotype"/>
          <w:i/>
          <w:sz w:val="22"/>
          <w:szCs w:val="22"/>
        </w:rPr>
        <w:t xml:space="preserve">, con nombre incompleto o </w:t>
      </w:r>
      <w:r w:rsidRPr="009C3A3C">
        <w:rPr>
          <w:rFonts w:ascii="Palatino Linotype" w:eastAsia="Palatino Linotype" w:hAnsi="Palatino Linotype" w:cs="Palatino Linotype"/>
          <w:b/>
          <w:i/>
          <w:sz w:val="22"/>
          <w:szCs w:val="22"/>
        </w:rPr>
        <w:t>seudónimo</w:t>
      </w:r>
      <w:r w:rsidRPr="009C3A3C">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7FD337AC" w14:textId="77777777" w:rsidR="00B0371D" w:rsidRPr="009C3A3C" w:rsidRDefault="00444611">
      <w:pP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650BC4FB" w14:textId="77777777" w:rsidR="00B0371D" w:rsidRPr="009C3A3C" w:rsidRDefault="00444611">
      <w:pPr>
        <w:spacing w:line="360" w:lineRule="auto"/>
        <w:ind w:left="851" w:right="1041"/>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r w:rsidRPr="009C3A3C">
        <w:rPr>
          <w:rFonts w:ascii="Palatino Linotype" w:eastAsia="Palatino Linotype" w:hAnsi="Palatino Linotype" w:cs="Palatino Linotype"/>
          <w:b/>
          <w:bCs/>
          <w:i/>
          <w:iCs/>
          <w:sz w:val="22"/>
          <w:szCs w:val="22"/>
        </w:rPr>
        <w:t xml:space="preserve">Artículo 179. </w:t>
      </w:r>
      <w:r w:rsidRPr="009C3A3C">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0F90C8FF" w14:textId="77777777" w:rsidR="00B0371D" w:rsidRPr="009C3A3C" w:rsidRDefault="00444611">
      <w:pPr>
        <w:spacing w:line="360" w:lineRule="auto"/>
        <w:ind w:left="851" w:right="1041"/>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I. La negativa a la información solicitada;</w:t>
      </w:r>
    </w:p>
    <w:p w14:paraId="407BA31F" w14:textId="77777777" w:rsidR="00B0371D" w:rsidRPr="009C3A3C" w:rsidRDefault="00444611">
      <w:pPr>
        <w:spacing w:line="360" w:lineRule="auto"/>
        <w:ind w:left="851" w:right="1041"/>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p>
    <w:p w14:paraId="622DB6D9" w14:textId="77777777" w:rsidR="00B0371D" w:rsidRPr="009C3A3C" w:rsidRDefault="00444611">
      <w:pP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bCs/>
          <w:sz w:val="22"/>
          <w:szCs w:val="22"/>
        </w:rPr>
        <w:t xml:space="preserve">Tercero. Materia de la revisión. </w:t>
      </w:r>
      <w:r w:rsidRPr="009C3A3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9C3A3C">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9C3A3C">
        <w:rPr>
          <w:rFonts w:ascii="Palatino Linotype" w:eastAsia="Palatino Linotype" w:hAnsi="Palatino Linotype" w:cs="Palatino Linotype"/>
          <w:sz w:val="22"/>
          <w:szCs w:val="22"/>
        </w:rPr>
        <w:t xml:space="preserve">de la parte </w:t>
      </w:r>
      <w:r w:rsidRPr="009C3A3C">
        <w:rPr>
          <w:rFonts w:ascii="Palatino Linotype" w:eastAsia="Palatino Linotype" w:hAnsi="Palatino Linotype" w:cs="Palatino Linotype"/>
          <w:b/>
          <w:bCs/>
          <w:sz w:val="22"/>
          <w:szCs w:val="22"/>
        </w:rPr>
        <w:t>Recurrente</w:t>
      </w:r>
      <w:r w:rsidRPr="009C3A3C">
        <w:rPr>
          <w:rFonts w:ascii="Palatino Linotype" w:eastAsia="Palatino Linotype" w:hAnsi="Palatino Linotype" w:cs="Palatino Linotype"/>
          <w:sz w:val="22"/>
          <w:szCs w:val="22"/>
        </w:rPr>
        <w:t>, o en su defecto, en caso de ser procedente, ordenar la entrega de información.</w:t>
      </w:r>
    </w:p>
    <w:p w14:paraId="0ECC93D4"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bCs/>
          <w:sz w:val="22"/>
          <w:szCs w:val="22"/>
        </w:rPr>
        <w:t xml:space="preserve">Cuarto. Estudio del asunto. </w:t>
      </w:r>
      <w:r w:rsidRPr="009C3A3C">
        <w:rPr>
          <w:rFonts w:ascii="Palatino Linotype" w:eastAsia="Palatino Linotype" w:hAnsi="Palatino Linotype" w:cs="Palatino Linotype"/>
          <w:sz w:val="22"/>
          <w:szCs w:val="22"/>
        </w:rPr>
        <w:t xml:space="preserve">En principio, es conveniente analizar si la respuesta del </w:t>
      </w:r>
      <w:r w:rsidRPr="009C3A3C">
        <w:rPr>
          <w:rFonts w:ascii="Palatino Linotype" w:eastAsia="Palatino Linotype" w:hAnsi="Palatino Linotype" w:cs="Palatino Linotype"/>
          <w:b/>
          <w:bCs/>
          <w:sz w:val="22"/>
          <w:szCs w:val="22"/>
        </w:rPr>
        <w:t>SUJETO OBLIGADO</w:t>
      </w:r>
      <w:r w:rsidRPr="009C3A3C">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94FDC31"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67BF3C22" w14:textId="77777777" w:rsidR="00B0371D" w:rsidRPr="009C3A3C" w:rsidRDefault="00444611">
      <w:pPr>
        <w:spacing w:line="276" w:lineRule="auto"/>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r w:rsidRPr="009C3A3C">
        <w:rPr>
          <w:rFonts w:ascii="Palatino Linotype" w:eastAsia="Palatino Linotype" w:hAnsi="Palatino Linotype" w:cs="Palatino Linotype"/>
          <w:b/>
          <w:bCs/>
          <w:i/>
          <w:iCs/>
          <w:sz w:val="22"/>
          <w:szCs w:val="22"/>
        </w:rPr>
        <w:t>Artículo 4</w:t>
      </w:r>
      <w:r w:rsidRPr="009C3A3C">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E72D99E" w14:textId="77777777" w:rsidR="00B0371D" w:rsidRPr="009C3A3C" w:rsidRDefault="00444611">
      <w:pPr>
        <w:spacing w:line="276" w:lineRule="auto"/>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9C3A3C">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7134025" w14:textId="77777777" w:rsidR="00B0371D" w:rsidRPr="009C3A3C" w:rsidRDefault="00444611">
      <w:pPr>
        <w:spacing w:line="276" w:lineRule="auto"/>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9C3A3C">
        <w:rPr>
          <w:rFonts w:ascii="Palatino Linotype" w:eastAsia="Palatino Linotype" w:hAnsi="Palatino Linotype" w:cs="Palatino Linotype"/>
          <w:i/>
          <w:iCs/>
          <w:sz w:val="22"/>
          <w:szCs w:val="22"/>
        </w:rPr>
        <w:t>.”</w:t>
      </w:r>
    </w:p>
    <w:p w14:paraId="08907255" w14:textId="77777777" w:rsidR="00B0371D" w:rsidRPr="009C3A3C" w:rsidRDefault="00B0371D">
      <w:pPr>
        <w:spacing w:line="276" w:lineRule="auto"/>
        <w:jc w:val="both"/>
        <w:rPr>
          <w:rFonts w:ascii="Palatino Linotype" w:eastAsia="Palatino Linotype" w:hAnsi="Palatino Linotype" w:cs="Palatino Linotype"/>
          <w:sz w:val="22"/>
          <w:szCs w:val="22"/>
        </w:rPr>
      </w:pPr>
    </w:p>
    <w:p w14:paraId="287EE4C5"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71B34C2"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59C3AC20" w14:textId="77777777" w:rsidR="00B0371D" w:rsidRPr="009C3A3C" w:rsidRDefault="00444611">
      <w:pPr>
        <w:spacing w:line="276" w:lineRule="auto"/>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“Artículo 12.-</w:t>
      </w:r>
      <w:r w:rsidRPr="009C3A3C">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42AF2390" w14:textId="77777777" w:rsidR="00B0371D" w:rsidRPr="009C3A3C" w:rsidRDefault="00B0371D">
      <w:pPr>
        <w:spacing w:line="276" w:lineRule="auto"/>
        <w:ind w:left="567" w:right="616"/>
        <w:jc w:val="both"/>
        <w:rPr>
          <w:rFonts w:ascii="Palatino Linotype" w:eastAsia="Palatino Linotype" w:hAnsi="Palatino Linotype" w:cs="Palatino Linotype"/>
          <w:i/>
          <w:iCs/>
          <w:sz w:val="22"/>
          <w:szCs w:val="22"/>
        </w:rPr>
      </w:pPr>
    </w:p>
    <w:p w14:paraId="53F42048" w14:textId="77777777" w:rsidR="00B0371D" w:rsidRPr="009C3A3C" w:rsidRDefault="00444611">
      <w:pPr>
        <w:spacing w:line="276" w:lineRule="auto"/>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9C3A3C">
        <w:rPr>
          <w:rFonts w:ascii="Palatino Linotype" w:eastAsia="Palatino Linotype" w:hAnsi="Palatino Linotype" w:cs="Palatino Linotype"/>
          <w:i/>
          <w:iCs/>
          <w:sz w:val="22"/>
          <w:szCs w:val="22"/>
        </w:rPr>
        <w:t xml:space="preserve">. </w:t>
      </w:r>
      <w:r w:rsidRPr="009C3A3C">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787433F" w14:textId="77777777" w:rsidR="00B0371D" w:rsidRPr="009C3A3C" w:rsidRDefault="00B0371D">
      <w:pPr>
        <w:spacing w:line="360" w:lineRule="auto"/>
        <w:ind w:right="-93"/>
        <w:jc w:val="both"/>
        <w:rPr>
          <w:rFonts w:ascii="Palatino Linotype" w:eastAsia="Palatino Linotype" w:hAnsi="Palatino Linotype" w:cs="Palatino Linotype"/>
          <w:sz w:val="22"/>
          <w:szCs w:val="22"/>
        </w:rPr>
      </w:pPr>
    </w:p>
    <w:p w14:paraId="53BD102E" w14:textId="03982477" w:rsidR="00B0371D" w:rsidRPr="009C3A3C" w:rsidRDefault="00444611">
      <w:pPr>
        <w:spacing w:line="360" w:lineRule="auto"/>
        <w:ind w:right="-93"/>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722A5A1" w14:textId="77777777" w:rsidR="00B0371D" w:rsidRPr="009C3A3C" w:rsidRDefault="00444611">
      <w:pPr>
        <w:spacing w:line="360" w:lineRule="auto"/>
        <w:ind w:right="-93"/>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9C3A3C">
        <w:rPr>
          <w:rFonts w:ascii="Palatino Linotype" w:eastAsia="Palatino Linotype" w:hAnsi="Palatino Linotype" w:cs="Palatino Linotype"/>
          <w:b/>
          <w:bCs/>
          <w:sz w:val="22"/>
          <w:szCs w:val="22"/>
        </w:rPr>
        <w:t xml:space="preserve"> </w:t>
      </w:r>
    </w:p>
    <w:p w14:paraId="2738E110" w14:textId="77777777" w:rsidR="00B0371D" w:rsidRPr="009C3A3C" w:rsidRDefault="00B0371D">
      <w:pPr>
        <w:spacing w:line="360" w:lineRule="auto"/>
        <w:jc w:val="both"/>
        <w:rPr>
          <w:rFonts w:ascii="Palatino Linotype" w:eastAsia="Palatino Linotype" w:hAnsi="Palatino Linotype" w:cs="Palatino Linotype"/>
          <w:b/>
          <w:bCs/>
          <w:sz w:val="22"/>
          <w:szCs w:val="22"/>
        </w:rPr>
      </w:pPr>
    </w:p>
    <w:p w14:paraId="4C1EF8E8"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r w:rsidRPr="009C3A3C">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9C3A3C">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B3FAACE" w14:textId="77777777" w:rsidR="00B0371D" w:rsidRPr="009C3A3C" w:rsidRDefault="00B0371D">
      <w:pPr>
        <w:spacing w:line="360" w:lineRule="auto"/>
        <w:ind w:right="-93"/>
        <w:jc w:val="both"/>
        <w:rPr>
          <w:rFonts w:ascii="Palatino Linotype" w:eastAsia="Palatino Linotype" w:hAnsi="Palatino Linotype" w:cs="Palatino Linotype"/>
          <w:sz w:val="22"/>
          <w:szCs w:val="22"/>
        </w:rPr>
      </w:pPr>
    </w:p>
    <w:p w14:paraId="34888876"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4E7F8B8"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023DB398" w14:textId="77777777" w:rsidR="00B0371D" w:rsidRPr="009C3A3C" w:rsidRDefault="00444611">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41F6E5E" w14:textId="77777777" w:rsidR="00B0371D" w:rsidRPr="009C3A3C" w:rsidRDefault="00B0371D">
      <w:pPr>
        <w:spacing w:line="360" w:lineRule="auto"/>
        <w:ind w:right="49"/>
        <w:jc w:val="both"/>
        <w:rPr>
          <w:rFonts w:ascii="Palatino Linotype" w:eastAsia="Palatino Linotype" w:hAnsi="Palatino Linotype" w:cs="Palatino Linotype"/>
          <w:sz w:val="22"/>
          <w:szCs w:val="22"/>
        </w:rPr>
      </w:pPr>
    </w:p>
    <w:p w14:paraId="14D9BCB5"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0292AD9" w14:textId="77777777" w:rsidR="00B0371D" w:rsidRPr="009C3A3C" w:rsidRDefault="00B0371D">
      <w:pPr>
        <w:spacing w:line="360" w:lineRule="auto"/>
        <w:ind w:left="567" w:right="616"/>
        <w:jc w:val="both"/>
        <w:rPr>
          <w:rFonts w:ascii="Palatino Linotype" w:eastAsia="Palatino Linotype" w:hAnsi="Palatino Linotype" w:cs="Palatino Linotype"/>
          <w:i/>
          <w:iCs/>
          <w:sz w:val="22"/>
          <w:szCs w:val="22"/>
        </w:rPr>
      </w:pPr>
    </w:p>
    <w:p w14:paraId="465D780F"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r w:rsidRPr="009C3A3C">
        <w:rPr>
          <w:rFonts w:ascii="Palatino Linotype" w:eastAsia="Palatino Linotype" w:hAnsi="Palatino Linotype" w:cs="Palatino Linotype"/>
          <w:b/>
          <w:bCs/>
          <w:i/>
          <w:iCs/>
          <w:sz w:val="22"/>
          <w:szCs w:val="22"/>
        </w:rPr>
        <w:t xml:space="preserve">Artículo 3. </w:t>
      </w:r>
      <w:r w:rsidRPr="009C3A3C">
        <w:rPr>
          <w:rFonts w:ascii="Palatino Linotype" w:eastAsia="Palatino Linotype" w:hAnsi="Palatino Linotype" w:cs="Palatino Linotype"/>
          <w:i/>
          <w:iCs/>
          <w:sz w:val="22"/>
          <w:szCs w:val="22"/>
        </w:rPr>
        <w:t>Para los efectos de la presente Ley se entenderá por:</w:t>
      </w:r>
    </w:p>
    <w:p w14:paraId="0AD3BE42"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p>
    <w:p w14:paraId="78368D90"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XI. Documento:</w:t>
      </w:r>
      <w:r w:rsidRPr="009C3A3C">
        <w:rPr>
          <w:rFonts w:ascii="Palatino Linotype" w:eastAsia="Palatino Linotype" w:hAnsi="Palatino Linotype" w:cs="Palatino Linotype"/>
          <w:i/>
          <w:iCs/>
          <w:sz w:val="22"/>
          <w:szCs w:val="22"/>
        </w:rPr>
        <w:t xml:space="preserve"> Los expedientes, reportes, estudios, actas</w:t>
      </w:r>
      <w:r w:rsidRPr="009C3A3C">
        <w:rPr>
          <w:rFonts w:ascii="Palatino Linotype" w:eastAsia="Palatino Linotype" w:hAnsi="Palatino Linotype" w:cs="Palatino Linotype"/>
          <w:b/>
          <w:bCs/>
          <w:i/>
          <w:iCs/>
          <w:sz w:val="22"/>
          <w:szCs w:val="22"/>
        </w:rPr>
        <w:t>,</w:t>
      </w:r>
      <w:r w:rsidRPr="009C3A3C">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FE1D83A" w14:textId="77777777" w:rsidR="00B0371D" w:rsidRPr="009C3A3C" w:rsidRDefault="00B0371D">
      <w:pPr>
        <w:spacing w:line="360" w:lineRule="auto"/>
        <w:ind w:left="851" w:right="899"/>
        <w:jc w:val="both"/>
        <w:rPr>
          <w:rFonts w:ascii="Palatino Linotype" w:eastAsia="Palatino Linotype" w:hAnsi="Palatino Linotype" w:cs="Palatino Linotype"/>
          <w:sz w:val="22"/>
          <w:szCs w:val="22"/>
        </w:rPr>
      </w:pPr>
    </w:p>
    <w:p w14:paraId="76312047"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5B0439F"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661F001A" w14:textId="77777777" w:rsidR="00B0371D" w:rsidRPr="009C3A3C" w:rsidRDefault="00444611">
      <w:pPr>
        <w:ind w:left="567" w:right="616"/>
        <w:jc w:val="both"/>
        <w:rPr>
          <w:rFonts w:ascii="Palatino Linotype" w:eastAsia="Palatino Linotype" w:hAnsi="Palatino Linotype" w:cs="Palatino Linotype"/>
          <w:b/>
          <w:bCs/>
          <w:i/>
          <w:iCs/>
          <w:sz w:val="22"/>
          <w:szCs w:val="22"/>
        </w:rPr>
      </w:pPr>
      <w:r w:rsidRPr="009C3A3C">
        <w:rPr>
          <w:rFonts w:ascii="Palatino Linotype" w:eastAsia="Palatino Linotype" w:hAnsi="Palatino Linotype" w:cs="Palatino Linotype"/>
          <w:b/>
          <w:bCs/>
          <w:sz w:val="22"/>
          <w:szCs w:val="22"/>
        </w:rPr>
        <w:t>“</w:t>
      </w:r>
      <w:r w:rsidRPr="009C3A3C">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9C3A3C">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53E160"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02FA0A5A"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4D6BD671" w14:textId="77777777" w:rsidR="00B0371D" w:rsidRPr="009C3A3C" w:rsidRDefault="00444611">
      <w:pPr>
        <w:ind w:left="567" w:right="616"/>
        <w:jc w:val="both"/>
        <w:rPr>
          <w:rFonts w:ascii="Palatino Linotype" w:eastAsia="Palatino Linotype" w:hAnsi="Palatino Linotype" w:cs="Palatino Linotype"/>
          <w:b/>
          <w:bCs/>
          <w:i/>
          <w:iCs/>
          <w:sz w:val="22"/>
          <w:szCs w:val="22"/>
        </w:rPr>
      </w:pPr>
      <w:r w:rsidRPr="009C3A3C">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3D0E8C4A" w14:textId="77777777" w:rsidR="00B0371D" w:rsidRPr="009C3A3C" w:rsidRDefault="00444611">
      <w:pPr>
        <w:ind w:left="567" w:right="616"/>
        <w:jc w:val="both"/>
        <w:rPr>
          <w:rFonts w:ascii="Palatino Linotype" w:eastAsia="Palatino Linotype" w:hAnsi="Palatino Linotype" w:cs="Palatino Linotype"/>
          <w:b/>
          <w:bCs/>
          <w:i/>
          <w:iCs/>
          <w:sz w:val="22"/>
          <w:szCs w:val="22"/>
        </w:rPr>
      </w:pPr>
      <w:r w:rsidRPr="009C3A3C">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7228B830" w14:textId="77777777" w:rsidR="00B0371D" w:rsidRPr="009C3A3C" w:rsidRDefault="00B0371D">
      <w:pPr>
        <w:tabs>
          <w:tab w:val="left" w:pos="8647"/>
        </w:tabs>
        <w:spacing w:line="360" w:lineRule="auto"/>
        <w:jc w:val="both"/>
        <w:rPr>
          <w:rFonts w:ascii="Palatino Linotype" w:eastAsia="Palatino Linotype" w:hAnsi="Palatino Linotype" w:cs="Palatino Linotype"/>
          <w:b/>
          <w:bCs/>
          <w:sz w:val="22"/>
          <w:szCs w:val="22"/>
        </w:rPr>
      </w:pPr>
    </w:p>
    <w:p w14:paraId="1F2F0A51" w14:textId="2F88CE71" w:rsidR="00B0371D" w:rsidRPr="009C3A3C" w:rsidRDefault="00444611">
      <w:pPr>
        <w:spacing w:after="240" w:line="360" w:lineRule="auto"/>
        <w:jc w:val="both"/>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Pr="009C3A3C">
        <w:rPr>
          <w:rFonts w:ascii="Palatino Linotype" w:eastAsia="Palatino Linotype" w:hAnsi="Palatino Linotype" w:cs="Palatino Linotype"/>
          <w:b/>
          <w:bCs/>
          <w:sz w:val="22"/>
          <w:szCs w:val="22"/>
        </w:rPr>
        <w:t xml:space="preserve">Ayuntamiento de </w:t>
      </w:r>
      <w:r w:rsidR="00A2621E" w:rsidRPr="009C3A3C">
        <w:rPr>
          <w:rFonts w:ascii="Palatino Linotype" w:eastAsia="Palatino Linotype" w:hAnsi="Palatino Linotype" w:cs="Palatino Linotype"/>
          <w:b/>
          <w:bCs/>
          <w:sz w:val="22"/>
          <w:szCs w:val="22"/>
        </w:rPr>
        <w:t>Tianguistenco</w:t>
      </w:r>
      <w:r w:rsidRPr="009C3A3C">
        <w:rPr>
          <w:rFonts w:ascii="Palatino Linotype" w:eastAsia="Palatino Linotype" w:hAnsi="Palatino Linotype" w:cs="Palatino Linotype"/>
          <w:b/>
          <w:bCs/>
          <w:sz w:val="22"/>
          <w:szCs w:val="22"/>
        </w:rPr>
        <w:t>, la siguiente información:</w:t>
      </w:r>
    </w:p>
    <w:p w14:paraId="682C417A" w14:textId="5495888F" w:rsidR="00A2621E" w:rsidRPr="009C3A3C" w:rsidRDefault="00A2621E" w:rsidP="00A2621E">
      <w:pPr>
        <w:pStyle w:val="Prrafodelista"/>
        <w:numPr>
          <w:ilvl w:val="0"/>
          <w:numId w:val="9"/>
        </w:numPr>
        <w:spacing w:line="276" w:lineRule="auto"/>
        <w:ind w:right="843"/>
        <w:jc w:val="both"/>
        <w:rPr>
          <w:rFonts w:ascii="Palatino Linotype" w:eastAsia="Palatino Linotype" w:hAnsi="Palatino Linotype" w:cs="Palatino Linotype"/>
          <w:b/>
          <w:bCs/>
          <w:sz w:val="22"/>
          <w:szCs w:val="22"/>
          <w:u w:val="single"/>
        </w:rPr>
      </w:pPr>
      <w:r w:rsidRPr="009C3A3C">
        <w:rPr>
          <w:rFonts w:ascii="Palatino Linotype" w:eastAsia="Palatino Linotype" w:hAnsi="Palatino Linotype" w:cs="Palatino Linotype"/>
          <w:b/>
          <w:bCs/>
          <w:sz w:val="22"/>
          <w:szCs w:val="22"/>
          <w:u w:val="single"/>
        </w:rPr>
        <w:t xml:space="preserve">Contratos de arrendamiento de todos los vehículos y patrullas con los que cuenta el ayuntamiento. </w:t>
      </w:r>
    </w:p>
    <w:p w14:paraId="432B3704" w14:textId="2F8B0E6E" w:rsidR="00A2621E" w:rsidRPr="009C3A3C" w:rsidRDefault="00A2621E" w:rsidP="00147760">
      <w:pPr>
        <w:pStyle w:val="NormalWeb"/>
        <w:spacing w:before="240" w:beforeAutospacing="0" w:after="240" w:afterAutospacing="0" w:line="360" w:lineRule="auto"/>
        <w:jc w:val="both"/>
        <w:rPr>
          <w:rFonts w:ascii="Palatino Linotype" w:hAnsi="Palatino Linotype"/>
          <w:sz w:val="22"/>
          <w:szCs w:val="22"/>
        </w:rPr>
      </w:pPr>
      <w:r w:rsidRPr="009C3A3C">
        <w:rPr>
          <w:rFonts w:ascii="Palatino Linotype" w:hAnsi="Palatino Linotype"/>
          <w:sz w:val="22"/>
          <w:szCs w:val="22"/>
        </w:rPr>
        <w:t xml:space="preserve">Como puede advertirse, </w:t>
      </w:r>
      <w:r w:rsidR="00147760" w:rsidRPr="009C3A3C">
        <w:rPr>
          <w:rFonts w:ascii="Palatino Linotype" w:hAnsi="Palatino Linotype"/>
          <w:sz w:val="22"/>
          <w:szCs w:val="22"/>
        </w:rPr>
        <w:t xml:space="preserve">de la lectura a la solicitud de información se advierte que el particular solicita la información vigente a la fecha de </w:t>
      </w:r>
      <w:r w:rsidRPr="009C3A3C">
        <w:rPr>
          <w:rFonts w:ascii="Palatino Linotype" w:hAnsi="Palatino Linotype"/>
          <w:sz w:val="22"/>
          <w:szCs w:val="22"/>
        </w:rPr>
        <w:t>presentación de la solicitud, es decir, al dos de septiembre del dos mil veinticinco.</w:t>
      </w:r>
    </w:p>
    <w:p w14:paraId="4C0A48D2" w14:textId="3239CFCC" w:rsidR="00B0371D" w:rsidRPr="009C3A3C" w:rsidRDefault="00A2621E">
      <w:pPr>
        <w:spacing w:line="360" w:lineRule="auto"/>
        <w:ind w:right="-7"/>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Precisado lo anterior se advierte que el</w:t>
      </w:r>
      <w:r w:rsidR="00444611" w:rsidRPr="009C3A3C">
        <w:rPr>
          <w:rFonts w:ascii="Palatino Linotype" w:eastAsia="Palatino Linotype" w:hAnsi="Palatino Linotype" w:cs="Palatino Linotype"/>
          <w:sz w:val="22"/>
          <w:szCs w:val="22"/>
        </w:rPr>
        <w:t xml:space="preserve"> Sujeto Obligado, a través de la Dirección de Administración </w:t>
      </w:r>
      <w:r w:rsidRPr="009C3A3C">
        <w:rPr>
          <w:rFonts w:ascii="Palatino Linotype" w:eastAsia="Palatino Linotype" w:hAnsi="Palatino Linotype" w:cs="Palatino Linotype"/>
          <w:sz w:val="22"/>
          <w:szCs w:val="22"/>
        </w:rPr>
        <w:t xml:space="preserve">cita los artículos 12, 75 y 76 de la Ley de Transparencia del Estado de México, así como </w:t>
      </w:r>
      <w:r w:rsidR="00630E62" w:rsidRPr="009C3A3C">
        <w:rPr>
          <w:rFonts w:ascii="Palatino Linotype" w:eastAsia="Palatino Linotype" w:hAnsi="Palatino Linotype" w:cs="Palatino Linotype"/>
          <w:sz w:val="22"/>
          <w:szCs w:val="22"/>
        </w:rPr>
        <w:t>el criterio</w:t>
      </w:r>
      <w:r w:rsidRPr="009C3A3C">
        <w:rPr>
          <w:rFonts w:ascii="Palatino Linotype" w:eastAsia="Palatino Linotype" w:hAnsi="Palatino Linotype" w:cs="Palatino Linotype"/>
          <w:sz w:val="22"/>
          <w:szCs w:val="22"/>
        </w:rPr>
        <w:t xml:space="preserve"> orientador 09-10 emitido por el entonces Instituto Federal de Acceso a la Información y Protección de datos relativo a que no existe obligación de elaborar documentos ad hoc para atender las solicitudes de acceso a la información, dando así respuesta al requerimiento en tiempo y forma.  </w:t>
      </w:r>
      <w:r w:rsidR="00444611" w:rsidRPr="009C3A3C">
        <w:rPr>
          <w:rFonts w:ascii="Palatino Linotype" w:eastAsia="Palatino Linotype" w:hAnsi="Palatino Linotype" w:cs="Palatino Linotype"/>
          <w:sz w:val="22"/>
          <w:szCs w:val="22"/>
        </w:rPr>
        <w:t xml:space="preserve">Lo anterior fue motivo de agravio por el particular. </w:t>
      </w:r>
    </w:p>
    <w:p w14:paraId="419879E7" w14:textId="77777777" w:rsidR="00B0371D" w:rsidRPr="009C3A3C" w:rsidRDefault="00B0371D">
      <w:pPr>
        <w:spacing w:line="360" w:lineRule="auto"/>
        <w:ind w:right="-7"/>
        <w:jc w:val="both"/>
        <w:rPr>
          <w:rFonts w:ascii="Palatino Linotype" w:eastAsia="Palatino Linotype" w:hAnsi="Palatino Linotype" w:cs="Palatino Linotype"/>
          <w:sz w:val="22"/>
          <w:szCs w:val="22"/>
        </w:rPr>
      </w:pPr>
    </w:p>
    <w:p w14:paraId="1189760D" w14:textId="77777777" w:rsidR="00B0371D" w:rsidRPr="009C3A3C" w:rsidRDefault="00444611">
      <w:pPr>
        <w:spacing w:line="360" w:lineRule="auto"/>
        <w:ind w:right="-7"/>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Derivado de la naturaleza de la información solicitada, es necesario traer a contexto lo dispuesto en la Ley de Contratación Pública del Estado de México y Municipios, la cual tiene por objeto regular los actos relativos a la </w:t>
      </w:r>
      <w:r w:rsidRPr="009C3A3C">
        <w:rPr>
          <w:rFonts w:ascii="Palatino Linotype" w:eastAsia="Palatino Linotype" w:hAnsi="Palatino Linotype" w:cs="Palatino Linotype"/>
          <w:b/>
          <w:bCs/>
          <w:sz w:val="22"/>
          <w:szCs w:val="22"/>
          <w:u w:val="single"/>
        </w:rPr>
        <w:t>planeación, programación, presupuestación</w:t>
      </w:r>
      <w:r w:rsidRPr="009C3A3C">
        <w:rPr>
          <w:rFonts w:ascii="Palatino Linotype" w:eastAsia="Palatino Linotype" w:hAnsi="Palatino Linotype" w:cs="Palatino Linotype"/>
          <w:sz w:val="22"/>
          <w:szCs w:val="22"/>
        </w:rPr>
        <w:t xml:space="preserve">, ejecución y control de la adquisición, enajenación y </w:t>
      </w:r>
      <w:r w:rsidRPr="009C3A3C">
        <w:rPr>
          <w:rFonts w:ascii="Palatino Linotype" w:eastAsia="Palatino Linotype" w:hAnsi="Palatino Linotype" w:cs="Palatino Linotype"/>
          <w:b/>
          <w:bCs/>
          <w:sz w:val="22"/>
          <w:szCs w:val="22"/>
        </w:rPr>
        <w:t>arrendamiento de bienes</w:t>
      </w:r>
      <w:r w:rsidRPr="009C3A3C">
        <w:rPr>
          <w:rFonts w:ascii="Palatino Linotype" w:eastAsia="Palatino Linotype" w:hAnsi="Palatino Linotype" w:cs="Palatino Linotype"/>
          <w:sz w:val="22"/>
          <w:szCs w:val="22"/>
        </w:rPr>
        <w:t xml:space="preserve">, y la </w:t>
      </w:r>
      <w:r w:rsidRPr="009C3A3C">
        <w:rPr>
          <w:rFonts w:ascii="Palatino Linotype" w:eastAsia="Palatino Linotype" w:hAnsi="Palatino Linotype" w:cs="Palatino Linotype"/>
          <w:b/>
          <w:bCs/>
          <w:sz w:val="22"/>
          <w:szCs w:val="22"/>
          <w:u w:val="single"/>
        </w:rPr>
        <w:t>contratación de servicios de cualquier naturaleza, que realicen los Ayuntamientos del Estado</w:t>
      </w:r>
      <w:r w:rsidRPr="009C3A3C">
        <w:rPr>
          <w:rFonts w:ascii="Palatino Linotype" w:eastAsia="Palatino Linotype" w:hAnsi="Palatino Linotype" w:cs="Palatino Linotype"/>
          <w:sz w:val="22"/>
          <w:szCs w:val="22"/>
        </w:rPr>
        <w:t>; entre ellos el Sujeto Obligado, los cuales se adjudicarán a través de licitación pública, invitación restringida o adjudicación directa, mediante convocatoria pública, tal y como lo establecen los artículos 4, 26 y 27 de dicha Ley, los cuales son del tenor siguiente:</w:t>
      </w:r>
    </w:p>
    <w:p w14:paraId="6182901C"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“Artículo 4.-</w:t>
      </w:r>
      <w:r w:rsidRPr="009C3A3C">
        <w:rPr>
          <w:rFonts w:ascii="Palatino Linotype" w:eastAsia="Palatino Linotype" w:hAnsi="Palatino Linotype" w:cs="Palatino Linotype"/>
          <w:i/>
          <w:iCs/>
          <w:sz w:val="22"/>
          <w:szCs w:val="22"/>
        </w:rPr>
        <w:t xml:space="preserve"> Para los efectos de esta Ley, </w:t>
      </w:r>
      <w:r w:rsidRPr="009C3A3C">
        <w:rPr>
          <w:rFonts w:ascii="Palatino Linotype" w:eastAsia="Palatino Linotype" w:hAnsi="Palatino Linotype" w:cs="Palatino Linotype"/>
          <w:b/>
          <w:bCs/>
          <w:i/>
          <w:iCs/>
          <w:sz w:val="22"/>
          <w:szCs w:val="22"/>
        </w:rPr>
        <w:t>en las adquisiciones, enajenaciones, arrendamientos y servicios, quedan comprendidos</w:t>
      </w:r>
      <w:r w:rsidRPr="009C3A3C">
        <w:rPr>
          <w:rFonts w:ascii="Palatino Linotype" w:eastAsia="Palatino Linotype" w:hAnsi="Palatino Linotype" w:cs="Palatino Linotype"/>
          <w:i/>
          <w:iCs/>
          <w:sz w:val="22"/>
          <w:szCs w:val="22"/>
        </w:rPr>
        <w:t>:</w:t>
      </w:r>
    </w:p>
    <w:p w14:paraId="68DF75A2"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I.</w:t>
      </w:r>
      <w:r w:rsidRPr="009C3A3C">
        <w:rPr>
          <w:rFonts w:ascii="Palatino Linotype" w:eastAsia="Palatino Linotype" w:hAnsi="Palatino Linotype" w:cs="Palatino Linotype"/>
          <w:i/>
          <w:iCs/>
          <w:sz w:val="22"/>
          <w:szCs w:val="22"/>
        </w:rPr>
        <w:t xml:space="preserve"> La adquisición de bienes muebles.</w:t>
      </w:r>
    </w:p>
    <w:p w14:paraId="5FB0C488"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II</w:t>
      </w:r>
      <w:r w:rsidRPr="009C3A3C">
        <w:rPr>
          <w:rFonts w:ascii="Palatino Linotype" w:eastAsia="Palatino Linotype" w:hAnsi="Palatino Linotype" w:cs="Palatino Linotype"/>
          <w:i/>
          <w:iCs/>
          <w:sz w:val="22"/>
          <w:szCs w:val="22"/>
        </w:rPr>
        <w:t>. La adquisición de bienes inmuebles, a través de compraventa.</w:t>
      </w:r>
    </w:p>
    <w:p w14:paraId="1B7078D7"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III.</w:t>
      </w:r>
      <w:r w:rsidRPr="009C3A3C">
        <w:rPr>
          <w:rFonts w:ascii="Palatino Linotype" w:eastAsia="Palatino Linotype" w:hAnsi="Palatino Linotype" w:cs="Palatino Linotype"/>
          <w:i/>
          <w:iCs/>
          <w:sz w:val="22"/>
          <w:szCs w:val="22"/>
        </w:rPr>
        <w:t xml:space="preserve"> La enajenación de bienes muebles e inmuebles.</w:t>
      </w:r>
    </w:p>
    <w:p w14:paraId="44D88501"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IV.</w:t>
      </w:r>
      <w:r w:rsidRPr="009C3A3C">
        <w:rPr>
          <w:rFonts w:ascii="Palatino Linotype" w:eastAsia="Palatino Linotype" w:hAnsi="Palatino Linotype" w:cs="Palatino Linotype"/>
          <w:i/>
          <w:iCs/>
          <w:sz w:val="22"/>
          <w:szCs w:val="22"/>
        </w:rPr>
        <w:t xml:space="preserve"> El arrendamiento de bienes muebles e inmuebles. </w:t>
      </w:r>
    </w:p>
    <w:p w14:paraId="41735A58"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V</w:t>
      </w:r>
      <w:r w:rsidRPr="009C3A3C">
        <w:rPr>
          <w:rFonts w:ascii="Palatino Linotype" w:eastAsia="Palatino Linotype" w:hAnsi="Palatino Linotype" w:cs="Palatino Linotype"/>
          <w:i/>
          <w:iCs/>
          <w:sz w:val="22"/>
          <w:szCs w:val="22"/>
        </w:rPr>
        <w:t>. La contratación de los servicios, relacionados con bienes muebles que se encuentran incorporados o adheridos a bienes inmuebles, cuya instalación o mantenimiento no implique modificación al bien inmueble.</w:t>
      </w:r>
    </w:p>
    <w:p w14:paraId="015DB9CA"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VI.</w:t>
      </w:r>
      <w:r w:rsidRPr="009C3A3C">
        <w:rPr>
          <w:rFonts w:ascii="Palatino Linotype" w:eastAsia="Palatino Linotype" w:hAnsi="Palatino Linotype" w:cs="Palatino Linotype"/>
          <w:i/>
          <w:iCs/>
          <w:sz w:val="22"/>
          <w:szCs w:val="22"/>
        </w:rPr>
        <w:t xml:space="preserve"> La contratación de los servicios de reconstrucción y mantenimiento de bienes muebles. </w:t>
      </w:r>
    </w:p>
    <w:p w14:paraId="03AD295E"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VII.</w:t>
      </w:r>
      <w:r w:rsidRPr="009C3A3C">
        <w:rPr>
          <w:rFonts w:ascii="Palatino Linotype" w:eastAsia="Palatino Linotype" w:hAnsi="Palatino Linotype" w:cs="Palatino Linotype"/>
          <w:i/>
          <w:iCs/>
          <w:sz w:val="22"/>
          <w:szCs w:val="22"/>
        </w:rPr>
        <w:t xml:space="preserve"> La contratación de los servicios de maquila, seguros y transportación, así como de los de limpieza y vigilancia de bienes inmuebles. </w:t>
      </w:r>
    </w:p>
    <w:p w14:paraId="2518AA5B"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VIII.</w:t>
      </w:r>
      <w:r w:rsidRPr="009C3A3C">
        <w:rPr>
          <w:rFonts w:ascii="Palatino Linotype" w:eastAsia="Palatino Linotype" w:hAnsi="Palatino Linotype" w:cs="Palatino Linotype"/>
          <w:i/>
          <w:iCs/>
          <w:sz w:val="22"/>
          <w:szCs w:val="22"/>
        </w:rPr>
        <w:t xml:space="preserve"> La prestación de servicios profesionales, la contratación de consultorías, asesorías y estudios e investigaciones, excepto la contratación de servicios personales de personas físicas bajo el régimen de honorarios. </w:t>
      </w:r>
    </w:p>
    <w:p w14:paraId="3E4C34AA"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En general, otros actos que impliquen la contratación de servicios de cualquier naturaleza</w:t>
      </w:r>
    </w:p>
    <w:p w14:paraId="0C8D42E1"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Artículo 26.-</w:t>
      </w:r>
      <w:r w:rsidRPr="009C3A3C">
        <w:rPr>
          <w:rFonts w:ascii="Palatino Linotype" w:eastAsia="Palatino Linotype" w:hAnsi="Palatino Linotype" w:cs="Palatino Linotype"/>
          <w:i/>
          <w:iCs/>
          <w:sz w:val="22"/>
          <w:szCs w:val="22"/>
        </w:rPr>
        <w:t xml:space="preserve"> </w:t>
      </w:r>
      <w:r w:rsidRPr="009C3A3C">
        <w:rPr>
          <w:rFonts w:ascii="Palatino Linotype" w:eastAsia="Palatino Linotype" w:hAnsi="Palatino Linotype" w:cs="Palatino Linotype"/>
          <w:b/>
          <w:bCs/>
          <w:i/>
          <w:iCs/>
          <w:sz w:val="22"/>
          <w:szCs w:val="22"/>
        </w:rPr>
        <w:t>Las adquisiciones, arrendamientos y servicios se adjudicarán a través de licitaciones públicas</w:t>
      </w:r>
      <w:r w:rsidRPr="009C3A3C">
        <w:rPr>
          <w:rFonts w:ascii="Palatino Linotype" w:eastAsia="Palatino Linotype" w:hAnsi="Palatino Linotype" w:cs="Palatino Linotype"/>
          <w:i/>
          <w:iCs/>
          <w:sz w:val="22"/>
          <w:szCs w:val="22"/>
        </w:rPr>
        <w:t xml:space="preserve">, mediante convocatoria pública. </w:t>
      </w:r>
    </w:p>
    <w:p w14:paraId="224B56C1"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Artículo 27.</w:t>
      </w:r>
      <w:r w:rsidRPr="009C3A3C">
        <w:rPr>
          <w:rFonts w:ascii="Palatino Linotype" w:eastAsia="Palatino Linotype" w:hAnsi="Palatino Linotype" w:cs="Palatino Linotype"/>
          <w:i/>
          <w:iCs/>
          <w:sz w:val="22"/>
          <w:szCs w:val="22"/>
        </w:rPr>
        <w:t xml:space="preserve">- La Secretaría, las entidades, los tribunales administrativos y los ayuntamientos podrán </w:t>
      </w:r>
      <w:r w:rsidRPr="009C3A3C">
        <w:rPr>
          <w:rFonts w:ascii="Palatino Linotype" w:eastAsia="Palatino Linotype" w:hAnsi="Palatino Linotype" w:cs="Palatino Linotype"/>
          <w:b/>
          <w:bCs/>
          <w:i/>
          <w:iCs/>
          <w:sz w:val="22"/>
          <w:szCs w:val="22"/>
        </w:rPr>
        <w:t>adjudicar adquisiciones, arrendamientos y servicios, mediante las excepciones al procedimiento de licitación</w:t>
      </w:r>
      <w:r w:rsidRPr="009C3A3C">
        <w:rPr>
          <w:rFonts w:ascii="Palatino Linotype" w:eastAsia="Palatino Linotype" w:hAnsi="Palatino Linotype" w:cs="Palatino Linotype"/>
          <w:i/>
          <w:iCs/>
          <w:sz w:val="22"/>
          <w:szCs w:val="22"/>
        </w:rPr>
        <w:t xml:space="preserve"> que a continuación se señalan:</w:t>
      </w:r>
    </w:p>
    <w:p w14:paraId="3F4BF99D"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I</w:t>
      </w:r>
      <w:r w:rsidRPr="009C3A3C">
        <w:rPr>
          <w:rFonts w:ascii="Palatino Linotype" w:eastAsia="Palatino Linotype" w:hAnsi="Palatino Linotype" w:cs="Palatino Linotype"/>
          <w:i/>
          <w:iCs/>
          <w:sz w:val="22"/>
          <w:szCs w:val="22"/>
        </w:rPr>
        <w:t>. Invitación restringida.</w:t>
      </w:r>
    </w:p>
    <w:p w14:paraId="60B3CB28" w14:textId="77777777" w:rsidR="00B0371D" w:rsidRPr="009C3A3C" w:rsidRDefault="00444611">
      <w:pPr>
        <w:spacing w:before="120" w:after="120"/>
        <w:ind w:left="567"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 xml:space="preserve">II. </w:t>
      </w:r>
      <w:r w:rsidRPr="009C3A3C">
        <w:rPr>
          <w:rFonts w:ascii="Palatino Linotype" w:eastAsia="Palatino Linotype" w:hAnsi="Palatino Linotype" w:cs="Palatino Linotype"/>
          <w:i/>
          <w:iCs/>
          <w:sz w:val="22"/>
          <w:szCs w:val="22"/>
        </w:rPr>
        <w:t>Adjudicación directa.”</w:t>
      </w:r>
    </w:p>
    <w:p w14:paraId="6C85B68A" w14:textId="77777777" w:rsidR="00B0371D" w:rsidRPr="009C3A3C" w:rsidRDefault="00444611">
      <w:pPr>
        <w:spacing w:before="240" w:after="240"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En efecto, con base en los preceptos citados se advierte que, por regla general, las adquisiciones, enajenaciones, </w:t>
      </w:r>
      <w:r w:rsidRPr="009C3A3C">
        <w:rPr>
          <w:rFonts w:ascii="Palatino Linotype" w:eastAsia="Palatino Linotype" w:hAnsi="Palatino Linotype" w:cs="Palatino Linotype"/>
          <w:b/>
          <w:bCs/>
          <w:sz w:val="22"/>
          <w:szCs w:val="22"/>
        </w:rPr>
        <w:t>arrendamientos</w:t>
      </w:r>
      <w:r w:rsidRPr="009C3A3C">
        <w:rPr>
          <w:rFonts w:ascii="Palatino Linotype" w:eastAsia="Palatino Linotype" w:hAnsi="Palatino Linotype" w:cs="Palatino Linotype"/>
          <w:sz w:val="22"/>
          <w:szCs w:val="22"/>
        </w:rPr>
        <w:t xml:space="preserve"> y servicios, que celebren los entes públicos, deben adjudicarse mediante licitación pública, sin embargo, también se contemplan como excepciones a dicho proceso, la invitación restringida y la adjudicación directa.</w:t>
      </w:r>
    </w:p>
    <w:p w14:paraId="60B8B362" w14:textId="77777777" w:rsidR="00B0371D" w:rsidRPr="009C3A3C" w:rsidRDefault="00444611">
      <w:pPr>
        <w:spacing w:before="240" w:after="240"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En efecto, con base en los preceptos citados se advierte que, por regla general, las adquisiciones, enajenaciones, arrendamientos y servicios, que celebren los entes públicos, deben adjudicarse mediante licitación pública, sin embargo, también se contemplan como excepciones a dicho proceso, la invitación restringida y la adjudicación directa.</w:t>
      </w:r>
    </w:p>
    <w:p w14:paraId="28C69C22" w14:textId="77777777" w:rsidR="00B0371D" w:rsidRPr="009C3A3C" w:rsidRDefault="00444611">
      <w:pP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Por ello, de acuerdo con el artículo 44 de la Ley de Contratación Pública del Estado de México y Municipios, las entidades públicas podrán adquirir y contratar servicios mediante invitación restringida en los siguientes casos: </w:t>
      </w:r>
    </w:p>
    <w:p w14:paraId="66607C8C" w14:textId="77777777" w:rsidR="00B0371D" w:rsidRPr="009C3A3C" w:rsidRDefault="00444611">
      <w:pPr>
        <w:spacing w:before="120" w:after="120"/>
        <w:ind w:left="851"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“Artículo 44.-</w:t>
      </w:r>
      <w:r w:rsidRPr="009C3A3C">
        <w:rPr>
          <w:rFonts w:ascii="Palatino Linotype" w:eastAsia="Palatino Linotype" w:hAnsi="Palatino Linotype" w:cs="Palatino Linotype"/>
          <w:i/>
          <w:iCs/>
          <w:sz w:val="22"/>
          <w:szCs w:val="22"/>
        </w:rPr>
        <w:t xml:space="preserve"> La Secretaría, las entidades, los tribunales administrativos y los ayuntamientos podrán adquirir y contratar servicios mediante invitación restringida, cuando:</w:t>
      </w:r>
    </w:p>
    <w:p w14:paraId="1E96E98B" w14:textId="77777777" w:rsidR="00B0371D" w:rsidRPr="009C3A3C" w:rsidRDefault="00444611">
      <w:pPr>
        <w:spacing w:before="120" w:after="120"/>
        <w:ind w:left="1134"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I.</w:t>
      </w:r>
      <w:r w:rsidRPr="009C3A3C">
        <w:rPr>
          <w:rFonts w:ascii="Palatino Linotype" w:eastAsia="Palatino Linotype" w:hAnsi="Palatino Linotype" w:cs="Palatino Linotype"/>
          <w:i/>
          <w:iCs/>
          <w:sz w:val="22"/>
          <w:szCs w:val="22"/>
        </w:rPr>
        <w:t xml:space="preserve"> Se hubiere declarado desierto un procedimiento de licitación, o</w:t>
      </w:r>
    </w:p>
    <w:p w14:paraId="1E8A3571" w14:textId="77777777" w:rsidR="00B0371D" w:rsidRPr="009C3A3C" w:rsidRDefault="00444611">
      <w:pPr>
        <w:spacing w:before="120" w:after="120"/>
        <w:ind w:left="1134"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II</w:t>
      </w:r>
      <w:r w:rsidRPr="009C3A3C">
        <w:rPr>
          <w:rFonts w:ascii="Palatino Linotype" w:eastAsia="Palatino Linotype" w:hAnsi="Palatino Linotype" w:cs="Palatino Linotype"/>
          <w:i/>
          <w:iCs/>
          <w:sz w:val="22"/>
          <w:szCs w:val="22"/>
        </w:rPr>
        <w:t>. El importe de la operación no exceda de los montos establecidos por el Presupuesto de Egresos del Gobierno del Estado de México del ejercicio correspondiente.</w:t>
      </w:r>
    </w:p>
    <w:p w14:paraId="3730EF84" w14:textId="77777777" w:rsidR="00B0371D" w:rsidRPr="009C3A3C" w:rsidRDefault="00444611">
      <w:pPr>
        <w:spacing w:before="120" w:after="120"/>
        <w:ind w:left="851"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 La Secretaría,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6B616F05" w14:textId="77777777" w:rsidR="00B0371D" w:rsidRPr="009C3A3C" w:rsidRDefault="00444611">
      <w:pPr>
        <w:spacing w:before="120" w:after="120"/>
        <w:ind w:left="851"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En la invitación deberá especificarse si en el proceso de asignación aplicará la modalidad de subasta inversa.”</w:t>
      </w:r>
    </w:p>
    <w:p w14:paraId="13ED0B61" w14:textId="77777777" w:rsidR="00B0371D" w:rsidRPr="009C3A3C" w:rsidRDefault="00444611">
      <w:pPr>
        <w:spacing w:before="240" w:after="240"/>
        <w:ind w:right="49"/>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sz w:val="22"/>
          <w:szCs w:val="22"/>
        </w:rPr>
        <w:t>Asimismo, el artículo 46 de la Ley referida, menciona que:</w:t>
      </w:r>
    </w:p>
    <w:p w14:paraId="07DA45C2" w14:textId="77777777" w:rsidR="00B0371D" w:rsidRPr="009C3A3C" w:rsidRDefault="00444611">
      <w:pPr>
        <w:spacing w:before="120" w:after="120"/>
        <w:ind w:left="851"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sz w:val="22"/>
          <w:szCs w:val="22"/>
        </w:rPr>
        <w:t xml:space="preserve"> “</w:t>
      </w:r>
      <w:r w:rsidRPr="009C3A3C">
        <w:rPr>
          <w:rFonts w:ascii="Palatino Linotype" w:eastAsia="Palatino Linotype" w:hAnsi="Palatino Linotype" w:cs="Palatino Linotype"/>
          <w:b/>
          <w:bCs/>
          <w:i/>
          <w:iCs/>
          <w:sz w:val="22"/>
          <w:szCs w:val="22"/>
        </w:rPr>
        <w:t>Artículo 46.-</w:t>
      </w:r>
      <w:r w:rsidRPr="009C3A3C">
        <w:rPr>
          <w:rFonts w:ascii="Palatino Linotype" w:eastAsia="Palatino Linotype" w:hAnsi="Palatino Linotype" w:cs="Palatino Linotype"/>
          <w:i/>
          <w:iCs/>
          <w:sz w:val="22"/>
          <w:szCs w:val="22"/>
        </w:rPr>
        <w:t xml:space="preserve"> El procedimiento de invitación restringida se desarrollará en los términos de la licitación pública, a excepción de la publicación de la convocatoria.”</w:t>
      </w:r>
    </w:p>
    <w:p w14:paraId="5BB2DBD2" w14:textId="77777777" w:rsidR="00B0371D" w:rsidRPr="009C3A3C" w:rsidRDefault="00B0371D">
      <w:pPr>
        <w:spacing w:before="120" w:after="120"/>
        <w:ind w:left="851" w:right="902"/>
        <w:jc w:val="both"/>
        <w:rPr>
          <w:rFonts w:ascii="Palatino Linotype" w:eastAsia="Palatino Linotype" w:hAnsi="Palatino Linotype" w:cs="Palatino Linotype"/>
          <w:i/>
          <w:iCs/>
          <w:sz w:val="22"/>
          <w:szCs w:val="22"/>
        </w:rPr>
      </w:pPr>
    </w:p>
    <w:p w14:paraId="77A7F7E7" w14:textId="77777777" w:rsidR="00B0371D" w:rsidRPr="009C3A3C" w:rsidRDefault="00444611">
      <w:pPr>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Por otra parte, el artículo 48 de la Ley en cita precisa que, respecto a los procedimientos de Adjudicación Directa, las entidades públicas podrán adquirir bienes, arrendar bienes muebles e inmuebles y contratar servicios mediante adjudicación directa cuando: </w:t>
      </w:r>
    </w:p>
    <w:p w14:paraId="01DE5959" w14:textId="77777777" w:rsidR="00B0371D" w:rsidRPr="009C3A3C" w:rsidRDefault="00444611">
      <w:pPr>
        <w:tabs>
          <w:tab w:val="left" w:pos="7938"/>
        </w:tabs>
        <w:spacing w:before="120" w:after="120"/>
        <w:ind w:left="851"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“Artículo 48.-</w:t>
      </w:r>
      <w:r w:rsidRPr="009C3A3C">
        <w:rPr>
          <w:rFonts w:ascii="Palatino Linotype" w:eastAsia="Palatino Linotype" w:hAnsi="Palatino Linotype" w:cs="Palatino Linotype"/>
          <w:i/>
          <w:iCs/>
          <w:sz w:val="22"/>
          <w:szCs w:val="22"/>
        </w:rPr>
        <w:t xml:space="preserve"> La Secretaría, las entidades, los tribunales administrativos y los ayuntamientos podrán adquirir bienes, arrendar bienes muebles e inmuebles y contratar servicios, mediante adjudicación directa, cuando:</w:t>
      </w:r>
    </w:p>
    <w:p w14:paraId="4A166BB2" w14:textId="77777777" w:rsidR="00B0371D" w:rsidRPr="009C3A3C" w:rsidRDefault="00444611">
      <w:pPr>
        <w:tabs>
          <w:tab w:val="left" w:pos="7938"/>
        </w:tabs>
        <w:spacing w:before="120" w:after="120"/>
        <w:ind w:left="1134"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I</w:t>
      </w:r>
      <w:r w:rsidRPr="009C3A3C">
        <w:rPr>
          <w:rFonts w:ascii="Palatino Linotype" w:eastAsia="Palatino Linotype" w:hAnsi="Palatino Linotype" w:cs="Palatino Linotype"/>
          <w:i/>
          <w:iCs/>
          <w:sz w:val="22"/>
          <w:szCs w:val="22"/>
        </w:rPr>
        <w:t>. La adquisición o el servicio sólo puedan realizarse con una determinada persona, por tratarse de obras de arte, titularidad de patentes, registros, marcas específicas, derechos de autor u otros derechos exclusivos.</w:t>
      </w:r>
    </w:p>
    <w:p w14:paraId="592E66A1" w14:textId="77777777" w:rsidR="00B0371D" w:rsidRPr="009C3A3C" w:rsidRDefault="00444611">
      <w:pPr>
        <w:tabs>
          <w:tab w:val="left" w:pos="7938"/>
        </w:tabs>
        <w:spacing w:before="120" w:after="120"/>
        <w:ind w:left="1134"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II</w:t>
      </w:r>
      <w:r w:rsidRPr="009C3A3C">
        <w:rPr>
          <w:rFonts w:ascii="Palatino Linotype" w:eastAsia="Palatino Linotype" w:hAnsi="Palatino Linotype" w:cs="Palatino Linotype"/>
          <w:i/>
          <w:iCs/>
          <w:sz w:val="22"/>
          <w:szCs w:val="22"/>
        </w:rPr>
        <w:t>.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w:t>
      </w:r>
    </w:p>
    <w:p w14:paraId="64240C99" w14:textId="77777777" w:rsidR="00B0371D" w:rsidRPr="009C3A3C" w:rsidRDefault="00444611">
      <w:pPr>
        <w:tabs>
          <w:tab w:val="left" w:pos="7938"/>
        </w:tabs>
        <w:spacing w:before="120" w:after="120"/>
        <w:ind w:left="1134"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III.</w:t>
      </w:r>
      <w:r w:rsidRPr="009C3A3C">
        <w:rPr>
          <w:rFonts w:ascii="Palatino Linotype" w:eastAsia="Palatino Linotype" w:hAnsi="Palatino Linotype" w:cs="Palatino Linotype"/>
          <w:i/>
          <w:iCs/>
          <w:sz w:val="22"/>
          <w:szCs w:val="22"/>
        </w:rPr>
        <w:t xml:space="preserve"> Se trate de servicios que requieran de experiencia, técnicas o equipos especiales, o se trate de la adquisición de bienes usados o de características especiales que solamente puedan ser prestados o suministrados por una sola persona.</w:t>
      </w:r>
    </w:p>
    <w:p w14:paraId="560428D1" w14:textId="77777777" w:rsidR="00B0371D" w:rsidRPr="009C3A3C" w:rsidRDefault="00444611">
      <w:pPr>
        <w:tabs>
          <w:tab w:val="left" w:pos="7938"/>
        </w:tabs>
        <w:spacing w:before="120" w:after="120"/>
        <w:ind w:left="1134"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IV.</w:t>
      </w:r>
      <w:r w:rsidRPr="009C3A3C">
        <w:rPr>
          <w:rFonts w:ascii="Palatino Linotype" w:eastAsia="Palatino Linotype" w:hAnsi="Palatino Linotype" w:cs="Palatino Linotype"/>
          <w:i/>
          <w:iCs/>
          <w:sz w:val="22"/>
          <w:szCs w:val="22"/>
        </w:rPr>
        <w:t xml:space="preserve">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w:t>
      </w:r>
    </w:p>
    <w:p w14:paraId="789EAE97" w14:textId="77777777" w:rsidR="00B0371D" w:rsidRPr="009C3A3C" w:rsidRDefault="00444611">
      <w:pPr>
        <w:tabs>
          <w:tab w:val="left" w:pos="7938"/>
        </w:tabs>
        <w:spacing w:before="120" w:after="120"/>
        <w:ind w:left="1134"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V</w:t>
      </w:r>
      <w:r w:rsidRPr="009C3A3C">
        <w:rPr>
          <w:rFonts w:ascii="Palatino Linotype" w:eastAsia="Palatino Linotype" w:hAnsi="Palatino Linotype" w:cs="Palatino Linotype"/>
          <w:i/>
          <w:iCs/>
          <w:sz w:val="22"/>
          <w:szCs w:val="22"/>
        </w:rPr>
        <w:t>. Existan circunstancias que puedan provocar pérdidas o costos adicionales importantes al erario.</w:t>
      </w:r>
    </w:p>
    <w:p w14:paraId="7A9CE0CC" w14:textId="77777777" w:rsidR="00B0371D" w:rsidRPr="009C3A3C" w:rsidRDefault="00444611">
      <w:pPr>
        <w:tabs>
          <w:tab w:val="left" w:pos="7938"/>
        </w:tabs>
        <w:spacing w:before="120" w:after="120"/>
        <w:ind w:left="1134"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VI</w:t>
      </w:r>
      <w:r w:rsidRPr="009C3A3C">
        <w:rPr>
          <w:rFonts w:ascii="Palatino Linotype" w:eastAsia="Palatino Linotype" w:hAnsi="Palatino Linotype" w:cs="Palatino Linotype"/>
          <w:i/>
          <w:iCs/>
          <w:sz w:val="22"/>
          <w:szCs w:val="22"/>
        </w:rPr>
        <w:t>. Pueda comprometerse información de naturaleza confidencial para el Estado o municipios, por razones de seguridad pública.</w:t>
      </w:r>
    </w:p>
    <w:p w14:paraId="6F68DB62" w14:textId="77777777" w:rsidR="00B0371D" w:rsidRPr="009C3A3C" w:rsidRDefault="00444611">
      <w:pPr>
        <w:tabs>
          <w:tab w:val="left" w:pos="7938"/>
        </w:tabs>
        <w:spacing w:before="120" w:after="120"/>
        <w:ind w:left="1134"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VII</w:t>
      </w:r>
      <w:r w:rsidRPr="009C3A3C">
        <w:rPr>
          <w:rFonts w:ascii="Palatino Linotype" w:eastAsia="Palatino Linotype" w:hAnsi="Palatino Linotype" w:cs="Palatino Linotype"/>
          <w:i/>
          <w:iCs/>
          <w:sz w:val="22"/>
          <w:szCs w:val="22"/>
        </w:rPr>
        <w:t>. Existan circunstancias extraordinarias o imprevisibles derivadas de riesgo o desastre. En este supuesto, la adquisición, arrendamiento y servicio deberá limitarse a lo estrictamente necesario para enfrentar tal eventualidad.</w:t>
      </w:r>
    </w:p>
    <w:p w14:paraId="24B52063" w14:textId="77777777" w:rsidR="00B0371D" w:rsidRPr="009C3A3C" w:rsidRDefault="00444611">
      <w:pPr>
        <w:tabs>
          <w:tab w:val="left" w:pos="7938"/>
        </w:tabs>
        <w:spacing w:before="120" w:after="120"/>
        <w:ind w:left="1134"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VIII</w:t>
      </w:r>
      <w:r w:rsidRPr="009C3A3C">
        <w:rPr>
          <w:rFonts w:ascii="Palatino Linotype" w:eastAsia="Palatino Linotype" w:hAnsi="Palatino Linotype" w:cs="Palatino Linotype"/>
          <w:i/>
          <w:iCs/>
          <w:sz w:val="22"/>
          <w:szCs w:val="22"/>
        </w:rPr>
        <w:t>. Se hubiere rescindido un contrato, por causas imputables al proveedor o que la persona que habiendo resultado ganadora en una licitación, no concurra a la suscripción del contrato dentro del plazo establecido en esta Ley. En estos supuestos, la Secretaría, la entidad, el tribunal administrativo o el ayuntamiento podrá adjudicar el contrato al licitante que haya presentado la propuesta solvente más cercana a la ganadora y así, sucesivamente. En todo caso, la diferencia de precio no deberá de ser superior al diez por ciento, respecto de la propuesta ganadora.</w:t>
      </w:r>
    </w:p>
    <w:p w14:paraId="53A82B17" w14:textId="77777777" w:rsidR="00B0371D" w:rsidRPr="009C3A3C" w:rsidRDefault="00444611">
      <w:pPr>
        <w:tabs>
          <w:tab w:val="left" w:pos="7938"/>
        </w:tabs>
        <w:spacing w:before="120" w:after="120"/>
        <w:ind w:left="1134"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IX</w:t>
      </w:r>
      <w:r w:rsidRPr="009C3A3C">
        <w:rPr>
          <w:rFonts w:ascii="Palatino Linotype" w:eastAsia="Palatino Linotype" w:hAnsi="Palatino Linotype" w:cs="Palatino Linotype"/>
          <w:i/>
          <w:iCs/>
          <w:sz w:val="22"/>
          <w:szCs w:val="22"/>
        </w:rPr>
        <w:t>. Se hubiere declarado desierto un procedimiento de invitación restringida.</w:t>
      </w:r>
    </w:p>
    <w:p w14:paraId="7589E2E0" w14:textId="77777777" w:rsidR="00B0371D" w:rsidRPr="009C3A3C" w:rsidRDefault="00444611">
      <w:pPr>
        <w:tabs>
          <w:tab w:val="left" w:pos="7938"/>
        </w:tabs>
        <w:spacing w:before="120" w:after="120"/>
        <w:ind w:left="1134"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X</w:t>
      </w:r>
      <w:r w:rsidRPr="009C3A3C">
        <w:rPr>
          <w:rFonts w:ascii="Palatino Linotype" w:eastAsia="Palatino Linotype" w:hAnsi="Palatino Linotype" w:cs="Palatino Linotype"/>
          <w:i/>
          <w:iCs/>
          <w:sz w:val="22"/>
          <w:szCs w:val="22"/>
        </w:rPr>
        <w:t>. Cuando se aseguren condiciones financieras que permitan al Estado o a los municipios cumplir con la obligación de pago de manera diferida, sin que ello implique un costo financiero adicional o que habiéndolo, sea inferior al del mercado, o</w:t>
      </w:r>
    </w:p>
    <w:p w14:paraId="45D19D31" w14:textId="77777777" w:rsidR="00B0371D" w:rsidRPr="009C3A3C" w:rsidRDefault="00444611">
      <w:pPr>
        <w:tabs>
          <w:tab w:val="left" w:pos="7938"/>
        </w:tabs>
        <w:spacing w:before="120" w:after="120"/>
        <w:ind w:left="1134"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XI</w:t>
      </w:r>
      <w:r w:rsidRPr="009C3A3C">
        <w:rPr>
          <w:rFonts w:ascii="Palatino Linotype" w:eastAsia="Palatino Linotype" w:hAnsi="Palatino Linotype" w:cs="Palatino Linotype"/>
          <w:i/>
          <w:iCs/>
          <w:sz w:val="22"/>
          <w:szCs w:val="22"/>
        </w:rPr>
        <w:t>.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w:t>
      </w:r>
    </w:p>
    <w:p w14:paraId="15883759" w14:textId="77777777" w:rsidR="00B0371D" w:rsidRPr="009C3A3C" w:rsidRDefault="00444611">
      <w:pPr>
        <w:tabs>
          <w:tab w:val="left" w:pos="7938"/>
        </w:tabs>
        <w:spacing w:before="120" w:after="120"/>
        <w:ind w:left="1134"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XII</w:t>
      </w:r>
      <w:r w:rsidRPr="009C3A3C">
        <w:rPr>
          <w:rFonts w:ascii="Palatino Linotype" w:eastAsia="Palatino Linotype" w:hAnsi="Palatino Linotype" w:cs="Palatino Linotype"/>
          <w:i/>
          <w:iCs/>
          <w:sz w:val="22"/>
          <w:szCs w:val="22"/>
        </w:rPr>
        <w:t>.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w:t>
      </w:r>
    </w:p>
    <w:p w14:paraId="25BFFCF1" w14:textId="77777777" w:rsidR="00B0371D" w:rsidRPr="009C3A3C" w:rsidRDefault="00B0371D">
      <w:pPr>
        <w:tabs>
          <w:tab w:val="left" w:pos="7938"/>
        </w:tabs>
        <w:spacing w:before="120" w:after="120"/>
        <w:ind w:left="1134" w:right="900"/>
        <w:jc w:val="both"/>
        <w:rPr>
          <w:rFonts w:ascii="Palatino Linotype" w:eastAsia="Palatino Linotype" w:hAnsi="Palatino Linotype" w:cs="Palatino Linotype"/>
          <w:i/>
          <w:iCs/>
          <w:sz w:val="22"/>
          <w:szCs w:val="22"/>
        </w:rPr>
      </w:pPr>
    </w:p>
    <w:p w14:paraId="51577873" w14:textId="77777777" w:rsidR="00B0371D" w:rsidRPr="009C3A3C" w:rsidRDefault="00444611">
      <w:pPr>
        <w:tabs>
          <w:tab w:val="left" w:pos="7938"/>
        </w:tabs>
        <w:spacing w:before="120" w:after="120"/>
        <w:ind w:left="851"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Artículo 49.-</w:t>
      </w:r>
      <w:r w:rsidRPr="009C3A3C">
        <w:rPr>
          <w:rFonts w:ascii="Palatino Linotype" w:eastAsia="Palatino Linotype" w:hAnsi="Palatino Linotype" w:cs="Palatino Linotype"/>
          <w:i/>
          <w:iCs/>
          <w:sz w:val="22"/>
          <w:szCs w:val="22"/>
        </w:rPr>
        <w:t xml:space="preserve"> El procedimiento de adjudicación directa se substanciará con arreglo a el reglamento de esta Ley.”</w:t>
      </w:r>
    </w:p>
    <w:p w14:paraId="23B4B7E2" w14:textId="77777777" w:rsidR="00B0371D" w:rsidRPr="009C3A3C" w:rsidRDefault="00444611">
      <w:pPr>
        <w:spacing w:before="240" w:after="240" w:line="360" w:lineRule="auto"/>
        <w:ind w:right="51"/>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Ahora bien, a través del cumplimiento a la obligación de transparencia señalada en la fracción XXIX del artículo 92 de la Ley de la Materia,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w:t>
      </w:r>
      <w:r w:rsidRPr="009C3A3C">
        <w:rPr>
          <w:rFonts w:ascii="Palatino Linotype" w:eastAsia="Palatino Linotype" w:hAnsi="Palatino Linotype" w:cs="Palatino Linotype"/>
          <w:b/>
          <w:bCs/>
          <w:sz w:val="22"/>
          <w:szCs w:val="22"/>
        </w:rPr>
        <w:t xml:space="preserve">incluyendo </w:t>
      </w:r>
      <w:r w:rsidRPr="009C3A3C">
        <w:rPr>
          <w:rFonts w:ascii="Palatino Linotype" w:eastAsia="Palatino Linotype" w:hAnsi="Palatino Linotype" w:cs="Palatino Linotype"/>
          <w:sz w:val="22"/>
          <w:szCs w:val="22"/>
        </w:rPr>
        <w:t>la versión pública del expediente respectivo y de</w:t>
      </w:r>
      <w:r w:rsidRPr="009C3A3C">
        <w:rPr>
          <w:rFonts w:ascii="Palatino Linotype" w:eastAsia="Palatino Linotype" w:hAnsi="Palatino Linotype" w:cs="Palatino Linotype"/>
          <w:b/>
          <w:bCs/>
          <w:sz w:val="22"/>
          <w:szCs w:val="22"/>
        </w:rPr>
        <w:t xml:space="preserve"> los contratos celebrados</w:t>
      </w:r>
      <w:r w:rsidRPr="009C3A3C">
        <w:rPr>
          <w:rFonts w:ascii="Palatino Linotype" w:eastAsia="Palatino Linotype" w:hAnsi="Palatino Linotype" w:cs="Palatino Linotype"/>
          <w:sz w:val="22"/>
          <w:szCs w:val="22"/>
        </w:rPr>
        <w:t>, a saber:</w:t>
      </w:r>
    </w:p>
    <w:p w14:paraId="66FF265A" w14:textId="77777777" w:rsidR="00B0371D" w:rsidRPr="009C3A3C" w:rsidRDefault="00444611">
      <w:pPr>
        <w:spacing w:before="120" w:after="120"/>
        <w:ind w:left="851"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 “</w:t>
      </w:r>
      <w:r w:rsidRPr="009C3A3C">
        <w:rPr>
          <w:rFonts w:ascii="Palatino Linotype" w:eastAsia="Palatino Linotype" w:hAnsi="Palatino Linotype" w:cs="Palatino Linotype"/>
          <w:b/>
          <w:bCs/>
          <w:i/>
          <w:iCs/>
          <w:sz w:val="22"/>
          <w:szCs w:val="22"/>
        </w:rPr>
        <w:t>Artículo 92</w:t>
      </w:r>
      <w:r w:rsidRPr="009C3A3C">
        <w:rPr>
          <w:rFonts w:ascii="Palatino Linotype" w:eastAsia="Palatino Linotype" w:hAnsi="Palatino Linotype" w:cs="Palatino Linotype"/>
          <w:i/>
          <w:iCs/>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6F2EF3" w14:textId="77777777" w:rsidR="00B0371D" w:rsidRPr="009C3A3C" w:rsidRDefault="00444611">
      <w:pPr>
        <w:tabs>
          <w:tab w:val="left" w:pos="426"/>
          <w:tab w:val="left" w:pos="2145"/>
        </w:tabs>
        <w:spacing w:before="120" w:after="120"/>
        <w:ind w:left="1134"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r w:rsidRPr="009C3A3C">
        <w:rPr>
          <w:rFonts w:ascii="Palatino Linotype" w:eastAsia="Palatino Linotype" w:hAnsi="Palatino Linotype" w:cs="Palatino Linotype"/>
          <w:i/>
          <w:iCs/>
          <w:sz w:val="22"/>
          <w:szCs w:val="22"/>
        </w:rPr>
        <w:tab/>
      </w:r>
    </w:p>
    <w:p w14:paraId="7568FB76" w14:textId="77777777" w:rsidR="00B0371D" w:rsidRPr="009C3A3C" w:rsidRDefault="00444611">
      <w:pPr>
        <w:tabs>
          <w:tab w:val="left" w:pos="426"/>
        </w:tabs>
        <w:spacing w:before="120" w:after="120"/>
        <w:ind w:left="1134"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XXIX.</w:t>
      </w:r>
      <w:r w:rsidRPr="009C3A3C">
        <w:rPr>
          <w:rFonts w:ascii="Palatino Linotype" w:eastAsia="Palatino Linotype" w:hAnsi="Palatino Linotype" w:cs="Palatino Linotype"/>
          <w:i/>
          <w:iCs/>
          <w:sz w:val="22"/>
          <w:szCs w:val="22"/>
        </w:rPr>
        <w:t xml:space="preserve"> La </w:t>
      </w:r>
      <w:r w:rsidRPr="009C3A3C">
        <w:rPr>
          <w:rFonts w:ascii="Palatino Linotype" w:eastAsia="Palatino Linotype" w:hAnsi="Palatino Linotype" w:cs="Palatino Linotype"/>
          <w:b/>
          <w:bCs/>
          <w:i/>
          <w:iCs/>
          <w:sz w:val="22"/>
          <w:szCs w:val="22"/>
        </w:rPr>
        <w:t xml:space="preserve">información sobre los procesos y resultados </w:t>
      </w:r>
      <w:r w:rsidRPr="009C3A3C">
        <w:rPr>
          <w:rFonts w:ascii="Palatino Linotype" w:eastAsia="Palatino Linotype" w:hAnsi="Palatino Linotype" w:cs="Palatino Linotype"/>
          <w:b/>
          <w:bCs/>
          <w:i/>
          <w:iCs/>
          <w:sz w:val="22"/>
          <w:szCs w:val="22"/>
          <w:u w:val="single"/>
        </w:rPr>
        <w:t>sobre procedimientos de adjudicación directa, invitación restringida y licitación de cualquier naturaleza</w:t>
      </w:r>
      <w:r w:rsidRPr="009C3A3C">
        <w:rPr>
          <w:rFonts w:ascii="Palatino Linotype" w:eastAsia="Palatino Linotype" w:hAnsi="Palatino Linotype" w:cs="Palatino Linotype"/>
          <w:i/>
          <w:iCs/>
          <w:sz w:val="22"/>
          <w:szCs w:val="22"/>
          <w:u w:val="single"/>
        </w:rPr>
        <w:t xml:space="preserve">, </w:t>
      </w:r>
      <w:r w:rsidRPr="009C3A3C">
        <w:rPr>
          <w:rFonts w:ascii="Palatino Linotype" w:eastAsia="Palatino Linotype" w:hAnsi="Palatino Linotype" w:cs="Palatino Linotype"/>
          <w:b/>
          <w:bCs/>
          <w:i/>
          <w:iCs/>
          <w:sz w:val="22"/>
          <w:szCs w:val="22"/>
        </w:rPr>
        <w:t>incluyendo la versión pública</w:t>
      </w:r>
      <w:r w:rsidRPr="009C3A3C">
        <w:rPr>
          <w:rFonts w:ascii="Palatino Linotype" w:eastAsia="Palatino Linotype" w:hAnsi="Palatino Linotype" w:cs="Palatino Linotype"/>
          <w:i/>
          <w:iCs/>
          <w:sz w:val="22"/>
          <w:szCs w:val="22"/>
        </w:rPr>
        <w:t xml:space="preserve"> del expediente respectivo y </w:t>
      </w:r>
      <w:r w:rsidRPr="009C3A3C">
        <w:rPr>
          <w:rFonts w:ascii="Palatino Linotype" w:eastAsia="Palatino Linotype" w:hAnsi="Palatino Linotype" w:cs="Palatino Linotype"/>
          <w:b/>
          <w:bCs/>
          <w:i/>
          <w:iCs/>
          <w:sz w:val="22"/>
          <w:szCs w:val="22"/>
        </w:rPr>
        <w:t>de los contratos celebrados</w:t>
      </w:r>
      <w:r w:rsidRPr="009C3A3C">
        <w:rPr>
          <w:rFonts w:ascii="Palatino Linotype" w:eastAsia="Palatino Linotype" w:hAnsi="Palatino Linotype" w:cs="Palatino Linotype"/>
          <w:i/>
          <w:iCs/>
          <w:sz w:val="22"/>
          <w:szCs w:val="22"/>
        </w:rPr>
        <w:t>, que deberán contener, por los menos, lo siguiente:</w:t>
      </w:r>
    </w:p>
    <w:p w14:paraId="5783E03E" w14:textId="77777777" w:rsidR="00B0371D" w:rsidRPr="009C3A3C" w:rsidRDefault="00444611">
      <w:pPr>
        <w:tabs>
          <w:tab w:val="left" w:pos="426"/>
        </w:tabs>
        <w:spacing w:before="120" w:after="120"/>
        <w:ind w:left="1418" w:right="902"/>
        <w:jc w:val="both"/>
        <w:rPr>
          <w:rFonts w:ascii="Palatino Linotype" w:eastAsia="Palatino Linotype" w:hAnsi="Palatino Linotype" w:cs="Palatino Linotype"/>
          <w:b/>
          <w:bCs/>
          <w:i/>
          <w:iCs/>
          <w:sz w:val="22"/>
          <w:szCs w:val="22"/>
        </w:rPr>
      </w:pPr>
      <w:r w:rsidRPr="009C3A3C">
        <w:rPr>
          <w:rFonts w:ascii="Palatino Linotype" w:eastAsia="Palatino Linotype" w:hAnsi="Palatino Linotype" w:cs="Palatino Linotype"/>
          <w:b/>
          <w:bCs/>
          <w:i/>
          <w:iCs/>
          <w:sz w:val="22"/>
          <w:szCs w:val="22"/>
        </w:rPr>
        <w:t>a) De licitaciones públicas o procedimientos de invitación restringida:</w:t>
      </w:r>
    </w:p>
    <w:p w14:paraId="793E8675" w14:textId="77777777" w:rsidR="00B0371D" w:rsidRPr="009C3A3C" w:rsidRDefault="00444611">
      <w:pPr>
        <w:tabs>
          <w:tab w:val="left" w:pos="426"/>
        </w:tabs>
        <w:spacing w:before="120" w:after="120"/>
        <w:ind w:left="1701" w:right="902"/>
        <w:jc w:val="both"/>
        <w:rPr>
          <w:rFonts w:ascii="Palatino Linotype" w:eastAsia="Palatino Linotype" w:hAnsi="Palatino Linotype" w:cs="Palatino Linotype"/>
          <w:b/>
          <w:bCs/>
          <w:i/>
          <w:iCs/>
          <w:sz w:val="22"/>
          <w:szCs w:val="22"/>
        </w:rPr>
      </w:pPr>
      <w:r w:rsidRPr="009C3A3C">
        <w:rPr>
          <w:rFonts w:ascii="Palatino Linotype" w:eastAsia="Palatino Linotype" w:hAnsi="Palatino Linotype" w:cs="Palatino Linotype"/>
          <w:b/>
          <w:bCs/>
          <w:i/>
          <w:iCs/>
          <w:sz w:val="22"/>
          <w:szCs w:val="22"/>
        </w:rPr>
        <w:t>...</w:t>
      </w:r>
    </w:p>
    <w:p w14:paraId="6EB931D5" w14:textId="77777777" w:rsidR="00B0371D" w:rsidRPr="009C3A3C" w:rsidRDefault="00444611">
      <w:pPr>
        <w:tabs>
          <w:tab w:val="left" w:pos="426"/>
        </w:tabs>
        <w:spacing w:before="120" w:after="120"/>
        <w:ind w:left="1701"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7</w:t>
      </w:r>
      <w:r w:rsidRPr="009C3A3C">
        <w:rPr>
          <w:rFonts w:ascii="Palatino Linotype" w:eastAsia="Palatino Linotype" w:hAnsi="Palatino Linotype" w:cs="Palatino Linotype"/>
          <w:i/>
          <w:iCs/>
          <w:sz w:val="22"/>
          <w:szCs w:val="22"/>
        </w:rPr>
        <w:t xml:space="preserve">) El contrato y, en su caso, sus anexos; </w:t>
      </w:r>
    </w:p>
    <w:p w14:paraId="51B9B7FB" w14:textId="77777777" w:rsidR="00B0371D" w:rsidRPr="009C3A3C" w:rsidRDefault="00444611">
      <w:pPr>
        <w:tabs>
          <w:tab w:val="left" w:pos="426"/>
        </w:tabs>
        <w:spacing w:before="120" w:after="120"/>
        <w:ind w:left="1418" w:right="902"/>
        <w:jc w:val="both"/>
        <w:rPr>
          <w:rFonts w:ascii="Palatino Linotype" w:eastAsia="Palatino Linotype" w:hAnsi="Palatino Linotype" w:cs="Palatino Linotype"/>
          <w:b/>
          <w:bCs/>
          <w:i/>
          <w:iCs/>
          <w:sz w:val="22"/>
          <w:szCs w:val="22"/>
        </w:rPr>
      </w:pPr>
      <w:r w:rsidRPr="009C3A3C">
        <w:rPr>
          <w:rFonts w:ascii="Palatino Linotype" w:eastAsia="Palatino Linotype" w:hAnsi="Palatino Linotype" w:cs="Palatino Linotype"/>
          <w:b/>
          <w:bCs/>
          <w:i/>
          <w:iCs/>
          <w:sz w:val="22"/>
          <w:szCs w:val="22"/>
        </w:rPr>
        <w:t>...</w:t>
      </w:r>
    </w:p>
    <w:p w14:paraId="359D8898" w14:textId="555E4EA3" w:rsidR="00B0371D" w:rsidRPr="009C3A3C" w:rsidRDefault="00444611" w:rsidP="00A2621E">
      <w:pP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De 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los contratos celebrado</w:t>
      </w:r>
      <w:r w:rsidR="00A2621E" w:rsidRPr="009C3A3C">
        <w:rPr>
          <w:rFonts w:ascii="Palatino Linotype" w:eastAsia="Palatino Linotype" w:hAnsi="Palatino Linotype" w:cs="Palatino Linotype"/>
          <w:sz w:val="22"/>
          <w:szCs w:val="22"/>
        </w:rPr>
        <w:t xml:space="preserve">s. </w:t>
      </w:r>
    </w:p>
    <w:p w14:paraId="778E030F" w14:textId="77777777" w:rsidR="00B0371D" w:rsidRPr="009C3A3C" w:rsidRDefault="00444611">
      <w:pPr>
        <w:spacing w:before="240" w:after="240" w:line="360" w:lineRule="auto"/>
        <w:ind w:right="51"/>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Por ende,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vigentes a la fecha de la solicitud, para el cumplimiento de la obligación de transparencia señalada, los sujetos obligados deben publicar información sobre los actos, </w:t>
      </w:r>
      <w:r w:rsidRPr="009C3A3C">
        <w:rPr>
          <w:rFonts w:ascii="Palatino Linotype" w:eastAsia="Palatino Linotype" w:hAnsi="Palatino Linotype" w:cs="Palatino Linotype"/>
          <w:b/>
          <w:bCs/>
          <w:sz w:val="22"/>
          <w:szCs w:val="22"/>
        </w:rPr>
        <w:t>contratos</w:t>
      </w:r>
      <w:r w:rsidRPr="009C3A3C">
        <w:rPr>
          <w:rFonts w:ascii="Palatino Linotype" w:eastAsia="Palatino Linotype" w:hAnsi="Palatino Linotype" w:cs="Palatino Linotype"/>
          <w:sz w:val="22"/>
          <w:szCs w:val="22"/>
        </w:rPr>
        <w:t xml:space="preserve"> y convenios celebrados, misma que </w:t>
      </w:r>
      <w:r w:rsidRPr="009C3A3C">
        <w:rPr>
          <w:rFonts w:ascii="Palatino Linotype" w:eastAsia="Palatino Linotype" w:hAnsi="Palatino Linotype" w:cs="Palatino Linotype"/>
          <w:b/>
          <w:bCs/>
          <w:sz w:val="22"/>
          <w:szCs w:val="22"/>
        </w:rPr>
        <w:t>debe presentarse en una base de datos en la que cada registro se hará por tipo de procedimiento, ya sea licitación pública, invitación restringida o adjudicación directa,</w:t>
      </w:r>
      <w:r w:rsidRPr="009C3A3C">
        <w:rPr>
          <w:rFonts w:ascii="Palatino Linotype" w:eastAsia="Palatino Linotype" w:hAnsi="Palatino Linotype" w:cs="Palatino Linotype"/>
          <w:sz w:val="22"/>
          <w:szCs w:val="22"/>
        </w:rPr>
        <w:t xml:space="preserve"> especificando para cada tipo de procedimiento la materia, pudiendo ser obra pública, servicios relacionados con obra pública, </w:t>
      </w:r>
      <w:r w:rsidRPr="009C3A3C">
        <w:rPr>
          <w:rFonts w:ascii="Palatino Linotype" w:eastAsia="Palatino Linotype" w:hAnsi="Palatino Linotype" w:cs="Palatino Linotype"/>
          <w:b/>
          <w:bCs/>
          <w:sz w:val="22"/>
          <w:szCs w:val="22"/>
        </w:rPr>
        <w:t>arrendamiento,</w:t>
      </w:r>
      <w:r w:rsidRPr="009C3A3C">
        <w:rPr>
          <w:rFonts w:ascii="Palatino Linotype" w:eastAsia="Palatino Linotype" w:hAnsi="Palatino Linotype" w:cs="Palatino Linotype"/>
          <w:sz w:val="22"/>
          <w:szCs w:val="22"/>
        </w:rPr>
        <w:t xml:space="preserve"> adquisiciones, o servicios, así como el carácter de cada uno, es decir, nacional o internacional, además se debe elaborar versión pública los documentos fuente que deban ser publicados en este apartado, tales como </w:t>
      </w:r>
      <w:r w:rsidRPr="009C3A3C">
        <w:rPr>
          <w:rFonts w:ascii="Palatino Linotype" w:eastAsia="Palatino Linotype" w:hAnsi="Palatino Linotype" w:cs="Palatino Linotype"/>
          <w:b/>
          <w:bCs/>
          <w:sz w:val="22"/>
          <w:szCs w:val="22"/>
        </w:rPr>
        <w:t>contratos</w:t>
      </w:r>
      <w:r w:rsidRPr="009C3A3C">
        <w:rPr>
          <w:rFonts w:ascii="Palatino Linotype" w:eastAsia="Palatino Linotype" w:hAnsi="Palatino Linotype" w:cs="Palatino Linotype"/>
          <w:sz w:val="22"/>
          <w:szCs w:val="22"/>
        </w:rPr>
        <w:t>,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14:paraId="433BEF3D" w14:textId="6198DD1E" w:rsidR="004E4628"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Lo anterior, demuestra la fuente obligacional del Sujeto Obligado para contar con contratos por la adquisición de los bienes y servicios que requiera el Ayuntamiento. </w:t>
      </w:r>
    </w:p>
    <w:p w14:paraId="1084BB92" w14:textId="781E5852" w:rsidR="004E4628" w:rsidRPr="009C3A3C" w:rsidRDefault="004E4628">
      <w:pPr>
        <w:spacing w:line="360" w:lineRule="auto"/>
        <w:jc w:val="both"/>
        <w:rPr>
          <w:rFonts w:ascii="Palatino Linotype" w:eastAsia="Palatino Linotype" w:hAnsi="Palatino Linotype" w:cs="Palatino Linotype"/>
          <w:sz w:val="22"/>
          <w:szCs w:val="22"/>
        </w:rPr>
      </w:pPr>
    </w:p>
    <w:p w14:paraId="3F2F31A8" w14:textId="39587502" w:rsidR="00630E62" w:rsidRPr="009C3A3C" w:rsidRDefault="00630E62">
      <w:pPr>
        <w:spacing w:line="360" w:lineRule="auto"/>
        <w:jc w:val="both"/>
        <w:rPr>
          <w:rFonts w:ascii="Palatino Linotype" w:hAnsi="Palatino Linotype"/>
          <w:sz w:val="22"/>
          <w:szCs w:val="22"/>
        </w:rPr>
      </w:pPr>
      <w:r w:rsidRPr="009C3A3C">
        <w:rPr>
          <w:rFonts w:ascii="Palatino Linotype" w:hAnsi="Palatino Linotype"/>
          <w:sz w:val="22"/>
          <w:szCs w:val="22"/>
        </w:rPr>
        <w:t xml:space="preserve">Ahora bien, en lo que compete al </w:t>
      </w:r>
      <w:r w:rsidRPr="009C3A3C">
        <w:rPr>
          <w:rFonts w:ascii="Palatino Linotype" w:hAnsi="Palatino Linotype"/>
          <w:b/>
          <w:bCs/>
          <w:sz w:val="22"/>
          <w:szCs w:val="22"/>
        </w:rPr>
        <w:t>Sujeto Obligado</w:t>
      </w:r>
      <w:r w:rsidRPr="009C3A3C">
        <w:rPr>
          <w:rFonts w:ascii="Palatino Linotype" w:hAnsi="Palatino Linotype"/>
          <w:sz w:val="22"/>
          <w:szCs w:val="22"/>
        </w:rPr>
        <w:t xml:space="preserve">, el Manual General de Organización del Ayuntamiento de Tianguistenco, establece que se auxiliara de la Dirección de Administración cuyo objetivo es Vigilar y coordinar que la administración de los recursos materiales, humanos y servicios se apliquen de acuerdo a los lineamientos, reglas de operación, normatividad vigente y procedimientos establecidos, a través de las coordinaciones que conforman la dirección a fin de lograr la optimización de los recursos para el logro de las mejores condiciones de oportunidad, eficiencia y calidad, bajo un esquema de racionalidad. </w:t>
      </w:r>
    </w:p>
    <w:p w14:paraId="118DA399" w14:textId="01C9DE35" w:rsidR="00630E62" w:rsidRPr="009C3A3C" w:rsidRDefault="00630E62">
      <w:pPr>
        <w:spacing w:line="360" w:lineRule="auto"/>
        <w:jc w:val="both"/>
        <w:rPr>
          <w:rFonts w:ascii="Palatino Linotype" w:hAnsi="Palatino Linotype"/>
          <w:sz w:val="22"/>
          <w:szCs w:val="22"/>
        </w:rPr>
      </w:pPr>
    </w:p>
    <w:p w14:paraId="385E3E84" w14:textId="6E6041E0" w:rsidR="00630E62" w:rsidRPr="009C3A3C" w:rsidRDefault="00630E62">
      <w:pPr>
        <w:spacing w:line="360" w:lineRule="auto"/>
        <w:jc w:val="both"/>
        <w:rPr>
          <w:rFonts w:ascii="Palatino Linotype" w:hAnsi="Palatino Linotype"/>
          <w:sz w:val="22"/>
          <w:szCs w:val="22"/>
        </w:rPr>
      </w:pPr>
      <w:r w:rsidRPr="009C3A3C">
        <w:rPr>
          <w:rFonts w:ascii="Palatino Linotype" w:hAnsi="Palatino Linotype"/>
          <w:sz w:val="22"/>
          <w:szCs w:val="22"/>
        </w:rPr>
        <w:t xml:space="preserve">Asimismo, dentro de sus funciones se encuentran: </w:t>
      </w:r>
    </w:p>
    <w:p w14:paraId="7DCC225C" w14:textId="1B4F2A85" w:rsidR="00EF429E" w:rsidRPr="009C3A3C" w:rsidRDefault="00EF429E">
      <w:pPr>
        <w:spacing w:line="360" w:lineRule="auto"/>
        <w:jc w:val="both"/>
        <w:rPr>
          <w:rFonts w:ascii="Palatino Linotype" w:hAnsi="Palatino Linotype"/>
          <w:sz w:val="22"/>
          <w:szCs w:val="22"/>
        </w:rPr>
      </w:pPr>
    </w:p>
    <w:p w14:paraId="1977A903" w14:textId="09F59350" w:rsidR="00630E62" w:rsidRPr="009C3A3C" w:rsidRDefault="00EF429E" w:rsidP="00EF429E">
      <w:pPr>
        <w:spacing w:line="360" w:lineRule="auto"/>
        <w:ind w:left="567" w:right="560"/>
        <w:jc w:val="both"/>
        <w:rPr>
          <w:rFonts w:ascii="Palatino Linotype" w:hAnsi="Palatino Linotype"/>
          <w:i/>
          <w:iCs/>
          <w:sz w:val="22"/>
          <w:szCs w:val="22"/>
        </w:rPr>
      </w:pPr>
      <w:r w:rsidRPr="009C3A3C">
        <w:rPr>
          <w:rFonts w:ascii="Palatino Linotype" w:hAnsi="Palatino Linotype"/>
          <w:i/>
          <w:iCs/>
          <w:sz w:val="22"/>
          <w:szCs w:val="22"/>
        </w:rPr>
        <w:t>5. Coordinar las acciones para la conformación del Programa Anual de Adquisiciones y el Programa de Mantenimiento Preventivo de los Bienes Muebles e Inmuebles del Ayuntamiento, así como establecer los mecanismos que permitan llevar a cabo su seguimiento y control;</w:t>
      </w:r>
    </w:p>
    <w:p w14:paraId="5F706B8A" w14:textId="77777777" w:rsidR="00EF429E" w:rsidRPr="009C3A3C" w:rsidRDefault="00EF429E" w:rsidP="00EF429E">
      <w:pPr>
        <w:spacing w:line="360" w:lineRule="auto"/>
        <w:ind w:left="567" w:right="560"/>
        <w:jc w:val="both"/>
        <w:rPr>
          <w:rFonts w:ascii="Palatino Linotype" w:hAnsi="Palatino Linotype"/>
          <w:i/>
          <w:iCs/>
          <w:sz w:val="22"/>
          <w:szCs w:val="22"/>
        </w:rPr>
      </w:pPr>
      <w:r w:rsidRPr="009C3A3C">
        <w:rPr>
          <w:rFonts w:ascii="Palatino Linotype" w:hAnsi="Palatino Linotype"/>
          <w:i/>
          <w:iCs/>
          <w:sz w:val="22"/>
          <w:szCs w:val="22"/>
        </w:rPr>
        <w:t xml:space="preserve">6. Supervisar la integración correcta y completa de los expedientes relativos a los procedimientos adquisitivos generados en los departamentos hasta su envío a la Tesorería Municipal para el trámite de pago, de acuerdo con las normas aplicables en la materia;  </w:t>
      </w:r>
    </w:p>
    <w:p w14:paraId="2D212A46" w14:textId="76DA67DE" w:rsidR="00EF429E" w:rsidRPr="009C3A3C" w:rsidRDefault="00EF429E" w:rsidP="00EF429E">
      <w:pPr>
        <w:spacing w:line="360" w:lineRule="auto"/>
        <w:ind w:left="567" w:right="560"/>
        <w:jc w:val="both"/>
        <w:rPr>
          <w:rFonts w:ascii="Palatino Linotype" w:hAnsi="Palatino Linotype"/>
          <w:i/>
          <w:iCs/>
          <w:sz w:val="22"/>
          <w:szCs w:val="22"/>
        </w:rPr>
      </w:pPr>
      <w:r w:rsidRPr="009C3A3C">
        <w:rPr>
          <w:rFonts w:ascii="Palatino Linotype" w:hAnsi="Palatino Linotype"/>
          <w:i/>
          <w:iCs/>
          <w:sz w:val="22"/>
          <w:szCs w:val="22"/>
        </w:rPr>
        <w:t>7. Supervisar el cumplimiento de las normas y disposiciones legales en materia de adquisiciones de bienes o contratación de servicios;</w:t>
      </w:r>
    </w:p>
    <w:p w14:paraId="60F0819C" w14:textId="77777777" w:rsidR="00EF429E" w:rsidRPr="009C3A3C" w:rsidRDefault="00EF429E" w:rsidP="00EF429E">
      <w:pPr>
        <w:spacing w:line="360" w:lineRule="auto"/>
        <w:ind w:left="567" w:right="560"/>
        <w:jc w:val="both"/>
        <w:rPr>
          <w:rFonts w:ascii="Palatino Linotype" w:hAnsi="Palatino Linotype"/>
          <w:i/>
          <w:iCs/>
          <w:sz w:val="22"/>
          <w:szCs w:val="22"/>
        </w:rPr>
      </w:pPr>
      <w:r w:rsidRPr="009C3A3C">
        <w:rPr>
          <w:rFonts w:ascii="Palatino Linotype" w:hAnsi="Palatino Linotype"/>
          <w:i/>
          <w:iCs/>
          <w:sz w:val="22"/>
          <w:szCs w:val="22"/>
        </w:rPr>
        <w:t xml:space="preserve">8. Dirigir, coordinar, controlar, supervisar y ejecutar las acciones para cumplir con los procedimientos de adquisiciones y contratación de servicios;  </w:t>
      </w:r>
    </w:p>
    <w:p w14:paraId="33CFAE94" w14:textId="786BF705" w:rsidR="00EF429E" w:rsidRPr="009C3A3C" w:rsidRDefault="00EF429E" w:rsidP="00EF429E">
      <w:pPr>
        <w:spacing w:line="360" w:lineRule="auto"/>
        <w:ind w:left="567" w:right="560"/>
        <w:jc w:val="both"/>
        <w:rPr>
          <w:rFonts w:ascii="Palatino Linotype" w:hAnsi="Palatino Linotype"/>
          <w:i/>
          <w:iCs/>
          <w:sz w:val="22"/>
          <w:szCs w:val="22"/>
        </w:rPr>
      </w:pPr>
      <w:r w:rsidRPr="009C3A3C">
        <w:rPr>
          <w:rFonts w:ascii="Palatino Linotype" w:hAnsi="Palatino Linotype"/>
          <w:i/>
          <w:iCs/>
          <w:sz w:val="22"/>
          <w:szCs w:val="22"/>
        </w:rPr>
        <w:t>9. Coordinar la celebración de concursos y contratos para la adquisición de bienes o contratación de servicios necesarios para el desarrollo y cumplimiento de las funciones de las dependencias del Ayuntamiento;</w:t>
      </w:r>
    </w:p>
    <w:p w14:paraId="5206772C" w14:textId="05A93530" w:rsidR="00630E62" w:rsidRPr="009C3A3C" w:rsidRDefault="00630E62">
      <w:pPr>
        <w:spacing w:line="360" w:lineRule="auto"/>
        <w:jc w:val="both"/>
        <w:rPr>
          <w:rFonts w:ascii="Palatino Linotype" w:eastAsia="Palatino Linotype" w:hAnsi="Palatino Linotype" w:cs="Palatino Linotype"/>
          <w:sz w:val="22"/>
          <w:szCs w:val="22"/>
        </w:rPr>
      </w:pPr>
    </w:p>
    <w:p w14:paraId="476A1B0C" w14:textId="3D7E7718" w:rsidR="00EF429E" w:rsidRPr="009C3A3C" w:rsidRDefault="00EF429E">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Dicha Para el cumplimiento de sus atribuciones cuenta con la COORDINACIÓN DE RECURSOS MATERIALES Y SERVICIOS, que es la encargada de: </w:t>
      </w:r>
    </w:p>
    <w:p w14:paraId="37ABA65E" w14:textId="4F1A2509" w:rsidR="00EF429E" w:rsidRPr="009C3A3C" w:rsidRDefault="00EF429E">
      <w:pPr>
        <w:spacing w:line="360" w:lineRule="auto"/>
        <w:jc w:val="both"/>
        <w:rPr>
          <w:rFonts w:ascii="Palatino Linotype" w:eastAsia="Palatino Linotype" w:hAnsi="Palatino Linotype" w:cs="Palatino Linotype"/>
          <w:sz w:val="22"/>
          <w:szCs w:val="22"/>
        </w:rPr>
      </w:pPr>
    </w:p>
    <w:p w14:paraId="390BAFA6" w14:textId="6E33B284" w:rsidR="00EF429E" w:rsidRPr="009C3A3C" w:rsidRDefault="00EF429E" w:rsidP="00EF429E">
      <w:pPr>
        <w:spacing w:line="360" w:lineRule="auto"/>
        <w:ind w:left="567" w:right="843"/>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17. Llevar a cabo las adquisiciones de bienes y la contratación de servicios que requieran las distintas áreas ajustándose a las decisiones del Comité de Adquisiciones y Servicios, vigilando su cumplimiento, en estricto apego a las disposiciones legales de la materia;</w:t>
      </w:r>
    </w:p>
    <w:p w14:paraId="505466C4" w14:textId="0F478B3D" w:rsidR="00EF429E" w:rsidRPr="009C3A3C" w:rsidRDefault="00EF429E" w:rsidP="00EF429E">
      <w:pPr>
        <w:spacing w:line="360" w:lineRule="auto"/>
        <w:ind w:left="567" w:right="843"/>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19. Elaborar los contratos de adquisición de bienes y/o contratación de servicios derivados de los procedimientos adquisitivos del Comité de Adquisiciones y Servicios;</w:t>
      </w:r>
    </w:p>
    <w:p w14:paraId="46B54FBE" w14:textId="40537221" w:rsidR="00EF429E" w:rsidRPr="009C3A3C" w:rsidRDefault="00EF429E" w:rsidP="00EF429E">
      <w:pPr>
        <w:spacing w:line="360" w:lineRule="auto"/>
        <w:ind w:left="567" w:right="843"/>
        <w:jc w:val="both"/>
        <w:rPr>
          <w:rFonts w:ascii="Palatino Linotype" w:eastAsia="Palatino Linotype" w:hAnsi="Palatino Linotype" w:cs="Palatino Linotype"/>
          <w:b/>
          <w:bCs/>
          <w:i/>
          <w:iCs/>
          <w:sz w:val="22"/>
          <w:szCs w:val="22"/>
          <w:u w:val="single"/>
        </w:rPr>
      </w:pPr>
      <w:r w:rsidRPr="009C3A3C">
        <w:rPr>
          <w:rFonts w:ascii="Palatino Linotype" w:eastAsia="Palatino Linotype" w:hAnsi="Palatino Linotype" w:cs="Palatino Linotype"/>
          <w:b/>
          <w:bCs/>
          <w:i/>
          <w:iCs/>
          <w:sz w:val="22"/>
          <w:szCs w:val="22"/>
          <w:u w:val="single"/>
        </w:rPr>
        <w:t>23. Administrar y llevar el seguimiento de los servicios de arrendamiento de bienes muebles e inmuebles contratados para las dependencias;</w:t>
      </w:r>
    </w:p>
    <w:p w14:paraId="4BFDB39B" w14:textId="77777777" w:rsidR="00EF429E" w:rsidRPr="009C3A3C" w:rsidRDefault="00EF429E" w:rsidP="00EF429E">
      <w:pPr>
        <w:pStyle w:val="NormalWeb"/>
        <w:spacing w:before="0" w:beforeAutospacing="0" w:after="0" w:afterAutospacing="0"/>
        <w:ind w:right="-93"/>
        <w:jc w:val="both"/>
        <w:rPr>
          <w:rFonts w:ascii="Palatino Linotype" w:hAnsi="Palatino Linotype"/>
          <w:sz w:val="22"/>
          <w:szCs w:val="22"/>
        </w:rPr>
      </w:pPr>
    </w:p>
    <w:p w14:paraId="6C61108F" w14:textId="5D6CA9AA" w:rsidR="00EF429E" w:rsidRPr="009C3A3C" w:rsidRDefault="00EF429E" w:rsidP="00EF429E">
      <w:pPr>
        <w:pStyle w:val="NormalWeb"/>
        <w:spacing w:before="0" w:beforeAutospacing="0" w:after="0" w:afterAutospacing="0" w:line="360" w:lineRule="auto"/>
        <w:ind w:right="-93"/>
        <w:jc w:val="both"/>
        <w:rPr>
          <w:rFonts w:ascii="Palatino Linotype" w:hAnsi="Palatino Linotype"/>
          <w:sz w:val="22"/>
          <w:szCs w:val="22"/>
        </w:rPr>
      </w:pPr>
      <w:r w:rsidRPr="009C3A3C">
        <w:rPr>
          <w:rFonts w:ascii="Palatino Linotype" w:hAnsi="Palatino Linotype"/>
          <w:sz w:val="22"/>
          <w:szCs w:val="22"/>
        </w:rPr>
        <w:t xml:space="preserve">Correlativo a lo anterior, es necesario precisar que de las constancias que obran en el expediente se logra vislumbrar que el </w:t>
      </w:r>
      <w:r w:rsidRPr="009C3A3C">
        <w:rPr>
          <w:rFonts w:ascii="Palatino Linotype" w:hAnsi="Palatino Linotype"/>
          <w:b/>
          <w:bCs/>
          <w:sz w:val="22"/>
          <w:szCs w:val="22"/>
        </w:rPr>
        <w:t>Sujeto Obligado</w:t>
      </w:r>
      <w:r w:rsidRPr="009C3A3C">
        <w:rPr>
          <w:rFonts w:ascii="Palatino Linotype" w:hAnsi="Palatino Linotype"/>
          <w:sz w:val="22"/>
          <w:szCs w:val="22"/>
        </w:rPr>
        <w:t>, turnó la solicitud de información a la unidad administrativa competente, a saber la Dirección de Administración, por lo que,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 </w:t>
      </w:r>
    </w:p>
    <w:p w14:paraId="62C52520" w14:textId="3BB1E360" w:rsidR="00EF429E" w:rsidRPr="009C3A3C" w:rsidRDefault="00EF429E" w:rsidP="00EF429E">
      <w:pPr>
        <w:spacing w:line="360" w:lineRule="auto"/>
        <w:rPr>
          <w:rFonts w:ascii="Palatino Linotype" w:hAnsi="Palatino Linotype"/>
          <w:sz w:val="22"/>
          <w:szCs w:val="22"/>
        </w:rPr>
      </w:pPr>
    </w:p>
    <w:p w14:paraId="402E1B1C" w14:textId="77777777" w:rsidR="00EF429E" w:rsidRPr="009C3A3C" w:rsidRDefault="00EF429E" w:rsidP="00EF429E">
      <w:pPr>
        <w:pStyle w:val="NormalWeb"/>
        <w:numPr>
          <w:ilvl w:val="0"/>
          <w:numId w:val="11"/>
        </w:numPr>
        <w:spacing w:before="0" w:beforeAutospacing="0" w:after="0" w:afterAutospacing="0" w:line="360" w:lineRule="auto"/>
        <w:ind w:left="567" w:right="560"/>
        <w:jc w:val="both"/>
        <w:textAlignment w:val="baseline"/>
        <w:rPr>
          <w:rFonts w:ascii="Palatino Linotype" w:hAnsi="Palatino Linotype"/>
          <w:sz w:val="22"/>
          <w:szCs w:val="22"/>
        </w:rPr>
      </w:pPr>
      <w:r w:rsidRPr="009C3A3C">
        <w:rPr>
          <w:rFonts w:ascii="Palatino Linotype" w:hAnsi="Palatino Linotype"/>
          <w:sz w:val="22"/>
          <w:szCs w:val="22"/>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3D2DCE2" w14:textId="326CA3AE" w:rsidR="00EF429E" w:rsidRPr="009C3A3C" w:rsidRDefault="00EF429E" w:rsidP="00EF429E">
      <w:pPr>
        <w:spacing w:line="360" w:lineRule="auto"/>
        <w:rPr>
          <w:rFonts w:ascii="Palatino Linotype" w:hAnsi="Palatino Linotype"/>
          <w:sz w:val="22"/>
          <w:szCs w:val="22"/>
        </w:rPr>
      </w:pPr>
    </w:p>
    <w:p w14:paraId="0B70B088" w14:textId="77777777" w:rsidR="00EF429E" w:rsidRPr="009C3A3C" w:rsidRDefault="00EF429E" w:rsidP="00EF429E">
      <w:pPr>
        <w:pStyle w:val="NormalWeb"/>
        <w:numPr>
          <w:ilvl w:val="0"/>
          <w:numId w:val="12"/>
        </w:numPr>
        <w:spacing w:before="0" w:beforeAutospacing="0" w:after="0" w:afterAutospacing="0" w:line="360" w:lineRule="auto"/>
        <w:ind w:left="567" w:right="560"/>
        <w:jc w:val="both"/>
        <w:textAlignment w:val="baseline"/>
        <w:rPr>
          <w:rFonts w:ascii="Palatino Linotype" w:hAnsi="Palatino Linotype"/>
          <w:sz w:val="22"/>
          <w:szCs w:val="22"/>
        </w:rPr>
      </w:pPr>
      <w:r w:rsidRPr="009C3A3C">
        <w:rPr>
          <w:rFonts w:ascii="Palatino Linotype" w:hAnsi="Palatino Linotype"/>
          <w:sz w:val="22"/>
          <w:szCs w:val="22"/>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7D31107E" w14:textId="77777777" w:rsidR="00EF429E" w:rsidRPr="009C3A3C" w:rsidRDefault="00EF429E" w:rsidP="00EF429E">
      <w:pPr>
        <w:spacing w:line="360" w:lineRule="auto"/>
        <w:rPr>
          <w:rFonts w:ascii="Palatino Linotype" w:hAnsi="Palatino Linotype"/>
          <w:sz w:val="22"/>
          <w:szCs w:val="22"/>
        </w:rPr>
      </w:pPr>
    </w:p>
    <w:p w14:paraId="5E52AFBA" w14:textId="77777777" w:rsidR="00EF429E" w:rsidRPr="009C3A3C" w:rsidRDefault="00EF429E" w:rsidP="00EF429E">
      <w:pPr>
        <w:pStyle w:val="NormalWeb"/>
        <w:spacing w:before="0" w:beforeAutospacing="0" w:after="0" w:afterAutospacing="0" w:line="360" w:lineRule="auto"/>
        <w:ind w:right="49"/>
        <w:jc w:val="both"/>
        <w:rPr>
          <w:rFonts w:ascii="Palatino Linotype" w:hAnsi="Palatino Linotype"/>
          <w:sz w:val="22"/>
          <w:szCs w:val="22"/>
        </w:rPr>
      </w:pPr>
      <w:r w:rsidRPr="009C3A3C">
        <w:rPr>
          <w:rFonts w:ascii="Palatino Linotype" w:hAnsi="Palatino Linotype"/>
          <w:sz w:val="22"/>
          <w:szCs w:val="22"/>
        </w:rPr>
        <w:t xml:space="preserve">Así y conforme a lo establecido en párrafos anteriores, el </w:t>
      </w:r>
      <w:r w:rsidRPr="009C3A3C">
        <w:rPr>
          <w:rFonts w:ascii="Palatino Linotype" w:hAnsi="Palatino Linotype"/>
          <w:b/>
          <w:bCs/>
          <w:sz w:val="22"/>
          <w:szCs w:val="22"/>
        </w:rPr>
        <w:t>Sujeto Obligado</w:t>
      </w:r>
      <w:r w:rsidRPr="009C3A3C">
        <w:rPr>
          <w:rFonts w:ascii="Palatino Linotype" w:hAnsi="Palatino Linotype"/>
          <w:sz w:val="22"/>
          <w:szCs w:val="22"/>
        </w:rPr>
        <w:t xml:space="preserve"> cumplió con el procedimiento de búsqueda establecido en el artículo 162 de la Ley de Transparencia y Acceso a la Información Pública del Estado de México y Municipios, al gestionar el requerimiento de información al área competente para conocer de lo peticionado. </w:t>
      </w:r>
    </w:p>
    <w:p w14:paraId="209609D1" w14:textId="77777777" w:rsidR="00EF429E" w:rsidRPr="009C3A3C" w:rsidRDefault="00EF429E" w:rsidP="00EF429E">
      <w:pPr>
        <w:spacing w:line="360" w:lineRule="auto"/>
        <w:jc w:val="both"/>
        <w:rPr>
          <w:rFonts w:ascii="Palatino Linotype" w:eastAsia="Palatino Linotype" w:hAnsi="Palatino Linotype" w:cs="Palatino Linotype"/>
          <w:sz w:val="22"/>
          <w:szCs w:val="22"/>
        </w:rPr>
      </w:pPr>
    </w:p>
    <w:p w14:paraId="763FD591" w14:textId="285F56E6" w:rsidR="004E4628" w:rsidRPr="009C3A3C" w:rsidRDefault="00444611" w:rsidP="004E4628">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Ahora bien, </w:t>
      </w:r>
      <w:r w:rsidR="00EF429E" w:rsidRPr="009C3A3C">
        <w:rPr>
          <w:rFonts w:ascii="Palatino Linotype" w:hAnsi="Palatino Linotype"/>
          <w:sz w:val="22"/>
          <w:szCs w:val="22"/>
        </w:rPr>
        <w:t xml:space="preserve">en relación con los agravios hechos valer por la parte </w:t>
      </w:r>
      <w:r w:rsidR="00EF429E" w:rsidRPr="009C3A3C">
        <w:rPr>
          <w:rFonts w:ascii="Palatino Linotype" w:hAnsi="Palatino Linotype"/>
          <w:b/>
          <w:bCs/>
          <w:sz w:val="22"/>
          <w:szCs w:val="22"/>
        </w:rPr>
        <w:t>Recurrente</w:t>
      </w:r>
      <w:r w:rsidR="00EF429E" w:rsidRPr="009C3A3C">
        <w:rPr>
          <w:rFonts w:ascii="Palatino Linotype" w:hAnsi="Palatino Linotype"/>
          <w:sz w:val="22"/>
          <w:szCs w:val="22"/>
        </w:rPr>
        <w:t xml:space="preserve">; se advierte que, en respuesta </w:t>
      </w:r>
      <w:r w:rsidRPr="009C3A3C">
        <w:rPr>
          <w:rFonts w:ascii="Palatino Linotype" w:eastAsia="Palatino Linotype" w:hAnsi="Palatino Linotype" w:cs="Palatino Linotype"/>
          <w:sz w:val="22"/>
          <w:szCs w:val="22"/>
        </w:rPr>
        <w:t>el Sujeto Obligado</w:t>
      </w:r>
      <w:r w:rsidR="00A2621E" w:rsidRPr="009C3A3C">
        <w:rPr>
          <w:rFonts w:ascii="Palatino Linotype" w:eastAsia="Palatino Linotype" w:hAnsi="Palatino Linotype" w:cs="Palatino Linotype"/>
          <w:sz w:val="22"/>
          <w:szCs w:val="22"/>
        </w:rPr>
        <w:t xml:space="preserve"> se limitó a citar fundamento legal y criterios emitidos por el entonces IFAI; sin pronunciarse con claridad y precisión respecto a la existencia o no de la información solicitada</w:t>
      </w:r>
      <w:r w:rsidR="004E4628" w:rsidRPr="009C3A3C">
        <w:rPr>
          <w:rFonts w:ascii="Palatino Linotype" w:eastAsia="Palatino Linotype" w:hAnsi="Palatino Linotype" w:cs="Palatino Linotype"/>
          <w:sz w:val="22"/>
          <w:szCs w:val="22"/>
        </w:rPr>
        <w:t xml:space="preserve">, por lo que se determina que </w:t>
      </w:r>
      <w:r w:rsidR="004E4628" w:rsidRPr="009C3A3C">
        <w:rPr>
          <w:rFonts w:ascii="Palatino Linotype" w:hAnsi="Palatino Linotype"/>
          <w:sz w:val="22"/>
          <w:szCs w:val="22"/>
        </w:rPr>
        <w:t>el Sujeto Obligado no fue congruente ni exhaustivo en su respuesta de conformidad con el Criterio orientador 02/17 emitido por el entonces Instituto Nacional de Transparencia, Acceso a la Información y Protección de Datos Personales el cual establece lo siguiente:</w:t>
      </w:r>
    </w:p>
    <w:p w14:paraId="09F11104" w14:textId="77777777" w:rsidR="004E4628" w:rsidRPr="009C3A3C" w:rsidRDefault="004E4628" w:rsidP="004E4628">
      <w:pPr>
        <w:rPr>
          <w:rFonts w:ascii="Palatino Linotype" w:hAnsi="Palatino Linotype"/>
          <w:sz w:val="22"/>
          <w:szCs w:val="22"/>
        </w:rPr>
      </w:pPr>
    </w:p>
    <w:p w14:paraId="00268B51" w14:textId="77777777" w:rsidR="004E4628" w:rsidRPr="009C3A3C" w:rsidRDefault="004E4628" w:rsidP="004E4628">
      <w:pPr>
        <w:pStyle w:val="NormalWeb"/>
        <w:spacing w:before="0" w:beforeAutospacing="0" w:after="0" w:afterAutospacing="0"/>
        <w:ind w:left="567" w:right="701"/>
        <w:jc w:val="both"/>
        <w:rPr>
          <w:rFonts w:ascii="Palatino Linotype" w:hAnsi="Palatino Linotype"/>
          <w:sz w:val="22"/>
          <w:szCs w:val="22"/>
        </w:rPr>
      </w:pPr>
      <w:r w:rsidRPr="009C3A3C">
        <w:rPr>
          <w:rFonts w:ascii="Palatino Linotype" w:hAnsi="Palatino Linotype"/>
          <w:b/>
          <w:bCs/>
          <w:i/>
          <w:iCs/>
          <w:sz w:val="22"/>
          <w:szCs w:val="22"/>
        </w:rPr>
        <w:t>Congruencia y exhaustividad. Sus alcances para garantizar el derecho de acceso a la información.</w:t>
      </w:r>
      <w:r w:rsidRPr="009C3A3C">
        <w:rPr>
          <w:rFonts w:ascii="Palatino Linotype" w:hAnsi="Palatino Linotype"/>
          <w:i/>
          <w:iCs/>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1BB5321" w14:textId="77777777" w:rsidR="004E4628" w:rsidRPr="009C3A3C" w:rsidRDefault="004E4628" w:rsidP="004E4628">
      <w:pPr>
        <w:rPr>
          <w:rFonts w:ascii="Palatino Linotype" w:hAnsi="Palatino Linotype"/>
          <w:sz w:val="22"/>
          <w:szCs w:val="22"/>
        </w:rPr>
      </w:pPr>
    </w:p>
    <w:p w14:paraId="6A70F560" w14:textId="675B73FD" w:rsidR="004E4628" w:rsidRPr="009C3A3C" w:rsidRDefault="004E4628" w:rsidP="004E4628">
      <w:pPr>
        <w:pStyle w:val="NormalWeb"/>
        <w:spacing w:before="0" w:beforeAutospacing="0" w:after="0" w:afterAutospacing="0" w:line="360" w:lineRule="auto"/>
        <w:ind w:right="-150"/>
        <w:jc w:val="both"/>
        <w:rPr>
          <w:rFonts w:ascii="Palatino Linotype" w:hAnsi="Palatino Linotype"/>
          <w:sz w:val="22"/>
          <w:szCs w:val="22"/>
        </w:rPr>
      </w:pPr>
      <w:r w:rsidRPr="009C3A3C">
        <w:rPr>
          <w:rFonts w:ascii="Palatino Linotype" w:hAnsi="Palatino Linotype"/>
          <w:sz w:val="22"/>
          <w:szCs w:val="22"/>
        </w:rPr>
        <w:t xml:space="preserve">Es así, que los sujetos obligados para garantizar el derecho de acceso a la Información, deberán cumplir con los principios de exhaustividad y congruencia, esto es, que la congruencia </w:t>
      </w:r>
      <w:r w:rsidRPr="009C3A3C">
        <w:rPr>
          <w:rFonts w:ascii="Palatino Linotype" w:hAnsi="Palatino Linotype"/>
          <w:b/>
          <w:bCs/>
          <w:sz w:val="22"/>
          <w:szCs w:val="22"/>
        </w:rPr>
        <w:t>implica que exista concordancia entre el requerimiento formulado por el particular y la respuesta proporcionada por el sujeto obligado</w:t>
      </w:r>
      <w:r w:rsidRPr="009C3A3C">
        <w:rPr>
          <w:rFonts w:ascii="Palatino Linotype" w:hAnsi="Palatino Linotype"/>
          <w:sz w:val="22"/>
          <w:szCs w:val="22"/>
        </w:rPr>
        <w:t xml:space="preserve">, mientras que la exhaustividad establece que el sujeto obligado </w:t>
      </w:r>
      <w:r w:rsidRPr="009C3A3C">
        <w:rPr>
          <w:rFonts w:ascii="Palatino Linotype" w:hAnsi="Palatino Linotype"/>
          <w:b/>
          <w:bCs/>
          <w:sz w:val="22"/>
          <w:szCs w:val="22"/>
        </w:rPr>
        <w:t xml:space="preserve">deberá atender </w:t>
      </w:r>
      <w:r w:rsidRPr="009C3A3C">
        <w:rPr>
          <w:rFonts w:ascii="Palatino Linotype" w:hAnsi="Palatino Linotype"/>
          <w:b/>
          <w:bCs/>
          <w:sz w:val="22"/>
          <w:szCs w:val="22"/>
          <w:u w:val="single"/>
        </w:rPr>
        <w:t>de manera expresa</w:t>
      </w:r>
      <w:r w:rsidRPr="009C3A3C">
        <w:rPr>
          <w:rFonts w:ascii="Palatino Linotype" w:hAnsi="Palatino Linotype"/>
          <w:b/>
          <w:bCs/>
          <w:sz w:val="22"/>
          <w:szCs w:val="22"/>
        </w:rPr>
        <w:t xml:space="preserve"> cada uno de los puntos solicitados</w:t>
      </w:r>
      <w:r w:rsidRPr="009C3A3C">
        <w:rPr>
          <w:rFonts w:ascii="Palatino Linotype" w:hAnsi="Palatino Linotype"/>
          <w:sz w:val="22"/>
          <w:szCs w:val="22"/>
        </w:rPr>
        <w:t xml:space="preserve">, situación que en el presente caso </w:t>
      </w:r>
      <w:r w:rsidRPr="009C3A3C">
        <w:rPr>
          <w:rFonts w:ascii="Palatino Linotype" w:hAnsi="Palatino Linotype"/>
          <w:b/>
          <w:bCs/>
          <w:sz w:val="22"/>
          <w:szCs w:val="22"/>
          <w:u w:val="single"/>
        </w:rPr>
        <w:t>no aconteció</w:t>
      </w:r>
      <w:r w:rsidRPr="009C3A3C">
        <w:rPr>
          <w:rFonts w:ascii="Palatino Linotype" w:hAnsi="Palatino Linotype"/>
          <w:sz w:val="22"/>
          <w:szCs w:val="22"/>
        </w:rPr>
        <w:t>, pues el Sujeto Obligado no fue congruente ni exhaustivo en proporcionar la información que requirió específicamente la parte Recurrente. </w:t>
      </w:r>
    </w:p>
    <w:p w14:paraId="3A7D8EF2" w14:textId="7DE1B22D" w:rsidR="004E4628" w:rsidRPr="009C3A3C" w:rsidRDefault="004E4628" w:rsidP="004E4628">
      <w:pPr>
        <w:pStyle w:val="NormalWeb"/>
        <w:spacing w:before="0" w:beforeAutospacing="0" w:after="0" w:afterAutospacing="0" w:line="360" w:lineRule="auto"/>
        <w:ind w:right="-150"/>
        <w:jc w:val="both"/>
        <w:rPr>
          <w:rFonts w:ascii="Palatino Linotype" w:hAnsi="Palatino Linotype"/>
          <w:sz w:val="22"/>
          <w:szCs w:val="22"/>
        </w:rPr>
      </w:pPr>
    </w:p>
    <w:p w14:paraId="567D6780" w14:textId="3F029848" w:rsidR="004E4628" w:rsidRPr="009C3A3C" w:rsidRDefault="004E4628" w:rsidP="004E4628">
      <w:pPr>
        <w:pStyle w:val="NormalWeb"/>
        <w:spacing w:before="0" w:beforeAutospacing="0" w:after="0" w:afterAutospacing="0" w:line="360" w:lineRule="auto"/>
        <w:ind w:right="-150"/>
        <w:jc w:val="both"/>
        <w:rPr>
          <w:rFonts w:ascii="Palatino Linotype" w:hAnsi="Palatino Linotype"/>
          <w:sz w:val="22"/>
          <w:szCs w:val="22"/>
        </w:rPr>
      </w:pPr>
      <w:r w:rsidRPr="009C3A3C">
        <w:rPr>
          <w:rFonts w:ascii="Palatino Linotype" w:hAnsi="Palatino Linotype"/>
          <w:sz w:val="22"/>
          <w:szCs w:val="22"/>
        </w:rPr>
        <w:t xml:space="preserve">Aunado a lo anterior este Instituto localizó en el siguiente vínculo electrónico </w:t>
      </w:r>
      <w:hyperlink r:id="rId9" w:history="1">
        <w:r w:rsidRPr="009C3A3C">
          <w:rPr>
            <w:rStyle w:val="Hipervnculo"/>
            <w:rFonts w:ascii="Palatino Linotype" w:hAnsi="Palatino Linotype"/>
            <w:color w:val="auto"/>
            <w:sz w:val="22"/>
            <w:szCs w:val="22"/>
          </w:rPr>
          <w:t>https://tianguistenco.gob.mx/wp-content/uploads/2025/08/APLICACION-DE-RECURSOS-DEL-FORTAMUN.pdf</w:t>
        </w:r>
      </w:hyperlink>
      <w:r w:rsidRPr="009C3A3C">
        <w:rPr>
          <w:rFonts w:ascii="Palatino Linotype" w:hAnsi="Palatino Linotype"/>
          <w:sz w:val="22"/>
          <w:szCs w:val="22"/>
        </w:rPr>
        <w:t xml:space="preserve">  el formato de información de aplicación de recursos del FORMATUM, correspondiente al primer trimestre del año 2025, en el que se advierte que el Sujeto Obligado realizó un pago de $2,567,824.14 por el pago de arrendamiento de patrullas y motos para seguridad pública/total municipal, tal como se advierte a continuación: </w:t>
      </w:r>
    </w:p>
    <w:p w14:paraId="2F25E282" w14:textId="328435EB" w:rsidR="004E4628" w:rsidRPr="009C3A3C" w:rsidRDefault="004E4628" w:rsidP="004E4628">
      <w:pPr>
        <w:pStyle w:val="NormalWeb"/>
        <w:spacing w:before="0" w:beforeAutospacing="0" w:after="0" w:afterAutospacing="0" w:line="360" w:lineRule="auto"/>
        <w:ind w:right="-150"/>
        <w:jc w:val="both"/>
        <w:rPr>
          <w:rFonts w:ascii="Palatino Linotype" w:hAnsi="Palatino Linotype"/>
          <w:sz w:val="22"/>
          <w:szCs w:val="22"/>
        </w:rPr>
      </w:pPr>
      <w:r w:rsidRPr="009C3A3C">
        <w:rPr>
          <w:rFonts w:ascii="Palatino Linotype" w:hAnsi="Palatino Linotype"/>
          <w:noProof/>
          <w:sz w:val="22"/>
          <w:szCs w:val="22"/>
        </w:rPr>
        <w:drawing>
          <wp:inline distT="0" distB="0" distL="0" distR="0" wp14:anchorId="15154B9F" wp14:editId="1548FE30">
            <wp:extent cx="5756275" cy="33515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3351530"/>
                    </a:xfrm>
                    <a:prstGeom prst="rect">
                      <a:avLst/>
                    </a:prstGeom>
                  </pic:spPr>
                </pic:pic>
              </a:graphicData>
            </a:graphic>
          </wp:inline>
        </w:drawing>
      </w:r>
    </w:p>
    <w:p w14:paraId="4690D06A" w14:textId="43C90C2C" w:rsidR="00B0371D" w:rsidRPr="009C3A3C" w:rsidRDefault="004E4628">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E</w:t>
      </w:r>
      <w:r w:rsidR="00444611" w:rsidRPr="009C3A3C">
        <w:rPr>
          <w:rFonts w:ascii="Palatino Linotype" w:eastAsia="Palatino Linotype" w:hAnsi="Palatino Linotype" w:cs="Palatino Linotype"/>
          <w:sz w:val="22"/>
          <w:szCs w:val="22"/>
        </w:rPr>
        <w:t>n consecuencia, se ORDENA al Sujeto Obligado a realizar una correcta búsqueda exhaustiva y razonable de la información a efecto de localizar y poner a disposición del Recurrente la siguiente información, de ser el caso en versión pública:</w:t>
      </w:r>
    </w:p>
    <w:p w14:paraId="516640E2" w14:textId="77777777" w:rsidR="00EF429E" w:rsidRPr="009C3A3C" w:rsidRDefault="00EF429E">
      <w:pPr>
        <w:spacing w:line="360" w:lineRule="auto"/>
        <w:jc w:val="both"/>
        <w:rPr>
          <w:rFonts w:ascii="Palatino Linotype" w:hAnsi="Palatino Linotype"/>
          <w:sz w:val="22"/>
          <w:szCs w:val="22"/>
        </w:rPr>
      </w:pPr>
    </w:p>
    <w:p w14:paraId="2A21A1FF" w14:textId="77777777" w:rsidR="00EF429E" w:rsidRPr="009C3A3C" w:rsidRDefault="00EF429E" w:rsidP="00270D1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L</w:t>
      </w:r>
      <w:r w:rsidR="00444611" w:rsidRPr="009C3A3C">
        <w:rPr>
          <w:rFonts w:ascii="Palatino Linotype" w:eastAsia="Palatino Linotype" w:hAnsi="Palatino Linotype" w:cs="Palatino Linotype"/>
          <w:b/>
          <w:bCs/>
          <w:sz w:val="22"/>
          <w:szCs w:val="22"/>
        </w:rPr>
        <w:t xml:space="preserve">os contratos de los arrendamientos </w:t>
      </w:r>
      <w:r w:rsidRPr="009C3A3C">
        <w:rPr>
          <w:rFonts w:ascii="Palatino Linotype" w:eastAsia="Palatino Linotype" w:hAnsi="Palatino Linotype" w:cs="Palatino Linotype"/>
          <w:b/>
          <w:bCs/>
          <w:sz w:val="22"/>
          <w:szCs w:val="22"/>
        </w:rPr>
        <w:t xml:space="preserve">vigentes </w:t>
      </w:r>
      <w:r w:rsidRPr="009C3A3C">
        <w:rPr>
          <w:rFonts w:ascii="Palatino Linotype" w:hAnsi="Palatino Linotype"/>
          <w:b/>
          <w:bCs/>
          <w:sz w:val="22"/>
          <w:szCs w:val="22"/>
        </w:rPr>
        <w:t xml:space="preserve">al dos de septiembre del dos mil veinticinco, respecto a: </w:t>
      </w:r>
    </w:p>
    <w:p w14:paraId="5804E7C3" w14:textId="0A84F7C3" w:rsidR="004E4628" w:rsidRPr="009C3A3C" w:rsidRDefault="00444611" w:rsidP="00270D1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 xml:space="preserve">Vehículos </w:t>
      </w:r>
      <w:r w:rsidR="00EF429E" w:rsidRPr="009C3A3C">
        <w:rPr>
          <w:rFonts w:ascii="Palatino Linotype" w:eastAsia="Palatino Linotype" w:hAnsi="Palatino Linotype" w:cs="Palatino Linotype"/>
          <w:b/>
          <w:bCs/>
          <w:sz w:val="22"/>
          <w:szCs w:val="22"/>
        </w:rPr>
        <w:t>con los que cuenta el Ayuntamiento</w:t>
      </w:r>
    </w:p>
    <w:p w14:paraId="07C9089B" w14:textId="7733C7BA" w:rsidR="00B0371D" w:rsidRPr="009C3A3C" w:rsidRDefault="00EF429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P</w:t>
      </w:r>
      <w:r w:rsidR="00444611" w:rsidRPr="009C3A3C">
        <w:rPr>
          <w:rFonts w:ascii="Palatino Linotype" w:eastAsia="Palatino Linotype" w:hAnsi="Palatino Linotype" w:cs="Palatino Linotype"/>
          <w:b/>
          <w:bCs/>
          <w:sz w:val="22"/>
          <w:szCs w:val="22"/>
        </w:rPr>
        <w:t>atrullas</w:t>
      </w:r>
      <w:r w:rsidRPr="009C3A3C">
        <w:rPr>
          <w:rFonts w:ascii="Palatino Linotype" w:eastAsia="Palatino Linotype" w:hAnsi="Palatino Linotype" w:cs="Palatino Linotype"/>
          <w:b/>
          <w:bCs/>
          <w:sz w:val="22"/>
          <w:szCs w:val="22"/>
        </w:rPr>
        <w:t xml:space="preserve"> con las que cuenta el Ayuntamiento </w:t>
      </w:r>
      <w:r w:rsidR="00444611" w:rsidRPr="009C3A3C">
        <w:rPr>
          <w:rFonts w:ascii="Palatino Linotype" w:eastAsia="Palatino Linotype" w:hAnsi="Palatino Linotype" w:cs="Palatino Linotype"/>
          <w:b/>
          <w:bCs/>
          <w:sz w:val="22"/>
          <w:szCs w:val="22"/>
        </w:rPr>
        <w:t xml:space="preserve"> </w:t>
      </w:r>
    </w:p>
    <w:p w14:paraId="4D431994" w14:textId="77777777" w:rsidR="004E4628" w:rsidRPr="009C3A3C" w:rsidRDefault="004E4628">
      <w:pPr>
        <w:spacing w:line="360" w:lineRule="auto"/>
        <w:jc w:val="both"/>
        <w:rPr>
          <w:rFonts w:ascii="Palatino Linotype" w:eastAsia="Palatino Linotype" w:hAnsi="Palatino Linotype" w:cs="Palatino Linotype"/>
          <w:sz w:val="22"/>
          <w:szCs w:val="22"/>
        </w:rPr>
      </w:pPr>
    </w:p>
    <w:p w14:paraId="4D2B0BCD" w14:textId="017BF084"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Si como resultado de la búsqueda exhaustiva y razonable no se localiza información respecto </w:t>
      </w:r>
      <w:r w:rsidR="004E4628" w:rsidRPr="009C3A3C">
        <w:rPr>
          <w:rFonts w:ascii="Palatino Linotype" w:eastAsia="Palatino Linotype" w:hAnsi="Palatino Linotype" w:cs="Palatino Linotype"/>
          <w:sz w:val="22"/>
          <w:szCs w:val="22"/>
        </w:rPr>
        <w:t xml:space="preserve">vehículos </w:t>
      </w:r>
      <w:r w:rsidR="004E4628" w:rsidRPr="009C3A3C">
        <w:rPr>
          <w:rFonts w:ascii="Palatino Linotype" w:eastAsia="Palatino Linotype" w:hAnsi="Palatino Linotype" w:cs="Palatino Linotype"/>
          <w:sz w:val="22"/>
          <w:szCs w:val="22"/>
          <w:u w:val="single"/>
        </w:rPr>
        <w:t>distintos a las patrullas</w:t>
      </w:r>
      <w:r w:rsidRPr="009C3A3C">
        <w:rPr>
          <w:rFonts w:ascii="Palatino Linotype" w:eastAsia="Palatino Linotype" w:hAnsi="Palatino Linotype" w:cs="Palatino Linotype"/>
          <w:sz w:val="22"/>
          <w:szCs w:val="22"/>
          <w:u w:val="single"/>
        </w:rPr>
        <w:t>,</w:t>
      </w:r>
      <w:r w:rsidRPr="009C3A3C">
        <w:rPr>
          <w:rFonts w:ascii="Palatino Linotype" w:eastAsia="Palatino Linotype" w:hAnsi="Palatino Linotype" w:cs="Palatino Linotype"/>
          <w:sz w:val="22"/>
          <w:szCs w:val="22"/>
        </w:rPr>
        <w:t xml:space="preserve"> por no haberse generado la información, bastará con que así lo haga del conocimiento de la parte </w:t>
      </w:r>
      <w:r w:rsidRPr="009C3A3C">
        <w:rPr>
          <w:rFonts w:ascii="Palatino Linotype" w:eastAsia="Palatino Linotype" w:hAnsi="Palatino Linotype" w:cs="Palatino Linotype"/>
          <w:b/>
          <w:bCs/>
          <w:sz w:val="22"/>
          <w:szCs w:val="22"/>
        </w:rPr>
        <w:t>Recurrente</w:t>
      </w:r>
      <w:r w:rsidRPr="009C3A3C">
        <w:rPr>
          <w:rFonts w:ascii="Palatino Linotype" w:eastAsia="Palatino Linotype" w:hAnsi="Palatino Linotype" w:cs="Palatino Linotype"/>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3216ECDB" w14:textId="18CF2EBD" w:rsidR="00B0371D" w:rsidRPr="009C3A3C" w:rsidRDefault="00B0371D">
      <w:pPr>
        <w:spacing w:line="360" w:lineRule="auto"/>
        <w:jc w:val="both"/>
        <w:rPr>
          <w:rFonts w:ascii="Palatino Linotype" w:eastAsia="Palatino Linotype" w:hAnsi="Palatino Linotype" w:cs="Palatino Linotype"/>
          <w:sz w:val="22"/>
          <w:szCs w:val="22"/>
        </w:rPr>
      </w:pPr>
    </w:p>
    <w:p w14:paraId="2EF8CB83" w14:textId="2011B5F7" w:rsidR="00147760" w:rsidRPr="009C3A3C" w:rsidRDefault="00147760" w:rsidP="004413EA">
      <w:pPr>
        <w:pStyle w:val="NormalWeb"/>
        <w:spacing w:before="0" w:beforeAutospacing="0" w:after="0" w:afterAutospacing="0" w:line="360" w:lineRule="auto"/>
        <w:jc w:val="both"/>
      </w:pPr>
      <w:r w:rsidRPr="009C3A3C">
        <w:rPr>
          <w:rFonts w:ascii="Palatino Linotype" w:hAnsi="Palatino Linotype"/>
        </w:rPr>
        <w:t xml:space="preserve">Finalmente, respecto de las manifestaciones realizadas por el Recurrente como razones o motivos de inconformidad, consistentes en </w:t>
      </w:r>
      <w:r w:rsidRPr="009C3A3C">
        <w:rPr>
          <w:rFonts w:ascii="Palatino Linotype" w:hAnsi="Palatino Linotype"/>
          <w:i/>
          <w:iCs/>
        </w:rPr>
        <w:t>“…como consecuencia solicito al INFOEM sea sancionado el servidor publico responsable de proporcionar la informacion y que la esta negando…” (sic)</w:t>
      </w:r>
      <w:r w:rsidRPr="009C3A3C">
        <w:rPr>
          <w:rFonts w:ascii="Palatino Linotype" w:hAnsi="Palatino Linotype"/>
        </w:rPr>
        <w:t xml:space="preserve">; </w:t>
      </w:r>
      <w:r w:rsidR="004413EA" w:rsidRPr="009C3A3C">
        <w:rPr>
          <w:rFonts w:ascii="Palatino Linotype" w:hAnsi="Palatino Linotype"/>
        </w:rPr>
        <w:t xml:space="preserve">se hace del conocimiento que </w:t>
      </w:r>
      <w:r w:rsidRPr="009C3A3C">
        <w:rPr>
          <w:rFonts w:ascii="Palatino Linotype" w:hAnsi="Palatino Linotype"/>
        </w:rPr>
        <w:t>derivado</w:t>
      </w:r>
      <w:r w:rsidR="004413EA" w:rsidRPr="009C3A3C">
        <w:rPr>
          <w:rFonts w:ascii="Palatino Linotype" w:hAnsi="Palatino Linotype"/>
        </w:rPr>
        <w:t xml:space="preserve"> de</w:t>
      </w:r>
      <w:r w:rsidRPr="009C3A3C">
        <w:rPr>
          <w:rFonts w:ascii="Palatino Linotype" w:hAnsi="Palatino Linotype"/>
        </w:rPr>
        <w:t xml:space="preserve"> que el Recurso de Revisión no es el medio para sancionar, este Organismo Garante sugiere a la persona solicitante, interponer su queja o denuncia ante la autoridad competente.</w:t>
      </w:r>
    </w:p>
    <w:p w14:paraId="5F40B65D" w14:textId="77777777" w:rsidR="00147760" w:rsidRPr="009C3A3C" w:rsidRDefault="00147760">
      <w:pPr>
        <w:spacing w:line="360" w:lineRule="auto"/>
        <w:jc w:val="both"/>
        <w:rPr>
          <w:rFonts w:ascii="Palatino Linotype" w:eastAsia="Palatino Linotype" w:hAnsi="Palatino Linotype" w:cs="Palatino Linotype"/>
          <w:sz w:val="22"/>
          <w:szCs w:val="22"/>
        </w:rPr>
      </w:pPr>
    </w:p>
    <w:p w14:paraId="15874EC8"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bCs/>
          <w:sz w:val="22"/>
          <w:szCs w:val="22"/>
        </w:rPr>
        <w:t xml:space="preserve">Quinto. Versión Pública. </w:t>
      </w:r>
      <w:r w:rsidRPr="009C3A3C">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02E6159E"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4FD80266"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2CE0DF25"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49DD61FC" w14:textId="77777777" w:rsidR="00B0371D" w:rsidRPr="009C3A3C" w:rsidRDefault="00444611">
      <w:pPr>
        <w:spacing w:line="360" w:lineRule="auto"/>
        <w:ind w:right="50"/>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4D04EEB1" w14:textId="77777777" w:rsidR="00B0371D" w:rsidRPr="009C3A3C" w:rsidRDefault="00B0371D">
      <w:pPr>
        <w:spacing w:line="360" w:lineRule="auto"/>
        <w:ind w:right="50"/>
        <w:jc w:val="both"/>
        <w:rPr>
          <w:rFonts w:ascii="Palatino Linotype" w:eastAsia="Palatino Linotype" w:hAnsi="Palatino Linotype" w:cs="Palatino Linotype"/>
          <w:sz w:val="22"/>
          <w:szCs w:val="22"/>
        </w:rPr>
      </w:pPr>
    </w:p>
    <w:p w14:paraId="5145D697"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r w:rsidRPr="009C3A3C">
        <w:rPr>
          <w:rFonts w:ascii="Palatino Linotype" w:eastAsia="Palatino Linotype" w:hAnsi="Palatino Linotype" w:cs="Palatino Linotype"/>
          <w:b/>
          <w:bCs/>
          <w:i/>
          <w:iCs/>
          <w:sz w:val="22"/>
          <w:szCs w:val="22"/>
        </w:rPr>
        <w:t>Artículo 3.</w:t>
      </w:r>
      <w:r w:rsidRPr="009C3A3C">
        <w:rPr>
          <w:rFonts w:ascii="Palatino Linotype" w:eastAsia="Palatino Linotype" w:hAnsi="Palatino Linotype" w:cs="Palatino Linotype"/>
          <w:i/>
          <w:iCs/>
          <w:sz w:val="22"/>
          <w:szCs w:val="22"/>
        </w:rPr>
        <w:t xml:space="preserve"> Para los efectos de la presente Ley se entenderá por:</w:t>
      </w:r>
    </w:p>
    <w:p w14:paraId="7F4633F8"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p>
    <w:p w14:paraId="4344BE7C"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3F4C6B98"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XX. Información clasificada: Aquella considerada por la presente Ley como reservada o confidencial;</w:t>
      </w:r>
    </w:p>
    <w:p w14:paraId="71C88A2C"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5699FAA"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301F02F8"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p>
    <w:p w14:paraId="30C19F23"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Artículo 91.</w:t>
      </w:r>
      <w:r w:rsidRPr="009C3A3C">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0F02E0A7"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Artículo 132.</w:t>
      </w:r>
      <w:r w:rsidRPr="009C3A3C">
        <w:rPr>
          <w:rFonts w:ascii="Palatino Linotype" w:eastAsia="Palatino Linotype" w:hAnsi="Palatino Linotype" w:cs="Palatino Linotype"/>
          <w:i/>
          <w:iCs/>
          <w:sz w:val="22"/>
          <w:szCs w:val="22"/>
        </w:rPr>
        <w:t xml:space="preserve"> La clasificación de la información se llevará a cabo en el momento en que:</w:t>
      </w:r>
    </w:p>
    <w:p w14:paraId="7C711F76" w14:textId="77777777" w:rsidR="00B0371D" w:rsidRPr="009C3A3C" w:rsidRDefault="00444611">
      <w:pPr>
        <w:tabs>
          <w:tab w:val="left" w:pos="1134"/>
        </w:tabs>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I. Se reciba una solicitud de acceso a la información;</w:t>
      </w:r>
    </w:p>
    <w:p w14:paraId="1AD0E5EF" w14:textId="77777777" w:rsidR="00B0371D" w:rsidRPr="009C3A3C" w:rsidRDefault="00444611">
      <w:pPr>
        <w:tabs>
          <w:tab w:val="left" w:pos="1134"/>
        </w:tabs>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II. Se determine mediante resolución de autoridad competente; o</w:t>
      </w:r>
    </w:p>
    <w:p w14:paraId="5B11C33C" w14:textId="77777777" w:rsidR="00B0371D" w:rsidRPr="009C3A3C" w:rsidRDefault="00444611">
      <w:pPr>
        <w:tabs>
          <w:tab w:val="left" w:pos="1134"/>
        </w:tabs>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537BC497"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p>
    <w:p w14:paraId="4E31AEFE"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Artículo 143</w:t>
      </w:r>
      <w:r w:rsidRPr="009C3A3C">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631333D1"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72B7C831"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F87F5E4"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6DF0E97E"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4E3A736B"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336AB866" w14:textId="77777777" w:rsidR="00B0371D" w:rsidRPr="009C3A3C" w:rsidRDefault="00B0371D">
      <w:pPr>
        <w:ind w:left="567" w:right="616"/>
        <w:jc w:val="both"/>
        <w:rPr>
          <w:rFonts w:ascii="Palatino Linotype" w:eastAsia="Palatino Linotype" w:hAnsi="Palatino Linotype" w:cs="Palatino Linotype"/>
          <w:i/>
          <w:iCs/>
          <w:sz w:val="22"/>
          <w:szCs w:val="22"/>
        </w:rPr>
      </w:pPr>
    </w:p>
    <w:p w14:paraId="2030E372"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E923D58" w14:textId="77777777" w:rsidR="00B0371D" w:rsidRPr="009C3A3C" w:rsidRDefault="0044461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9C3A3C">
        <w:rPr>
          <w:rFonts w:ascii="Palatino Linotype" w:eastAsia="Palatino Linotype" w:hAnsi="Palatino Linotype" w:cs="Palatino Linotype"/>
          <w:b/>
          <w:bCs/>
          <w:sz w:val="22"/>
          <w:szCs w:val="22"/>
        </w:rPr>
        <w:t>Registro Federal de Contribuyentes</w:t>
      </w:r>
      <w:r w:rsidRPr="009C3A3C">
        <w:rPr>
          <w:rFonts w:ascii="Palatino Linotype" w:eastAsia="Palatino Linotype" w:hAnsi="Palatino Linotype" w:cs="Palatino Linotype"/>
          <w:sz w:val="22"/>
          <w:szCs w:val="22"/>
        </w:rPr>
        <w:t xml:space="preserve"> (RFC), la </w:t>
      </w:r>
      <w:r w:rsidRPr="009C3A3C">
        <w:rPr>
          <w:rFonts w:ascii="Palatino Linotype" w:eastAsia="Palatino Linotype" w:hAnsi="Palatino Linotype" w:cs="Palatino Linotype"/>
          <w:b/>
          <w:bCs/>
          <w:sz w:val="22"/>
          <w:szCs w:val="22"/>
        </w:rPr>
        <w:t>Clave Única de Registro de Población</w:t>
      </w:r>
      <w:r w:rsidRPr="009C3A3C">
        <w:rPr>
          <w:rFonts w:ascii="Palatino Linotype" w:eastAsia="Palatino Linotype" w:hAnsi="Palatino Linotype" w:cs="Palatino Linotype"/>
          <w:sz w:val="22"/>
          <w:szCs w:val="22"/>
        </w:rPr>
        <w:t xml:space="preserve"> (CURP) y cualquier información de carácter personal, bajo las siguientes consideraciones. </w:t>
      </w:r>
    </w:p>
    <w:p w14:paraId="1B4823E6" w14:textId="77777777" w:rsidR="00B0371D" w:rsidRPr="009C3A3C" w:rsidRDefault="00444611">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3995FA9C" w14:textId="77777777" w:rsidR="00B0371D" w:rsidRPr="009C3A3C" w:rsidRDefault="0044461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9BBF429" w14:textId="77777777" w:rsidR="00B0371D" w:rsidRPr="009C3A3C" w:rsidRDefault="0044461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Lo anterior era compartido por el entonces Instituto Nacional de Transparencia, Acceso a la Información y Protección de Datos (INAI) a través del Criterio orientador 19/17, el cual es del tenor literal siguiente:</w:t>
      </w:r>
    </w:p>
    <w:p w14:paraId="4A92994B" w14:textId="77777777" w:rsidR="00B0371D" w:rsidRPr="009C3A3C" w:rsidRDefault="00444611">
      <w:pPr>
        <w:pBdr>
          <w:top w:val="nil"/>
          <w:left w:val="nil"/>
          <w:bottom w:val="nil"/>
          <w:right w:val="nil"/>
          <w:between w:val="nil"/>
        </w:pBdr>
        <w:spacing w:before="240" w:after="240"/>
        <w:ind w:left="851" w:right="616"/>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i/>
          <w:iCs/>
          <w:sz w:val="22"/>
          <w:szCs w:val="22"/>
        </w:rPr>
        <w:t>“</w:t>
      </w:r>
      <w:r w:rsidRPr="009C3A3C">
        <w:rPr>
          <w:rFonts w:ascii="Palatino Linotype" w:eastAsia="Palatino Linotype" w:hAnsi="Palatino Linotype" w:cs="Palatino Linotype"/>
          <w:b/>
          <w:bCs/>
          <w:i/>
          <w:iCs/>
          <w:sz w:val="22"/>
          <w:szCs w:val="22"/>
        </w:rPr>
        <w:t xml:space="preserve">Registro Federal de Contribuyentes (RFC) de personas físicas. </w:t>
      </w:r>
      <w:r w:rsidRPr="009C3A3C">
        <w:rPr>
          <w:rFonts w:ascii="Palatino Linotype" w:eastAsia="Palatino Linotype" w:hAnsi="Palatino Linotype" w:cs="Palatino Linotype"/>
          <w:i/>
          <w:iCs/>
          <w:sz w:val="22"/>
          <w:szCs w:val="22"/>
        </w:rPr>
        <w:t>El RFC es una clave de carácter fiscal, única e irrepetible, que permite identificar al titular, su edad y fecha de nacimiento, por lo que es un dato personal de carácter confidencial.” (Sic)</w:t>
      </w:r>
    </w:p>
    <w:p w14:paraId="750FA843" w14:textId="77777777" w:rsidR="00B0371D" w:rsidRPr="009C3A3C" w:rsidRDefault="0044461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4B70042" w14:textId="77777777" w:rsidR="00B0371D" w:rsidRPr="009C3A3C" w:rsidRDefault="0044461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B91CFCD" w14:textId="77777777" w:rsidR="00B0371D" w:rsidRPr="009C3A3C" w:rsidRDefault="0044461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Argumento que era compartido por el entonces Instituto Nacional de Transparencia, Acceso a la Información y Protección de Datos (INAI)</w:t>
      </w:r>
      <w:r w:rsidRPr="009C3A3C">
        <w:rPr>
          <w:rFonts w:ascii="Palatino Linotype" w:eastAsia="Palatino Linotype" w:hAnsi="Palatino Linotype" w:cs="Palatino Linotype"/>
          <w:b/>
          <w:bCs/>
          <w:sz w:val="22"/>
          <w:szCs w:val="22"/>
        </w:rPr>
        <w:t xml:space="preserve">, conforme al </w:t>
      </w:r>
      <w:r w:rsidRPr="009C3A3C">
        <w:rPr>
          <w:rFonts w:ascii="Palatino Linotype" w:eastAsia="Palatino Linotype" w:hAnsi="Palatino Linotype" w:cs="Palatino Linotype"/>
          <w:sz w:val="22"/>
          <w:szCs w:val="22"/>
        </w:rPr>
        <w:t>criterio orientador número 18/17, el cual refiere: </w:t>
      </w:r>
    </w:p>
    <w:p w14:paraId="13DDADA3" w14:textId="77777777" w:rsidR="00B0371D" w:rsidRPr="009C3A3C" w:rsidRDefault="00444611">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i/>
          <w:iCs/>
          <w:sz w:val="22"/>
          <w:szCs w:val="22"/>
        </w:rPr>
        <w:t>“</w:t>
      </w:r>
      <w:r w:rsidRPr="009C3A3C">
        <w:rPr>
          <w:rFonts w:ascii="Palatino Linotype" w:eastAsia="Palatino Linotype" w:hAnsi="Palatino Linotype" w:cs="Palatino Linotype"/>
          <w:b/>
          <w:bCs/>
          <w:i/>
          <w:iCs/>
          <w:sz w:val="22"/>
          <w:szCs w:val="22"/>
        </w:rPr>
        <w:t xml:space="preserve">Clave Única de Registro de Población (CURP). </w:t>
      </w:r>
      <w:r w:rsidRPr="009C3A3C">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4A659617" w14:textId="77777777" w:rsidR="00B0371D" w:rsidRPr="009C3A3C" w:rsidRDefault="00444611">
      <w:pPr>
        <w:spacing w:before="240" w:after="240" w:line="360" w:lineRule="auto"/>
        <w:ind w:right="50"/>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Relacionado con lo anterior, el </w:t>
      </w:r>
      <w:r w:rsidRPr="009C3A3C">
        <w:rPr>
          <w:rFonts w:ascii="Palatino Linotype" w:eastAsia="Palatino Linotype" w:hAnsi="Palatino Linotype" w:cs="Palatino Linotype"/>
          <w:b/>
          <w:bCs/>
          <w:sz w:val="22"/>
          <w:szCs w:val="22"/>
        </w:rPr>
        <w:t>nombre de las personas físicas</w:t>
      </w:r>
      <w:r w:rsidRPr="009C3A3C">
        <w:rPr>
          <w:rFonts w:ascii="Palatino Linotype" w:eastAsia="Palatino Linotype" w:hAnsi="Palatino Linotype" w:cs="Palatino Linotype"/>
          <w:sz w:val="22"/>
          <w:szCs w:val="22"/>
        </w:rPr>
        <w:t xml:space="preserve"> o los </w:t>
      </w:r>
      <w:r w:rsidRPr="009C3A3C">
        <w:rPr>
          <w:rFonts w:ascii="Palatino Linotype" w:eastAsia="Palatino Linotype" w:hAnsi="Palatino Linotype" w:cs="Palatino Linotype"/>
          <w:b/>
          <w:bCs/>
          <w:sz w:val="22"/>
          <w:szCs w:val="22"/>
        </w:rPr>
        <w:t>representantes legales de las personas morales</w:t>
      </w:r>
      <w:r w:rsidRPr="009C3A3C">
        <w:rPr>
          <w:rFonts w:ascii="Palatino Linotype" w:eastAsia="Palatino Linotype" w:hAnsi="Palatino Linotype" w:cs="Palatino Linotype"/>
          <w:sz w:val="22"/>
          <w:szCs w:val="22"/>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363BBC69" w14:textId="77777777" w:rsidR="00B0371D" w:rsidRPr="009C3A3C" w:rsidRDefault="00444611">
      <w:pPr>
        <w:spacing w:before="240" w:after="240" w:line="360" w:lineRule="auto"/>
        <w:ind w:right="50"/>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Argumentación que guarda sustento en lo estipulado por el artículo 23 de la Ley de Transparencia y Acceso a la Información Pública del Estado de México y Municipios en su penúltimo párrafo, mismo que es del tenor literal siguiente:</w:t>
      </w:r>
    </w:p>
    <w:p w14:paraId="2CB7C9A2" w14:textId="77777777" w:rsidR="00B0371D" w:rsidRPr="009C3A3C" w:rsidRDefault="00444611">
      <w:pPr>
        <w:spacing w:before="120" w:after="120"/>
        <w:ind w:left="851"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r w:rsidRPr="009C3A3C">
        <w:rPr>
          <w:rFonts w:ascii="Palatino Linotype" w:eastAsia="Palatino Linotype" w:hAnsi="Palatino Linotype" w:cs="Palatino Linotype"/>
          <w:b/>
          <w:bCs/>
          <w:i/>
          <w:iCs/>
          <w:sz w:val="22"/>
          <w:szCs w:val="22"/>
        </w:rPr>
        <w:t>Artículo 23.</w:t>
      </w:r>
      <w:r w:rsidRPr="009C3A3C">
        <w:rPr>
          <w:rFonts w:ascii="Palatino Linotype" w:eastAsia="Palatino Linotype" w:hAnsi="Palatino Linotype" w:cs="Palatino Linotype"/>
          <w:i/>
          <w:iCs/>
          <w:sz w:val="22"/>
          <w:szCs w:val="22"/>
        </w:rPr>
        <w:t xml:space="preserve"> (…)</w:t>
      </w:r>
    </w:p>
    <w:p w14:paraId="21BF1C40" w14:textId="77777777" w:rsidR="00B0371D" w:rsidRPr="009C3A3C" w:rsidRDefault="00444611">
      <w:pPr>
        <w:spacing w:before="120" w:after="120"/>
        <w:ind w:left="851" w:right="902"/>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BAB9945" w14:textId="77777777" w:rsidR="00B0371D" w:rsidRPr="009C3A3C" w:rsidRDefault="00444611">
      <w:pPr>
        <w:spacing w:before="280" w:after="28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Asimismo, resulta aplicable el contenido del criterio orientador 01/19 emitido por el entonces Instituto Nacional de Transparencia, Acceso a la Información, y Protección de Datos Personales, INAI, que lleva por rubro y texto los siguientes</w:t>
      </w:r>
    </w:p>
    <w:p w14:paraId="4123B3A0" w14:textId="77777777" w:rsidR="00B0371D" w:rsidRPr="009C3A3C" w:rsidRDefault="00444611">
      <w:pPr>
        <w:ind w:left="851" w:right="90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“Datos de identificación del representante o apoderado legal.</w:t>
      </w:r>
      <w:r w:rsidRPr="009C3A3C">
        <w:rPr>
          <w:rFonts w:ascii="Palatino Linotype" w:eastAsia="Palatino Linotype" w:hAnsi="Palatino Linotype" w:cs="Palatino Linotype"/>
          <w:i/>
          <w:iCs/>
          <w:sz w:val="22"/>
          <w:szCs w:val="22"/>
        </w:rPr>
        <w:t xml:space="preserve"> </w:t>
      </w:r>
      <w:r w:rsidRPr="009C3A3C">
        <w:rPr>
          <w:rFonts w:ascii="Palatino Linotype" w:eastAsia="Palatino Linotype" w:hAnsi="Palatino Linotype" w:cs="Palatino Linotype"/>
          <w:b/>
          <w:bCs/>
          <w:i/>
          <w:iCs/>
          <w:sz w:val="22"/>
          <w:szCs w:val="22"/>
        </w:rPr>
        <w:t xml:space="preserve">Naturaleza jurídica. </w:t>
      </w:r>
      <w:r w:rsidRPr="009C3A3C">
        <w:rPr>
          <w:rFonts w:ascii="Palatino Linotype" w:eastAsia="Palatino Linotype" w:hAnsi="Palatino Linotype" w:cs="Palatino Linotype"/>
          <w:i/>
          <w:iCs/>
          <w:sz w:val="22"/>
          <w:szCs w:val="22"/>
        </w:rPr>
        <w:t xml:space="preserve">El nombre, la firma y la rúbrica de una persona física, que actúe como representante o apoderado legal de un tercero que haya celebrado un acto jurídico, con algún sujeto obligado, </w:t>
      </w:r>
      <w:r w:rsidRPr="009C3A3C">
        <w:rPr>
          <w:rFonts w:ascii="Palatino Linotype" w:eastAsia="Palatino Linotype" w:hAnsi="Palatino Linotype" w:cs="Palatino Linotype"/>
          <w:b/>
          <w:bCs/>
          <w:i/>
          <w:iCs/>
          <w:sz w:val="22"/>
          <w:szCs w:val="22"/>
        </w:rPr>
        <w:t>es información pública, en razón de que tales datos fueron proporcionados con el objeto de expresar el consentimiento obligacional del tercero y otorgar validez a dicho instrumento jurídico</w:t>
      </w:r>
      <w:r w:rsidRPr="009C3A3C">
        <w:rPr>
          <w:rFonts w:ascii="Palatino Linotype" w:eastAsia="Palatino Linotype" w:hAnsi="Palatino Linotype" w:cs="Palatino Linotype"/>
          <w:i/>
          <w:iCs/>
          <w:sz w:val="22"/>
          <w:szCs w:val="22"/>
        </w:rPr>
        <w:t>.”</w:t>
      </w:r>
    </w:p>
    <w:p w14:paraId="11AEC683" w14:textId="77777777" w:rsidR="00B0371D" w:rsidRPr="009C3A3C" w:rsidRDefault="00444611">
      <w:pPr>
        <w:ind w:left="851" w:right="900"/>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79024AB5"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67F8E7A7"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 “</w:t>
      </w:r>
      <w:r w:rsidRPr="009C3A3C">
        <w:rPr>
          <w:rFonts w:ascii="Palatino Linotype" w:eastAsia="Palatino Linotype" w:hAnsi="Palatino Linotype" w:cs="Palatino Linotype"/>
          <w:b/>
          <w:bCs/>
          <w:i/>
          <w:iCs/>
          <w:sz w:val="22"/>
          <w:szCs w:val="22"/>
        </w:rPr>
        <w:t>Quincuagésimo</w:t>
      </w:r>
      <w:r w:rsidRPr="009C3A3C">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2DBF311"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Quincuagésimo primero.</w:t>
      </w:r>
      <w:r w:rsidRPr="009C3A3C">
        <w:rPr>
          <w:rFonts w:ascii="Palatino Linotype" w:eastAsia="Palatino Linotype" w:hAnsi="Palatino Linotype" w:cs="Palatino Linotype"/>
          <w:i/>
          <w:iCs/>
          <w:sz w:val="22"/>
          <w:szCs w:val="22"/>
        </w:rPr>
        <w:t xml:space="preserve"> Toda acta del Comité de Transparencia deberá contener: </w:t>
      </w:r>
    </w:p>
    <w:p w14:paraId="5B08C79D"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I. El número de sesión y fecha; </w:t>
      </w:r>
    </w:p>
    <w:p w14:paraId="7ADEB636"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II. El nombre del área que solicitó la clasificación de información; </w:t>
      </w:r>
    </w:p>
    <w:p w14:paraId="4D013033"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III. La fundamentación legal y motivación correspondiente; </w:t>
      </w:r>
    </w:p>
    <w:p w14:paraId="41A2F4A9"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IV. La resolución o resoluciones aprobadas; y </w:t>
      </w:r>
    </w:p>
    <w:p w14:paraId="2390D2F5"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V. La rúbrica o firma digital de cada integrante del Comité de Transparencia. </w:t>
      </w:r>
    </w:p>
    <w:p w14:paraId="05F9D980"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5D19A478"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I. Los motivos y razonamientos que sustenten la confirmación o modificación de la prueba de daño;</w:t>
      </w:r>
    </w:p>
    <w:p w14:paraId="3BC76670"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II. Descripción de las partes o secciones reservadas, en caso de clasificación parcial; </w:t>
      </w:r>
    </w:p>
    <w:p w14:paraId="6BB19E2B"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III. El periodo por el que mantendrá su clasificación y fecha de expiración; y </w:t>
      </w:r>
    </w:p>
    <w:p w14:paraId="180DBC67"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62017ABB"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6DCE446D"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D240A67"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Quincuagésimo segundo.</w:t>
      </w:r>
      <w:r w:rsidRPr="009C3A3C">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AAFCE30"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1585C6D4"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4829801E"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7B24D536"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III. Señalar las personas o instancias autorizadas a acceder a la información clasificada.</w:t>
      </w:r>
    </w:p>
    <w:p w14:paraId="4F148269"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60DBD17B"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6C0045A1"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De igual forma, deberá observar los Lineamientos Quincuagésimo cuarto, Quincuagésimo quinto, Quincuagésimo séptimo y Quincuagésimo octavo, vigentes a la fecha de la solicitud de información establecen lo siguiente:</w:t>
      </w:r>
    </w:p>
    <w:p w14:paraId="617C2B8B"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739F6FA6" w14:textId="77777777" w:rsidR="00B0371D" w:rsidRPr="009C3A3C" w:rsidRDefault="00444611">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r w:rsidRPr="009C3A3C">
        <w:rPr>
          <w:rFonts w:ascii="Palatino Linotype" w:eastAsia="Palatino Linotype" w:hAnsi="Palatino Linotype" w:cs="Palatino Linotype"/>
          <w:b/>
          <w:bCs/>
          <w:i/>
          <w:iCs/>
          <w:sz w:val="22"/>
          <w:szCs w:val="22"/>
        </w:rPr>
        <w:t>Quincuagésimo cuarto.</w:t>
      </w:r>
      <w:r w:rsidRPr="009C3A3C">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68B32AF"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Quincuagésimo quinto.</w:t>
      </w:r>
      <w:r w:rsidRPr="009C3A3C">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5243552"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p>
    <w:p w14:paraId="391E6B26"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Quincuagésimo séptimo.</w:t>
      </w:r>
      <w:r w:rsidRPr="009C3A3C">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5F015AE8"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520968C5"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4E053C63"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9EA6E3E"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719416EA" w14:textId="77777777" w:rsidR="00B0371D" w:rsidRPr="009C3A3C" w:rsidRDefault="00444611">
      <w:pPr>
        <w:ind w:left="567" w:right="616"/>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593FF968"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064FE1ED"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9AFE17"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72128CA6"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Por otra parte, respecto a las características de las patrullas</w:t>
      </w:r>
      <w:r w:rsidRPr="009C3A3C">
        <w:rPr>
          <w:rFonts w:ascii="Palatino Linotype" w:eastAsia="Palatino Linotype" w:hAnsi="Palatino Linotype" w:cs="Palatino Linotype"/>
          <w:b/>
          <w:bCs/>
          <w:sz w:val="22"/>
          <w:szCs w:val="22"/>
        </w:rPr>
        <w:t xml:space="preserve">, </w:t>
      </w:r>
      <w:r w:rsidRPr="009C3A3C">
        <w:rPr>
          <w:rFonts w:ascii="Palatino Linotype" w:eastAsia="Palatino Linotype" w:hAnsi="Palatino Linotype" w:cs="Palatino Linotype"/>
          <w:sz w:val="22"/>
          <w:szCs w:val="22"/>
        </w:rPr>
        <w:t xml:space="preserve">es importante traer a contexto que, este Organismo Garante no omite mencionar que, </w:t>
      </w:r>
      <w:r w:rsidRPr="009C3A3C">
        <w:rPr>
          <w:rFonts w:ascii="Palatino Linotype" w:eastAsia="Palatino Linotype" w:hAnsi="Palatino Linotype" w:cs="Palatino Linotype"/>
          <w:b/>
          <w:bCs/>
          <w:sz w:val="22"/>
          <w:szCs w:val="22"/>
        </w:rPr>
        <w:t>el Sujeto Obligado</w:t>
      </w:r>
      <w:r w:rsidRPr="009C3A3C">
        <w:rPr>
          <w:rFonts w:ascii="Palatino Linotype" w:eastAsia="Palatino Linotype" w:hAnsi="Palatino Linotype" w:cs="Palatino Linotype"/>
          <w:sz w:val="22"/>
          <w:szCs w:val="22"/>
        </w:rPr>
        <w:t xml:space="preserve"> debe clasificar como información </w:t>
      </w:r>
      <w:r w:rsidRPr="009C3A3C">
        <w:rPr>
          <w:rFonts w:ascii="Palatino Linotype" w:eastAsia="Palatino Linotype" w:hAnsi="Palatino Linotype" w:cs="Palatino Linotype"/>
          <w:b/>
          <w:bCs/>
          <w:sz w:val="22"/>
          <w:szCs w:val="22"/>
          <w:u w:val="single"/>
        </w:rPr>
        <w:t>reservada</w:t>
      </w:r>
      <w:r w:rsidRPr="009C3A3C">
        <w:rPr>
          <w:rFonts w:ascii="Palatino Linotype" w:eastAsia="Palatino Linotype" w:hAnsi="Palatino Linotype" w:cs="Palatino Linotype"/>
          <w:sz w:val="22"/>
          <w:szCs w:val="22"/>
        </w:rPr>
        <w:t xml:space="preserve"> la que por su propia y especial naturaleza, encuadre en alguno de los supuestos que enmarca la Ley de Transparencia y Acceso a la Información Pública del Estado de México y Municipios, misma que puede ser de manera enunciativa más no limitativa la relacionada con el </w:t>
      </w:r>
      <w:r w:rsidRPr="009C3A3C">
        <w:rPr>
          <w:rFonts w:ascii="Palatino Linotype" w:eastAsia="Palatino Linotype" w:hAnsi="Palatino Linotype" w:cs="Palatino Linotype"/>
          <w:b/>
          <w:bCs/>
          <w:sz w:val="22"/>
          <w:szCs w:val="22"/>
          <w:u w:val="single"/>
        </w:rPr>
        <w:t>equipamiento y características de las patrullas</w:t>
      </w:r>
      <w:r w:rsidRPr="009C3A3C">
        <w:rPr>
          <w:rFonts w:ascii="Palatino Linotype" w:eastAsia="Palatino Linotype" w:hAnsi="Palatino Linotype" w:cs="Palatino Linotype"/>
          <w:sz w:val="22"/>
          <w:szCs w:val="22"/>
        </w:rPr>
        <w:t xml:space="preserve">; </w:t>
      </w:r>
    </w:p>
    <w:p w14:paraId="4CAAA368"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494BA439" w14:textId="77777777" w:rsidR="00B0371D" w:rsidRPr="009C3A3C" w:rsidRDefault="00444611">
      <w:pPr>
        <w:spacing w:line="360" w:lineRule="auto"/>
        <w:jc w:val="both"/>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sz w:val="22"/>
          <w:szCs w:val="22"/>
        </w:rPr>
        <w:t xml:space="preserve">Conforme a lo anterior, se puede colegir que proporcionar la información en análisis podría comprometer la seguridad pública, al poner en peligro las funciones a cargo del Municipio, tendientes a preservar y resguardar la vida, la salud, la integridad y el ejercicio de los derechos de las personas, así como para el mantenimiento del orden público, toda vez </w:t>
      </w:r>
      <w:r w:rsidRPr="009C3A3C">
        <w:rPr>
          <w:rFonts w:ascii="Palatino Linotype" w:eastAsia="Palatino Linotype" w:hAnsi="Palatino Linotype" w:cs="Palatino Linotype"/>
          <w:b/>
          <w:bCs/>
          <w:sz w:val="22"/>
          <w:szCs w:val="22"/>
        </w:rPr>
        <w:t xml:space="preserve">que podría dar cuenta de las tecnologías, equipos y sistemas con los que cuentan los equipos de la Dirección Seguridad Pública o equivalente </w:t>
      </w:r>
      <w:r w:rsidRPr="009C3A3C">
        <w:rPr>
          <w:rFonts w:ascii="Palatino Linotype" w:eastAsia="Palatino Linotype" w:hAnsi="Palatino Linotype" w:cs="Palatino Linotype"/>
          <w:sz w:val="22"/>
          <w:szCs w:val="22"/>
        </w:rPr>
        <w:t>y por lo tanto, acredita la causal de clasificación prevista en el artículo 140, fracción I de la Ley de Transparencia y Acceso a la Información Pública del Estado de México</w:t>
      </w:r>
      <w:r w:rsidRPr="009C3A3C">
        <w:rPr>
          <w:rFonts w:ascii="Palatino Linotype" w:eastAsia="Palatino Linotype" w:hAnsi="Palatino Linotype" w:cs="Palatino Linotype"/>
          <w:b/>
          <w:bCs/>
          <w:sz w:val="22"/>
          <w:szCs w:val="22"/>
        </w:rPr>
        <w:t>.</w:t>
      </w:r>
    </w:p>
    <w:p w14:paraId="75E7F792"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5F118636" w14:textId="0C4B0BA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Por tales consideraciones, resulta procedente la reserva, en términos del artículo 140, fracción I, de la Ley de Transparencia y Acceso a la Información Pública del Estado de México y Municipios, respecto a las especificaciones técnicas</w:t>
      </w:r>
      <w:r w:rsidR="00147760" w:rsidRPr="009C3A3C">
        <w:rPr>
          <w:rFonts w:ascii="Palatino Linotype" w:eastAsia="Palatino Linotype" w:hAnsi="Palatino Linotype" w:cs="Palatino Linotype"/>
          <w:sz w:val="22"/>
          <w:szCs w:val="22"/>
        </w:rPr>
        <w:t xml:space="preserve"> y equipamiento</w:t>
      </w:r>
      <w:r w:rsidRPr="009C3A3C">
        <w:rPr>
          <w:rFonts w:ascii="Palatino Linotype" w:eastAsia="Palatino Linotype" w:hAnsi="Palatino Linotype" w:cs="Palatino Linotype"/>
          <w:sz w:val="22"/>
          <w:szCs w:val="22"/>
        </w:rPr>
        <w:t xml:space="preserve"> con los que cuentan las patrullas municipales.</w:t>
      </w:r>
    </w:p>
    <w:p w14:paraId="3E56AE4B"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1E694392" w14:textId="54F043A2"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Conforme a lo anterior, se considera que el Ayuntamiento, deberá entregar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de especificaciones </w:t>
      </w:r>
      <w:r w:rsidR="004E4628" w:rsidRPr="009C3A3C">
        <w:rPr>
          <w:rFonts w:ascii="Palatino Linotype" w:eastAsia="Palatino Linotype" w:hAnsi="Palatino Linotype" w:cs="Palatino Linotype"/>
          <w:sz w:val="22"/>
          <w:szCs w:val="22"/>
        </w:rPr>
        <w:t>técnicas</w:t>
      </w:r>
      <w:r w:rsidR="00147760" w:rsidRPr="009C3A3C">
        <w:rPr>
          <w:rFonts w:ascii="Palatino Linotype" w:eastAsia="Palatino Linotype" w:hAnsi="Palatino Linotype" w:cs="Palatino Linotype"/>
          <w:sz w:val="22"/>
          <w:szCs w:val="22"/>
        </w:rPr>
        <w:t xml:space="preserve"> y equipamiento</w:t>
      </w:r>
      <w:r w:rsidR="004E4628" w:rsidRPr="009C3A3C">
        <w:rPr>
          <w:rFonts w:ascii="Palatino Linotype" w:eastAsia="Palatino Linotype" w:hAnsi="Palatino Linotype" w:cs="Palatino Linotype"/>
          <w:sz w:val="22"/>
          <w:szCs w:val="22"/>
        </w:rPr>
        <w:t xml:space="preserve"> </w:t>
      </w:r>
      <w:r w:rsidRPr="009C3A3C">
        <w:rPr>
          <w:rFonts w:ascii="Palatino Linotype" w:eastAsia="Palatino Linotype" w:hAnsi="Palatino Linotype" w:cs="Palatino Linotype"/>
          <w:sz w:val="22"/>
          <w:szCs w:val="22"/>
        </w:rPr>
        <w:t>de las patrullas municipales, a través de la versión pública que entregue.</w:t>
      </w:r>
    </w:p>
    <w:p w14:paraId="47520717"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30E6C909"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Lo anterior, sin perder de vista que la Constitución Política de los Estados Unidos Mexicanos le otorga a </w:t>
      </w:r>
      <w:r w:rsidRPr="009C3A3C">
        <w:rPr>
          <w:rFonts w:ascii="Palatino Linotype" w:eastAsia="Palatino Linotype" w:hAnsi="Palatino Linotype" w:cs="Palatino Linotype"/>
          <w:b/>
          <w:bCs/>
          <w:sz w:val="22"/>
          <w:szCs w:val="22"/>
        </w:rPr>
        <w:t>todos los documentos</w:t>
      </w:r>
      <w:r w:rsidRPr="009C3A3C">
        <w:rPr>
          <w:rFonts w:ascii="Palatino Linotype" w:eastAsia="Palatino Linotype" w:hAnsi="Palatino Linotype" w:cs="Palatino Linotype"/>
          <w:sz w:val="22"/>
          <w:szCs w:val="22"/>
        </w:rPr>
        <w:t xml:space="preserve"> en posesión de las autoridades </w:t>
      </w:r>
      <w:r w:rsidRPr="009C3A3C">
        <w:rPr>
          <w:rFonts w:ascii="Palatino Linotype" w:eastAsia="Palatino Linotype" w:hAnsi="Palatino Linotype" w:cs="Palatino Linotype"/>
          <w:b/>
          <w:bCs/>
          <w:sz w:val="22"/>
          <w:szCs w:val="22"/>
        </w:rPr>
        <w:t>la calidad de públicos</w:t>
      </w:r>
      <w:r w:rsidRPr="009C3A3C">
        <w:rPr>
          <w:rFonts w:ascii="Palatino Linotype" w:eastAsia="Palatino Linotype" w:hAnsi="Palatino Linotype" w:cs="Palatino Linotype"/>
          <w:sz w:val="22"/>
          <w:szCs w:val="22"/>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20BB2348"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46453FCC"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Siendo pertinente aclarar que, la información que se clasifica bajo la premisa de reservada, </w:t>
      </w:r>
      <w:r w:rsidRPr="009C3A3C">
        <w:rPr>
          <w:rFonts w:ascii="Palatino Linotype" w:eastAsia="Palatino Linotype" w:hAnsi="Palatino Linotype" w:cs="Palatino Linotype"/>
          <w:b/>
          <w:bCs/>
          <w:sz w:val="22"/>
          <w:szCs w:val="22"/>
        </w:rPr>
        <w:t>no pierde el carácter de pública</w:t>
      </w:r>
      <w:r w:rsidRPr="009C3A3C">
        <w:rPr>
          <w:rFonts w:ascii="Palatino Linotype" w:eastAsia="Palatino Linotype" w:hAnsi="Palatino Linotype" w:cs="Palatino Linotype"/>
          <w:sz w:val="22"/>
          <w:szCs w:val="22"/>
        </w:rPr>
        <w:t xml:space="preserve">, sino que </w:t>
      </w:r>
      <w:r w:rsidRPr="009C3A3C">
        <w:rPr>
          <w:rFonts w:ascii="Palatino Linotype" w:eastAsia="Palatino Linotype" w:hAnsi="Palatino Linotype" w:cs="Palatino Linotype"/>
          <w:b/>
          <w:bCs/>
          <w:sz w:val="22"/>
          <w:szCs w:val="22"/>
        </w:rPr>
        <w:t>se reserva temporalmente</w:t>
      </w:r>
      <w:r w:rsidRPr="009C3A3C">
        <w:rPr>
          <w:rFonts w:ascii="Palatino Linotype" w:eastAsia="Palatino Linotype" w:hAnsi="Palatino Linotype" w:cs="Palatino Linotype"/>
          <w:sz w:val="22"/>
          <w:szCs w:val="22"/>
        </w:rPr>
        <w:t xml:space="preserve"> </w:t>
      </w:r>
      <w:r w:rsidRPr="009C3A3C">
        <w:rPr>
          <w:rFonts w:ascii="Palatino Linotype" w:eastAsia="Palatino Linotype" w:hAnsi="Palatino Linotype" w:cs="Palatino Linotype"/>
          <w:b/>
          <w:bCs/>
          <w:sz w:val="22"/>
          <w:szCs w:val="22"/>
        </w:rPr>
        <w:t>del conocimiento público</w:t>
      </w:r>
      <w:r w:rsidRPr="009C3A3C">
        <w:rPr>
          <w:rFonts w:ascii="Palatino Linotype" w:eastAsia="Palatino Linotype" w:hAnsi="Palatino Linotype" w:cs="Palatino Linotype"/>
          <w:sz w:val="22"/>
          <w:szCs w:val="22"/>
        </w:rPr>
        <w:t xml:space="preserve">, es decir, que, </w:t>
      </w:r>
      <w:r w:rsidRPr="009C3A3C">
        <w:rPr>
          <w:rFonts w:ascii="Palatino Linotype" w:eastAsia="Palatino Linotype" w:hAnsi="Palatino Linotype" w:cs="Palatino Linotype"/>
          <w:b/>
          <w:bCs/>
          <w:sz w:val="22"/>
          <w:szCs w:val="22"/>
        </w:rPr>
        <w:t>por un tiempo determinado</w:t>
      </w:r>
      <w:r w:rsidRPr="009C3A3C">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69AD4940"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37E01BC7"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2B9680FA" w14:textId="77777777" w:rsidR="00B0371D" w:rsidRPr="009C3A3C" w:rsidRDefault="00B0371D">
      <w:pPr>
        <w:spacing w:line="259" w:lineRule="auto"/>
        <w:jc w:val="both"/>
        <w:rPr>
          <w:rFonts w:ascii="Palatino Linotype" w:eastAsia="Palatino Linotype" w:hAnsi="Palatino Linotype" w:cs="Palatino Linotype"/>
          <w:sz w:val="22"/>
          <w:szCs w:val="22"/>
        </w:rPr>
      </w:pPr>
    </w:p>
    <w:p w14:paraId="47DECEF0" w14:textId="77777777" w:rsidR="00B0371D" w:rsidRPr="009C3A3C" w:rsidRDefault="00444611">
      <w:pPr>
        <w:spacing w:line="259" w:lineRule="auto"/>
        <w:ind w:left="567" w:right="567"/>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w:t>
      </w:r>
      <w:r w:rsidRPr="009C3A3C">
        <w:rPr>
          <w:rFonts w:ascii="Palatino Linotype" w:eastAsia="Palatino Linotype" w:hAnsi="Palatino Linotype" w:cs="Palatino Linotype"/>
          <w:b/>
          <w:bCs/>
          <w:i/>
          <w:iCs/>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9C3A3C">
        <w:rPr>
          <w:rFonts w:ascii="Palatino Linotype" w:eastAsia="Palatino Linotype" w:hAnsi="Palatino Linotype" w:cs="Palatino Linotype"/>
          <w:i/>
          <w:iCs/>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w:t>
      </w:r>
    </w:p>
    <w:p w14:paraId="49B5980A" w14:textId="77777777" w:rsidR="00B0371D" w:rsidRPr="009C3A3C" w:rsidRDefault="00B0371D">
      <w:pPr>
        <w:spacing w:line="259" w:lineRule="auto"/>
        <w:ind w:left="851" w:right="902"/>
        <w:jc w:val="both"/>
        <w:rPr>
          <w:rFonts w:ascii="Palatino Linotype" w:eastAsia="Palatino Linotype" w:hAnsi="Palatino Linotype" w:cs="Palatino Linotype"/>
          <w:i/>
          <w:iCs/>
          <w:sz w:val="22"/>
          <w:szCs w:val="22"/>
        </w:rPr>
      </w:pPr>
    </w:p>
    <w:p w14:paraId="5696A314"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Por todo lo anterior, la reserva de la información implica una clasificación, la cual debe entenderse como el proceso mediante el cual </w:t>
      </w:r>
      <w:r w:rsidRPr="009C3A3C">
        <w:rPr>
          <w:rFonts w:ascii="Palatino Linotype" w:eastAsia="Palatino Linotype" w:hAnsi="Palatino Linotype" w:cs="Palatino Linotype"/>
          <w:b/>
          <w:bCs/>
          <w:sz w:val="22"/>
          <w:szCs w:val="22"/>
        </w:rPr>
        <w:t>el Sujeto Obligado</w:t>
      </w:r>
      <w:r w:rsidRPr="009C3A3C">
        <w:rPr>
          <w:rFonts w:ascii="Palatino Linotype" w:eastAsia="Palatino Linotype" w:hAnsi="Palatino Linotype" w:cs="Palatino Linotype"/>
          <w:sz w:val="22"/>
          <w:szCs w:val="22"/>
        </w:rPr>
        <w:t xml:space="preserve"> determina que la información en su poder actualiza alguno de los supuestos conforme a las normas aplicables.</w:t>
      </w:r>
    </w:p>
    <w:p w14:paraId="6BFB223C"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1C5D4E30"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9C3A3C">
        <w:rPr>
          <w:rFonts w:ascii="Palatino Linotype" w:eastAsia="Palatino Linotype" w:hAnsi="Palatino Linotype" w:cs="Palatino Linotype"/>
          <w:b/>
          <w:bCs/>
          <w:sz w:val="22"/>
          <w:szCs w:val="22"/>
        </w:rPr>
        <w:t>Sujeto Obligado</w:t>
      </w:r>
      <w:r w:rsidRPr="009C3A3C">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w:t>
      </w:r>
      <w:r w:rsidRPr="009C3A3C">
        <w:rPr>
          <w:rFonts w:ascii="Palatino Linotype" w:eastAsia="Palatino Linotype" w:hAnsi="Palatino Linotype" w:cs="Palatino Linotype"/>
          <w:b/>
          <w:bCs/>
          <w:sz w:val="22"/>
          <w:szCs w:val="22"/>
        </w:rPr>
        <w:t>el Sujeto Obligado</w:t>
      </w:r>
      <w:r w:rsidRPr="009C3A3C">
        <w:rPr>
          <w:rFonts w:ascii="Palatino Linotype" w:eastAsia="Palatino Linotype" w:hAnsi="Palatino Linotype" w:cs="Palatino Linotype"/>
          <w:sz w:val="22"/>
          <w:szCs w:val="22"/>
        </w:rPr>
        <w:t xml:space="preserve"> debe, en todo momento, aplicar una prueba de daño.</w:t>
      </w:r>
    </w:p>
    <w:p w14:paraId="428D3A9D"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3F0E7533"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28B2E90A"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72A2F15B"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70123042"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04D24C17" w14:textId="77777777" w:rsidR="00B0371D" w:rsidRPr="009C3A3C" w:rsidRDefault="00444611">
      <w:pPr>
        <w:numPr>
          <w:ilvl w:val="0"/>
          <w:numId w:val="6"/>
        </w:numPr>
        <w:spacing w:after="160" w:line="360" w:lineRule="auto"/>
        <w:ind w:left="567" w:right="900" w:hanging="283"/>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Se reciba una solicitud de acceso a la información;</w:t>
      </w:r>
    </w:p>
    <w:p w14:paraId="12BDC86E" w14:textId="77777777" w:rsidR="00B0371D" w:rsidRPr="009C3A3C" w:rsidRDefault="00444611">
      <w:pPr>
        <w:numPr>
          <w:ilvl w:val="0"/>
          <w:numId w:val="6"/>
        </w:numPr>
        <w:spacing w:after="160" w:line="360" w:lineRule="auto"/>
        <w:ind w:left="567" w:right="900" w:hanging="283"/>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Se determine mediante resolución de autoridad competente; y/o</w:t>
      </w:r>
    </w:p>
    <w:p w14:paraId="15BECEAC" w14:textId="77777777" w:rsidR="00B0371D" w:rsidRPr="009C3A3C" w:rsidRDefault="00444611">
      <w:pPr>
        <w:numPr>
          <w:ilvl w:val="0"/>
          <w:numId w:val="6"/>
        </w:numPr>
        <w:spacing w:after="160" w:line="360" w:lineRule="auto"/>
        <w:ind w:left="567" w:right="900" w:hanging="283"/>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Se generen versiones públicas para dar cumplimiento a las obligaciones de transparencia previstas en la Ley.</w:t>
      </w:r>
    </w:p>
    <w:p w14:paraId="540B647D" w14:textId="77777777" w:rsidR="00B0371D" w:rsidRPr="009C3A3C" w:rsidRDefault="00B0371D">
      <w:pPr>
        <w:spacing w:line="360" w:lineRule="auto"/>
        <w:ind w:left="1276"/>
        <w:jc w:val="both"/>
        <w:rPr>
          <w:rFonts w:ascii="Palatino Linotype" w:eastAsia="Palatino Linotype" w:hAnsi="Palatino Linotype" w:cs="Palatino Linotype"/>
          <w:sz w:val="22"/>
          <w:szCs w:val="22"/>
        </w:rPr>
      </w:pPr>
    </w:p>
    <w:p w14:paraId="541AFE9A"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Situación que se robustece con el artículo 141 de la misma Ley, que señala que las causales de reserva previstas, se deberán fundar y motivar, a través de la aplicación de la prueba de daño.</w:t>
      </w:r>
    </w:p>
    <w:p w14:paraId="2AA64911"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484DD2F6"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6CA313A3"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4735401D" w14:textId="77777777" w:rsidR="00B0371D" w:rsidRPr="009C3A3C" w:rsidRDefault="00444611">
      <w:pPr>
        <w:numPr>
          <w:ilvl w:val="0"/>
          <w:numId w:val="7"/>
        </w:numPr>
        <w:spacing w:after="160" w:line="360" w:lineRule="auto"/>
        <w:ind w:left="567" w:right="900" w:hanging="141"/>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La divulgación de la información representa un </w:t>
      </w:r>
      <w:r w:rsidRPr="009C3A3C">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9C3A3C">
        <w:rPr>
          <w:rFonts w:ascii="Palatino Linotype" w:eastAsia="Palatino Linotype" w:hAnsi="Palatino Linotype" w:cs="Palatino Linotype"/>
          <w:sz w:val="22"/>
          <w:szCs w:val="22"/>
        </w:rPr>
        <w:t>;</w:t>
      </w:r>
    </w:p>
    <w:p w14:paraId="60E96197" w14:textId="77777777" w:rsidR="00B0371D" w:rsidRPr="009C3A3C" w:rsidRDefault="00444611">
      <w:pPr>
        <w:numPr>
          <w:ilvl w:val="0"/>
          <w:numId w:val="7"/>
        </w:numPr>
        <w:spacing w:after="160" w:line="360" w:lineRule="auto"/>
        <w:ind w:left="567" w:right="900" w:hanging="141"/>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El riesgo de perjuicio que supondría la divulgación supera el interés público general de que se difunda; y,</w:t>
      </w:r>
    </w:p>
    <w:p w14:paraId="7451BB83" w14:textId="77777777" w:rsidR="00B0371D" w:rsidRPr="009C3A3C" w:rsidRDefault="00444611">
      <w:pPr>
        <w:numPr>
          <w:ilvl w:val="0"/>
          <w:numId w:val="7"/>
        </w:numPr>
        <w:spacing w:after="160" w:line="360" w:lineRule="auto"/>
        <w:ind w:left="567" w:right="900" w:hanging="141"/>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7E9392BD" w14:textId="77777777" w:rsidR="00B0371D" w:rsidRPr="009C3A3C" w:rsidRDefault="00444611">
      <w:pPr>
        <w:widowControl w:val="0"/>
        <w:tabs>
          <w:tab w:val="left" w:pos="1276"/>
          <w:tab w:val="left" w:pos="1701"/>
          <w:tab w:val="left" w:pos="1843"/>
        </w:tabs>
        <w:spacing w:line="360" w:lineRule="auto"/>
        <w:ind w:right="49"/>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7E714A20" w14:textId="77777777" w:rsidR="00B0371D" w:rsidRPr="009C3A3C" w:rsidRDefault="00B0371D">
      <w:pPr>
        <w:widowControl w:val="0"/>
        <w:tabs>
          <w:tab w:val="left" w:pos="1276"/>
          <w:tab w:val="left" w:pos="1701"/>
          <w:tab w:val="left" w:pos="1843"/>
        </w:tabs>
        <w:spacing w:line="360" w:lineRule="auto"/>
        <w:ind w:right="49"/>
        <w:jc w:val="both"/>
        <w:rPr>
          <w:rFonts w:ascii="Palatino Linotype" w:eastAsia="Palatino Linotype" w:hAnsi="Palatino Linotype" w:cs="Palatino Linotype"/>
          <w:sz w:val="22"/>
          <w:szCs w:val="22"/>
        </w:rPr>
      </w:pPr>
    </w:p>
    <w:p w14:paraId="5B35BC5D" w14:textId="77777777"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Ahora bien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14:paraId="378816AD"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7ADAAAFC" w14:textId="77777777" w:rsidR="00B0371D" w:rsidRPr="009C3A3C" w:rsidRDefault="00444611">
      <w:pPr>
        <w:spacing w:line="259" w:lineRule="auto"/>
        <w:ind w:left="567" w:right="567"/>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b/>
          <w:bCs/>
          <w:i/>
          <w:iCs/>
          <w:sz w:val="22"/>
          <w:szCs w:val="22"/>
        </w:rPr>
        <w:t>“…XXIV. Información reservada:</w:t>
      </w:r>
      <w:r w:rsidRPr="009C3A3C">
        <w:rPr>
          <w:rFonts w:ascii="Palatino Linotype" w:eastAsia="Palatino Linotype" w:hAnsi="Palatino Linotype" w:cs="Palatino Linotype"/>
          <w:i/>
          <w:iCs/>
          <w:sz w:val="22"/>
          <w:szCs w:val="22"/>
        </w:rPr>
        <w:t xml:space="preserve"> La clasificada con este carácter de manera temporal por las disposiciones de esta Ley, cuya divulgación puede causar daño en términos de lo establecido por esta Ley…”</w:t>
      </w:r>
    </w:p>
    <w:p w14:paraId="31DE71F8" w14:textId="77777777" w:rsidR="00B0371D" w:rsidRPr="009C3A3C" w:rsidRDefault="00B0371D">
      <w:pPr>
        <w:spacing w:line="360" w:lineRule="auto"/>
        <w:jc w:val="both"/>
        <w:rPr>
          <w:rFonts w:ascii="Palatino Linotype" w:eastAsia="Palatino Linotype" w:hAnsi="Palatino Linotype" w:cs="Palatino Linotype"/>
          <w:sz w:val="22"/>
          <w:szCs w:val="22"/>
        </w:rPr>
      </w:pPr>
    </w:p>
    <w:p w14:paraId="3DC70AA4" w14:textId="7912D03A" w:rsidR="00B0371D" w:rsidRPr="009C3A3C" w:rsidRDefault="00444611">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bCs/>
          <w:sz w:val="22"/>
          <w:szCs w:val="22"/>
        </w:rPr>
        <w:t>En síntesis, se determina que, excepcionalmente la información pública podrá ser clasificada como reservada temporalmente por razones de interés público</w:t>
      </w:r>
      <w:r w:rsidRPr="009C3A3C">
        <w:rPr>
          <w:rFonts w:ascii="Palatino Linotype" w:eastAsia="Palatino Linotype" w:hAnsi="Palatino Linotype" w:cs="Palatino Linotype"/>
          <w:sz w:val="22"/>
          <w:szCs w:val="22"/>
        </w:rPr>
        <w:t xml:space="preserve">, en los términos de las causas legítimas y estrictamente necesarias previstas por la Ley de Transparencia, por lo que los Sujetos Obligados deben garantizar el derecho de acceso a la información pública, pero también tienen </w:t>
      </w:r>
      <w:r w:rsidRPr="009C3A3C">
        <w:rPr>
          <w:rFonts w:ascii="Palatino Linotype" w:eastAsia="Palatino Linotype" w:hAnsi="Palatino Linotype" w:cs="Palatino Linotype"/>
          <w:b/>
          <w:bCs/>
          <w:sz w:val="22"/>
          <w:szCs w:val="22"/>
        </w:rPr>
        <w:t>la obligación de proteger aquella información que ponga en riesgo el interés público</w:t>
      </w:r>
      <w:r w:rsidRPr="009C3A3C">
        <w:rPr>
          <w:rFonts w:ascii="Palatino Linotype" w:eastAsia="Palatino Linotype" w:hAnsi="Palatino Linotype" w:cs="Palatino Linotype"/>
          <w:sz w:val="22"/>
          <w:szCs w:val="22"/>
        </w:rPr>
        <w:t>. De tal manera, que para el presente asunto, es dable señalar que la información respecto a las especificaciones técnicas del equipamiento de las patrullas que pueda obrar en los Contratos celebrados para la renta de patrullas municipales debe clasificarse como información reservada.</w:t>
      </w:r>
    </w:p>
    <w:p w14:paraId="61CB4CF6" w14:textId="77777777" w:rsidR="00147760" w:rsidRPr="009C3A3C" w:rsidRDefault="00147760">
      <w:pPr>
        <w:spacing w:line="360" w:lineRule="auto"/>
        <w:jc w:val="both"/>
        <w:rPr>
          <w:rFonts w:ascii="Palatino Linotype" w:eastAsia="Palatino Linotype" w:hAnsi="Palatino Linotype" w:cs="Palatino Linotype"/>
          <w:sz w:val="22"/>
          <w:szCs w:val="22"/>
        </w:rPr>
      </w:pPr>
    </w:p>
    <w:p w14:paraId="09C7BE64" w14:textId="77777777" w:rsidR="00147760" w:rsidRPr="009C3A3C" w:rsidRDefault="00147760" w:rsidP="00147760">
      <w:pPr>
        <w:spacing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6CD78CB5" w14:textId="77777777" w:rsidR="00B0371D" w:rsidRPr="009C3A3C" w:rsidRDefault="00444611">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R E S U E L V E:</w:t>
      </w:r>
    </w:p>
    <w:p w14:paraId="243DF73D" w14:textId="5E94CB60" w:rsidR="00B0371D" w:rsidRPr="009C3A3C" w:rsidRDefault="00444611">
      <w:pPr>
        <w:spacing w:before="240" w:after="240" w:line="360" w:lineRule="auto"/>
        <w:jc w:val="both"/>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 xml:space="preserve">Primero. </w:t>
      </w:r>
      <w:r w:rsidRPr="009C3A3C">
        <w:rPr>
          <w:rFonts w:ascii="Palatino Linotype" w:eastAsia="Palatino Linotype" w:hAnsi="Palatino Linotype" w:cs="Palatino Linotype"/>
          <w:sz w:val="22"/>
          <w:szCs w:val="22"/>
        </w:rPr>
        <w:t>Resultan</w:t>
      </w:r>
      <w:r w:rsidRPr="009C3A3C">
        <w:rPr>
          <w:rFonts w:ascii="Palatino Linotype" w:eastAsia="Palatino Linotype" w:hAnsi="Palatino Linotype" w:cs="Palatino Linotype"/>
          <w:b/>
          <w:bCs/>
          <w:sz w:val="22"/>
          <w:szCs w:val="22"/>
        </w:rPr>
        <w:t xml:space="preserve"> fundados </w:t>
      </w:r>
      <w:r w:rsidRPr="009C3A3C">
        <w:rPr>
          <w:rFonts w:ascii="Palatino Linotype" w:eastAsia="Palatino Linotype" w:hAnsi="Palatino Linotype" w:cs="Palatino Linotype"/>
          <w:sz w:val="22"/>
          <w:szCs w:val="22"/>
        </w:rPr>
        <w:t xml:space="preserve">los motivos de inconformidad hechos valer por </w:t>
      </w:r>
      <w:r w:rsidRPr="009C3A3C">
        <w:rPr>
          <w:rFonts w:ascii="Palatino Linotype" w:eastAsia="Palatino Linotype" w:hAnsi="Palatino Linotype" w:cs="Palatino Linotype"/>
          <w:b/>
          <w:bCs/>
          <w:sz w:val="22"/>
          <w:szCs w:val="22"/>
        </w:rPr>
        <w:t>la parte Recurrente</w:t>
      </w:r>
      <w:r w:rsidRPr="009C3A3C">
        <w:rPr>
          <w:rFonts w:ascii="Palatino Linotype" w:eastAsia="Palatino Linotype" w:hAnsi="Palatino Linotype" w:cs="Palatino Linotype"/>
          <w:sz w:val="22"/>
          <w:szCs w:val="22"/>
        </w:rPr>
        <w:t xml:space="preserve"> en </w:t>
      </w:r>
      <w:r w:rsidR="00147760" w:rsidRPr="009C3A3C">
        <w:rPr>
          <w:rFonts w:ascii="Palatino Linotype" w:eastAsia="Palatino Linotype" w:hAnsi="Palatino Linotype" w:cs="Palatino Linotype"/>
          <w:sz w:val="22"/>
          <w:szCs w:val="22"/>
        </w:rPr>
        <w:t xml:space="preserve">los </w:t>
      </w:r>
      <w:r w:rsidRPr="009C3A3C">
        <w:rPr>
          <w:rFonts w:ascii="Palatino Linotype" w:eastAsia="Palatino Linotype" w:hAnsi="Palatino Linotype" w:cs="Palatino Linotype"/>
          <w:sz w:val="22"/>
          <w:szCs w:val="22"/>
        </w:rPr>
        <w:t>Recurso</w:t>
      </w:r>
      <w:r w:rsidR="00147760"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de Revisión</w:t>
      </w:r>
      <w:r w:rsidRPr="009C3A3C">
        <w:rPr>
          <w:rFonts w:ascii="Palatino Linotype" w:eastAsia="Palatino Linotype" w:hAnsi="Palatino Linotype" w:cs="Palatino Linotype"/>
          <w:b/>
          <w:bCs/>
          <w:sz w:val="22"/>
          <w:szCs w:val="22"/>
        </w:rPr>
        <w:t xml:space="preserve"> </w:t>
      </w:r>
      <w:r w:rsidR="00147760" w:rsidRPr="009C3A3C">
        <w:rPr>
          <w:rFonts w:ascii="Palatino Linotype" w:eastAsia="Palatino Linotype" w:hAnsi="Palatino Linotype" w:cs="Palatino Linotype"/>
          <w:b/>
          <w:bCs/>
          <w:sz w:val="22"/>
          <w:szCs w:val="22"/>
        </w:rPr>
        <w:t>10914</w:t>
      </w:r>
      <w:r w:rsidRPr="009C3A3C">
        <w:rPr>
          <w:rFonts w:ascii="Palatino Linotype" w:eastAsia="Palatino Linotype" w:hAnsi="Palatino Linotype" w:cs="Palatino Linotype"/>
          <w:b/>
          <w:bCs/>
          <w:sz w:val="22"/>
          <w:szCs w:val="22"/>
        </w:rPr>
        <w:t>/INFOEM/IP/RR/2025</w:t>
      </w:r>
      <w:r w:rsidR="00147760" w:rsidRPr="009C3A3C">
        <w:rPr>
          <w:rFonts w:ascii="Palatino Linotype" w:eastAsia="Palatino Linotype" w:hAnsi="Palatino Linotype" w:cs="Palatino Linotype"/>
          <w:b/>
          <w:bCs/>
          <w:sz w:val="22"/>
          <w:szCs w:val="22"/>
        </w:rPr>
        <w:t xml:space="preserve"> y 10915/INFOEM/IP/RR/2025</w:t>
      </w:r>
      <w:r w:rsidRPr="009C3A3C">
        <w:rPr>
          <w:rFonts w:ascii="Palatino Linotype" w:eastAsia="Palatino Linotype" w:hAnsi="Palatino Linotype" w:cs="Palatino Linotype"/>
          <w:b/>
          <w:bCs/>
          <w:sz w:val="22"/>
          <w:szCs w:val="22"/>
        </w:rPr>
        <w:t xml:space="preserve">, </w:t>
      </w:r>
      <w:r w:rsidRPr="009C3A3C">
        <w:rPr>
          <w:rFonts w:ascii="Palatino Linotype" w:eastAsia="Palatino Linotype" w:hAnsi="Palatino Linotype" w:cs="Palatino Linotype"/>
          <w:sz w:val="22"/>
          <w:szCs w:val="22"/>
        </w:rPr>
        <w:t>por lo que</w:t>
      </w:r>
      <w:r w:rsidRPr="009C3A3C">
        <w:rPr>
          <w:rFonts w:ascii="Palatino Linotype" w:eastAsia="Palatino Linotype" w:hAnsi="Palatino Linotype" w:cs="Palatino Linotype"/>
          <w:b/>
          <w:bCs/>
          <w:sz w:val="22"/>
          <w:szCs w:val="22"/>
        </w:rPr>
        <w:t xml:space="preserve">, en términos del Considerando Cuarto </w:t>
      </w:r>
      <w:r w:rsidRPr="009C3A3C">
        <w:rPr>
          <w:rFonts w:ascii="Palatino Linotype" w:eastAsia="Palatino Linotype" w:hAnsi="Palatino Linotype" w:cs="Palatino Linotype"/>
          <w:sz w:val="22"/>
          <w:szCs w:val="22"/>
        </w:rPr>
        <w:t>de la presente resolución</w:t>
      </w:r>
      <w:r w:rsidRPr="009C3A3C">
        <w:rPr>
          <w:rFonts w:ascii="Palatino Linotype" w:eastAsia="Palatino Linotype" w:hAnsi="Palatino Linotype" w:cs="Palatino Linotype"/>
          <w:b/>
          <w:bCs/>
          <w:sz w:val="22"/>
          <w:szCs w:val="22"/>
        </w:rPr>
        <w:t>, se REVOCA</w:t>
      </w:r>
      <w:r w:rsidR="00147760" w:rsidRPr="009C3A3C">
        <w:rPr>
          <w:rFonts w:ascii="Palatino Linotype" w:eastAsia="Palatino Linotype" w:hAnsi="Palatino Linotype" w:cs="Palatino Linotype"/>
          <w:b/>
          <w:bCs/>
          <w:sz w:val="22"/>
          <w:szCs w:val="22"/>
        </w:rPr>
        <w:t>N</w:t>
      </w:r>
      <w:r w:rsidRPr="009C3A3C">
        <w:rPr>
          <w:rFonts w:ascii="Palatino Linotype" w:eastAsia="Palatino Linotype" w:hAnsi="Palatino Linotype" w:cs="Palatino Linotype"/>
          <w:b/>
          <w:bCs/>
          <w:sz w:val="22"/>
          <w:szCs w:val="22"/>
        </w:rPr>
        <w:t xml:space="preserve"> l</w:t>
      </w:r>
      <w:r w:rsidRPr="009C3A3C">
        <w:rPr>
          <w:rFonts w:ascii="Palatino Linotype" w:eastAsia="Palatino Linotype" w:hAnsi="Palatino Linotype" w:cs="Palatino Linotype"/>
          <w:sz w:val="22"/>
          <w:szCs w:val="22"/>
        </w:rPr>
        <w:t>a</w:t>
      </w:r>
      <w:r w:rsidR="00147760"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respuesta</w:t>
      </w:r>
      <w:r w:rsidR="00147760" w:rsidRPr="009C3A3C">
        <w:rPr>
          <w:rFonts w:ascii="Palatino Linotype" w:eastAsia="Palatino Linotype" w:hAnsi="Palatino Linotype" w:cs="Palatino Linotype"/>
          <w:sz w:val="22"/>
          <w:szCs w:val="22"/>
        </w:rPr>
        <w:t>s</w:t>
      </w:r>
      <w:r w:rsidRPr="009C3A3C">
        <w:rPr>
          <w:rFonts w:ascii="Palatino Linotype" w:eastAsia="Palatino Linotype" w:hAnsi="Palatino Linotype" w:cs="Palatino Linotype"/>
          <w:sz w:val="22"/>
          <w:szCs w:val="22"/>
        </w:rPr>
        <w:t xml:space="preserve"> del</w:t>
      </w:r>
      <w:r w:rsidRPr="009C3A3C">
        <w:rPr>
          <w:rFonts w:ascii="Palatino Linotype" w:eastAsia="Palatino Linotype" w:hAnsi="Palatino Linotype" w:cs="Palatino Linotype"/>
          <w:b/>
          <w:bCs/>
          <w:sz w:val="22"/>
          <w:szCs w:val="22"/>
        </w:rPr>
        <w:t xml:space="preserve"> Sujeto Obligado.</w:t>
      </w:r>
    </w:p>
    <w:p w14:paraId="78429FD2" w14:textId="5FC80E08" w:rsidR="00B0371D" w:rsidRPr="009C3A3C" w:rsidRDefault="00444611">
      <w:pPr>
        <w:spacing w:before="240" w:after="240" w:line="360" w:lineRule="auto"/>
        <w:jc w:val="both"/>
        <w:rPr>
          <w:rFonts w:ascii="Palatino Linotype" w:eastAsia="Palatino Linotype" w:hAnsi="Palatino Linotype" w:cs="Palatino Linotype"/>
          <w:b/>
          <w:bCs/>
          <w:sz w:val="22"/>
          <w:szCs w:val="22"/>
        </w:rPr>
      </w:pPr>
      <w:bookmarkStart w:id="3" w:name="_heading=h.j3ppyxwlb1s2" w:colFirst="0" w:colLast="0"/>
      <w:bookmarkEnd w:id="3"/>
      <w:r w:rsidRPr="009C3A3C">
        <w:rPr>
          <w:rFonts w:ascii="Palatino Linotype" w:eastAsia="Palatino Linotype" w:hAnsi="Palatino Linotype" w:cs="Palatino Linotype"/>
          <w:b/>
          <w:bCs/>
          <w:sz w:val="22"/>
          <w:szCs w:val="22"/>
        </w:rPr>
        <w:t xml:space="preserve">Segundo. Se Ordena al Sujeto Obligado </w:t>
      </w:r>
      <w:r w:rsidR="00147760" w:rsidRPr="009C3A3C">
        <w:rPr>
          <w:rFonts w:ascii="Palatino Linotype" w:eastAsia="Palatino Linotype" w:hAnsi="Palatino Linotype" w:cs="Palatino Linotype"/>
          <w:sz w:val="22"/>
          <w:szCs w:val="22"/>
        </w:rPr>
        <w:t>que,</w:t>
      </w:r>
      <w:r w:rsidRPr="009C3A3C">
        <w:rPr>
          <w:rFonts w:ascii="Palatino Linotype" w:eastAsia="Palatino Linotype" w:hAnsi="Palatino Linotype" w:cs="Palatino Linotype"/>
          <w:sz w:val="22"/>
          <w:szCs w:val="22"/>
        </w:rPr>
        <w:t xml:space="preserve"> en términos de los</w:t>
      </w:r>
      <w:r w:rsidRPr="009C3A3C">
        <w:rPr>
          <w:rFonts w:ascii="Palatino Linotype" w:eastAsia="Palatino Linotype" w:hAnsi="Palatino Linotype" w:cs="Palatino Linotype"/>
          <w:b/>
          <w:bCs/>
          <w:sz w:val="22"/>
          <w:szCs w:val="22"/>
        </w:rPr>
        <w:t xml:space="preserve"> Considerandos Cuarto y Quinto </w:t>
      </w:r>
      <w:r w:rsidRPr="009C3A3C">
        <w:rPr>
          <w:rFonts w:ascii="Palatino Linotype" w:eastAsia="Palatino Linotype" w:hAnsi="Palatino Linotype" w:cs="Palatino Linotype"/>
          <w:sz w:val="22"/>
          <w:szCs w:val="22"/>
        </w:rPr>
        <w:t xml:space="preserve">de esta resolución, haga entrega a </w:t>
      </w:r>
      <w:r w:rsidRPr="009C3A3C">
        <w:rPr>
          <w:rFonts w:ascii="Palatino Linotype" w:eastAsia="Palatino Linotype" w:hAnsi="Palatino Linotype" w:cs="Palatino Linotype"/>
          <w:b/>
          <w:bCs/>
          <w:sz w:val="22"/>
          <w:szCs w:val="22"/>
        </w:rPr>
        <w:t>la parte Recurrente a través del SAIMEX,</w:t>
      </w:r>
      <w:r w:rsidRPr="009C3A3C">
        <w:rPr>
          <w:rFonts w:ascii="Palatino Linotype" w:eastAsia="Palatino Linotype" w:hAnsi="Palatino Linotype" w:cs="Palatino Linotype"/>
          <w:sz w:val="22"/>
          <w:szCs w:val="22"/>
        </w:rPr>
        <w:t xml:space="preserve"> previa búsqueda exhaustiva y razonable, de ser el caso en versión pública, la siguiente información: </w:t>
      </w:r>
    </w:p>
    <w:p w14:paraId="60E15C47" w14:textId="52628159" w:rsidR="00147760" w:rsidRPr="009C3A3C" w:rsidRDefault="00147760" w:rsidP="00147760">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 xml:space="preserve">Los contratos de arrendamientos, vigentes </w:t>
      </w:r>
      <w:r w:rsidRPr="009C3A3C">
        <w:rPr>
          <w:rFonts w:ascii="Palatino Linotype" w:hAnsi="Palatino Linotype"/>
          <w:b/>
          <w:bCs/>
          <w:sz w:val="22"/>
          <w:szCs w:val="22"/>
        </w:rPr>
        <w:t xml:space="preserve">al dos de septiembre del dos mil veinticinco, respecto a: </w:t>
      </w:r>
    </w:p>
    <w:p w14:paraId="409DFD0A" w14:textId="60DBA147" w:rsidR="00147760" w:rsidRPr="009C3A3C" w:rsidRDefault="00147760" w:rsidP="00147760">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a) Vehículos con los que cuenta el Ayuntamiento</w:t>
      </w:r>
    </w:p>
    <w:p w14:paraId="08013C08" w14:textId="68699340" w:rsidR="00147760" w:rsidRPr="009C3A3C" w:rsidRDefault="00147760" w:rsidP="00147760">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r w:rsidRPr="009C3A3C">
        <w:rPr>
          <w:rFonts w:ascii="Palatino Linotype" w:eastAsia="Palatino Linotype" w:hAnsi="Palatino Linotype" w:cs="Palatino Linotype"/>
          <w:b/>
          <w:bCs/>
          <w:sz w:val="22"/>
          <w:szCs w:val="22"/>
        </w:rPr>
        <w:t xml:space="preserve">b) Patrullas con las que cuenta el Ayuntamiento  </w:t>
      </w:r>
    </w:p>
    <w:p w14:paraId="11A181E7" w14:textId="77777777" w:rsidR="00147760" w:rsidRPr="009C3A3C" w:rsidRDefault="00147760">
      <w:pPr>
        <w:tabs>
          <w:tab w:val="left" w:pos="993"/>
        </w:tabs>
        <w:ind w:left="360"/>
        <w:jc w:val="both"/>
        <w:rPr>
          <w:rFonts w:ascii="Palatino Linotype" w:eastAsia="Palatino Linotype" w:hAnsi="Palatino Linotype" w:cs="Palatino Linotype"/>
          <w:i/>
          <w:iCs/>
          <w:sz w:val="22"/>
          <w:szCs w:val="22"/>
        </w:rPr>
      </w:pPr>
    </w:p>
    <w:p w14:paraId="1AEA9BA1" w14:textId="0D4B023C" w:rsidR="00B0371D" w:rsidRPr="009C3A3C" w:rsidRDefault="00444611">
      <w:pPr>
        <w:tabs>
          <w:tab w:val="left" w:pos="993"/>
        </w:tabs>
        <w:ind w:left="360"/>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Deberán acompañarse del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3561353F" w14:textId="77777777" w:rsidR="00B0371D" w:rsidRPr="009C3A3C" w:rsidRDefault="00B0371D">
      <w:pPr>
        <w:tabs>
          <w:tab w:val="left" w:pos="993"/>
        </w:tabs>
        <w:ind w:left="360"/>
        <w:jc w:val="both"/>
        <w:rPr>
          <w:rFonts w:ascii="Palatino Linotype" w:eastAsia="Palatino Linotype" w:hAnsi="Palatino Linotype" w:cs="Palatino Linotype"/>
          <w:i/>
          <w:iCs/>
          <w:sz w:val="22"/>
          <w:szCs w:val="22"/>
        </w:rPr>
      </w:pPr>
    </w:p>
    <w:p w14:paraId="6D448FD8" w14:textId="71BA8E5D" w:rsidR="00B0371D" w:rsidRPr="009C3A3C" w:rsidRDefault="00444611">
      <w:pPr>
        <w:pBdr>
          <w:top w:val="nil"/>
          <w:left w:val="nil"/>
          <w:bottom w:val="nil"/>
          <w:right w:val="nil"/>
          <w:between w:val="nil"/>
        </w:pBdr>
        <w:ind w:left="284"/>
        <w:jc w:val="both"/>
        <w:rPr>
          <w:rFonts w:ascii="Palatino Linotype" w:eastAsia="Palatino Linotype" w:hAnsi="Palatino Linotype" w:cs="Palatino Linotype"/>
          <w:i/>
          <w:iCs/>
          <w:sz w:val="22"/>
          <w:szCs w:val="22"/>
        </w:rPr>
      </w:pPr>
      <w:r w:rsidRPr="009C3A3C">
        <w:rPr>
          <w:rFonts w:ascii="Palatino Linotype" w:eastAsia="Palatino Linotype" w:hAnsi="Palatino Linotype" w:cs="Palatino Linotype"/>
          <w:i/>
          <w:iCs/>
          <w:sz w:val="22"/>
          <w:szCs w:val="22"/>
        </w:rPr>
        <w:t xml:space="preserve">De ser el caso de que no se cuente con la información </w:t>
      </w:r>
      <w:r w:rsidR="00147760" w:rsidRPr="009C3A3C">
        <w:rPr>
          <w:rFonts w:ascii="Palatino Linotype" w:eastAsia="Palatino Linotype" w:hAnsi="Palatino Linotype" w:cs="Palatino Linotype"/>
          <w:i/>
          <w:iCs/>
          <w:sz w:val="22"/>
          <w:szCs w:val="22"/>
        </w:rPr>
        <w:t xml:space="preserve">de vehículos arrendados </w:t>
      </w:r>
      <w:r w:rsidR="00147760" w:rsidRPr="009C3A3C">
        <w:rPr>
          <w:rFonts w:ascii="Palatino Linotype" w:eastAsia="Palatino Linotype" w:hAnsi="Palatino Linotype" w:cs="Palatino Linotype"/>
          <w:i/>
          <w:iCs/>
          <w:sz w:val="22"/>
          <w:szCs w:val="22"/>
          <w:u w:val="single"/>
        </w:rPr>
        <w:t>distintos a las patrullas</w:t>
      </w:r>
      <w:r w:rsidR="00147760" w:rsidRPr="009C3A3C">
        <w:rPr>
          <w:rFonts w:ascii="Palatino Linotype" w:eastAsia="Palatino Linotype" w:hAnsi="Palatino Linotype" w:cs="Palatino Linotype"/>
          <w:i/>
          <w:iCs/>
          <w:sz w:val="22"/>
          <w:szCs w:val="22"/>
        </w:rPr>
        <w:t>, por</w:t>
      </w:r>
      <w:r w:rsidRPr="009C3A3C">
        <w:rPr>
          <w:rFonts w:ascii="Palatino Linotype" w:eastAsia="Palatino Linotype" w:hAnsi="Palatino Linotype" w:cs="Palatino Linotype"/>
          <w:i/>
          <w:iCs/>
          <w:sz w:val="22"/>
          <w:szCs w:val="22"/>
        </w:rPr>
        <w:t xml:space="preserve"> no haberse celebrado contratos, bastará con que así lo haga del conocimiento de la parte </w:t>
      </w:r>
      <w:r w:rsidRPr="009C3A3C">
        <w:rPr>
          <w:rFonts w:ascii="Palatino Linotype" w:eastAsia="Palatino Linotype" w:hAnsi="Palatino Linotype" w:cs="Palatino Linotype"/>
          <w:b/>
          <w:bCs/>
          <w:i/>
          <w:iCs/>
          <w:sz w:val="22"/>
          <w:szCs w:val="22"/>
        </w:rPr>
        <w:t>Recurrente</w:t>
      </w:r>
      <w:r w:rsidRPr="009C3A3C">
        <w:rPr>
          <w:rFonts w:ascii="Palatino Linotype" w:eastAsia="Palatino Linotype" w:hAnsi="Palatino Linotype" w:cs="Palatino Linotype"/>
          <w:i/>
          <w:iCs/>
          <w:sz w:val="22"/>
          <w:szCs w:val="22"/>
        </w:rPr>
        <w:t>, de manera clara y precisa, en términos del artículo 19, párrafo segundo de la Ley de Transparencia y Acceso a la Información pública del Estado de México y Municipios para tener por colmado el requerimiento de información.</w:t>
      </w:r>
    </w:p>
    <w:p w14:paraId="7A4F4920" w14:textId="77777777" w:rsidR="00B0371D" w:rsidRPr="009C3A3C" w:rsidRDefault="00B0371D">
      <w:pPr>
        <w:tabs>
          <w:tab w:val="left" w:pos="993"/>
        </w:tabs>
        <w:ind w:left="360"/>
        <w:jc w:val="both"/>
        <w:rPr>
          <w:rFonts w:ascii="Palatino Linotype" w:eastAsia="Palatino Linotype" w:hAnsi="Palatino Linotype" w:cs="Palatino Linotype"/>
          <w:i/>
          <w:iCs/>
          <w:sz w:val="22"/>
          <w:szCs w:val="22"/>
        </w:rPr>
      </w:pPr>
    </w:p>
    <w:p w14:paraId="4EB553F9" w14:textId="77777777" w:rsidR="00B0371D" w:rsidRPr="009C3A3C" w:rsidRDefault="00444611">
      <w:pP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bCs/>
          <w:sz w:val="22"/>
          <w:szCs w:val="22"/>
        </w:rPr>
        <w:t xml:space="preserve">Tercero.  Notifíquese vía SAIMEX, </w:t>
      </w:r>
      <w:r w:rsidRPr="009C3A3C">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D636155" w14:textId="77777777" w:rsidR="00B0371D" w:rsidRPr="009C3A3C" w:rsidRDefault="00444611">
      <w:pPr>
        <w:spacing w:before="240" w:after="240" w:line="360" w:lineRule="auto"/>
        <w:jc w:val="both"/>
        <w:rPr>
          <w:rFonts w:ascii="Palatino Linotype" w:eastAsia="Palatino Linotype" w:hAnsi="Palatino Linotype" w:cs="Palatino Linotype"/>
          <w:sz w:val="22"/>
          <w:szCs w:val="22"/>
        </w:rPr>
      </w:pPr>
      <w:r w:rsidRPr="009C3A3C">
        <w:rPr>
          <w:rFonts w:ascii="Palatino Linotype" w:eastAsia="Palatino Linotype" w:hAnsi="Palatino Linotype" w:cs="Palatino Linotype"/>
          <w:b/>
          <w:bCs/>
          <w:sz w:val="22"/>
          <w:szCs w:val="22"/>
        </w:rPr>
        <w:t xml:space="preserve">Cuarto. </w:t>
      </w:r>
      <w:r w:rsidRPr="009C3A3C">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9C3A3C">
        <w:rPr>
          <w:rFonts w:ascii="Palatino Linotype" w:eastAsia="Palatino Linotype" w:hAnsi="Palatino Linotype" w:cs="Palatino Linotype"/>
          <w:b/>
          <w:bCs/>
          <w:sz w:val="22"/>
          <w:szCs w:val="22"/>
        </w:rPr>
        <w:t>Sujeto Obligado</w:t>
      </w:r>
      <w:r w:rsidRPr="009C3A3C">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899C69C" w14:textId="77777777" w:rsidR="00B0371D" w:rsidRPr="009C3A3C" w:rsidRDefault="00444611">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9C3A3C">
        <w:rPr>
          <w:rFonts w:ascii="Palatino Linotype" w:eastAsia="Palatino Linotype" w:hAnsi="Palatino Linotype" w:cs="Palatino Linotype"/>
          <w:b/>
          <w:bCs/>
          <w:sz w:val="22"/>
          <w:szCs w:val="22"/>
        </w:rPr>
        <w:t xml:space="preserve">Quinto. Notifíquese vía SAIMEX, </w:t>
      </w:r>
      <w:r w:rsidRPr="009C3A3C">
        <w:rPr>
          <w:rFonts w:ascii="Palatino Linotype" w:eastAsia="Palatino Linotype" w:hAnsi="Palatino Linotype" w:cs="Palatino Linotype"/>
          <w:sz w:val="22"/>
          <w:szCs w:val="22"/>
        </w:rPr>
        <w:t>a</w:t>
      </w:r>
      <w:r w:rsidRPr="009C3A3C">
        <w:rPr>
          <w:rFonts w:ascii="Palatino Linotype" w:eastAsia="Palatino Linotype" w:hAnsi="Palatino Linotype" w:cs="Palatino Linotype"/>
          <w:b/>
          <w:bCs/>
          <w:sz w:val="22"/>
          <w:szCs w:val="22"/>
        </w:rPr>
        <w:t xml:space="preserve"> la parte Recurrente</w:t>
      </w:r>
      <w:r w:rsidRPr="009C3A3C">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E650227" w14:textId="77777777" w:rsidR="00B0371D" w:rsidRPr="009C3A3C" w:rsidRDefault="00B0371D">
      <w:pPr>
        <w:spacing w:line="360" w:lineRule="auto"/>
        <w:jc w:val="both"/>
        <w:rPr>
          <w:rFonts w:ascii="Palatino Linotype" w:eastAsia="Palatino Linotype" w:hAnsi="Palatino Linotype" w:cs="Palatino Linotype"/>
          <w:b/>
          <w:bCs/>
          <w:sz w:val="22"/>
          <w:szCs w:val="22"/>
        </w:rPr>
      </w:pPr>
    </w:p>
    <w:p w14:paraId="54103D7A" w14:textId="532470E3" w:rsidR="00B0371D" w:rsidRPr="00EB6649" w:rsidRDefault="00444611">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r w:rsidRPr="009C3A3C">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9C3A3C">
        <w:rPr>
          <w:rFonts w:ascii="Palatino Linotype" w:eastAsia="Palatino Linotype" w:hAnsi="Palatino Linotype" w:cs="Palatino Linotype"/>
          <w:sz w:val="22"/>
          <w:szCs w:val="22"/>
        </w:rPr>
        <w:t xml:space="preserve"> </w:t>
      </w:r>
      <w:r w:rsidR="009C3A3C" w:rsidRPr="009C3A3C">
        <w:rPr>
          <w:rFonts w:ascii="Palatino Linotype" w:eastAsia="Palatino Linotype" w:hAnsi="Palatino Linotype" w:cs="Palatino Linotype"/>
          <w:sz w:val="22"/>
          <w:szCs w:val="22"/>
        </w:rPr>
        <w:t>(AUSENCIA JUSTIFICADA)</w:t>
      </w:r>
      <w:r w:rsidRPr="009C3A3C">
        <w:rPr>
          <w:rFonts w:ascii="Palatino Linotype" w:eastAsia="Palatino Linotype" w:hAnsi="Palatino Linotype" w:cs="Palatino Linotype"/>
          <w:sz w:val="22"/>
          <w:szCs w:val="22"/>
        </w:rPr>
        <w:t>, SHARON CRISTINA MORALES MARTÍNEZ, LUIS GUSTAVO PARRA NORIEGA</w:t>
      </w:r>
      <w:r w:rsidR="00EB6649" w:rsidRPr="009C3A3C">
        <w:rPr>
          <w:rFonts w:ascii="Palatino Linotype" w:eastAsia="Palatino Linotype" w:hAnsi="Palatino Linotype" w:cs="Palatino Linotype"/>
          <w:sz w:val="22"/>
          <w:szCs w:val="22"/>
        </w:rPr>
        <w:t>, EMITIENDO VOTO PARTICULAR</w:t>
      </w:r>
      <w:r w:rsidRPr="009C3A3C">
        <w:rPr>
          <w:rFonts w:ascii="Palatino Linotype" w:eastAsia="Palatino Linotype" w:hAnsi="Palatino Linotype" w:cs="Palatino Linotype"/>
          <w:sz w:val="22"/>
          <w:szCs w:val="22"/>
        </w:rPr>
        <w:t xml:space="preserve"> Y GUADALUPE RAMÍREZ PEÑA; EN </w:t>
      </w:r>
      <w:r w:rsidR="004413EA" w:rsidRPr="009C3A3C">
        <w:rPr>
          <w:rFonts w:ascii="Palatino Linotype" w:eastAsia="Palatino Linotype" w:hAnsi="Palatino Linotype" w:cs="Palatino Linotype"/>
          <w:sz w:val="22"/>
          <w:szCs w:val="22"/>
        </w:rPr>
        <w:t>TERCERA</w:t>
      </w:r>
      <w:r w:rsidRPr="009C3A3C">
        <w:rPr>
          <w:rFonts w:ascii="Palatino Linotype" w:eastAsia="Palatino Linotype" w:hAnsi="Palatino Linotype" w:cs="Palatino Linotype"/>
          <w:sz w:val="22"/>
          <w:szCs w:val="22"/>
        </w:rPr>
        <w:t xml:space="preserve"> SESIÓN ORDINARIA CELEBRADA EL </w:t>
      </w:r>
      <w:r w:rsidR="004413EA" w:rsidRPr="009C3A3C">
        <w:rPr>
          <w:rFonts w:ascii="Palatino Linotype" w:eastAsia="Palatino Linotype" w:hAnsi="Palatino Linotype" w:cs="Palatino Linotype"/>
          <w:sz w:val="22"/>
          <w:szCs w:val="22"/>
        </w:rPr>
        <w:t>VEINTIOCHO DE ENERO</w:t>
      </w:r>
      <w:r w:rsidRPr="009C3A3C">
        <w:rPr>
          <w:rFonts w:ascii="Palatino Linotype" w:eastAsia="Palatino Linotype" w:hAnsi="Palatino Linotype" w:cs="Palatino Linotype"/>
          <w:sz w:val="22"/>
          <w:szCs w:val="22"/>
        </w:rPr>
        <w:t xml:space="preserve"> DE DOS MIL </w:t>
      </w:r>
      <w:r w:rsidR="004413EA" w:rsidRPr="009C3A3C">
        <w:rPr>
          <w:rFonts w:ascii="Palatino Linotype" w:eastAsia="Palatino Linotype" w:hAnsi="Palatino Linotype" w:cs="Palatino Linotype"/>
          <w:sz w:val="22"/>
          <w:szCs w:val="22"/>
        </w:rPr>
        <w:t xml:space="preserve">VEINTISÉIS , </w:t>
      </w:r>
      <w:r w:rsidRPr="009C3A3C">
        <w:rPr>
          <w:rFonts w:ascii="Palatino Linotype" w:eastAsia="Palatino Linotype" w:hAnsi="Palatino Linotype" w:cs="Palatino Linotype"/>
          <w:sz w:val="22"/>
          <w:szCs w:val="22"/>
        </w:rPr>
        <w:t>ANTE EL SECRETARIO TÉCNICO DEL PLENO ALEXIS TAPIA RAMÍREZ.</w:t>
      </w:r>
    </w:p>
    <w:p w14:paraId="0E134AB7" w14:textId="77777777" w:rsidR="00B0371D" w:rsidRPr="00EB6649" w:rsidRDefault="00B0371D">
      <w:pPr>
        <w:spacing w:line="360" w:lineRule="auto"/>
        <w:ind w:right="-93"/>
        <w:jc w:val="both"/>
        <w:rPr>
          <w:rFonts w:ascii="Palatino Linotype" w:eastAsia="Palatino Linotype" w:hAnsi="Palatino Linotype" w:cs="Palatino Linotype"/>
          <w:sz w:val="22"/>
          <w:szCs w:val="22"/>
        </w:rPr>
      </w:pPr>
    </w:p>
    <w:p w14:paraId="1525F658" w14:textId="77777777" w:rsidR="00B0371D" w:rsidRPr="00EB6649" w:rsidRDefault="00B0371D">
      <w:pPr>
        <w:spacing w:line="360" w:lineRule="auto"/>
        <w:ind w:right="-93"/>
        <w:jc w:val="both"/>
        <w:rPr>
          <w:rFonts w:ascii="Palatino Linotype" w:eastAsia="Palatino Linotype" w:hAnsi="Palatino Linotype" w:cs="Palatino Linotype"/>
          <w:sz w:val="22"/>
          <w:szCs w:val="22"/>
        </w:rPr>
      </w:pPr>
    </w:p>
    <w:p w14:paraId="6C6859B8" w14:textId="77777777" w:rsidR="00B0371D" w:rsidRPr="00EB6649" w:rsidRDefault="00B0371D">
      <w:pPr>
        <w:spacing w:line="360" w:lineRule="auto"/>
        <w:ind w:right="-93"/>
        <w:jc w:val="both"/>
        <w:rPr>
          <w:rFonts w:ascii="Palatino Linotype" w:eastAsia="Palatino Linotype" w:hAnsi="Palatino Linotype" w:cs="Palatino Linotype"/>
          <w:sz w:val="22"/>
          <w:szCs w:val="22"/>
        </w:rPr>
      </w:pPr>
    </w:p>
    <w:p w14:paraId="7A46DA2E" w14:textId="77777777" w:rsidR="00B0371D" w:rsidRPr="00EB6649" w:rsidRDefault="00B0371D">
      <w:pPr>
        <w:spacing w:line="360" w:lineRule="auto"/>
        <w:ind w:right="-93"/>
        <w:jc w:val="both"/>
        <w:rPr>
          <w:rFonts w:ascii="Palatino Linotype" w:eastAsia="Palatino Linotype" w:hAnsi="Palatino Linotype" w:cs="Palatino Linotype"/>
          <w:sz w:val="22"/>
          <w:szCs w:val="22"/>
        </w:rPr>
      </w:pPr>
    </w:p>
    <w:p w14:paraId="0B2D1E1C" w14:textId="77777777" w:rsidR="00B0371D" w:rsidRPr="00EB6649" w:rsidRDefault="00B0371D">
      <w:pPr>
        <w:spacing w:line="360" w:lineRule="auto"/>
        <w:ind w:right="-93"/>
        <w:jc w:val="both"/>
        <w:rPr>
          <w:rFonts w:ascii="Palatino Linotype" w:eastAsia="Palatino Linotype" w:hAnsi="Palatino Linotype" w:cs="Palatino Linotype"/>
          <w:sz w:val="22"/>
          <w:szCs w:val="22"/>
        </w:rPr>
      </w:pPr>
    </w:p>
    <w:p w14:paraId="5CE8D456"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6B26E1F9"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4DB7FB87"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26393D71"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7CF6D1E4"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23DF20B9"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41F72DA7"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429F2E58"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6FC1B52A"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75500C3B"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1AF23CEE"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5A1835ED"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6DD9992A"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4FD5D8D1"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59EBADCE"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4177968C"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23D7431E"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1436899A"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0B49992A"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218586EC"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1A95DB16"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02029C2F"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392E6B9A"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44E2B316"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p w14:paraId="47FD300E" w14:textId="77777777" w:rsidR="00B0371D" w:rsidRPr="00EB6649" w:rsidRDefault="00B0371D">
      <w:pPr>
        <w:spacing w:line="360" w:lineRule="auto"/>
        <w:ind w:right="49"/>
        <w:jc w:val="both"/>
        <w:rPr>
          <w:rFonts w:ascii="Palatino Linotype" w:eastAsia="Palatino Linotype" w:hAnsi="Palatino Linotype" w:cs="Palatino Linotype"/>
          <w:sz w:val="22"/>
          <w:szCs w:val="22"/>
        </w:rPr>
      </w:pPr>
    </w:p>
    <w:sectPr w:rsidR="00B0371D" w:rsidRPr="00EB6649">
      <w:headerReference w:type="default" r:id="rId11"/>
      <w:footerReference w:type="default" r:id="rId12"/>
      <w:headerReference w:type="first" r:id="rId13"/>
      <w:footerReference w:type="first" r:id="rId1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AE2605" w14:textId="77777777" w:rsidR="00A72112" w:rsidRDefault="00A72112">
      <w:r>
        <w:separator/>
      </w:r>
    </w:p>
  </w:endnote>
  <w:endnote w:type="continuationSeparator" w:id="0">
    <w:p w14:paraId="5F907E73" w14:textId="77777777" w:rsidR="00A72112" w:rsidRDefault="00A7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11135283-727F-4DE6-BF93-CF9631AF48C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65994131-A9E4-4167-9E57-772D0607C4DF}"/>
    <w:embedBold r:id="rId3" w:fontKey="{CBC72DD9-4114-4CF3-85E3-48261C0A9113}"/>
    <w:embedItalic r:id="rId4" w:fontKey="{BE78ABDB-993D-4613-A039-9FF6CB9F58FD}"/>
    <w:embedBoldItalic r:id="rId5" w:fontKey="{5C93D80E-3826-4D01-BD73-C020D0B3464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BCF8D50-5371-4792-A743-449E54847CD1}"/>
    <w:embedBold r:id="rId7" w:fontKey="{00509A83-3914-4DCB-A869-84AAD357A8FB}"/>
  </w:font>
  <w:font w:name="Georgia">
    <w:panose1 w:val="02040502050405020303"/>
    <w:charset w:val="00"/>
    <w:family w:val="roman"/>
    <w:pitch w:val="variable"/>
    <w:sig w:usb0="00000287" w:usb1="00000000" w:usb2="00000000" w:usb3="00000000" w:csb0="0000009F" w:csb1="00000000"/>
    <w:embedItalic r:id="rId8" w:fontKey="{08C492B1-7971-4527-BCA3-345540591B54}"/>
  </w:font>
  <w:font w:name="Calibri Light">
    <w:panose1 w:val="020F0302020204030204"/>
    <w:charset w:val="00"/>
    <w:family w:val="swiss"/>
    <w:pitch w:val="variable"/>
    <w:sig w:usb0="E4002EFF" w:usb1="C200247B" w:usb2="00000009" w:usb3="00000000" w:csb0="000001FF" w:csb1="00000000"/>
    <w:embedRegular r:id="rId9" w:fontKey="{BF0377E6-2E90-4320-8AAF-C3D965AAA59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3423F" w14:textId="32339485" w:rsidR="00B0371D" w:rsidRDefault="00444611">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564CB5">
      <w:rPr>
        <w:b/>
        <w:bCs/>
        <w:noProof/>
        <w:color w:val="000000"/>
      </w:rPr>
      <w:t>9</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564CB5">
      <w:rPr>
        <w:b/>
        <w:bCs/>
        <w:noProof/>
        <w:color w:val="000000"/>
      </w:rPr>
      <w:t>42</w:t>
    </w:r>
    <w:r>
      <w:rPr>
        <w:b/>
        <w:bCs/>
        <w:color w:val="000000"/>
      </w:rPr>
      <w:fldChar w:fldCharType="end"/>
    </w:r>
  </w:p>
  <w:p w14:paraId="54D15163" w14:textId="77777777" w:rsidR="00B0371D" w:rsidRDefault="00B0371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8BDF2" w14:textId="60D6F6A0" w:rsidR="00B0371D" w:rsidRDefault="00444611">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564CB5">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564CB5">
      <w:rPr>
        <w:b/>
        <w:bCs/>
        <w:noProof/>
        <w:color w:val="000000"/>
      </w:rPr>
      <w:t>42</w:t>
    </w:r>
    <w:r>
      <w:rPr>
        <w:b/>
        <w:bCs/>
        <w:color w:val="000000"/>
      </w:rPr>
      <w:fldChar w:fldCharType="end"/>
    </w:r>
  </w:p>
  <w:p w14:paraId="20ABB958" w14:textId="77777777" w:rsidR="00B0371D" w:rsidRDefault="00B0371D">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2EBD3" w14:textId="77777777" w:rsidR="00A72112" w:rsidRDefault="00A72112">
      <w:r>
        <w:separator/>
      </w:r>
    </w:p>
  </w:footnote>
  <w:footnote w:type="continuationSeparator" w:id="0">
    <w:p w14:paraId="4EE53842" w14:textId="77777777" w:rsidR="00A72112" w:rsidRDefault="00A721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A35C8" w14:textId="77777777" w:rsidR="00B0371D" w:rsidRDefault="00444611">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3B85D13A" wp14:editId="17B861F5">
          <wp:simplePos x="0" y="0"/>
          <wp:positionH relativeFrom="column">
            <wp:posOffset>0</wp:posOffset>
          </wp:positionH>
          <wp:positionV relativeFrom="paragraph">
            <wp:posOffset>-401953</wp:posOffset>
          </wp:positionV>
          <wp:extent cx="7809876" cy="10165823"/>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B0371D" w14:paraId="58BC30EF" w14:textId="77777777">
      <w:tc>
        <w:tcPr>
          <w:tcW w:w="2551" w:type="dxa"/>
          <w:vAlign w:val="center"/>
        </w:tcPr>
        <w:p w14:paraId="111DF740" w14:textId="77777777" w:rsidR="00B0371D" w:rsidRDefault="00444611">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45A31191" w14:textId="77777777" w:rsidR="00B0371D" w:rsidRDefault="00B037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1BE5C4D0" w14:textId="2F585BF6" w:rsidR="00B0371D" w:rsidRDefault="003C0F5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10914</w:t>
          </w:r>
          <w:r w:rsidR="00444611">
            <w:rPr>
              <w:rFonts w:ascii="Palatino Linotype" w:eastAsia="Palatino Linotype" w:hAnsi="Palatino Linotype" w:cs="Palatino Linotype"/>
              <w:b/>
              <w:bCs/>
              <w:color w:val="000000"/>
              <w:sz w:val="22"/>
              <w:szCs w:val="22"/>
            </w:rPr>
            <w:t>/INFOEM/IP/RR/2025</w:t>
          </w:r>
          <w:r>
            <w:rPr>
              <w:rFonts w:ascii="Palatino Linotype" w:eastAsia="Palatino Linotype" w:hAnsi="Palatino Linotype" w:cs="Palatino Linotype"/>
              <w:b/>
              <w:bCs/>
              <w:color w:val="000000"/>
              <w:sz w:val="22"/>
              <w:szCs w:val="22"/>
            </w:rPr>
            <w:t xml:space="preserve"> y acumulado.</w:t>
          </w:r>
        </w:p>
      </w:tc>
    </w:tr>
    <w:tr w:rsidR="00B0371D" w14:paraId="4DE86BB3" w14:textId="77777777">
      <w:trPr>
        <w:trHeight w:val="217"/>
      </w:trPr>
      <w:tc>
        <w:tcPr>
          <w:tcW w:w="2551" w:type="dxa"/>
          <w:vAlign w:val="center"/>
        </w:tcPr>
        <w:p w14:paraId="46AE24B4" w14:textId="77777777" w:rsidR="00B0371D" w:rsidRDefault="00444611">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21C2EC1A" w14:textId="6CABCA9E" w:rsidR="00B0371D" w:rsidRDefault="003C0F54">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sidRPr="003C0F54">
            <w:rPr>
              <w:rFonts w:ascii="Palatino Linotype" w:eastAsia="Palatino Linotype" w:hAnsi="Palatino Linotype" w:cs="Palatino Linotype"/>
              <w:b/>
              <w:bCs/>
              <w:color w:val="000000"/>
              <w:sz w:val="22"/>
              <w:szCs w:val="22"/>
            </w:rPr>
            <w:t>Ayuntamiento de Tianguistenco</w:t>
          </w:r>
        </w:p>
      </w:tc>
    </w:tr>
    <w:tr w:rsidR="00B0371D" w14:paraId="573281D9" w14:textId="77777777">
      <w:tc>
        <w:tcPr>
          <w:tcW w:w="2551" w:type="dxa"/>
          <w:vAlign w:val="center"/>
        </w:tcPr>
        <w:p w14:paraId="68788C17" w14:textId="77777777" w:rsidR="00B0371D" w:rsidRDefault="00444611">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73A334EE" w14:textId="77777777" w:rsidR="00B0371D" w:rsidRDefault="00444611">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47AC578B" w14:textId="77777777" w:rsidR="00B0371D" w:rsidRDefault="00B0371D">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2BC70" w14:textId="77777777" w:rsidR="00B0371D" w:rsidRDefault="00444611">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1792BD36" wp14:editId="737185D9">
          <wp:simplePos x="0" y="0"/>
          <wp:positionH relativeFrom="column">
            <wp:posOffset>-929004</wp:posOffset>
          </wp:positionH>
          <wp:positionV relativeFrom="paragraph">
            <wp:posOffset>-644524</wp:posOffset>
          </wp:positionV>
          <wp:extent cx="7809865" cy="10165715"/>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603" w:type="dxa"/>
      <w:tblInd w:w="3611" w:type="dxa"/>
      <w:tblLayout w:type="fixed"/>
      <w:tblLook w:val="0400" w:firstRow="0" w:lastRow="0" w:firstColumn="0" w:lastColumn="0" w:noHBand="0" w:noVBand="1"/>
    </w:tblPr>
    <w:tblGrid>
      <w:gridCol w:w="2551"/>
      <w:gridCol w:w="3052"/>
    </w:tblGrid>
    <w:tr w:rsidR="00B0371D" w14:paraId="300758EB" w14:textId="77777777">
      <w:tc>
        <w:tcPr>
          <w:tcW w:w="2551" w:type="dxa"/>
          <w:vAlign w:val="center"/>
        </w:tcPr>
        <w:p w14:paraId="06A3D5A7" w14:textId="77777777" w:rsidR="00B0371D" w:rsidRDefault="00444611">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56482DA6" w14:textId="77777777" w:rsidR="00B0371D" w:rsidRDefault="00B037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052" w:type="dxa"/>
          <w:vAlign w:val="center"/>
        </w:tcPr>
        <w:p w14:paraId="2A0C2C2C" w14:textId="726C968A" w:rsidR="00B0371D" w:rsidRDefault="003C0F5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10914</w:t>
          </w:r>
          <w:r w:rsidR="00444611">
            <w:rPr>
              <w:rFonts w:ascii="Palatino Linotype" w:eastAsia="Palatino Linotype" w:hAnsi="Palatino Linotype" w:cs="Palatino Linotype"/>
              <w:b/>
              <w:bCs/>
              <w:color w:val="000000"/>
              <w:sz w:val="22"/>
              <w:szCs w:val="22"/>
            </w:rPr>
            <w:t>/INFOEM/IP/RR/2025</w:t>
          </w:r>
          <w:r>
            <w:rPr>
              <w:rFonts w:ascii="Palatino Linotype" w:eastAsia="Palatino Linotype" w:hAnsi="Palatino Linotype" w:cs="Palatino Linotype"/>
              <w:b/>
              <w:bCs/>
              <w:color w:val="000000"/>
              <w:sz w:val="22"/>
              <w:szCs w:val="22"/>
            </w:rPr>
            <w:t xml:space="preserve"> y acumulado</w:t>
          </w:r>
        </w:p>
      </w:tc>
    </w:tr>
    <w:tr w:rsidR="00B0371D" w14:paraId="64DCD026" w14:textId="77777777">
      <w:tc>
        <w:tcPr>
          <w:tcW w:w="2551" w:type="dxa"/>
          <w:vAlign w:val="center"/>
        </w:tcPr>
        <w:p w14:paraId="24EB0D68" w14:textId="77777777" w:rsidR="00B0371D" w:rsidRDefault="00444611">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052" w:type="dxa"/>
          <w:vAlign w:val="center"/>
        </w:tcPr>
        <w:p w14:paraId="686E270B" w14:textId="4AD8116F" w:rsidR="00B0371D" w:rsidRDefault="00B037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r>
    <w:tr w:rsidR="00B0371D" w14:paraId="7BDAD72A" w14:textId="77777777">
      <w:trPr>
        <w:trHeight w:val="152"/>
      </w:trPr>
      <w:tc>
        <w:tcPr>
          <w:tcW w:w="2551" w:type="dxa"/>
          <w:vAlign w:val="center"/>
        </w:tcPr>
        <w:p w14:paraId="062A2503" w14:textId="77777777" w:rsidR="00B0371D" w:rsidRDefault="00444611">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19DAAA73" w14:textId="77777777" w:rsidR="00B0371D" w:rsidRDefault="00B0371D">
          <w:pPr>
            <w:tabs>
              <w:tab w:val="center" w:pos="4419"/>
              <w:tab w:val="right" w:pos="8838"/>
            </w:tabs>
            <w:rPr>
              <w:rFonts w:ascii="Palatino Linotype" w:eastAsia="Palatino Linotype" w:hAnsi="Palatino Linotype" w:cs="Palatino Linotype"/>
              <w:b/>
              <w:bCs/>
              <w:color w:val="000000"/>
              <w:sz w:val="20"/>
              <w:szCs w:val="20"/>
            </w:rPr>
          </w:pPr>
        </w:p>
      </w:tc>
      <w:tc>
        <w:tcPr>
          <w:tcW w:w="3052" w:type="dxa"/>
          <w:vAlign w:val="center"/>
        </w:tcPr>
        <w:p w14:paraId="74C9C6C1" w14:textId="1A8C9307" w:rsidR="00B0371D" w:rsidRDefault="003C0F54">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bCs/>
              <w:color w:val="000000"/>
              <w:sz w:val="20"/>
              <w:szCs w:val="20"/>
            </w:rPr>
          </w:pPr>
          <w:r w:rsidRPr="003C0F54">
            <w:rPr>
              <w:rFonts w:ascii="Palatino Linotype" w:eastAsia="Palatino Linotype" w:hAnsi="Palatino Linotype" w:cs="Palatino Linotype"/>
              <w:b/>
              <w:bCs/>
              <w:color w:val="000000"/>
              <w:sz w:val="22"/>
              <w:szCs w:val="22"/>
            </w:rPr>
            <w:t>Ayuntamiento de Tianguistenco</w:t>
          </w:r>
        </w:p>
      </w:tc>
    </w:tr>
    <w:tr w:rsidR="00B0371D" w14:paraId="5C89E86D" w14:textId="77777777">
      <w:tc>
        <w:tcPr>
          <w:tcW w:w="2551" w:type="dxa"/>
          <w:vAlign w:val="center"/>
        </w:tcPr>
        <w:p w14:paraId="157D6C9B" w14:textId="77777777" w:rsidR="00B0371D" w:rsidRDefault="00444611">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052" w:type="dxa"/>
          <w:vAlign w:val="center"/>
        </w:tcPr>
        <w:p w14:paraId="07BC4403" w14:textId="77777777" w:rsidR="00B0371D" w:rsidRDefault="00444611">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31A6866C" w14:textId="77777777" w:rsidR="00B0371D" w:rsidRDefault="00444611">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851AE"/>
    <w:multiLevelType w:val="multilevel"/>
    <w:tmpl w:val="88F0E6F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884210"/>
    <w:multiLevelType w:val="multilevel"/>
    <w:tmpl w:val="57548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410C64"/>
    <w:multiLevelType w:val="multilevel"/>
    <w:tmpl w:val="1F6E2E62"/>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17D14F4"/>
    <w:multiLevelType w:val="multilevel"/>
    <w:tmpl w:val="318E7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2579E9"/>
    <w:multiLevelType w:val="multilevel"/>
    <w:tmpl w:val="71F42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5849C8"/>
    <w:multiLevelType w:val="multilevel"/>
    <w:tmpl w:val="A50A24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7E52B2"/>
    <w:multiLevelType w:val="hybridMultilevel"/>
    <w:tmpl w:val="E8B85B5C"/>
    <w:lvl w:ilvl="0" w:tplc="F2A2EFE6">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2D46A5"/>
    <w:multiLevelType w:val="multilevel"/>
    <w:tmpl w:val="CE94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155D22"/>
    <w:multiLevelType w:val="multilevel"/>
    <w:tmpl w:val="658A001A"/>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0525DF"/>
    <w:multiLevelType w:val="multilevel"/>
    <w:tmpl w:val="17D6C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07B10C4"/>
    <w:multiLevelType w:val="multilevel"/>
    <w:tmpl w:val="D76CCA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C9A152A"/>
    <w:multiLevelType w:val="multilevel"/>
    <w:tmpl w:val="39249FB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9"/>
  </w:num>
  <w:num w:numId="3">
    <w:abstractNumId w:val="11"/>
  </w:num>
  <w:num w:numId="4">
    <w:abstractNumId w:val="5"/>
  </w:num>
  <w:num w:numId="5">
    <w:abstractNumId w:val="2"/>
  </w:num>
  <w:num w:numId="6">
    <w:abstractNumId w:val="8"/>
  </w:num>
  <w:num w:numId="7">
    <w:abstractNumId w:val="4"/>
  </w:num>
  <w:num w:numId="8">
    <w:abstractNumId w:val="3"/>
  </w:num>
  <w:num w:numId="9">
    <w:abstractNumId w:val="6"/>
  </w:num>
  <w:num w:numId="10">
    <w:abstractNumId w:val="1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71D"/>
    <w:rsid w:val="000B7B0E"/>
    <w:rsid w:val="00147760"/>
    <w:rsid w:val="00350051"/>
    <w:rsid w:val="003C0F54"/>
    <w:rsid w:val="00411AAC"/>
    <w:rsid w:val="004413EA"/>
    <w:rsid w:val="00444611"/>
    <w:rsid w:val="004E4628"/>
    <w:rsid w:val="00564CB5"/>
    <w:rsid w:val="00630E62"/>
    <w:rsid w:val="009C3A3C"/>
    <w:rsid w:val="00A2621E"/>
    <w:rsid w:val="00A72112"/>
    <w:rsid w:val="00B0371D"/>
    <w:rsid w:val="00D2540E"/>
    <w:rsid w:val="00EB2E0D"/>
    <w:rsid w:val="00EB6649"/>
    <w:rsid w:val="00EF429E"/>
    <w:rsid w:val="00F328BC"/>
    <w:rsid w:val="00FB321F"/>
    <w:rsid w:val="00FD64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673E1"/>
  <w15:docId w15:val="{D93BA806-05D7-441B-9DEF-E94CD17BE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6"/>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character" w:customStyle="1" w:styleId="UnresolvedMention">
    <w:name w:val="Unresolved Mention"/>
    <w:basedOn w:val="Fuentedeprrafopredeter"/>
    <w:uiPriority w:val="99"/>
    <w:semiHidden/>
    <w:unhideWhenUsed/>
    <w:rsid w:val="004E46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997828">
      <w:bodyDiv w:val="1"/>
      <w:marLeft w:val="0"/>
      <w:marRight w:val="0"/>
      <w:marTop w:val="0"/>
      <w:marBottom w:val="0"/>
      <w:divBdr>
        <w:top w:val="none" w:sz="0" w:space="0" w:color="auto"/>
        <w:left w:val="none" w:sz="0" w:space="0" w:color="auto"/>
        <w:bottom w:val="none" w:sz="0" w:space="0" w:color="auto"/>
        <w:right w:val="none" w:sz="0" w:space="0" w:color="auto"/>
      </w:divBdr>
    </w:div>
    <w:div w:id="1754738602">
      <w:bodyDiv w:val="1"/>
      <w:marLeft w:val="0"/>
      <w:marRight w:val="0"/>
      <w:marTop w:val="0"/>
      <w:marBottom w:val="0"/>
      <w:divBdr>
        <w:top w:val="none" w:sz="0" w:space="0" w:color="auto"/>
        <w:left w:val="none" w:sz="0" w:space="0" w:color="auto"/>
        <w:bottom w:val="none" w:sz="0" w:space="0" w:color="auto"/>
        <w:right w:val="none" w:sz="0" w:space="0" w:color="auto"/>
      </w:divBdr>
    </w:div>
    <w:div w:id="1849296578">
      <w:bodyDiv w:val="1"/>
      <w:marLeft w:val="0"/>
      <w:marRight w:val="0"/>
      <w:marTop w:val="0"/>
      <w:marBottom w:val="0"/>
      <w:divBdr>
        <w:top w:val="none" w:sz="0" w:space="0" w:color="auto"/>
        <w:left w:val="none" w:sz="0" w:space="0" w:color="auto"/>
        <w:bottom w:val="none" w:sz="0" w:space="0" w:color="auto"/>
        <w:right w:val="none" w:sz="0" w:space="0" w:color="auto"/>
      </w:divBdr>
    </w:div>
    <w:div w:id="2085637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tianguistenco.gob.mx/wp-content/uploads/2025/08/APLICACION-DE-RECURSOS-DEL-FORTAMUN.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TNj08WLeSF3gveB2iagLr0Y3A==">CgMxLjAyDmguODllb3V3NWhtYzl6MgloLjN6bnlzaDcyDmguajNwcHl4d2xiMXMyMghoLnR5amN3dDINaC5qbDBkbGFzb3Q0ZjgAciExblhfb01DeHVadUI4NktpcHFKLWxhVjdWc2FSZzhMRFY=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89C6FC-5A06-43DA-864F-092B63BA0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11274</Words>
  <Characters>62010</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2026-01-30T00:20:00Z</cp:lastPrinted>
  <dcterms:created xsi:type="dcterms:W3CDTF">2026-03-23T18:05:00Z</dcterms:created>
  <dcterms:modified xsi:type="dcterms:W3CDTF">2026-03-23T18:05:00Z</dcterms:modified>
</cp:coreProperties>
</file>