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B028E6" w14:textId="3B77C658" w:rsidR="00247C10" w:rsidRPr="00D531DC" w:rsidRDefault="00247C10" w:rsidP="00247C10">
      <w:pPr>
        <w:spacing w:line="360" w:lineRule="auto"/>
        <w:contextualSpacing/>
        <w:jc w:val="both"/>
        <w:rPr>
          <w:rFonts w:ascii="Palatino Linotype" w:hAnsi="Palatino Linotype" w:cs="Palatino Linotype"/>
          <w:color w:val="000000"/>
          <w:sz w:val="24"/>
          <w:szCs w:val="24"/>
          <w:lang w:val="es-ES_tradnl"/>
        </w:rPr>
      </w:pPr>
      <w:r w:rsidRPr="00D531DC">
        <w:rPr>
          <w:rFonts w:ascii="Palatino Linotype" w:hAnsi="Palatino Linotype" w:cs="Palatino Linotype"/>
          <w:color w:val="000000"/>
          <w:sz w:val="24"/>
          <w:szCs w:val="24"/>
          <w:lang w:val="es-ES_tradnl"/>
        </w:rPr>
        <w:t xml:space="preserve">Resolución del Pleno del Instituto de Transparencia, Acceso a la Información Pública y Protección de Datos Personales del Estado de México y Municipios, con domicilio en Metepec, Estado de México, a </w:t>
      </w:r>
      <w:r w:rsidR="0014390F" w:rsidRPr="00D531DC">
        <w:rPr>
          <w:rFonts w:ascii="Palatino Linotype" w:hAnsi="Palatino Linotype" w:cs="Palatino Linotype"/>
          <w:color w:val="000000"/>
          <w:sz w:val="24"/>
          <w:szCs w:val="24"/>
          <w:lang w:val="es-ES_tradnl"/>
        </w:rPr>
        <w:t>diecisiete</w:t>
      </w:r>
      <w:r w:rsidR="00B7517C" w:rsidRPr="00D531DC">
        <w:rPr>
          <w:rFonts w:ascii="Palatino Linotype" w:hAnsi="Palatino Linotype" w:cs="Palatino Linotype"/>
          <w:color w:val="000000"/>
          <w:sz w:val="24"/>
          <w:szCs w:val="24"/>
          <w:lang w:val="es-ES_tradnl"/>
        </w:rPr>
        <w:t xml:space="preserve"> de </w:t>
      </w:r>
      <w:r w:rsidR="00132806" w:rsidRPr="00D531DC">
        <w:rPr>
          <w:rFonts w:ascii="Palatino Linotype" w:hAnsi="Palatino Linotype" w:cs="Palatino Linotype"/>
          <w:color w:val="000000"/>
          <w:sz w:val="24"/>
          <w:szCs w:val="24"/>
          <w:lang w:val="es-ES_tradnl"/>
        </w:rPr>
        <w:t xml:space="preserve">junio de dos mil veintiséis. </w:t>
      </w:r>
      <w:r w:rsidR="00B7517C" w:rsidRPr="00D531DC">
        <w:rPr>
          <w:rFonts w:ascii="Palatino Linotype" w:hAnsi="Palatino Linotype" w:cs="Palatino Linotype"/>
          <w:color w:val="000000"/>
          <w:sz w:val="24"/>
          <w:szCs w:val="24"/>
          <w:lang w:val="es-ES_tradnl"/>
        </w:rPr>
        <w:t xml:space="preserve"> </w:t>
      </w:r>
      <w:r w:rsidR="00AC455D" w:rsidRPr="00D531DC">
        <w:rPr>
          <w:rFonts w:ascii="Palatino Linotype" w:hAnsi="Palatino Linotype" w:cs="Palatino Linotype"/>
          <w:color w:val="000000"/>
          <w:sz w:val="24"/>
          <w:szCs w:val="24"/>
          <w:lang w:val="es-ES_tradnl"/>
        </w:rPr>
        <w:t xml:space="preserve"> </w:t>
      </w:r>
      <w:r w:rsidRPr="00D531DC">
        <w:rPr>
          <w:rFonts w:ascii="Palatino Linotype" w:hAnsi="Palatino Linotype" w:cs="Palatino Linotype"/>
          <w:color w:val="000000"/>
          <w:sz w:val="24"/>
          <w:szCs w:val="24"/>
          <w:lang w:val="es-ES_tradnl"/>
        </w:rPr>
        <w:t xml:space="preserve"> </w:t>
      </w:r>
    </w:p>
    <w:p w14:paraId="6B053431" w14:textId="77777777" w:rsidR="00247C10" w:rsidRPr="00D531DC" w:rsidRDefault="00247C10" w:rsidP="00247C10">
      <w:pPr>
        <w:spacing w:line="360" w:lineRule="auto"/>
        <w:contextualSpacing/>
        <w:jc w:val="both"/>
        <w:rPr>
          <w:rFonts w:ascii="Palatino Linotype" w:hAnsi="Palatino Linotype" w:cs="Palatino Linotype"/>
          <w:b/>
          <w:color w:val="000000"/>
          <w:sz w:val="24"/>
          <w:szCs w:val="24"/>
          <w:lang w:val="es-ES_tradnl"/>
        </w:rPr>
      </w:pPr>
    </w:p>
    <w:p w14:paraId="2FEE40D0" w14:textId="5A275F9D" w:rsidR="0014390F" w:rsidRPr="00D531DC" w:rsidRDefault="00247C10" w:rsidP="00247C10">
      <w:pPr>
        <w:spacing w:line="360" w:lineRule="auto"/>
        <w:contextualSpacing/>
        <w:jc w:val="both"/>
        <w:rPr>
          <w:rFonts w:ascii="Palatino Linotype" w:hAnsi="Palatino Linotype" w:cs="Palatino Linotype"/>
          <w:bCs/>
          <w:color w:val="000000"/>
          <w:sz w:val="24"/>
          <w:szCs w:val="24"/>
          <w:lang w:val="es-ES_tradnl"/>
        </w:rPr>
      </w:pPr>
      <w:r w:rsidRPr="00D531DC">
        <w:rPr>
          <w:rFonts w:ascii="Palatino Linotype" w:hAnsi="Palatino Linotype" w:cs="Palatino Linotype"/>
          <w:b/>
          <w:color w:val="000000"/>
          <w:sz w:val="24"/>
          <w:szCs w:val="24"/>
          <w:lang w:val="es-ES_tradnl"/>
        </w:rPr>
        <w:t>VISTO</w:t>
      </w:r>
      <w:r w:rsidRPr="00D531DC">
        <w:rPr>
          <w:rFonts w:ascii="Palatino Linotype" w:hAnsi="Palatino Linotype" w:cs="Palatino Linotype"/>
          <w:color w:val="000000"/>
          <w:sz w:val="24"/>
          <w:szCs w:val="24"/>
          <w:lang w:val="es-ES_tradnl"/>
        </w:rPr>
        <w:t xml:space="preserve"> el expediente electrónico formado con motivo del recurso de revisión número </w:t>
      </w:r>
      <w:bookmarkStart w:id="0" w:name="_GoBack"/>
      <w:r w:rsidR="0014390F" w:rsidRPr="00D531DC">
        <w:rPr>
          <w:rFonts w:ascii="Palatino Linotype" w:hAnsi="Palatino Linotype" w:cs="Palatino Linotype"/>
          <w:b/>
          <w:color w:val="000000"/>
          <w:sz w:val="24"/>
          <w:szCs w:val="24"/>
          <w:lang w:val="es-ES_tradnl"/>
        </w:rPr>
        <w:t>05840</w:t>
      </w:r>
      <w:r w:rsidRPr="00D531DC">
        <w:rPr>
          <w:rFonts w:ascii="Palatino Linotype" w:hAnsi="Palatino Linotype" w:cs="Palatino Linotype"/>
          <w:b/>
          <w:color w:val="000000"/>
          <w:sz w:val="24"/>
          <w:szCs w:val="24"/>
          <w:lang w:val="es-ES_tradnl"/>
        </w:rPr>
        <w:t>/INFOEM/IP/RR/202</w:t>
      </w:r>
      <w:r w:rsidR="0059703C" w:rsidRPr="00D531DC">
        <w:rPr>
          <w:rFonts w:ascii="Palatino Linotype" w:hAnsi="Palatino Linotype" w:cs="Palatino Linotype"/>
          <w:b/>
          <w:color w:val="000000"/>
          <w:sz w:val="24"/>
          <w:szCs w:val="24"/>
          <w:lang w:val="es-ES_tradnl"/>
        </w:rPr>
        <w:t>6</w:t>
      </w:r>
      <w:bookmarkEnd w:id="0"/>
      <w:r w:rsidRPr="00D531DC">
        <w:rPr>
          <w:rFonts w:ascii="Palatino Linotype" w:hAnsi="Palatino Linotype" w:cs="Palatino Linotype"/>
          <w:b/>
          <w:color w:val="000000"/>
          <w:sz w:val="24"/>
          <w:szCs w:val="24"/>
          <w:lang w:val="es-ES_tradnl"/>
        </w:rPr>
        <w:t xml:space="preserve">, </w:t>
      </w:r>
      <w:r w:rsidRPr="00D531DC">
        <w:rPr>
          <w:rFonts w:ascii="Palatino Linotype" w:hAnsi="Palatino Linotype" w:cs="Palatino Linotype"/>
          <w:bCs/>
          <w:color w:val="000000"/>
          <w:sz w:val="24"/>
          <w:szCs w:val="24"/>
          <w:lang w:val="es-ES_tradnl"/>
        </w:rPr>
        <w:t xml:space="preserve">interpuesto por </w:t>
      </w:r>
      <w:r w:rsidR="0014390F" w:rsidRPr="00D531DC">
        <w:rPr>
          <w:rFonts w:ascii="Palatino Linotype" w:hAnsi="Palatino Linotype" w:cs="Palatino Linotype"/>
          <w:bCs/>
          <w:color w:val="000000"/>
          <w:sz w:val="24"/>
          <w:szCs w:val="24"/>
          <w:lang w:val="es-ES_tradnl"/>
        </w:rPr>
        <w:t xml:space="preserve">la </w:t>
      </w:r>
      <w:r w:rsidR="0014390F" w:rsidRPr="00D531DC">
        <w:rPr>
          <w:rFonts w:ascii="Palatino Linotype" w:hAnsi="Palatino Linotype" w:cs="Palatino Linotype"/>
          <w:b/>
          <w:color w:val="000000"/>
          <w:sz w:val="24"/>
          <w:szCs w:val="24"/>
          <w:lang w:val="es-ES_tradnl"/>
        </w:rPr>
        <w:t xml:space="preserve">C. </w:t>
      </w:r>
      <w:r w:rsidR="00B721B4">
        <w:rPr>
          <w:rFonts w:ascii="Palatino Linotype" w:hAnsi="Palatino Linotype" w:cs="Palatino Linotype"/>
          <w:b/>
          <w:color w:val="000000"/>
          <w:sz w:val="24"/>
          <w:szCs w:val="24"/>
          <w:lang w:val="es-ES_tradnl"/>
        </w:rPr>
        <w:t>XXXXXXXXXXXXXXXXXXXXXXX</w:t>
      </w:r>
      <w:r w:rsidR="0014390F" w:rsidRPr="00D531DC">
        <w:rPr>
          <w:rFonts w:ascii="Palatino Linotype" w:hAnsi="Palatino Linotype" w:cs="Palatino Linotype"/>
          <w:b/>
          <w:color w:val="000000"/>
          <w:sz w:val="24"/>
          <w:szCs w:val="24"/>
          <w:lang w:val="es-ES_tradnl"/>
        </w:rPr>
        <w:t xml:space="preserve">, </w:t>
      </w:r>
      <w:r w:rsidR="0014390F" w:rsidRPr="00D531DC">
        <w:rPr>
          <w:rFonts w:ascii="Palatino Linotype" w:hAnsi="Palatino Linotype" w:cs="Palatino Linotype"/>
          <w:bCs/>
          <w:color w:val="000000"/>
          <w:sz w:val="24"/>
          <w:szCs w:val="24"/>
          <w:lang w:val="es-ES_tradnl"/>
        </w:rPr>
        <w:t xml:space="preserve">en lo sucesivo </w:t>
      </w:r>
      <w:r w:rsidR="0014390F" w:rsidRPr="00D531DC">
        <w:rPr>
          <w:rFonts w:ascii="Palatino Linotype" w:hAnsi="Palatino Linotype" w:cs="Palatino Linotype"/>
          <w:b/>
          <w:color w:val="000000"/>
          <w:sz w:val="24"/>
          <w:szCs w:val="24"/>
          <w:lang w:val="es-ES_tradnl"/>
        </w:rPr>
        <w:t xml:space="preserve">La Recurrente, </w:t>
      </w:r>
      <w:r w:rsidR="0014390F" w:rsidRPr="00D531DC">
        <w:rPr>
          <w:rFonts w:ascii="Palatino Linotype" w:hAnsi="Palatino Linotype" w:cs="Palatino Linotype"/>
          <w:bCs/>
          <w:color w:val="000000"/>
          <w:sz w:val="24"/>
          <w:szCs w:val="24"/>
          <w:lang w:val="es-ES_tradnl"/>
        </w:rPr>
        <w:t xml:space="preserve">en contra de la respuesta del </w:t>
      </w:r>
      <w:r w:rsidR="0014390F" w:rsidRPr="00D531DC">
        <w:rPr>
          <w:rFonts w:ascii="Palatino Linotype" w:hAnsi="Palatino Linotype" w:cs="Palatino Linotype"/>
          <w:b/>
          <w:color w:val="000000"/>
          <w:sz w:val="24"/>
          <w:szCs w:val="24"/>
          <w:lang w:val="es-ES_tradnl"/>
        </w:rPr>
        <w:t xml:space="preserve">Ayuntamiento de Tenancingo, </w:t>
      </w:r>
      <w:r w:rsidR="0014390F" w:rsidRPr="00D531DC">
        <w:rPr>
          <w:rFonts w:ascii="Palatino Linotype" w:hAnsi="Palatino Linotype" w:cs="Palatino Linotype"/>
          <w:bCs/>
          <w:color w:val="000000"/>
          <w:sz w:val="24"/>
          <w:szCs w:val="24"/>
          <w:lang w:val="es-ES_tradnl"/>
        </w:rPr>
        <w:t xml:space="preserve">en lo subsecuente </w:t>
      </w:r>
      <w:r w:rsidR="0014390F" w:rsidRPr="00D531DC">
        <w:rPr>
          <w:rFonts w:ascii="Palatino Linotype" w:hAnsi="Palatino Linotype" w:cs="Palatino Linotype"/>
          <w:b/>
          <w:color w:val="000000"/>
          <w:sz w:val="24"/>
          <w:szCs w:val="24"/>
          <w:lang w:val="es-ES_tradnl"/>
        </w:rPr>
        <w:t xml:space="preserve">El Sujeto Obligado, </w:t>
      </w:r>
      <w:r w:rsidR="0014390F" w:rsidRPr="00D531DC">
        <w:rPr>
          <w:rFonts w:ascii="Palatino Linotype" w:hAnsi="Palatino Linotype" w:cs="Palatino Linotype"/>
          <w:bCs/>
          <w:color w:val="000000"/>
          <w:sz w:val="24"/>
          <w:szCs w:val="24"/>
          <w:lang w:val="es-ES_tradnl"/>
        </w:rPr>
        <w:t xml:space="preserve">se procede a dictar la presente resolución. </w:t>
      </w:r>
    </w:p>
    <w:p w14:paraId="48D5215A" w14:textId="77777777" w:rsidR="0014390F" w:rsidRPr="00D531DC" w:rsidRDefault="0014390F" w:rsidP="00247C10">
      <w:pPr>
        <w:spacing w:line="360" w:lineRule="auto"/>
        <w:contextualSpacing/>
        <w:jc w:val="both"/>
        <w:rPr>
          <w:rFonts w:ascii="Palatino Linotype" w:hAnsi="Palatino Linotype" w:cs="Palatino Linotype"/>
          <w:bCs/>
          <w:color w:val="000000"/>
          <w:sz w:val="24"/>
          <w:szCs w:val="24"/>
          <w:lang w:val="es-ES_tradnl"/>
        </w:rPr>
      </w:pPr>
    </w:p>
    <w:p w14:paraId="4E82AFDD" w14:textId="77777777" w:rsidR="00B7517C" w:rsidRPr="00D531DC" w:rsidRDefault="00B7517C" w:rsidP="00247C10">
      <w:pPr>
        <w:spacing w:line="360" w:lineRule="auto"/>
        <w:contextualSpacing/>
        <w:jc w:val="both"/>
        <w:rPr>
          <w:rFonts w:ascii="Palatino Linotype" w:hAnsi="Palatino Linotype" w:cs="Palatino Linotype"/>
          <w:b/>
          <w:color w:val="000000"/>
          <w:sz w:val="24"/>
          <w:szCs w:val="24"/>
          <w:lang w:val="es-ES_tradnl"/>
        </w:rPr>
      </w:pPr>
    </w:p>
    <w:p w14:paraId="239531E5" w14:textId="77777777" w:rsidR="00247C10" w:rsidRPr="00D531DC" w:rsidRDefault="00247C10" w:rsidP="00247C10">
      <w:pPr>
        <w:keepNext/>
        <w:keepLines/>
        <w:spacing w:line="360" w:lineRule="auto"/>
        <w:jc w:val="center"/>
        <w:outlineLvl w:val="0"/>
        <w:rPr>
          <w:rFonts w:ascii="Palatino Linotype" w:hAnsi="Palatino Linotype"/>
          <w:b/>
          <w:color w:val="000000" w:themeColor="text1"/>
          <w:sz w:val="28"/>
          <w:szCs w:val="32"/>
          <w:lang w:val="es-ES_tradnl" w:eastAsia="es-ES"/>
        </w:rPr>
      </w:pPr>
      <w:r w:rsidRPr="00D531DC">
        <w:rPr>
          <w:rFonts w:ascii="Palatino Linotype" w:hAnsi="Palatino Linotype"/>
          <w:b/>
          <w:color w:val="000000" w:themeColor="text1"/>
          <w:sz w:val="28"/>
          <w:szCs w:val="32"/>
          <w:lang w:val="es-ES_tradnl" w:eastAsia="es-ES"/>
        </w:rPr>
        <w:t>A N T E C E D E N T E S</w:t>
      </w:r>
    </w:p>
    <w:p w14:paraId="1BDE0AE1" w14:textId="77777777" w:rsidR="00247C10" w:rsidRPr="00D531DC" w:rsidRDefault="00247C10" w:rsidP="00247C10">
      <w:pPr>
        <w:keepNext/>
        <w:keepLines/>
        <w:spacing w:line="360" w:lineRule="auto"/>
        <w:jc w:val="both"/>
        <w:outlineLvl w:val="1"/>
        <w:rPr>
          <w:rFonts w:ascii="Palatino Linotype" w:hAnsi="Palatino Linotype"/>
          <w:b/>
          <w:color w:val="000000" w:themeColor="text1"/>
          <w:sz w:val="26"/>
          <w:szCs w:val="26"/>
          <w:lang w:val="es-ES_tradnl"/>
        </w:rPr>
      </w:pPr>
      <w:r w:rsidRPr="00D531DC">
        <w:rPr>
          <w:rFonts w:ascii="Palatino Linotype" w:hAnsi="Palatino Linotype"/>
          <w:b/>
          <w:color w:val="000000" w:themeColor="text1"/>
          <w:sz w:val="26"/>
          <w:szCs w:val="26"/>
          <w:lang w:val="es-ES_tradnl"/>
        </w:rPr>
        <w:t>PRIMERO. De la Solicitud de Información.</w:t>
      </w:r>
    </w:p>
    <w:p w14:paraId="04EFD28D" w14:textId="07564266" w:rsidR="0014390F" w:rsidRPr="00D531DC" w:rsidRDefault="00247C10" w:rsidP="00247C10">
      <w:pPr>
        <w:spacing w:line="360" w:lineRule="auto"/>
        <w:contextualSpacing/>
        <w:jc w:val="both"/>
        <w:rPr>
          <w:rFonts w:ascii="Palatino Linotype" w:hAnsi="Palatino Linotype" w:cs="Palatino Linotype"/>
          <w:sz w:val="24"/>
          <w:szCs w:val="24"/>
          <w:lang w:val="es-ES_tradnl"/>
        </w:rPr>
      </w:pPr>
      <w:r w:rsidRPr="00D531DC">
        <w:rPr>
          <w:rFonts w:ascii="Palatino Linotype" w:hAnsi="Palatino Linotype" w:cs="Palatino Linotype"/>
          <w:color w:val="000000"/>
          <w:sz w:val="24"/>
          <w:szCs w:val="24"/>
          <w:lang w:val="es-ES_tradnl"/>
        </w:rPr>
        <w:t xml:space="preserve">Con fecha </w:t>
      </w:r>
      <w:r w:rsidR="0014390F" w:rsidRPr="00D531DC">
        <w:rPr>
          <w:rFonts w:ascii="Palatino Linotype" w:hAnsi="Palatino Linotype" w:cs="Palatino Linotype"/>
          <w:b/>
          <w:bCs/>
          <w:color w:val="000000"/>
          <w:sz w:val="24"/>
          <w:szCs w:val="24"/>
          <w:lang w:val="es-ES_tradnl"/>
        </w:rPr>
        <w:t xml:space="preserve">veintidós de abril de dos mil veintiséis, La Recurrente </w:t>
      </w:r>
      <w:r w:rsidR="0059703C" w:rsidRPr="00D531DC">
        <w:rPr>
          <w:rFonts w:ascii="Palatino Linotype" w:hAnsi="Palatino Linotype" w:cs="Palatino Linotype"/>
          <w:color w:val="000000"/>
          <w:sz w:val="24"/>
          <w:szCs w:val="24"/>
          <w:lang w:val="es-ES_tradnl"/>
        </w:rPr>
        <w:t>presentó mediante el Sistema de Acceso a la Información Mexiquense (</w:t>
      </w:r>
      <w:r w:rsidR="0059703C" w:rsidRPr="00D531DC">
        <w:rPr>
          <w:rFonts w:ascii="Palatino Linotype" w:hAnsi="Palatino Linotype" w:cs="Palatino Linotype"/>
          <w:b/>
          <w:color w:val="000000"/>
          <w:sz w:val="24"/>
          <w:szCs w:val="24"/>
          <w:lang w:val="es-ES_tradnl"/>
        </w:rPr>
        <w:t>SAIMEX</w:t>
      </w:r>
      <w:r w:rsidR="0059703C" w:rsidRPr="00D531DC">
        <w:rPr>
          <w:rFonts w:ascii="Palatino Linotype" w:hAnsi="Palatino Linotype" w:cs="Palatino Linotype"/>
          <w:color w:val="000000"/>
          <w:sz w:val="24"/>
          <w:szCs w:val="24"/>
          <w:lang w:val="es-ES_tradnl"/>
        </w:rPr>
        <w:t xml:space="preserve">), solicitud de información registrada con el número de </w:t>
      </w:r>
      <w:r w:rsidR="0059703C" w:rsidRPr="00D531DC">
        <w:rPr>
          <w:rFonts w:ascii="Palatino Linotype" w:hAnsi="Palatino Linotype" w:cs="Palatino Linotype"/>
          <w:sz w:val="24"/>
          <w:szCs w:val="24"/>
          <w:lang w:val="es-ES_tradnl"/>
        </w:rPr>
        <w:t xml:space="preserve">expediente </w:t>
      </w:r>
      <w:r w:rsidR="0014390F" w:rsidRPr="00D531DC">
        <w:rPr>
          <w:rFonts w:ascii="Palatino Linotype" w:hAnsi="Palatino Linotype" w:cs="Palatino Linotype"/>
          <w:b/>
          <w:bCs/>
          <w:sz w:val="24"/>
          <w:szCs w:val="24"/>
          <w:lang w:val="es-ES_tradnl"/>
        </w:rPr>
        <w:t xml:space="preserve">00028/TENANCIN/IP/2026, </w:t>
      </w:r>
      <w:r w:rsidR="0014390F" w:rsidRPr="00D531DC">
        <w:rPr>
          <w:rFonts w:ascii="Palatino Linotype" w:hAnsi="Palatino Linotype" w:cs="Palatino Linotype"/>
          <w:sz w:val="24"/>
          <w:szCs w:val="24"/>
          <w:lang w:val="es-ES_tradnl"/>
        </w:rPr>
        <w:t xml:space="preserve">mediante la cual solicitó información en el tenor siguiente: </w:t>
      </w:r>
    </w:p>
    <w:p w14:paraId="48C06CC1" w14:textId="2F511F51" w:rsidR="0014390F" w:rsidRPr="00D531DC" w:rsidRDefault="0014390F" w:rsidP="0014390F">
      <w:pPr>
        <w:pStyle w:val="Citas"/>
        <w:rPr>
          <w:b/>
          <w:bCs/>
          <w:lang w:val="es-ES_tradnl"/>
        </w:rPr>
      </w:pPr>
      <w:r w:rsidRPr="00D531DC">
        <w:t xml:space="preserve">“NUMERO DE VERIFICACIONES REALIZADAS A BARES, CANTINAS, RESTAURANTES BAR, CENTROS BOTANEROS, Y ESTABLECIMIENTOS COMERCIALES CON LICENCIAS DE FUNCIONAMIENTO SE HAN REALIZADO A PARRTIR DEL 1 DE ENERO DE 2025 A LA FECHA POR PARTE DE LA DIRECCION DE GOBERNACION Y EL RESULTADO DE CADA UNA DE ELLAS, CON COPIA DE VERIFICACION” </w:t>
      </w:r>
      <w:r w:rsidRPr="00D531DC">
        <w:rPr>
          <w:b/>
          <w:bCs/>
        </w:rPr>
        <w:t>(Sic)</w:t>
      </w:r>
    </w:p>
    <w:p w14:paraId="7B53D720" w14:textId="77777777" w:rsidR="00247C10" w:rsidRPr="00D531DC" w:rsidRDefault="00247C10" w:rsidP="00247C10">
      <w:pPr>
        <w:spacing w:line="360" w:lineRule="auto"/>
        <w:contextualSpacing/>
        <w:jc w:val="both"/>
        <w:rPr>
          <w:rFonts w:ascii="Palatino Linotype" w:hAnsi="Palatino Linotype" w:cs="Palatino Linotype"/>
          <w:color w:val="000000"/>
          <w:lang w:val="es-ES_tradnl"/>
        </w:rPr>
      </w:pPr>
      <w:r w:rsidRPr="00D531DC">
        <w:rPr>
          <w:rFonts w:ascii="Palatino Linotype" w:hAnsi="Palatino Linotype" w:cs="Palatino Linotype"/>
          <w:b/>
          <w:bCs/>
          <w:color w:val="000000"/>
          <w:lang w:val="es-ES_tradnl"/>
        </w:rPr>
        <w:lastRenderedPageBreak/>
        <w:t>Modalidad de entrega:</w:t>
      </w:r>
      <w:r w:rsidRPr="00D531DC">
        <w:rPr>
          <w:rFonts w:ascii="Palatino Linotype" w:hAnsi="Palatino Linotype" w:cs="Palatino Linotype"/>
          <w:color w:val="000000"/>
          <w:lang w:val="es-ES_tradnl"/>
        </w:rPr>
        <w:t xml:space="preserve"> </w:t>
      </w:r>
      <w:r w:rsidRPr="00D531DC">
        <w:rPr>
          <w:rFonts w:ascii="Palatino Linotype" w:hAnsi="Palatino Linotype" w:cs="Palatino Linotype"/>
          <w:bCs/>
          <w:color w:val="000000"/>
          <w:lang w:val="es-ES_tradnl"/>
        </w:rPr>
        <w:t xml:space="preserve">A través del SAIMEX. </w:t>
      </w:r>
    </w:p>
    <w:p w14:paraId="5A70E3E7" w14:textId="77777777" w:rsidR="00247C10" w:rsidRPr="00D531DC" w:rsidRDefault="00247C10" w:rsidP="00247C10">
      <w:pPr>
        <w:spacing w:line="360" w:lineRule="auto"/>
        <w:contextualSpacing/>
        <w:jc w:val="both"/>
        <w:rPr>
          <w:rFonts w:ascii="Palatino Linotype" w:hAnsi="Palatino Linotype" w:cs="Palatino Linotype"/>
          <w:b/>
          <w:color w:val="000000"/>
          <w:lang w:val="es-ES_tradnl"/>
        </w:rPr>
      </w:pPr>
    </w:p>
    <w:p w14:paraId="055F3E64" w14:textId="3B46DC6D" w:rsidR="00247C10" w:rsidRPr="00D531DC" w:rsidRDefault="0059703C" w:rsidP="0014390F">
      <w:pPr>
        <w:spacing w:before="240" w:line="360" w:lineRule="auto"/>
        <w:ind w:right="850"/>
        <w:jc w:val="both"/>
        <w:rPr>
          <w:rFonts w:ascii="Palatino Linotype" w:hAnsi="Palatino Linotype" w:cs="Arial"/>
          <w:b/>
          <w:sz w:val="28"/>
        </w:rPr>
      </w:pPr>
      <w:r w:rsidRPr="00D531DC">
        <w:rPr>
          <w:rFonts w:ascii="Palatino Linotype" w:hAnsi="Palatino Linotype" w:cs="Arial"/>
          <w:b/>
          <w:sz w:val="28"/>
        </w:rPr>
        <w:t xml:space="preserve">SEGUNDO. </w:t>
      </w:r>
      <w:r w:rsidR="00247C10" w:rsidRPr="00D531DC">
        <w:rPr>
          <w:rFonts w:ascii="Palatino Linotype" w:hAnsi="Palatino Linotype" w:cs="Arial"/>
          <w:b/>
          <w:sz w:val="28"/>
          <w:szCs w:val="20"/>
        </w:rPr>
        <w:t>De la respuesta del Sujeto Obligado.</w:t>
      </w:r>
    </w:p>
    <w:p w14:paraId="47EBB2EE" w14:textId="23C004A0" w:rsidR="0014390F" w:rsidRPr="00D531DC" w:rsidRDefault="00247C10" w:rsidP="00247C10">
      <w:pPr>
        <w:spacing w:before="240" w:line="360" w:lineRule="auto"/>
        <w:jc w:val="both"/>
        <w:rPr>
          <w:rFonts w:ascii="Palatino Linotype" w:hAnsi="Palatino Linotype" w:cs="Arial"/>
          <w:sz w:val="24"/>
          <w:szCs w:val="24"/>
        </w:rPr>
      </w:pPr>
      <w:r w:rsidRPr="00D531DC">
        <w:rPr>
          <w:rFonts w:ascii="Palatino Linotype" w:hAnsi="Palatino Linotype" w:cs="Arial"/>
          <w:sz w:val="24"/>
          <w:szCs w:val="24"/>
        </w:rPr>
        <w:t xml:space="preserve">En el expediente electrónico </w:t>
      </w:r>
      <w:r w:rsidRPr="00D531DC">
        <w:rPr>
          <w:rFonts w:ascii="Palatino Linotype" w:hAnsi="Palatino Linotype" w:cs="Arial"/>
          <w:b/>
          <w:sz w:val="24"/>
          <w:szCs w:val="24"/>
        </w:rPr>
        <w:t xml:space="preserve">SAIMEX, </w:t>
      </w:r>
      <w:r w:rsidRPr="00D531DC">
        <w:rPr>
          <w:rFonts w:ascii="Palatino Linotype" w:hAnsi="Palatino Linotype" w:cs="Arial"/>
          <w:sz w:val="24"/>
          <w:szCs w:val="24"/>
        </w:rPr>
        <w:t xml:space="preserve">se aprecia que el </w:t>
      </w:r>
      <w:r w:rsidR="0014390F" w:rsidRPr="00D531DC">
        <w:rPr>
          <w:rFonts w:ascii="Palatino Linotype" w:hAnsi="Palatino Linotype" w:cs="Arial"/>
          <w:b/>
          <w:bCs/>
          <w:sz w:val="24"/>
          <w:szCs w:val="24"/>
        </w:rPr>
        <w:t xml:space="preserve">dieciocho de mayo de dos mil veintiséis, El Sujeto Obligado </w:t>
      </w:r>
      <w:r w:rsidR="0014390F" w:rsidRPr="00D531DC">
        <w:rPr>
          <w:rFonts w:ascii="Palatino Linotype" w:hAnsi="Palatino Linotype" w:cs="Arial"/>
          <w:sz w:val="24"/>
          <w:szCs w:val="24"/>
        </w:rPr>
        <w:t>dio respuesta a la solicitud de información en los siguientes términos:</w:t>
      </w:r>
    </w:p>
    <w:p w14:paraId="3B996E92" w14:textId="4FDC1218" w:rsidR="0014390F" w:rsidRPr="00D531DC" w:rsidRDefault="0014390F" w:rsidP="0014390F">
      <w:pPr>
        <w:pStyle w:val="Citas"/>
      </w:pPr>
      <w:r w:rsidRPr="00D531DC">
        <w:t>“En respuesta a la solicitud recibida, nos permitimos hacer de su conocimiento que con fundamento en el artículo 53, Fracciones: II, V y VI de la Ley de Transparencia y Acceso a la Información Pública del Estado de México y Municipios, le contestamos que:</w:t>
      </w:r>
    </w:p>
    <w:p w14:paraId="7B966233" w14:textId="03CB9F74" w:rsidR="0014390F" w:rsidRPr="00D531DC" w:rsidRDefault="0014390F" w:rsidP="0014390F">
      <w:pPr>
        <w:pStyle w:val="Citas"/>
        <w:rPr>
          <w:b/>
          <w:bCs/>
        </w:rPr>
      </w:pPr>
      <w:r w:rsidRPr="00D531DC">
        <w:t xml:space="preserve">Folio de la solicitud: 000028/TENANCIN/IP/2026 Estimado solicitante: Sirva este medio para enviarle un afectuoso saludo, al mismo tiempo con fundamento en el artículo 53 fracciones II, IV y V de la Ley de Transparencia y Acceso a la Información Pública del Estado de México y Municipios, remito la contestación a su solicitud de información, y le informo lo siguiente: Dando atención a su solicitud de información con folio 00028/TENANCIN/IP/2026, se adjunta al presente en archivos PDF, los siguientes documentos: 1. Turno SPH 2. Respuesta del Servidor Público Habilitado. Archivos en los cuales se precisa todo lo referente a su solicitud de información. Haciendo de su conocimiento que de acuerdo a lo establecido por los artículos 176, 177 y 178 de la Ley de Transparencia y Acceso a la Información Pública del Estado de México y Municipios, podrá ejercer su segunda garantía del Derecho de Acceso a la Información pública, al interponer un recurso de revisión, ante el INFOEM o ante esta Unidad de Transparencia, dentro de los quince días hábiles posteriores a la fecha de recepción de su respuesta, por alguna de las causales establecidas en el artículo </w:t>
      </w:r>
      <w:r w:rsidRPr="00D531DC">
        <w:lastRenderedPageBreak/>
        <w:t xml:space="preserve">179 de la Ley de Transparencia y Acceso a la Información Pública del Estado de México y Municipios, atendiendo los criterios señalados en los artículos 180 y 181 de la misma Ley. Sin otro particular por el momento, quedo de Usted” </w:t>
      </w:r>
      <w:r w:rsidRPr="00D531DC">
        <w:rPr>
          <w:b/>
          <w:bCs/>
        </w:rPr>
        <w:t>(Sic)</w:t>
      </w:r>
    </w:p>
    <w:p w14:paraId="39B3B23C" w14:textId="77777777" w:rsidR="00B7517C" w:rsidRPr="00D531DC" w:rsidRDefault="00B7517C" w:rsidP="00247C10">
      <w:pPr>
        <w:spacing w:before="240" w:line="360" w:lineRule="auto"/>
        <w:rPr>
          <w:rFonts w:ascii="Palatino Linotype" w:hAnsi="Palatino Linotype" w:cs="Arial"/>
          <w:b/>
          <w:sz w:val="28"/>
        </w:rPr>
      </w:pPr>
    </w:p>
    <w:p w14:paraId="411AA48D" w14:textId="129896D3" w:rsidR="00247C10" w:rsidRPr="00D531DC" w:rsidRDefault="0014390F" w:rsidP="00247C10">
      <w:pPr>
        <w:spacing w:before="240" w:line="360" w:lineRule="auto"/>
        <w:rPr>
          <w:rFonts w:ascii="Palatino Linotype" w:hAnsi="Palatino Linotype" w:cs="Arial"/>
          <w:b/>
          <w:sz w:val="28"/>
        </w:rPr>
      </w:pPr>
      <w:r w:rsidRPr="00D531DC">
        <w:rPr>
          <w:rFonts w:ascii="Palatino Linotype" w:hAnsi="Palatino Linotype" w:cs="Arial"/>
          <w:b/>
          <w:sz w:val="28"/>
        </w:rPr>
        <w:t>TERCERO</w:t>
      </w:r>
      <w:r w:rsidR="00247C10" w:rsidRPr="00D531DC">
        <w:rPr>
          <w:rFonts w:ascii="Palatino Linotype" w:hAnsi="Palatino Linotype" w:cs="Arial"/>
          <w:b/>
          <w:sz w:val="28"/>
        </w:rPr>
        <w:t xml:space="preserve">. </w:t>
      </w:r>
      <w:r w:rsidR="00247C10" w:rsidRPr="00D531DC">
        <w:rPr>
          <w:rFonts w:ascii="Palatino Linotype" w:hAnsi="Palatino Linotype"/>
          <w:b/>
          <w:sz w:val="28"/>
        </w:rPr>
        <w:t>Del recurso de revisión.</w:t>
      </w:r>
    </w:p>
    <w:p w14:paraId="78CB7B27" w14:textId="0D875119" w:rsidR="00A70A96" w:rsidRPr="00D531DC" w:rsidRDefault="00247C10" w:rsidP="00247C10">
      <w:pPr>
        <w:spacing w:before="240" w:line="360" w:lineRule="auto"/>
        <w:jc w:val="both"/>
        <w:rPr>
          <w:rFonts w:ascii="Palatino Linotype" w:hAnsi="Palatino Linotype" w:cs="Arial"/>
          <w:sz w:val="24"/>
          <w:szCs w:val="24"/>
        </w:rPr>
      </w:pPr>
      <w:r w:rsidRPr="00D531DC">
        <w:rPr>
          <w:rFonts w:ascii="Palatino Linotype" w:hAnsi="Palatino Linotype" w:cs="Arial"/>
          <w:sz w:val="24"/>
          <w:szCs w:val="24"/>
        </w:rPr>
        <w:t xml:space="preserve">Inconforme con la respuesta por </w:t>
      </w:r>
      <w:r w:rsidRPr="00D531DC">
        <w:rPr>
          <w:rFonts w:ascii="Palatino Linotype" w:hAnsi="Palatino Linotype" w:cs="Arial"/>
          <w:b/>
          <w:sz w:val="24"/>
          <w:szCs w:val="24"/>
        </w:rPr>
        <w:t xml:space="preserve">El Sujeto Obligado, </w:t>
      </w:r>
      <w:r w:rsidR="0014390F" w:rsidRPr="00D531DC">
        <w:rPr>
          <w:rFonts w:ascii="Palatino Linotype" w:hAnsi="Palatino Linotype" w:cs="Arial"/>
          <w:b/>
          <w:sz w:val="24"/>
          <w:szCs w:val="24"/>
        </w:rPr>
        <w:t>La</w:t>
      </w:r>
      <w:r w:rsidRPr="00D531DC">
        <w:rPr>
          <w:rFonts w:ascii="Palatino Linotype" w:hAnsi="Palatino Linotype" w:cs="Arial"/>
          <w:b/>
          <w:sz w:val="24"/>
          <w:szCs w:val="24"/>
        </w:rPr>
        <w:t xml:space="preserve"> Recurrente </w:t>
      </w:r>
      <w:r w:rsidRPr="00D531DC">
        <w:rPr>
          <w:rFonts w:ascii="Palatino Linotype" w:hAnsi="Palatino Linotype" w:cs="Arial"/>
          <w:sz w:val="24"/>
          <w:szCs w:val="24"/>
        </w:rPr>
        <w:t>interpuso recurso de revisión, en fecha</w:t>
      </w:r>
      <w:r w:rsidR="00F0678F" w:rsidRPr="00D531DC">
        <w:rPr>
          <w:rFonts w:ascii="Palatino Linotype" w:hAnsi="Palatino Linotype" w:cs="Arial"/>
          <w:sz w:val="24"/>
          <w:szCs w:val="24"/>
        </w:rPr>
        <w:t xml:space="preserve"> </w:t>
      </w:r>
      <w:r w:rsidR="0014390F" w:rsidRPr="00D531DC">
        <w:rPr>
          <w:rFonts w:ascii="Palatino Linotype" w:hAnsi="Palatino Linotype" w:cs="Arial"/>
          <w:b/>
          <w:bCs/>
          <w:sz w:val="24"/>
          <w:szCs w:val="24"/>
        </w:rPr>
        <w:t xml:space="preserve">uno de junio de dos mil veintiséis, </w:t>
      </w:r>
      <w:r w:rsidR="0014390F" w:rsidRPr="00D531DC">
        <w:rPr>
          <w:rFonts w:ascii="Palatino Linotype" w:hAnsi="Palatino Linotype" w:cs="Arial"/>
          <w:sz w:val="24"/>
          <w:szCs w:val="24"/>
        </w:rPr>
        <w:t xml:space="preserve">el cual fue </w:t>
      </w:r>
      <w:r w:rsidR="00A70A96" w:rsidRPr="00D531DC">
        <w:rPr>
          <w:rFonts w:ascii="Palatino Linotype" w:hAnsi="Palatino Linotype" w:cs="Arial"/>
          <w:sz w:val="24"/>
          <w:szCs w:val="24"/>
        </w:rPr>
        <w:t xml:space="preserve">registrado en el sistema electrónico con el expediente </w:t>
      </w:r>
      <w:r w:rsidR="0014390F" w:rsidRPr="00D531DC">
        <w:rPr>
          <w:rFonts w:ascii="Palatino Linotype" w:hAnsi="Palatino Linotype" w:cs="Arial"/>
          <w:b/>
          <w:bCs/>
          <w:sz w:val="24"/>
          <w:szCs w:val="24"/>
        </w:rPr>
        <w:t>05840</w:t>
      </w:r>
      <w:r w:rsidR="00A70A96" w:rsidRPr="00D531DC">
        <w:rPr>
          <w:rFonts w:ascii="Palatino Linotype" w:hAnsi="Palatino Linotype" w:cs="Arial"/>
          <w:b/>
          <w:bCs/>
          <w:sz w:val="24"/>
          <w:szCs w:val="24"/>
        </w:rPr>
        <w:t>/INFOEM/IP/RR/202</w:t>
      </w:r>
      <w:r w:rsidR="0059703C" w:rsidRPr="00D531DC">
        <w:rPr>
          <w:rFonts w:ascii="Palatino Linotype" w:hAnsi="Palatino Linotype" w:cs="Arial"/>
          <w:b/>
          <w:bCs/>
          <w:sz w:val="24"/>
          <w:szCs w:val="24"/>
        </w:rPr>
        <w:t>6</w:t>
      </w:r>
      <w:r w:rsidR="00A70A96" w:rsidRPr="00D531DC">
        <w:rPr>
          <w:rFonts w:ascii="Palatino Linotype" w:hAnsi="Palatino Linotype" w:cs="Arial"/>
          <w:b/>
          <w:bCs/>
          <w:sz w:val="24"/>
          <w:szCs w:val="24"/>
        </w:rPr>
        <w:t xml:space="preserve">, </w:t>
      </w:r>
      <w:r w:rsidR="00A70A96" w:rsidRPr="00D531DC">
        <w:rPr>
          <w:rFonts w:ascii="Palatino Linotype" w:hAnsi="Palatino Linotype" w:cs="Arial"/>
          <w:sz w:val="24"/>
          <w:szCs w:val="24"/>
        </w:rPr>
        <w:t xml:space="preserve">en el cual arguye las siguientes manifestaciones: </w:t>
      </w:r>
    </w:p>
    <w:p w14:paraId="7D12696A" w14:textId="3C9DA642" w:rsidR="00A70A96" w:rsidRPr="00D531DC" w:rsidRDefault="00F0678F" w:rsidP="00F0678F">
      <w:pPr>
        <w:pStyle w:val="Citas"/>
        <w:ind w:left="0"/>
        <w:rPr>
          <w:b/>
          <w:bCs/>
          <w:i w:val="0"/>
          <w:iCs/>
        </w:rPr>
      </w:pPr>
      <w:r w:rsidRPr="00D531DC">
        <w:rPr>
          <w:b/>
          <w:bCs/>
          <w:i w:val="0"/>
          <w:iCs/>
        </w:rPr>
        <w:t>Acto impugnado:</w:t>
      </w:r>
    </w:p>
    <w:p w14:paraId="2527B875" w14:textId="45FB5E1D" w:rsidR="00F0678F" w:rsidRPr="00D531DC" w:rsidRDefault="00F0678F" w:rsidP="00F0678F">
      <w:pPr>
        <w:pStyle w:val="Citas"/>
        <w:rPr>
          <w:b/>
          <w:bCs/>
          <w:sz w:val="24"/>
          <w:szCs w:val="24"/>
          <w:lang w:eastAsia="es-MX"/>
        </w:rPr>
      </w:pPr>
      <w:r w:rsidRPr="00D531DC">
        <w:rPr>
          <w:sz w:val="24"/>
          <w:szCs w:val="24"/>
          <w:lang w:eastAsia="es-MX"/>
        </w:rPr>
        <w:t>“</w:t>
      </w:r>
      <w:r w:rsidR="0014390F" w:rsidRPr="00D531DC">
        <w:rPr>
          <w:sz w:val="24"/>
          <w:szCs w:val="24"/>
          <w:lang w:eastAsia="es-MX"/>
        </w:rPr>
        <w:t>LA FALTA DE ENTREGA DE INFORMACION CORRESPONDIENTE A LA SOLICITUD 00028/TENANCIN/IP/2026</w:t>
      </w:r>
      <w:r w:rsidRPr="00D531DC">
        <w:rPr>
          <w:sz w:val="24"/>
          <w:szCs w:val="24"/>
          <w:lang w:eastAsia="es-MX"/>
        </w:rPr>
        <w:t xml:space="preserve">” </w:t>
      </w:r>
      <w:r w:rsidRPr="00D531DC">
        <w:rPr>
          <w:b/>
          <w:bCs/>
          <w:sz w:val="24"/>
          <w:szCs w:val="24"/>
          <w:lang w:eastAsia="es-MX"/>
        </w:rPr>
        <w:t>(Sic)</w:t>
      </w:r>
    </w:p>
    <w:p w14:paraId="7741A58E" w14:textId="7A151217" w:rsidR="00F0678F" w:rsidRPr="00D531DC" w:rsidRDefault="00F0678F" w:rsidP="00F0678F">
      <w:pPr>
        <w:pStyle w:val="Citas"/>
        <w:ind w:left="0"/>
        <w:rPr>
          <w:b/>
          <w:bCs/>
          <w:i w:val="0"/>
          <w:iCs/>
        </w:rPr>
      </w:pPr>
      <w:r w:rsidRPr="00D531DC">
        <w:rPr>
          <w:b/>
          <w:bCs/>
          <w:i w:val="0"/>
          <w:iCs/>
        </w:rPr>
        <w:t xml:space="preserve">Razones o motivos de inconformidad: </w:t>
      </w:r>
    </w:p>
    <w:p w14:paraId="31E59CD4" w14:textId="756DE170" w:rsidR="00F0678F" w:rsidRPr="00D531DC" w:rsidRDefault="00F0678F" w:rsidP="00F0678F">
      <w:pPr>
        <w:pStyle w:val="Citas"/>
        <w:rPr>
          <w:b/>
          <w:bCs/>
        </w:rPr>
      </w:pPr>
      <w:r w:rsidRPr="00D531DC">
        <w:t>“</w:t>
      </w:r>
      <w:r w:rsidR="0014390F" w:rsidRPr="00D531DC">
        <w:t>LA INFORMACION NO SE ADJUNTA, UNICAMENTE LO CORRESPONDIENTE DE LA TITULAR DE LA UNIDAD DE TRANSPARENCIA, MANIFESTANDO QUE SE ADJUNTA LA MISMA, SIN REALIZARLO, ESTA SITUACIÓN ES DE MANERA REITERADA</w:t>
      </w:r>
      <w:r w:rsidRPr="00D531DC">
        <w:t xml:space="preserve">” </w:t>
      </w:r>
      <w:r w:rsidRPr="00D531DC">
        <w:rPr>
          <w:b/>
          <w:bCs/>
        </w:rPr>
        <w:t>(Sic)</w:t>
      </w:r>
    </w:p>
    <w:p w14:paraId="55A27D5C" w14:textId="77777777" w:rsidR="0059703C" w:rsidRPr="00D531DC" w:rsidRDefault="0059703C" w:rsidP="00247C10">
      <w:pPr>
        <w:spacing w:before="240" w:line="360" w:lineRule="auto"/>
        <w:jc w:val="both"/>
        <w:rPr>
          <w:rFonts w:ascii="Palatino Linotype" w:hAnsi="Palatino Linotype" w:cs="Arial"/>
          <w:b/>
          <w:sz w:val="28"/>
        </w:rPr>
      </w:pPr>
    </w:p>
    <w:p w14:paraId="54447386" w14:textId="5CAF9C50" w:rsidR="00247C10" w:rsidRPr="00D531DC" w:rsidRDefault="0014390F" w:rsidP="00247C10">
      <w:pPr>
        <w:spacing w:before="240" w:line="360" w:lineRule="auto"/>
        <w:jc w:val="both"/>
        <w:rPr>
          <w:rFonts w:ascii="Palatino Linotype" w:hAnsi="Palatino Linotype" w:cs="Arial"/>
          <w:b/>
        </w:rPr>
      </w:pPr>
      <w:r w:rsidRPr="00D531DC">
        <w:rPr>
          <w:rFonts w:ascii="Palatino Linotype" w:hAnsi="Palatino Linotype" w:cs="Arial"/>
          <w:b/>
          <w:sz w:val="28"/>
        </w:rPr>
        <w:t>CUARTO</w:t>
      </w:r>
      <w:r w:rsidR="00247C10" w:rsidRPr="00D531DC">
        <w:rPr>
          <w:rFonts w:ascii="Palatino Linotype" w:hAnsi="Palatino Linotype" w:cs="Arial"/>
          <w:b/>
        </w:rPr>
        <w:t xml:space="preserve">. </w:t>
      </w:r>
      <w:r w:rsidR="00247C10" w:rsidRPr="00D531DC">
        <w:rPr>
          <w:rFonts w:ascii="Palatino Linotype" w:hAnsi="Palatino Linotype" w:cs="Arial"/>
          <w:b/>
          <w:sz w:val="28"/>
          <w:szCs w:val="28"/>
        </w:rPr>
        <w:t>Del turno del recurso de revisión.</w:t>
      </w:r>
    </w:p>
    <w:p w14:paraId="6110C254" w14:textId="6B2615D8" w:rsidR="00247C10" w:rsidRPr="00D531DC" w:rsidRDefault="00247C10" w:rsidP="00247C10">
      <w:pPr>
        <w:spacing w:before="240" w:line="360" w:lineRule="auto"/>
        <w:jc w:val="both"/>
        <w:rPr>
          <w:rFonts w:ascii="Palatino Linotype" w:hAnsi="Palatino Linotype" w:cs="Arial"/>
          <w:sz w:val="24"/>
          <w:szCs w:val="24"/>
        </w:rPr>
      </w:pPr>
      <w:r w:rsidRPr="00D531DC">
        <w:rPr>
          <w:rFonts w:ascii="Palatino Linotype" w:hAnsi="Palatino Linotype" w:cs="Arial"/>
          <w:sz w:val="24"/>
          <w:szCs w:val="24"/>
        </w:rPr>
        <w:lastRenderedPageBreak/>
        <w:t xml:space="preserve">Medio de impugnación que le fue turnado al Comisionado presidente </w:t>
      </w:r>
      <w:r w:rsidRPr="00D531DC">
        <w:rPr>
          <w:rFonts w:ascii="Palatino Linotype" w:hAnsi="Palatino Linotype" w:cs="Arial"/>
          <w:b/>
          <w:sz w:val="24"/>
          <w:szCs w:val="24"/>
        </w:rPr>
        <w:t xml:space="preserve">José Martínez Vilchis, </w:t>
      </w:r>
      <w:r w:rsidRPr="00D531DC">
        <w:rPr>
          <w:rFonts w:ascii="Palatino Linotype" w:hAnsi="Palatino Linotype" w:cs="Arial"/>
          <w:sz w:val="24"/>
          <w:szCs w:val="24"/>
        </w:rPr>
        <w:t xml:space="preserve">por medio del sistema electrónico en términos del arábigo 185 fracción I de la Ley de Transparencia y Acceso a la información Pública del Estado de México y Municipios, del cual recayó acuerdo de admisión en fecha </w:t>
      </w:r>
      <w:r w:rsidR="0014390F" w:rsidRPr="00D531DC">
        <w:rPr>
          <w:rFonts w:ascii="Palatino Linotype" w:hAnsi="Palatino Linotype" w:cs="Arial"/>
          <w:b/>
          <w:bCs/>
          <w:sz w:val="24"/>
          <w:szCs w:val="24"/>
        </w:rPr>
        <w:t xml:space="preserve">dos de junio de dos mil veintiséis, </w:t>
      </w:r>
      <w:r w:rsidRPr="00D531DC">
        <w:rPr>
          <w:rFonts w:ascii="Palatino Linotype" w:hAnsi="Palatino Linotype" w:cs="Arial"/>
          <w:sz w:val="24"/>
          <w:szCs w:val="24"/>
        </w:rPr>
        <w:t>determinándose en él, un plazo de siete días para que las partes manifestaran lo que a su derecho corresponda en términos del numeral ya citado.</w:t>
      </w:r>
    </w:p>
    <w:p w14:paraId="1D7C3800" w14:textId="77777777" w:rsidR="0014390F" w:rsidRPr="00D531DC" w:rsidRDefault="0014390F" w:rsidP="00247C10">
      <w:pPr>
        <w:pStyle w:val="Prrafodelista"/>
        <w:ind w:left="0"/>
        <w:rPr>
          <w:rFonts w:ascii="Palatino Linotype" w:hAnsi="Palatino Linotype" w:cs="Arial"/>
          <w:b/>
          <w:sz w:val="28"/>
          <w:lang w:val="es-MX"/>
        </w:rPr>
      </w:pPr>
    </w:p>
    <w:p w14:paraId="1239FE9B" w14:textId="676482AE" w:rsidR="00247C10" w:rsidRPr="00D531DC" w:rsidRDefault="0014390F" w:rsidP="00247C10">
      <w:pPr>
        <w:pStyle w:val="Prrafodelista"/>
        <w:ind w:left="0"/>
        <w:rPr>
          <w:rFonts w:ascii="Palatino Linotype" w:hAnsi="Palatino Linotype" w:cs="Arial"/>
          <w:b/>
        </w:rPr>
      </w:pPr>
      <w:r w:rsidRPr="00D531DC">
        <w:rPr>
          <w:rFonts w:ascii="Palatino Linotype" w:hAnsi="Palatino Linotype" w:cs="Arial"/>
          <w:b/>
          <w:sz w:val="28"/>
        </w:rPr>
        <w:t>QUINTO</w:t>
      </w:r>
      <w:r w:rsidR="00247C10" w:rsidRPr="00D531DC">
        <w:rPr>
          <w:rFonts w:ascii="Palatino Linotype" w:hAnsi="Palatino Linotype" w:cs="Arial"/>
          <w:b/>
          <w:sz w:val="28"/>
          <w:szCs w:val="28"/>
        </w:rPr>
        <w:t>. De la etapa de instrucción.</w:t>
      </w:r>
    </w:p>
    <w:p w14:paraId="34BCC0B5" w14:textId="035D0EB5" w:rsidR="0059703C" w:rsidRPr="00D531DC" w:rsidRDefault="00247C10" w:rsidP="00247C10">
      <w:pPr>
        <w:spacing w:line="360" w:lineRule="auto"/>
        <w:jc w:val="both"/>
        <w:rPr>
          <w:rFonts w:ascii="Palatino Linotype" w:hAnsi="Palatino Linotype" w:cs="Arial"/>
          <w:sz w:val="24"/>
          <w:szCs w:val="24"/>
        </w:rPr>
      </w:pPr>
      <w:r w:rsidRPr="00D531DC">
        <w:rPr>
          <w:rFonts w:ascii="Palatino Linotype" w:hAnsi="Palatino Linotype" w:cs="Arial"/>
          <w:sz w:val="24"/>
          <w:szCs w:val="24"/>
        </w:rPr>
        <w:t xml:space="preserve">Así, en la etapa de instrucción, de las constancias que obran en los expedientes electrónicos de los recursos de revisión se advierte que </w:t>
      </w:r>
      <w:r w:rsidRPr="00D531DC">
        <w:rPr>
          <w:rFonts w:ascii="Palatino Linotype" w:hAnsi="Palatino Linotype" w:cs="Arial"/>
          <w:b/>
          <w:bCs/>
          <w:sz w:val="24"/>
          <w:szCs w:val="24"/>
        </w:rPr>
        <w:t xml:space="preserve">El Sujeto Obligado </w:t>
      </w:r>
      <w:r w:rsidR="00AC5526" w:rsidRPr="00D531DC">
        <w:rPr>
          <w:rFonts w:ascii="Palatino Linotype" w:hAnsi="Palatino Linotype" w:cs="Arial"/>
          <w:sz w:val="24"/>
          <w:szCs w:val="24"/>
        </w:rPr>
        <w:t xml:space="preserve">fue omiso en rendir su informe justificado. </w:t>
      </w:r>
    </w:p>
    <w:p w14:paraId="00D65E24" w14:textId="6A2D3223" w:rsidR="00247C10" w:rsidRPr="00D531DC" w:rsidRDefault="00247C10" w:rsidP="00247C10">
      <w:pPr>
        <w:spacing w:line="360" w:lineRule="auto"/>
        <w:jc w:val="both"/>
        <w:rPr>
          <w:rFonts w:ascii="Palatino Linotype" w:hAnsi="Palatino Linotype" w:cs="Arial"/>
          <w:sz w:val="24"/>
          <w:szCs w:val="24"/>
        </w:rPr>
      </w:pPr>
      <w:r w:rsidRPr="00D531DC">
        <w:rPr>
          <w:rFonts w:ascii="Palatino Linotype" w:hAnsi="Palatino Linotype" w:cs="Arial"/>
          <w:bCs/>
          <w:sz w:val="24"/>
          <w:szCs w:val="24"/>
        </w:rPr>
        <w:t xml:space="preserve">Por lo cual se decretó el cierre de instrucción con fecha </w:t>
      </w:r>
      <w:r w:rsidR="0014390F" w:rsidRPr="00D531DC">
        <w:rPr>
          <w:rFonts w:ascii="Palatino Linotype" w:hAnsi="Palatino Linotype" w:cs="Arial"/>
          <w:b/>
          <w:sz w:val="24"/>
          <w:szCs w:val="24"/>
        </w:rPr>
        <w:t xml:space="preserve">doce de junio de dos mil veintiséis, </w:t>
      </w:r>
      <w:r w:rsidR="0014390F" w:rsidRPr="00D531DC">
        <w:rPr>
          <w:rFonts w:ascii="Palatino Linotype" w:hAnsi="Palatino Linotype" w:cs="Arial"/>
          <w:bCs/>
          <w:sz w:val="24"/>
          <w:szCs w:val="24"/>
        </w:rPr>
        <w:t xml:space="preserve">en </w:t>
      </w:r>
      <w:r w:rsidRPr="00D531DC">
        <w:rPr>
          <w:rFonts w:ascii="Palatino Linotype" w:hAnsi="Palatino Linotype" w:cs="Arial"/>
          <w:sz w:val="24"/>
          <w:szCs w:val="24"/>
        </w:rPr>
        <w:t xml:space="preserve">términos del artículo 185 Fracción VI de la Ley de Transparencia y Acceso a la Información Pública del Estado de México y Municipios, iniciando el término legal para dictar resolución definitiva del asunto. </w:t>
      </w:r>
    </w:p>
    <w:p w14:paraId="3AE62CB9" w14:textId="77777777" w:rsidR="00247C10" w:rsidRPr="00D531DC" w:rsidRDefault="00247C10" w:rsidP="00247C10">
      <w:pPr>
        <w:spacing w:line="360" w:lineRule="auto"/>
        <w:contextualSpacing/>
        <w:jc w:val="both"/>
        <w:rPr>
          <w:rFonts w:ascii="Palatino Linotype" w:hAnsi="Palatino Linotype" w:cs="Palatino Linotype"/>
          <w:color w:val="000000"/>
          <w:sz w:val="24"/>
          <w:szCs w:val="24"/>
        </w:rPr>
      </w:pPr>
    </w:p>
    <w:p w14:paraId="23C77BF7" w14:textId="697AC142" w:rsidR="00D17D85" w:rsidRPr="00D531DC" w:rsidRDefault="00D17D85" w:rsidP="00D17D85">
      <w:pPr>
        <w:spacing w:before="240" w:line="360" w:lineRule="auto"/>
        <w:jc w:val="center"/>
        <w:rPr>
          <w:rFonts w:ascii="Palatino Linotype" w:hAnsi="Palatino Linotype" w:cs="Arial"/>
          <w:b/>
          <w:sz w:val="24"/>
        </w:rPr>
      </w:pPr>
      <w:r w:rsidRPr="00D531DC">
        <w:rPr>
          <w:rFonts w:ascii="Palatino Linotype" w:hAnsi="Palatino Linotype" w:cs="Arial"/>
          <w:b/>
          <w:sz w:val="24"/>
        </w:rPr>
        <w:t xml:space="preserve">C O N S I D E R A N D O </w:t>
      </w:r>
    </w:p>
    <w:p w14:paraId="36EB8B26" w14:textId="77777777" w:rsidR="00D17D85" w:rsidRPr="00D531DC" w:rsidRDefault="00D17D85" w:rsidP="00D17D85">
      <w:pPr>
        <w:spacing w:before="240" w:line="360" w:lineRule="auto"/>
        <w:jc w:val="both"/>
        <w:rPr>
          <w:rFonts w:ascii="Palatino Linotype" w:hAnsi="Palatino Linotype" w:cs="Arial"/>
          <w:sz w:val="28"/>
          <w:szCs w:val="28"/>
        </w:rPr>
      </w:pPr>
      <w:r w:rsidRPr="00D531DC">
        <w:rPr>
          <w:rFonts w:ascii="Palatino Linotype" w:hAnsi="Palatino Linotype" w:cs="Arial"/>
          <w:b/>
          <w:sz w:val="28"/>
        </w:rPr>
        <w:t>PRIMERO.</w:t>
      </w:r>
      <w:r w:rsidRPr="00D531DC">
        <w:rPr>
          <w:rFonts w:ascii="Palatino Linotype" w:hAnsi="Palatino Linotype" w:cs="Arial"/>
          <w:b/>
        </w:rPr>
        <w:t xml:space="preserve"> </w:t>
      </w:r>
      <w:r w:rsidRPr="00D531DC">
        <w:rPr>
          <w:rFonts w:ascii="Palatino Linotype" w:hAnsi="Palatino Linotype" w:cs="Arial"/>
          <w:b/>
          <w:sz w:val="28"/>
          <w:szCs w:val="28"/>
        </w:rPr>
        <w:t>De la competencia</w:t>
      </w:r>
      <w:r w:rsidRPr="00D531DC">
        <w:rPr>
          <w:rFonts w:ascii="Palatino Linotype" w:hAnsi="Palatino Linotype" w:cs="Arial"/>
          <w:sz w:val="28"/>
          <w:szCs w:val="28"/>
        </w:rPr>
        <w:t>.</w:t>
      </w:r>
    </w:p>
    <w:p w14:paraId="0545F12C" w14:textId="77777777" w:rsidR="00D17D85" w:rsidRPr="00D531DC" w:rsidRDefault="00D17D85" w:rsidP="00D17D85">
      <w:pPr>
        <w:spacing w:line="360" w:lineRule="auto"/>
        <w:jc w:val="both"/>
        <w:rPr>
          <w:rFonts w:ascii="Palatino Linotype" w:hAnsi="Palatino Linotype"/>
          <w:sz w:val="24"/>
          <w:szCs w:val="24"/>
        </w:rPr>
      </w:pPr>
      <w:r w:rsidRPr="00D531DC">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w:t>
      </w:r>
      <w:r w:rsidRPr="00D531DC">
        <w:rPr>
          <w:rFonts w:ascii="Palatino Linotype" w:hAnsi="Palatino Linotype"/>
          <w:sz w:val="24"/>
          <w:szCs w:val="24"/>
        </w:rPr>
        <w:lastRenderedPageBreak/>
        <w:t xml:space="preserve">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 </w:t>
      </w:r>
    </w:p>
    <w:p w14:paraId="61033C81" w14:textId="77777777" w:rsidR="00864834" w:rsidRPr="00D531DC" w:rsidRDefault="00864834" w:rsidP="00D17D85">
      <w:pPr>
        <w:spacing w:line="360" w:lineRule="auto"/>
        <w:jc w:val="both"/>
        <w:rPr>
          <w:rFonts w:ascii="Palatino Linotype" w:hAnsi="Palatino Linotype"/>
          <w:sz w:val="24"/>
          <w:szCs w:val="24"/>
        </w:rPr>
      </w:pPr>
    </w:p>
    <w:p w14:paraId="64451699" w14:textId="77777777" w:rsidR="00D17D85" w:rsidRPr="00D531DC" w:rsidRDefault="00D17D85" w:rsidP="00D17D85">
      <w:pPr>
        <w:pStyle w:val="Prrafodelista"/>
        <w:autoSpaceDE w:val="0"/>
        <w:autoSpaceDN w:val="0"/>
        <w:adjustRightInd w:val="0"/>
        <w:spacing w:before="240" w:after="160" w:line="360" w:lineRule="auto"/>
        <w:ind w:left="0"/>
        <w:jc w:val="both"/>
        <w:rPr>
          <w:rFonts w:ascii="Palatino Linotype" w:hAnsi="Palatino Linotype" w:cs="Arial"/>
          <w:b/>
          <w:lang w:val="es-MX"/>
        </w:rPr>
      </w:pPr>
      <w:r w:rsidRPr="00D531DC">
        <w:rPr>
          <w:rFonts w:ascii="Palatino Linotype" w:hAnsi="Palatino Linotype" w:cs="Arial"/>
          <w:b/>
          <w:sz w:val="28"/>
          <w:lang w:val="es-MX"/>
        </w:rPr>
        <w:t>SEGUNDO</w:t>
      </w:r>
      <w:r w:rsidRPr="00D531DC">
        <w:rPr>
          <w:rFonts w:ascii="Palatino Linotype" w:hAnsi="Palatino Linotype" w:cs="Arial"/>
          <w:b/>
          <w:lang w:val="es-MX"/>
        </w:rPr>
        <w:t xml:space="preserve">. </w:t>
      </w:r>
      <w:r w:rsidRPr="00D531DC">
        <w:rPr>
          <w:rFonts w:ascii="Palatino Linotype" w:hAnsi="Palatino Linotype" w:cs="Arial"/>
          <w:b/>
          <w:sz w:val="28"/>
          <w:szCs w:val="28"/>
          <w:lang w:val="es-MX"/>
        </w:rPr>
        <w:t>Sobre los alcances del recurso de revisión.</w:t>
      </w:r>
      <w:r w:rsidRPr="00D531DC">
        <w:rPr>
          <w:rFonts w:ascii="Palatino Linotype" w:hAnsi="Palatino Linotype" w:cs="Arial"/>
          <w:b/>
          <w:lang w:val="es-MX"/>
        </w:rPr>
        <w:t xml:space="preserve"> </w:t>
      </w:r>
    </w:p>
    <w:p w14:paraId="4980D3E2" w14:textId="77777777" w:rsidR="00D17D85" w:rsidRPr="00D531DC" w:rsidRDefault="00D17D85" w:rsidP="00D17D85">
      <w:pPr>
        <w:pStyle w:val="Prrafodelista"/>
        <w:autoSpaceDE w:val="0"/>
        <w:autoSpaceDN w:val="0"/>
        <w:adjustRightInd w:val="0"/>
        <w:spacing w:before="240" w:after="160" w:line="360" w:lineRule="auto"/>
        <w:ind w:left="0"/>
        <w:jc w:val="both"/>
        <w:rPr>
          <w:rFonts w:ascii="Palatino Linotype" w:hAnsi="Palatino Linotype" w:cs="Arial"/>
          <w:lang w:val="es-MX"/>
        </w:rPr>
      </w:pPr>
      <w:r w:rsidRPr="00D531DC">
        <w:rPr>
          <w:rFonts w:ascii="Palatino Linotype" w:hAnsi="Palatino Linotype" w:cs="Arial"/>
          <w:lang w:val="es-MX"/>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6E4D58F2" w14:textId="77777777" w:rsidR="00D17D85" w:rsidRPr="00D531DC" w:rsidRDefault="00D17D85" w:rsidP="00D17D85">
      <w:pPr>
        <w:pStyle w:val="Prrafodelista"/>
        <w:autoSpaceDE w:val="0"/>
        <w:autoSpaceDN w:val="0"/>
        <w:adjustRightInd w:val="0"/>
        <w:spacing w:before="240" w:after="160" w:line="360" w:lineRule="auto"/>
        <w:ind w:left="0"/>
        <w:jc w:val="both"/>
        <w:rPr>
          <w:rFonts w:ascii="Palatino Linotype" w:hAnsi="Palatino Linotype" w:cs="Arial"/>
          <w:lang w:val="es-MX"/>
        </w:rPr>
      </w:pPr>
    </w:p>
    <w:p w14:paraId="5A62BADF" w14:textId="77777777" w:rsidR="0014390F" w:rsidRPr="00D531DC" w:rsidRDefault="0014390F" w:rsidP="0014390F">
      <w:pPr>
        <w:pStyle w:val="Prrafodelista"/>
        <w:autoSpaceDE w:val="0"/>
        <w:autoSpaceDN w:val="0"/>
        <w:adjustRightInd w:val="0"/>
        <w:spacing w:before="240" w:after="160" w:line="360" w:lineRule="auto"/>
        <w:ind w:left="0"/>
        <w:jc w:val="both"/>
        <w:rPr>
          <w:rFonts w:ascii="Palatino Linotype" w:hAnsi="Palatino Linotype" w:cs="Arial"/>
          <w:b/>
          <w:sz w:val="28"/>
          <w:szCs w:val="28"/>
          <w:lang w:val="es-MX"/>
        </w:rPr>
      </w:pPr>
      <w:r w:rsidRPr="00D531DC">
        <w:rPr>
          <w:rFonts w:ascii="Palatino Linotype" w:hAnsi="Palatino Linotype" w:cs="Arial"/>
          <w:b/>
          <w:sz w:val="28"/>
          <w:lang w:val="es-MX"/>
        </w:rPr>
        <w:t>TERCERO</w:t>
      </w:r>
      <w:r w:rsidRPr="00D531DC">
        <w:rPr>
          <w:rFonts w:ascii="Palatino Linotype" w:hAnsi="Palatino Linotype" w:cs="Arial"/>
          <w:b/>
          <w:lang w:val="es-MX"/>
        </w:rPr>
        <w:t xml:space="preserve">. </w:t>
      </w:r>
      <w:r w:rsidRPr="00D531DC">
        <w:rPr>
          <w:rFonts w:ascii="Palatino Linotype" w:hAnsi="Palatino Linotype" w:cs="Arial"/>
          <w:b/>
          <w:sz w:val="28"/>
          <w:szCs w:val="28"/>
          <w:lang w:val="es-MX"/>
        </w:rPr>
        <w:t>De las causas de improcedencia.</w:t>
      </w:r>
    </w:p>
    <w:p w14:paraId="18A7EED5" w14:textId="77777777" w:rsidR="0014390F" w:rsidRPr="00D531DC" w:rsidRDefault="0014390F" w:rsidP="0014390F">
      <w:pPr>
        <w:pStyle w:val="Prrafodelista"/>
        <w:autoSpaceDE w:val="0"/>
        <w:autoSpaceDN w:val="0"/>
        <w:adjustRightInd w:val="0"/>
        <w:spacing w:before="240" w:after="160" w:line="360" w:lineRule="auto"/>
        <w:ind w:left="0"/>
        <w:jc w:val="both"/>
        <w:rPr>
          <w:rFonts w:ascii="Palatino Linotype" w:hAnsi="Palatino Linotype" w:cs="Arial"/>
          <w:lang w:val="es-MX"/>
        </w:rPr>
      </w:pPr>
      <w:r w:rsidRPr="00D531DC">
        <w:rPr>
          <w:rFonts w:ascii="Palatino Linotype" w:hAnsi="Palatino Linotype" w:cs="Arial"/>
          <w:lang w:val="es-MX"/>
        </w:rPr>
        <w:t xml:space="preserve">En el procedimiento de acceso a la información y de los medios de impugnación de la materia, se advierten diversos supuestos de procedibilidad, los cuales deben estudiarse con la finalidad de dar cumplimiento a los principios de legalidad y </w:t>
      </w:r>
      <w:r w:rsidRPr="00D531DC">
        <w:rPr>
          <w:rFonts w:ascii="Palatino Linotype" w:hAnsi="Palatino Linotype" w:cs="Arial"/>
          <w:lang w:val="es-MX"/>
        </w:rPr>
        <w:lastRenderedPageBreak/>
        <w:t>objetividad inmersos en el artículo 9 de Ley de Transparencia y Acceso a la Información Pública del Estado de México y Municipios, en correlación con la seguridad jurídica que debe generar lo actuado ante este Organismo garante.</w:t>
      </w:r>
    </w:p>
    <w:p w14:paraId="7D82117B" w14:textId="77777777" w:rsidR="0014390F" w:rsidRPr="00D531DC" w:rsidRDefault="0014390F" w:rsidP="0014390F">
      <w:pPr>
        <w:pStyle w:val="Prrafodelista"/>
        <w:autoSpaceDE w:val="0"/>
        <w:autoSpaceDN w:val="0"/>
        <w:adjustRightInd w:val="0"/>
        <w:spacing w:line="360" w:lineRule="auto"/>
        <w:ind w:left="0"/>
        <w:jc w:val="both"/>
        <w:rPr>
          <w:rFonts w:ascii="Palatino Linotype" w:hAnsi="Palatino Linotype" w:cs="Arial"/>
          <w:lang w:val="es-MX"/>
        </w:rPr>
      </w:pPr>
      <w:r w:rsidRPr="00D531DC">
        <w:rPr>
          <w:rFonts w:ascii="Palatino Linotype" w:hAnsi="Palatino Linotype" w:cs="Arial"/>
          <w:lang w:val="es-MX"/>
        </w:rPr>
        <w:t>Siendo facultad de este Órgano entrar al estudio de las causas de improcedencia que hagan valer las partes o que se adviertan de oficio por este Resolutor y por ende objeto de análisis previo al estudio de fondo del asunto, en los presupuestos procesales sobre el inicio o trámite de un proceso, generando eficacia jurídica en las resoluciones, máxime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D531DC">
        <w:rPr>
          <w:rStyle w:val="Refdenotaalpie"/>
          <w:rFonts w:ascii="Palatino Linotype" w:hAnsi="Palatino Linotype" w:cs="Arial"/>
          <w:lang w:val="es-MX"/>
        </w:rPr>
        <w:footnoteReference w:id="1"/>
      </w:r>
      <w:r w:rsidRPr="00D531DC">
        <w:rPr>
          <w:rFonts w:ascii="Palatino Linotype" w:hAnsi="Palatino Linotype" w:cs="Arial"/>
          <w:lang w:val="es-MX"/>
        </w:rPr>
        <w:t xml:space="preserve">. Así las cosas, del análisis de los expedientes electrónicos no se advierte ninguna causa de improcedencia que se </w:t>
      </w:r>
      <w:r w:rsidRPr="00D531DC">
        <w:rPr>
          <w:rFonts w:ascii="Palatino Linotype" w:hAnsi="Palatino Linotype" w:cs="Arial"/>
          <w:lang w:val="es-MX"/>
        </w:rPr>
        <w:lastRenderedPageBreak/>
        <w:t>actualice ni mucho menos alguna hecha valer por alguna de las partes, procediendo al estudio del fondo del asunto, en los siguientes términos.</w:t>
      </w:r>
    </w:p>
    <w:p w14:paraId="6C185F96" w14:textId="77777777" w:rsidR="00E53E16" w:rsidRPr="00D531DC" w:rsidRDefault="00E53E16" w:rsidP="00D17D85">
      <w:pPr>
        <w:tabs>
          <w:tab w:val="left" w:pos="709"/>
        </w:tabs>
        <w:spacing w:before="240" w:line="360" w:lineRule="auto"/>
        <w:ind w:right="51"/>
        <w:jc w:val="both"/>
        <w:rPr>
          <w:rFonts w:ascii="Palatino Linotype" w:hAnsi="Palatino Linotype"/>
          <w:b/>
          <w:sz w:val="28"/>
          <w:szCs w:val="28"/>
        </w:rPr>
      </w:pPr>
    </w:p>
    <w:p w14:paraId="6C278E15" w14:textId="77777777" w:rsidR="00D17D85" w:rsidRPr="00D531DC" w:rsidRDefault="00D17D85" w:rsidP="00D17D85">
      <w:pPr>
        <w:tabs>
          <w:tab w:val="left" w:pos="709"/>
        </w:tabs>
        <w:spacing w:before="240" w:line="360" w:lineRule="auto"/>
        <w:ind w:right="51"/>
        <w:jc w:val="both"/>
        <w:rPr>
          <w:rFonts w:ascii="Palatino Linotype" w:hAnsi="Palatino Linotype"/>
          <w:b/>
          <w:sz w:val="28"/>
          <w:szCs w:val="28"/>
        </w:rPr>
      </w:pPr>
      <w:r w:rsidRPr="00D531DC">
        <w:rPr>
          <w:rFonts w:ascii="Palatino Linotype" w:hAnsi="Palatino Linotype"/>
          <w:b/>
          <w:sz w:val="28"/>
          <w:szCs w:val="28"/>
        </w:rPr>
        <w:t xml:space="preserve">CUARTO. Estudio y resolución del asunto </w:t>
      </w:r>
      <w:r w:rsidRPr="00D531DC">
        <w:rPr>
          <w:rFonts w:ascii="Palatino Linotype" w:hAnsi="Palatino Linotype"/>
          <w:b/>
          <w:sz w:val="28"/>
          <w:szCs w:val="28"/>
        </w:rPr>
        <w:tab/>
      </w:r>
    </w:p>
    <w:p w14:paraId="4482A008" w14:textId="77777777" w:rsidR="00D17D85" w:rsidRPr="00D531DC" w:rsidRDefault="00D17D85" w:rsidP="00D17D85">
      <w:pPr>
        <w:pStyle w:val="Prrafodelista"/>
        <w:autoSpaceDE w:val="0"/>
        <w:autoSpaceDN w:val="0"/>
        <w:adjustRightInd w:val="0"/>
        <w:spacing w:before="240" w:after="160" w:line="360" w:lineRule="auto"/>
        <w:ind w:left="0"/>
        <w:jc w:val="both"/>
        <w:rPr>
          <w:rFonts w:ascii="Palatino Linotype" w:hAnsi="Palatino Linotype" w:cs="Arial"/>
          <w:lang w:val="es-MX"/>
        </w:rPr>
      </w:pPr>
      <w:r w:rsidRPr="00D531DC">
        <w:rPr>
          <w:rFonts w:ascii="Palatino Linotype" w:hAnsi="Palatino Linotype" w:cs="Arial"/>
          <w:lang w:val="es-MX"/>
        </w:rPr>
        <w:t xml:space="preserve">El análisis del  presente recurso, se basará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 </w:t>
      </w:r>
    </w:p>
    <w:p w14:paraId="62423C07" w14:textId="77777777" w:rsidR="00D17D85" w:rsidRPr="00D531DC" w:rsidRDefault="00D17D85" w:rsidP="00D17D85">
      <w:pPr>
        <w:spacing w:after="0" w:line="360" w:lineRule="auto"/>
        <w:jc w:val="both"/>
        <w:rPr>
          <w:rFonts w:ascii="Palatino Linotype" w:eastAsia="Times New Roman" w:hAnsi="Palatino Linotype" w:cs="Times New Roman"/>
          <w:sz w:val="24"/>
          <w:szCs w:val="24"/>
          <w:lang w:eastAsia="es-ES"/>
        </w:rPr>
      </w:pPr>
      <w:r w:rsidRPr="00D531DC">
        <w:rPr>
          <w:rFonts w:ascii="Palatino Linotype" w:hAnsi="Palatino Linotype" w:cs="Arial"/>
          <w:sz w:val="24"/>
          <w:szCs w:val="24"/>
        </w:rPr>
        <w:t xml:space="preserve">En este tenor, es necesario subrayar que </w:t>
      </w:r>
      <w:r w:rsidRPr="00D531DC">
        <w:rPr>
          <w:rFonts w:ascii="Palatino Linotype" w:eastAsia="Times New Roman" w:hAnsi="Palatino Linotype" w:cs="Times New Roman"/>
          <w:sz w:val="24"/>
          <w:szCs w:val="24"/>
          <w:lang w:eastAsia="es-ES"/>
        </w:rPr>
        <w:t>el derecho de acceso a la información pública implica que cualquier persona conozca la información contenida en los documentos que se encuentren en los archivos de los sujetos obligados, conforme a los artículos 4, 12, 24 último párrafo y 160 de la Ley local en la materia, que a la letra citan:</w:t>
      </w:r>
    </w:p>
    <w:p w14:paraId="2205D2AE" w14:textId="77777777" w:rsidR="00D17D85" w:rsidRPr="00D531DC" w:rsidRDefault="00D17D85" w:rsidP="00D17D85">
      <w:pPr>
        <w:spacing w:before="240" w:line="360" w:lineRule="auto"/>
        <w:ind w:left="851" w:right="851"/>
        <w:jc w:val="both"/>
        <w:rPr>
          <w:rFonts w:ascii="Palatino Linotype" w:eastAsia="Times New Roman" w:hAnsi="Palatino Linotype" w:cs="Times New Roman"/>
          <w:i/>
          <w:lang w:eastAsia="es-ES"/>
        </w:rPr>
      </w:pPr>
      <w:r w:rsidRPr="00D531DC">
        <w:rPr>
          <w:rFonts w:ascii="Palatino Linotype" w:eastAsia="Times New Roman" w:hAnsi="Palatino Linotype" w:cs="Times New Roman"/>
          <w:b/>
          <w:i/>
          <w:lang w:eastAsia="es-ES"/>
        </w:rPr>
        <w:t>“Artículo 4.</w:t>
      </w:r>
      <w:r w:rsidRPr="00D531DC">
        <w:rPr>
          <w:rFonts w:ascii="Palatino Linotype" w:eastAsia="Times New Roman" w:hAnsi="Palatino Linotype" w:cs="Times New Roman"/>
          <w:i/>
          <w:lang w:eastAsia="es-ES"/>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54701388" w14:textId="77777777" w:rsidR="00D17D85" w:rsidRPr="00D531DC" w:rsidRDefault="00D17D85" w:rsidP="00D17D85">
      <w:pPr>
        <w:spacing w:before="240" w:line="360" w:lineRule="auto"/>
        <w:ind w:left="851" w:right="851"/>
        <w:jc w:val="both"/>
        <w:rPr>
          <w:rFonts w:ascii="Palatino Linotype" w:eastAsia="Times New Roman" w:hAnsi="Palatino Linotype" w:cs="Times New Roman"/>
          <w:i/>
          <w:lang w:eastAsia="es-ES"/>
        </w:rPr>
      </w:pPr>
      <w:r w:rsidRPr="00D531DC">
        <w:rPr>
          <w:rFonts w:ascii="Palatino Linotype" w:eastAsia="Times New Roman" w:hAnsi="Palatino Linotype" w:cs="Times New Roman"/>
          <w:i/>
          <w:lang w:eastAsia="es-ES"/>
        </w:rPr>
        <w:t xml:space="preserve">Toda la información generada, obtenida, adquirida, transformada, administrada o en posesión de los sujetos obligados es pública y accesible de manera permanente a </w:t>
      </w:r>
      <w:r w:rsidRPr="00D531DC">
        <w:rPr>
          <w:rFonts w:ascii="Palatino Linotype" w:eastAsia="Times New Roman" w:hAnsi="Palatino Linotype" w:cs="Times New Roman"/>
          <w:i/>
          <w:lang w:eastAsia="es-ES"/>
        </w:rPr>
        <w:lastRenderedPageBreak/>
        <w:t>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6AAA3CB1" w14:textId="77777777" w:rsidR="00D17D85" w:rsidRPr="00D531DC" w:rsidRDefault="00D17D85" w:rsidP="00D17D85">
      <w:pPr>
        <w:spacing w:before="240" w:line="360" w:lineRule="auto"/>
        <w:ind w:left="851" w:right="851"/>
        <w:jc w:val="both"/>
        <w:rPr>
          <w:rFonts w:ascii="Palatino Linotype" w:eastAsia="Times New Roman" w:hAnsi="Palatino Linotype" w:cs="Times New Roman"/>
          <w:i/>
          <w:lang w:eastAsia="es-ES"/>
        </w:rPr>
      </w:pPr>
      <w:r w:rsidRPr="00D531DC">
        <w:rPr>
          <w:rFonts w:ascii="Palatino Linotype" w:eastAsia="Times New Roman" w:hAnsi="Palatino Linotype" w:cs="Times New Roman"/>
          <w:i/>
          <w:lang w:eastAsia="es-ES"/>
        </w:rPr>
        <w:t>Los sujetos obligados deben poner en práctica, políticas y programas de acceso a la información que se apeguen a criterios de publicidad, veracidad, oportunidad, precisión y suficiencia en beneficio de los solicitantes.</w:t>
      </w:r>
    </w:p>
    <w:p w14:paraId="1FE74EE9" w14:textId="77777777" w:rsidR="00D17D85" w:rsidRPr="00D531DC" w:rsidRDefault="00D17D85" w:rsidP="00D17D85">
      <w:pPr>
        <w:spacing w:before="240" w:line="360" w:lineRule="auto"/>
        <w:ind w:left="851" w:right="851"/>
        <w:jc w:val="both"/>
        <w:rPr>
          <w:rFonts w:ascii="Palatino Linotype" w:eastAsia="Times New Roman" w:hAnsi="Palatino Linotype" w:cs="Times New Roman"/>
          <w:i/>
          <w:lang w:eastAsia="es-ES"/>
        </w:rPr>
      </w:pPr>
      <w:r w:rsidRPr="00D531DC">
        <w:rPr>
          <w:rFonts w:ascii="Palatino Linotype" w:eastAsia="Times New Roman" w:hAnsi="Palatino Linotype" w:cs="Times New Roman"/>
          <w:b/>
          <w:i/>
          <w:lang w:eastAsia="es-ES"/>
        </w:rPr>
        <w:t>Artículo 12.</w:t>
      </w:r>
      <w:r w:rsidRPr="00D531DC">
        <w:rPr>
          <w:rFonts w:ascii="Palatino Linotype" w:eastAsia="Times New Roman" w:hAnsi="Palatino Linotype" w:cs="Times New Roman"/>
          <w:i/>
          <w:lang w:eastAsia="es-ES"/>
        </w:rPr>
        <w:t xml:space="preserve"> Quienes generen, recopilen, administren, manejen, procesen, archiven o conserven información pública serán responsables de la misma en los términos de las disposiciones jurídicas aplicables.</w:t>
      </w:r>
    </w:p>
    <w:p w14:paraId="07CAF6BF" w14:textId="77777777" w:rsidR="00D17D85" w:rsidRPr="00D531DC" w:rsidRDefault="00D17D85" w:rsidP="00D17D85">
      <w:pPr>
        <w:spacing w:before="240" w:line="360" w:lineRule="auto"/>
        <w:ind w:left="851" w:right="851"/>
        <w:jc w:val="both"/>
        <w:rPr>
          <w:rFonts w:ascii="Palatino Linotype" w:eastAsia="Times New Roman" w:hAnsi="Palatino Linotype" w:cs="Times New Roman"/>
          <w:i/>
          <w:lang w:eastAsia="es-ES"/>
        </w:rPr>
      </w:pPr>
      <w:r w:rsidRPr="00D531DC">
        <w:rPr>
          <w:rFonts w:ascii="Palatino Linotype" w:eastAsia="Times New Roman" w:hAnsi="Palatino Linotype" w:cs="Times New Roman"/>
          <w:i/>
          <w:lang w:eastAsia="es-ES"/>
        </w:rPr>
        <w:t xml:space="preserve">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w:t>
      </w:r>
    </w:p>
    <w:p w14:paraId="1068B669" w14:textId="77777777" w:rsidR="00D17D85" w:rsidRPr="00D531DC" w:rsidRDefault="00D17D85" w:rsidP="00D17D85">
      <w:pPr>
        <w:spacing w:before="240" w:line="360" w:lineRule="auto"/>
        <w:ind w:left="851" w:right="851"/>
        <w:jc w:val="both"/>
        <w:rPr>
          <w:rFonts w:ascii="Palatino Linotype" w:eastAsia="Times New Roman" w:hAnsi="Palatino Linotype" w:cs="Times New Roman"/>
          <w:i/>
          <w:lang w:eastAsia="es-ES"/>
        </w:rPr>
      </w:pPr>
      <w:r w:rsidRPr="00D531DC">
        <w:rPr>
          <w:rFonts w:ascii="Palatino Linotype" w:eastAsia="Times New Roman" w:hAnsi="Palatino Linotype" w:cs="Times New Roman"/>
          <w:i/>
          <w:lang w:eastAsia="es-ES"/>
        </w:rPr>
        <w:t>(…)</w:t>
      </w:r>
    </w:p>
    <w:p w14:paraId="1C2A9664" w14:textId="77777777" w:rsidR="00D17D85" w:rsidRPr="00D531DC" w:rsidRDefault="00D17D85" w:rsidP="00D17D85">
      <w:pPr>
        <w:spacing w:before="240" w:line="360" w:lineRule="auto"/>
        <w:ind w:left="851" w:right="851"/>
        <w:jc w:val="both"/>
        <w:rPr>
          <w:rFonts w:ascii="Palatino Linotype" w:eastAsia="Times New Roman" w:hAnsi="Palatino Linotype" w:cs="Times New Roman"/>
          <w:b/>
          <w:i/>
          <w:lang w:eastAsia="es-ES"/>
        </w:rPr>
      </w:pPr>
      <w:r w:rsidRPr="00D531DC">
        <w:rPr>
          <w:rFonts w:ascii="Palatino Linotype" w:eastAsia="Times New Roman" w:hAnsi="Palatino Linotype" w:cs="Times New Roman"/>
          <w:b/>
          <w:i/>
          <w:lang w:eastAsia="es-ES"/>
        </w:rPr>
        <w:t xml:space="preserve">Artículo 24. </w:t>
      </w:r>
    </w:p>
    <w:p w14:paraId="28D82F4E" w14:textId="77777777" w:rsidR="00D17D85" w:rsidRPr="00D531DC" w:rsidRDefault="00D17D85" w:rsidP="00D17D85">
      <w:pPr>
        <w:spacing w:before="240" w:line="360" w:lineRule="auto"/>
        <w:ind w:left="851" w:right="851"/>
        <w:jc w:val="both"/>
        <w:rPr>
          <w:rFonts w:ascii="Palatino Linotype" w:eastAsia="Times New Roman" w:hAnsi="Palatino Linotype" w:cs="Times New Roman"/>
          <w:i/>
          <w:lang w:eastAsia="es-ES"/>
        </w:rPr>
      </w:pPr>
      <w:r w:rsidRPr="00D531DC">
        <w:rPr>
          <w:rFonts w:ascii="Palatino Linotype" w:eastAsia="Times New Roman" w:hAnsi="Palatino Linotype" w:cs="Times New Roman"/>
          <w:i/>
          <w:lang w:eastAsia="es-ES"/>
        </w:rPr>
        <w:t>(…)</w:t>
      </w:r>
    </w:p>
    <w:p w14:paraId="089B86ED" w14:textId="77777777" w:rsidR="00D17D85" w:rsidRPr="00D531DC" w:rsidRDefault="00D17D85" w:rsidP="00D17D85">
      <w:pPr>
        <w:spacing w:before="240" w:line="360" w:lineRule="auto"/>
        <w:ind w:left="851" w:right="851"/>
        <w:jc w:val="both"/>
        <w:rPr>
          <w:rFonts w:ascii="Palatino Linotype" w:eastAsia="Times New Roman" w:hAnsi="Palatino Linotype" w:cs="Times New Roman"/>
          <w:i/>
          <w:lang w:eastAsia="es-ES"/>
        </w:rPr>
      </w:pPr>
      <w:r w:rsidRPr="00D531DC">
        <w:rPr>
          <w:rFonts w:ascii="Palatino Linotype" w:eastAsia="Times New Roman" w:hAnsi="Palatino Linotype" w:cs="Times New Roman"/>
          <w:i/>
          <w:lang w:eastAsia="es-ES"/>
        </w:rPr>
        <w:t>Los sujetos obligados solo proporcionarán la información pública que generen, administren o posean en el ejercicio de sus atribuciones.”</w:t>
      </w:r>
    </w:p>
    <w:p w14:paraId="5193DF6E" w14:textId="77777777" w:rsidR="00D17D85" w:rsidRPr="00D531DC" w:rsidRDefault="00D17D85" w:rsidP="00D17D85">
      <w:pPr>
        <w:spacing w:before="240" w:line="360" w:lineRule="auto"/>
        <w:ind w:left="851" w:right="851"/>
        <w:jc w:val="both"/>
        <w:rPr>
          <w:rFonts w:ascii="Palatino Linotype" w:eastAsia="Times New Roman" w:hAnsi="Palatino Linotype" w:cs="Times New Roman"/>
          <w:i/>
          <w:lang w:eastAsia="es-ES"/>
        </w:rPr>
      </w:pPr>
      <w:r w:rsidRPr="00D531DC">
        <w:rPr>
          <w:rFonts w:ascii="Palatino Linotype" w:eastAsia="Times New Roman" w:hAnsi="Palatino Linotype" w:cs="Times New Roman"/>
          <w:i/>
          <w:lang w:eastAsia="es-ES"/>
        </w:rPr>
        <w:lastRenderedPageBreak/>
        <w:t>(…)</w:t>
      </w:r>
    </w:p>
    <w:p w14:paraId="30EF54AE" w14:textId="77777777" w:rsidR="00D17D85" w:rsidRPr="00D531DC" w:rsidRDefault="00D17D85" w:rsidP="00D17D85">
      <w:pPr>
        <w:spacing w:before="240" w:line="360" w:lineRule="auto"/>
        <w:ind w:left="851" w:right="851"/>
        <w:jc w:val="both"/>
        <w:rPr>
          <w:rFonts w:ascii="Palatino Linotype" w:eastAsia="Times New Roman" w:hAnsi="Palatino Linotype" w:cs="Times New Roman"/>
          <w:i/>
          <w:lang w:eastAsia="es-ES"/>
        </w:rPr>
      </w:pPr>
      <w:r w:rsidRPr="00D531DC">
        <w:rPr>
          <w:rFonts w:ascii="Palatino Linotype" w:eastAsia="Times New Roman" w:hAnsi="Palatino Linotype" w:cs="Times New Roman"/>
          <w:b/>
          <w:i/>
          <w:lang w:eastAsia="es-ES"/>
        </w:rPr>
        <w:t>Artículo 160.</w:t>
      </w:r>
      <w:r w:rsidRPr="00D531DC">
        <w:rPr>
          <w:rFonts w:ascii="Palatino Linotype" w:eastAsia="Times New Roman" w:hAnsi="Palatino Linotype" w:cs="Times New Roman"/>
          <w:i/>
          <w:lang w:eastAsia="es-ES"/>
        </w:rPr>
        <w:t xml:space="preserve"> Los sujetos obligados deberán otorgar acceso a los documentos que se </w:t>
      </w:r>
      <w:r w:rsidRPr="00D531DC">
        <w:rPr>
          <w:rFonts w:ascii="Palatino Linotype" w:eastAsia="Times New Roman" w:hAnsi="Palatino Linotype" w:cs="Times New Roman"/>
          <w:b/>
          <w:i/>
          <w:lang w:eastAsia="es-ES"/>
        </w:rPr>
        <w:t xml:space="preserve"> </w:t>
      </w:r>
      <w:r w:rsidRPr="00D531DC">
        <w:rPr>
          <w:rFonts w:ascii="Palatino Linotype" w:eastAsia="Times New Roman" w:hAnsi="Palatino Linotype" w:cs="Times New Roman"/>
          <w:i/>
          <w:lang w:eastAsia="es-ES"/>
        </w:rPr>
        <w:t>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68906941" w14:textId="77777777" w:rsidR="00D17D85" w:rsidRPr="00D531DC" w:rsidRDefault="00D17D85" w:rsidP="00D17D85">
      <w:pPr>
        <w:spacing w:before="240" w:line="360" w:lineRule="auto"/>
        <w:ind w:left="851" w:right="851"/>
        <w:jc w:val="both"/>
        <w:rPr>
          <w:rFonts w:ascii="Palatino Linotype" w:eastAsia="Times New Roman" w:hAnsi="Palatino Linotype" w:cs="Times New Roman"/>
          <w:b/>
          <w:i/>
          <w:lang w:eastAsia="es-ES"/>
        </w:rPr>
      </w:pPr>
      <w:r w:rsidRPr="00D531DC">
        <w:rPr>
          <w:rFonts w:ascii="Palatino Linotype" w:eastAsia="Times New Roman" w:hAnsi="Palatino Linotype" w:cs="Times New Roman"/>
          <w:i/>
          <w:lang w:eastAsia="es-ES"/>
        </w:rPr>
        <w:t>En caso que la información solicitada consista en bases de datos se deberá privilegiar la entrega de la misma en formatos abiertos.”</w:t>
      </w:r>
      <w:r w:rsidRPr="00D531DC">
        <w:rPr>
          <w:rFonts w:ascii="Palatino Linotype" w:eastAsia="Times New Roman" w:hAnsi="Palatino Linotype" w:cs="Times New Roman"/>
          <w:b/>
          <w:i/>
          <w:lang w:eastAsia="es-ES"/>
        </w:rPr>
        <w:t>[Sic]</w:t>
      </w:r>
    </w:p>
    <w:p w14:paraId="0722DED9" w14:textId="77777777" w:rsidR="00D17D85" w:rsidRPr="00D531DC" w:rsidRDefault="00D17D85" w:rsidP="00D17D85">
      <w:pPr>
        <w:spacing w:after="0" w:line="360" w:lineRule="auto"/>
        <w:jc w:val="both"/>
        <w:rPr>
          <w:rFonts w:ascii="Palatino Linotype" w:eastAsia="Times New Roman" w:hAnsi="Palatino Linotype" w:cs="Times New Roman"/>
          <w:sz w:val="24"/>
          <w:szCs w:val="24"/>
          <w:lang w:eastAsia="es-ES"/>
        </w:rPr>
      </w:pPr>
    </w:p>
    <w:p w14:paraId="5FCBE473" w14:textId="77777777" w:rsidR="00D17D85" w:rsidRPr="00D531DC" w:rsidRDefault="00D17D85" w:rsidP="00D17D85">
      <w:pPr>
        <w:spacing w:after="0" w:line="360" w:lineRule="auto"/>
        <w:jc w:val="both"/>
        <w:rPr>
          <w:rFonts w:ascii="Palatino Linotype" w:eastAsia="Times New Roman" w:hAnsi="Palatino Linotype" w:cs="Times New Roman"/>
          <w:sz w:val="24"/>
          <w:szCs w:val="24"/>
          <w:lang w:eastAsia="es-ES"/>
        </w:rPr>
      </w:pPr>
      <w:r w:rsidRPr="00D531DC">
        <w:rPr>
          <w:rFonts w:ascii="Palatino Linotype" w:eastAsia="Times New Roman" w:hAnsi="Palatino Linotype" w:cs="Times New Roman"/>
          <w:sz w:val="24"/>
          <w:szCs w:val="24"/>
          <w:lang w:eastAsia="es-ES"/>
        </w:rPr>
        <w:t xml:space="preserve">Así que la obligación de los </w:t>
      </w:r>
      <w:r w:rsidRPr="00D531DC">
        <w:rPr>
          <w:rFonts w:ascii="Palatino Linotype" w:eastAsia="Times New Roman" w:hAnsi="Palatino Linotype" w:cs="Times New Roman"/>
          <w:b/>
          <w:sz w:val="24"/>
          <w:szCs w:val="24"/>
          <w:lang w:eastAsia="es-ES"/>
        </w:rPr>
        <w:t>Sujetos Obligados</w:t>
      </w:r>
      <w:r w:rsidRPr="00D531DC">
        <w:rPr>
          <w:rFonts w:ascii="Palatino Linotype" w:eastAsia="Times New Roman" w:hAnsi="Palatino Linotype" w:cs="Times New Roman"/>
          <w:sz w:val="24"/>
          <w:szCs w:val="24"/>
          <w:lang w:eastAsia="es-ES"/>
        </w:rPr>
        <w:t xml:space="preserve"> de dar acceso a la información pública que generen, administren o posean, se tendrá por cumplida cuando el solicitante tenga a su disposición la información requerida, o cuando realice la consulta de la misma en el lugar que ésta se localice, de acuerdo a lo señalado por el artículo 166 </w:t>
      </w:r>
      <w:r w:rsidRPr="00D531DC">
        <w:rPr>
          <w:rFonts w:ascii="Palatino Linotype" w:eastAsia="Times New Roman" w:hAnsi="Palatino Linotype" w:cs="Times New Roman"/>
          <w:bCs/>
          <w:sz w:val="24"/>
          <w:szCs w:val="24"/>
          <w:lang w:eastAsia="es-ES"/>
        </w:rPr>
        <w:t>de la Ley local en la materia, que se reproduce de la siguiente forma</w:t>
      </w:r>
      <w:r w:rsidRPr="00D531DC">
        <w:rPr>
          <w:rFonts w:ascii="Palatino Linotype" w:eastAsia="Times New Roman" w:hAnsi="Palatino Linotype" w:cs="Times New Roman"/>
          <w:sz w:val="24"/>
          <w:szCs w:val="24"/>
          <w:lang w:eastAsia="es-ES"/>
        </w:rPr>
        <w:t>:</w:t>
      </w:r>
    </w:p>
    <w:p w14:paraId="2C0803C5" w14:textId="77777777" w:rsidR="00D17D85" w:rsidRPr="00D531DC" w:rsidRDefault="00D17D85" w:rsidP="00D17D85">
      <w:pPr>
        <w:spacing w:before="240" w:line="360" w:lineRule="auto"/>
        <w:ind w:left="851" w:right="851"/>
        <w:jc w:val="both"/>
        <w:rPr>
          <w:rFonts w:ascii="Palatino Linotype" w:eastAsia="Times New Roman" w:hAnsi="Palatino Linotype" w:cs="Arial"/>
          <w:b/>
          <w:i/>
          <w:lang w:eastAsia="es-ES"/>
        </w:rPr>
      </w:pPr>
      <w:r w:rsidRPr="00D531DC">
        <w:rPr>
          <w:rFonts w:ascii="Palatino Linotype" w:eastAsia="Times New Roman" w:hAnsi="Palatino Linotype" w:cs="Arial"/>
          <w:i/>
          <w:lang w:eastAsia="es-ES"/>
        </w:rPr>
        <w:t xml:space="preserve">“Artículo 166. La obligación de acceso a la información pública se tendrá por cumplida cuando el solicitante tenga a su disposición la información requerida, o cuando realice la consulta de la misma en el lugar en el que ésta se localice.” </w:t>
      </w:r>
      <w:r w:rsidRPr="00D531DC">
        <w:rPr>
          <w:rFonts w:ascii="Palatino Linotype" w:eastAsia="Times New Roman" w:hAnsi="Palatino Linotype" w:cs="Arial"/>
          <w:b/>
          <w:i/>
          <w:lang w:eastAsia="es-ES"/>
        </w:rPr>
        <w:t>[Sic]</w:t>
      </w:r>
    </w:p>
    <w:p w14:paraId="66C6F033" w14:textId="77777777" w:rsidR="00713826" w:rsidRPr="00D531DC" w:rsidRDefault="00713826" w:rsidP="00836EF0">
      <w:pPr>
        <w:spacing w:before="240" w:line="360" w:lineRule="auto"/>
        <w:ind w:right="851"/>
        <w:jc w:val="both"/>
        <w:rPr>
          <w:rFonts w:ascii="Palatino Linotype" w:eastAsia="Times New Roman" w:hAnsi="Palatino Linotype" w:cs="Arial"/>
          <w:bCs/>
          <w:iCs/>
          <w:sz w:val="24"/>
          <w:szCs w:val="24"/>
          <w:lang w:eastAsia="es-ES"/>
        </w:rPr>
      </w:pPr>
    </w:p>
    <w:p w14:paraId="26B4A30B" w14:textId="796F67E1" w:rsidR="00836EF0" w:rsidRPr="00D531DC" w:rsidRDefault="00836EF0" w:rsidP="00836EF0">
      <w:pPr>
        <w:autoSpaceDE w:val="0"/>
        <w:autoSpaceDN w:val="0"/>
        <w:adjustRightInd w:val="0"/>
        <w:spacing w:before="240" w:line="360" w:lineRule="auto"/>
        <w:jc w:val="both"/>
        <w:rPr>
          <w:rFonts w:ascii="Palatino Linotype" w:hAnsi="Palatino Linotype" w:cs="Arial"/>
          <w:sz w:val="24"/>
          <w:szCs w:val="24"/>
        </w:rPr>
      </w:pPr>
      <w:r w:rsidRPr="00D531DC">
        <w:rPr>
          <w:rFonts w:ascii="Palatino Linotype" w:hAnsi="Palatino Linotype" w:cs="Arial"/>
          <w:sz w:val="24"/>
          <w:szCs w:val="24"/>
        </w:rPr>
        <w:t xml:space="preserve">En una aproximación inicial, con relación a la solicitud de información </w:t>
      </w:r>
      <w:r w:rsidR="0014390F" w:rsidRPr="00D531DC">
        <w:rPr>
          <w:rFonts w:ascii="Palatino Linotype" w:hAnsi="Palatino Linotype" w:cs="Arial"/>
          <w:b/>
          <w:bCs/>
          <w:sz w:val="24"/>
          <w:szCs w:val="24"/>
        </w:rPr>
        <w:t>00028</w:t>
      </w:r>
      <w:r w:rsidR="00E53E16" w:rsidRPr="00D531DC">
        <w:rPr>
          <w:rFonts w:ascii="Palatino Linotype" w:hAnsi="Palatino Linotype" w:cs="Arial"/>
          <w:b/>
          <w:bCs/>
          <w:sz w:val="24"/>
          <w:szCs w:val="24"/>
        </w:rPr>
        <w:t>/TENANCIN/IP/</w:t>
      </w:r>
      <w:r w:rsidR="00864834" w:rsidRPr="00D531DC">
        <w:rPr>
          <w:rFonts w:ascii="Palatino Linotype" w:hAnsi="Palatino Linotype" w:cs="Arial"/>
          <w:b/>
          <w:bCs/>
          <w:sz w:val="24"/>
          <w:szCs w:val="24"/>
        </w:rPr>
        <w:t xml:space="preserve">2026 </w:t>
      </w:r>
      <w:r w:rsidR="00864834" w:rsidRPr="00D531DC">
        <w:rPr>
          <w:rFonts w:ascii="Palatino Linotype" w:hAnsi="Palatino Linotype" w:cs="Arial"/>
          <w:sz w:val="24"/>
          <w:szCs w:val="24"/>
        </w:rPr>
        <w:t>se</w:t>
      </w:r>
      <w:r w:rsidRPr="00D531DC">
        <w:rPr>
          <w:rFonts w:ascii="Palatino Linotype" w:hAnsi="Palatino Linotype" w:cs="Arial"/>
          <w:sz w:val="24"/>
          <w:szCs w:val="24"/>
        </w:rPr>
        <w:t xml:space="preserve"> desprenden las siguientes consideraciones: </w:t>
      </w:r>
    </w:p>
    <w:p w14:paraId="7ADF9A6F" w14:textId="77777777" w:rsidR="00836EF0" w:rsidRPr="00D531DC" w:rsidRDefault="00836EF0">
      <w:pPr>
        <w:pStyle w:val="Prrafodelista"/>
        <w:numPr>
          <w:ilvl w:val="0"/>
          <w:numId w:val="2"/>
        </w:numPr>
        <w:autoSpaceDE w:val="0"/>
        <w:autoSpaceDN w:val="0"/>
        <w:adjustRightInd w:val="0"/>
        <w:spacing w:before="240" w:line="360" w:lineRule="auto"/>
        <w:jc w:val="both"/>
        <w:rPr>
          <w:rFonts w:ascii="Palatino Linotype" w:hAnsi="Palatino Linotype" w:cs="Arial"/>
          <w:lang w:val="es-MX"/>
        </w:rPr>
      </w:pPr>
      <w:r w:rsidRPr="00D531DC">
        <w:rPr>
          <w:rFonts w:ascii="Palatino Linotype" w:hAnsi="Palatino Linotype" w:cs="Arial"/>
          <w:lang w:val="es-MX"/>
        </w:rPr>
        <w:t xml:space="preserve">Que el derecho de acceso a la información pública estriba en la prerrogativa de carácter constitucional que reconoce la potestad de los ciudadanos para solicitar </w:t>
      </w:r>
      <w:r w:rsidRPr="00D531DC">
        <w:rPr>
          <w:rFonts w:ascii="Palatino Linotype" w:hAnsi="Palatino Linotype" w:cs="Arial"/>
          <w:lang w:val="es-MX"/>
        </w:rPr>
        <w:lastRenderedPageBreak/>
        <w:t xml:space="preserve">soportes documentales generados, poseídos o administrados por los </w:t>
      </w:r>
      <w:r w:rsidRPr="00D531DC">
        <w:rPr>
          <w:rFonts w:ascii="Palatino Linotype" w:hAnsi="Palatino Linotype" w:cs="Arial"/>
          <w:b/>
          <w:bCs/>
          <w:lang w:val="es-MX"/>
        </w:rPr>
        <w:t xml:space="preserve">Sujetos Obligados. </w:t>
      </w:r>
    </w:p>
    <w:p w14:paraId="6E0EB375" w14:textId="369F9FFA" w:rsidR="0014390F" w:rsidRPr="00D531DC" w:rsidRDefault="00836EF0" w:rsidP="004B7832">
      <w:pPr>
        <w:pStyle w:val="Prrafodelista"/>
        <w:numPr>
          <w:ilvl w:val="0"/>
          <w:numId w:val="15"/>
        </w:numPr>
        <w:autoSpaceDE w:val="0"/>
        <w:autoSpaceDN w:val="0"/>
        <w:adjustRightInd w:val="0"/>
        <w:spacing w:before="240" w:line="360" w:lineRule="auto"/>
        <w:jc w:val="both"/>
        <w:rPr>
          <w:rFonts w:ascii="Palatino Linotype" w:hAnsi="Palatino Linotype" w:cs="Arial"/>
        </w:rPr>
      </w:pPr>
      <w:r w:rsidRPr="00D531DC">
        <w:rPr>
          <w:rFonts w:ascii="Palatino Linotype" w:hAnsi="Palatino Linotype" w:cs="Arial"/>
          <w:lang w:val="es-MX"/>
        </w:rPr>
        <w:t xml:space="preserve">Que </w:t>
      </w:r>
      <w:r w:rsidR="00F0678F" w:rsidRPr="00D531DC">
        <w:rPr>
          <w:rFonts w:ascii="Palatino Linotype" w:hAnsi="Palatino Linotype" w:cs="Arial"/>
          <w:lang w:val="es-MX"/>
        </w:rPr>
        <w:t>fue</w:t>
      </w:r>
      <w:r w:rsidR="0014390F" w:rsidRPr="00D531DC">
        <w:rPr>
          <w:rFonts w:ascii="Palatino Linotype" w:hAnsi="Palatino Linotype" w:cs="Arial"/>
          <w:lang w:val="es-MX"/>
        </w:rPr>
        <w:t xml:space="preserve">ron formulados </w:t>
      </w:r>
      <w:r w:rsidR="008427F2" w:rsidRPr="00D531DC">
        <w:rPr>
          <w:rFonts w:ascii="Palatino Linotype" w:hAnsi="Palatino Linotype" w:cs="Arial"/>
          <w:b/>
          <w:bCs/>
          <w:lang w:val="es-MX"/>
        </w:rPr>
        <w:t>3</w:t>
      </w:r>
      <w:r w:rsidR="0014390F" w:rsidRPr="00D531DC">
        <w:rPr>
          <w:rFonts w:ascii="Palatino Linotype" w:hAnsi="Palatino Linotype" w:cs="Arial"/>
          <w:b/>
          <w:bCs/>
          <w:lang w:val="es-MX"/>
        </w:rPr>
        <w:t xml:space="preserve"> -</w:t>
      </w:r>
      <w:r w:rsidR="008427F2" w:rsidRPr="00D531DC">
        <w:rPr>
          <w:rFonts w:ascii="Palatino Linotype" w:hAnsi="Palatino Linotype" w:cs="Arial"/>
          <w:b/>
          <w:bCs/>
          <w:lang w:val="es-MX"/>
        </w:rPr>
        <w:t>tres</w:t>
      </w:r>
      <w:r w:rsidR="0014390F" w:rsidRPr="00D531DC">
        <w:rPr>
          <w:rFonts w:ascii="Palatino Linotype" w:hAnsi="Palatino Linotype" w:cs="Arial"/>
          <w:b/>
          <w:bCs/>
          <w:lang w:val="es-MX"/>
        </w:rPr>
        <w:t xml:space="preserve">- </w:t>
      </w:r>
      <w:r w:rsidR="0014390F" w:rsidRPr="00D531DC">
        <w:rPr>
          <w:rFonts w:ascii="Palatino Linotype" w:hAnsi="Palatino Linotype" w:cs="Arial"/>
          <w:lang w:val="es-MX"/>
        </w:rPr>
        <w:t xml:space="preserve">requerimientos respecto de los cuales fue señalada como temporalidad </w:t>
      </w:r>
      <w:r w:rsidR="0014390F" w:rsidRPr="00D531DC">
        <w:rPr>
          <w:rFonts w:ascii="Palatino Linotype" w:hAnsi="Palatino Linotype" w:cs="Arial"/>
          <w:i/>
          <w:iCs/>
          <w:lang w:val="es-MX"/>
        </w:rPr>
        <w:t xml:space="preserve">“A PARRTIR DEL 1 DE ENERO DE 2025 A LA FECHA”, </w:t>
      </w:r>
      <w:r w:rsidR="0014390F" w:rsidRPr="00D531DC">
        <w:rPr>
          <w:rFonts w:ascii="Palatino Linotype" w:hAnsi="Palatino Linotype" w:cs="Arial"/>
          <w:lang w:val="es-MX"/>
        </w:rPr>
        <w:t xml:space="preserve">dicho en otras </w:t>
      </w:r>
      <w:r w:rsidR="008427F2" w:rsidRPr="00D531DC">
        <w:rPr>
          <w:rFonts w:ascii="Palatino Linotype" w:hAnsi="Palatino Linotype" w:cs="Arial"/>
          <w:lang w:val="es-MX"/>
        </w:rPr>
        <w:t>palabras,</w:t>
      </w:r>
      <w:r w:rsidR="0014390F" w:rsidRPr="00D531DC">
        <w:rPr>
          <w:rFonts w:ascii="Palatino Linotype" w:hAnsi="Palatino Linotype" w:cs="Arial"/>
          <w:lang w:val="es-MX"/>
        </w:rPr>
        <w:t xml:space="preserve"> los parámetros de inicio y conclusión para efectos de búsqueda de la información comprenden del uno de enero de dos mil veinticinco al veintidós de abril de dos mil veintiséis. </w:t>
      </w:r>
    </w:p>
    <w:p w14:paraId="3ABE03DE" w14:textId="618DE110" w:rsidR="008427F2" w:rsidRPr="00D531DC" w:rsidRDefault="008427F2" w:rsidP="004B7832">
      <w:pPr>
        <w:pStyle w:val="Prrafodelista"/>
        <w:numPr>
          <w:ilvl w:val="0"/>
          <w:numId w:val="15"/>
        </w:numPr>
        <w:autoSpaceDE w:val="0"/>
        <w:autoSpaceDN w:val="0"/>
        <w:adjustRightInd w:val="0"/>
        <w:spacing w:before="240" w:line="360" w:lineRule="auto"/>
        <w:jc w:val="both"/>
        <w:rPr>
          <w:rFonts w:ascii="Palatino Linotype" w:hAnsi="Palatino Linotype" w:cs="Arial"/>
        </w:rPr>
      </w:pPr>
      <w:r w:rsidRPr="00D531DC">
        <w:rPr>
          <w:rFonts w:ascii="Palatino Linotype" w:hAnsi="Palatino Linotype" w:cs="Arial"/>
          <w:lang w:val="es-MX"/>
        </w:rPr>
        <w:t xml:space="preserve">Que el primer </w:t>
      </w:r>
      <w:r w:rsidRPr="00D531DC">
        <w:rPr>
          <w:rFonts w:ascii="Palatino Linotype" w:hAnsi="Palatino Linotype" w:cs="Arial"/>
          <w:i/>
          <w:iCs/>
          <w:lang w:val="es-MX"/>
        </w:rPr>
        <w:t xml:space="preserve">“NÚMERO DE VERIFICACIONES” </w:t>
      </w:r>
      <w:r w:rsidRPr="00D531DC">
        <w:rPr>
          <w:rFonts w:ascii="Palatino Linotype" w:hAnsi="Palatino Linotype" w:cs="Arial"/>
          <w:lang w:val="es-MX"/>
        </w:rPr>
        <w:t xml:space="preserve">y segundo </w:t>
      </w:r>
      <w:r w:rsidRPr="00D531DC">
        <w:rPr>
          <w:rFonts w:ascii="Palatino Linotype" w:hAnsi="Palatino Linotype" w:cs="Arial"/>
          <w:i/>
          <w:iCs/>
          <w:lang w:val="es-MX"/>
        </w:rPr>
        <w:t xml:space="preserve">“RESULTADO DE CADA UNA DE ELLAS” </w:t>
      </w:r>
      <w:r w:rsidRPr="00D531DC">
        <w:rPr>
          <w:rFonts w:ascii="Palatino Linotype" w:hAnsi="Palatino Linotype" w:cs="Arial"/>
          <w:lang w:val="es-MX"/>
        </w:rPr>
        <w:t xml:space="preserve">requerimientos se encuentra inmerso en el tercer punto </w:t>
      </w:r>
      <w:r w:rsidRPr="00D531DC">
        <w:rPr>
          <w:rFonts w:ascii="Palatino Linotype" w:hAnsi="Palatino Linotype" w:cs="Arial"/>
          <w:i/>
          <w:iCs/>
          <w:lang w:val="es-MX"/>
        </w:rPr>
        <w:t>“COPIA DE VERIFICACIÓN”</w:t>
      </w:r>
      <w:r w:rsidRPr="00D531DC">
        <w:rPr>
          <w:rFonts w:ascii="Palatino Linotype" w:hAnsi="Palatino Linotype" w:cs="Arial"/>
          <w:lang w:val="es-MX"/>
        </w:rPr>
        <w:t xml:space="preserve">, por ello, habrán de ser abordados de manera sintetizada. </w:t>
      </w:r>
    </w:p>
    <w:p w14:paraId="26A72B99" w14:textId="77777777" w:rsidR="008427F2" w:rsidRPr="00D531DC" w:rsidRDefault="008427F2" w:rsidP="008427F2">
      <w:pPr>
        <w:pStyle w:val="Prrafodelista"/>
        <w:rPr>
          <w:rFonts w:ascii="Palatino Linotype" w:hAnsi="Palatino Linotype" w:cs="Arial"/>
        </w:rPr>
      </w:pPr>
    </w:p>
    <w:p w14:paraId="3FA223F5" w14:textId="77777777" w:rsidR="008427F2" w:rsidRPr="00D531DC" w:rsidRDefault="008427F2" w:rsidP="008427F2">
      <w:pPr>
        <w:pStyle w:val="Prrafodelista"/>
        <w:numPr>
          <w:ilvl w:val="0"/>
          <w:numId w:val="1"/>
        </w:numPr>
        <w:autoSpaceDE w:val="0"/>
        <w:autoSpaceDN w:val="0"/>
        <w:adjustRightInd w:val="0"/>
        <w:spacing w:before="240" w:line="360" w:lineRule="auto"/>
        <w:jc w:val="both"/>
        <w:rPr>
          <w:rFonts w:ascii="Palatino Linotype" w:hAnsi="Palatino Linotype"/>
        </w:rPr>
      </w:pPr>
      <w:r w:rsidRPr="00D531DC">
        <w:rPr>
          <w:rFonts w:ascii="Palatino Linotype" w:hAnsi="Palatino Linotype" w:cs="Arial"/>
          <w:lang w:val="es-MX"/>
        </w:rPr>
        <w:t xml:space="preserve">Que cuando </w:t>
      </w:r>
      <w:r w:rsidRPr="00D531DC">
        <w:rPr>
          <w:rFonts w:ascii="Palatino Linotype" w:hAnsi="Palatino Linotype" w:cs="Arial"/>
        </w:rPr>
        <w:t xml:space="preserve">los particulares no identifican de forma precisa el documento requerido, bastará con que </w:t>
      </w:r>
      <w:r w:rsidRPr="00D531DC">
        <w:rPr>
          <w:rFonts w:ascii="Palatino Linotype" w:hAnsi="Palatino Linotype"/>
        </w:rPr>
        <w:t xml:space="preserve">se remita cualquiera que refleje la información requerida. Al respecto, cobra relevancia el criterio emitido por el Órgano Garante Nacional con número </w:t>
      </w:r>
      <w:r w:rsidRPr="00D531DC">
        <w:rPr>
          <w:rFonts w:ascii="Palatino Linotype" w:hAnsi="Palatino Linotype"/>
          <w:b/>
          <w:bCs/>
        </w:rPr>
        <w:t xml:space="preserve">16/17 </w:t>
      </w:r>
      <w:r w:rsidRPr="00D531DC">
        <w:rPr>
          <w:rFonts w:ascii="Palatino Linotype" w:hAnsi="Palatino Linotype"/>
        </w:rPr>
        <w:t>cuyo rubro y texto disponen a la literalidad lo siguiente:</w:t>
      </w:r>
    </w:p>
    <w:p w14:paraId="4A4A351C" w14:textId="77777777" w:rsidR="008427F2" w:rsidRPr="00D531DC" w:rsidRDefault="008427F2" w:rsidP="008427F2">
      <w:pPr>
        <w:pStyle w:val="Citas"/>
        <w:jc w:val="center"/>
        <w:rPr>
          <w:b/>
          <w:bCs/>
          <w:sz w:val="24"/>
          <w:szCs w:val="24"/>
        </w:rPr>
      </w:pPr>
      <w:r w:rsidRPr="00D531DC">
        <w:rPr>
          <w:b/>
          <w:bCs/>
          <w:sz w:val="24"/>
          <w:szCs w:val="24"/>
        </w:rPr>
        <w:t>“EXPRESIÓN DOCUMENTAL.</w:t>
      </w:r>
    </w:p>
    <w:p w14:paraId="1BE45B79" w14:textId="77777777" w:rsidR="008427F2" w:rsidRPr="00D531DC" w:rsidRDefault="008427F2" w:rsidP="008427F2">
      <w:pPr>
        <w:pStyle w:val="Citas"/>
        <w:rPr>
          <w:szCs w:val="24"/>
        </w:rPr>
      </w:pPr>
      <w:r w:rsidRPr="00D531DC">
        <w:rPr>
          <w:bCs/>
          <w:szCs w:val="24"/>
        </w:rPr>
        <w:t>Cuando</w:t>
      </w:r>
      <w:r w:rsidRPr="00D531DC">
        <w:rPr>
          <w:lang w:val="es-ES"/>
        </w:rPr>
        <w:t xml:space="preserve"> los particulares presenten solicitudes de acceso a la información sin identificar de forma precisa la documentación que pudiera contener la información de su interés, </w:t>
      </w:r>
      <w:r w:rsidRPr="00D531DC">
        <w:rPr>
          <w:szCs w:val="24"/>
        </w:rPr>
        <w:t>o bien, la solicitud constituya una consulta,</w:t>
      </w:r>
      <w:r w:rsidRPr="00D531DC">
        <w:rPr>
          <w:lang w:val="es-ES"/>
        </w:rPr>
        <w:t xml:space="preserve"> pero la respuesta pudiera </w:t>
      </w:r>
      <w:r w:rsidRPr="00D531DC">
        <w:rPr>
          <w:lang w:val="es-ES"/>
        </w:rPr>
        <w:lastRenderedPageBreak/>
        <w:t xml:space="preserve">obrar en algún documento en poder de los sujetos obligados, éstos deben dar a dichas solicitudes una interpretación que les otorgue una expresión documental. </w:t>
      </w:r>
    </w:p>
    <w:p w14:paraId="229604CE" w14:textId="77777777" w:rsidR="008427F2" w:rsidRPr="00D531DC" w:rsidRDefault="008427F2" w:rsidP="008427F2">
      <w:pPr>
        <w:pStyle w:val="Citas"/>
        <w:rPr>
          <w:b/>
        </w:rPr>
      </w:pPr>
      <w:r w:rsidRPr="00D531DC">
        <w:rPr>
          <w:b/>
        </w:rPr>
        <w:t>Precedentes:</w:t>
      </w:r>
    </w:p>
    <w:p w14:paraId="70431020" w14:textId="77777777" w:rsidR="008427F2" w:rsidRPr="00D531DC" w:rsidRDefault="008427F2" w:rsidP="008427F2">
      <w:pPr>
        <w:pStyle w:val="Citas"/>
        <w:numPr>
          <w:ilvl w:val="0"/>
          <w:numId w:val="22"/>
        </w:numPr>
        <w:rPr>
          <w:color w:val="000000"/>
        </w:rPr>
      </w:pPr>
      <w:r w:rsidRPr="00D531DC">
        <w:t xml:space="preserve">Acceso a la información pública. RRA 0774/16. Sesión del 31 de agosto de 2016. Votación por unanimidad. </w:t>
      </w:r>
      <w:r w:rsidRPr="00D531DC">
        <w:rPr>
          <w:rFonts w:eastAsia="Arial"/>
        </w:rPr>
        <w:t>Sin votos disidentes o particulares.</w:t>
      </w:r>
      <w:r w:rsidRPr="00D531DC">
        <w:t xml:space="preserve"> Secretaría de Salud. Comisionada Ponente María Patricia Kurczyn Villalobos.</w:t>
      </w:r>
    </w:p>
    <w:p w14:paraId="57CE8BCB" w14:textId="77777777" w:rsidR="008427F2" w:rsidRPr="00D531DC" w:rsidRDefault="008427F2" w:rsidP="008427F2">
      <w:pPr>
        <w:pStyle w:val="Citas"/>
        <w:numPr>
          <w:ilvl w:val="0"/>
          <w:numId w:val="22"/>
        </w:numPr>
        <w:rPr>
          <w:color w:val="000000"/>
        </w:rPr>
      </w:pPr>
      <w:r w:rsidRPr="00D531DC">
        <w:t xml:space="preserve">Acceso a la información pública. RRA 0143/17. Sesión del 22 de febrero de 2017. Votación por unanimidad. </w:t>
      </w:r>
      <w:r w:rsidRPr="00D531DC">
        <w:rPr>
          <w:rFonts w:eastAsia="Arial"/>
        </w:rPr>
        <w:t>Sin votos disidentes o particulares.</w:t>
      </w:r>
      <w:r w:rsidRPr="00D531DC">
        <w:t xml:space="preserve"> Universidad Autónoma Agraria Antonio Narro. Comisionado Ponente Oscar Mauricio Guerra Ford. </w:t>
      </w:r>
    </w:p>
    <w:p w14:paraId="29D5C171" w14:textId="77777777" w:rsidR="008427F2" w:rsidRPr="00D531DC" w:rsidRDefault="008427F2" w:rsidP="008427F2">
      <w:pPr>
        <w:pStyle w:val="Citas"/>
        <w:numPr>
          <w:ilvl w:val="0"/>
          <w:numId w:val="22"/>
        </w:numPr>
        <w:rPr>
          <w:color w:val="000000"/>
        </w:rPr>
      </w:pPr>
      <w:r w:rsidRPr="00D531DC">
        <w:t xml:space="preserve">Acceso a la información pública. RRA 0540/17. Sesión del 08 de marzo del 2017. Votación por unanimidad. </w:t>
      </w:r>
      <w:r w:rsidRPr="00D531DC">
        <w:rPr>
          <w:rFonts w:eastAsia="Arial"/>
        </w:rPr>
        <w:t>Sin votos disidentes o particulares.</w:t>
      </w:r>
      <w:r w:rsidRPr="00D531DC">
        <w:t xml:space="preserve"> Secretaría de Economía. Comisionado Ponente Francisco Javier Acuña Llamas. “ </w:t>
      </w:r>
      <w:r w:rsidRPr="00D531DC">
        <w:rPr>
          <w:b/>
          <w:bCs/>
        </w:rPr>
        <w:t>(Sic)</w:t>
      </w:r>
    </w:p>
    <w:p w14:paraId="4FA15EF6" w14:textId="77777777" w:rsidR="009C415C" w:rsidRPr="00D531DC" w:rsidRDefault="009C415C" w:rsidP="00084E22">
      <w:pPr>
        <w:spacing w:before="240" w:line="360" w:lineRule="auto"/>
        <w:jc w:val="both"/>
        <w:rPr>
          <w:rFonts w:ascii="Palatino Linotype" w:hAnsi="Palatino Linotype"/>
          <w:sz w:val="24"/>
          <w:szCs w:val="24"/>
        </w:rPr>
      </w:pPr>
    </w:p>
    <w:p w14:paraId="12304190" w14:textId="6E87179A" w:rsidR="00084E22" w:rsidRPr="00D531DC" w:rsidRDefault="00084E22" w:rsidP="00084E22">
      <w:pPr>
        <w:spacing w:before="240" w:line="360" w:lineRule="auto"/>
        <w:jc w:val="both"/>
        <w:rPr>
          <w:rFonts w:ascii="Palatino Linotype" w:hAnsi="Palatino Linotype"/>
          <w:sz w:val="24"/>
          <w:szCs w:val="24"/>
        </w:rPr>
      </w:pPr>
      <w:bookmarkStart w:id="1" w:name="_Hlk213694407"/>
      <w:r w:rsidRPr="00D531DC">
        <w:rPr>
          <w:rFonts w:ascii="Palatino Linotype" w:hAnsi="Palatino Linotype"/>
          <w:sz w:val="24"/>
          <w:szCs w:val="24"/>
        </w:rPr>
        <w:t xml:space="preserve">Dichas precisiones, con fundamento en los artículos 13 y 181 cuarto párrafo de la Ley en materia, los cuales a la letra rezan: </w:t>
      </w:r>
    </w:p>
    <w:p w14:paraId="604FDC52" w14:textId="77777777" w:rsidR="00084E22" w:rsidRPr="00D531DC" w:rsidRDefault="00084E22" w:rsidP="00084E22">
      <w:pPr>
        <w:pStyle w:val="Citas"/>
      </w:pPr>
      <w:r w:rsidRPr="00D531DC">
        <w:rPr>
          <w:b/>
          <w:bCs/>
        </w:rPr>
        <w:t xml:space="preserve">“Artículo 13. </w:t>
      </w:r>
      <w:r w:rsidRPr="00D531DC">
        <w:t>El Instituto, en el ámbito de sus atribuciones, deberá suplir cualquier deficiencia para garantizar el ejercicio del derecho de acceso a la información.</w:t>
      </w:r>
    </w:p>
    <w:p w14:paraId="72C419AA" w14:textId="77777777" w:rsidR="00084E22" w:rsidRPr="00D531DC" w:rsidRDefault="00084E22" w:rsidP="00084E22">
      <w:pPr>
        <w:pStyle w:val="Citas"/>
        <w:rPr>
          <w:b/>
        </w:rPr>
      </w:pPr>
      <w:r w:rsidRPr="00D531DC">
        <w:rPr>
          <w:b/>
        </w:rPr>
        <w:t xml:space="preserve">Artículo 181. … </w:t>
      </w:r>
    </w:p>
    <w:p w14:paraId="681993D4" w14:textId="77777777" w:rsidR="00084E22" w:rsidRPr="00D531DC" w:rsidRDefault="00084E22" w:rsidP="00084E22">
      <w:pPr>
        <w:pStyle w:val="Citas"/>
        <w:rPr>
          <w:b/>
        </w:rPr>
      </w:pPr>
      <w:r w:rsidRPr="00D531DC">
        <w:lastRenderedPageBreak/>
        <w:t xml:space="preserve">Durante el procedimiento deberá aplicarse la suplencia de la queja a favor del recurrente, sin cambiar los hechos expuestos, asegurándose de que las partes puedan presentar, de manera oral o escrita, los argumentos que funden y motiven sus pretensiones.” </w:t>
      </w:r>
      <w:r w:rsidRPr="00D531DC">
        <w:rPr>
          <w:b/>
        </w:rPr>
        <w:t>[Sic]</w:t>
      </w:r>
    </w:p>
    <w:p w14:paraId="727AA6FC" w14:textId="77777777" w:rsidR="00E53E16" w:rsidRPr="00D531DC" w:rsidRDefault="00E53E16" w:rsidP="00084E22">
      <w:pPr>
        <w:spacing w:before="240" w:line="360" w:lineRule="auto"/>
        <w:jc w:val="both"/>
        <w:rPr>
          <w:rFonts w:ascii="Palatino Linotype" w:hAnsi="Palatino Linotype"/>
          <w:sz w:val="24"/>
          <w:szCs w:val="24"/>
        </w:rPr>
      </w:pPr>
    </w:p>
    <w:p w14:paraId="38491CA2" w14:textId="6C89FEF7" w:rsidR="00084E22" w:rsidRPr="00D531DC" w:rsidRDefault="00084E22" w:rsidP="00084E22">
      <w:pPr>
        <w:spacing w:before="240" w:line="360" w:lineRule="auto"/>
        <w:jc w:val="both"/>
        <w:rPr>
          <w:rFonts w:ascii="Palatino Linotype" w:hAnsi="Palatino Linotype"/>
          <w:sz w:val="24"/>
          <w:szCs w:val="24"/>
        </w:rPr>
      </w:pPr>
      <w:r w:rsidRPr="00D531DC">
        <w:rPr>
          <w:rFonts w:ascii="Palatino Linotype" w:hAnsi="Palatino Linotype"/>
          <w:sz w:val="24"/>
          <w:szCs w:val="24"/>
        </w:rPr>
        <w:t xml:space="preserve">Bajo estas líneas argumentativas, al retomar y delimitar los requerimientos formulados por </w:t>
      </w:r>
      <w:r w:rsidR="00C52F23" w:rsidRPr="00D531DC">
        <w:rPr>
          <w:rFonts w:ascii="Palatino Linotype" w:hAnsi="Palatino Linotype"/>
          <w:sz w:val="24"/>
          <w:szCs w:val="24"/>
        </w:rPr>
        <w:t>la</w:t>
      </w:r>
      <w:r w:rsidRPr="00D531DC">
        <w:rPr>
          <w:rFonts w:ascii="Palatino Linotype" w:hAnsi="Palatino Linotype"/>
          <w:sz w:val="24"/>
          <w:szCs w:val="24"/>
        </w:rPr>
        <w:t xml:space="preserve"> ahora </w:t>
      </w:r>
      <w:r w:rsidRPr="00D531DC">
        <w:rPr>
          <w:rFonts w:ascii="Palatino Linotype" w:hAnsi="Palatino Linotype"/>
          <w:b/>
          <w:bCs/>
          <w:sz w:val="24"/>
          <w:szCs w:val="24"/>
        </w:rPr>
        <w:t xml:space="preserve">Recurrente, </w:t>
      </w:r>
      <w:r w:rsidRPr="00D531DC">
        <w:rPr>
          <w:rFonts w:ascii="Palatino Linotype" w:hAnsi="Palatino Linotype"/>
          <w:sz w:val="24"/>
          <w:szCs w:val="24"/>
        </w:rPr>
        <w:t xml:space="preserve">de manera objetiva se precisa que versa en conocer la siguiente información: </w:t>
      </w:r>
    </w:p>
    <w:p w14:paraId="4DA34D4A" w14:textId="1A61DEBA" w:rsidR="00E53E16" w:rsidRPr="00D531DC" w:rsidRDefault="006E58E4">
      <w:pPr>
        <w:pStyle w:val="Prrafodelista"/>
        <w:numPr>
          <w:ilvl w:val="0"/>
          <w:numId w:val="3"/>
        </w:numPr>
        <w:autoSpaceDE w:val="0"/>
        <w:autoSpaceDN w:val="0"/>
        <w:adjustRightInd w:val="0"/>
        <w:spacing w:before="240" w:line="360" w:lineRule="auto"/>
        <w:jc w:val="both"/>
        <w:rPr>
          <w:rFonts w:ascii="Palatino Linotype" w:hAnsi="Palatino Linotype"/>
          <w:color w:val="000000"/>
        </w:rPr>
      </w:pPr>
      <w:r w:rsidRPr="00D531DC">
        <w:rPr>
          <w:rFonts w:ascii="Palatino Linotype" w:hAnsi="Palatino Linotype"/>
          <w:color w:val="000000"/>
        </w:rPr>
        <w:t xml:space="preserve">El o los documentos donde consten las verificaciones realizadas a bares, cantinas, restaurantes bar, centros botaneros y establecimientos comerciales con licencias de funcionamiento, por parte de la Dirección de Gobernación, del periodo comprendido del uno de enero de dos mil veinticinco al veintidós de abril de dos mil veintiséis. </w:t>
      </w:r>
    </w:p>
    <w:p w14:paraId="7B45B073" w14:textId="77777777" w:rsidR="00E53E16" w:rsidRPr="00D531DC" w:rsidRDefault="00E53E16" w:rsidP="006E58E4">
      <w:pPr>
        <w:autoSpaceDE w:val="0"/>
        <w:autoSpaceDN w:val="0"/>
        <w:adjustRightInd w:val="0"/>
        <w:spacing w:before="240" w:line="360" w:lineRule="auto"/>
        <w:jc w:val="both"/>
        <w:rPr>
          <w:rFonts w:ascii="Palatino Linotype" w:hAnsi="Palatino Linotype"/>
          <w:color w:val="000000"/>
        </w:rPr>
      </w:pPr>
    </w:p>
    <w:p w14:paraId="563FFFD7" w14:textId="77777777" w:rsidR="006E58E4" w:rsidRPr="00D531DC" w:rsidRDefault="006E58E4" w:rsidP="006E58E4">
      <w:pPr>
        <w:autoSpaceDE w:val="0"/>
        <w:autoSpaceDN w:val="0"/>
        <w:adjustRightInd w:val="0"/>
        <w:spacing w:line="360" w:lineRule="auto"/>
        <w:jc w:val="both"/>
        <w:rPr>
          <w:rFonts w:ascii="Palatino Linotype" w:hAnsi="Palatino Linotype" w:cs="Arial"/>
          <w:noProof/>
          <w:color w:val="000000"/>
          <w:sz w:val="24"/>
          <w:lang w:eastAsia="es-MX"/>
        </w:rPr>
      </w:pPr>
      <w:r w:rsidRPr="00D531DC">
        <w:rPr>
          <w:rFonts w:ascii="Palatino Linotype" w:hAnsi="Palatino Linotype" w:cs="Arial"/>
          <w:sz w:val="24"/>
          <w:szCs w:val="24"/>
        </w:rPr>
        <w:t xml:space="preserve">Ahora bien, en referencia al requerimiento formulado por el particular e identificar las unidades administrativas donde pudiera obrar la información se traen a colación los </w:t>
      </w:r>
      <w:r w:rsidRPr="00D531DC">
        <w:rPr>
          <w:rFonts w:ascii="Palatino Linotype" w:hAnsi="Palatino Linotype" w:cs="Arial"/>
          <w:noProof/>
          <w:color w:val="000000"/>
          <w:sz w:val="24"/>
          <w:lang w:eastAsia="es-MX"/>
        </w:rPr>
        <w:t>artículos 24, fracción XII, y 92, fracción II de la Ley de Transparencia local, porciones normativas cuyo contenido literal es el siguiente:</w:t>
      </w:r>
    </w:p>
    <w:p w14:paraId="7046CCB2" w14:textId="77777777" w:rsidR="006E58E4" w:rsidRPr="00D531DC" w:rsidRDefault="006E58E4" w:rsidP="006E58E4">
      <w:pPr>
        <w:tabs>
          <w:tab w:val="left" w:pos="709"/>
        </w:tabs>
        <w:spacing w:before="240" w:line="360" w:lineRule="auto"/>
        <w:ind w:left="851" w:right="851"/>
        <w:jc w:val="both"/>
        <w:rPr>
          <w:rFonts w:ascii="Palatino Linotype" w:hAnsi="Palatino Linotype"/>
          <w:i/>
        </w:rPr>
      </w:pPr>
      <w:r w:rsidRPr="00D531DC">
        <w:rPr>
          <w:rFonts w:ascii="Palatino Linotype" w:hAnsi="Palatino Linotype"/>
          <w:i/>
        </w:rPr>
        <w:t>“Artículo 24. Para el cumplimiento de los objetivos de esta Ley, los sujetos obligados deberán cumplir con las siguientes obligaciones, según corresponda, de acuerdo a su naturaleza:</w:t>
      </w:r>
    </w:p>
    <w:p w14:paraId="6727B096" w14:textId="77777777" w:rsidR="006E58E4" w:rsidRPr="00D531DC" w:rsidRDefault="006E58E4" w:rsidP="006E58E4">
      <w:pPr>
        <w:tabs>
          <w:tab w:val="left" w:pos="709"/>
        </w:tabs>
        <w:spacing w:before="240" w:line="360" w:lineRule="auto"/>
        <w:ind w:left="851" w:right="851"/>
        <w:jc w:val="both"/>
        <w:rPr>
          <w:rFonts w:ascii="Palatino Linotype" w:hAnsi="Palatino Linotype"/>
          <w:i/>
        </w:rPr>
      </w:pPr>
      <w:r w:rsidRPr="00D531DC">
        <w:rPr>
          <w:rFonts w:ascii="Palatino Linotype" w:hAnsi="Palatino Linotype"/>
          <w:i/>
        </w:rPr>
        <w:lastRenderedPageBreak/>
        <w:t>XII. Publicar y mantener actualizada la información relativa a las obligaciones generales de transparencia previstas en la presente Ley o determinadas así por el Instituto, y en general aquella que sea de interés público;</w:t>
      </w:r>
    </w:p>
    <w:p w14:paraId="78AE684B" w14:textId="77777777" w:rsidR="006E58E4" w:rsidRPr="00D531DC" w:rsidRDefault="006E58E4" w:rsidP="006E58E4">
      <w:pPr>
        <w:tabs>
          <w:tab w:val="left" w:pos="709"/>
        </w:tabs>
        <w:spacing w:before="240" w:line="360" w:lineRule="auto"/>
        <w:ind w:left="851" w:right="851"/>
        <w:jc w:val="both"/>
        <w:rPr>
          <w:rFonts w:ascii="Palatino Linotype" w:hAnsi="Palatino Linotype"/>
          <w:b/>
          <w:i/>
        </w:rPr>
      </w:pPr>
      <w:r w:rsidRPr="00D531DC">
        <w:rPr>
          <w:rFonts w:ascii="Palatino Linotype" w:hAnsi="Palatino Linotype"/>
          <w:b/>
          <w:i/>
        </w:rPr>
        <w:t>(…)</w:t>
      </w:r>
    </w:p>
    <w:p w14:paraId="55E40479" w14:textId="77777777" w:rsidR="006E58E4" w:rsidRPr="00D531DC" w:rsidRDefault="006E58E4" w:rsidP="006E58E4">
      <w:pPr>
        <w:tabs>
          <w:tab w:val="left" w:pos="709"/>
        </w:tabs>
        <w:spacing w:before="240" w:line="360" w:lineRule="auto"/>
        <w:ind w:left="851" w:right="851"/>
        <w:jc w:val="both"/>
        <w:rPr>
          <w:rFonts w:ascii="Palatino Linotype" w:hAnsi="Palatino Linotype"/>
          <w:i/>
        </w:rPr>
      </w:pPr>
      <w:r w:rsidRPr="00D531DC">
        <w:rPr>
          <w:rFonts w:ascii="Palatino Linotype" w:hAnsi="Palatino Linotype"/>
          <w:i/>
        </w:rPr>
        <w:t>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278C8048" w14:textId="77777777" w:rsidR="006E58E4" w:rsidRPr="00D531DC" w:rsidRDefault="006E58E4" w:rsidP="006E58E4">
      <w:pPr>
        <w:pStyle w:val="INFOEM"/>
      </w:pPr>
      <w:r w:rsidRPr="00D531DC">
        <w:t>II. Su estructura orgánica completa, en un formato que permita vincular cada parte de la estructura, las atribuciones y responsabilidades que le corresponden a cada servidor público, prestador de servicios profesionales o miembro de los sujetos obligados, de conformidad con las disposiciones jurídicas aplicables;</w:t>
      </w:r>
    </w:p>
    <w:p w14:paraId="54221A54" w14:textId="77777777" w:rsidR="006E58E4" w:rsidRPr="00D531DC" w:rsidRDefault="006E58E4" w:rsidP="006E58E4">
      <w:pPr>
        <w:pStyle w:val="INFOEM"/>
        <w:rPr>
          <w:b/>
        </w:rPr>
      </w:pPr>
      <w:r w:rsidRPr="00D531DC">
        <w:t xml:space="preserve"> (…)” </w:t>
      </w:r>
      <w:r w:rsidRPr="00D531DC">
        <w:rPr>
          <w:b/>
        </w:rPr>
        <w:t>[Sic]</w:t>
      </w:r>
    </w:p>
    <w:p w14:paraId="3B58EFFE" w14:textId="77777777" w:rsidR="006E58E4" w:rsidRPr="00D531DC" w:rsidRDefault="006E58E4" w:rsidP="006E58E4">
      <w:pPr>
        <w:pStyle w:val="INFOEM"/>
        <w:ind w:left="0"/>
      </w:pPr>
    </w:p>
    <w:p w14:paraId="51B6B56F" w14:textId="49522049" w:rsidR="006E58E4" w:rsidRPr="00D531DC" w:rsidRDefault="006E58E4" w:rsidP="006E58E4">
      <w:pPr>
        <w:autoSpaceDE w:val="0"/>
        <w:autoSpaceDN w:val="0"/>
        <w:adjustRightInd w:val="0"/>
        <w:spacing w:before="240" w:line="360" w:lineRule="auto"/>
        <w:jc w:val="both"/>
        <w:rPr>
          <w:rFonts w:ascii="Palatino Linotype" w:hAnsi="Palatino Linotype"/>
          <w:color w:val="000000"/>
        </w:rPr>
      </w:pPr>
      <w:r w:rsidRPr="00D531DC">
        <w:rPr>
          <w:rFonts w:ascii="Palatino Linotype" w:hAnsi="Palatino Linotype"/>
          <w:iCs/>
          <w:noProof/>
          <w:sz w:val="24"/>
          <w:szCs w:val="24"/>
          <w:lang w:eastAsia="es-MX"/>
        </w:rPr>
        <mc:AlternateContent>
          <mc:Choice Requires="wps">
            <w:drawing>
              <wp:anchor distT="0" distB="0" distL="114300" distR="114300" simplePos="0" relativeHeight="251749376" behindDoc="0" locked="0" layoutInCell="1" allowOverlap="1" wp14:anchorId="6EAD7093" wp14:editId="6F9F6552">
                <wp:simplePos x="0" y="0"/>
                <wp:positionH relativeFrom="column">
                  <wp:posOffset>-71950</wp:posOffset>
                </wp:positionH>
                <wp:positionV relativeFrom="paragraph">
                  <wp:posOffset>460081</wp:posOffset>
                </wp:positionV>
                <wp:extent cx="5890846" cy="2198077"/>
                <wp:effectExtent l="0" t="0" r="34290" b="31115"/>
                <wp:wrapNone/>
                <wp:docPr id="311366562" name="Conector recto 6"/>
                <wp:cNvGraphicFramePr/>
                <a:graphic xmlns:a="http://schemas.openxmlformats.org/drawingml/2006/main">
                  <a:graphicData uri="http://schemas.microsoft.com/office/word/2010/wordprocessingShape">
                    <wps:wsp>
                      <wps:cNvCnPr/>
                      <wps:spPr>
                        <a:xfrm>
                          <a:off x="0" y="0"/>
                          <a:ext cx="5890846" cy="219807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52815CF2" id="Conector recto 6" o:spid="_x0000_s1026" style="position:absolute;z-index:251749376;visibility:visible;mso-wrap-style:square;mso-wrap-distance-left:9pt;mso-wrap-distance-top:0;mso-wrap-distance-right:9pt;mso-wrap-distance-bottom:0;mso-position-horizontal:absolute;mso-position-horizontal-relative:text;mso-position-vertical:absolute;mso-position-vertical-relative:text" from="-5.65pt,36.25pt" to="458.2pt,20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" strokecolor="#5b9bd5 [3204]" strokeweight=".5pt">
                <v:stroke joinstyle="miter"/>
              </v:line>
            </w:pict>
          </mc:Fallback>
        </mc:AlternateContent>
      </w:r>
      <w:r w:rsidRPr="00D531DC">
        <w:rPr>
          <w:rFonts w:ascii="Palatino Linotype" w:hAnsi="Palatino Linotype"/>
          <w:iCs/>
          <w:sz w:val="24"/>
          <w:szCs w:val="24"/>
        </w:rPr>
        <w:t>Sirven de sustento las siguientes imágenes ilustrativas:</w:t>
      </w:r>
    </w:p>
    <w:bookmarkEnd w:id="1"/>
    <w:p w14:paraId="3EBF0BE1" w14:textId="4AE5D154" w:rsidR="00EB2981" w:rsidRPr="00D531DC" w:rsidRDefault="006E58E4" w:rsidP="00084E22">
      <w:pPr>
        <w:autoSpaceDE w:val="0"/>
        <w:autoSpaceDN w:val="0"/>
        <w:adjustRightInd w:val="0"/>
        <w:spacing w:before="240" w:line="360" w:lineRule="auto"/>
        <w:jc w:val="both"/>
        <w:rPr>
          <w:rFonts w:ascii="Palatino Linotype" w:hAnsi="Palatino Linotype" w:cs="Arial"/>
          <w:sz w:val="24"/>
          <w:szCs w:val="24"/>
        </w:rPr>
      </w:pPr>
      <w:r w:rsidRPr="00D531DC">
        <w:rPr>
          <w:rFonts w:ascii="Palatino Linotype" w:hAnsi="Palatino Linotype" w:cs="Arial"/>
          <w:noProof/>
          <w:sz w:val="24"/>
          <w:szCs w:val="24"/>
          <w:lang w:eastAsia="es-MX"/>
        </w:rPr>
        <w:lastRenderedPageBreak/>
        <w:drawing>
          <wp:anchor distT="0" distB="0" distL="114300" distR="114300" simplePos="0" relativeHeight="251751424" behindDoc="0" locked="0" layoutInCell="1" allowOverlap="1" wp14:anchorId="01643EE0" wp14:editId="6D9C68BE">
            <wp:simplePos x="0" y="0"/>
            <wp:positionH relativeFrom="page">
              <wp:align>center</wp:align>
            </wp:positionH>
            <wp:positionV relativeFrom="paragraph">
              <wp:posOffset>3912235</wp:posOffset>
            </wp:positionV>
            <wp:extent cx="1689100" cy="901700"/>
            <wp:effectExtent l="19050" t="19050" r="25400" b="12700"/>
            <wp:wrapThrough wrapText="bothSides">
              <wp:wrapPolygon edited="0">
                <wp:start x="-244" y="-456"/>
                <wp:lineTo x="-244" y="21448"/>
                <wp:lineTo x="21681" y="21448"/>
                <wp:lineTo x="21681" y="-456"/>
                <wp:lineTo x="-244" y="-456"/>
              </wp:wrapPolygon>
            </wp:wrapThrough>
            <wp:docPr id="10756513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65136" name=""/>
                    <pic:cNvPicPr/>
                  </pic:nvPicPr>
                  <pic:blipFill>
                    <a:blip r:embed="rId8">
                      <a:extLst>
                        <a:ext uri="{28A0092B-C50C-407E-A947-70E740481C1C}">
                          <a14:useLocalDpi xmlns:a14="http://schemas.microsoft.com/office/drawing/2010/main" val="0"/>
                        </a:ext>
                      </a:extLst>
                    </a:blip>
                    <a:stretch>
                      <a:fillRect/>
                    </a:stretch>
                  </pic:blipFill>
                  <pic:spPr>
                    <a:xfrm>
                      <a:off x="0" y="0"/>
                      <a:ext cx="1689100" cy="90170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D531DC">
        <w:rPr>
          <w:rFonts w:ascii="Palatino Linotype" w:hAnsi="Palatino Linotype"/>
          <w:noProof/>
          <w:color w:val="000000"/>
          <w:lang w:eastAsia="es-MX"/>
        </w:rPr>
        <mc:AlternateContent>
          <mc:Choice Requires="wps">
            <w:drawing>
              <wp:anchor distT="0" distB="0" distL="114300" distR="114300" simplePos="0" relativeHeight="251750400" behindDoc="0" locked="0" layoutInCell="1" allowOverlap="1" wp14:anchorId="04161D9A" wp14:editId="3C2CB231">
                <wp:simplePos x="0" y="0"/>
                <wp:positionH relativeFrom="column">
                  <wp:posOffset>4096983</wp:posOffset>
                </wp:positionH>
                <wp:positionV relativeFrom="paragraph">
                  <wp:posOffset>1635947</wp:posOffset>
                </wp:positionV>
                <wp:extent cx="488576" cy="524435"/>
                <wp:effectExtent l="0" t="0" r="26035" b="28575"/>
                <wp:wrapNone/>
                <wp:docPr id="1811235691" name="Elipse 7"/>
                <wp:cNvGraphicFramePr/>
                <a:graphic xmlns:a="http://schemas.openxmlformats.org/drawingml/2006/main">
                  <a:graphicData uri="http://schemas.microsoft.com/office/word/2010/wordprocessingShape">
                    <wps:wsp>
                      <wps:cNvSpPr/>
                      <wps:spPr>
                        <a:xfrm>
                          <a:off x="0" y="0"/>
                          <a:ext cx="488576" cy="524435"/>
                        </a:xfrm>
                        <a:prstGeom prst="ellipse">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oval w14:anchorId="5A90C6B6" id="Elipse 7" o:spid="_x0000_s1026" style="position:absolute;margin-left:322.6pt;margin-top:128.8pt;width:38.45pt;height:41.3pt;z-index:251750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" filled="f" strokecolor="#e00" strokeweight="1pt">
                <v:stroke joinstyle="miter"/>
              </v:oval>
            </w:pict>
          </mc:Fallback>
        </mc:AlternateContent>
      </w:r>
      <w:r w:rsidR="00EB2981" w:rsidRPr="00D531DC">
        <w:rPr>
          <w:rFonts w:ascii="Palatino Linotype" w:hAnsi="Palatino Linotype"/>
          <w:noProof/>
          <w:color w:val="000000"/>
          <w:lang w:eastAsia="es-MX"/>
        </w:rPr>
        <w:drawing>
          <wp:anchor distT="0" distB="0" distL="114300" distR="114300" simplePos="0" relativeHeight="251723774" behindDoc="0" locked="0" layoutInCell="1" allowOverlap="1" wp14:anchorId="516FA016" wp14:editId="7BD49461">
            <wp:simplePos x="0" y="0"/>
            <wp:positionH relativeFrom="page">
              <wp:align>center</wp:align>
            </wp:positionH>
            <wp:positionV relativeFrom="paragraph">
              <wp:posOffset>19441</wp:posOffset>
            </wp:positionV>
            <wp:extent cx="5760085" cy="3439160"/>
            <wp:effectExtent l="19050" t="19050" r="12065" b="27940"/>
            <wp:wrapThrough wrapText="bothSides">
              <wp:wrapPolygon edited="0">
                <wp:start x="-71" y="-120"/>
                <wp:lineTo x="-71" y="21656"/>
                <wp:lineTo x="21574" y="21656"/>
                <wp:lineTo x="21574" y="-120"/>
                <wp:lineTo x="-71" y="-120"/>
              </wp:wrapPolygon>
            </wp:wrapThrough>
            <wp:docPr id="18317952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7952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4482" cy="344185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61544F91" w14:textId="7DEB6746" w:rsidR="006E58E4" w:rsidRPr="00D531DC" w:rsidRDefault="006E58E4" w:rsidP="00084E22">
      <w:pPr>
        <w:autoSpaceDE w:val="0"/>
        <w:autoSpaceDN w:val="0"/>
        <w:adjustRightInd w:val="0"/>
        <w:spacing w:before="240" w:line="360" w:lineRule="auto"/>
        <w:jc w:val="both"/>
        <w:rPr>
          <w:rFonts w:ascii="Palatino Linotype" w:hAnsi="Palatino Linotype" w:cs="Arial"/>
          <w:sz w:val="24"/>
          <w:szCs w:val="24"/>
        </w:rPr>
      </w:pPr>
    </w:p>
    <w:p w14:paraId="36945D71" w14:textId="77777777" w:rsidR="006E58E4" w:rsidRPr="00D531DC" w:rsidRDefault="006E58E4" w:rsidP="00084E22">
      <w:pPr>
        <w:autoSpaceDE w:val="0"/>
        <w:autoSpaceDN w:val="0"/>
        <w:adjustRightInd w:val="0"/>
        <w:spacing w:before="240" w:line="360" w:lineRule="auto"/>
        <w:jc w:val="both"/>
        <w:rPr>
          <w:rFonts w:ascii="Palatino Linotype" w:hAnsi="Palatino Linotype" w:cs="Arial"/>
          <w:sz w:val="24"/>
          <w:szCs w:val="24"/>
        </w:rPr>
      </w:pPr>
    </w:p>
    <w:p w14:paraId="23A08E7D" w14:textId="77777777" w:rsidR="006E58E4" w:rsidRPr="00D531DC" w:rsidRDefault="006E58E4" w:rsidP="00084E22">
      <w:pPr>
        <w:autoSpaceDE w:val="0"/>
        <w:autoSpaceDN w:val="0"/>
        <w:adjustRightInd w:val="0"/>
        <w:spacing w:before="240" w:line="360" w:lineRule="auto"/>
        <w:jc w:val="both"/>
        <w:rPr>
          <w:rFonts w:ascii="Palatino Linotype" w:hAnsi="Palatino Linotype" w:cs="Arial"/>
          <w:sz w:val="24"/>
          <w:szCs w:val="24"/>
        </w:rPr>
      </w:pPr>
    </w:p>
    <w:p w14:paraId="5726A2AA" w14:textId="4D3FCF0F" w:rsidR="00084E22" w:rsidRPr="00D531DC" w:rsidRDefault="00084E22" w:rsidP="00084E22">
      <w:pPr>
        <w:autoSpaceDE w:val="0"/>
        <w:autoSpaceDN w:val="0"/>
        <w:adjustRightInd w:val="0"/>
        <w:spacing w:before="240" w:line="360" w:lineRule="auto"/>
        <w:jc w:val="both"/>
        <w:rPr>
          <w:rFonts w:ascii="Palatino Linotype" w:hAnsi="Palatino Linotype" w:cs="Arial"/>
          <w:sz w:val="24"/>
          <w:szCs w:val="24"/>
        </w:rPr>
      </w:pPr>
      <w:r w:rsidRPr="00D531DC">
        <w:rPr>
          <w:rFonts w:ascii="Palatino Linotype" w:hAnsi="Palatino Linotype" w:cs="Arial"/>
          <w:sz w:val="24"/>
          <w:szCs w:val="24"/>
        </w:rPr>
        <w:t xml:space="preserve">De lo expuesto con anterioridad, se desprende que </w:t>
      </w:r>
      <w:r w:rsidRPr="00D531DC">
        <w:rPr>
          <w:rFonts w:ascii="Palatino Linotype" w:hAnsi="Palatino Linotype" w:cs="Arial"/>
          <w:b/>
          <w:bCs/>
          <w:sz w:val="24"/>
          <w:szCs w:val="24"/>
        </w:rPr>
        <w:t xml:space="preserve">El Sujeto Obligado </w:t>
      </w:r>
      <w:r w:rsidRPr="00D531DC">
        <w:rPr>
          <w:rFonts w:ascii="Palatino Linotype" w:hAnsi="Palatino Linotype" w:cs="Arial"/>
          <w:sz w:val="24"/>
          <w:szCs w:val="24"/>
        </w:rPr>
        <w:t xml:space="preserve">se auxilia de diversas Coordinaciones, Direcciones y Departamentos para cumplir con sus fines y objetivos, resultando de nuestro interés la </w:t>
      </w:r>
      <w:r w:rsidR="006E58E4" w:rsidRPr="00D531DC">
        <w:rPr>
          <w:rFonts w:ascii="Palatino Linotype" w:hAnsi="Palatino Linotype" w:cs="Arial"/>
          <w:sz w:val="24"/>
          <w:szCs w:val="24"/>
        </w:rPr>
        <w:t xml:space="preserve">Dirección de Gobernación. </w:t>
      </w:r>
      <w:r w:rsidRPr="00D531DC">
        <w:rPr>
          <w:rFonts w:ascii="Palatino Linotype" w:hAnsi="Palatino Linotype" w:cs="Arial"/>
          <w:sz w:val="24"/>
          <w:szCs w:val="24"/>
        </w:rPr>
        <w:t xml:space="preserve"> </w:t>
      </w:r>
    </w:p>
    <w:p w14:paraId="10631201" w14:textId="2537D741" w:rsidR="00025763" w:rsidRPr="00D531DC" w:rsidRDefault="00084E22" w:rsidP="00084E22">
      <w:pPr>
        <w:autoSpaceDE w:val="0"/>
        <w:autoSpaceDN w:val="0"/>
        <w:adjustRightInd w:val="0"/>
        <w:spacing w:before="240" w:line="360" w:lineRule="auto"/>
        <w:jc w:val="both"/>
        <w:rPr>
          <w:rFonts w:ascii="Palatino Linotype" w:hAnsi="Palatino Linotype" w:cs="Arial"/>
          <w:sz w:val="24"/>
          <w:szCs w:val="24"/>
        </w:rPr>
      </w:pPr>
      <w:r w:rsidRPr="00D531DC">
        <w:rPr>
          <w:rFonts w:ascii="Palatino Linotype" w:hAnsi="Palatino Linotype" w:cs="Arial"/>
          <w:sz w:val="24"/>
          <w:szCs w:val="24"/>
        </w:rPr>
        <w:t xml:space="preserve">En este sentido, para ilustrar su esfera competencial se traen a colación </w:t>
      </w:r>
      <w:r w:rsidR="00025763" w:rsidRPr="00D531DC">
        <w:rPr>
          <w:rFonts w:ascii="Palatino Linotype" w:hAnsi="Palatino Linotype" w:cs="Arial"/>
          <w:sz w:val="24"/>
          <w:szCs w:val="24"/>
        </w:rPr>
        <w:t>los artículos</w:t>
      </w:r>
      <w:r w:rsidRPr="00D531DC">
        <w:rPr>
          <w:rFonts w:ascii="Palatino Linotype" w:hAnsi="Palatino Linotype" w:cs="Arial"/>
          <w:sz w:val="24"/>
          <w:szCs w:val="24"/>
        </w:rPr>
        <w:t xml:space="preserve"> </w:t>
      </w:r>
      <w:r w:rsidR="00025763" w:rsidRPr="00D531DC">
        <w:rPr>
          <w:rFonts w:ascii="Palatino Linotype" w:hAnsi="Palatino Linotype" w:cs="Arial"/>
          <w:sz w:val="24"/>
          <w:szCs w:val="24"/>
        </w:rPr>
        <w:t xml:space="preserve">22 y 23 del Bando municipal de Tenancingo; numeral 44 del Bando de policía y gobierno municipal de Tenancingo; así como los apartados 14 “Dirección de Gobernación” y </w:t>
      </w:r>
      <w:r w:rsidR="00025763" w:rsidRPr="00D531DC">
        <w:rPr>
          <w:rFonts w:ascii="Palatino Linotype" w:hAnsi="Palatino Linotype" w:cs="Arial"/>
          <w:sz w:val="24"/>
          <w:szCs w:val="24"/>
        </w:rPr>
        <w:lastRenderedPageBreak/>
        <w:t>14.3</w:t>
      </w:r>
      <w:r w:rsidR="00AC113B" w:rsidRPr="00D531DC">
        <w:rPr>
          <w:rFonts w:ascii="Palatino Linotype" w:hAnsi="Palatino Linotype" w:cs="Arial"/>
          <w:sz w:val="24"/>
          <w:szCs w:val="24"/>
        </w:rPr>
        <w:t xml:space="preserve"> “Coordinación de verificación” del Manual de Organización de la Dirección de Gobernación, porciones normativas que disponen a la literalidad lo siguiente: </w:t>
      </w:r>
    </w:p>
    <w:p w14:paraId="0F1A72F9" w14:textId="271F2B67" w:rsidR="00025763" w:rsidRPr="00D531DC" w:rsidRDefault="00025763" w:rsidP="00025763">
      <w:pPr>
        <w:pStyle w:val="Citas"/>
        <w:jc w:val="center"/>
        <w:rPr>
          <w:b/>
          <w:bCs/>
          <w:i w:val="0"/>
          <w:iCs/>
        </w:rPr>
      </w:pPr>
      <w:r w:rsidRPr="00D531DC">
        <w:rPr>
          <w:b/>
          <w:bCs/>
          <w:i w:val="0"/>
          <w:iCs/>
        </w:rPr>
        <w:t>BANDO MUNICIPAL DE TENANCINGO</w:t>
      </w:r>
    </w:p>
    <w:p w14:paraId="25CD3655" w14:textId="7FC9DBCF" w:rsidR="00025763" w:rsidRPr="00D531DC" w:rsidRDefault="00025763" w:rsidP="00025763">
      <w:pPr>
        <w:pStyle w:val="Citas"/>
      </w:pPr>
      <w:r w:rsidRPr="00D531DC">
        <w:t>“Artículo 22. La administración pública municipal será centralizada y descentralizada. Su organización y funcionamiento se regirá por la Ley Orgánica Municipal del Estado de México, este Bando Municipal de Policía y Gobierno del Pueblo de Tenancingo, Estado de México y demás disposiciones legales aplicables.</w:t>
      </w:r>
    </w:p>
    <w:p w14:paraId="35C9EA24" w14:textId="066FA9D1" w:rsidR="00025763" w:rsidRPr="00D531DC" w:rsidRDefault="00025763" w:rsidP="00025763">
      <w:pPr>
        <w:pStyle w:val="Citas"/>
      </w:pPr>
      <w:r w:rsidRPr="00D531DC">
        <w:t>Artículo 23. Para la consulta, estudio, planeación y despacho de los asuntos en los diversos ramos de la administración pública municipal, la persona titular de la Presidencia Municipal se auxiliará de la Secretaría del Ayuntamiento y de la siguiente:</w:t>
      </w:r>
    </w:p>
    <w:p w14:paraId="46240C28" w14:textId="1E283DC6" w:rsidR="00025763" w:rsidRPr="00D531DC" w:rsidRDefault="00025763" w:rsidP="00025763">
      <w:pPr>
        <w:pStyle w:val="Citas"/>
      </w:pPr>
      <w:r w:rsidRPr="00D531DC">
        <w:t>I. ESTRUCTURA CENTRALIZADA:</w:t>
      </w:r>
    </w:p>
    <w:p w14:paraId="2A24A4FB" w14:textId="557FA9A2" w:rsidR="00025763" w:rsidRPr="00D531DC" w:rsidRDefault="00025763" w:rsidP="00025763">
      <w:pPr>
        <w:pStyle w:val="Citas"/>
      </w:pPr>
      <w:r w:rsidRPr="00D531DC">
        <w:t>(…)</w:t>
      </w:r>
    </w:p>
    <w:p w14:paraId="1A6196A8" w14:textId="77777777" w:rsidR="00025763" w:rsidRPr="00D531DC" w:rsidRDefault="00025763" w:rsidP="00025763">
      <w:pPr>
        <w:pStyle w:val="Citas"/>
      </w:pPr>
      <w:r w:rsidRPr="00D531DC">
        <w:t>16. Dirección de Gobernación:</w:t>
      </w:r>
    </w:p>
    <w:p w14:paraId="2CDD61A8" w14:textId="77777777" w:rsidR="00025763" w:rsidRPr="00D531DC" w:rsidRDefault="00025763" w:rsidP="00025763">
      <w:pPr>
        <w:pStyle w:val="Citas"/>
      </w:pPr>
      <w:r w:rsidRPr="00D531DC">
        <w:t>16.1. Coordinación Operativa;</w:t>
      </w:r>
    </w:p>
    <w:p w14:paraId="43F82D78" w14:textId="77777777" w:rsidR="00025763" w:rsidRPr="00D531DC" w:rsidRDefault="00025763" w:rsidP="00025763">
      <w:pPr>
        <w:pStyle w:val="Citas"/>
      </w:pPr>
      <w:r w:rsidRPr="00D531DC">
        <w:t>16.2. Coordinación Administrativa; y</w:t>
      </w:r>
    </w:p>
    <w:p w14:paraId="73927B64" w14:textId="22F51A5B" w:rsidR="00025763" w:rsidRPr="00D531DC" w:rsidRDefault="00025763" w:rsidP="00025763">
      <w:pPr>
        <w:pStyle w:val="Citas"/>
      </w:pPr>
      <w:r w:rsidRPr="00D531DC">
        <w:t>16.3. Coordinación de Verificación</w:t>
      </w:r>
    </w:p>
    <w:p w14:paraId="29B81A55" w14:textId="22CDEE71" w:rsidR="00025763" w:rsidRPr="00D531DC" w:rsidRDefault="00025763" w:rsidP="00025763">
      <w:pPr>
        <w:pStyle w:val="Citas"/>
      </w:pPr>
      <w:r w:rsidRPr="00D531DC">
        <w:t>(…)”</w:t>
      </w:r>
    </w:p>
    <w:p w14:paraId="6DE3C469" w14:textId="77777777" w:rsidR="00025763" w:rsidRPr="00D531DC" w:rsidRDefault="00025763" w:rsidP="00025763">
      <w:pPr>
        <w:autoSpaceDE w:val="0"/>
        <w:autoSpaceDN w:val="0"/>
        <w:adjustRightInd w:val="0"/>
        <w:spacing w:before="240" w:line="360" w:lineRule="auto"/>
        <w:jc w:val="center"/>
        <w:rPr>
          <w:rFonts w:ascii="Palatino Linotype" w:hAnsi="Palatino Linotype" w:cs="Arial"/>
          <w:b/>
          <w:bCs/>
          <w:iCs/>
          <w:sz w:val="24"/>
          <w:szCs w:val="24"/>
        </w:rPr>
      </w:pPr>
    </w:p>
    <w:p w14:paraId="61C7F16D" w14:textId="1F2B3089" w:rsidR="00025763" w:rsidRPr="00D531DC" w:rsidRDefault="00025763" w:rsidP="00025763">
      <w:pPr>
        <w:pStyle w:val="Citas"/>
        <w:jc w:val="center"/>
        <w:rPr>
          <w:b/>
          <w:bCs/>
          <w:i w:val="0"/>
          <w:iCs/>
        </w:rPr>
      </w:pPr>
      <w:r w:rsidRPr="00D531DC">
        <w:rPr>
          <w:b/>
          <w:bCs/>
          <w:i w:val="0"/>
          <w:iCs/>
        </w:rPr>
        <w:t>BANDO DE POLICÍA Y GOBIERNO MUNICIPAL DE TENANCINGO</w:t>
      </w:r>
    </w:p>
    <w:p w14:paraId="7CE5777C" w14:textId="5CFBA43F" w:rsidR="00025763" w:rsidRPr="00D531DC" w:rsidRDefault="00025763" w:rsidP="00025763">
      <w:pPr>
        <w:pStyle w:val="Citas"/>
        <w:rPr>
          <w:b/>
          <w:bCs/>
        </w:rPr>
      </w:pPr>
      <w:r w:rsidRPr="00D531DC">
        <w:lastRenderedPageBreak/>
        <w:t xml:space="preserve">“Artículo 44. El Ayuntamiento, a través de las dependencias y entidades señaladas en el presente Bando de Policía y Gobierno Municipal de Tenancingo, Estado de México, y Código Reglamentario Municipal que para tal efecto se expida, en estricto apego a las atribuciones conferidas en los reglamentos respectivos, tendrá en todo momento la facultad de realizar visitas de intervención, inspección y verificación a los establecimientos comerciales, de servicios, empresariales, de diversiones, de juegos, de espectáculos públicos e industriales, y en su caso, imponer las correcciones disciplinarias, medidas de prevención, apremio y seguridad, así como las sanciones que correspondan.” </w:t>
      </w:r>
      <w:r w:rsidRPr="00D531DC">
        <w:rPr>
          <w:b/>
          <w:bCs/>
        </w:rPr>
        <w:t>(Sic)</w:t>
      </w:r>
    </w:p>
    <w:p w14:paraId="6599711B" w14:textId="77777777" w:rsidR="00025763" w:rsidRPr="00D531DC" w:rsidRDefault="00025763" w:rsidP="00084E22">
      <w:pPr>
        <w:autoSpaceDE w:val="0"/>
        <w:autoSpaceDN w:val="0"/>
        <w:adjustRightInd w:val="0"/>
        <w:spacing w:before="240" w:line="360" w:lineRule="auto"/>
        <w:jc w:val="both"/>
        <w:rPr>
          <w:rFonts w:ascii="Palatino Linotype" w:hAnsi="Palatino Linotype" w:cs="Arial"/>
          <w:sz w:val="24"/>
          <w:szCs w:val="24"/>
        </w:rPr>
      </w:pPr>
    </w:p>
    <w:p w14:paraId="69C59D2F" w14:textId="7F8090F9" w:rsidR="00025763" w:rsidRPr="00D531DC" w:rsidRDefault="00AC113B" w:rsidP="00AC113B">
      <w:pPr>
        <w:pStyle w:val="Citas"/>
        <w:jc w:val="center"/>
        <w:rPr>
          <w:b/>
          <w:bCs/>
          <w:i w:val="0"/>
          <w:iCs/>
        </w:rPr>
      </w:pPr>
      <w:r w:rsidRPr="00D531DC">
        <w:rPr>
          <w:b/>
          <w:bCs/>
          <w:i w:val="0"/>
          <w:iCs/>
        </w:rPr>
        <w:t>MANUAL DE ORGANIZACIÓN DE LA DIRECCIÓN DE GOBERNACIÓN</w:t>
      </w:r>
    </w:p>
    <w:p w14:paraId="4944EE48" w14:textId="4E1E648F" w:rsidR="00025763" w:rsidRPr="00D531DC" w:rsidRDefault="00025763" w:rsidP="00025763">
      <w:pPr>
        <w:pStyle w:val="Citas"/>
      </w:pPr>
      <w:r w:rsidRPr="00D531DC">
        <w:t>“14. Dirección de Gobernación</w:t>
      </w:r>
    </w:p>
    <w:p w14:paraId="7476229C" w14:textId="77777777" w:rsidR="00025763" w:rsidRPr="00D531DC" w:rsidRDefault="00025763" w:rsidP="00025763">
      <w:pPr>
        <w:pStyle w:val="Citas"/>
      </w:pPr>
      <w:r w:rsidRPr="00D531DC">
        <w:t>Objetivo:</w:t>
      </w:r>
    </w:p>
    <w:p w14:paraId="491F2A14" w14:textId="0FAD6724" w:rsidR="00025763" w:rsidRPr="00D531DC" w:rsidRDefault="00025763" w:rsidP="00025763">
      <w:pPr>
        <w:pStyle w:val="Citas"/>
      </w:pPr>
      <w:r w:rsidRPr="00D531DC">
        <w:t>Promover la cultura política, así como vigilar e inspeccionar el</w:t>
      </w:r>
      <w:r w:rsidR="00AC113B" w:rsidRPr="00D531DC">
        <w:t xml:space="preserve"> </w:t>
      </w:r>
      <w:r w:rsidRPr="00D531DC">
        <w:t>cumplimiento de la reglamentación municipal para la sana convivencia y</w:t>
      </w:r>
      <w:r w:rsidR="00AC113B" w:rsidRPr="00D531DC">
        <w:t xml:space="preserve"> </w:t>
      </w:r>
      <w:r w:rsidRPr="00D531DC">
        <w:t>gobernabilidad, estableciendo canales de diálogo y consenso con las</w:t>
      </w:r>
      <w:r w:rsidR="00AC113B" w:rsidRPr="00D531DC">
        <w:t xml:space="preserve"> </w:t>
      </w:r>
      <w:r w:rsidRPr="00D531DC">
        <w:t>agrupaciones de comerciantes y organizaciones de la sociedad civil.</w:t>
      </w:r>
    </w:p>
    <w:p w14:paraId="0A353B7C" w14:textId="7A68EF79" w:rsidR="00025763" w:rsidRPr="00D531DC" w:rsidRDefault="00025763" w:rsidP="00025763">
      <w:pPr>
        <w:pStyle w:val="Citas"/>
      </w:pPr>
      <w:r w:rsidRPr="00D531DC">
        <w:t>Vigilar e inspeccionar el cumplimiento de la reglamentación municipal</w:t>
      </w:r>
      <w:r w:rsidR="00AC113B" w:rsidRPr="00D531DC">
        <w:t xml:space="preserve"> </w:t>
      </w:r>
      <w:r w:rsidRPr="00D531DC">
        <w:t>para la sana</w:t>
      </w:r>
      <w:r w:rsidR="00AC113B" w:rsidRPr="00D531DC">
        <w:t xml:space="preserve"> </w:t>
      </w:r>
      <w:r w:rsidRPr="00D531DC">
        <w:t>convivencia y gobernabilidad.</w:t>
      </w:r>
    </w:p>
    <w:p w14:paraId="4F9DB6EF" w14:textId="3737C8C2" w:rsidR="00025763" w:rsidRPr="00D531DC" w:rsidRDefault="00025763" w:rsidP="00025763">
      <w:pPr>
        <w:pStyle w:val="Citas"/>
      </w:pPr>
      <w:r w:rsidRPr="00D531DC">
        <w:t>Funciones:</w:t>
      </w:r>
    </w:p>
    <w:p w14:paraId="714EB5EF" w14:textId="1824F0C1" w:rsidR="00025763" w:rsidRPr="00D531DC" w:rsidRDefault="00025763" w:rsidP="00025763">
      <w:pPr>
        <w:pStyle w:val="Citas"/>
      </w:pPr>
      <w:r w:rsidRPr="00D531DC">
        <w:t>(…)</w:t>
      </w:r>
    </w:p>
    <w:p w14:paraId="71B91DC4" w14:textId="2ADD9E02" w:rsidR="00025763" w:rsidRPr="00D531DC" w:rsidRDefault="00025763" w:rsidP="00025763">
      <w:pPr>
        <w:pStyle w:val="Citas"/>
      </w:pPr>
      <w:r w:rsidRPr="00D531DC">
        <w:lastRenderedPageBreak/>
        <w:t>6. Formular, motivar y emitir la Orden de Verificación de establecimientos comerciales para la inspección del cumplimiento de la normatividad</w:t>
      </w:r>
      <w:r w:rsidR="00AC113B" w:rsidRPr="00D531DC">
        <w:t xml:space="preserve"> </w:t>
      </w:r>
      <w:r w:rsidRPr="00D531DC">
        <w:t>aplicable verificando, entre otras cosas, que cuenten con la exhibición en</w:t>
      </w:r>
      <w:r w:rsidR="00AC113B" w:rsidRPr="00D531DC">
        <w:t xml:space="preserve"> </w:t>
      </w:r>
      <w:r w:rsidRPr="00D531DC">
        <w:t>lugar visible de la licencia de funcionamiento vigente, que corresponda a la</w:t>
      </w:r>
      <w:r w:rsidR="00AC113B" w:rsidRPr="00D531DC">
        <w:t xml:space="preserve"> </w:t>
      </w:r>
      <w:r w:rsidRPr="00D531DC">
        <w:t>actividad o giro preponderante, y que cumplan con las condiciones y</w:t>
      </w:r>
      <w:r w:rsidR="00AC113B" w:rsidRPr="00D531DC">
        <w:t xml:space="preserve"> </w:t>
      </w:r>
      <w:r w:rsidRPr="00D531DC">
        <w:t xml:space="preserve">horarios de funcionamiento establecidos; </w:t>
      </w:r>
    </w:p>
    <w:p w14:paraId="41E65B9F" w14:textId="1C51135B" w:rsidR="00025763" w:rsidRPr="00D531DC" w:rsidRDefault="00025763" w:rsidP="00025763">
      <w:pPr>
        <w:pStyle w:val="Citas"/>
      </w:pPr>
      <w:r w:rsidRPr="00D531DC">
        <w:t>7. Fundamentar y emitir la orden de verificación de la existencia, vigencia y</w:t>
      </w:r>
      <w:r w:rsidR="00AC113B" w:rsidRPr="00D531DC">
        <w:t xml:space="preserve"> </w:t>
      </w:r>
      <w:r w:rsidRPr="00D531DC">
        <w:t>cumplimiento de las condicionantes establecidas de los permisos de uso de</w:t>
      </w:r>
      <w:r w:rsidR="00AC113B" w:rsidRPr="00D531DC">
        <w:t xml:space="preserve"> </w:t>
      </w:r>
      <w:r w:rsidRPr="00D531DC">
        <w:t>vías y áreas públicas expedidas por la autoridad municipal;</w:t>
      </w:r>
    </w:p>
    <w:p w14:paraId="6CA57C32" w14:textId="7F39364D" w:rsidR="00025763" w:rsidRPr="00D531DC" w:rsidRDefault="00025763" w:rsidP="00025763">
      <w:pPr>
        <w:pStyle w:val="Citas"/>
      </w:pPr>
      <w:r w:rsidRPr="00D531DC">
        <w:t>(…)</w:t>
      </w:r>
    </w:p>
    <w:p w14:paraId="78B7AACE" w14:textId="77777777" w:rsidR="00025763" w:rsidRPr="00D531DC" w:rsidRDefault="00025763" w:rsidP="00025763">
      <w:pPr>
        <w:pStyle w:val="Citas"/>
      </w:pPr>
      <w:r w:rsidRPr="00D531DC">
        <w:t>14.3 Coordinación de Verificación</w:t>
      </w:r>
    </w:p>
    <w:p w14:paraId="392095DF" w14:textId="77777777" w:rsidR="00025763" w:rsidRPr="00D531DC" w:rsidRDefault="00025763" w:rsidP="00025763">
      <w:pPr>
        <w:pStyle w:val="Citas"/>
      </w:pPr>
      <w:r w:rsidRPr="00D531DC">
        <w:t>Objetivo:</w:t>
      </w:r>
    </w:p>
    <w:p w14:paraId="2D811878" w14:textId="503E2046" w:rsidR="00025763" w:rsidRPr="00D531DC" w:rsidRDefault="00025763" w:rsidP="00025763">
      <w:pPr>
        <w:pStyle w:val="Citas"/>
      </w:pPr>
      <w:r w:rsidRPr="00D531DC">
        <w:t>Mantener un orden del comercio en la vía pública, regulando el comercio</w:t>
      </w:r>
      <w:r w:rsidR="00AC113B" w:rsidRPr="00D531DC">
        <w:t xml:space="preserve"> </w:t>
      </w:r>
      <w:r w:rsidRPr="00D531DC">
        <w:t>informal y así el municipio de Tenancingo tenga una imagen urbana óptima.</w:t>
      </w:r>
      <w:r w:rsidR="00AC113B" w:rsidRPr="00D531DC">
        <w:t xml:space="preserve"> </w:t>
      </w:r>
      <w:r w:rsidRPr="00D531DC">
        <w:t>Fomentar la regularización del comercio formal e informal, realizando las</w:t>
      </w:r>
      <w:r w:rsidR="00AC113B" w:rsidRPr="00D531DC">
        <w:t xml:space="preserve"> </w:t>
      </w:r>
      <w:r w:rsidRPr="00D531DC">
        <w:t>verificaciones correspondientes, revisando que cuenten con los permisos y/o</w:t>
      </w:r>
      <w:r w:rsidR="00AC113B" w:rsidRPr="00D531DC">
        <w:t xml:space="preserve"> </w:t>
      </w:r>
      <w:r w:rsidRPr="00D531DC">
        <w:t>licencias, así como los horarios, giros comerciales, como lo indica la</w:t>
      </w:r>
      <w:r w:rsidR="00AC113B" w:rsidRPr="00D531DC">
        <w:t xml:space="preserve"> </w:t>
      </w:r>
      <w:r w:rsidRPr="00D531DC">
        <w:t>normatividad que corresponde</w:t>
      </w:r>
    </w:p>
    <w:p w14:paraId="4C947528" w14:textId="77777777" w:rsidR="00025763" w:rsidRPr="00D531DC" w:rsidRDefault="00025763" w:rsidP="00025763">
      <w:pPr>
        <w:pStyle w:val="Citas"/>
      </w:pPr>
      <w:r w:rsidRPr="00D531DC">
        <w:t>Funciones:</w:t>
      </w:r>
    </w:p>
    <w:p w14:paraId="7E3D8B61" w14:textId="5B8CA93B" w:rsidR="00025763" w:rsidRPr="00D531DC" w:rsidRDefault="00025763" w:rsidP="00025763">
      <w:pPr>
        <w:pStyle w:val="Citas"/>
      </w:pPr>
      <w:r w:rsidRPr="00D531DC">
        <w:t>1. Verificación e Inspección a establecimientos comerciales formales de que</w:t>
      </w:r>
      <w:r w:rsidR="00AC113B" w:rsidRPr="00D531DC">
        <w:t xml:space="preserve"> </w:t>
      </w:r>
      <w:r w:rsidRPr="00D531DC">
        <w:t>cumplan con lo dispuesto en la Ley de Competitividad y Ordenamiento</w:t>
      </w:r>
      <w:r w:rsidR="00AC113B" w:rsidRPr="00D531DC">
        <w:t xml:space="preserve"> </w:t>
      </w:r>
      <w:r w:rsidRPr="00D531DC">
        <w:t>Comercial del Estado de México y cuenten con licencia de funcionamiento</w:t>
      </w:r>
      <w:r w:rsidR="00AC113B" w:rsidRPr="00D531DC">
        <w:t xml:space="preserve"> </w:t>
      </w:r>
      <w:r w:rsidRPr="00D531DC">
        <w:t>vigente, que corresponda a la actividad o giro y que estén al corriente en el</w:t>
      </w:r>
      <w:r w:rsidR="00AC113B" w:rsidRPr="00D531DC">
        <w:t xml:space="preserve"> </w:t>
      </w:r>
      <w:r w:rsidRPr="00D531DC">
        <w:t>pago de sus contribuciones; así como en los lugares donde se expendan</w:t>
      </w:r>
      <w:r w:rsidR="00AC113B" w:rsidRPr="00D531DC">
        <w:t xml:space="preserve"> </w:t>
      </w:r>
      <w:r w:rsidRPr="00D531DC">
        <w:t xml:space="preserve">bebidas alcohólicas al copeo con o sin el consumo </w:t>
      </w:r>
      <w:r w:rsidRPr="00D531DC">
        <w:lastRenderedPageBreak/>
        <w:t>de alimentos cuenten con</w:t>
      </w:r>
      <w:r w:rsidR="00AC113B" w:rsidRPr="00D531DC">
        <w:t xml:space="preserve"> </w:t>
      </w:r>
      <w:r w:rsidRPr="00D531DC">
        <w:t>los Dictámenes necesarios, emitidos por las instancias correspondientes;</w:t>
      </w:r>
      <w:r w:rsidR="00AC113B" w:rsidRPr="00D531DC">
        <w:t xml:space="preserve"> </w:t>
      </w:r>
      <w:r w:rsidRPr="00D531DC">
        <w:t>verificación e inspección de horario.</w:t>
      </w:r>
    </w:p>
    <w:p w14:paraId="0C2D6894" w14:textId="35269ED6" w:rsidR="00025763" w:rsidRPr="00D531DC" w:rsidRDefault="00025763" w:rsidP="00025763">
      <w:pPr>
        <w:pStyle w:val="Citas"/>
      </w:pPr>
      <w:r w:rsidRPr="00D531DC">
        <w:t>2. Verificar establecimientos comerciales, que se cumpla con las disposiciones</w:t>
      </w:r>
      <w:r w:rsidR="00AC113B" w:rsidRPr="00D531DC">
        <w:t xml:space="preserve"> </w:t>
      </w:r>
      <w:r w:rsidRPr="00D531DC">
        <w:t>establecidas por el programa nacional de combate para eliminar el uso de</w:t>
      </w:r>
      <w:r w:rsidR="00AC113B" w:rsidRPr="00D531DC">
        <w:t xml:space="preserve"> </w:t>
      </w:r>
      <w:r w:rsidRPr="00D531DC">
        <w:t>maquinitas tragamonedas; así como juegos o sorteos permitidos y que no</w:t>
      </w:r>
      <w:r w:rsidR="00AC113B" w:rsidRPr="00D531DC">
        <w:t xml:space="preserve"> </w:t>
      </w:r>
      <w:r w:rsidRPr="00D531DC">
        <w:t>sean de azar o de uso exclusivo de casinos; Ley Federal de Juegos y Sorteos</w:t>
      </w:r>
      <w:r w:rsidR="00AC113B" w:rsidRPr="00D531DC">
        <w:t xml:space="preserve"> </w:t>
      </w:r>
      <w:r w:rsidRPr="00D531DC">
        <w:t>y su Reglamento.</w:t>
      </w:r>
    </w:p>
    <w:p w14:paraId="0192AC07" w14:textId="6BB1942F" w:rsidR="00025763" w:rsidRPr="00D531DC" w:rsidRDefault="00025763" w:rsidP="00025763">
      <w:pPr>
        <w:pStyle w:val="Citas"/>
        <w:rPr>
          <w:b/>
          <w:bCs/>
          <w:u w:val="single"/>
        </w:rPr>
      </w:pPr>
      <w:r w:rsidRPr="00D531DC">
        <w:rPr>
          <w:b/>
          <w:bCs/>
          <w:u w:val="single"/>
        </w:rPr>
        <w:t>3. Verificación e Inspección a lugares donde se expenden bebidas alcohólicas</w:t>
      </w:r>
      <w:r w:rsidR="00AC113B" w:rsidRPr="00D531DC">
        <w:rPr>
          <w:b/>
          <w:bCs/>
          <w:u w:val="single"/>
        </w:rPr>
        <w:t xml:space="preserve"> </w:t>
      </w:r>
      <w:r w:rsidRPr="00D531DC">
        <w:rPr>
          <w:b/>
          <w:bCs/>
          <w:u w:val="single"/>
        </w:rPr>
        <w:t>al copeo con o sin consumo de alimentos, que se cumpla con la Ley para</w:t>
      </w:r>
      <w:r w:rsidR="00AC113B" w:rsidRPr="00D531DC">
        <w:rPr>
          <w:b/>
          <w:bCs/>
          <w:u w:val="single"/>
        </w:rPr>
        <w:t xml:space="preserve"> </w:t>
      </w:r>
      <w:r w:rsidRPr="00D531DC">
        <w:rPr>
          <w:b/>
          <w:bCs/>
          <w:u w:val="single"/>
        </w:rPr>
        <w:t>Prevenir, Atender, Combatir y Erradicar la Trata de Personas y para la</w:t>
      </w:r>
      <w:r w:rsidR="00AC113B" w:rsidRPr="00D531DC">
        <w:rPr>
          <w:b/>
          <w:bCs/>
          <w:u w:val="single"/>
        </w:rPr>
        <w:t xml:space="preserve"> </w:t>
      </w:r>
      <w:r w:rsidRPr="00D531DC">
        <w:rPr>
          <w:b/>
          <w:bCs/>
          <w:u w:val="single"/>
        </w:rPr>
        <w:t>Protección y Asistencia a la Victimas del Estado de México.</w:t>
      </w:r>
    </w:p>
    <w:p w14:paraId="33EF7201" w14:textId="0F81C80F" w:rsidR="00025763" w:rsidRPr="00D531DC" w:rsidRDefault="00025763" w:rsidP="00025763">
      <w:pPr>
        <w:pStyle w:val="Citas"/>
      </w:pPr>
      <w:r w:rsidRPr="00D531DC">
        <w:t>4. Verificar el cumplimiento del horario del comercio en la vía pública y</w:t>
      </w:r>
      <w:r w:rsidR="00AC113B" w:rsidRPr="00D531DC">
        <w:t xml:space="preserve"> </w:t>
      </w:r>
      <w:r w:rsidRPr="00D531DC">
        <w:t>retirarlos despejando la vialidad y flujo vehicular en coordinación con el administrador del mercado municipal, cuando el ámbito territorial sea de su</w:t>
      </w:r>
      <w:r w:rsidR="00BC4029" w:rsidRPr="00D531DC">
        <w:t xml:space="preserve"> </w:t>
      </w:r>
      <w:r w:rsidRPr="00D531DC">
        <w:t>competencia;</w:t>
      </w:r>
    </w:p>
    <w:p w14:paraId="025A1710" w14:textId="7AFB8881" w:rsidR="00025763" w:rsidRPr="00D531DC" w:rsidRDefault="00025763" w:rsidP="00025763">
      <w:pPr>
        <w:pStyle w:val="Citas"/>
        <w:rPr>
          <w:b/>
          <w:bCs/>
        </w:rPr>
      </w:pPr>
      <w:r w:rsidRPr="00D531DC">
        <w:t>5. Las demás derivadas de los ordenamientos legales aplicables.</w:t>
      </w:r>
      <w:r w:rsidR="00BC4029" w:rsidRPr="00D531DC">
        <w:t xml:space="preserve">” </w:t>
      </w:r>
      <w:r w:rsidR="00BC4029" w:rsidRPr="00D531DC">
        <w:rPr>
          <w:b/>
          <w:bCs/>
        </w:rPr>
        <w:t>(Sic)</w:t>
      </w:r>
    </w:p>
    <w:p w14:paraId="11880F57" w14:textId="77777777" w:rsidR="00BC4029" w:rsidRPr="00D531DC" w:rsidRDefault="00BC4029" w:rsidP="00E33199">
      <w:pPr>
        <w:pStyle w:val="CitasINFOEM"/>
        <w:ind w:left="0" w:right="0"/>
        <w:rPr>
          <w:i w:val="0"/>
          <w:iCs/>
          <w:sz w:val="24"/>
        </w:rPr>
      </w:pPr>
    </w:p>
    <w:p w14:paraId="7D74855E" w14:textId="12B70002" w:rsidR="00BC4029" w:rsidRPr="00D531DC" w:rsidRDefault="00E33199" w:rsidP="00E33199">
      <w:pPr>
        <w:pStyle w:val="CitasINFOEM"/>
        <w:ind w:left="0" w:right="0"/>
        <w:rPr>
          <w:i w:val="0"/>
          <w:iCs/>
          <w:sz w:val="24"/>
        </w:rPr>
      </w:pPr>
      <w:r w:rsidRPr="00D531DC">
        <w:rPr>
          <w:i w:val="0"/>
          <w:iCs/>
          <w:sz w:val="24"/>
        </w:rPr>
        <w:t xml:space="preserve">De ahí que deba arribarse a la premisa de que la </w:t>
      </w:r>
      <w:r w:rsidR="00BC4029" w:rsidRPr="00D531DC">
        <w:rPr>
          <w:i w:val="0"/>
          <w:iCs/>
          <w:sz w:val="24"/>
        </w:rPr>
        <w:t xml:space="preserve">Dirección de gobernación y la coordinación de verificación tienen competencia en materia de inspección a establecimientos comerciales, regulación de comercio formal e informal, así como la verificación de cumplimiento del horario del comercio.  </w:t>
      </w:r>
    </w:p>
    <w:p w14:paraId="09FBB98A" w14:textId="5F376C3D" w:rsidR="00653714" w:rsidRPr="00D531DC" w:rsidRDefault="00653714" w:rsidP="00653714">
      <w:pPr>
        <w:spacing w:line="360" w:lineRule="auto"/>
        <w:jc w:val="both"/>
        <w:rPr>
          <w:rFonts w:ascii="Palatino Linotype" w:hAnsi="Palatino Linotype" w:cs="Arial"/>
          <w:sz w:val="24"/>
          <w:szCs w:val="24"/>
        </w:rPr>
      </w:pPr>
      <w:r w:rsidRPr="00D531DC">
        <w:rPr>
          <w:rFonts w:ascii="Palatino Linotype" w:hAnsi="Palatino Linotype"/>
          <w:sz w:val="24"/>
          <w:szCs w:val="24"/>
        </w:rPr>
        <w:t xml:space="preserve">Con base en lo anteriormente expuesto, se desprende que la esfera competencial del </w:t>
      </w:r>
      <w:r w:rsidRPr="00D531DC">
        <w:rPr>
          <w:rFonts w:ascii="Palatino Linotype" w:hAnsi="Palatino Linotype"/>
          <w:b/>
          <w:bCs/>
          <w:sz w:val="24"/>
          <w:szCs w:val="24"/>
        </w:rPr>
        <w:t xml:space="preserve">Sujeto Obligado </w:t>
      </w:r>
      <w:r w:rsidRPr="00D531DC">
        <w:rPr>
          <w:rFonts w:ascii="Palatino Linotype" w:hAnsi="Palatino Linotype"/>
          <w:sz w:val="24"/>
          <w:szCs w:val="24"/>
        </w:rPr>
        <w:t xml:space="preserve">le constriñe a generar, poseer y administrar la información requerida. </w:t>
      </w:r>
      <w:r w:rsidRPr="00D531DC">
        <w:rPr>
          <w:rFonts w:ascii="Palatino Linotype" w:hAnsi="Palatino Linotype" w:cs="Arial"/>
          <w:sz w:val="24"/>
          <w:szCs w:val="24"/>
        </w:rPr>
        <w:t xml:space="preserve">Bajo este contexto, en términos de los numerales 18 y 19 de la Ley de Transparencia </w:t>
      </w:r>
      <w:r w:rsidRPr="00D531DC">
        <w:rPr>
          <w:rFonts w:ascii="Palatino Linotype" w:hAnsi="Palatino Linotype" w:cs="Arial"/>
          <w:sz w:val="24"/>
          <w:szCs w:val="24"/>
        </w:rPr>
        <w:lastRenderedPageBreak/>
        <w:t xml:space="preserve">local existe obligación de documentar actos de autoridad, así como una presunción de existencia de la información cuando se refiera a las atribuciones de los sujetos obligados, porciones normativas que disponen a la literalidad lo siguiente: </w:t>
      </w:r>
    </w:p>
    <w:p w14:paraId="1909A5AC" w14:textId="77777777" w:rsidR="00653714" w:rsidRPr="00D531DC" w:rsidRDefault="00653714" w:rsidP="00653714">
      <w:pPr>
        <w:pStyle w:val="Citas"/>
      </w:pPr>
      <w:r w:rsidRPr="00D531DC">
        <w:t xml:space="preserve">“Artículo 18. Los sujetos obligados deberán documentar todo acto que derive del ejercicio de sus facultades, competencias o funciones, considerando desde su origen la eventual publicidad y reutilización de la información que generen. </w:t>
      </w:r>
    </w:p>
    <w:p w14:paraId="2225765A" w14:textId="77777777" w:rsidR="00653714" w:rsidRPr="00D531DC" w:rsidRDefault="00653714" w:rsidP="00653714">
      <w:pPr>
        <w:pStyle w:val="Citas"/>
      </w:pPr>
      <w:r w:rsidRPr="00D531DC">
        <w:t xml:space="preserve">Artículo 19. Se presume que la información debe existir si se refiere a las facultades, competencias y funciones que los ordenamientos jurídicos aplicables otorgan a los sujetos obligados. </w:t>
      </w:r>
    </w:p>
    <w:p w14:paraId="123A1D62" w14:textId="77777777" w:rsidR="00653714" w:rsidRPr="00D531DC" w:rsidRDefault="00653714" w:rsidP="00653714">
      <w:pPr>
        <w:pStyle w:val="Citas"/>
      </w:pPr>
      <w:r w:rsidRPr="00D531DC">
        <w:t xml:space="preserve">En los casos en que ciertas facultades, competencias o funciones no se hayan ejercido, se debe motivar la respuesta en función de las causas que motiven tal circunstancia. </w:t>
      </w:r>
    </w:p>
    <w:p w14:paraId="5A860567" w14:textId="77777777" w:rsidR="00653714" w:rsidRPr="00D531DC" w:rsidRDefault="00653714" w:rsidP="00653714">
      <w:pPr>
        <w:pStyle w:val="Citas"/>
        <w:rPr>
          <w:b/>
          <w:bCs/>
          <w:sz w:val="24"/>
          <w:szCs w:val="24"/>
        </w:rPr>
      </w:pPr>
      <w:r w:rsidRPr="00D531DC">
        <w:t xml:space="preserve">Si el sujeto obligado, en el ejercicio de sus atribuciones, debía generar, poseer o administrar la información, pero ésta no se encuentra, el Comité de transparencia deberá emitir un acuerdo de inexistencia, debidamente fundado y motivado, en el que detalle las razones del por qué no obra en sus archivos.” </w:t>
      </w:r>
      <w:r w:rsidRPr="00D531DC">
        <w:rPr>
          <w:b/>
          <w:bCs/>
        </w:rPr>
        <w:t>(Sic)</w:t>
      </w:r>
    </w:p>
    <w:p w14:paraId="10811366" w14:textId="77777777" w:rsidR="00864834" w:rsidRPr="00D531DC" w:rsidRDefault="00864834" w:rsidP="00653714">
      <w:pPr>
        <w:spacing w:after="240" w:line="360" w:lineRule="auto"/>
        <w:jc w:val="both"/>
        <w:rPr>
          <w:rFonts w:ascii="Palatino Linotype" w:hAnsi="Palatino Linotype" w:cs="Arial"/>
          <w:color w:val="000000"/>
          <w:sz w:val="24"/>
          <w:lang w:val="es-ES_tradnl"/>
        </w:rPr>
      </w:pPr>
    </w:p>
    <w:p w14:paraId="624D479B" w14:textId="20123CDE" w:rsidR="00BC4029" w:rsidRPr="00D531DC" w:rsidRDefault="00653714" w:rsidP="00653714">
      <w:pPr>
        <w:spacing w:after="240" w:line="360" w:lineRule="auto"/>
        <w:jc w:val="both"/>
        <w:rPr>
          <w:rFonts w:ascii="Palatino Linotype" w:hAnsi="Palatino Linotype" w:cs="Arial"/>
          <w:color w:val="000000"/>
          <w:sz w:val="24"/>
          <w:lang w:val="es-ES_tradnl"/>
        </w:rPr>
      </w:pPr>
      <w:r w:rsidRPr="00D531DC">
        <w:rPr>
          <w:rFonts w:ascii="Palatino Linotype" w:hAnsi="Palatino Linotype" w:cs="Arial"/>
          <w:color w:val="000000"/>
          <w:sz w:val="24"/>
          <w:lang w:val="es-ES_tradnl"/>
        </w:rPr>
        <w:t xml:space="preserve">Una vez sentado lo anterior, como se mencionó en el antecedente </w:t>
      </w:r>
      <w:r w:rsidR="00BC4029" w:rsidRPr="00D531DC">
        <w:rPr>
          <w:rFonts w:ascii="Palatino Linotype" w:hAnsi="Palatino Linotype" w:cs="Arial"/>
          <w:color w:val="000000"/>
          <w:sz w:val="24"/>
          <w:lang w:val="es-ES_tradnl"/>
        </w:rPr>
        <w:t>segundo</w:t>
      </w:r>
      <w:r w:rsidRPr="00D531DC">
        <w:rPr>
          <w:rFonts w:ascii="Palatino Linotype" w:hAnsi="Palatino Linotype" w:cs="Arial"/>
          <w:color w:val="000000"/>
          <w:sz w:val="24"/>
          <w:lang w:val="es-ES_tradnl"/>
        </w:rPr>
        <w:t xml:space="preserve">, </w:t>
      </w:r>
      <w:r w:rsidRPr="00D531DC">
        <w:rPr>
          <w:rFonts w:ascii="Palatino Linotype" w:hAnsi="Palatino Linotype" w:cs="Arial"/>
          <w:b/>
          <w:color w:val="000000"/>
          <w:sz w:val="24"/>
          <w:lang w:val="es-ES_tradnl"/>
        </w:rPr>
        <w:t xml:space="preserve">El Sujeto Obligado </w:t>
      </w:r>
      <w:r w:rsidRPr="00D531DC">
        <w:rPr>
          <w:rFonts w:ascii="Palatino Linotype" w:hAnsi="Palatino Linotype" w:cs="Arial"/>
          <w:color w:val="000000"/>
          <w:sz w:val="24"/>
          <w:lang w:val="es-ES_tradnl"/>
        </w:rPr>
        <w:t>en fecha</w:t>
      </w:r>
      <w:r w:rsidR="00EB145C" w:rsidRPr="00D531DC">
        <w:rPr>
          <w:rFonts w:ascii="Palatino Linotype" w:hAnsi="Palatino Linotype" w:cs="Arial"/>
          <w:color w:val="000000"/>
          <w:sz w:val="24"/>
          <w:lang w:val="es-ES_tradnl"/>
        </w:rPr>
        <w:t xml:space="preserve"> </w:t>
      </w:r>
      <w:r w:rsidR="00BC4029" w:rsidRPr="00D531DC">
        <w:rPr>
          <w:rFonts w:ascii="Palatino Linotype" w:hAnsi="Palatino Linotype" w:cs="Arial"/>
          <w:b/>
          <w:bCs/>
          <w:color w:val="000000"/>
          <w:sz w:val="24"/>
          <w:lang w:val="es-ES_tradnl"/>
        </w:rPr>
        <w:t xml:space="preserve">dieciocho de mayo de dos mil veintiséis, </w:t>
      </w:r>
      <w:r w:rsidR="00BC4029" w:rsidRPr="00D531DC">
        <w:rPr>
          <w:rFonts w:ascii="Palatino Linotype" w:hAnsi="Palatino Linotype" w:cs="Arial"/>
          <w:color w:val="000000"/>
          <w:sz w:val="24"/>
          <w:lang w:val="es-ES_tradnl"/>
        </w:rPr>
        <w:t>rindió su respuesta a la solicitud de información formulada por el particular en los siguientes términos:</w:t>
      </w:r>
    </w:p>
    <w:p w14:paraId="12216AE1" w14:textId="77777777" w:rsidR="00BC4029" w:rsidRPr="00D531DC" w:rsidRDefault="00BC4029" w:rsidP="00BC4029">
      <w:pPr>
        <w:pStyle w:val="Citas"/>
      </w:pPr>
      <w:r w:rsidRPr="00D531DC">
        <w:t xml:space="preserve">“En respuesta a la solicitud recibida, nos permitimos hacer de su conocimiento que con fundamento en el artículo 53, Fracciones: II, V y VI de la Ley de Transparencia </w:t>
      </w:r>
      <w:r w:rsidRPr="00D531DC">
        <w:lastRenderedPageBreak/>
        <w:t>y Acceso a la Información Pública del Estado de México y Municipios, le contestamos que:</w:t>
      </w:r>
    </w:p>
    <w:p w14:paraId="270DEC18" w14:textId="77777777" w:rsidR="00BC4029" w:rsidRPr="00D531DC" w:rsidRDefault="00BC4029" w:rsidP="00BC4029">
      <w:pPr>
        <w:pStyle w:val="Citas"/>
        <w:rPr>
          <w:b/>
          <w:bCs/>
        </w:rPr>
      </w:pPr>
      <w:r w:rsidRPr="00D531DC">
        <w:t xml:space="preserve">Folio de la solicitud: 000028/TENANCIN/IP/2026 Estimado solicitante: Sirva este medio para enviarle un afectuoso saludo, al mismo tiempo con fundamento en el artículo 53 fracciones II, IV y V de la Ley de Transparencia y Acceso a la Información Pública del Estado de México y Municipios, remito la contestación a su solicitud de información, y le informo lo siguiente: </w:t>
      </w:r>
      <w:r w:rsidRPr="00D531DC">
        <w:rPr>
          <w:b/>
          <w:bCs/>
          <w:u w:val="single"/>
        </w:rPr>
        <w:t>Dando atención a su solicitud de información con folio 00028/TENANCIN/IP/2026, se adjunta al presente en archivos PDF, los siguientes documentos: 1. Turno SPH 2. Respuesta del Servidor Público Habilitado</w:t>
      </w:r>
      <w:r w:rsidRPr="00D531DC">
        <w:t xml:space="preserve">. Archivos en los cuales se precisa todo lo referente a su solicitud de información. Haciendo de su conocimiento que de acuerdo a lo establecido por los artículos 176, 177 y 178 de la Ley de Transparencia y Acceso a la Información Pública del Estado de México y Municipios, podrá ejercer su segunda garantía del Derecho de Acceso a la Información pública, al interponer un recurso de revisión, ante el INFOEM o ante esta Unidad de Transparencia, dentro de los quince días hábiles posteriores a la fecha de recepción de su respuesta, por alguna de las causales establecidas en el artículo 179 de la Ley de Transparencia y Acceso a la Información Pública del Estado de México y Municipios, atendiendo los criterios señalados en los artículos 180 y 181 de la misma Ley. Sin otro particular por el momento, quedo de Usted” </w:t>
      </w:r>
      <w:r w:rsidRPr="00D531DC">
        <w:rPr>
          <w:b/>
          <w:bCs/>
        </w:rPr>
        <w:t>(Sic)</w:t>
      </w:r>
    </w:p>
    <w:p w14:paraId="396DAC0D" w14:textId="77777777" w:rsidR="00BC4029" w:rsidRPr="00D531DC" w:rsidRDefault="00BC4029" w:rsidP="00653714">
      <w:pPr>
        <w:spacing w:after="240" w:line="360" w:lineRule="auto"/>
        <w:jc w:val="both"/>
        <w:rPr>
          <w:rFonts w:ascii="Palatino Linotype" w:hAnsi="Palatino Linotype" w:cs="Arial"/>
          <w:color w:val="000000"/>
          <w:sz w:val="24"/>
          <w:lang w:val="es-ES_tradnl"/>
        </w:rPr>
      </w:pPr>
    </w:p>
    <w:p w14:paraId="085C29F4" w14:textId="38D68E16" w:rsidR="00BC4029" w:rsidRPr="00D531DC" w:rsidRDefault="00BC4029" w:rsidP="00BC4029">
      <w:pPr>
        <w:tabs>
          <w:tab w:val="left" w:pos="709"/>
        </w:tabs>
        <w:spacing w:before="240" w:line="360" w:lineRule="auto"/>
        <w:ind w:right="51"/>
        <w:jc w:val="both"/>
        <w:rPr>
          <w:rFonts w:ascii="Palatino Linotype" w:hAnsi="Palatino Linotype" w:cs="Arial"/>
          <w:sz w:val="24"/>
          <w:szCs w:val="24"/>
        </w:rPr>
      </w:pPr>
      <w:r w:rsidRPr="00D531DC">
        <w:rPr>
          <w:rFonts w:ascii="Palatino Linotype" w:hAnsi="Palatino Linotype" w:cs="Arial"/>
          <w:sz w:val="24"/>
          <w:szCs w:val="24"/>
        </w:rPr>
        <w:t xml:space="preserve">Se desprende entonces que la respuesta rendida por </w:t>
      </w:r>
      <w:r w:rsidRPr="00D531DC">
        <w:rPr>
          <w:rFonts w:ascii="Palatino Linotype" w:hAnsi="Palatino Linotype" w:cs="Arial"/>
          <w:b/>
          <w:bCs/>
          <w:sz w:val="24"/>
          <w:szCs w:val="24"/>
        </w:rPr>
        <w:t xml:space="preserve">El Sujeto Obligado </w:t>
      </w:r>
      <w:r w:rsidRPr="00D531DC">
        <w:rPr>
          <w:rFonts w:ascii="Palatino Linotype" w:hAnsi="Palatino Linotype" w:cs="Arial"/>
          <w:sz w:val="24"/>
          <w:szCs w:val="24"/>
        </w:rPr>
        <w:t>no</w:t>
      </w:r>
      <w:r w:rsidRPr="00D531DC">
        <w:rPr>
          <w:rFonts w:ascii="Palatino Linotype" w:hAnsi="Palatino Linotype" w:cs="Arial"/>
          <w:b/>
          <w:bCs/>
          <w:sz w:val="24"/>
          <w:szCs w:val="24"/>
        </w:rPr>
        <w:t xml:space="preserve"> </w:t>
      </w:r>
      <w:r w:rsidRPr="00D531DC">
        <w:rPr>
          <w:rFonts w:ascii="Palatino Linotype" w:hAnsi="Palatino Linotype" w:cs="Arial"/>
          <w:sz w:val="24"/>
          <w:szCs w:val="24"/>
        </w:rPr>
        <w:t xml:space="preserve">emana del servidor público habilitado competente, se quiere con ello significar que </w:t>
      </w:r>
      <w:r w:rsidRPr="00D531DC">
        <w:rPr>
          <w:rFonts w:ascii="Palatino Linotype" w:hAnsi="Palatino Linotype" w:cs="Arial"/>
          <w:b/>
          <w:bCs/>
          <w:sz w:val="24"/>
          <w:szCs w:val="24"/>
        </w:rPr>
        <w:t xml:space="preserve">El Sujeto </w:t>
      </w:r>
      <w:r w:rsidRPr="00D531DC">
        <w:rPr>
          <w:rFonts w:ascii="Palatino Linotype" w:hAnsi="Palatino Linotype" w:cs="Arial"/>
          <w:b/>
          <w:bCs/>
          <w:sz w:val="24"/>
          <w:szCs w:val="24"/>
        </w:rPr>
        <w:lastRenderedPageBreak/>
        <w:t xml:space="preserve">Obligado </w:t>
      </w:r>
      <w:r w:rsidRPr="00D531DC">
        <w:rPr>
          <w:rFonts w:ascii="Palatino Linotype" w:hAnsi="Palatino Linotype" w:cs="Arial"/>
          <w:sz w:val="24"/>
          <w:szCs w:val="24"/>
        </w:rPr>
        <w:t>inobservó el numeral 162 de la Ley de Transparencia local, cuyo contenido literal es el siguiente:</w:t>
      </w:r>
    </w:p>
    <w:p w14:paraId="52C22D03" w14:textId="77777777" w:rsidR="00BC4029" w:rsidRPr="00D531DC" w:rsidRDefault="00BC4029" w:rsidP="00BC4029">
      <w:pPr>
        <w:pStyle w:val="Citas"/>
        <w:rPr>
          <w:b/>
          <w:bCs/>
        </w:rPr>
      </w:pPr>
      <w:r w:rsidRPr="00D531DC">
        <w:t xml:space="preserve">“Artículo 162. 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 </w:t>
      </w:r>
      <w:r w:rsidRPr="00D531DC">
        <w:rPr>
          <w:b/>
          <w:bCs/>
        </w:rPr>
        <w:t>(Sic)</w:t>
      </w:r>
    </w:p>
    <w:p w14:paraId="62E1C511" w14:textId="77777777" w:rsidR="00BC4029" w:rsidRPr="00D531DC" w:rsidRDefault="00BC4029" w:rsidP="00653714">
      <w:pPr>
        <w:spacing w:after="240" w:line="360" w:lineRule="auto"/>
        <w:jc w:val="both"/>
        <w:rPr>
          <w:rFonts w:ascii="Palatino Linotype" w:hAnsi="Palatino Linotype" w:cs="Arial"/>
          <w:color w:val="000000"/>
          <w:sz w:val="24"/>
          <w:lang w:val="es-ES_tradnl"/>
        </w:rPr>
      </w:pPr>
    </w:p>
    <w:p w14:paraId="0B035B07" w14:textId="163A0FE9" w:rsidR="00BC4029" w:rsidRPr="00D531DC" w:rsidRDefault="00BC0DDF" w:rsidP="00653714">
      <w:pPr>
        <w:spacing w:after="240" w:line="360" w:lineRule="auto"/>
        <w:jc w:val="both"/>
        <w:rPr>
          <w:rFonts w:ascii="Palatino Linotype" w:hAnsi="Palatino Linotype" w:cs="Arial"/>
          <w:color w:val="000000"/>
          <w:sz w:val="24"/>
          <w:lang w:val="es-ES_tradnl"/>
        </w:rPr>
      </w:pPr>
      <w:r w:rsidRPr="00D531DC">
        <w:rPr>
          <w:rFonts w:ascii="Palatino Linotype" w:hAnsi="Palatino Linotype" w:cs="Arial"/>
          <w:color w:val="000000"/>
          <w:sz w:val="24"/>
          <w:lang w:val="es-ES_tradnl"/>
        </w:rPr>
        <w:t xml:space="preserve">Ahora bien, en seguimiento al pronunciamiento del titular de la unidad de transparencia se arriba a la premisa de que omitió adjuntar los soportes documentales generados por el servidor público habilitado encauzados a atender la solicitud </w:t>
      </w:r>
      <w:r w:rsidRPr="00D531DC">
        <w:rPr>
          <w:rFonts w:ascii="Palatino Linotype" w:hAnsi="Palatino Linotype" w:cs="Arial"/>
          <w:b/>
          <w:bCs/>
          <w:color w:val="000000"/>
          <w:sz w:val="24"/>
          <w:lang w:val="es-ES_tradnl"/>
        </w:rPr>
        <w:t xml:space="preserve">00028/TENANCIN/IP/2026, </w:t>
      </w:r>
      <w:r w:rsidRPr="00D531DC">
        <w:rPr>
          <w:rFonts w:ascii="Palatino Linotype" w:hAnsi="Palatino Linotype" w:cs="Arial"/>
          <w:color w:val="000000"/>
          <w:sz w:val="24"/>
          <w:lang w:val="es-ES_tradnl"/>
        </w:rPr>
        <w:t xml:space="preserve">dicho en otras palabras, </w:t>
      </w:r>
      <w:r w:rsidRPr="00D531DC">
        <w:rPr>
          <w:rFonts w:ascii="Palatino Linotype" w:hAnsi="Palatino Linotype" w:cs="Arial"/>
          <w:b/>
          <w:bCs/>
          <w:color w:val="000000"/>
          <w:sz w:val="24"/>
          <w:lang w:val="es-ES_tradnl"/>
        </w:rPr>
        <w:t xml:space="preserve">El Sujeto Obligado </w:t>
      </w:r>
      <w:r w:rsidRPr="00D531DC">
        <w:rPr>
          <w:rFonts w:ascii="Palatino Linotype" w:hAnsi="Palatino Linotype" w:cs="Arial"/>
          <w:color w:val="000000"/>
          <w:sz w:val="24"/>
          <w:lang w:val="es-ES_tradnl"/>
        </w:rPr>
        <w:t xml:space="preserve">no colmó el derecho de acceso a la información. </w:t>
      </w:r>
    </w:p>
    <w:p w14:paraId="47200AAF" w14:textId="70B94E74" w:rsidR="00BC0DDF" w:rsidRPr="00D531DC" w:rsidRDefault="00BC0DDF" w:rsidP="00BC0DDF">
      <w:pPr>
        <w:spacing w:after="240" w:line="360" w:lineRule="auto"/>
        <w:jc w:val="both"/>
        <w:rPr>
          <w:rFonts w:ascii="Palatino Linotype" w:hAnsi="Palatino Linotype" w:cs="Arial"/>
          <w:color w:val="000000"/>
          <w:sz w:val="24"/>
          <w:lang w:val="es-ES_tradnl"/>
        </w:rPr>
      </w:pPr>
      <w:r w:rsidRPr="00D531DC">
        <w:rPr>
          <w:rFonts w:ascii="Palatino Linotype" w:hAnsi="Palatino Linotype" w:cs="Arial"/>
          <w:color w:val="000000"/>
          <w:sz w:val="24"/>
          <w:lang w:val="es-ES_tradnl"/>
        </w:rPr>
        <w:t xml:space="preserve">Inconforme con las respuestas rendidas por </w:t>
      </w:r>
      <w:r w:rsidRPr="00D531DC">
        <w:rPr>
          <w:rFonts w:ascii="Palatino Linotype" w:hAnsi="Palatino Linotype" w:cs="Arial"/>
          <w:b/>
          <w:bCs/>
          <w:color w:val="000000"/>
          <w:sz w:val="24"/>
          <w:lang w:val="es-ES_tradnl"/>
        </w:rPr>
        <w:t xml:space="preserve">El Sujeto Obligado, La Recurrente </w:t>
      </w:r>
      <w:r w:rsidRPr="00D531DC">
        <w:rPr>
          <w:rFonts w:ascii="Palatino Linotype" w:hAnsi="Palatino Linotype" w:cs="Arial"/>
          <w:color w:val="000000"/>
          <w:sz w:val="24"/>
          <w:lang w:val="es-ES_tradnl"/>
        </w:rPr>
        <w:t xml:space="preserve">interpuso recurso de revisión en fecha </w:t>
      </w:r>
      <w:r w:rsidRPr="00D531DC">
        <w:rPr>
          <w:rFonts w:ascii="Palatino Linotype" w:hAnsi="Palatino Linotype" w:cs="Arial"/>
          <w:b/>
          <w:bCs/>
          <w:color w:val="000000"/>
          <w:sz w:val="24"/>
          <w:lang w:val="es-ES_tradnl"/>
        </w:rPr>
        <w:t xml:space="preserve">uno de junio, </w:t>
      </w:r>
      <w:r w:rsidRPr="00D531DC">
        <w:rPr>
          <w:rFonts w:ascii="Palatino Linotype" w:hAnsi="Palatino Linotype" w:cs="Arial"/>
          <w:color w:val="000000"/>
          <w:sz w:val="24"/>
          <w:lang w:val="es-ES_tradnl"/>
        </w:rPr>
        <w:t xml:space="preserve">admitiéndose el </w:t>
      </w:r>
      <w:r w:rsidRPr="00D531DC">
        <w:rPr>
          <w:rFonts w:ascii="Palatino Linotype" w:hAnsi="Palatino Linotype" w:cs="Arial"/>
          <w:b/>
          <w:bCs/>
          <w:color w:val="000000"/>
          <w:sz w:val="24"/>
          <w:lang w:val="es-ES_tradnl"/>
        </w:rPr>
        <w:t xml:space="preserve">dos de junio de dos mil veintiséis. </w:t>
      </w:r>
      <w:r w:rsidRPr="00D531DC">
        <w:rPr>
          <w:rFonts w:ascii="Palatino Linotype" w:hAnsi="Palatino Linotype" w:cs="Arial"/>
          <w:color w:val="000000"/>
          <w:sz w:val="24"/>
          <w:lang w:val="es-ES_tradnl"/>
        </w:rPr>
        <w:t>Señalando como acto impugnado y como razones o motivos de inconformidad:</w:t>
      </w:r>
    </w:p>
    <w:p w14:paraId="7CFF6EBB" w14:textId="77777777" w:rsidR="00BC0DDF" w:rsidRPr="00D531DC" w:rsidRDefault="00BC0DDF" w:rsidP="00BC0DDF">
      <w:pPr>
        <w:pStyle w:val="Citas"/>
        <w:ind w:left="0"/>
        <w:rPr>
          <w:b/>
          <w:bCs/>
          <w:i w:val="0"/>
          <w:iCs/>
        </w:rPr>
      </w:pPr>
      <w:r w:rsidRPr="00D531DC">
        <w:rPr>
          <w:b/>
          <w:bCs/>
          <w:i w:val="0"/>
          <w:iCs/>
        </w:rPr>
        <w:t>Acto impugnado:</w:t>
      </w:r>
    </w:p>
    <w:p w14:paraId="6E47FB02" w14:textId="77777777" w:rsidR="00BC0DDF" w:rsidRPr="00D531DC" w:rsidRDefault="00BC0DDF" w:rsidP="00BC0DDF">
      <w:pPr>
        <w:pStyle w:val="Citas"/>
        <w:rPr>
          <w:b/>
          <w:bCs/>
          <w:sz w:val="24"/>
          <w:szCs w:val="24"/>
          <w:lang w:eastAsia="es-MX"/>
        </w:rPr>
      </w:pPr>
      <w:r w:rsidRPr="00D531DC">
        <w:rPr>
          <w:sz w:val="24"/>
          <w:szCs w:val="24"/>
          <w:lang w:eastAsia="es-MX"/>
        </w:rPr>
        <w:t xml:space="preserve">“LA FALTA DE ENTREGA DE INFORMACION CORRESPONDIENTE A LA SOLICITUD 00028/TENANCIN/IP/2026” </w:t>
      </w:r>
      <w:r w:rsidRPr="00D531DC">
        <w:rPr>
          <w:b/>
          <w:bCs/>
          <w:sz w:val="24"/>
          <w:szCs w:val="24"/>
          <w:lang w:eastAsia="es-MX"/>
        </w:rPr>
        <w:t>(Sic)</w:t>
      </w:r>
    </w:p>
    <w:p w14:paraId="5A757E53" w14:textId="77777777" w:rsidR="00BC0DDF" w:rsidRPr="00D531DC" w:rsidRDefault="00BC0DDF" w:rsidP="00BC0DDF">
      <w:pPr>
        <w:pStyle w:val="Citas"/>
        <w:ind w:left="0"/>
        <w:rPr>
          <w:b/>
          <w:bCs/>
          <w:i w:val="0"/>
          <w:iCs/>
        </w:rPr>
      </w:pPr>
      <w:r w:rsidRPr="00D531DC">
        <w:rPr>
          <w:b/>
          <w:bCs/>
          <w:i w:val="0"/>
          <w:iCs/>
        </w:rPr>
        <w:t xml:space="preserve">Razones o motivos de inconformidad: </w:t>
      </w:r>
    </w:p>
    <w:p w14:paraId="687C2711" w14:textId="77777777" w:rsidR="00BC0DDF" w:rsidRPr="00D531DC" w:rsidRDefault="00BC0DDF" w:rsidP="00BC0DDF">
      <w:pPr>
        <w:pStyle w:val="Citas"/>
        <w:rPr>
          <w:b/>
          <w:bCs/>
        </w:rPr>
      </w:pPr>
      <w:r w:rsidRPr="00D531DC">
        <w:lastRenderedPageBreak/>
        <w:t xml:space="preserve">“LA INFORMACION NO SE ADJUNTA, UNICAMENTE LO CORRESPONDIENTE DE LA TITULAR DE LA UNIDAD DE TRANSPARENCIA, MANIFESTANDO QUE SE ADJUNTA LA MISMA, SIN REALIZARLO, ESTA SITUACIÓN ES DE MANERA REITERADA” </w:t>
      </w:r>
      <w:r w:rsidRPr="00D531DC">
        <w:rPr>
          <w:b/>
          <w:bCs/>
        </w:rPr>
        <w:t>(Sic)</w:t>
      </w:r>
    </w:p>
    <w:p w14:paraId="00C489A3" w14:textId="77777777" w:rsidR="00BC0DDF" w:rsidRPr="00D531DC" w:rsidRDefault="00BC0DDF" w:rsidP="00BC0DDF">
      <w:pPr>
        <w:spacing w:after="240" w:line="360" w:lineRule="auto"/>
        <w:jc w:val="both"/>
        <w:rPr>
          <w:rFonts w:ascii="Palatino Linotype" w:hAnsi="Palatino Linotype" w:cs="Arial"/>
          <w:color w:val="000000"/>
          <w:sz w:val="24"/>
        </w:rPr>
      </w:pPr>
    </w:p>
    <w:p w14:paraId="0FFA1E61" w14:textId="3B91A630" w:rsidR="00BC0DDF" w:rsidRPr="00D531DC" w:rsidRDefault="00BC0DDF" w:rsidP="00BC0DDF">
      <w:pPr>
        <w:pStyle w:val="infoemcitas"/>
        <w:tabs>
          <w:tab w:val="left" w:pos="7655"/>
        </w:tabs>
        <w:ind w:left="0" w:right="0"/>
        <w:rPr>
          <w:rFonts w:cs="Arial"/>
          <w:i w:val="0"/>
          <w:noProof/>
          <w:color w:val="000000"/>
          <w:sz w:val="24"/>
          <w:lang w:eastAsia="es-MX"/>
        </w:rPr>
      </w:pPr>
      <w:r w:rsidRPr="00D531DC">
        <w:rPr>
          <w:i w:val="0"/>
          <w:sz w:val="24"/>
          <w:szCs w:val="24"/>
        </w:rPr>
        <w:t xml:space="preserve">Así las cosas, hasta aquí lo expuesto, resulta inconcuso que </w:t>
      </w:r>
      <w:r w:rsidRPr="00D531DC">
        <w:rPr>
          <w:b/>
          <w:i w:val="0"/>
          <w:sz w:val="24"/>
          <w:szCs w:val="24"/>
        </w:rPr>
        <w:t xml:space="preserve">El Sujeto Obligado </w:t>
      </w:r>
      <w:r w:rsidRPr="00D531DC">
        <w:rPr>
          <w:rFonts w:cs="Arial"/>
          <w:i w:val="0"/>
          <w:noProof/>
          <w:color w:val="000000"/>
          <w:sz w:val="24"/>
          <w:lang w:eastAsia="es-MX"/>
        </w:rPr>
        <w:t xml:space="preserve">no satisfizo el derecho de acceso a la información pública ejercido por </w:t>
      </w:r>
      <w:r w:rsidRPr="00D531DC">
        <w:rPr>
          <w:rFonts w:cs="Arial"/>
          <w:b/>
          <w:i w:val="0"/>
          <w:noProof/>
          <w:color w:val="000000"/>
          <w:sz w:val="24"/>
          <w:lang w:eastAsia="es-MX"/>
        </w:rPr>
        <w:t xml:space="preserve">La Recurrente, </w:t>
      </w:r>
      <w:r w:rsidRPr="00D531DC">
        <w:rPr>
          <w:rFonts w:cs="Arial"/>
          <w:i w:val="0"/>
          <w:noProof/>
          <w:color w:val="000000"/>
          <w:sz w:val="24"/>
          <w:lang w:eastAsia="es-MX"/>
        </w:rPr>
        <w:t>al tenerse por actualizada las hipotesis previstas en el artículo 179, fracción I de la Ley de Transparencia y Acceso a la Información Pública del Estado de México y Municipios, cuyo contenido literal es el siguiente:</w:t>
      </w:r>
    </w:p>
    <w:p w14:paraId="096C29FC" w14:textId="77777777" w:rsidR="00BC0DDF" w:rsidRPr="00D531DC" w:rsidRDefault="00BC0DDF" w:rsidP="00BC0DDF">
      <w:pPr>
        <w:pStyle w:val="Citas"/>
      </w:pPr>
      <w:r w:rsidRPr="00D531DC">
        <w:t>“Artículo 179. El recurso de revisión es un medio de protección que la Ley otorga a los particulares, para hacer valer su derecho de acceso a la información pública, y procederá en contra de las siguientes causas:</w:t>
      </w:r>
    </w:p>
    <w:p w14:paraId="15936B9C" w14:textId="77777777" w:rsidR="00BC0DDF" w:rsidRPr="00D531DC" w:rsidRDefault="00BC0DDF" w:rsidP="00BC0DDF">
      <w:pPr>
        <w:pStyle w:val="Citas"/>
      </w:pPr>
      <w:r w:rsidRPr="00D531DC">
        <w:t>I. La negativa a la información solicitada;</w:t>
      </w:r>
    </w:p>
    <w:p w14:paraId="712844D7" w14:textId="77777777" w:rsidR="00BC0DDF" w:rsidRPr="00D531DC" w:rsidRDefault="00BC0DDF" w:rsidP="00BC0DDF">
      <w:pPr>
        <w:pStyle w:val="Citas"/>
        <w:rPr>
          <w:b/>
          <w:bCs/>
        </w:rPr>
      </w:pPr>
      <w:r w:rsidRPr="00D531DC">
        <w:t xml:space="preserve">(…)” </w:t>
      </w:r>
      <w:r w:rsidRPr="00D531DC">
        <w:rPr>
          <w:b/>
          <w:bCs/>
        </w:rPr>
        <w:t>(Sic)</w:t>
      </w:r>
    </w:p>
    <w:p w14:paraId="4873CE4E" w14:textId="77777777" w:rsidR="00872B52" w:rsidRPr="00D531DC" w:rsidRDefault="00872B52" w:rsidP="004246E5">
      <w:pPr>
        <w:pStyle w:val="Citas"/>
        <w:tabs>
          <w:tab w:val="left" w:pos="7470"/>
        </w:tabs>
        <w:ind w:left="0" w:right="72"/>
        <w:rPr>
          <w:i w:val="0"/>
          <w:sz w:val="24"/>
          <w:szCs w:val="24"/>
          <w:lang w:val="es-ES"/>
        </w:rPr>
      </w:pPr>
    </w:p>
    <w:p w14:paraId="13C23542" w14:textId="7FB3A571" w:rsidR="00BC0DDF" w:rsidRPr="00D531DC" w:rsidRDefault="00BC0DDF" w:rsidP="00BC0DDF">
      <w:pPr>
        <w:pStyle w:val="Citas"/>
        <w:ind w:left="0" w:right="0"/>
        <w:rPr>
          <w:i w:val="0"/>
          <w:sz w:val="24"/>
          <w:szCs w:val="24"/>
        </w:rPr>
      </w:pPr>
      <w:r w:rsidRPr="00D531DC">
        <w:rPr>
          <w:i w:val="0"/>
          <w:sz w:val="24"/>
          <w:szCs w:val="24"/>
        </w:rPr>
        <w:t xml:space="preserve">Por otra parte, como fue referido en el antecedente quinto, </w:t>
      </w:r>
      <w:r w:rsidRPr="00D531DC">
        <w:rPr>
          <w:b/>
          <w:bCs/>
          <w:i w:val="0"/>
          <w:sz w:val="24"/>
          <w:szCs w:val="24"/>
        </w:rPr>
        <w:t xml:space="preserve">El Sujeto Obligado </w:t>
      </w:r>
      <w:r w:rsidRPr="00D531DC">
        <w:rPr>
          <w:i w:val="0"/>
          <w:sz w:val="24"/>
          <w:szCs w:val="24"/>
        </w:rPr>
        <w:t>omitió rendir su informe justificado, es decir, no se subsanó la violación al derecho de acceso a la información pública. Resultando procedente ordenar una búsqueda exhaustiva y razonable, a efecto de hacer entrega de la siguiente información:</w:t>
      </w:r>
    </w:p>
    <w:p w14:paraId="7C35B7DB" w14:textId="77777777" w:rsidR="00BC0DDF" w:rsidRPr="00D531DC" w:rsidRDefault="00BC0DDF" w:rsidP="00BC0DDF">
      <w:pPr>
        <w:pStyle w:val="Prrafodelista"/>
        <w:numPr>
          <w:ilvl w:val="0"/>
          <w:numId w:val="24"/>
        </w:numPr>
        <w:autoSpaceDE w:val="0"/>
        <w:autoSpaceDN w:val="0"/>
        <w:adjustRightInd w:val="0"/>
        <w:spacing w:before="240" w:line="360" w:lineRule="auto"/>
        <w:jc w:val="both"/>
        <w:rPr>
          <w:rFonts w:ascii="Palatino Linotype" w:hAnsi="Palatino Linotype"/>
          <w:color w:val="000000"/>
        </w:rPr>
      </w:pPr>
      <w:r w:rsidRPr="00D531DC">
        <w:rPr>
          <w:rFonts w:ascii="Palatino Linotype" w:hAnsi="Palatino Linotype"/>
          <w:color w:val="000000"/>
        </w:rPr>
        <w:lastRenderedPageBreak/>
        <w:t xml:space="preserve">El o los documentos donde consten las verificaciones realizadas a bares, cantinas, restaurantes bar, centros botaneros y establecimientos comerciales con licencias de funcionamiento, por parte de la Dirección de Gobernación, del periodo comprendido del uno de enero de dos mil veinticinco al veintidós de abril de dos mil veintiséis. </w:t>
      </w:r>
    </w:p>
    <w:p w14:paraId="672585BC" w14:textId="77777777" w:rsidR="00BC0DDF" w:rsidRPr="00D531DC" w:rsidRDefault="00BC0DDF" w:rsidP="00BC0DDF">
      <w:pPr>
        <w:pStyle w:val="Citas"/>
        <w:ind w:left="0" w:right="0"/>
        <w:rPr>
          <w:i w:val="0"/>
          <w:sz w:val="24"/>
          <w:szCs w:val="24"/>
          <w:lang w:val="es-ES"/>
        </w:rPr>
      </w:pPr>
    </w:p>
    <w:p w14:paraId="251314CB" w14:textId="77777777" w:rsidR="00BC0DDF" w:rsidRPr="00D531DC" w:rsidRDefault="00BC0DDF" w:rsidP="00BC0DDF">
      <w:pPr>
        <w:spacing w:before="240" w:after="240" w:line="360" w:lineRule="auto"/>
        <w:jc w:val="both"/>
        <w:rPr>
          <w:rFonts w:ascii="Palatino Linotype" w:hAnsi="Palatino Linotype"/>
          <w:b/>
          <w:sz w:val="28"/>
          <w:szCs w:val="28"/>
        </w:rPr>
      </w:pPr>
      <w:r w:rsidRPr="00D531DC">
        <w:rPr>
          <w:rFonts w:ascii="Palatino Linotype" w:hAnsi="Palatino Linotype"/>
          <w:b/>
          <w:bCs/>
          <w:sz w:val="28"/>
          <w:szCs w:val="28"/>
        </w:rPr>
        <w:t>De la</w:t>
      </w:r>
      <w:r w:rsidRPr="00D531DC">
        <w:rPr>
          <w:rFonts w:ascii="Palatino Linotype" w:hAnsi="Palatino Linotype"/>
          <w:bCs/>
        </w:rPr>
        <w:t xml:space="preserve"> </w:t>
      </w:r>
      <w:r w:rsidRPr="00D531DC">
        <w:rPr>
          <w:rFonts w:ascii="Palatino Linotype" w:hAnsi="Palatino Linotype"/>
          <w:b/>
          <w:sz w:val="28"/>
          <w:szCs w:val="28"/>
        </w:rPr>
        <w:t xml:space="preserve">Versión Pública </w:t>
      </w:r>
    </w:p>
    <w:p w14:paraId="68117DF8" w14:textId="77777777" w:rsidR="00BC0DDF" w:rsidRPr="00D531DC" w:rsidRDefault="00BC0DDF" w:rsidP="00BC0DDF">
      <w:pPr>
        <w:tabs>
          <w:tab w:val="left" w:pos="7938"/>
        </w:tabs>
        <w:spacing w:before="240" w:after="240" w:line="360" w:lineRule="auto"/>
        <w:jc w:val="both"/>
        <w:rPr>
          <w:rFonts w:ascii="Palatino Linotype" w:eastAsia="Arial Unicode MS" w:hAnsi="Palatino Linotype" w:cs="Arial"/>
          <w:sz w:val="24"/>
          <w:szCs w:val="24"/>
        </w:rPr>
      </w:pPr>
      <w:r w:rsidRPr="00D531DC">
        <w:rPr>
          <w:rFonts w:ascii="Palatino Linotype" w:eastAsia="Arial Unicode MS" w:hAnsi="Palatino Linotype" w:cs="Arial"/>
          <w:sz w:val="24"/>
          <w:szCs w:val="24"/>
        </w:rPr>
        <w:t>No pasa desapercibido que la información podría contener información susceptible de clasificar, por lo cual, dicha información debe ser clasificada para no vulnerar un derecho intangible. Aunado a que de ser en caso de contar con otra información consistente en datos personales, deberá generarse una versión pública, tal excepción a la publicidad, atiende a la coexistencia de datos públicos e información que tenga el carácter de confidencial (datos personales) o reservada, por lo que debe privilegiarse el acceso a la información bajo el principio de máxima divulgación, empero sin violar el derecho a la protección de datos personales, cuyo fundamento legal aplicable se encuentra inmerso en los numerales de la Ley de la materia, que a la letra esgrimen:</w:t>
      </w:r>
    </w:p>
    <w:p w14:paraId="021A8537" w14:textId="77777777" w:rsidR="00BC0DDF" w:rsidRPr="00D531DC" w:rsidRDefault="00BC0DDF" w:rsidP="00BC0DDF">
      <w:pPr>
        <w:spacing w:before="240" w:line="360" w:lineRule="auto"/>
        <w:ind w:left="851" w:right="851"/>
        <w:jc w:val="both"/>
        <w:rPr>
          <w:rFonts w:ascii="Palatino Linotype" w:hAnsi="Palatino Linotype" w:cs="Arial"/>
          <w:i/>
        </w:rPr>
      </w:pPr>
      <w:r w:rsidRPr="00D531DC">
        <w:rPr>
          <w:rFonts w:ascii="Palatino Linotype" w:hAnsi="Palatino Linotype" w:cs="Arial"/>
          <w:i/>
        </w:rPr>
        <w:t>“Artículo 3. Para los efectos de la presente Ley se entenderá por:</w:t>
      </w:r>
    </w:p>
    <w:p w14:paraId="4E753498" w14:textId="77777777" w:rsidR="00BC0DDF" w:rsidRPr="00D531DC" w:rsidRDefault="00BC0DDF" w:rsidP="00BC0DDF">
      <w:pPr>
        <w:spacing w:before="240" w:line="360" w:lineRule="auto"/>
        <w:ind w:left="851" w:right="851"/>
        <w:jc w:val="both"/>
        <w:rPr>
          <w:rFonts w:ascii="Palatino Linotype" w:hAnsi="Palatino Linotype" w:cs="Arial"/>
          <w:i/>
        </w:rPr>
      </w:pPr>
      <w:r w:rsidRPr="00D531DC">
        <w:rPr>
          <w:rFonts w:ascii="Palatino Linotype" w:hAnsi="Palatino Linotype" w:cs="Arial"/>
          <w:i/>
        </w:rPr>
        <w:t>(…)</w:t>
      </w:r>
    </w:p>
    <w:p w14:paraId="016F8C1C" w14:textId="77777777" w:rsidR="00BC0DDF" w:rsidRPr="00D531DC" w:rsidRDefault="00BC0DDF" w:rsidP="00BC0DDF">
      <w:pPr>
        <w:spacing w:before="240" w:line="360" w:lineRule="auto"/>
        <w:ind w:left="851" w:right="851"/>
        <w:jc w:val="both"/>
        <w:rPr>
          <w:rFonts w:ascii="Palatino Linotype" w:hAnsi="Palatino Linotype" w:cs="Arial"/>
          <w:b/>
          <w:i/>
        </w:rPr>
      </w:pPr>
      <w:r w:rsidRPr="00D531DC">
        <w:rPr>
          <w:rFonts w:ascii="Palatino Linotype" w:hAnsi="Palatino Linotype" w:cs="Arial"/>
          <w:b/>
          <w:i/>
          <w:u w:val="single"/>
        </w:rPr>
        <w:t>IX. Datos personales:</w:t>
      </w:r>
      <w:r w:rsidRPr="00D531DC">
        <w:rPr>
          <w:rFonts w:ascii="Palatino Linotype" w:hAnsi="Palatino Linotype" w:cs="Arial"/>
          <w:b/>
          <w:i/>
        </w:rPr>
        <w:t xml:space="preserve"> </w:t>
      </w:r>
      <w:r w:rsidRPr="00D531DC">
        <w:rPr>
          <w:rFonts w:ascii="Palatino Linotype" w:hAnsi="Palatino Linotype" w:cs="Arial"/>
          <w:i/>
        </w:rPr>
        <w:t>La información concerniente a una persona, identificada o identificable según lo dispuesto por la Ley de Protección de Datos Personales del Estado de México;</w:t>
      </w:r>
    </w:p>
    <w:p w14:paraId="2F5EACF8" w14:textId="77777777" w:rsidR="00BC0DDF" w:rsidRPr="00D531DC" w:rsidRDefault="00BC0DDF" w:rsidP="00BC0DDF">
      <w:pPr>
        <w:spacing w:before="240" w:line="360" w:lineRule="auto"/>
        <w:ind w:left="851" w:right="851"/>
        <w:jc w:val="both"/>
        <w:rPr>
          <w:rFonts w:ascii="Palatino Linotype" w:hAnsi="Palatino Linotype" w:cs="Arial"/>
          <w:b/>
          <w:i/>
        </w:rPr>
      </w:pPr>
      <w:r w:rsidRPr="00D531DC">
        <w:rPr>
          <w:rFonts w:ascii="Palatino Linotype" w:hAnsi="Palatino Linotype" w:cs="Arial"/>
          <w:b/>
          <w:i/>
        </w:rPr>
        <w:lastRenderedPageBreak/>
        <w:t>(…)</w:t>
      </w:r>
    </w:p>
    <w:p w14:paraId="5E1E72AC" w14:textId="77777777" w:rsidR="00BC0DDF" w:rsidRPr="00D531DC" w:rsidRDefault="00BC0DDF" w:rsidP="00BC0DDF">
      <w:pPr>
        <w:spacing w:before="240" w:line="360" w:lineRule="auto"/>
        <w:ind w:left="851" w:right="851"/>
        <w:jc w:val="both"/>
        <w:rPr>
          <w:rFonts w:ascii="Palatino Linotype" w:hAnsi="Palatino Linotype" w:cs="Arial"/>
          <w:b/>
          <w:i/>
        </w:rPr>
      </w:pPr>
      <w:r w:rsidRPr="00D531DC">
        <w:rPr>
          <w:rFonts w:ascii="Palatino Linotype" w:hAnsi="Palatino Linotype" w:cs="Arial"/>
          <w:b/>
          <w:i/>
          <w:u w:val="single"/>
        </w:rPr>
        <w:t>XLV. Versión pública:</w:t>
      </w:r>
      <w:r w:rsidRPr="00D531DC">
        <w:rPr>
          <w:rFonts w:ascii="Palatino Linotype" w:hAnsi="Palatino Linotype" w:cs="Arial"/>
          <w:b/>
          <w:i/>
        </w:rPr>
        <w:t xml:space="preserve"> </w:t>
      </w:r>
      <w:r w:rsidRPr="00D531DC">
        <w:rPr>
          <w:rFonts w:ascii="Palatino Linotype" w:hAnsi="Palatino Linotype" w:cs="Arial"/>
          <w:i/>
        </w:rPr>
        <w:t>Documento en el que se elimine, suprime o borra la información clasificada como reservada o confidencial para permitir su acceso.</w:t>
      </w:r>
    </w:p>
    <w:p w14:paraId="512207E3" w14:textId="77777777" w:rsidR="00BC0DDF" w:rsidRPr="00D531DC" w:rsidRDefault="00BC0DDF" w:rsidP="00BC0DDF">
      <w:pPr>
        <w:spacing w:before="240" w:line="360" w:lineRule="auto"/>
        <w:ind w:left="851" w:right="851"/>
        <w:jc w:val="both"/>
        <w:rPr>
          <w:rFonts w:ascii="Palatino Linotype" w:hAnsi="Palatino Linotype" w:cs="Arial"/>
          <w:b/>
          <w:i/>
        </w:rPr>
      </w:pPr>
      <w:r w:rsidRPr="00D531DC">
        <w:rPr>
          <w:rFonts w:ascii="Palatino Linotype" w:hAnsi="Palatino Linotype" w:cs="Arial"/>
          <w:i/>
        </w:rPr>
        <w:t xml:space="preserve">Artículo 122. </w:t>
      </w:r>
      <w:r w:rsidRPr="00D531DC">
        <w:rPr>
          <w:rFonts w:ascii="Palatino Linotype" w:hAnsi="Palatino Linotype" w:cs="Arial"/>
          <w:b/>
          <w:i/>
          <w:u w:val="single"/>
        </w:rPr>
        <w:t>La clasificación es el proceso mediante el cual el sujeto obligado determina que la información en su poder actualiza alguno de los supuestos de reserva o confidencialidad, de conformidad con lo dispuesto en el presente título.</w:t>
      </w:r>
    </w:p>
    <w:p w14:paraId="21957811" w14:textId="77777777" w:rsidR="00BC0DDF" w:rsidRPr="00D531DC" w:rsidRDefault="00BC0DDF" w:rsidP="00BC0DDF">
      <w:pPr>
        <w:spacing w:before="240" w:line="360" w:lineRule="auto"/>
        <w:ind w:left="851" w:right="851"/>
        <w:jc w:val="both"/>
        <w:rPr>
          <w:rFonts w:ascii="Palatino Linotype" w:hAnsi="Palatino Linotype" w:cs="Arial"/>
          <w:i/>
        </w:rPr>
      </w:pPr>
      <w:r w:rsidRPr="00D531DC">
        <w:rPr>
          <w:rFonts w:ascii="Palatino Linotype" w:hAnsi="Palatino Linotype" w:cs="Arial"/>
          <w:i/>
        </w:rPr>
        <w:t>[…]</w:t>
      </w:r>
    </w:p>
    <w:p w14:paraId="7E2BED87" w14:textId="77777777" w:rsidR="00BC0DDF" w:rsidRPr="00D531DC" w:rsidRDefault="00BC0DDF" w:rsidP="00BC0DDF">
      <w:pPr>
        <w:spacing w:before="240" w:line="360" w:lineRule="auto"/>
        <w:ind w:left="851" w:right="851"/>
        <w:jc w:val="both"/>
        <w:rPr>
          <w:rFonts w:ascii="Palatino Linotype" w:hAnsi="Palatino Linotype" w:cs="Arial"/>
          <w:i/>
        </w:rPr>
      </w:pPr>
      <w:r w:rsidRPr="00D531DC">
        <w:rPr>
          <w:rFonts w:ascii="Palatino Linotype" w:hAnsi="Palatino Linotype" w:cs="Arial"/>
          <w:i/>
        </w:rPr>
        <w:t>Artículo 132. La clasificación de la información se llevará a cabo en el momento en que:</w:t>
      </w:r>
    </w:p>
    <w:p w14:paraId="76444D93" w14:textId="77777777" w:rsidR="00BC0DDF" w:rsidRPr="00D531DC" w:rsidRDefault="00BC0DDF" w:rsidP="00BC0DDF">
      <w:pPr>
        <w:spacing w:before="240" w:line="360" w:lineRule="auto"/>
        <w:ind w:left="851" w:right="851"/>
        <w:jc w:val="both"/>
        <w:rPr>
          <w:rFonts w:ascii="Palatino Linotype" w:hAnsi="Palatino Linotype" w:cs="Arial"/>
          <w:i/>
        </w:rPr>
      </w:pPr>
      <w:r w:rsidRPr="00D531DC">
        <w:rPr>
          <w:rFonts w:ascii="Palatino Linotype" w:hAnsi="Palatino Linotype" w:cs="Arial"/>
          <w:i/>
        </w:rPr>
        <w:t>[…]</w:t>
      </w:r>
    </w:p>
    <w:p w14:paraId="3560F238" w14:textId="77777777" w:rsidR="00BC0DDF" w:rsidRPr="00D531DC" w:rsidRDefault="00BC0DDF" w:rsidP="00BC0DDF">
      <w:pPr>
        <w:spacing w:before="240" w:line="360" w:lineRule="auto"/>
        <w:ind w:left="851" w:right="851"/>
        <w:jc w:val="both"/>
        <w:rPr>
          <w:rFonts w:ascii="Palatino Linotype" w:hAnsi="Palatino Linotype" w:cs="Arial"/>
          <w:b/>
          <w:i/>
          <w:u w:val="single"/>
        </w:rPr>
      </w:pPr>
      <w:r w:rsidRPr="00D531DC">
        <w:rPr>
          <w:rFonts w:ascii="Palatino Linotype" w:hAnsi="Palatino Linotype" w:cs="Arial"/>
          <w:b/>
          <w:i/>
          <w:u w:val="single"/>
        </w:rPr>
        <w:t>II. Se determine mediante resolución de autoridad competente; o</w:t>
      </w:r>
    </w:p>
    <w:p w14:paraId="633924E2" w14:textId="77777777" w:rsidR="00BC0DDF" w:rsidRPr="00D531DC" w:rsidRDefault="00BC0DDF" w:rsidP="00BC0DDF">
      <w:pPr>
        <w:spacing w:before="240" w:line="360" w:lineRule="auto"/>
        <w:ind w:left="851" w:right="851"/>
        <w:jc w:val="both"/>
        <w:rPr>
          <w:rFonts w:ascii="Palatino Linotype" w:hAnsi="Palatino Linotype" w:cs="Arial"/>
          <w:b/>
          <w:i/>
        </w:rPr>
      </w:pPr>
      <w:r w:rsidRPr="00D531DC">
        <w:rPr>
          <w:rFonts w:ascii="Palatino Linotype" w:hAnsi="Palatino Linotype" w:cs="Arial"/>
          <w:b/>
          <w:i/>
        </w:rPr>
        <w:t>(…)</w:t>
      </w:r>
    </w:p>
    <w:p w14:paraId="2248EA70" w14:textId="77777777" w:rsidR="00BC0DDF" w:rsidRPr="00D531DC" w:rsidRDefault="00BC0DDF" w:rsidP="00BC0DDF">
      <w:pPr>
        <w:spacing w:before="240" w:line="360" w:lineRule="auto"/>
        <w:ind w:left="851" w:right="851"/>
        <w:jc w:val="both"/>
        <w:rPr>
          <w:rFonts w:ascii="Palatino Linotype" w:hAnsi="Palatino Linotype" w:cs="Arial"/>
          <w:b/>
          <w:i/>
        </w:rPr>
      </w:pPr>
      <w:r w:rsidRPr="00D531DC">
        <w:rPr>
          <w:rFonts w:ascii="Palatino Linotype" w:hAnsi="Palatino Linotype" w:cs="Arial"/>
          <w:i/>
        </w:rPr>
        <w:t>Artículo 137.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w:t>
      </w:r>
      <w:r w:rsidRPr="00D531DC">
        <w:rPr>
          <w:rFonts w:ascii="Palatino Linotype" w:hAnsi="Palatino Linotype" w:cs="Arial"/>
          <w:b/>
          <w:i/>
        </w:rPr>
        <w:t xml:space="preserve"> </w:t>
      </w:r>
      <w:r w:rsidRPr="00D531DC">
        <w:rPr>
          <w:rFonts w:ascii="Palatino Linotype" w:hAnsi="Palatino Linotype" w:cs="Arial"/>
          <w:b/>
          <w:i/>
          <w:u w:val="single"/>
        </w:rPr>
        <w:t xml:space="preserve">de manera genérica y fundando y motivando su clasificación.” </w:t>
      </w:r>
      <w:r w:rsidRPr="00D531DC">
        <w:rPr>
          <w:rFonts w:ascii="Palatino Linotype" w:hAnsi="Palatino Linotype" w:cs="Arial"/>
          <w:b/>
          <w:i/>
        </w:rPr>
        <w:t>[Sic]</w:t>
      </w:r>
    </w:p>
    <w:p w14:paraId="62569996" w14:textId="77777777" w:rsidR="00BC0DDF" w:rsidRPr="00D531DC" w:rsidRDefault="00BC0DDF" w:rsidP="00BC0DDF">
      <w:pPr>
        <w:spacing w:after="0" w:line="360" w:lineRule="auto"/>
        <w:ind w:right="51"/>
        <w:jc w:val="both"/>
        <w:rPr>
          <w:rFonts w:ascii="Palatino Linotype" w:eastAsia="Arial Unicode MS" w:hAnsi="Palatino Linotype" w:cs="Arial"/>
          <w:sz w:val="24"/>
          <w:szCs w:val="24"/>
        </w:rPr>
      </w:pPr>
    </w:p>
    <w:p w14:paraId="2F4EF399" w14:textId="77777777" w:rsidR="00BC0DDF" w:rsidRPr="00D531DC" w:rsidRDefault="00BC0DDF" w:rsidP="00BC0DDF">
      <w:pPr>
        <w:spacing w:after="0" w:line="360" w:lineRule="auto"/>
        <w:ind w:right="51"/>
        <w:jc w:val="both"/>
        <w:rPr>
          <w:rFonts w:ascii="Palatino Linotype" w:hAnsi="Palatino Linotype" w:cs="Arial"/>
          <w:sz w:val="24"/>
          <w:szCs w:val="24"/>
        </w:rPr>
      </w:pPr>
      <w:r w:rsidRPr="00D531DC">
        <w:rPr>
          <w:rFonts w:ascii="Palatino Linotype" w:eastAsia="Arial Unicode MS" w:hAnsi="Palatino Linotype" w:cs="Arial"/>
          <w:sz w:val="24"/>
          <w:szCs w:val="24"/>
        </w:rPr>
        <w:t xml:space="preserve">Verbigracia, previo a poner a disposición la información correspondiente debe considerarse que tiene carácter de confidencial </w:t>
      </w:r>
      <w:r w:rsidRPr="00D531DC">
        <w:rPr>
          <w:rFonts w:ascii="Palatino Linotype" w:hAnsi="Palatino Linotype" w:cs="Arial"/>
          <w:sz w:val="24"/>
          <w:szCs w:val="24"/>
        </w:rPr>
        <w:t xml:space="preserve">el Registro Federal de Contribuyentes </w:t>
      </w:r>
      <w:r w:rsidRPr="00D531DC">
        <w:rPr>
          <w:rFonts w:ascii="Palatino Linotype" w:hAnsi="Palatino Linotype" w:cs="Arial"/>
          <w:b/>
          <w:bCs/>
          <w:sz w:val="24"/>
          <w:szCs w:val="24"/>
          <w:u w:val="single"/>
        </w:rPr>
        <w:lastRenderedPageBreak/>
        <w:t>(RFC) que no sean de proveedores,</w:t>
      </w:r>
      <w:r w:rsidRPr="00D531DC">
        <w:rPr>
          <w:rFonts w:ascii="Palatino Linotype" w:hAnsi="Palatino Linotype" w:cs="Arial"/>
          <w:sz w:val="24"/>
          <w:szCs w:val="24"/>
        </w:rPr>
        <w:t xml:space="preserve"> cuenta bancaria, la Clave Única de Registro de Población (CURP), domicilio particular, teléfono particular, el nombre de las personas físicas que no tengan la calidad de servidor público  o aquellos que no reciban recursos públicos, entre otros considerados como datos personales en términos de la normatividad aplicable.</w:t>
      </w:r>
    </w:p>
    <w:p w14:paraId="02E401D6" w14:textId="77777777" w:rsidR="00BC0DDF" w:rsidRPr="00D531DC" w:rsidRDefault="00BC0DDF" w:rsidP="00BC0DDF">
      <w:pPr>
        <w:autoSpaceDE w:val="0"/>
        <w:autoSpaceDN w:val="0"/>
        <w:adjustRightInd w:val="0"/>
        <w:spacing w:before="240" w:after="240" w:line="360" w:lineRule="auto"/>
        <w:ind w:right="-91"/>
        <w:jc w:val="both"/>
        <w:rPr>
          <w:rFonts w:ascii="Palatino Linotype" w:eastAsia="Times New Roman" w:hAnsi="Palatino Linotype" w:cs="Arial"/>
          <w:sz w:val="24"/>
          <w:szCs w:val="24"/>
        </w:rPr>
      </w:pPr>
      <w:r w:rsidRPr="00D531DC">
        <w:rPr>
          <w:rFonts w:ascii="Palatino Linotype" w:eastAsia="Times New Roman" w:hAnsi="Palatino Linotype" w:cs="Arial"/>
          <w:sz w:val="24"/>
          <w:szCs w:val="24"/>
        </w:rPr>
        <w:t>En cuanto al Registro Federal de Contribuyentes de las personas físicas constituye un dato personal, ya que para su obtención es necesario acreditar ante la autoridad fiscal previamente la identidad de la persona, su fecha de nacimiento, entre otros aspectos.</w:t>
      </w:r>
    </w:p>
    <w:p w14:paraId="00272CA3" w14:textId="77777777" w:rsidR="00BC0DDF" w:rsidRPr="00D531DC" w:rsidRDefault="00BC0DDF" w:rsidP="00BC0DDF">
      <w:pPr>
        <w:spacing w:before="240" w:after="240" w:line="360" w:lineRule="auto"/>
        <w:ind w:right="-91"/>
        <w:jc w:val="both"/>
        <w:rPr>
          <w:rFonts w:ascii="Palatino Linotype" w:eastAsia="Times New Roman" w:hAnsi="Palatino Linotype" w:cs="Arial"/>
          <w:sz w:val="24"/>
          <w:szCs w:val="24"/>
        </w:rPr>
      </w:pPr>
      <w:r w:rsidRPr="00D531DC">
        <w:rPr>
          <w:rFonts w:ascii="Palatino Linotype" w:eastAsia="Times New Roman" w:hAnsi="Palatino Linotype" w:cs="Arial"/>
          <w:sz w:val="24"/>
          <w:szCs w:val="24"/>
        </w:rPr>
        <w:t>Ahora bien, las personas físicas tramitan su inscripción en el registro con el propósito de realizar —mediante esa clave de identificación— operaciones o actividades de naturaleza fiscal, la cual, les permite hacer identificable respecto de una situación fiscal determinada.</w:t>
      </w:r>
    </w:p>
    <w:p w14:paraId="79E81E0A" w14:textId="77777777" w:rsidR="00BC0DDF" w:rsidRPr="00D531DC" w:rsidRDefault="00BC0DDF" w:rsidP="00BC0DDF">
      <w:pPr>
        <w:spacing w:before="240" w:after="240" w:line="360" w:lineRule="auto"/>
        <w:ind w:right="-91"/>
        <w:jc w:val="both"/>
        <w:rPr>
          <w:rFonts w:ascii="Palatino Linotype" w:eastAsia="Times New Roman" w:hAnsi="Palatino Linotype" w:cs="Arial"/>
          <w:sz w:val="24"/>
          <w:szCs w:val="24"/>
        </w:rPr>
      </w:pPr>
      <w:r w:rsidRPr="00D531DC">
        <w:rPr>
          <w:rFonts w:ascii="Palatino Linotype" w:eastAsia="Times New Roman" w:hAnsi="Palatino Linotype" w:cs="Arial"/>
          <w:sz w:val="24"/>
          <w:szCs w:val="24"/>
        </w:rPr>
        <w:t xml:space="preserve">Lo anterior es compartido por el entonces </w:t>
      </w:r>
      <w:r w:rsidRPr="00D531DC">
        <w:rPr>
          <w:rFonts w:ascii="Palatino Linotype" w:eastAsia="Times New Roman" w:hAnsi="Palatino Linotype" w:cs="Arial"/>
          <w:b/>
          <w:bCs/>
          <w:sz w:val="24"/>
          <w:szCs w:val="24"/>
        </w:rPr>
        <w:t>Instituto Nacional de Transparencia, Acceso a la Información y Protección de Datos Personales</w:t>
      </w:r>
      <w:r w:rsidRPr="00D531DC">
        <w:rPr>
          <w:rFonts w:ascii="Palatino Linotype" w:eastAsia="Times New Roman" w:hAnsi="Palatino Linotype" w:cs="Arial"/>
          <w:sz w:val="24"/>
          <w:szCs w:val="24"/>
        </w:rPr>
        <w:t xml:space="preserve"> (INAI), conforme al criterio orientador </w:t>
      </w:r>
      <w:r w:rsidRPr="00D531DC">
        <w:rPr>
          <w:rFonts w:ascii="Palatino Linotype" w:eastAsia="Times New Roman" w:hAnsi="Palatino Linotype" w:cs="Arial"/>
          <w:b/>
          <w:sz w:val="24"/>
          <w:szCs w:val="24"/>
        </w:rPr>
        <w:t>19/17,</w:t>
      </w:r>
      <w:r w:rsidRPr="00D531DC">
        <w:rPr>
          <w:rFonts w:ascii="Palatino Linotype" w:eastAsia="Times New Roman" w:hAnsi="Palatino Linotype" w:cs="Arial"/>
          <w:sz w:val="24"/>
          <w:szCs w:val="24"/>
        </w:rPr>
        <w:t xml:space="preserve"> el cual es del tenor literal siguiente:</w:t>
      </w:r>
    </w:p>
    <w:p w14:paraId="58D558A4" w14:textId="77777777" w:rsidR="00BC0DDF" w:rsidRPr="00D531DC" w:rsidRDefault="00BC0DDF" w:rsidP="00BC0DDF">
      <w:pPr>
        <w:autoSpaceDE w:val="0"/>
        <w:autoSpaceDN w:val="0"/>
        <w:adjustRightInd w:val="0"/>
        <w:spacing w:before="240" w:line="360" w:lineRule="auto"/>
        <w:ind w:left="851" w:right="851"/>
        <w:jc w:val="center"/>
        <w:rPr>
          <w:rFonts w:ascii="Palatino Linotype" w:eastAsia="Times New Roman" w:hAnsi="Palatino Linotype" w:cs="Arial"/>
          <w:b/>
          <w:bCs/>
          <w:i/>
        </w:rPr>
      </w:pPr>
      <w:r w:rsidRPr="00D531DC">
        <w:rPr>
          <w:rFonts w:ascii="Palatino Linotype" w:eastAsia="Times New Roman" w:hAnsi="Palatino Linotype" w:cs="Arial"/>
          <w:bCs/>
          <w:i/>
        </w:rPr>
        <w:t>“</w:t>
      </w:r>
      <w:r w:rsidRPr="00D531DC">
        <w:rPr>
          <w:rFonts w:ascii="Palatino Linotype" w:eastAsia="Times New Roman" w:hAnsi="Palatino Linotype" w:cs="Arial"/>
          <w:b/>
          <w:bCs/>
          <w:i/>
        </w:rPr>
        <w:t>REGISTRO FEDERAL DE CONTRIBUYENTES (RFC) DE PERSONAS FÍSICAS.</w:t>
      </w:r>
    </w:p>
    <w:p w14:paraId="0BB674B5" w14:textId="77777777" w:rsidR="00BC0DDF" w:rsidRPr="00D531DC" w:rsidRDefault="00BC0DDF" w:rsidP="00BC0DDF">
      <w:pPr>
        <w:autoSpaceDE w:val="0"/>
        <w:autoSpaceDN w:val="0"/>
        <w:adjustRightInd w:val="0"/>
        <w:spacing w:before="240" w:line="360" w:lineRule="auto"/>
        <w:ind w:left="851" w:right="851"/>
        <w:jc w:val="both"/>
        <w:rPr>
          <w:rFonts w:ascii="Palatino Linotype" w:eastAsia="Times New Roman" w:hAnsi="Palatino Linotype" w:cs="Arial"/>
          <w:bCs/>
          <w:i/>
        </w:rPr>
      </w:pPr>
      <w:r w:rsidRPr="00D531DC">
        <w:rPr>
          <w:rFonts w:ascii="Palatino Linotype" w:eastAsia="Times New Roman" w:hAnsi="Palatino Linotype" w:cs="Arial"/>
          <w:bCs/>
          <w:i/>
        </w:rPr>
        <w:t>El RFC es una clave de carácter fiscal, única e irrepetible, que permite identificar al titular, su edad y fecha de nacimiento, por lo que es un dato personal de carácter confidencial.</w:t>
      </w:r>
    </w:p>
    <w:p w14:paraId="71A7F128" w14:textId="77777777" w:rsidR="00BC0DDF" w:rsidRPr="00D531DC" w:rsidRDefault="00BC0DDF" w:rsidP="00BC0DDF">
      <w:pPr>
        <w:autoSpaceDE w:val="0"/>
        <w:autoSpaceDN w:val="0"/>
        <w:adjustRightInd w:val="0"/>
        <w:spacing w:before="240" w:line="360" w:lineRule="auto"/>
        <w:ind w:left="851" w:right="851"/>
        <w:jc w:val="both"/>
        <w:rPr>
          <w:rFonts w:ascii="Palatino Linotype" w:eastAsia="Times New Roman" w:hAnsi="Palatino Linotype" w:cs="Arial"/>
          <w:b/>
          <w:i/>
        </w:rPr>
      </w:pPr>
      <w:r w:rsidRPr="00D531DC">
        <w:rPr>
          <w:rFonts w:ascii="Palatino Linotype" w:eastAsia="Times New Roman" w:hAnsi="Palatino Linotype" w:cs="Arial"/>
          <w:b/>
          <w:i/>
        </w:rPr>
        <w:t>Resoluciones:</w:t>
      </w:r>
    </w:p>
    <w:p w14:paraId="52DB8E94" w14:textId="77777777" w:rsidR="00BC0DDF" w:rsidRPr="00D531DC" w:rsidRDefault="00BC0DDF" w:rsidP="00BC0DDF">
      <w:pPr>
        <w:autoSpaceDE w:val="0"/>
        <w:autoSpaceDN w:val="0"/>
        <w:adjustRightInd w:val="0"/>
        <w:spacing w:before="240" w:line="360" w:lineRule="auto"/>
        <w:ind w:left="851" w:right="851"/>
        <w:jc w:val="both"/>
        <w:rPr>
          <w:rFonts w:ascii="Palatino Linotype" w:eastAsia="Times New Roman" w:hAnsi="Palatino Linotype" w:cs="Arial"/>
          <w:i/>
          <w:lang w:val="es-ES"/>
        </w:rPr>
      </w:pPr>
      <w:r w:rsidRPr="00D531DC">
        <w:rPr>
          <w:rFonts w:ascii="Palatino Linotype" w:eastAsia="Times New Roman" w:hAnsi="Palatino Linotype" w:cs="Arial"/>
          <w:b/>
          <w:i/>
        </w:rPr>
        <w:lastRenderedPageBreak/>
        <w:t xml:space="preserve">RRA </w:t>
      </w:r>
      <w:r w:rsidRPr="00D531DC">
        <w:rPr>
          <w:rFonts w:ascii="Palatino Linotype" w:eastAsia="Times New Roman" w:hAnsi="Palatino Linotype" w:cs="Arial"/>
          <w:b/>
          <w:i/>
          <w:lang w:val="es-ES"/>
        </w:rPr>
        <w:t xml:space="preserve">0189/17. </w:t>
      </w:r>
      <w:r w:rsidRPr="00D531DC">
        <w:rPr>
          <w:rFonts w:ascii="Palatino Linotype" w:eastAsia="Times New Roman" w:hAnsi="Palatino Linotype" w:cs="Arial"/>
          <w:i/>
          <w:lang w:val="es-ES"/>
        </w:rPr>
        <w:t xml:space="preserve">Morena. 08 de febrero de 2017. Por unanimidad. Comisionado Ponente </w:t>
      </w:r>
      <w:r w:rsidRPr="00D531DC">
        <w:rPr>
          <w:rFonts w:ascii="Palatino Linotype" w:eastAsia="Times New Roman" w:hAnsi="Palatino Linotype" w:cs="Arial"/>
          <w:i/>
        </w:rPr>
        <w:t>Joel Salas Suárez.</w:t>
      </w:r>
    </w:p>
    <w:p w14:paraId="4BF9B821" w14:textId="77777777" w:rsidR="00BC0DDF" w:rsidRPr="00D531DC" w:rsidRDefault="00BC0DDF" w:rsidP="00BC0DDF">
      <w:pPr>
        <w:autoSpaceDE w:val="0"/>
        <w:autoSpaceDN w:val="0"/>
        <w:adjustRightInd w:val="0"/>
        <w:spacing w:before="240" w:line="360" w:lineRule="auto"/>
        <w:ind w:left="851" w:right="851"/>
        <w:jc w:val="both"/>
        <w:rPr>
          <w:rFonts w:ascii="Palatino Linotype" w:eastAsia="Times New Roman" w:hAnsi="Palatino Linotype" w:cs="Arial"/>
          <w:i/>
          <w:lang w:val="es-ES"/>
        </w:rPr>
      </w:pPr>
      <w:r w:rsidRPr="00D531DC">
        <w:rPr>
          <w:rFonts w:ascii="Palatino Linotype" w:eastAsia="Times New Roman" w:hAnsi="Palatino Linotype" w:cs="Arial"/>
          <w:b/>
          <w:i/>
        </w:rPr>
        <w:t xml:space="preserve">RRA </w:t>
      </w:r>
      <w:r w:rsidRPr="00D531DC">
        <w:rPr>
          <w:rFonts w:ascii="Palatino Linotype" w:eastAsia="Times New Roman" w:hAnsi="Palatino Linotype" w:cs="Arial"/>
          <w:b/>
          <w:bCs/>
          <w:i/>
        </w:rPr>
        <w:t>0677</w:t>
      </w:r>
      <w:r w:rsidRPr="00D531DC">
        <w:rPr>
          <w:rFonts w:ascii="Palatino Linotype" w:eastAsia="Times New Roman" w:hAnsi="Palatino Linotype" w:cs="Arial"/>
          <w:b/>
          <w:i/>
        </w:rPr>
        <w:t xml:space="preserve">/17. </w:t>
      </w:r>
      <w:r w:rsidRPr="00D531DC">
        <w:rPr>
          <w:rFonts w:ascii="Palatino Linotype" w:eastAsia="Times New Roman" w:hAnsi="Palatino Linotype" w:cs="Arial"/>
          <w:i/>
          <w:lang w:val="es-ES"/>
        </w:rPr>
        <w:t>Universidad Nacional Autónoma de México. 08 de marzo de 2017. Por unanimidad. Comisionado Ponente Rosendoevgueni Monterrey Chepov</w:t>
      </w:r>
      <w:r w:rsidRPr="00D531DC">
        <w:rPr>
          <w:rFonts w:ascii="Palatino Linotype" w:eastAsia="Times New Roman" w:hAnsi="Palatino Linotype" w:cs="Arial"/>
          <w:i/>
        </w:rPr>
        <w:t>.</w:t>
      </w:r>
      <w:r w:rsidRPr="00D531DC">
        <w:rPr>
          <w:rFonts w:ascii="Palatino Linotype" w:eastAsia="Times New Roman" w:hAnsi="Palatino Linotype" w:cs="Arial"/>
          <w:b/>
          <w:i/>
        </w:rPr>
        <w:t xml:space="preserve"> </w:t>
      </w:r>
    </w:p>
    <w:p w14:paraId="4619A733" w14:textId="77777777" w:rsidR="00BC0DDF" w:rsidRPr="00D531DC" w:rsidRDefault="00BC0DDF" w:rsidP="00BC0DDF">
      <w:pPr>
        <w:autoSpaceDE w:val="0"/>
        <w:autoSpaceDN w:val="0"/>
        <w:adjustRightInd w:val="0"/>
        <w:spacing w:before="240" w:line="360" w:lineRule="auto"/>
        <w:ind w:left="851" w:right="851"/>
        <w:jc w:val="both"/>
        <w:rPr>
          <w:rFonts w:ascii="Palatino Linotype" w:eastAsia="Times New Roman" w:hAnsi="Palatino Linotype" w:cs="Arial"/>
          <w:b/>
          <w:i/>
          <w:lang w:val="es-ES"/>
        </w:rPr>
      </w:pPr>
      <w:r w:rsidRPr="00D531DC">
        <w:rPr>
          <w:rFonts w:ascii="Palatino Linotype" w:eastAsia="Times New Roman" w:hAnsi="Palatino Linotype" w:cs="Arial"/>
          <w:b/>
          <w:i/>
        </w:rPr>
        <w:t>RRA</w:t>
      </w:r>
      <w:r w:rsidRPr="00D531DC">
        <w:rPr>
          <w:rFonts w:ascii="Palatino Linotype" w:eastAsia="Times New Roman" w:hAnsi="Palatino Linotype" w:cs="Arial"/>
          <w:i/>
          <w:lang w:val="es-ES"/>
        </w:rPr>
        <w:t xml:space="preserve"> </w:t>
      </w:r>
      <w:r w:rsidRPr="00D531DC">
        <w:rPr>
          <w:rFonts w:ascii="Palatino Linotype" w:eastAsia="Times New Roman" w:hAnsi="Palatino Linotype" w:cs="Arial"/>
          <w:b/>
          <w:i/>
        </w:rPr>
        <w:t xml:space="preserve">1564/17. </w:t>
      </w:r>
      <w:r w:rsidRPr="00D531DC">
        <w:rPr>
          <w:rFonts w:ascii="Palatino Linotype" w:eastAsia="Times New Roman" w:hAnsi="Palatino Linotype" w:cs="Arial"/>
          <w:i/>
          <w:lang w:val="es-ES"/>
        </w:rPr>
        <w:t>Tribunal Electoral del Poder Judicial de la Federación</w:t>
      </w:r>
      <w:r w:rsidRPr="00D531DC">
        <w:rPr>
          <w:rFonts w:ascii="Palatino Linotype" w:eastAsia="Times New Roman" w:hAnsi="Palatino Linotype" w:cs="Arial"/>
          <w:i/>
        </w:rPr>
        <w:t xml:space="preserve">. 26 de abril de 2017. Por unanimidad. Comisionado Ponente Oscar Mauricio Guerra Ford.” </w:t>
      </w:r>
      <w:r w:rsidRPr="00D531DC">
        <w:rPr>
          <w:rFonts w:ascii="Palatino Linotype" w:eastAsia="Times New Roman" w:hAnsi="Palatino Linotype" w:cs="Arial"/>
          <w:b/>
          <w:i/>
        </w:rPr>
        <w:t>[Sic]</w:t>
      </w:r>
    </w:p>
    <w:p w14:paraId="613027DE" w14:textId="77777777" w:rsidR="00BC0DDF" w:rsidRPr="00D531DC" w:rsidRDefault="00BC0DDF" w:rsidP="00BC0DDF">
      <w:pPr>
        <w:autoSpaceDE w:val="0"/>
        <w:autoSpaceDN w:val="0"/>
        <w:adjustRightInd w:val="0"/>
        <w:spacing w:before="120" w:after="120"/>
        <w:ind w:left="567" w:right="850"/>
        <w:jc w:val="both"/>
        <w:rPr>
          <w:rFonts w:ascii="Palatino Linotype" w:eastAsia="Times New Roman" w:hAnsi="Palatino Linotype" w:cs="Arial"/>
          <w:i/>
        </w:rPr>
      </w:pPr>
    </w:p>
    <w:p w14:paraId="0F764F69" w14:textId="77777777" w:rsidR="00BC0DDF" w:rsidRPr="00D531DC" w:rsidRDefault="00BC0DDF" w:rsidP="00BC0DDF">
      <w:pPr>
        <w:spacing w:before="240" w:after="240" w:line="360" w:lineRule="auto"/>
        <w:jc w:val="both"/>
        <w:rPr>
          <w:rFonts w:ascii="Palatino Linotype" w:hAnsi="Palatino Linotype" w:cs="Arial"/>
          <w:sz w:val="24"/>
          <w:szCs w:val="24"/>
        </w:rPr>
      </w:pPr>
      <w:r w:rsidRPr="00D531DC">
        <w:rPr>
          <w:rFonts w:ascii="Palatino Linotype" w:hAnsi="Palatino Linotype" w:cs="Arial"/>
          <w:sz w:val="24"/>
          <w:szCs w:val="24"/>
        </w:rPr>
        <w:t>Así, el RFC se vincula al nombre de su titular, permite identificar la edad de la persona, su fecha de nacimiento, así como su homoclave, la cual es única e irrepetible y determina justamente la identificación de dicha persona para efectos fiscales, por lo éste constituye un dato personal que concierne a una persona física identificada e identificable.</w:t>
      </w:r>
    </w:p>
    <w:p w14:paraId="48D127DD" w14:textId="77777777" w:rsidR="00BC0DDF" w:rsidRPr="00D531DC" w:rsidRDefault="00BC0DDF" w:rsidP="00BC0DDF">
      <w:pPr>
        <w:spacing w:before="240" w:after="240" w:line="360" w:lineRule="auto"/>
        <w:jc w:val="both"/>
        <w:rPr>
          <w:rFonts w:ascii="Palatino Linotype" w:hAnsi="Palatino Linotype" w:cs="Arial"/>
          <w:sz w:val="24"/>
          <w:szCs w:val="24"/>
        </w:rPr>
      </w:pPr>
      <w:r w:rsidRPr="00D531DC">
        <w:rPr>
          <w:rFonts w:ascii="Palatino Linotype" w:hAnsi="Palatino Linotype" w:cs="Arial"/>
          <w:sz w:val="24"/>
          <w:szCs w:val="24"/>
        </w:rPr>
        <w:t>En cuanto a la Clave Única de Registro de Población (CURP) en virtud de que éste se integra por datos personales que únicamente le conciernen a un particular como son su fecha de nacimiento, su nombre, sus apellidos y su lugar de nacimiento; información que permite distinguirlo del resto de los habitantes, se considera que es de carácter confidencial.</w:t>
      </w:r>
    </w:p>
    <w:p w14:paraId="1AF33662" w14:textId="77777777" w:rsidR="00BC0DDF" w:rsidRPr="00D531DC" w:rsidRDefault="00BC0DDF" w:rsidP="00BC0DDF">
      <w:pPr>
        <w:spacing w:before="240" w:after="240" w:line="360" w:lineRule="auto"/>
        <w:ind w:right="-91"/>
        <w:jc w:val="both"/>
        <w:rPr>
          <w:rFonts w:ascii="Palatino Linotype" w:eastAsia="Times New Roman" w:hAnsi="Palatino Linotype" w:cs="Arial"/>
          <w:sz w:val="24"/>
          <w:szCs w:val="24"/>
        </w:rPr>
      </w:pPr>
      <w:r w:rsidRPr="00D531DC">
        <w:rPr>
          <w:rFonts w:ascii="Palatino Linotype" w:hAnsi="Palatino Linotype" w:cs="Arial"/>
          <w:sz w:val="24"/>
          <w:szCs w:val="24"/>
        </w:rPr>
        <w:t xml:space="preserve">Argumento que es compartido por el entonces </w:t>
      </w:r>
      <w:r w:rsidRPr="00D531DC">
        <w:rPr>
          <w:rStyle w:val="Textoennegrita"/>
          <w:rFonts w:ascii="Palatino Linotype" w:hAnsi="Palatino Linotype" w:cs="Arial"/>
          <w:sz w:val="24"/>
          <w:szCs w:val="24"/>
        </w:rPr>
        <w:t xml:space="preserve">Instituto Nacional de Transparencia, Acceso a la Información y Protección de Datos Personales, conforme al </w:t>
      </w:r>
      <w:r w:rsidRPr="00D531DC">
        <w:rPr>
          <w:rFonts w:ascii="Palatino Linotype" w:eastAsia="Times New Roman" w:hAnsi="Palatino Linotype" w:cs="Arial"/>
          <w:sz w:val="24"/>
          <w:szCs w:val="24"/>
        </w:rPr>
        <w:t xml:space="preserve">criterio orientador número 18/17 el cual refiere: </w:t>
      </w:r>
    </w:p>
    <w:p w14:paraId="7F7A130E" w14:textId="77777777" w:rsidR="00BC0DDF" w:rsidRPr="00D531DC" w:rsidRDefault="00BC0DDF" w:rsidP="00BC0DDF">
      <w:pPr>
        <w:autoSpaceDE w:val="0"/>
        <w:autoSpaceDN w:val="0"/>
        <w:adjustRightInd w:val="0"/>
        <w:spacing w:before="240" w:line="360" w:lineRule="auto"/>
        <w:ind w:left="851" w:right="851"/>
        <w:jc w:val="center"/>
        <w:rPr>
          <w:rFonts w:ascii="Palatino Linotype" w:eastAsia="Times New Roman" w:hAnsi="Palatino Linotype" w:cs="Arial"/>
          <w:b/>
          <w:bCs/>
          <w:i/>
        </w:rPr>
      </w:pPr>
      <w:r w:rsidRPr="00D531DC">
        <w:rPr>
          <w:rFonts w:ascii="Palatino Linotype" w:eastAsia="Times New Roman" w:hAnsi="Palatino Linotype" w:cs="Arial"/>
          <w:bCs/>
          <w:i/>
        </w:rPr>
        <w:t>“</w:t>
      </w:r>
      <w:r w:rsidRPr="00D531DC">
        <w:rPr>
          <w:rFonts w:ascii="Palatino Linotype" w:eastAsia="Times New Roman" w:hAnsi="Palatino Linotype" w:cs="Arial"/>
          <w:b/>
          <w:bCs/>
          <w:i/>
        </w:rPr>
        <w:t>CLAVE ÚNICA DE REGISTRO DE POBLACIÓN (CURP).</w:t>
      </w:r>
    </w:p>
    <w:p w14:paraId="093A0EE7" w14:textId="77777777" w:rsidR="00BC0DDF" w:rsidRPr="00D531DC" w:rsidRDefault="00BC0DDF" w:rsidP="00BC0DDF">
      <w:pPr>
        <w:autoSpaceDE w:val="0"/>
        <w:autoSpaceDN w:val="0"/>
        <w:adjustRightInd w:val="0"/>
        <w:spacing w:before="240" w:line="360" w:lineRule="auto"/>
        <w:ind w:left="851" w:right="851"/>
        <w:jc w:val="both"/>
        <w:rPr>
          <w:rFonts w:ascii="Palatino Linotype" w:eastAsia="Times New Roman" w:hAnsi="Palatino Linotype" w:cs="Arial"/>
          <w:b/>
          <w:bCs/>
          <w:i/>
        </w:rPr>
      </w:pPr>
      <w:r w:rsidRPr="00D531DC">
        <w:rPr>
          <w:rFonts w:ascii="Palatino Linotype" w:eastAsia="Times New Roman" w:hAnsi="Palatino Linotype" w:cs="Arial"/>
          <w:bCs/>
          <w:i/>
        </w:rPr>
        <w:lastRenderedPageBreak/>
        <w:t xml:space="preserve">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 </w:t>
      </w:r>
    </w:p>
    <w:p w14:paraId="135A6F7D" w14:textId="77777777" w:rsidR="00BC0DDF" w:rsidRPr="00D531DC" w:rsidRDefault="00BC0DDF" w:rsidP="00BC0DDF">
      <w:pPr>
        <w:autoSpaceDE w:val="0"/>
        <w:autoSpaceDN w:val="0"/>
        <w:adjustRightInd w:val="0"/>
        <w:spacing w:before="240" w:line="360" w:lineRule="auto"/>
        <w:ind w:left="851" w:right="851"/>
        <w:jc w:val="both"/>
        <w:rPr>
          <w:rFonts w:ascii="Palatino Linotype" w:eastAsia="Times New Roman" w:hAnsi="Palatino Linotype" w:cs="Arial"/>
          <w:b/>
          <w:i/>
        </w:rPr>
      </w:pPr>
      <w:r w:rsidRPr="00D531DC">
        <w:rPr>
          <w:rFonts w:ascii="Palatino Linotype" w:eastAsia="Times New Roman" w:hAnsi="Palatino Linotype" w:cs="Arial"/>
          <w:i/>
        </w:rPr>
        <w:t xml:space="preserve"> </w:t>
      </w:r>
      <w:r w:rsidRPr="00D531DC">
        <w:rPr>
          <w:rFonts w:ascii="Palatino Linotype" w:eastAsia="Times New Roman" w:hAnsi="Palatino Linotype" w:cs="Arial"/>
          <w:b/>
          <w:i/>
        </w:rPr>
        <w:t>Resoluciones:</w:t>
      </w:r>
    </w:p>
    <w:p w14:paraId="0F73D166" w14:textId="77777777" w:rsidR="00BC0DDF" w:rsidRPr="00D531DC" w:rsidRDefault="00BC0DDF" w:rsidP="00BC0DDF">
      <w:pPr>
        <w:autoSpaceDE w:val="0"/>
        <w:autoSpaceDN w:val="0"/>
        <w:adjustRightInd w:val="0"/>
        <w:spacing w:before="240" w:line="360" w:lineRule="auto"/>
        <w:ind w:left="851" w:right="851"/>
        <w:jc w:val="both"/>
        <w:rPr>
          <w:rFonts w:ascii="Palatino Linotype" w:eastAsia="Times New Roman" w:hAnsi="Palatino Linotype" w:cs="Arial"/>
          <w:b/>
          <w:i/>
        </w:rPr>
      </w:pPr>
      <w:r w:rsidRPr="00D531DC">
        <w:rPr>
          <w:rFonts w:ascii="Palatino Linotype" w:eastAsia="Times New Roman" w:hAnsi="Palatino Linotype" w:cs="Arial"/>
          <w:b/>
          <w:i/>
        </w:rPr>
        <w:t xml:space="preserve">RRA 3995/16. </w:t>
      </w:r>
      <w:r w:rsidRPr="00D531DC">
        <w:rPr>
          <w:rFonts w:ascii="Palatino Linotype" w:eastAsia="Times New Roman" w:hAnsi="Palatino Linotype" w:cs="Arial"/>
          <w:i/>
        </w:rPr>
        <w:t>Secretaría de la Defensa Nacional. 1 de febrero de 2017. Por unanimidad. Comisionado Ponente Rosendoevgueni Monterrey Chepov.</w:t>
      </w:r>
    </w:p>
    <w:p w14:paraId="6934F85D" w14:textId="77777777" w:rsidR="00BC0DDF" w:rsidRPr="00D531DC" w:rsidRDefault="00BC0DDF" w:rsidP="00BC0DDF">
      <w:pPr>
        <w:autoSpaceDE w:val="0"/>
        <w:autoSpaceDN w:val="0"/>
        <w:adjustRightInd w:val="0"/>
        <w:spacing w:before="240" w:line="360" w:lineRule="auto"/>
        <w:ind w:left="851" w:right="851"/>
        <w:jc w:val="both"/>
        <w:rPr>
          <w:rFonts w:ascii="Palatino Linotype" w:eastAsia="Times New Roman" w:hAnsi="Palatino Linotype" w:cs="Arial"/>
          <w:b/>
          <w:i/>
        </w:rPr>
      </w:pPr>
      <w:r w:rsidRPr="00D531DC">
        <w:rPr>
          <w:rFonts w:ascii="Palatino Linotype" w:eastAsia="Times New Roman" w:hAnsi="Palatino Linotype" w:cs="Arial"/>
          <w:b/>
          <w:i/>
        </w:rPr>
        <w:t xml:space="preserve">RRA </w:t>
      </w:r>
      <w:r w:rsidRPr="00D531DC">
        <w:rPr>
          <w:rFonts w:ascii="Palatino Linotype" w:eastAsia="Times New Roman" w:hAnsi="Palatino Linotype" w:cs="Arial"/>
          <w:b/>
          <w:bCs/>
          <w:i/>
        </w:rPr>
        <w:t xml:space="preserve">0937/17. </w:t>
      </w:r>
      <w:r w:rsidRPr="00D531DC">
        <w:rPr>
          <w:rFonts w:ascii="Palatino Linotype" w:eastAsia="Times New Roman" w:hAnsi="Palatino Linotype" w:cs="Arial"/>
          <w:bCs/>
          <w:i/>
        </w:rPr>
        <w:t xml:space="preserve">Senado de la República. </w:t>
      </w:r>
      <w:r w:rsidRPr="00D531DC">
        <w:rPr>
          <w:rFonts w:ascii="Palatino Linotype" w:eastAsia="Times New Roman" w:hAnsi="Palatino Linotype" w:cs="Arial"/>
          <w:bCs/>
          <w:i/>
          <w:lang w:val="es-ES_tradnl"/>
        </w:rPr>
        <w:t xml:space="preserve">15 de marzo de 2017. Por unanimidad. Comisionada Ponente Ximena Puente de la Mora. </w:t>
      </w:r>
    </w:p>
    <w:p w14:paraId="3028FE79" w14:textId="77777777" w:rsidR="00BC0DDF" w:rsidRPr="00D531DC" w:rsidRDefault="00BC0DDF" w:rsidP="00BC0DDF">
      <w:pPr>
        <w:autoSpaceDE w:val="0"/>
        <w:autoSpaceDN w:val="0"/>
        <w:adjustRightInd w:val="0"/>
        <w:spacing w:before="240" w:line="360" w:lineRule="auto"/>
        <w:ind w:left="851" w:right="851"/>
        <w:jc w:val="both"/>
        <w:rPr>
          <w:rFonts w:ascii="Palatino Linotype" w:eastAsia="Times New Roman" w:hAnsi="Palatino Linotype" w:cs="Arial"/>
          <w:b/>
          <w:i/>
        </w:rPr>
      </w:pPr>
      <w:r w:rsidRPr="00D531DC">
        <w:rPr>
          <w:rFonts w:ascii="Palatino Linotype" w:eastAsia="Times New Roman" w:hAnsi="Palatino Linotype" w:cs="Arial"/>
          <w:b/>
          <w:i/>
        </w:rPr>
        <w:t xml:space="preserve">RRA 0478/17. </w:t>
      </w:r>
      <w:r w:rsidRPr="00D531DC">
        <w:rPr>
          <w:rFonts w:ascii="Palatino Linotype" w:eastAsia="Times New Roman" w:hAnsi="Palatino Linotype" w:cs="Arial"/>
          <w:i/>
        </w:rPr>
        <w:t xml:space="preserve">Secretaría de Relaciones Exteriores. 26 de abril de 2017. Por unanimidad. Comisionada Ponente Areli Cano Guadiana.” </w:t>
      </w:r>
      <w:r w:rsidRPr="00D531DC">
        <w:rPr>
          <w:rFonts w:ascii="Palatino Linotype" w:eastAsia="Times New Roman" w:hAnsi="Palatino Linotype" w:cs="Arial"/>
          <w:b/>
          <w:i/>
        </w:rPr>
        <w:t>[Sic]</w:t>
      </w:r>
    </w:p>
    <w:p w14:paraId="2FB73702" w14:textId="77777777" w:rsidR="00BC0DDF" w:rsidRPr="00D531DC" w:rsidRDefault="00BC0DDF" w:rsidP="00BC0DDF">
      <w:pPr>
        <w:spacing w:after="0" w:line="360" w:lineRule="auto"/>
        <w:ind w:right="51"/>
        <w:jc w:val="both"/>
        <w:rPr>
          <w:rFonts w:ascii="Palatino Linotype" w:hAnsi="Palatino Linotype" w:cs="Arial"/>
          <w:sz w:val="24"/>
          <w:szCs w:val="24"/>
        </w:rPr>
      </w:pPr>
    </w:p>
    <w:p w14:paraId="1BE5078A" w14:textId="77777777" w:rsidR="00BC0DDF" w:rsidRPr="00D531DC" w:rsidRDefault="00BC0DDF" w:rsidP="00BC0DDF">
      <w:pPr>
        <w:spacing w:after="0" w:line="360" w:lineRule="auto"/>
        <w:ind w:right="51"/>
        <w:jc w:val="both"/>
        <w:rPr>
          <w:rFonts w:ascii="Palatino Linotype" w:hAnsi="Palatino Linotype" w:cs="Arial"/>
          <w:sz w:val="24"/>
          <w:szCs w:val="24"/>
        </w:rPr>
      </w:pPr>
      <w:r w:rsidRPr="00D531DC">
        <w:rPr>
          <w:rFonts w:ascii="Palatino Linotype" w:hAnsi="Palatino Linotype" w:cs="Arial"/>
          <w:sz w:val="24"/>
          <w:szCs w:val="24"/>
        </w:rPr>
        <w:t xml:space="preserve">Lo anterior, sólo en caso de advertir información susceptible de clasificar, por ende, resulta necesario que el Comité de Transparencia del Sujeto Obligado emita el Acuerdo de Clasificación correspondiente que sustente la versión pública, el cual deberá cumplir cabalmente las formalidades previstas en el artículo 137 de la Ley de Transparencia y Acceso a la Información Pública del Estado de México y Municipios, así como los numerales aplicables de los </w:t>
      </w:r>
      <w:r w:rsidRPr="00D531DC">
        <w:rPr>
          <w:rFonts w:ascii="Palatino Linotype" w:hAnsi="Palatino Linotype" w:cs="Arial"/>
          <w:b/>
          <w:sz w:val="24"/>
          <w:szCs w:val="24"/>
        </w:rPr>
        <w:t>LINEAMIENTOS GENERALES EN MATERIA DE CLASIFICACIÓN Y DESCLASIFICACIÓN DE LA INFORMACIÓN, ASÍ COMO PARA LA ELABORACIÓN DE VERSIONES PÚBLICAS,</w:t>
      </w:r>
      <w:r w:rsidRPr="00D531DC">
        <w:rPr>
          <w:rFonts w:ascii="Palatino Linotype" w:hAnsi="Palatino Linotype" w:cs="Arial"/>
          <w:sz w:val="24"/>
          <w:szCs w:val="24"/>
        </w:rPr>
        <w:t xml:space="preserve"> publicados en el Diario Oficial de la Federación en fecha quince de abril </w:t>
      </w:r>
      <w:r w:rsidRPr="00D531DC">
        <w:rPr>
          <w:rFonts w:ascii="Palatino Linotype" w:hAnsi="Palatino Linotype" w:cs="Arial"/>
          <w:sz w:val="24"/>
          <w:szCs w:val="24"/>
        </w:rPr>
        <w:lastRenderedPageBreak/>
        <w:t xml:space="preserve">de dos mil dieciséis, mediante Acuerdo del Consejo Nacional del Sistema Nacional de Transparencia, Acceso a la Información Pública y Protección de Datos Personales. </w:t>
      </w:r>
    </w:p>
    <w:p w14:paraId="5E8BC698" w14:textId="77777777" w:rsidR="00BC0DDF" w:rsidRPr="00D531DC" w:rsidRDefault="00BC0DDF" w:rsidP="00872B52">
      <w:pPr>
        <w:spacing w:after="0" w:line="360" w:lineRule="auto"/>
        <w:jc w:val="both"/>
        <w:rPr>
          <w:rFonts w:ascii="Palatino Linotype" w:eastAsia="Times New Roman" w:hAnsi="Palatino Linotype" w:cs="Times New Roman"/>
          <w:sz w:val="24"/>
          <w:szCs w:val="24"/>
          <w:lang w:eastAsia="es-ES"/>
        </w:rPr>
      </w:pPr>
    </w:p>
    <w:p w14:paraId="6BBB571D" w14:textId="1883E189" w:rsidR="00BC0DDF" w:rsidRPr="00D531DC" w:rsidRDefault="00872B52" w:rsidP="00872B52">
      <w:pPr>
        <w:spacing w:after="0" w:line="360" w:lineRule="auto"/>
        <w:jc w:val="both"/>
        <w:rPr>
          <w:rFonts w:ascii="Palatino Linotype" w:eastAsia="Times New Roman" w:hAnsi="Palatino Linotype" w:cs="Arial"/>
          <w:sz w:val="24"/>
          <w:szCs w:val="24"/>
          <w:lang w:eastAsia="es-ES"/>
        </w:rPr>
      </w:pPr>
      <w:r w:rsidRPr="00D531DC">
        <w:rPr>
          <w:rFonts w:ascii="Palatino Linotype" w:eastAsia="Times New Roman" w:hAnsi="Palatino Linotype" w:cs="Times New Roman"/>
          <w:sz w:val="24"/>
          <w:szCs w:val="24"/>
          <w:lang w:eastAsia="es-ES"/>
        </w:rPr>
        <w:t xml:space="preserve">En mérito de lo expuesto en líneas anteriores, resultan fundados los motivos de inconformidad que arguye </w:t>
      </w:r>
      <w:r w:rsidR="00C52F23" w:rsidRPr="00D531DC">
        <w:rPr>
          <w:rFonts w:ascii="Palatino Linotype" w:eastAsia="Times New Roman" w:hAnsi="Palatino Linotype" w:cs="Times New Roman"/>
          <w:b/>
          <w:bCs/>
          <w:sz w:val="24"/>
          <w:szCs w:val="24"/>
          <w:lang w:eastAsia="es-ES"/>
        </w:rPr>
        <w:t>La</w:t>
      </w:r>
      <w:r w:rsidRPr="00D531DC">
        <w:rPr>
          <w:rFonts w:ascii="Palatino Linotype" w:eastAsia="Times New Roman" w:hAnsi="Palatino Linotype" w:cs="Times New Roman"/>
          <w:b/>
          <w:sz w:val="24"/>
          <w:szCs w:val="24"/>
          <w:lang w:eastAsia="es-ES"/>
        </w:rPr>
        <w:t xml:space="preserve"> Recurrente</w:t>
      </w:r>
      <w:r w:rsidRPr="00D531DC">
        <w:rPr>
          <w:rFonts w:ascii="Palatino Linotype" w:eastAsia="Times New Roman" w:hAnsi="Palatino Linotype" w:cs="Times New Roman"/>
          <w:sz w:val="24"/>
          <w:szCs w:val="24"/>
          <w:lang w:eastAsia="es-ES"/>
        </w:rPr>
        <w:t xml:space="preserve"> en su medio de impugnación que fue materia de estudio, por ello </w:t>
      </w:r>
      <w:r w:rsidRPr="00D531DC">
        <w:rPr>
          <w:rFonts w:ascii="Palatino Linotype" w:eastAsia="Times New Roman" w:hAnsi="Palatino Linotype" w:cs="Arial"/>
          <w:sz w:val="24"/>
          <w:szCs w:val="24"/>
          <w:lang w:eastAsia="es-ES"/>
        </w:rPr>
        <w:t>con fundamento en la</w:t>
      </w:r>
      <w:r w:rsidRPr="00D531DC">
        <w:rPr>
          <w:rFonts w:ascii="Palatino Linotype" w:eastAsia="Times New Roman" w:hAnsi="Palatino Linotype" w:cs="Arial"/>
          <w:b/>
          <w:sz w:val="24"/>
          <w:szCs w:val="24"/>
          <w:lang w:eastAsia="es-ES"/>
        </w:rPr>
        <w:t xml:space="preserve"> </w:t>
      </w:r>
      <w:r w:rsidRPr="00D531DC">
        <w:rPr>
          <w:rFonts w:ascii="Palatino Linotype" w:eastAsia="Times New Roman" w:hAnsi="Palatino Linotype" w:cs="Arial"/>
          <w:b/>
          <w:bCs/>
          <w:i/>
          <w:sz w:val="24"/>
          <w:szCs w:val="24"/>
          <w:lang w:eastAsia="es-ES"/>
        </w:rPr>
        <w:t>primera hipótesis</w:t>
      </w:r>
      <w:r w:rsidRPr="00D531DC">
        <w:rPr>
          <w:rFonts w:ascii="Palatino Linotype" w:eastAsia="Times New Roman" w:hAnsi="Palatino Linotype" w:cs="Arial"/>
          <w:b/>
          <w:sz w:val="24"/>
          <w:szCs w:val="24"/>
          <w:lang w:eastAsia="es-ES"/>
        </w:rPr>
        <w:t xml:space="preserve"> </w:t>
      </w:r>
      <w:r w:rsidRPr="00D531DC">
        <w:rPr>
          <w:rFonts w:ascii="Palatino Linotype" w:eastAsia="Times New Roman" w:hAnsi="Palatino Linotype" w:cs="Arial"/>
          <w:sz w:val="24"/>
          <w:szCs w:val="24"/>
          <w:lang w:eastAsia="es-ES"/>
        </w:rPr>
        <w:t>de la fracción</w:t>
      </w:r>
      <w:r w:rsidRPr="00D531DC">
        <w:rPr>
          <w:rFonts w:ascii="Palatino Linotype" w:eastAsia="Times New Roman" w:hAnsi="Palatino Linotype" w:cs="Arial"/>
          <w:b/>
          <w:sz w:val="24"/>
          <w:szCs w:val="24"/>
          <w:lang w:eastAsia="es-ES"/>
        </w:rPr>
        <w:t xml:space="preserve"> </w:t>
      </w:r>
      <w:r w:rsidRPr="00D531DC">
        <w:rPr>
          <w:rFonts w:ascii="Palatino Linotype" w:eastAsia="Times New Roman" w:hAnsi="Palatino Linotype" w:cs="Arial"/>
          <w:sz w:val="24"/>
          <w:szCs w:val="24"/>
          <w:lang w:eastAsia="es-ES"/>
        </w:rPr>
        <w:t>III, del artículo 186,</w:t>
      </w:r>
      <w:r w:rsidRPr="00D531DC">
        <w:rPr>
          <w:rFonts w:ascii="Palatino Linotype" w:eastAsia="Times New Roman" w:hAnsi="Palatino Linotype" w:cs="Arial"/>
          <w:b/>
          <w:sz w:val="24"/>
          <w:szCs w:val="24"/>
          <w:lang w:eastAsia="es-ES"/>
        </w:rPr>
        <w:t xml:space="preserve"> </w:t>
      </w:r>
      <w:r w:rsidRPr="00D531DC">
        <w:rPr>
          <w:rFonts w:ascii="Palatino Linotype" w:eastAsia="Times New Roman" w:hAnsi="Palatino Linotype" w:cs="Arial"/>
          <w:sz w:val="24"/>
          <w:szCs w:val="24"/>
          <w:lang w:eastAsia="es-ES"/>
        </w:rPr>
        <w:t xml:space="preserve">de la Ley de Transparencia y Acceso a la Información Pública del Estado de México y Municipios, se </w:t>
      </w:r>
      <w:r w:rsidRPr="00D531DC">
        <w:rPr>
          <w:rFonts w:ascii="Palatino Linotype" w:eastAsia="Times New Roman" w:hAnsi="Palatino Linotype" w:cs="Arial"/>
          <w:b/>
          <w:sz w:val="24"/>
          <w:szCs w:val="24"/>
          <w:lang w:eastAsia="es-ES"/>
        </w:rPr>
        <w:t xml:space="preserve">REVOCA </w:t>
      </w:r>
      <w:r w:rsidRPr="00D531DC">
        <w:rPr>
          <w:rFonts w:ascii="Palatino Linotype" w:eastAsia="Times New Roman" w:hAnsi="Palatino Linotype" w:cs="Arial"/>
          <w:sz w:val="24"/>
          <w:szCs w:val="24"/>
          <w:lang w:eastAsia="es-ES"/>
        </w:rPr>
        <w:t xml:space="preserve">la respuesta a la solicitud de información número </w:t>
      </w:r>
      <w:r w:rsidR="00BC0DDF" w:rsidRPr="00D531DC">
        <w:rPr>
          <w:rFonts w:ascii="Palatino Linotype" w:eastAsia="Times New Roman" w:hAnsi="Palatino Linotype" w:cs="Arial"/>
          <w:b/>
          <w:bCs/>
          <w:sz w:val="24"/>
          <w:szCs w:val="24"/>
          <w:lang w:eastAsia="es-ES"/>
        </w:rPr>
        <w:t xml:space="preserve">00028/TENANCIN/IP/2026 </w:t>
      </w:r>
      <w:r w:rsidR="00BC0DDF" w:rsidRPr="00D531DC">
        <w:rPr>
          <w:rFonts w:ascii="Palatino Linotype" w:eastAsia="Times New Roman" w:hAnsi="Palatino Linotype" w:cs="Arial"/>
          <w:sz w:val="24"/>
          <w:szCs w:val="24"/>
          <w:lang w:eastAsia="es-ES"/>
        </w:rPr>
        <w:t xml:space="preserve">que ha sido materia del presente fallo. </w:t>
      </w:r>
    </w:p>
    <w:p w14:paraId="72A0C738" w14:textId="77777777" w:rsidR="00BC0DDF" w:rsidRPr="00D531DC" w:rsidRDefault="00BC0DDF" w:rsidP="00872B52">
      <w:pPr>
        <w:spacing w:after="0" w:line="360" w:lineRule="auto"/>
        <w:jc w:val="both"/>
        <w:rPr>
          <w:rFonts w:ascii="Palatino Linotype" w:eastAsia="Times New Roman" w:hAnsi="Palatino Linotype" w:cs="Arial"/>
          <w:sz w:val="24"/>
          <w:szCs w:val="24"/>
          <w:lang w:eastAsia="es-ES"/>
        </w:rPr>
      </w:pPr>
    </w:p>
    <w:p w14:paraId="159154D7" w14:textId="77777777" w:rsidR="00872B52" w:rsidRPr="00D531DC" w:rsidRDefault="00872B52" w:rsidP="00872B52">
      <w:pPr>
        <w:spacing w:after="0" w:line="360" w:lineRule="auto"/>
        <w:jc w:val="both"/>
        <w:rPr>
          <w:rFonts w:ascii="Palatino Linotype" w:eastAsia="Times New Roman" w:hAnsi="Palatino Linotype" w:cs="Times New Roman"/>
          <w:sz w:val="24"/>
          <w:szCs w:val="24"/>
          <w:lang w:eastAsia="es-ES"/>
        </w:rPr>
      </w:pPr>
      <w:r w:rsidRPr="00D531DC">
        <w:rPr>
          <w:rFonts w:ascii="Palatino Linotype" w:eastAsia="Times New Roman" w:hAnsi="Palatino Linotype" w:cs="Times New Roman"/>
          <w:sz w:val="24"/>
          <w:szCs w:val="24"/>
          <w:lang w:eastAsia="es-ES"/>
        </w:rPr>
        <w:t>Por lo antes expuesto y fundado es de resolverse y,</w:t>
      </w:r>
    </w:p>
    <w:p w14:paraId="66EE1E81" w14:textId="77777777" w:rsidR="00635C47" w:rsidRPr="00D531DC" w:rsidRDefault="00635C47" w:rsidP="00872B52">
      <w:pPr>
        <w:spacing w:before="240" w:after="240" w:line="360" w:lineRule="auto"/>
        <w:jc w:val="center"/>
        <w:rPr>
          <w:rFonts w:ascii="Palatino Linotype" w:hAnsi="Palatino Linotype"/>
          <w:b/>
          <w:spacing w:val="60"/>
          <w:sz w:val="24"/>
          <w:szCs w:val="24"/>
        </w:rPr>
      </w:pPr>
    </w:p>
    <w:p w14:paraId="03706D30" w14:textId="1EE8E035" w:rsidR="00872B52" w:rsidRPr="00D531DC" w:rsidRDefault="00872B52" w:rsidP="00872B52">
      <w:pPr>
        <w:spacing w:before="240" w:after="240" w:line="360" w:lineRule="auto"/>
        <w:jc w:val="center"/>
        <w:rPr>
          <w:rFonts w:ascii="Palatino Linotype" w:hAnsi="Palatino Linotype"/>
          <w:b/>
          <w:spacing w:val="60"/>
          <w:sz w:val="24"/>
          <w:szCs w:val="24"/>
        </w:rPr>
      </w:pPr>
      <w:r w:rsidRPr="00D531DC">
        <w:rPr>
          <w:rFonts w:ascii="Palatino Linotype" w:hAnsi="Palatino Linotype"/>
          <w:b/>
          <w:spacing w:val="60"/>
          <w:sz w:val="24"/>
          <w:szCs w:val="24"/>
        </w:rPr>
        <w:t>S E RESUELVE</w:t>
      </w:r>
    </w:p>
    <w:p w14:paraId="19E9C5B1" w14:textId="3657A4AE" w:rsidR="00BC0DDF" w:rsidRPr="00D531DC" w:rsidRDefault="00872B52" w:rsidP="00D531DC">
      <w:pPr>
        <w:spacing w:before="240" w:line="360" w:lineRule="auto"/>
        <w:jc w:val="both"/>
        <w:rPr>
          <w:rFonts w:ascii="Palatino Linotype" w:hAnsi="Palatino Linotype" w:cs="Arial"/>
          <w:sz w:val="24"/>
          <w:szCs w:val="24"/>
        </w:rPr>
      </w:pPr>
      <w:r w:rsidRPr="00D531DC">
        <w:rPr>
          <w:rFonts w:ascii="Palatino Linotype" w:hAnsi="Palatino Linotype" w:cs="Arial"/>
          <w:b/>
          <w:sz w:val="28"/>
          <w:szCs w:val="28"/>
          <w:lang w:val="es-ES_tradnl"/>
        </w:rPr>
        <w:t>PRIMERO.</w:t>
      </w:r>
      <w:r w:rsidRPr="00D531DC">
        <w:rPr>
          <w:rFonts w:ascii="Palatino Linotype" w:hAnsi="Palatino Linotype" w:cs="Arial"/>
          <w:sz w:val="24"/>
          <w:szCs w:val="24"/>
          <w:lang w:val="es-ES_tradnl"/>
        </w:rPr>
        <w:t xml:space="preserve"> </w:t>
      </w:r>
      <w:r w:rsidRPr="00D531DC">
        <w:rPr>
          <w:rFonts w:ascii="Palatino Linotype" w:hAnsi="Palatino Linotype" w:cs="Arial"/>
          <w:sz w:val="24"/>
          <w:szCs w:val="24"/>
        </w:rPr>
        <w:t xml:space="preserve">Se </w:t>
      </w:r>
      <w:r w:rsidRPr="00D531DC">
        <w:rPr>
          <w:rFonts w:ascii="Palatino Linotype" w:hAnsi="Palatino Linotype" w:cs="Arial"/>
          <w:b/>
          <w:sz w:val="24"/>
          <w:szCs w:val="24"/>
        </w:rPr>
        <w:t xml:space="preserve">REVOCA </w:t>
      </w:r>
      <w:r w:rsidRPr="00D531DC">
        <w:rPr>
          <w:rFonts w:ascii="Palatino Linotype" w:hAnsi="Palatino Linotype" w:cs="Arial"/>
          <w:sz w:val="24"/>
          <w:szCs w:val="24"/>
        </w:rPr>
        <w:t xml:space="preserve">la respuesta entregada por </w:t>
      </w:r>
      <w:r w:rsidRPr="00D531DC">
        <w:rPr>
          <w:rFonts w:ascii="Palatino Linotype" w:hAnsi="Palatino Linotype" w:cs="Arial"/>
          <w:b/>
          <w:sz w:val="24"/>
          <w:szCs w:val="24"/>
        </w:rPr>
        <w:t xml:space="preserve">EL SUJETO OBLIGADO, </w:t>
      </w:r>
      <w:r w:rsidRPr="00D531DC">
        <w:rPr>
          <w:rFonts w:ascii="Palatino Linotype" w:hAnsi="Palatino Linotype" w:cs="Arial"/>
          <w:sz w:val="24"/>
          <w:szCs w:val="24"/>
        </w:rPr>
        <w:t xml:space="preserve">a la solicitud de información número </w:t>
      </w:r>
      <w:r w:rsidR="00BC0DDF" w:rsidRPr="00D531DC">
        <w:rPr>
          <w:rFonts w:ascii="Palatino Linotype" w:eastAsia="Times New Roman" w:hAnsi="Palatino Linotype" w:cs="Arial"/>
          <w:b/>
          <w:bCs/>
          <w:sz w:val="24"/>
          <w:szCs w:val="24"/>
          <w:lang w:eastAsia="es-ES"/>
        </w:rPr>
        <w:t xml:space="preserve">00028/TENANCIN/IP/2026 </w:t>
      </w:r>
      <w:r w:rsidRPr="00D531DC">
        <w:rPr>
          <w:rFonts w:ascii="Palatino Linotype" w:eastAsia="Times New Roman" w:hAnsi="Palatino Linotype" w:cs="Times New Roman"/>
          <w:bCs/>
          <w:sz w:val="24"/>
          <w:szCs w:val="24"/>
          <w:lang w:eastAsia="es-ES"/>
        </w:rPr>
        <w:t>por</w:t>
      </w:r>
      <w:r w:rsidRPr="00D531DC">
        <w:rPr>
          <w:rFonts w:ascii="Palatino Linotype" w:hAnsi="Palatino Linotype" w:cs="Arial"/>
          <w:sz w:val="24"/>
          <w:szCs w:val="24"/>
        </w:rPr>
        <w:t xml:space="preserve"> resultar fundados los motivos de inconformidad que arguye </w:t>
      </w:r>
      <w:r w:rsidR="00C52F23" w:rsidRPr="00D531DC">
        <w:rPr>
          <w:rFonts w:ascii="Palatino Linotype" w:hAnsi="Palatino Linotype" w:cs="Arial"/>
          <w:b/>
          <w:sz w:val="24"/>
          <w:szCs w:val="24"/>
        </w:rPr>
        <w:t>LA</w:t>
      </w:r>
      <w:r w:rsidRPr="00D531DC">
        <w:rPr>
          <w:rFonts w:ascii="Palatino Linotype" w:hAnsi="Palatino Linotype" w:cs="Arial"/>
          <w:b/>
          <w:sz w:val="24"/>
          <w:szCs w:val="24"/>
        </w:rPr>
        <w:t xml:space="preserve"> RECURRENTE, </w:t>
      </w:r>
      <w:r w:rsidRPr="00D531DC">
        <w:rPr>
          <w:rFonts w:ascii="Palatino Linotype" w:hAnsi="Palatino Linotype" w:cs="Arial"/>
          <w:sz w:val="24"/>
          <w:szCs w:val="24"/>
        </w:rPr>
        <w:t xml:space="preserve">en términos del considerando </w:t>
      </w:r>
      <w:r w:rsidRPr="00D531DC">
        <w:rPr>
          <w:rFonts w:ascii="Palatino Linotype" w:hAnsi="Palatino Linotype" w:cs="Arial"/>
          <w:b/>
          <w:sz w:val="24"/>
          <w:szCs w:val="24"/>
        </w:rPr>
        <w:t xml:space="preserve">CUARTO </w:t>
      </w:r>
      <w:r w:rsidRPr="00D531DC">
        <w:rPr>
          <w:rFonts w:ascii="Palatino Linotype" w:hAnsi="Palatino Linotype" w:cs="Arial"/>
          <w:sz w:val="24"/>
          <w:szCs w:val="24"/>
        </w:rPr>
        <w:t xml:space="preserve">de la presente resolución. </w:t>
      </w:r>
    </w:p>
    <w:p w14:paraId="63C1DA26" w14:textId="5FFD5330" w:rsidR="00BC0DDF" w:rsidRPr="00D531DC" w:rsidRDefault="00872B52" w:rsidP="00872B52">
      <w:pPr>
        <w:autoSpaceDE w:val="0"/>
        <w:autoSpaceDN w:val="0"/>
        <w:adjustRightInd w:val="0"/>
        <w:spacing w:before="240" w:line="360" w:lineRule="auto"/>
        <w:ind w:right="49"/>
        <w:jc w:val="both"/>
        <w:rPr>
          <w:rFonts w:ascii="Palatino Linotype" w:hAnsi="Palatino Linotype" w:cs="Arial"/>
          <w:sz w:val="24"/>
          <w:szCs w:val="24"/>
        </w:rPr>
      </w:pPr>
      <w:r w:rsidRPr="00D531DC">
        <w:rPr>
          <w:rFonts w:ascii="Palatino Linotype" w:hAnsi="Palatino Linotype" w:cs="Arial"/>
          <w:b/>
          <w:sz w:val="28"/>
          <w:szCs w:val="28"/>
          <w:lang w:val="es-ES_tradnl"/>
        </w:rPr>
        <w:t>SEGUNDO.</w:t>
      </w:r>
      <w:r w:rsidRPr="00D531DC">
        <w:rPr>
          <w:rFonts w:ascii="Palatino Linotype" w:hAnsi="Palatino Linotype" w:cs="Arial"/>
          <w:sz w:val="24"/>
          <w:szCs w:val="24"/>
        </w:rPr>
        <w:t xml:space="preserve"> </w:t>
      </w:r>
      <w:r w:rsidR="00BC0DDF" w:rsidRPr="00D531DC">
        <w:rPr>
          <w:rFonts w:ascii="Palatino Linotype" w:hAnsi="Palatino Linotype" w:cs="Arial"/>
          <w:sz w:val="24"/>
          <w:szCs w:val="24"/>
        </w:rPr>
        <w:t xml:space="preserve">Se </w:t>
      </w:r>
      <w:r w:rsidR="00BC0DDF" w:rsidRPr="00D531DC">
        <w:rPr>
          <w:rFonts w:ascii="Palatino Linotype" w:hAnsi="Palatino Linotype" w:cs="Arial"/>
          <w:b/>
          <w:sz w:val="24"/>
          <w:szCs w:val="24"/>
        </w:rPr>
        <w:t>ORDENA</w:t>
      </w:r>
      <w:r w:rsidR="00BC0DDF" w:rsidRPr="00D531DC">
        <w:rPr>
          <w:rFonts w:ascii="Palatino Linotype" w:hAnsi="Palatino Linotype" w:cs="Arial"/>
          <w:sz w:val="24"/>
          <w:szCs w:val="24"/>
        </w:rPr>
        <w:t xml:space="preserve"> al </w:t>
      </w:r>
      <w:r w:rsidR="00BC0DDF" w:rsidRPr="00D531DC">
        <w:rPr>
          <w:rFonts w:ascii="Palatino Linotype" w:hAnsi="Palatino Linotype" w:cs="Arial"/>
          <w:b/>
          <w:sz w:val="24"/>
          <w:szCs w:val="24"/>
        </w:rPr>
        <w:t>SUJETO OBLIGADO</w:t>
      </w:r>
      <w:r w:rsidR="00BC0DDF" w:rsidRPr="00D531DC">
        <w:rPr>
          <w:rFonts w:ascii="Palatino Linotype" w:hAnsi="Palatino Linotype" w:cs="Arial"/>
          <w:sz w:val="24"/>
          <w:szCs w:val="24"/>
        </w:rPr>
        <w:t xml:space="preserve"> realizar una búsqueda exhaustiva y razonable, a efecto de que haga entrega a</w:t>
      </w:r>
      <w:r w:rsidR="00C52F23" w:rsidRPr="00D531DC">
        <w:rPr>
          <w:rFonts w:ascii="Palatino Linotype" w:hAnsi="Palatino Linotype" w:cs="Arial"/>
          <w:sz w:val="24"/>
          <w:szCs w:val="24"/>
        </w:rPr>
        <w:t xml:space="preserve"> </w:t>
      </w:r>
      <w:r w:rsidR="00C52F23" w:rsidRPr="00D531DC">
        <w:rPr>
          <w:rFonts w:ascii="Palatino Linotype" w:hAnsi="Palatino Linotype" w:cs="Arial"/>
          <w:b/>
          <w:bCs/>
          <w:sz w:val="24"/>
          <w:szCs w:val="24"/>
        </w:rPr>
        <w:t>LA</w:t>
      </w:r>
      <w:r w:rsidR="00BC0DDF" w:rsidRPr="00D531DC">
        <w:rPr>
          <w:rFonts w:ascii="Palatino Linotype" w:hAnsi="Palatino Linotype" w:cs="Arial"/>
          <w:sz w:val="24"/>
          <w:szCs w:val="24"/>
        </w:rPr>
        <w:t xml:space="preserve"> </w:t>
      </w:r>
      <w:r w:rsidR="00BC0DDF" w:rsidRPr="00D531DC">
        <w:rPr>
          <w:rFonts w:ascii="Palatino Linotype" w:hAnsi="Palatino Linotype" w:cs="Arial"/>
          <w:b/>
          <w:bCs/>
          <w:sz w:val="24"/>
          <w:szCs w:val="24"/>
        </w:rPr>
        <w:t xml:space="preserve">RECURRENTE, </w:t>
      </w:r>
      <w:r w:rsidR="00BC0DDF" w:rsidRPr="00D531DC">
        <w:rPr>
          <w:rFonts w:ascii="Palatino Linotype" w:eastAsia="Times New Roman" w:hAnsi="Palatino Linotype" w:cs="Arial"/>
          <w:bCs/>
          <w:sz w:val="24"/>
          <w:szCs w:val="24"/>
          <w:lang w:eastAsia="es-ES"/>
        </w:rPr>
        <w:t>vía</w:t>
      </w:r>
      <w:r w:rsidR="00BC0DDF" w:rsidRPr="00D531DC">
        <w:rPr>
          <w:rFonts w:ascii="Palatino Linotype" w:eastAsia="Times New Roman" w:hAnsi="Palatino Linotype" w:cs="Arial"/>
          <w:b/>
          <w:sz w:val="24"/>
          <w:szCs w:val="24"/>
          <w:lang w:eastAsia="es-ES"/>
        </w:rPr>
        <w:t xml:space="preserve"> </w:t>
      </w:r>
      <w:r w:rsidR="00BC0DDF" w:rsidRPr="00D531DC">
        <w:rPr>
          <w:rFonts w:ascii="Palatino Linotype" w:hAnsi="Palatino Linotype" w:cs="Arial"/>
          <w:sz w:val="24"/>
          <w:szCs w:val="24"/>
        </w:rPr>
        <w:t xml:space="preserve">Sistema de Acceso a la Información Mexiquense </w:t>
      </w:r>
      <w:r w:rsidR="00BC0DDF" w:rsidRPr="00D531DC">
        <w:rPr>
          <w:rFonts w:ascii="Palatino Linotype" w:hAnsi="Palatino Linotype" w:cs="Arial"/>
          <w:b/>
          <w:sz w:val="24"/>
          <w:szCs w:val="24"/>
        </w:rPr>
        <w:t>(SAIMEX),</w:t>
      </w:r>
      <w:r w:rsidR="00BC0DDF" w:rsidRPr="00D531DC">
        <w:rPr>
          <w:rFonts w:ascii="Palatino Linotype" w:hAnsi="Palatino Linotype" w:cs="Arial"/>
          <w:b/>
          <w:bCs/>
          <w:sz w:val="24"/>
          <w:szCs w:val="24"/>
        </w:rPr>
        <w:t xml:space="preserve"> </w:t>
      </w:r>
      <w:r w:rsidR="00BC0DDF" w:rsidRPr="00D531DC">
        <w:rPr>
          <w:rFonts w:ascii="Palatino Linotype" w:hAnsi="Palatino Linotype" w:cs="Arial"/>
          <w:sz w:val="24"/>
          <w:szCs w:val="24"/>
        </w:rPr>
        <w:t xml:space="preserve">en versión pública de ser procedente, en términos del Considerando </w:t>
      </w:r>
      <w:r w:rsidR="00BC0DDF" w:rsidRPr="00D531DC">
        <w:rPr>
          <w:rFonts w:ascii="Palatino Linotype" w:hAnsi="Palatino Linotype" w:cs="Arial"/>
          <w:b/>
          <w:sz w:val="24"/>
          <w:szCs w:val="24"/>
        </w:rPr>
        <w:t xml:space="preserve">CUARTO </w:t>
      </w:r>
      <w:r w:rsidR="00BC0DDF" w:rsidRPr="00D531DC">
        <w:rPr>
          <w:rFonts w:ascii="Palatino Linotype" w:hAnsi="Palatino Linotype" w:cs="Arial"/>
          <w:sz w:val="24"/>
          <w:szCs w:val="24"/>
        </w:rPr>
        <w:t>de esta resolución</w:t>
      </w:r>
      <w:r w:rsidR="00BC0DDF" w:rsidRPr="00D531DC">
        <w:rPr>
          <w:rFonts w:ascii="Palatino Linotype" w:hAnsi="Palatino Linotype" w:cs="Arial"/>
          <w:b/>
          <w:sz w:val="24"/>
          <w:szCs w:val="24"/>
        </w:rPr>
        <w:t xml:space="preserve">, </w:t>
      </w:r>
      <w:r w:rsidR="00BC0DDF" w:rsidRPr="00D531DC">
        <w:rPr>
          <w:rFonts w:ascii="Palatino Linotype" w:hAnsi="Palatino Linotype" w:cs="Arial"/>
          <w:sz w:val="24"/>
          <w:szCs w:val="24"/>
        </w:rPr>
        <w:t>de lo siguiente:</w:t>
      </w:r>
    </w:p>
    <w:p w14:paraId="56BBB955" w14:textId="77777777" w:rsidR="00962002" w:rsidRPr="00D531DC" w:rsidRDefault="00962002" w:rsidP="00962002">
      <w:pPr>
        <w:pStyle w:val="Prrafodelista"/>
        <w:numPr>
          <w:ilvl w:val="0"/>
          <w:numId w:val="21"/>
        </w:numPr>
        <w:autoSpaceDE w:val="0"/>
        <w:autoSpaceDN w:val="0"/>
        <w:adjustRightInd w:val="0"/>
        <w:spacing w:before="240" w:line="360" w:lineRule="auto"/>
        <w:jc w:val="both"/>
        <w:rPr>
          <w:rFonts w:ascii="Palatino Linotype" w:hAnsi="Palatino Linotype"/>
          <w:i/>
          <w:iCs/>
          <w:color w:val="000000"/>
        </w:rPr>
      </w:pPr>
      <w:r w:rsidRPr="00D531DC">
        <w:rPr>
          <w:rFonts w:ascii="Palatino Linotype" w:hAnsi="Palatino Linotype"/>
          <w:i/>
          <w:iCs/>
          <w:color w:val="000000"/>
        </w:rPr>
        <w:lastRenderedPageBreak/>
        <w:t xml:space="preserve">El o los documentos donde consten las verificaciones realizadas a bares, cantinas, restaurantes bar, centros botaneros y establecimientos comerciales con licencias de funcionamiento, por parte de la Dirección de Gobernación, del periodo comprendido del uno de enero de dos mil veinticinco al veintidós de abril de dos mil veintiséis. </w:t>
      </w:r>
    </w:p>
    <w:p w14:paraId="3DE250F1" w14:textId="77777777" w:rsidR="00872B52" w:rsidRPr="00D531DC" w:rsidRDefault="00872B52" w:rsidP="00872B52">
      <w:pPr>
        <w:pStyle w:val="Prrafodelista"/>
        <w:spacing w:line="360" w:lineRule="auto"/>
        <w:ind w:left="720"/>
        <w:contextualSpacing/>
        <w:jc w:val="both"/>
        <w:rPr>
          <w:rFonts w:ascii="Palatino Linotype" w:hAnsi="Palatino Linotype"/>
          <w:i/>
          <w:iCs/>
          <w:color w:val="000000"/>
        </w:rPr>
      </w:pPr>
    </w:p>
    <w:p w14:paraId="2E47F8DB" w14:textId="48B79E03" w:rsidR="00872B52" w:rsidRPr="00D531DC" w:rsidRDefault="00872B52" w:rsidP="00872B52">
      <w:pPr>
        <w:pStyle w:val="Sinespaciado"/>
        <w:spacing w:line="360" w:lineRule="auto"/>
        <w:ind w:left="720"/>
        <w:jc w:val="both"/>
        <w:rPr>
          <w:rFonts w:ascii="Palatino Linotype" w:hAnsi="Palatino Linotype" w:cs="Arial"/>
          <w:i/>
        </w:rPr>
      </w:pPr>
      <w:r w:rsidRPr="00D531DC">
        <w:rPr>
          <w:rFonts w:ascii="Palatino Linotype" w:hAnsi="Palatino Linotype" w:cs="Arial"/>
          <w:i/>
        </w:rPr>
        <w:t>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w:t>
      </w:r>
      <w:r w:rsidR="00C52F23" w:rsidRPr="00D531DC">
        <w:rPr>
          <w:rFonts w:ascii="Palatino Linotype" w:hAnsi="Palatino Linotype" w:cs="Arial"/>
          <w:i/>
        </w:rPr>
        <w:t xml:space="preserve"> la</w:t>
      </w:r>
      <w:r w:rsidRPr="00D531DC">
        <w:rPr>
          <w:rFonts w:ascii="Palatino Linotype" w:hAnsi="Palatino Linotype" w:cs="Arial"/>
          <w:i/>
        </w:rPr>
        <w:t xml:space="preserve"> recurrente.</w:t>
      </w:r>
    </w:p>
    <w:p w14:paraId="1A22B218" w14:textId="77777777" w:rsidR="00872B52" w:rsidRPr="00D531DC" w:rsidRDefault="00872B52" w:rsidP="00872B52">
      <w:pPr>
        <w:spacing w:line="360" w:lineRule="auto"/>
        <w:jc w:val="both"/>
        <w:rPr>
          <w:rFonts w:ascii="Palatino Linotype" w:hAnsi="Palatino Linotype" w:cs="Arial"/>
          <w:b/>
          <w:sz w:val="28"/>
        </w:rPr>
      </w:pPr>
    </w:p>
    <w:p w14:paraId="4016EF9A" w14:textId="77777777" w:rsidR="00872B52" w:rsidRPr="00D531DC" w:rsidRDefault="00872B52" w:rsidP="00872B52">
      <w:pPr>
        <w:spacing w:line="360" w:lineRule="auto"/>
        <w:jc w:val="both"/>
        <w:rPr>
          <w:rFonts w:ascii="Palatino Linotype" w:hAnsi="Palatino Linotype" w:cs="Tahoma"/>
          <w:bCs/>
          <w:sz w:val="24"/>
          <w:szCs w:val="24"/>
        </w:rPr>
      </w:pPr>
      <w:r w:rsidRPr="00D531DC">
        <w:rPr>
          <w:rFonts w:ascii="Palatino Linotype" w:hAnsi="Palatino Linotype" w:cs="Arial"/>
          <w:b/>
          <w:sz w:val="24"/>
          <w:szCs w:val="24"/>
        </w:rPr>
        <w:t>TERCERO.</w:t>
      </w:r>
      <w:r w:rsidRPr="00D531DC">
        <w:rPr>
          <w:rFonts w:ascii="Palatino Linotype" w:hAnsi="Palatino Linotype" w:cs="Arial"/>
          <w:sz w:val="24"/>
          <w:szCs w:val="24"/>
        </w:rPr>
        <w:t xml:space="preserve"> </w:t>
      </w:r>
      <w:r w:rsidRPr="00D531DC">
        <w:rPr>
          <w:rFonts w:ascii="Palatino Linotype" w:hAnsi="Palatino Linotype" w:cs="Tahoma"/>
          <w:b/>
          <w:sz w:val="24"/>
          <w:szCs w:val="24"/>
        </w:rPr>
        <w:t xml:space="preserve">NOTIFÍQUESE </w:t>
      </w:r>
      <w:r w:rsidRPr="00D531DC">
        <w:rPr>
          <w:rFonts w:ascii="Palatino Linotype" w:hAnsi="Palatino Linotype" w:cs="Arial"/>
          <w:sz w:val="24"/>
          <w:szCs w:val="24"/>
        </w:rPr>
        <w:t xml:space="preserve">a través del Sistema de Acceso a la Información Mexiquense </w:t>
      </w:r>
      <w:r w:rsidRPr="00D531DC">
        <w:rPr>
          <w:rFonts w:ascii="Palatino Linotype" w:hAnsi="Palatino Linotype" w:cs="Arial"/>
          <w:b/>
          <w:sz w:val="24"/>
          <w:szCs w:val="24"/>
        </w:rPr>
        <w:t>(SAIMEX)</w:t>
      </w:r>
      <w:r w:rsidRPr="00D531DC">
        <w:rPr>
          <w:rFonts w:ascii="Palatino Linotype" w:hAnsi="Palatino Linotype" w:cs="Arial"/>
          <w:sz w:val="24"/>
          <w:szCs w:val="24"/>
        </w:rPr>
        <w:t xml:space="preserve">, </w:t>
      </w:r>
      <w:r w:rsidRPr="00D531DC">
        <w:rPr>
          <w:rFonts w:ascii="Palatino Linotype" w:hAnsi="Palatino Linotype" w:cs="Tahoma"/>
          <w:sz w:val="24"/>
          <w:szCs w:val="24"/>
        </w:rPr>
        <w:t xml:space="preserve">la presente Resolución al Titular de la Unidad de Transparencia del </w:t>
      </w:r>
      <w:r w:rsidRPr="00D531DC">
        <w:rPr>
          <w:rFonts w:ascii="Palatino Linotype" w:hAnsi="Palatino Linotype" w:cs="Tahoma"/>
          <w:b/>
          <w:sz w:val="24"/>
          <w:szCs w:val="24"/>
        </w:rPr>
        <w:t>Sujeto Obligado</w:t>
      </w:r>
      <w:r w:rsidRPr="00D531DC">
        <w:rPr>
          <w:rFonts w:ascii="Palatino Linotype" w:hAnsi="Palatino Linotype" w:cs="Tahoma"/>
          <w:sz w:val="24"/>
          <w:szCs w:val="24"/>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w:t>
      </w:r>
      <w:r w:rsidRPr="00D531DC">
        <w:rPr>
          <w:rFonts w:ascii="Palatino Linotype" w:eastAsia="Palatino Linotype" w:hAnsi="Palatino Linotype" w:cs="Palatino Linotype"/>
          <w:bCs/>
          <w:color w:val="000000"/>
          <w:sz w:val="24"/>
          <w:szCs w:val="24"/>
          <w:lang w:val="es-ES_tradnl" w:eastAsia="es-MX"/>
        </w:rPr>
        <w:t>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4AF2B937" w14:textId="77777777" w:rsidR="00872B52" w:rsidRPr="00D531DC" w:rsidRDefault="00872B52" w:rsidP="00872B52">
      <w:pPr>
        <w:autoSpaceDE w:val="0"/>
        <w:autoSpaceDN w:val="0"/>
        <w:adjustRightInd w:val="0"/>
        <w:spacing w:line="360" w:lineRule="auto"/>
        <w:jc w:val="both"/>
        <w:rPr>
          <w:rFonts w:ascii="Palatino Linotype" w:hAnsi="Palatino Linotype" w:cs="Arial"/>
          <w:b/>
          <w:sz w:val="24"/>
          <w:szCs w:val="24"/>
        </w:rPr>
      </w:pPr>
    </w:p>
    <w:p w14:paraId="5CB85DC0" w14:textId="77777777" w:rsidR="00872B52" w:rsidRPr="00D531DC" w:rsidRDefault="00872B52" w:rsidP="00872B52">
      <w:pPr>
        <w:autoSpaceDE w:val="0"/>
        <w:autoSpaceDN w:val="0"/>
        <w:adjustRightInd w:val="0"/>
        <w:spacing w:line="360" w:lineRule="auto"/>
        <w:jc w:val="both"/>
        <w:rPr>
          <w:rFonts w:ascii="Palatino Linotype" w:hAnsi="Palatino Linotype" w:cs="Arial"/>
          <w:sz w:val="24"/>
          <w:szCs w:val="24"/>
        </w:rPr>
      </w:pPr>
      <w:r w:rsidRPr="00D531DC">
        <w:rPr>
          <w:rFonts w:ascii="Palatino Linotype" w:hAnsi="Palatino Linotype" w:cs="Arial"/>
          <w:b/>
          <w:sz w:val="24"/>
          <w:szCs w:val="24"/>
        </w:rPr>
        <w:lastRenderedPageBreak/>
        <w:t xml:space="preserve">CUARTO. </w:t>
      </w:r>
      <w:r w:rsidRPr="00D531DC">
        <w:rPr>
          <w:rFonts w:ascii="Palatino Linotype" w:hAnsi="Palatino Linotype" w:cs="Arial"/>
          <w:sz w:val="24"/>
          <w:szCs w:val="24"/>
        </w:rPr>
        <w:t xml:space="preserve">De conformidad con el artículo 198 de la Ley de Transparencia y Acceso a la Información Pública del Estado de México y Municipios, de considerarlo procedente, el </w:t>
      </w:r>
      <w:r w:rsidRPr="00D531DC">
        <w:rPr>
          <w:rFonts w:ascii="Palatino Linotype" w:hAnsi="Palatino Linotype" w:cs="Arial"/>
          <w:b/>
          <w:sz w:val="24"/>
          <w:szCs w:val="24"/>
        </w:rPr>
        <w:t>Sujeto Obligado</w:t>
      </w:r>
      <w:r w:rsidRPr="00D531DC">
        <w:rPr>
          <w:rFonts w:ascii="Palatino Linotype" w:hAnsi="Palatino Linotype" w:cs="Arial"/>
          <w:sz w:val="24"/>
          <w:szCs w:val="24"/>
        </w:rPr>
        <w:t xml:space="preserve"> de manera fundada y motivada, podrá solicitar una ampliación de plazo para el cumplimiento de la presente resolución.</w:t>
      </w:r>
    </w:p>
    <w:p w14:paraId="27F188BC" w14:textId="77777777" w:rsidR="00872B52" w:rsidRPr="00D531DC" w:rsidRDefault="00872B52" w:rsidP="00872B52">
      <w:pPr>
        <w:autoSpaceDE w:val="0"/>
        <w:autoSpaceDN w:val="0"/>
        <w:adjustRightInd w:val="0"/>
        <w:spacing w:line="360" w:lineRule="auto"/>
        <w:jc w:val="both"/>
        <w:rPr>
          <w:rFonts w:ascii="Palatino Linotype" w:hAnsi="Palatino Linotype" w:cs="Arial"/>
          <w:sz w:val="24"/>
          <w:szCs w:val="24"/>
        </w:rPr>
      </w:pPr>
    </w:p>
    <w:p w14:paraId="7817630B" w14:textId="18478F9E" w:rsidR="00872B52" w:rsidRPr="00D531DC" w:rsidRDefault="00872B52" w:rsidP="00872B52">
      <w:pPr>
        <w:autoSpaceDE w:val="0"/>
        <w:autoSpaceDN w:val="0"/>
        <w:adjustRightInd w:val="0"/>
        <w:spacing w:line="360" w:lineRule="auto"/>
        <w:jc w:val="both"/>
        <w:rPr>
          <w:rFonts w:ascii="Palatino Linotype" w:hAnsi="Palatino Linotype" w:cs="Arial"/>
          <w:sz w:val="24"/>
          <w:szCs w:val="24"/>
        </w:rPr>
      </w:pPr>
      <w:r w:rsidRPr="00D531DC">
        <w:rPr>
          <w:rFonts w:ascii="Palatino Linotype" w:hAnsi="Palatino Linotype"/>
          <w:b/>
          <w:sz w:val="24"/>
          <w:szCs w:val="24"/>
        </w:rPr>
        <w:t xml:space="preserve">QUINTO. </w:t>
      </w:r>
      <w:r w:rsidRPr="00D531DC">
        <w:rPr>
          <w:rFonts w:ascii="Palatino Linotype" w:hAnsi="Palatino Linotype" w:cs="Arial"/>
          <w:b/>
          <w:sz w:val="24"/>
          <w:szCs w:val="24"/>
        </w:rPr>
        <w:t>NOTIFÍQUESE</w:t>
      </w:r>
      <w:r w:rsidRPr="00D531DC">
        <w:rPr>
          <w:rFonts w:ascii="Palatino Linotype" w:hAnsi="Palatino Linotype" w:cs="Arial"/>
          <w:sz w:val="24"/>
          <w:szCs w:val="24"/>
        </w:rPr>
        <w:t xml:space="preserve"> a través del Sistema de Acceso a la Información Mexiquense </w:t>
      </w:r>
      <w:r w:rsidRPr="00D531DC">
        <w:rPr>
          <w:rFonts w:ascii="Palatino Linotype" w:hAnsi="Palatino Linotype" w:cs="Arial"/>
          <w:b/>
          <w:bCs/>
          <w:sz w:val="24"/>
          <w:szCs w:val="24"/>
        </w:rPr>
        <w:t>(SAIMEX),</w:t>
      </w:r>
      <w:r w:rsidRPr="00D531DC">
        <w:rPr>
          <w:rFonts w:ascii="Palatino Linotype" w:hAnsi="Palatino Linotype" w:cs="Arial"/>
          <w:sz w:val="24"/>
          <w:szCs w:val="24"/>
        </w:rPr>
        <w:t xml:space="preserve"> a</w:t>
      </w:r>
      <w:r w:rsidR="00C52F23" w:rsidRPr="00D531DC">
        <w:rPr>
          <w:rFonts w:ascii="Palatino Linotype" w:hAnsi="Palatino Linotype" w:cs="Arial"/>
          <w:sz w:val="24"/>
          <w:szCs w:val="24"/>
        </w:rPr>
        <w:t xml:space="preserve"> </w:t>
      </w:r>
      <w:r w:rsidR="00C52F23" w:rsidRPr="00D531DC">
        <w:rPr>
          <w:rFonts w:ascii="Palatino Linotype" w:hAnsi="Palatino Linotype" w:cs="Arial"/>
          <w:b/>
          <w:bCs/>
          <w:sz w:val="24"/>
          <w:szCs w:val="24"/>
        </w:rPr>
        <w:t>LA</w:t>
      </w:r>
      <w:r w:rsidRPr="00D531DC">
        <w:rPr>
          <w:rFonts w:ascii="Palatino Linotype" w:hAnsi="Palatino Linotype" w:cs="Arial"/>
          <w:sz w:val="24"/>
          <w:szCs w:val="24"/>
        </w:rPr>
        <w:t xml:space="preserve"> </w:t>
      </w:r>
      <w:r w:rsidRPr="00D531DC">
        <w:rPr>
          <w:rFonts w:ascii="Palatino Linotype" w:hAnsi="Palatino Linotype" w:cs="Arial"/>
          <w:b/>
          <w:sz w:val="24"/>
          <w:szCs w:val="24"/>
        </w:rPr>
        <w:t>RECURRENTE</w:t>
      </w:r>
      <w:r w:rsidRPr="00D531DC">
        <w:rPr>
          <w:rFonts w:ascii="Palatino Linotype" w:hAnsi="Palatino Linotype" w:cs="Arial"/>
          <w:sz w:val="24"/>
          <w:szCs w:val="24"/>
        </w:rPr>
        <w:t xml:space="preserve"> y hágasele del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14:paraId="343F9987" w14:textId="77777777" w:rsidR="00872B52" w:rsidRPr="00D531DC" w:rsidRDefault="00872B52" w:rsidP="00872B52">
      <w:pPr>
        <w:autoSpaceDE w:val="0"/>
        <w:autoSpaceDN w:val="0"/>
        <w:adjustRightInd w:val="0"/>
        <w:spacing w:line="360" w:lineRule="auto"/>
        <w:jc w:val="both"/>
        <w:rPr>
          <w:rFonts w:ascii="Palatino Linotype" w:hAnsi="Palatino Linotype" w:cs="Arial"/>
          <w:sz w:val="24"/>
          <w:szCs w:val="24"/>
        </w:rPr>
      </w:pPr>
    </w:p>
    <w:p w14:paraId="7D1A2E52" w14:textId="436C8C85" w:rsidR="00B548BC" w:rsidRPr="00D531DC" w:rsidRDefault="00D531DC" w:rsidP="00B548BC">
      <w:pPr>
        <w:pStyle w:val="Prrafodelista"/>
        <w:autoSpaceDE w:val="0"/>
        <w:autoSpaceDN w:val="0"/>
        <w:adjustRightInd w:val="0"/>
        <w:spacing w:before="240" w:after="160" w:line="360" w:lineRule="auto"/>
        <w:ind w:left="0"/>
        <w:jc w:val="both"/>
        <w:rPr>
          <w:rFonts w:ascii="Palatino Linotype" w:hAnsi="Palatino Linotype" w:cs="Arial"/>
        </w:rPr>
      </w:pPr>
      <w:bookmarkStart w:id="2" w:name="_Hlk201157102"/>
      <w:r w:rsidRPr="00D531DC">
        <w:rPr>
          <w:rFonts w:ascii="Palatino Linotype" w:hAnsi="Palatino Linotype" w:cs="Arial"/>
        </w:rPr>
        <w:t>ASÍ LO RESUELVE, POR UNANIMIDAD DE VOTOS, EL PLENO DEL</w:t>
      </w:r>
      <w:r w:rsidRPr="00D531DC">
        <w:rPr>
          <w:rFonts w:ascii="Palatino Linotype" w:eastAsia="Arial Unicode MS" w:hAnsi="Palatino Linotype" w:cs="Arial"/>
        </w:rPr>
        <w:t xml:space="preserve"> INSTITUTO DE TRANSPARENCIA, ACCESO A LA INFORMACIÓN PÚBLICA Y PROTECCIÓN DE DATOS PERSONALES DEL ESTADO DE MÉXICO Y MUNICIPIOS</w:t>
      </w:r>
      <w:r w:rsidRPr="00D531DC">
        <w:rPr>
          <w:rFonts w:ascii="Palatino Linotype" w:hAnsi="Palatino Linotype" w:cs="Arial"/>
        </w:rPr>
        <w:t>, CONFORMADO POR LOS COMISIONADOS JOSÉ MARTÍNEZ VILCHIS, MARÍA DEL ROSARIO MEJÍA AYALA, SHARON CRISTINA MORALES MARTÍNEZ, LUIS GUSTAVO PARRA NORIEGA Y GUADALUPE RAMÍREZ PEÑA, EN LA VIGÉSIMA SEGUNDA SESIÓN ORDINARIA CELEBRADA EL DIECISIETE DE JUNIO DE DOS MIL VEINTISÉIS, ANTE EL SECRETARIO TÉCNICO DEL PLENO, ALEXIS TAPIA RAMÍREZ</w:t>
      </w:r>
      <w:r w:rsidR="00B548BC" w:rsidRPr="00D531DC">
        <w:rPr>
          <w:rFonts w:ascii="Palatino Linotype" w:hAnsi="Palatino Linotype" w:cs="Arial"/>
        </w:rPr>
        <w:t xml:space="preserve">. </w:t>
      </w:r>
    </w:p>
    <w:p w14:paraId="706FF5CC" w14:textId="77777777" w:rsidR="00B548BC" w:rsidRPr="005409C9" w:rsidRDefault="00B548BC" w:rsidP="00B548BC">
      <w:pPr>
        <w:pStyle w:val="Prrafodelista"/>
        <w:autoSpaceDE w:val="0"/>
        <w:autoSpaceDN w:val="0"/>
        <w:adjustRightInd w:val="0"/>
        <w:spacing w:before="240" w:after="160" w:line="360" w:lineRule="auto"/>
        <w:ind w:left="0"/>
        <w:jc w:val="both"/>
        <w:rPr>
          <w:rFonts w:ascii="Palatino Linotype" w:hAnsi="Palatino Linotype"/>
          <w:bCs/>
          <w:sz w:val="18"/>
          <w:szCs w:val="18"/>
        </w:rPr>
      </w:pPr>
      <w:r w:rsidRPr="00D531DC">
        <w:rPr>
          <w:rFonts w:ascii="Palatino Linotype" w:hAnsi="Palatino Linotype"/>
          <w:bCs/>
          <w:sz w:val="18"/>
          <w:szCs w:val="18"/>
        </w:rPr>
        <w:t>CCR/JCMA</w:t>
      </w:r>
    </w:p>
    <w:bookmarkEnd w:id="2"/>
    <w:p w14:paraId="3E359F71" w14:textId="5B55834C" w:rsidR="00872B52" w:rsidRDefault="00872B52" w:rsidP="00872B52">
      <w:pPr>
        <w:pStyle w:val="Citas"/>
        <w:ind w:left="0" w:right="0"/>
        <w:rPr>
          <w:bCs/>
          <w:i w:val="0"/>
          <w:iCs/>
          <w:sz w:val="18"/>
          <w:szCs w:val="18"/>
        </w:rPr>
      </w:pPr>
    </w:p>
    <w:p w14:paraId="2A3291BC" w14:textId="77777777" w:rsidR="00872B52" w:rsidRDefault="00872B52" w:rsidP="00872B52">
      <w:pPr>
        <w:pStyle w:val="Citas"/>
        <w:ind w:left="0" w:right="0"/>
        <w:rPr>
          <w:bCs/>
          <w:i w:val="0"/>
          <w:iCs/>
          <w:sz w:val="18"/>
          <w:szCs w:val="18"/>
        </w:rPr>
      </w:pPr>
    </w:p>
    <w:p w14:paraId="710DB169" w14:textId="77777777" w:rsidR="00872B52" w:rsidRDefault="00872B52" w:rsidP="00872B52">
      <w:pPr>
        <w:pStyle w:val="Citas"/>
        <w:ind w:left="0" w:right="0"/>
        <w:rPr>
          <w:bCs/>
          <w:i w:val="0"/>
          <w:iCs/>
          <w:sz w:val="18"/>
          <w:szCs w:val="18"/>
        </w:rPr>
      </w:pPr>
    </w:p>
    <w:p w14:paraId="355BFA5D" w14:textId="77777777" w:rsidR="00872B52" w:rsidRDefault="00872B52" w:rsidP="00872B52">
      <w:pPr>
        <w:pStyle w:val="Citas"/>
        <w:ind w:left="0" w:right="0"/>
        <w:rPr>
          <w:bCs/>
          <w:i w:val="0"/>
          <w:iCs/>
          <w:sz w:val="18"/>
          <w:szCs w:val="18"/>
        </w:rPr>
      </w:pPr>
    </w:p>
    <w:p w14:paraId="5382CB6B" w14:textId="5BC2A395" w:rsidR="002764D6" w:rsidRDefault="002764D6" w:rsidP="004D6459">
      <w:pPr>
        <w:pStyle w:val="Citas"/>
        <w:tabs>
          <w:tab w:val="left" w:pos="7470"/>
        </w:tabs>
        <w:ind w:left="0" w:right="72"/>
        <w:rPr>
          <w:bCs/>
          <w:i w:val="0"/>
          <w:iCs/>
          <w:sz w:val="24"/>
          <w:szCs w:val="24"/>
        </w:rPr>
      </w:pPr>
    </w:p>
    <w:sectPr w:rsidR="002764D6" w:rsidSect="00FB4AAD">
      <w:headerReference w:type="default" r:id="rId10"/>
      <w:footerReference w:type="default" r:id="rId11"/>
      <w:headerReference w:type="first" r:id="rId12"/>
      <w:footerReference w:type="first" r:id="rId13"/>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B28661" w14:textId="77777777" w:rsidR="00033919" w:rsidRPr="0037314A" w:rsidRDefault="00033919" w:rsidP="006168E4">
      <w:pPr>
        <w:spacing w:after="0" w:line="240" w:lineRule="auto"/>
      </w:pPr>
      <w:r w:rsidRPr="0037314A">
        <w:separator/>
      </w:r>
    </w:p>
  </w:endnote>
  <w:endnote w:type="continuationSeparator" w:id="0">
    <w:p w14:paraId="3BE3F7EB" w14:textId="77777777" w:rsidR="00033919" w:rsidRPr="0037314A" w:rsidRDefault="00033919" w:rsidP="006168E4">
      <w:pPr>
        <w:spacing w:after="0" w:line="240" w:lineRule="auto"/>
      </w:pPr>
      <w:r w:rsidRPr="003731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FBF03E" w14:textId="77777777" w:rsidR="00C70B4A" w:rsidRPr="0037314A" w:rsidRDefault="00C70B4A" w:rsidP="00FB4AAD">
    <w:pPr>
      <w:pStyle w:val="Piedepgina"/>
      <w:jc w:val="right"/>
      <w:rPr>
        <w:rFonts w:ascii="Palatino Linotype" w:hAnsi="Palatino Linotype"/>
        <w:sz w:val="20"/>
        <w:lang w:val="es-MX"/>
      </w:rPr>
    </w:pPr>
    <w:r w:rsidRPr="0037314A">
      <w:rPr>
        <w:rFonts w:ascii="Palatino Linotype" w:hAnsi="Palatino Linotype"/>
        <w:sz w:val="20"/>
        <w:lang w:val="es-MX"/>
      </w:rPr>
      <w:t xml:space="preserve">Página </w:t>
    </w:r>
    <w:r w:rsidRPr="0037314A">
      <w:rPr>
        <w:rFonts w:ascii="Palatino Linotype" w:hAnsi="Palatino Linotype"/>
        <w:bCs/>
        <w:sz w:val="20"/>
        <w:lang w:val="es-MX"/>
      </w:rPr>
      <w:fldChar w:fldCharType="begin"/>
    </w:r>
    <w:r w:rsidRPr="0037314A">
      <w:rPr>
        <w:rFonts w:ascii="Palatino Linotype" w:hAnsi="Palatino Linotype"/>
        <w:bCs/>
        <w:sz w:val="20"/>
        <w:lang w:val="es-MX"/>
      </w:rPr>
      <w:instrText>PAGE  \* Arabic  \* MERGEFORMAT</w:instrText>
    </w:r>
    <w:r w:rsidRPr="0037314A">
      <w:rPr>
        <w:rFonts w:ascii="Palatino Linotype" w:hAnsi="Palatino Linotype"/>
        <w:bCs/>
        <w:sz w:val="20"/>
        <w:lang w:val="es-MX"/>
      </w:rPr>
      <w:fldChar w:fldCharType="separate"/>
    </w:r>
    <w:r w:rsidR="00B721B4">
      <w:rPr>
        <w:rFonts w:ascii="Palatino Linotype" w:hAnsi="Palatino Linotype"/>
        <w:bCs/>
        <w:noProof/>
        <w:sz w:val="20"/>
        <w:lang w:val="es-MX"/>
      </w:rPr>
      <w:t>20</w:t>
    </w:r>
    <w:r w:rsidRPr="0037314A">
      <w:rPr>
        <w:rFonts w:ascii="Palatino Linotype" w:hAnsi="Palatino Linotype"/>
        <w:bCs/>
        <w:sz w:val="20"/>
        <w:lang w:val="es-MX"/>
      </w:rPr>
      <w:fldChar w:fldCharType="end"/>
    </w:r>
    <w:r w:rsidRPr="0037314A">
      <w:rPr>
        <w:rFonts w:ascii="Palatino Linotype" w:hAnsi="Palatino Linotype"/>
        <w:sz w:val="20"/>
        <w:lang w:val="es-MX"/>
      </w:rPr>
      <w:t xml:space="preserve"> de </w:t>
    </w:r>
    <w:r w:rsidRPr="0037314A">
      <w:rPr>
        <w:rFonts w:ascii="Palatino Linotype" w:hAnsi="Palatino Linotype"/>
        <w:bCs/>
        <w:sz w:val="20"/>
        <w:lang w:val="es-MX"/>
      </w:rPr>
      <w:fldChar w:fldCharType="begin"/>
    </w:r>
    <w:r w:rsidRPr="0037314A">
      <w:rPr>
        <w:rFonts w:ascii="Palatino Linotype" w:hAnsi="Palatino Linotype"/>
        <w:bCs/>
        <w:sz w:val="20"/>
        <w:lang w:val="es-MX"/>
      </w:rPr>
      <w:instrText>NUMPAGES  \* Arabic  \* MERGEFORMAT</w:instrText>
    </w:r>
    <w:r w:rsidRPr="0037314A">
      <w:rPr>
        <w:rFonts w:ascii="Palatino Linotype" w:hAnsi="Palatino Linotype"/>
        <w:bCs/>
        <w:sz w:val="20"/>
        <w:lang w:val="es-MX"/>
      </w:rPr>
      <w:fldChar w:fldCharType="separate"/>
    </w:r>
    <w:r w:rsidR="00B721B4">
      <w:rPr>
        <w:rFonts w:ascii="Palatino Linotype" w:hAnsi="Palatino Linotype"/>
        <w:bCs/>
        <w:noProof/>
        <w:sz w:val="20"/>
        <w:lang w:val="es-MX"/>
      </w:rPr>
      <w:t>31</w:t>
    </w:r>
    <w:r w:rsidRPr="0037314A">
      <w:rPr>
        <w:rFonts w:ascii="Palatino Linotype" w:hAnsi="Palatino Linotype"/>
        <w:bCs/>
        <w:sz w:val="20"/>
        <w:lang w:val="es-MX"/>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FF2FDF" w14:textId="77777777" w:rsidR="00C70B4A" w:rsidRPr="0037314A" w:rsidRDefault="00C70B4A" w:rsidP="00FB4AAD">
    <w:pPr>
      <w:pStyle w:val="Piedepgina"/>
      <w:jc w:val="right"/>
      <w:rPr>
        <w:rFonts w:ascii="Palatino Linotype" w:hAnsi="Palatino Linotype"/>
        <w:sz w:val="20"/>
        <w:lang w:val="es-MX"/>
      </w:rPr>
    </w:pPr>
    <w:r w:rsidRPr="0037314A">
      <w:rPr>
        <w:rFonts w:ascii="Palatino Linotype" w:hAnsi="Palatino Linotype"/>
        <w:sz w:val="20"/>
        <w:lang w:val="es-MX"/>
      </w:rPr>
      <w:t xml:space="preserve">Página </w:t>
    </w:r>
    <w:r w:rsidRPr="0037314A">
      <w:rPr>
        <w:rFonts w:ascii="Palatino Linotype" w:hAnsi="Palatino Linotype"/>
        <w:bCs/>
        <w:sz w:val="20"/>
        <w:lang w:val="es-MX"/>
      </w:rPr>
      <w:fldChar w:fldCharType="begin"/>
    </w:r>
    <w:r w:rsidRPr="0037314A">
      <w:rPr>
        <w:rFonts w:ascii="Palatino Linotype" w:hAnsi="Palatino Linotype"/>
        <w:bCs/>
        <w:sz w:val="20"/>
        <w:lang w:val="es-MX"/>
      </w:rPr>
      <w:instrText>PAGE  \* Arabic  \* MERGEFORMAT</w:instrText>
    </w:r>
    <w:r w:rsidRPr="0037314A">
      <w:rPr>
        <w:rFonts w:ascii="Palatino Linotype" w:hAnsi="Palatino Linotype"/>
        <w:bCs/>
        <w:sz w:val="20"/>
        <w:lang w:val="es-MX"/>
      </w:rPr>
      <w:fldChar w:fldCharType="separate"/>
    </w:r>
    <w:r w:rsidR="00B721B4">
      <w:rPr>
        <w:rFonts w:ascii="Palatino Linotype" w:hAnsi="Palatino Linotype"/>
        <w:bCs/>
        <w:noProof/>
        <w:sz w:val="20"/>
        <w:lang w:val="es-MX"/>
      </w:rPr>
      <w:t>1</w:t>
    </w:r>
    <w:r w:rsidRPr="0037314A">
      <w:rPr>
        <w:rFonts w:ascii="Palatino Linotype" w:hAnsi="Palatino Linotype"/>
        <w:bCs/>
        <w:sz w:val="20"/>
        <w:lang w:val="es-MX"/>
      </w:rPr>
      <w:fldChar w:fldCharType="end"/>
    </w:r>
    <w:r w:rsidRPr="0037314A">
      <w:rPr>
        <w:rFonts w:ascii="Palatino Linotype" w:hAnsi="Palatino Linotype"/>
        <w:sz w:val="20"/>
        <w:lang w:val="es-MX"/>
      </w:rPr>
      <w:t xml:space="preserve"> de </w:t>
    </w:r>
    <w:r w:rsidRPr="0037314A">
      <w:rPr>
        <w:rFonts w:ascii="Palatino Linotype" w:hAnsi="Palatino Linotype"/>
        <w:bCs/>
        <w:sz w:val="20"/>
        <w:lang w:val="es-MX"/>
      </w:rPr>
      <w:fldChar w:fldCharType="begin"/>
    </w:r>
    <w:r w:rsidRPr="0037314A">
      <w:rPr>
        <w:rFonts w:ascii="Palatino Linotype" w:hAnsi="Palatino Linotype"/>
        <w:bCs/>
        <w:sz w:val="20"/>
        <w:lang w:val="es-MX"/>
      </w:rPr>
      <w:instrText>NUMPAGES  \* Arabic  \* MERGEFORMAT</w:instrText>
    </w:r>
    <w:r w:rsidRPr="0037314A">
      <w:rPr>
        <w:rFonts w:ascii="Palatino Linotype" w:hAnsi="Palatino Linotype"/>
        <w:bCs/>
        <w:sz w:val="20"/>
        <w:lang w:val="es-MX"/>
      </w:rPr>
      <w:fldChar w:fldCharType="separate"/>
    </w:r>
    <w:r w:rsidR="00B721B4">
      <w:rPr>
        <w:rFonts w:ascii="Palatino Linotype" w:hAnsi="Palatino Linotype"/>
        <w:bCs/>
        <w:noProof/>
        <w:sz w:val="20"/>
        <w:lang w:val="es-MX"/>
      </w:rPr>
      <w:t>31</w:t>
    </w:r>
    <w:r w:rsidRPr="0037314A">
      <w:rPr>
        <w:rFonts w:ascii="Palatino Linotype" w:hAnsi="Palatino Linotype"/>
        <w:bCs/>
        <w:sz w:val="20"/>
        <w:lang w:val="es-MX"/>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A0EC17" w14:textId="77777777" w:rsidR="00033919" w:rsidRPr="0037314A" w:rsidRDefault="00033919" w:rsidP="006168E4">
      <w:pPr>
        <w:spacing w:after="0" w:line="240" w:lineRule="auto"/>
      </w:pPr>
      <w:r w:rsidRPr="0037314A">
        <w:separator/>
      </w:r>
    </w:p>
  </w:footnote>
  <w:footnote w:type="continuationSeparator" w:id="0">
    <w:p w14:paraId="681400E3" w14:textId="77777777" w:rsidR="00033919" w:rsidRPr="0037314A" w:rsidRDefault="00033919" w:rsidP="006168E4">
      <w:pPr>
        <w:spacing w:after="0" w:line="240" w:lineRule="auto"/>
      </w:pPr>
      <w:r w:rsidRPr="0037314A">
        <w:continuationSeparator/>
      </w:r>
    </w:p>
  </w:footnote>
  <w:footnote w:id="1">
    <w:p w14:paraId="01E58D0E" w14:textId="77777777" w:rsidR="0014390F" w:rsidRPr="007822E6" w:rsidRDefault="0014390F" w:rsidP="0014390F">
      <w:pPr>
        <w:jc w:val="both"/>
        <w:rPr>
          <w:rFonts w:ascii="Palatino Linotype" w:hAnsi="Palatino Linotype"/>
          <w:b/>
          <w:bCs/>
          <w:i/>
          <w:sz w:val="16"/>
          <w:szCs w:val="16"/>
        </w:rPr>
      </w:pPr>
      <w:r w:rsidRPr="007822E6">
        <w:rPr>
          <w:rStyle w:val="Refdenotaalpie"/>
        </w:rPr>
        <w:footnoteRef/>
      </w:r>
      <w:r w:rsidRPr="007822E6">
        <w:t xml:space="preserve"> </w:t>
      </w:r>
      <w:r w:rsidRPr="007822E6">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14:paraId="5E60FED1" w14:textId="77777777" w:rsidR="0014390F" w:rsidRPr="005552A8" w:rsidRDefault="0014390F" w:rsidP="0014390F">
      <w:pPr>
        <w:jc w:val="both"/>
        <w:rPr>
          <w:rFonts w:ascii="Palatino Linotype" w:hAnsi="Palatino Linotype"/>
          <w:i/>
          <w:sz w:val="16"/>
          <w:szCs w:val="16"/>
        </w:rPr>
      </w:pPr>
      <w:r w:rsidRPr="007822E6">
        <w:rPr>
          <w:rFonts w:ascii="Palatino Linotype" w:hAnsi="Palatino Linotype"/>
          <w:i/>
          <w:sz w:val="16"/>
          <w:szCs w:val="16"/>
        </w:rPr>
        <w:t>Del examen de compatibilidad de los artículos</w:t>
      </w:r>
      <w:r w:rsidRPr="007822E6">
        <w:rPr>
          <w:rStyle w:val="apple-converted-space"/>
          <w:rFonts w:ascii="Palatino Linotype" w:hAnsi="Palatino Linotype"/>
          <w:i/>
          <w:sz w:val="16"/>
          <w:szCs w:val="16"/>
        </w:rPr>
        <w:t> </w:t>
      </w:r>
      <w:hyperlink r:id="rId1" w:history="1">
        <w:r w:rsidRPr="007822E6">
          <w:rPr>
            <w:rStyle w:val="Hipervnculo"/>
            <w:rFonts w:ascii="Palatino Linotype" w:hAnsi="Palatino Linotype"/>
            <w:i/>
            <w:sz w:val="16"/>
            <w:szCs w:val="16"/>
          </w:rPr>
          <w:t>73 y 74 de la Ley de Amparo</w:t>
        </w:r>
      </w:hyperlink>
      <w:r w:rsidRPr="007822E6">
        <w:rPr>
          <w:rStyle w:val="apple-converted-space"/>
          <w:rFonts w:ascii="Palatino Linotype" w:hAnsi="Palatino Linotype"/>
          <w:i/>
          <w:sz w:val="16"/>
          <w:szCs w:val="16"/>
        </w:rPr>
        <w:t> </w:t>
      </w:r>
      <w:r w:rsidRPr="007822E6">
        <w:rPr>
          <w:rFonts w:ascii="Palatino Linotype" w:hAnsi="Palatino Linotype"/>
          <w:i/>
          <w:sz w:val="16"/>
          <w:szCs w:val="16"/>
        </w:rPr>
        <w:t>con el artículo</w:t>
      </w:r>
      <w:r w:rsidRPr="007822E6">
        <w:rPr>
          <w:rStyle w:val="apple-converted-space"/>
          <w:rFonts w:ascii="Palatino Linotype" w:hAnsi="Palatino Linotype"/>
          <w:i/>
          <w:sz w:val="16"/>
          <w:szCs w:val="16"/>
        </w:rPr>
        <w:t> </w:t>
      </w:r>
      <w:hyperlink r:id="rId2" w:history="1">
        <w:r w:rsidRPr="007822E6">
          <w:rPr>
            <w:rStyle w:val="Hipervnculo"/>
            <w:rFonts w:ascii="Palatino Linotype" w:hAnsi="Palatino Linotype"/>
            <w:i/>
            <w:sz w:val="16"/>
            <w:szCs w:val="16"/>
          </w:rPr>
          <w:t>25.1 de la Convención Americana sobre Derechos Humanos</w:t>
        </w:r>
      </w:hyperlink>
      <w:r w:rsidRPr="007822E6">
        <w:rPr>
          <w:rStyle w:val="apple-converted-space"/>
          <w:rFonts w:ascii="Palatino Linotype" w:hAnsi="Palatino Linotype"/>
          <w:i/>
          <w:sz w:val="16"/>
          <w:szCs w:val="16"/>
        </w:rPr>
        <w:t> </w:t>
      </w:r>
      <w:r w:rsidRPr="007822E6">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7822E6">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D0733F" w14:textId="77777777" w:rsidR="00C70B4A" w:rsidRPr="0037314A" w:rsidRDefault="00C70B4A">
    <w:pPr>
      <w:pStyle w:val="Encabezado"/>
      <w:rPr>
        <w:lang w:val="es-MX"/>
      </w:rPr>
    </w:pPr>
    <w:r w:rsidRPr="0037314A">
      <w:rPr>
        <w:rFonts w:ascii="Palatino Linotype" w:hAnsi="Palatino Linotype" w:cs="Arial"/>
        <w:b/>
        <w:noProof/>
        <w:szCs w:val="20"/>
        <w:lang w:val="es-MX" w:eastAsia="es-MX"/>
      </w:rPr>
      <w:drawing>
        <wp:anchor distT="0" distB="0" distL="114300" distR="114300" simplePos="0" relativeHeight="251661312" behindDoc="1" locked="0" layoutInCell="0" allowOverlap="1" wp14:anchorId="1EC0D16C" wp14:editId="662EEEA7">
          <wp:simplePos x="0" y="0"/>
          <wp:positionH relativeFrom="page">
            <wp:posOffset>19974</wp:posOffset>
          </wp:positionH>
          <wp:positionV relativeFrom="page">
            <wp:posOffset>15801</wp:posOffset>
          </wp:positionV>
          <wp:extent cx="7705725" cy="10048875"/>
          <wp:effectExtent l="0" t="0" r="9525" b="9525"/>
          <wp:wrapNone/>
          <wp:docPr id="2" name="Imagen 2"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tbl>
    <w:tblPr>
      <w:tblW w:w="10065"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CellMar>
        <w:left w:w="70" w:type="dxa"/>
        <w:right w:w="70" w:type="dxa"/>
      </w:tblCellMar>
      <w:tblLook w:val="04A0" w:firstRow="1" w:lastRow="0" w:firstColumn="1" w:lastColumn="0" w:noHBand="0" w:noVBand="1"/>
    </w:tblPr>
    <w:tblGrid>
      <w:gridCol w:w="5529"/>
      <w:gridCol w:w="4536"/>
    </w:tblGrid>
    <w:tr w:rsidR="00C70B4A" w:rsidRPr="0037314A" w14:paraId="1EC9A00A" w14:textId="77777777" w:rsidTr="009B28E9">
      <w:trPr>
        <w:trHeight w:val="227"/>
      </w:trPr>
      <w:tc>
        <w:tcPr>
          <w:tcW w:w="5529" w:type="dxa"/>
          <w:hideMark/>
        </w:tcPr>
        <w:p w14:paraId="54E20D87" w14:textId="77777777" w:rsidR="00C70B4A" w:rsidRPr="0037314A" w:rsidRDefault="00C70B4A" w:rsidP="009A686F">
          <w:pPr>
            <w:spacing w:after="120" w:line="256" w:lineRule="auto"/>
            <w:ind w:right="204"/>
            <w:jc w:val="right"/>
            <w:rPr>
              <w:rFonts w:ascii="Palatino Linotype" w:hAnsi="Palatino Linotype" w:cs="Arial"/>
              <w:b/>
              <w:szCs w:val="20"/>
            </w:rPr>
          </w:pPr>
          <w:r w:rsidRPr="0037314A">
            <w:rPr>
              <w:rFonts w:ascii="Palatino Linotype" w:hAnsi="Palatino Linotype" w:cs="Arial"/>
              <w:b/>
              <w:szCs w:val="20"/>
            </w:rPr>
            <w:t>Recurso de Revisión N°:</w:t>
          </w:r>
        </w:p>
      </w:tc>
      <w:tc>
        <w:tcPr>
          <w:tcW w:w="4536" w:type="dxa"/>
          <w:hideMark/>
        </w:tcPr>
        <w:p w14:paraId="7F2DE57B" w14:textId="4A5C0E5D" w:rsidR="00C70B4A" w:rsidRPr="0037314A" w:rsidRDefault="0014390F" w:rsidP="00B433C9">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05840</w:t>
          </w:r>
          <w:r w:rsidR="00C70B4A" w:rsidRPr="0037314A">
            <w:rPr>
              <w:rFonts w:ascii="Palatino Linotype" w:hAnsi="Palatino Linotype" w:cs="Arial"/>
              <w:bCs/>
              <w:sz w:val="24"/>
              <w:lang w:eastAsia="es-MX"/>
            </w:rPr>
            <w:t>/INFOEM/IP/RR/202</w:t>
          </w:r>
          <w:r w:rsidR="0059703C">
            <w:rPr>
              <w:rFonts w:ascii="Palatino Linotype" w:hAnsi="Palatino Linotype" w:cs="Arial"/>
              <w:bCs/>
              <w:sz w:val="24"/>
              <w:lang w:eastAsia="es-MX"/>
            </w:rPr>
            <w:t>6</w:t>
          </w:r>
          <w:r w:rsidR="00D17D85">
            <w:rPr>
              <w:rFonts w:ascii="Palatino Linotype" w:hAnsi="Palatino Linotype" w:cs="Arial"/>
              <w:bCs/>
              <w:sz w:val="24"/>
              <w:lang w:eastAsia="es-MX"/>
            </w:rPr>
            <w:t xml:space="preserve"> </w:t>
          </w:r>
        </w:p>
      </w:tc>
    </w:tr>
    <w:tr w:rsidR="00C70B4A" w:rsidRPr="0037314A" w14:paraId="55FEBD54" w14:textId="77777777" w:rsidTr="009B28E9">
      <w:trPr>
        <w:trHeight w:val="242"/>
      </w:trPr>
      <w:tc>
        <w:tcPr>
          <w:tcW w:w="5529" w:type="dxa"/>
          <w:hideMark/>
        </w:tcPr>
        <w:p w14:paraId="380D58F4" w14:textId="77777777" w:rsidR="00C70B4A" w:rsidRPr="0037314A" w:rsidRDefault="00C70B4A" w:rsidP="009A686F">
          <w:pPr>
            <w:spacing w:after="120" w:line="256" w:lineRule="auto"/>
            <w:ind w:right="204"/>
            <w:jc w:val="right"/>
            <w:rPr>
              <w:rFonts w:ascii="Palatino Linotype" w:hAnsi="Palatino Linotype" w:cs="Arial"/>
              <w:b/>
              <w:szCs w:val="20"/>
            </w:rPr>
          </w:pPr>
          <w:r w:rsidRPr="0037314A">
            <w:rPr>
              <w:rFonts w:ascii="Palatino Linotype" w:hAnsi="Palatino Linotype" w:cs="Arial"/>
              <w:b/>
              <w:szCs w:val="20"/>
            </w:rPr>
            <w:t>Sujeto Obligado:</w:t>
          </w:r>
        </w:p>
      </w:tc>
      <w:tc>
        <w:tcPr>
          <w:tcW w:w="4536" w:type="dxa"/>
          <w:hideMark/>
        </w:tcPr>
        <w:p w14:paraId="731A60C1" w14:textId="657710F7" w:rsidR="00C70B4A" w:rsidRPr="0037314A" w:rsidRDefault="008146ED" w:rsidP="00C01E1C">
          <w:pPr>
            <w:spacing w:after="120" w:line="256" w:lineRule="auto"/>
            <w:ind w:left="639" w:right="214"/>
            <w:jc w:val="both"/>
            <w:rPr>
              <w:rFonts w:ascii="Palatino Linotype" w:hAnsi="Palatino Linotype" w:cs="Arial"/>
            </w:rPr>
          </w:pPr>
          <w:r>
            <w:rPr>
              <w:rFonts w:ascii="Palatino Linotype" w:hAnsi="Palatino Linotype" w:cs="Arial"/>
              <w:szCs w:val="20"/>
            </w:rPr>
            <w:t xml:space="preserve">Ayuntamiento de </w:t>
          </w:r>
          <w:r w:rsidR="00132806">
            <w:rPr>
              <w:rFonts w:ascii="Palatino Linotype" w:hAnsi="Palatino Linotype" w:cs="Arial"/>
              <w:szCs w:val="20"/>
            </w:rPr>
            <w:t>Tenancingo</w:t>
          </w:r>
          <w:r w:rsidR="00B7517C">
            <w:rPr>
              <w:rFonts w:ascii="Palatino Linotype" w:hAnsi="Palatino Linotype" w:cs="Arial"/>
              <w:szCs w:val="20"/>
            </w:rPr>
            <w:t xml:space="preserve"> </w:t>
          </w:r>
        </w:p>
      </w:tc>
    </w:tr>
    <w:tr w:rsidR="00C70B4A" w:rsidRPr="0037314A" w14:paraId="21314286" w14:textId="77777777" w:rsidTr="009B28E9">
      <w:trPr>
        <w:trHeight w:val="342"/>
      </w:trPr>
      <w:tc>
        <w:tcPr>
          <w:tcW w:w="5529" w:type="dxa"/>
          <w:hideMark/>
        </w:tcPr>
        <w:p w14:paraId="28B22B0A" w14:textId="77777777" w:rsidR="00C70B4A" w:rsidRPr="0037314A" w:rsidRDefault="00C70B4A" w:rsidP="009A686F">
          <w:pPr>
            <w:tabs>
              <w:tab w:val="left" w:pos="4892"/>
            </w:tabs>
            <w:spacing w:after="120" w:line="256" w:lineRule="auto"/>
            <w:ind w:right="204"/>
            <w:jc w:val="right"/>
            <w:rPr>
              <w:rFonts w:ascii="Palatino Linotype" w:hAnsi="Palatino Linotype" w:cs="Arial"/>
              <w:b/>
              <w:szCs w:val="20"/>
            </w:rPr>
          </w:pPr>
          <w:r w:rsidRPr="0037314A">
            <w:rPr>
              <w:rFonts w:ascii="Palatino Linotype" w:hAnsi="Palatino Linotype" w:cs="Arial"/>
              <w:b/>
              <w:szCs w:val="20"/>
            </w:rPr>
            <w:t>Comisionado Ponente:</w:t>
          </w:r>
        </w:p>
      </w:tc>
      <w:tc>
        <w:tcPr>
          <w:tcW w:w="4536" w:type="dxa"/>
          <w:hideMark/>
        </w:tcPr>
        <w:p w14:paraId="5629EB35" w14:textId="77777777" w:rsidR="00C70B4A" w:rsidRPr="0037314A" w:rsidRDefault="00C70B4A" w:rsidP="009A686F">
          <w:pPr>
            <w:spacing w:after="120" w:line="256" w:lineRule="auto"/>
            <w:ind w:left="497" w:right="214" w:firstLine="142"/>
            <w:jc w:val="both"/>
            <w:rPr>
              <w:rFonts w:ascii="Palatino Linotype" w:hAnsi="Palatino Linotype" w:cs="Arial"/>
              <w:szCs w:val="20"/>
            </w:rPr>
          </w:pPr>
          <w:r w:rsidRPr="0037314A">
            <w:rPr>
              <w:rFonts w:ascii="Palatino Linotype" w:hAnsi="Palatino Linotype" w:cs="Arial"/>
              <w:szCs w:val="20"/>
            </w:rPr>
            <w:t xml:space="preserve">José Martínez Vilchis </w:t>
          </w:r>
        </w:p>
      </w:tc>
    </w:tr>
  </w:tbl>
  <w:p w14:paraId="79D1C23A" w14:textId="77777777" w:rsidR="00C70B4A" w:rsidRPr="0037314A" w:rsidRDefault="00C70B4A">
    <w:pPr>
      <w:pStyle w:val="Encabezado"/>
      <w:rPr>
        <w:lang w:val="es-MX"/>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CellMar>
        <w:left w:w="70" w:type="dxa"/>
        <w:right w:w="70" w:type="dxa"/>
      </w:tblCellMar>
      <w:tblLook w:val="04A0" w:firstRow="1" w:lastRow="0" w:firstColumn="1" w:lastColumn="0" w:noHBand="0" w:noVBand="1"/>
    </w:tblPr>
    <w:tblGrid>
      <w:gridCol w:w="5529"/>
      <w:gridCol w:w="4536"/>
    </w:tblGrid>
    <w:tr w:rsidR="00C70B4A" w:rsidRPr="0037314A" w14:paraId="42D97161" w14:textId="77777777" w:rsidTr="009B28E9">
      <w:trPr>
        <w:trHeight w:val="227"/>
      </w:trPr>
      <w:tc>
        <w:tcPr>
          <w:tcW w:w="5529" w:type="dxa"/>
          <w:hideMark/>
        </w:tcPr>
        <w:p w14:paraId="079C0A7D" w14:textId="77777777" w:rsidR="00C70B4A" w:rsidRPr="0037314A" w:rsidRDefault="00C70B4A" w:rsidP="00FB4AAD">
          <w:pPr>
            <w:spacing w:after="120" w:line="256" w:lineRule="auto"/>
            <w:ind w:right="204"/>
            <w:jc w:val="right"/>
            <w:rPr>
              <w:rFonts w:ascii="Palatino Linotype" w:hAnsi="Palatino Linotype" w:cs="Arial"/>
              <w:b/>
              <w:szCs w:val="20"/>
            </w:rPr>
          </w:pPr>
          <w:r w:rsidRPr="0037314A">
            <w:rPr>
              <w:rFonts w:ascii="Palatino Linotype" w:hAnsi="Palatino Linotype" w:cs="Arial"/>
              <w:b/>
              <w:szCs w:val="20"/>
            </w:rPr>
            <w:t>Recurso de Revisión N°:</w:t>
          </w:r>
        </w:p>
      </w:tc>
      <w:tc>
        <w:tcPr>
          <w:tcW w:w="4536" w:type="dxa"/>
          <w:hideMark/>
        </w:tcPr>
        <w:p w14:paraId="084B110A" w14:textId="4FA45B97" w:rsidR="00C70B4A" w:rsidRPr="0037314A" w:rsidRDefault="0014390F" w:rsidP="00B433C9">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05840</w:t>
          </w:r>
          <w:r w:rsidR="00C70B4A" w:rsidRPr="0037314A">
            <w:rPr>
              <w:rFonts w:ascii="Palatino Linotype" w:hAnsi="Palatino Linotype" w:cs="Arial"/>
              <w:bCs/>
              <w:sz w:val="24"/>
              <w:lang w:eastAsia="es-MX"/>
            </w:rPr>
            <w:t>/INFOEM/IP/RR/202</w:t>
          </w:r>
          <w:r w:rsidR="0059703C">
            <w:rPr>
              <w:rFonts w:ascii="Palatino Linotype" w:hAnsi="Palatino Linotype" w:cs="Arial"/>
              <w:bCs/>
              <w:sz w:val="24"/>
              <w:lang w:eastAsia="es-MX"/>
            </w:rPr>
            <w:t>6</w:t>
          </w:r>
          <w:r w:rsidR="00C70B4A" w:rsidRPr="0037314A">
            <w:rPr>
              <w:rFonts w:ascii="Palatino Linotype" w:hAnsi="Palatino Linotype" w:cs="Arial"/>
              <w:bCs/>
              <w:sz w:val="24"/>
              <w:lang w:eastAsia="es-MX"/>
            </w:rPr>
            <w:t xml:space="preserve"> </w:t>
          </w:r>
        </w:p>
      </w:tc>
    </w:tr>
    <w:tr w:rsidR="00C70B4A" w:rsidRPr="0037314A" w14:paraId="36CDA2D2" w14:textId="77777777" w:rsidTr="009B28E9">
      <w:trPr>
        <w:trHeight w:val="196"/>
      </w:trPr>
      <w:tc>
        <w:tcPr>
          <w:tcW w:w="5529" w:type="dxa"/>
          <w:hideMark/>
        </w:tcPr>
        <w:p w14:paraId="2ADF7609" w14:textId="77777777" w:rsidR="00C70B4A" w:rsidRPr="0037314A" w:rsidRDefault="00C70B4A" w:rsidP="00FB4AAD">
          <w:pPr>
            <w:spacing w:after="120" w:line="256" w:lineRule="auto"/>
            <w:ind w:right="204"/>
            <w:jc w:val="right"/>
            <w:rPr>
              <w:rFonts w:ascii="Palatino Linotype" w:hAnsi="Palatino Linotype" w:cs="Arial"/>
              <w:b/>
              <w:szCs w:val="20"/>
            </w:rPr>
          </w:pPr>
          <w:r w:rsidRPr="0037314A">
            <w:rPr>
              <w:rFonts w:ascii="Palatino Linotype" w:hAnsi="Palatino Linotype" w:cs="Arial"/>
              <w:b/>
              <w:szCs w:val="20"/>
            </w:rPr>
            <w:t>Recurrente:</w:t>
          </w:r>
        </w:p>
      </w:tc>
      <w:tc>
        <w:tcPr>
          <w:tcW w:w="4536" w:type="dxa"/>
          <w:hideMark/>
        </w:tcPr>
        <w:p w14:paraId="59C006B1" w14:textId="601CFF7F" w:rsidR="00C70B4A" w:rsidRPr="0037314A" w:rsidRDefault="00B721B4" w:rsidP="00CC0C5F">
          <w:pPr>
            <w:spacing w:after="120" w:line="256" w:lineRule="auto"/>
            <w:ind w:left="639" w:right="214"/>
            <w:jc w:val="both"/>
            <w:rPr>
              <w:rFonts w:ascii="Palatino Linotype" w:hAnsi="Palatino Linotype" w:cs="Arial"/>
            </w:rPr>
          </w:pPr>
          <w:r>
            <w:rPr>
              <w:rFonts w:ascii="Palatino Linotype" w:hAnsi="Palatino Linotype" w:cs="Arial"/>
            </w:rPr>
            <w:t>XXXXXXXXXXXXXXXXXXXX</w:t>
          </w:r>
          <w:r w:rsidR="0014390F">
            <w:rPr>
              <w:rFonts w:ascii="Palatino Linotype" w:hAnsi="Palatino Linotype" w:cs="Arial"/>
            </w:rPr>
            <w:t xml:space="preserve"> </w:t>
          </w:r>
        </w:p>
      </w:tc>
    </w:tr>
    <w:tr w:rsidR="00C70B4A" w:rsidRPr="0037314A" w14:paraId="652F9A44" w14:textId="77777777" w:rsidTr="009B28E9">
      <w:trPr>
        <w:trHeight w:val="242"/>
      </w:trPr>
      <w:tc>
        <w:tcPr>
          <w:tcW w:w="5529" w:type="dxa"/>
          <w:hideMark/>
        </w:tcPr>
        <w:p w14:paraId="09EC290F" w14:textId="77777777" w:rsidR="00C70B4A" w:rsidRPr="0037314A" w:rsidRDefault="00C70B4A" w:rsidP="00FB4AAD">
          <w:pPr>
            <w:spacing w:after="120" w:line="256" w:lineRule="auto"/>
            <w:ind w:right="204"/>
            <w:jc w:val="right"/>
            <w:rPr>
              <w:rFonts w:ascii="Palatino Linotype" w:hAnsi="Palatino Linotype" w:cs="Arial"/>
              <w:b/>
              <w:szCs w:val="20"/>
            </w:rPr>
          </w:pPr>
          <w:r w:rsidRPr="0037314A">
            <w:rPr>
              <w:rFonts w:ascii="Palatino Linotype" w:hAnsi="Palatino Linotype" w:cs="Arial"/>
              <w:b/>
              <w:szCs w:val="20"/>
            </w:rPr>
            <w:t>Sujeto Obligado:</w:t>
          </w:r>
        </w:p>
      </w:tc>
      <w:tc>
        <w:tcPr>
          <w:tcW w:w="4536" w:type="dxa"/>
          <w:hideMark/>
        </w:tcPr>
        <w:p w14:paraId="43EFE4F6" w14:textId="254CAC6D" w:rsidR="00C70B4A" w:rsidRPr="0037314A" w:rsidRDefault="008146ED" w:rsidP="00C01E1C">
          <w:pPr>
            <w:spacing w:after="120" w:line="256" w:lineRule="auto"/>
            <w:ind w:left="639" w:right="214"/>
            <w:jc w:val="both"/>
            <w:rPr>
              <w:rFonts w:ascii="Palatino Linotype" w:hAnsi="Palatino Linotype" w:cs="Arial"/>
              <w:szCs w:val="20"/>
            </w:rPr>
          </w:pPr>
          <w:r>
            <w:rPr>
              <w:rFonts w:ascii="Palatino Linotype" w:hAnsi="Palatino Linotype" w:cs="Arial"/>
              <w:szCs w:val="20"/>
            </w:rPr>
            <w:t xml:space="preserve">Ayuntamiento de </w:t>
          </w:r>
          <w:r w:rsidR="00132806">
            <w:rPr>
              <w:rFonts w:ascii="Palatino Linotype" w:hAnsi="Palatino Linotype" w:cs="Arial"/>
              <w:szCs w:val="20"/>
            </w:rPr>
            <w:t>Tenancingo</w:t>
          </w:r>
        </w:p>
      </w:tc>
    </w:tr>
    <w:tr w:rsidR="00C70B4A" w:rsidRPr="0037314A" w14:paraId="4476548B" w14:textId="77777777" w:rsidTr="009B28E9">
      <w:trPr>
        <w:trHeight w:val="342"/>
      </w:trPr>
      <w:tc>
        <w:tcPr>
          <w:tcW w:w="5529" w:type="dxa"/>
          <w:hideMark/>
        </w:tcPr>
        <w:p w14:paraId="6E3E07EE" w14:textId="77777777" w:rsidR="00C70B4A" w:rsidRPr="0037314A" w:rsidRDefault="00C70B4A" w:rsidP="00FB4AAD">
          <w:pPr>
            <w:tabs>
              <w:tab w:val="left" w:pos="4892"/>
            </w:tabs>
            <w:spacing w:after="120" w:line="256" w:lineRule="auto"/>
            <w:ind w:right="204"/>
            <w:jc w:val="right"/>
            <w:rPr>
              <w:rFonts w:ascii="Palatino Linotype" w:hAnsi="Palatino Linotype" w:cs="Arial"/>
              <w:b/>
              <w:szCs w:val="20"/>
            </w:rPr>
          </w:pPr>
          <w:r w:rsidRPr="0037314A">
            <w:rPr>
              <w:rFonts w:ascii="Palatino Linotype" w:hAnsi="Palatino Linotype" w:cs="Arial"/>
              <w:b/>
              <w:szCs w:val="20"/>
            </w:rPr>
            <w:t>Comisionado Ponente:</w:t>
          </w:r>
        </w:p>
      </w:tc>
      <w:tc>
        <w:tcPr>
          <w:tcW w:w="4536" w:type="dxa"/>
          <w:hideMark/>
        </w:tcPr>
        <w:p w14:paraId="5CC31E82" w14:textId="77777777" w:rsidR="00C70B4A" w:rsidRPr="0037314A" w:rsidRDefault="00C70B4A" w:rsidP="007D1F15">
          <w:pPr>
            <w:spacing w:after="120" w:line="256" w:lineRule="auto"/>
            <w:ind w:left="639" w:right="214"/>
            <w:jc w:val="both"/>
            <w:rPr>
              <w:rFonts w:ascii="Palatino Linotype" w:hAnsi="Palatino Linotype" w:cs="Arial"/>
              <w:szCs w:val="20"/>
            </w:rPr>
          </w:pPr>
          <w:r w:rsidRPr="0037314A">
            <w:rPr>
              <w:rFonts w:ascii="Palatino Linotype" w:hAnsi="Palatino Linotype" w:cs="Arial"/>
              <w:szCs w:val="20"/>
            </w:rPr>
            <w:t xml:space="preserve">José Martínez Vilchis </w:t>
          </w:r>
        </w:p>
      </w:tc>
    </w:tr>
  </w:tbl>
  <w:p w14:paraId="0A9620E1" w14:textId="77777777" w:rsidR="00C70B4A" w:rsidRPr="0037314A" w:rsidRDefault="00C70B4A">
    <w:pPr>
      <w:pStyle w:val="Encabezado"/>
      <w:rPr>
        <w:lang w:val="es-MX"/>
      </w:rPr>
    </w:pPr>
    <w:r w:rsidRPr="0037314A">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31867561" wp14:editId="0E51D59F">
          <wp:simplePos x="0" y="0"/>
          <wp:positionH relativeFrom="page">
            <wp:posOffset>2309</wp:posOffset>
          </wp:positionH>
          <wp:positionV relativeFrom="page">
            <wp:posOffset>12733</wp:posOffset>
          </wp:positionV>
          <wp:extent cx="7705725" cy="10048875"/>
          <wp:effectExtent l="0" t="0" r="9525" b="9525"/>
          <wp:wrapNone/>
          <wp:docPr id="1" name="Imagen 1"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8C2CB7"/>
    <w:multiLevelType w:val="hybridMultilevel"/>
    <w:tmpl w:val="4CA4C46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3AB3EA5"/>
    <w:multiLevelType w:val="hybridMultilevel"/>
    <w:tmpl w:val="142AE816"/>
    <w:lvl w:ilvl="0" w:tplc="3C5C232E">
      <w:start w:val="2"/>
      <w:numFmt w:val="bullet"/>
      <w:lvlText w:val="-"/>
      <w:lvlJc w:val="left"/>
      <w:pPr>
        <w:ind w:left="1080" w:hanging="360"/>
      </w:pPr>
      <w:rPr>
        <w:rFonts w:ascii="Palatino Linotype" w:eastAsia="Times New Roman" w:hAnsi="Palatino Linotype" w:cs="Arial"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4FE040A"/>
    <w:multiLevelType w:val="hybridMultilevel"/>
    <w:tmpl w:val="1FE637B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5662EFB"/>
    <w:multiLevelType w:val="hybridMultilevel"/>
    <w:tmpl w:val="1FE637B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96B4C15"/>
    <w:multiLevelType w:val="hybridMultilevel"/>
    <w:tmpl w:val="22463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023D3A"/>
    <w:multiLevelType w:val="hybridMultilevel"/>
    <w:tmpl w:val="17B8478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6" w15:restartNumberingAfterBreak="0">
    <w:nsid w:val="2A1B135E"/>
    <w:multiLevelType w:val="hybridMultilevel"/>
    <w:tmpl w:val="75AA75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FFD1136"/>
    <w:multiLevelType w:val="hybridMultilevel"/>
    <w:tmpl w:val="E26C0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332A15"/>
    <w:multiLevelType w:val="hybridMultilevel"/>
    <w:tmpl w:val="56C412F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44F477CD"/>
    <w:multiLevelType w:val="hybridMultilevel"/>
    <w:tmpl w:val="7952D07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9520281"/>
    <w:multiLevelType w:val="hybridMultilevel"/>
    <w:tmpl w:val="1FE637B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B3D33E9"/>
    <w:multiLevelType w:val="hybridMultilevel"/>
    <w:tmpl w:val="D8360ED6"/>
    <w:lvl w:ilvl="0" w:tplc="47F88042">
      <w:start w:val="1"/>
      <w:numFmt w:val="upperRoman"/>
      <w:lvlText w:val="%1."/>
      <w:lvlJc w:val="left"/>
      <w:pPr>
        <w:ind w:left="1429" w:hanging="72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2" w15:restartNumberingAfterBreak="0">
    <w:nsid w:val="514F1396"/>
    <w:multiLevelType w:val="hybridMultilevel"/>
    <w:tmpl w:val="08ECA7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578F5D18"/>
    <w:multiLevelType w:val="hybridMultilevel"/>
    <w:tmpl w:val="7CBA5C4A"/>
    <w:lvl w:ilvl="0" w:tplc="BE5C6A0E">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58A6163C"/>
    <w:multiLevelType w:val="hybridMultilevel"/>
    <w:tmpl w:val="85A8F22C"/>
    <w:lvl w:ilvl="0" w:tplc="08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3993393"/>
    <w:multiLevelType w:val="hybridMultilevel"/>
    <w:tmpl w:val="8B14081C"/>
    <w:lvl w:ilvl="0" w:tplc="080A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73C2427"/>
    <w:multiLevelType w:val="hybridMultilevel"/>
    <w:tmpl w:val="6C12734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9D440E6"/>
    <w:multiLevelType w:val="hybridMultilevel"/>
    <w:tmpl w:val="509E458E"/>
    <w:lvl w:ilvl="0" w:tplc="080A0001">
      <w:start w:val="1"/>
      <w:numFmt w:val="bullet"/>
      <w:lvlText w:val=""/>
      <w:lvlJc w:val="left"/>
      <w:pPr>
        <w:ind w:left="1571" w:hanging="360"/>
      </w:pPr>
      <w:rPr>
        <w:rFonts w:ascii="Symbol" w:hAnsi="Symbol"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18" w15:restartNumberingAfterBreak="0">
    <w:nsid w:val="6AFA5381"/>
    <w:multiLevelType w:val="hybridMultilevel"/>
    <w:tmpl w:val="6420802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9" w15:restartNumberingAfterBreak="0">
    <w:nsid w:val="7338044B"/>
    <w:multiLevelType w:val="hybridMultilevel"/>
    <w:tmpl w:val="B5AE5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5603A60"/>
    <w:multiLevelType w:val="hybridMultilevel"/>
    <w:tmpl w:val="8E443C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7BC92622"/>
    <w:multiLevelType w:val="hybridMultilevel"/>
    <w:tmpl w:val="224E8E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7C366F4F"/>
    <w:multiLevelType w:val="hybridMultilevel"/>
    <w:tmpl w:val="E80EDC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7F7F72F7"/>
    <w:multiLevelType w:val="hybridMultilevel"/>
    <w:tmpl w:val="62F6E2F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9"/>
  </w:num>
  <w:num w:numId="2">
    <w:abstractNumId w:val="7"/>
  </w:num>
  <w:num w:numId="3">
    <w:abstractNumId w:val="3"/>
  </w:num>
  <w:num w:numId="4">
    <w:abstractNumId w:val="11"/>
  </w:num>
  <w:num w:numId="5">
    <w:abstractNumId w:val="1"/>
  </w:num>
  <w:num w:numId="6">
    <w:abstractNumId w:val="16"/>
  </w:num>
  <w:num w:numId="7">
    <w:abstractNumId w:val="9"/>
  </w:num>
  <w:num w:numId="8">
    <w:abstractNumId w:val="23"/>
  </w:num>
  <w:num w:numId="9">
    <w:abstractNumId w:val="14"/>
  </w:num>
  <w:num w:numId="10">
    <w:abstractNumId w:val="0"/>
  </w:num>
  <w:num w:numId="11">
    <w:abstractNumId w:val="22"/>
  </w:num>
  <w:num w:numId="12">
    <w:abstractNumId w:val="6"/>
  </w:num>
  <w:num w:numId="13">
    <w:abstractNumId w:val="13"/>
  </w:num>
  <w:num w:numId="14">
    <w:abstractNumId w:val="21"/>
  </w:num>
  <w:num w:numId="15">
    <w:abstractNumId w:val="18"/>
  </w:num>
  <w:num w:numId="16">
    <w:abstractNumId w:val="17"/>
  </w:num>
  <w:num w:numId="17">
    <w:abstractNumId w:val="8"/>
  </w:num>
  <w:num w:numId="18">
    <w:abstractNumId w:val="4"/>
  </w:num>
  <w:num w:numId="19">
    <w:abstractNumId w:val="10"/>
  </w:num>
  <w:num w:numId="20">
    <w:abstractNumId w:val="20"/>
  </w:num>
  <w:num w:numId="21">
    <w:abstractNumId w:val="15"/>
  </w:num>
  <w:num w:numId="22">
    <w:abstractNumId w:val="5"/>
  </w:num>
  <w:num w:numId="23">
    <w:abstractNumId w:val="2"/>
  </w:num>
  <w:num w:numId="24">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8E4"/>
    <w:rsid w:val="00001232"/>
    <w:rsid w:val="000026CF"/>
    <w:rsid w:val="00002B41"/>
    <w:rsid w:val="00002DDF"/>
    <w:rsid w:val="000037E2"/>
    <w:rsid w:val="000061F8"/>
    <w:rsid w:val="00006E49"/>
    <w:rsid w:val="00007BD9"/>
    <w:rsid w:val="00010F2B"/>
    <w:rsid w:val="0001225E"/>
    <w:rsid w:val="00013559"/>
    <w:rsid w:val="000170DF"/>
    <w:rsid w:val="00020A70"/>
    <w:rsid w:val="0002155C"/>
    <w:rsid w:val="00021CBD"/>
    <w:rsid w:val="00022604"/>
    <w:rsid w:val="000236FA"/>
    <w:rsid w:val="00024042"/>
    <w:rsid w:val="0002450B"/>
    <w:rsid w:val="00025763"/>
    <w:rsid w:val="0002766F"/>
    <w:rsid w:val="000306A7"/>
    <w:rsid w:val="00030F78"/>
    <w:rsid w:val="000318BC"/>
    <w:rsid w:val="00031C92"/>
    <w:rsid w:val="00033919"/>
    <w:rsid w:val="000363A2"/>
    <w:rsid w:val="00040F18"/>
    <w:rsid w:val="000413D2"/>
    <w:rsid w:val="0004199A"/>
    <w:rsid w:val="000435C7"/>
    <w:rsid w:val="00045379"/>
    <w:rsid w:val="000461DF"/>
    <w:rsid w:val="000463E0"/>
    <w:rsid w:val="00046AD8"/>
    <w:rsid w:val="00054704"/>
    <w:rsid w:val="00054ABF"/>
    <w:rsid w:val="00054BC2"/>
    <w:rsid w:val="00054DD0"/>
    <w:rsid w:val="00055224"/>
    <w:rsid w:val="0005543E"/>
    <w:rsid w:val="0005622A"/>
    <w:rsid w:val="0005778D"/>
    <w:rsid w:val="0006076C"/>
    <w:rsid w:val="00060FB3"/>
    <w:rsid w:val="00061821"/>
    <w:rsid w:val="000623F9"/>
    <w:rsid w:val="00062482"/>
    <w:rsid w:val="0006266E"/>
    <w:rsid w:val="00062D5C"/>
    <w:rsid w:val="00063A10"/>
    <w:rsid w:val="00063EFB"/>
    <w:rsid w:val="000662F8"/>
    <w:rsid w:val="00070C08"/>
    <w:rsid w:val="00071B33"/>
    <w:rsid w:val="00073E78"/>
    <w:rsid w:val="00074227"/>
    <w:rsid w:val="000758EF"/>
    <w:rsid w:val="00081988"/>
    <w:rsid w:val="00082A5A"/>
    <w:rsid w:val="00084E22"/>
    <w:rsid w:val="00090AFC"/>
    <w:rsid w:val="00091552"/>
    <w:rsid w:val="00091C3A"/>
    <w:rsid w:val="00093146"/>
    <w:rsid w:val="000A2D37"/>
    <w:rsid w:val="000A3486"/>
    <w:rsid w:val="000A4DD1"/>
    <w:rsid w:val="000A70F8"/>
    <w:rsid w:val="000A713D"/>
    <w:rsid w:val="000A71F4"/>
    <w:rsid w:val="000A733E"/>
    <w:rsid w:val="000A79DA"/>
    <w:rsid w:val="000B0B8F"/>
    <w:rsid w:val="000B1702"/>
    <w:rsid w:val="000B475B"/>
    <w:rsid w:val="000B4B51"/>
    <w:rsid w:val="000B6BF0"/>
    <w:rsid w:val="000B7158"/>
    <w:rsid w:val="000C2FCA"/>
    <w:rsid w:val="000C3714"/>
    <w:rsid w:val="000C5B8B"/>
    <w:rsid w:val="000D0BC5"/>
    <w:rsid w:val="000D1B55"/>
    <w:rsid w:val="000D3C75"/>
    <w:rsid w:val="000D6116"/>
    <w:rsid w:val="000D7A3D"/>
    <w:rsid w:val="000D7B04"/>
    <w:rsid w:val="000E0557"/>
    <w:rsid w:val="000E0655"/>
    <w:rsid w:val="000E686B"/>
    <w:rsid w:val="000F3EE7"/>
    <w:rsid w:val="000F68B1"/>
    <w:rsid w:val="000F6F19"/>
    <w:rsid w:val="000F7AC2"/>
    <w:rsid w:val="00100E19"/>
    <w:rsid w:val="00102D69"/>
    <w:rsid w:val="00107B5C"/>
    <w:rsid w:val="00110EDB"/>
    <w:rsid w:val="00111DCD"/>
    <w:rsid w:val="00112B39"/>
    <w:rsid w:val="00114CF9"/>
    <w:rsid w:val="0011564C"/>
    <w:rsid w:val="001167AA"/>
    <w:rsid w:val="00117157"/>
    <w:rsid w:val="00120BDC"/>
    <w:rsid w:val="00124855"/>
    <w:rsid w:val="00124EC6"/>
    <w:rsid w:val="001250C1"/>
    <w:rsid w:val="001254F5"/>
    <w:rsid w:val="00125828"/>
    <w:rsid w:val="001313F2"/>
    <w:rsid w:val="00132806"/>
    <w:rsid w:val="001336D3"/>
    <w:rsid w:val="001364AA"/>
    <w:rsid w:val="00136FAD"/>
    <w:rsid w:val="001402F9"/>
    <w:rsid w:val="00142F37"/>
    <w:rsid w:val="0014390F"/>
    <w:rsid w:val="00143D5F"/>
    <w:rsid w:val="00144B4A"/>
    <w:rsid w:val="00144E28"/>
    <w:rsid w:val="00146F0A"/>
    <w:rsid w:val="00147B36"/>
    <w:rsid w:val="00152124"/>
    <w:rsid w:val="00152975"/>
    <w:rsid w:val="00152C2B"/>
    <w:rsid w:val="001542FC"/>
    <w:rsid w:val="0015539F"/>
    <w:rsid w:val="00156295"/>
    <w:rsid w:val="001575BC"/>
    <w:rsid w:val="001646D0"/>
    <w:rsid w:val="001657E6"/>
    <w:rsid w:val="00170066"/>
    <w:rsid w:val="00172661"/>
    <w:rsid w:val="001728F7"/>
    <w:rsid w:val="001742A5"/>
    <w:rsid w:val="00174495"/>
    <w:rsid w:val="00174EE4"/>
    <w:rsid w:val="00175279"/>
    <w:rsid w:val="00175320"/>
    <w:rsid w:val="00175897"/>
    <w:rsid w:val="00175C56"/>
    <w:rsid w:val="00175D86"/>
    <w:rsid w:val="001760DC"/>
    <w:rsid w:val="00177D2C"/>
    <w:rsid w:val="001804C3"/>
    <w:rsid w:val="00180B9F"/>
    <w:rsid w:val="00181CC5"/>
    <w:rsid w:val="00182441"/>
    <w:rsid w:val="001824C4"/>
    <w:rsid w:val="0018347D"/>
    <w:rsid w:val="00191926"/>
    <w:rsid w:val="00193784"/>
    <w:rsid w:val="00193FB6"/>
    <w:rsid w:val="001942EE"/>
    <w:rsid w:val="001A02EC"/>
    <w:rsid w:val="001A0906"/>
    <w:rsid w:val="001A22D7"/>
    <w:rsid w:val="001A32F0"/>
    <w:rsid w:val="001A397B"/>
    <w:rsid w:val="001A577E"/>
    <w:rsid w:val="001A58DE"/>
    <w:rsid w:val="001A7C9B"/>
    <w:rsid w:val="001B05B9"/>
    <w:rsid w:val="001B1519"/>
    <w:rsid w:val="001B1A88"/>
    <w:rsid w:val="001B4E58"/>
    <w:rsid w:val="001B7B88"/>
    <w:rsid w:val="001C0535"/>
    <w:rsid w:val="001C05F3"/>
    <w:rsid w:val="001C0BAD"/>
    <w:rsid w:val="001C122D"/>
    <w:rsid w:val="001C34CE"/>
    <w:rsid w:val="001C7319"/>
    <w:rsid w:val="001C775A"/>
    <w:rsid w:val="001C7D87"/>
    <w:rsid w:val="001D3E87"/>
    <w:rsid w:val="001D5F16"/>
    <w:rsid w:val="001D6FAB"/>
    <w:rsid w:val="001E1D18"/>
    <w:rsid w:val="001E2C0F"/>
    <w:rsid w:val="001E668A"/>
    <w:rsid w:val="001F0A4F"/>
    <w:rsid w:val="001F2A14"/>
    <w:rsid w:val="001F4AB8"/>
    <w:rsid w:val="001F4ADC"/>
    <w:rsid w:val="001F71ED"/>
    <w:rsid w:val="00200F24"/>
    <w:rsid w:val="00203D3A"/>
    <w:rsid w:val="00203FF3"/>
    <w:rsid w:val="002044B4"/>
    <w:rsid w:val="00207086"/>
    <w:rsid w:val="00207669"/>
    <w:rsid w:val="00211D60"/>
    <w:rsid w:val="00213B69"/>
    <w:rsid w:val="0021501E"/>
    <w:rsid w:val="0021572A"/>
    <w:rsid w:val="002205C0"/>
    <w:rsid w:val="00220742"/>
    <w:rsid w:val="002210C5"/>
    <w:rsid w:val="0022441F"/>
    <w:rsid w:val="0022494A"/>
    <w:rsid w:val="00225507"/>
    <w:rsid w:val="0023373D"/>
    <w:rsid w:val="0023423C"/>
    <w:rsid w:val="00234CBB"/>
    <w:rsid w:val="00237F4F"/>
    <w:rsid w:val="0024033B"/>
    <w:rsid w:val="0024112D"/>
    <w:rsid w:val="002428BA"/>
    <w:rsid w:val="00244177"/>
    <w:rsid w:val="00247C10"/>
    <w:rsid w:val="0025038A"/>
    <w:rsid w:val="002527F7"/>
    <w:rsid w:val="00253F70"/>
    <w:rsid w:val="00254477"/>
    <w:rsid w:val="002556AC"/>
    <w:rsid w:val="00257337"/>
    <w:rsid w:val="002577FE"/>
    <w:rsid w:val="0025780C"/>
    <w:rsid w:val="002609D8"/>
    <w:rsid w:val="00261FFA"/>
    <w:rsid w:val="00262CBE"/>
    <w:rsid w:val="002642D3"/>
    <w:rsid w:val="002642EE"/>
    <w:rsid w:val="002646EF"/>
    <w:rsid w:val="00266AE6"/>
    <w:rsid w:val="00267C18"/>
    <w:rsid w:val="00273D0E"/>
    <w:rsid w:val="00275077"/>
    <w:rsid w:val="00275531"/>
    <w:rsid w:val="002764D6"/>
    <w:rsid w:val="00280B8B"/>
    <w:rsid w:val="00282235"/>
    <w:rsid w:val="00282369"/>
    <w:rsid w:val="00283D2D"/>
    <w:rsid w:val="00287F7C"/>
    <w:rsid w:val="00292350"/>
    <w:rsid w:val="00292DC0"/>
    <w:rsid w:val="00293C29"/>
    <w:rsid w:val="00297DB7"/>
    <w:rsid w:val="00297EF9"/>
    <w:rsid w:val="002A014A"/>
    <w:rsid w:val="002A034D"/>
    <w:rsid w:val="002A2034"/>
    <w:rsid w:val="002A24F4"/>
    <w:rsid w:val="002A2FF7"/>
    <w:rsid w:val="002A38BF"/>
    <w:rsid w:val="002A429A"/>
    <w:rsid w:val="002A597E"/>
    <w:rsid w:val="002A638C"/>
    <w:rsid w:val="002A6AEF"/>
    <w:rsid w:val="002B0FB9"/>
    <w:rsid w:val="002B1414"/>
    <w:rsid w:val="002B4382"/>
    <w:rsid w:val="002B5DBD"/>
    <w:rsid w:val="002B72F9"/>
    <w:rsid w:val="002B7D92"/>
    <w:rsid w:val="002C3D20"/>
    <w:rsid w:val="002C498D"/>
    <w:rsid w:val="002C4FE1"/>
    <w:rsid w:val="002C72D2"/>
    <w:rsid w:val="002D1B28"/>
    <w:rsid w:val="002D2076"/>
    <w:rsid w:val="002D2F00"/>
    <w:rsid w:val="002D79E2"/>
    <w:rsid w:val="002D7A5D"/>
    <w:rsid w:val="002E0A4A"/>
    <w:rsid w:val="002E0BC4"/>
    <w:rsid w:val="002E21B4"/>
    <w:rsid w:val="002E27EC"/>
    <w:rsid w:val="002E297A"/>
    <w:rsid w:val="002E2D7B"/>
    <w:rsid w:val="002E35A7"/>
    <w:rsid w:val="002E5CB6"/>
    <w:rsid w:val="002E5E6A"/>
    <w:rsid w:val="002E5F41"/>
    <w:rsid w:val="002E616C"/>
    <w:rsid w:val="002F0711"/>
    <w:rsid w:val="002F22FA"/>
    <w:rsid w:val="002F3340"/>
    <w:rsid w:val="002F37BE"/>
    <w:rsid w:val="002F41CA"/>
    <w:rsid w:val="002F430F"/>
    <w:rsid w:val="002F4C6A"/>
    <w:rsid w:val="002F527C"/>
    <w:rsid w:val="002F6990"/>
    <w:rsid w:val="002F70F6"/>
    <w:rsid w:val="002F7FDC"/>
    <w:rsid w:val="00300D0B"/>
    <w:rsid w:val="003043BE"/>
    <w:rsid w:val="00305181"/>
    <w:rsid w:val="00305F1B"/>
    <w:rsid w:val="00306096"/>
    <w:rsid w:val="00306974"/>
    <w:rsid w:val="00307014"/>
    <w:rsid w:val="00307615"/>
    <w:rsid w:val="00313952"/>
    <w:rsid w:val="0031645D"/>
    <w:rsid w:val="00320A67"/>
    <w:rsid w:val="0032117C"/>
    <w:rsid w:val="003221F7"/>
    <w:rsid w:val="0032474E"/>
    <w:rsid w:val="00324AC9"/>
    <w:rsid w:val="00324DB0"/>
    <w:rsid w:val="003262CF"/>
    <w:rsid w:val="003272FB"/>
    <w:rsid w:val="003273F1"/>
    <w:rsid w:val="00330857"/>
    <w:rsid w:val="00331499"/>
    <w:rsid w:val="0033350D"/>
    <w:rsid w:val="0033580E"/>
    <w:rsid w:val="00335FE5"/>
    <w:rsid w:val="0034146C"/>
    <w:rsid w:val="00343D1E"/>
    <w:rsid w:val="00350122"/>
    <w:rsid w:val="0035054D"/>
    <w:rsid w:val="00354258"/>
    <w:rsid w:val="00355593"/>
    <w:rsid w:val="0035604A"/>
    <w:rsid w:val="00357110"/>
    <w:rsid w:val="00357E0E"/>
    <w:rsid w:val="0036114B"/>
    <w:rsid w:val="00361B9C"/>
    <w:rsid w:val="00361BC6"/>
    <w:rsid w:val="00361D89"/>
    <w:rsid w:val="003634A1"/>
    <w:rsid w:val="003670B0"/>
    <w:rsid w:val="003672FB"/>
    <w:rsid w:val="00370588"/>
    <w:rsid w:val="00370797"/>
    <w:rsid w:val="00370C79"/>
    <w:rsid w:val="0037314A"/>
    <w:rsid w:val="003746C6"/>
    <w:rsid w:val="00375763"/>
    <w:rsid w:val="00375BEA"/>
    <w:rsid w:val="00376CEC"/>
    <w:rsid w:val="003773E8"/>
    <w:rsid w:val="00380758"/>
    <w:rsid w:val="003810B1"/>
    <w:rsid w:val="003815E5"/>
    <w:rsid w:val="00381E2B"/>
    <w:rsid w:val="003838B4"/>
    <w:rsid w:val="00384029"/>
    <w:rsid w:val="00385A45"/>
    <w:rsid w:val="00385BBD"/>
    <w:rsid w:val="00387929"/>
    <w:rsid w:val="00390988"/>
    <w:rsid w:val="0039347E"/>
    <w:rsid w:val="00393D5B"/>
    <w:rsid w:val="0039460D"/>
    <w:rsid w:val="00394873"/>
    <w:rsid w:val="00394A1E"/>
    <w:rsid w:val="003968C7"/>
    <w:rsid w:val="0039748B"/>
    <w:rsid w:val="0039799D"/>
    <w:rsid w:val="003A0235"/>
    <w:rsid w:val="003A2246"/>
    <w:rsid w:val="003A2658"/>
    <w:rsid w:val="003A61F9"/>
    <w:rsid w:val="003A65FB"/>
    <w:rsid w:val="003A6975"/>
    <w:rsid w:val="003B0D66"/>
    <w:rsid w:val="003B1829"/>
    <w:rsid w:val="003B1E88"/>
    <w:rsid w:val="003B3909"/>
    <w:rsid w:val="003B5E96"/>
    <w:rsid w:val="003C0641"/>
    <w:rsid w:val="003C0DD2"/>
    <w:rsid w:val="003C17E5"/>
    <w:rsid w:val="003C5243"/>
    <w:rsid w:val="003C53ED"/>
    <w:rsid w:val="003C73CE"/>
    <w:rsid w:val="003D0189"/>
    <w:rsid w:val="003D0B7E"/>
    <w:rsid w:val="003D10A3"/>
    <w:rsid w:val="003D1FA2"/>
    <w:rsid w:val="003D4E0F"/>
    <w:rsid w:val="003D5C0A"/>
    <w:rsid w:val="003E16E1"/>
    <w:rsid w:val="003E1871"/>
    <w:rsid w:val="003E1B4F"/>
    <w:rsid w:val="003E331F"/>
    <w:rsid w:val="003E3CFE"/>
    <w:rsid w:val="003E504D"/>
    <w:rsid w:val="003E656A"/>
    <w:rsid w:val="003E78B7"/>
    <w:rsid w:val="003F3016"/>
    <w:rsid w:val="003F38EB"/>
    <w:rsid w:val="003F76E5"/>
    <w:rsid w:val="004012CF"/>
    <w:rsid w:val="004015EE"/>
    <w:rsid w:val="00402FF3"/>
    <w:rsid w:val="0040673A"/>
    <w:rsid w:val="004069EB"/>
    <w:rsid w:val="00410ACB"/>
    <w:rsid w:val="00411B4E"/>
    <w:rsid w:val="00411E6F"/>
    <w:rsid w:val="00412600"/>
    <w:rsid w:val="004150FE"/>
    <w:rsid w:val="004156BC"/>
    <w:rsid w:val="00420F51"/>
    <w:rsid w:val="00422B20"/>
    <w:rsid w:val="00422ED2"/>
    <w:rsid w:val="00423213"/>
    <w:rsid w:val="0042416D"/>
    <w:rsid w:val="00424487"/>
    <w:rsid w:val="004246E5"/>
    <w:rsid w:val="00424EA1"/>
    <w:rsid w:val="00425A9B"/>
    <w:rsid w:val="004335F5"/>
    <w:rsid w:val="00435290"/>
    <w:rsid w:val="00436802"/>
    <w:rsid w:val="00437E68"/>
    <w:rsid w:val="004411CF"/>
    <w:rsid w:val="00442E45"/>
    <w:rsid w:val="00443AD4"/>
    <w:rsid w:val="0044438E"/>
    <w:rsid w:val="0044504D"/>
    <w:rsid w:val="00445C0F"/>
    <w:rsid w:val="0044771D"/>
    <w:rsid w:val="00450F57"/>
    <w:rsid w:val="004511A9"/>
    <w:rsid w:val="00451448"/>
    <w:rsid w:val="004516EB"/>
    <w:rsid w:val="004529B6"/>
    <w:rsid w:val="00453DBD"/>
    <w:rsid w:val="00454CE6"/>
    <w:rsid w:val="004553DD"/>
    <w:rsid w:val="00455463"/>
    <w:rsid w:val="004560F9"/>
    <w:rsid w:val="00457305"/>
    <w:rsid w:val="00457955"/>
    <w:rsid w:val="004613F5"/>
    <w:rsid w:val="00462881"/>
    <w:rsid w:val="004640F2"/>
    <w:rsid w:val="00467337"/>
    <w:rsid w:val="00467C17"/>
    <w:rsid w:val="00471D57"/>
    <w:rsid w:val="00475345"/>
    <w:rsid w:val="00475F48"/>
    <w:rsid w:val="00476790"/>
    <w:rsid w:val="00477CC2"/>
    <w:rsid w:val="00477D47"/>
    <w:rsid w:val="00480C32"/>
    <w:rsid w:val="004814EA"/>
    <w:rsid w:val="0048180A"/>
    <w:rsid w:val="00481C7A"/>
    <w:rsid w:val="0048323F"/>
    <w:rsid w:val="00487DB5"/>
    <w:rsid w:val="004906C8"/>
    <w:rsid w:val="0049161F"/>
    <w:rsid w:val="00491C1C"/>
    <w:rsid w:val="00492BC7"/>
    <w:rsid w:val="004938E6"/>
    <w:rsid w:val="004967E2"/>
    <w:rsid w:val="004975A8"/>
    <w:rsid w:val="004A114B"/>
    <w:rsid w:val="004A2363"/>
    <w:rsid w:val="004A290F"/>
    <w:rsid w:val="004A50DC"/>
    <w:rsid w:val="004A55D8"/>
    <w:rsid w:val="004A5FFD"/>
    <w:rsid w:val="004A6E59"/>
    <w:rsid w:val="004A7118"/>
    <w:rsid w:val="004A79B3"/>
    <w:rsid w:val="004A7CE2"/>
    <w:rsid w:val="004B031A"/>
    <w:rsid w:val="004B234F"/>
    <w:rsid w:val="004B353F"/>
    <w:rsid w:val="004B59BB"/>
    <w:rsid w:val="004B5CCC"/>
    <w:rsid w:val="004B60C5"/>
    <w:rsid w:val="004B6B0D"/>
    <w:rsid w:val="004C2845"/>
    <w:rsid w:val="004C3081"/>
    <w:rsid w:val="004C74FC"/>
    <w:rsid w:val="004C7961"/>
    <w:rsid w:val="004D0658"/>
    <w:rsid w:val="004D08EB"/>
    <w:rsid w:val="004D3B15"/>
    <w:rsid w:val="004D54E3"/>
    <w:rsid w:val="004D56B3"/>
    <w:rsid w:val="004D6459"/>
    <w:rsid w:val="004D761E"/>
    <w:rsid w:val="004E1A3D"/>
    <w:rsid w:val="004E2371"/>
    <w:rsid w:val="004E6BE9"/>
    <w:rsid w:val="004E754F"/>
    <w:rsid w:val="004E7A84"/>
    <w:rsid w:val="004F0538"/>
    <w:rsid w:val="004F17D6"/>
    <w:rsid w:val="004F3024"/>
    <w:rsid w:val="004F33EA"/>
    <w:rsid w:val="004F4F45"/>
    <w:rsid w:val="004F72D2"/>
    <w:rsid w:val="004F7ADA"/>
    <w:rsid w:val="005001FE"/>
    <w:rsid w:val="005020E9"/>
    <w:rsid w:val="00503655"/>
    <w:rsid w:val="00504BE3"/>
    <w:rsid w:val="00506F7D"/>
    <w:rsid w:val="00507065"/>
    <w:rsid w:val="00510D77"/>
    <w:rsid w:val="005128DD"/>
    <w:rsid w:val="00514207"/>
    <w:rsid w:val="005149BE"/>
    <w:rsid w:val="00514E8B"/>
    <w:rsid w:val="00515090"/>
    <w:rsid w:val="00515BE3"/>
    <w:rsid w:val="005160E2"/>
    <w:rsid w:val="005179E4"/>
    <w:rsid w:val="00521E57"/>
    <w:rsid w:val="005239F5"/>
    <w:rsid w:val="00525093"/>
    <w:rsid w:val="005305EA"/>
    <w:rsid w:val="00530EE0"/>
    <w:rsid w:val="00535567"/>
    <w:rsid w:val="0053652A"/>
    <w:rsid w:val="005371E7"/>
    <w:rsid w:val="00537E4B"/>
    <w:rsid w:val="00540538"/>
    <w:rsid w:val="00542664"/>
    <w:rsid w:val="00544CF2"/>
    <w:rsid w:val="00546C48"/>
    <w:rsid w:val="00546F22"/>
    <w:rsid w:val="00547001"/>
    <w:rsid w:val="0054731A"/>
    <w:rsid w:val="00547B78"/>
    <w:rsid w:val="00551E8B"/>
    <w:rsid w:val="005520FE"/>
    <w:rsid w:val="0055263C"/>
    <w:rsid w:val="00553226"/>
    <w:rsid w:val="0055472B"/>
    <w:rsid w:val="00555D9A"/>
    <w:rsid w:val="00556513"/>
    <w:rsid w:val="00557F13"/>
    <w:rsid w:val="00561ABC"/>
    <w:rsid w:val="00562653"/>
    <w:rsid w:val="005630B0"/>
    <w:rsid w:val="00563B64"/>
    <w:rsid w:val="00563CE8"/>
    <w:rsid w:val="005662E2"/>
    <w:rsid w:val="00567E1A"/>
    <w:rsid w:val="00571389"/>
    <w:rsid w:val="005733EB"/>
    <w:rsid w:val="005734C5"/>
    <w:rsid w:val="0057453A"/>
    <w:rsid w:val="00575268"/>
    <w:rsid w:val="00575A5A"/>
    <w:rsid w:val="00576D51"/>
    <w:rsid w:val="0057792B"/>
    <w:rsid w:val="0058025B"/>
    <w:rsid w:val="00580802"/>
    <w:rsid w:val="00581A22"/>
    <w:rsid w:val="00585EC8"/>
    <w:rsid w:val="005860CB"/>
    <w:rsid w:val="00587E32"/>
    <w:rsid w:val="005918F3"/>
    <w:rsid w:val="0059250B"/>
    <w:rsid w:val="00593E91"/>
    <w:rsid w:val="0059442D"/>
    <w:rsid w:val="00594D38"/>
    <w:rsid w:val="0059703C"/>
    <w:rsid w:val="0059714F"/>
    <w:rsid w:val="0059753D"/>
    <w:rsid w:val="005A0B49"/>
    <w:rsid w:val="005A1108"/>
    <w:rsid w:val="005A1286"/>
    <w:rsid w:val="005A14B9"/>
    <w:rsid w:val="005A27AD"/>
    <w:rsid w:val="005A353A"/>
    <w:rsid w:val="005A3AA7"/>
    <w:rsid w:val="005A4EBE"/>
    <w:rsid w:val="005A5C79"/>
    <w:rsid w:val="005A6D57"/>
    <w:rsid w:val="005A71FD"/>
    <w:rsid w:val="005B056B"/>
    <w:rsid w:val="005B0B52"/>
    <w:rsid w:val="005B1F52"/>
    <w:rsid w:val="005B4785"/>
    <w:rsid w:val="005B5840"/>
    <w:rsid w:val="005B5B70"/>
    <w:rsid w:val="005B5F05"/>
    <w:rsid w:val="005C17BF"/>
    <w:rsid w:val="005C57BA"/>
    <w:rsid w:val="005C6982"/>
    <w:rsid w:val="005C6B74"/>
    <w:rsid w:val="005C7AEA"/>
    <w:rsid w:val="005D125D"/>
    <w:rsid w:val="005D2B59"/>
    <w:rsid w:val="005D362F"/>
    <w:rsid w:val="005D370F"/>
    <w:rsid w:val="005D38AD"/>
    <w:rsid w:val="005D3E85"/>
    <w:rsid w:val="005D44D1"/>
    <w:rsid w:val="005D53D6"/>
    <w:rsid w:val="005D5E4A"/>
    <w:rsid w:val="005E1B06"/>
    <w:rsid w:val="005E265D"/>
    <w:rsid w:val="005E3D7D"/>
    <w:rsid w:val="005E4D7C"/>
    <w:rsid w:val="005E5C9F"/>
    <w:rsid w:val="005E5F6A"/>
    <w:rsid w:val="005E7AE4"/>
    <w:rsid w:val="005F048E"/>
    <w:rsid w:val="005F2047"/>
    <w:rsid w:val="005F2C76"/>
    <w:rsid w:val="005F57F0"/>
    <w:rsid w:val="00600726"/>
    <w:rsid w:val="00600FBC"/>
    <w:rsid w:val="00601010"/>
    <w:rsid w:val="0060283B"/>
    <w:rsid w:val="006028C9"/>
    <w:rsid w:val="006046E6"/>
    <w:rsid w:val="0060676C"/>
    <w:rsid w:val="00606871"/>
    <w:rsid w:val="00606E04"/>
    <w:rsid w:val="0060721D"/>
    <w:rsid w:val="0061042F"/>
    <w:rsid w:val="006130E5"/>
    <w:rsid w:val="00613A59"/>
    <w:rsid w:val="006168E4"/>
    <w:rsid w:val="00616ACF"/>
    <w:rsid w:val="0061737F"/>
    <w:rsid w:val="006173AE"/>
    <w:rsid w:val="00621F47"/>
    <w:rsid w:val="00622359"/>
    <w:rsid w:val="0062497C"/>
    <w:rsid w:val="00625200"/>
    <w:rsid w:val="006255AA"/>
    <w:rsid w:val="00630846"/>
    <w:rsid w:val="00631806"/>
    <w:rsid w:val="00635C47"/>
    <w:rsid w:val="0063688D"/>
    <w:rsid w:val="00636B66"/>
    <w:rsid w:val="00637512"/>
    <w:rsid w:val="00637BC8"/>
    <w:rsid w:val="00640EE4"/>
    <w:rsid w:val="006428DF"/>
    <w:rsid w:val="006456FA"/>
    <w:rsid w:val="006466F5"/>
    <w:rsid w:val="00646C24"/>
    <w:rsid w:val="00652695"/>
    <w:rsid w:val="00652BC5"/>
    <w:rsid w:val="00653714"/>
    <w:rsid w:val="00661753"/>
    <w:rsid w:val="0066216F"/>
    <w:rsid w:val="00663FCB"/>
    <w:rsid w:val="006654F6"/>
    <w:rsid w:val="006665B1"/>
    <w:rsid w:val="00675390"/>
    <w:rsid w:val="00676CAA"/>
    <w:rsid w:val="006802CF"/>
    <w:rsid w:val="0068048C"/>
    <w:rsid w:val="006827AB"/>
    <w:rsid w:val="006829A7"/>
    <w:rsid w:val="006831E4"/>
    <w:rsid w:val="00683B62"/>
    <w:rsid w:val="006848B7"/>
    <w:rsid w:val="006868A7"/>
    <w:rsid w:val="00690791"/>
    <w:rsid w:val="006915EA"/>
    <w:rsid w:val="00694828"/>
    <w:rsid w:val="006A0B5A"/>
    <w:rsid w:val="006A3810"/>
    <w:rsid w:val="006A65EE"/>
    <w:rsid w:val="006A68B8"/>
    <w:rsid w:val="006A6CE8"/>
    <w:rsid w:val="006A7CEB"/>
    <w:rsid w:val="006B1953"/>
    <w:rsid w:val="006B1BF1"/>
    <w:rsid w:val="006B20F0"/>
    <w:rsid w:val="006B26E3"/>
    <w:rsid w:val="006B3085"/>
    <w:rsid w:val="006B5AF9"/>
    <w:rsid w:val="006B69CF"/>
    <w:rsid w:val="006B7444"/>
    <w:rsid w:val="006B7F92"/>
    <w:rsid w:val="006C17AE"/>
    <w:rsid w:val="006C17FD"/>
    <w:rsid w:val="006C28B4"/>
    <w:rsid w:val="006C28CA"/>
    <w:rsid w:val="006C350D"/>
    <w:rsid w:val="006C5E56"/>
    <w:rsid w:val="006C647E"/>
    <w:rsid w:val="006C66E4"/>
    <w:rsid w:val="006C7C01"/>
    <w:rsid w:val="006C7F89"/>
    <w:rsid w:val="006D23FC"/>
    <w:rsid w:val="006D643D"/>
    <w:rsid w:val="006E063C"/>
    <w:rsid w:val="006E1B21"/>
    <w:rsid w:val="006E245B"/>
    <w:rsid w:val="006E3851"/>
    <w:rsid w:val="006E3E3F"/>
    <w:rsid w:val="006E58E4"/>
    <w:rsid w:val="006E7519"/>
    <w:rsid w:val="006F1167"/>
    <w:rsid w:val="006F2C4F"/>
    <w:rsid w:val="006F3B9F"/>
    <w:rsid w:val="006F4044"/>
    <w:rsid w:val="006F46DC"/>
    <w:rsid w:val="006F4CC6"/>
    <w:rsid w:val="006F5813"/>
    <w:rsid w:val="00701033"/>
    <w:rsid w:val="00701A3F"/>
    <w:rsid w:val="00702A03"/>
    <w:rsid w:val="00704720"/>
    <w:rsid w:val="00704BD8"/>
    <w:rsid w:val="00704EFD"/>
    <w:rsid w:val="007051A0"/>
    <w:rsid w:val="007078C8"/>
    <w:rsid w:val="00712E3A"/>
    <w:rsid w:val="00713826"/>
    <w:rsid w:val="00713CE6"/>
    <w:rsid w:val="007169EF"/>
    <w:rsid w:val="00721506"/>
    <w:rsid w:val="007216DB"/>
    <w:rsid w:val="00721F01"/>
    <w:rsid w:val="007246D3"/>
    <w:rsid w:val="00725900"/>
    <w:rsid w:val="00725F5A"/>
    <w:rsid w:val="007274EC"/>
    <w:rsid w:val="0073605C"/>
    <w:rsid w:val="00737605"/>
    <w:rsid w:val="007404D5"/>
    <w:rsid w:val="00740BDD"/>
    <w:rsid w:val="007417C8"/>
    <w:rsid w:val="00743069"/>
    <w:rsid w:val="00744287"/>
    <w:rsid w:val="00744EEF"/>
    <w:rsid w:val="00745D76"/>
    <w:rsid w:val="00747109"/>
    <w:rsid w:val="00747487"/>
    <w:rsid w:val="007505EB"/>
    <w:rsid w:val="00751B4B"/>
    <w:rsid w:val="00752A9A"/>
    <w:rsid w:val="00754CAE"/>
    <w:rsid w:val="0075588D"/>
    <w:rsid w:val="00755C0C"/>
    <w:rsid w:val="007571F0"/>
    <w:rsid w:val="00760D70"/>
    <w:rsid w:val="00763EE7"/>
    <w:rsid w:val="00764DB2"/>
    <w:rsid w:val="007653A0"/>
    <w:rsid w:val="0076623B"/>
    <w:rsid w:val="00767E4B"/>
    <w:rsid w:val="007718AD"/>
    <w:rsid w:val="00772134"/>
    <w:rsid w:val="007742A7"/>
    <w:rsid w:val="00776444"/>
    <w:rsid w:val="00777034"/>
    <w:rsid w:val="00780780"/>
    <w:rsid w:val="00780817"/>
    <w:rsid w:val="00781CA6"/>
    <w:rsid w:val="007851D5"/>
    <w:rsid w:val="0078766F"/>
    <w:rsid w:val="00791BAA"/>
    <w:rsid w:val="00793CFD"/>
    <w:rsid w:val="0079486A"/>
    <w:rsid w:val="00794F80"/>
    <w:rsid w:val="00796A5E"/>
    <w:rsid w:val="007A00E9"/>
    <w:rsid w:val="007A0454"/>
    <w:rsid w:val="007A0970"/>
    <w:rsid w:val="007A0E44"/>
    <w:rsid w:val="007A181E"/>
    <w:rsid w:val="007A1C9E"/>
    <w:rsid w:val="007A4CA1"/>
    <w:rsid w:val="007A5DFD"/>
    <w:rsid w:val="007B0398"/>
    <w:rsid w:val="007B24F4"/>
    <w:rsid w:val="007B2C77"/>
    <w:rsid w:val="007B2E78"/>
    <w:rsid w:val="007B5E84"/>
    <w:rsid w:val="007B6549"/>
    <w:rsid w:val="007C1A9C"/>
    <w:rsid w:val="007C37DA"/>
    <w:rsid w:val="007C3F2F"/>
    <w:rsid w:val="007D10BD"/>
    <w:rsid w:val="007D1A27"/>
    <w:rsid w:val="007D1B24"/>
    <w:rsid w:val="007D1CE9"/>
    <w:rsid w:val="007D1F15"/>
    <w:rsid w:val="007D25B1"/>
    <w:rsid w:val="007D2878"/>
    <w:rsid w:val="007D6FC3"/>
    <w:rsid w:val="007E1017"/>
    <w:rsid w:val="007E319E"/>
    <w:rsid w:val="007E4FA1"/>
    <w:rsid w:val="007E7B07"/>
    <w:rsid w:val="007E7BAB"/>
    <w:rsid w:val="007E7DCE"/>
    <w:rsid w:val="007E7FA9"/>
    <w:rsid w:val="007F20AC"/>
    <w:rsid w:val="007F2DCD"/>
    <w:rsid w:val="007F6623"/>
    <w:rsid w:val="00801269"/>
    <w:rsid w:val="00802338"/>
    <w:rsid w:val="00802C56"/>
    <w:rsid w:val="008053CE"/>
    <w:rsid w:val="008056BC"/>
    <w:rsid w:val="00805BF0"/>
    <w:rsid w:val="00806EE9"/>
    <w:rsid w:val="00807750"/>
    <w:rsid w:val="00807E35"/>
    <w:rsid w:val="00811205"/>
    <w:rsid w:val="00812C48"/>
    <w:rsid w:val="00812F5E"/>
    <w:rsid w:val="008146ED"/>
    <w:rsid w:val="008146F9"/>
    <w:rsid w:val="008218CD"/>
    <w:rsid w:val="00821AEB"/>
    <w:rsid w:val="008226DA"/>
    <w:rsid w:val="0082456B"/>
    <w:rsid w:val="00824DCD"/>
    <w:rsid w:val="00827964"/>
    <w:rsid w:val="008311A6"/>
    <w:rsid w:val="008327EA"/>
    <w:rsid w:val="008339E3"/>
    <w:rsid w:val="00833E8A"/>
    <w:rsid w:val="008357C0"/>
    <w:rsid w:val="00836987"/>
    <w:rsid w:val="00836EF0"/>
    <w:rsid w:val="0083744B"/>
    <w:rsid w:val="008427F2"/>
    <w:rsid w:val="00843026"/>
    <w:rsid w:val="00844009"/>
    <w:rsid w:val="0084448D"/>
    <w:rsid w:val="00844569"/>
    <w:rsid w:val="00844CD2"/>
    <w:rsid w:val="00844CDE"/>
    <w:rsid w:val="00845083"/>
    <w:rsid w:val="0084660B"/>
    <w:rsid w:val="00847CAF"/>
    <w:rsid w:val="00847D23"/>
    <w:rsid w:val="00854523"/>
    <w:rsid w:val="00855078"/>
    <w:rsid w:val="008556FF"/>
    <w:rsid w:val="00857106"/>
    <w:rsid w:val="00857765"/>
    <w:rsid w:val="00861770"/>
    <w:rsid w:val="00863327"/>
    <w:rsid w:val="00863A40"/>
    <w:rsid w:val="008644AC"/>
    <w:rsid w:val="00864834"/>
    <w:rsid w:val="0086704E"/>
    <w:rsid w:val="00867B0E"/>
    <w:rsid w:val="00867F7E"/>
    <w:rsid w:val="008704CD"/>
    <w:rsid w:val="00870F44"/>
    <w:rsid w:val="00871D9F"/>
    <w:rsid w:val="00872B52"/>
    <w:rsid w:val="00872ECB"/>
    <w:rsid w:val="0087456A"/>
    <w:rsid w:val="00875AB2"/>
    <w:rsid w:val="00877C8E"/>
    <w:rsid w:val="00884054"/>
    <w:rsid w:val="00884077"/>
    <w:rsid w:val="00890342"/>
    <w:rsid w:val="00890B7A"/>
    <w:rsid w:val="00890C62"/>
    <w:rsid w:val="00891277"/>
    <w:rsid w:val="0089173B"/>
    <w:rsid w:val="0089396E"/>
    <w:rsid w:val="0089437B"/>
    <w:rsid w:val="00895089"/>
    <w:rsid w:val="008951ED"/>
    <w:rsid w:val="00896151"/>
    <w:rsid w:val="00896590"/>
    <w:rsid w:val="0089761E"/>
    <w:rsid w:val="008977EE"/>
    <w:rsid w:val="008A0693"/>
    <w:rsid w:val="008A0866"/>
    <w:rsid w:val="008A30E0"/>
    <w:rsid w:val="008A4798"/>
    <w:rsid w:val="008A5928"/>
    <w:rsid w:val="008A6411"/>
    <w:rsid w:val="008A75BE"/>
    <w:rsid w:val="008B0D6E"/>
    <w:rsid w:val="008B1AD9"/>
    <w:rsid w:val="008B1D2E"/>
    <w:rsid w:val="008B3BA6"/>
    <w:rsid w:val="008B4B0F"/>
    <w:rsid w:val="008B4DF4"/>
    <w:rsid w:val="008B5D1F"/>
    <w:rsid w:val="008B69CF"/>
    <w:rsid w:val="008B6C58"/>
    <w:rsid w:val="008C08BE"/>
    <w:rsid w:val="008C1558"/>
    <w:rsid w:val="008C229F"/>
    <w:rsid w:val="008C32A8"/>
    <w:rsid w:val="008C3445"/>
    <w:rsid w:val="008C366D"/>
    <w:rsid w:val="008C4E94"/>
    <w:rsid w:val="008C55A3"/>
    <w:rsid w:val="008C7368"/>
    <w:rsid w:val="008D1BF1"/>
    <w:rsid w:val="008D32F0"/>
    <w:rsid w:val="008E012F"/>
    <w:rsid w:val="008E265A"/>
    <w:rsid w:val="008E6375"/>
    <w:rsid w:val="008F17A1"/>
    <w:rsid w:val="008F1B44"/>
    <w:rsid w:val="008F2158"/>
    <w:rsid w:val="008F4670"/>
    <w:rsid w:val="008F4C65"/>
    <w:rsid w:val="008F53E4"/>
    <w:rsid w:val="008F5B4D"/>
    <w:rsid w:val="008F5D20"/>
    <w:rsid w:val="008F7579"/>
    <w:rsid w:val="008F7C98"/>
    <w:rsid w:val="0090019F"/>
    <w:rsid w:val="00902944"/>
    <w:rsid w:val="009041AF"/>
    <w:rsid w:val="00905422"/>
    <w:rsid w:val="00905D7A"/>
    <w:rsid w:val="00906BD5"/>
    <w:rsid w:val="009104D1"/>
    <w:rsid w:val="00913133"/>
    <w:rsid w:val="009131C3"/>
    <w:rsid w:val="00913CF8"/>
    <w:rsid w:val="0091475B"/>
    <w:rsid w:val="009175C6"/>
    <w:rsid w:val="0092120C"/>
    <w:rsid w:val="00921DB9"/>
    <w:rsid w:val="00923519"/>
    <w:rsid w:val="0092403D"/>
    <w:rsid w:val="0092524A"/>
    <w:rsid w:val="00933BEE"/>
    <w:rsid w:val="00934304"/>
    <w:rsid w:val="00934415"/>
    <w:rsid w:val="009367EA"/>
    <w:rsid w:val="009402DB"/>
    <w:rsid w:val="00940DE8"/>
    <w:rsid w:val="009427BF"/>
    <w:rsid w:val="00942E41"/>
    <w:rsid w:val="009440D8"/>
    <w:rsid w:val="009449B8"/>
    <w:rsid w:val="00944DC9"/>
    <w:rsid w:val="00945203"/>
    <w:rsid w:val="009454E7"/>
    <w:rsid w:val="0094603F"/>
    <w:rsid w:val="00946F89"/>
    <w:rsid w:val="00951F85"/>
    <w:rsid w:val="0095210D"/>
    <w:rsid w:val="00952850"/>
    <w:rsid w:val="009555DC"/>
    <w:rsid w:val="009611E0"/>
    <w:rsid w:val="00962002"/>
    <w:rsid w:val="00962383"/>
    <w:rsid w:val="00963120"/>
    <w:rsid w:val="00965FEE"/>
    <w:rsid w:val="0096643B"/>
    <w:rsid w:val="00966B7A"/>
    <w:rsid w:val="00967852"/>
    <w:rsid w:val="009706B5"/>
    <w:rsid w:val="00972BDF"/>
    <w:rsid w:val="00972CF8"/>
    <w:rsid w:val="009732F5"/>
    <w:rsid w:val="00973AFB"/>
    <w:rsid w:val="00973E67"/>
    <w:rsid w:val="00973F49"/>
    <w:rsid w:val="00974AE2"/>
    <w:rsid w:val="00975319"/>
    <w:rsid w:val="0098182D"/>
    <w:rsid w:val="00982A98"/>
    <w:rsid w:val="009855E2"/>
    <w:rsid w:val="00985612"/>
    <w:rsid w:val="00987C03"/>
    <w:rsid w:val="00990E3D"/>
    <w:rsid w:val="009911E6"/>
    <w:rsid w:val="00992977"/>
    <w:rsid w:val="00992B07"/>
    <w:rsid w:val="0099557F"/>
    <w:rsid w:val="00995833"/>
    <w:rsid w:val="00996932"/>
    <w:rsid w:val="009A3511"/>
    <w:rsid w:val="009A686F"/>
    <w:rsid w:val="009A7912"/>
    <w:rsid w:val="009B0094"/>
    <w:rsid w:val="009B28E9"/>
    <w:rsid w:val="009B2CF5"/>
    <w:rsid w:val="009B33A8"/>
    <w:rsid w:val="009B3487"/>
    <w:rsid w:val="009B390A"/>
    <w:rsid w:val="009B3DFA"/>
    <w:rsid w:val="009B44F6"/>
    <w:rsid w:val="009B7C61"/>
    <w:rsid w:val="009C0D17"/>
    <w:rsid w:val="009C22B1"/>
    <w:rsid w:val="009C327C"/>
    <w:rsid w:val="009C3793"/>
    <w:rsid w:val="009C415C"/>
    <w:rsid w:val="009C520A"/>
    <w:rsid w:val="009C62BD"/>
    <w:rsid w:val="009D0326"/>
    <w:rsid w:val="009D26AD"/>
    <w:rsid w:val="009D341C"/>
    <w:rsid w:val="009D45BD"/>
    <w:rsid w:val="009D5261"/>
    <w:rsid w:val="009D6670"/>
    <w:rsid w:val="009E1411"/>
    <w:rsid w:val="009E19FC"/>
    <w:rsid w:val="009E39F0"/>
    <w:rsid w:val="009E52F2"/>
    <w:rsid w:val="009E72FC"/>
    <w:rsid w:val="009F06E9"/>
    <w:rsid w:val="009F1118"/>
    <w:rsid w:val="009F1287"/>
    <w:rsid w:val="009F25EB"/>
    <w:rsid w:val="009F2A10"/>
    <w:rsid w:val="009F3C1F"/>
    <w:rsid w:val="009F5533"/>
    <w:rsid w:val="009F614E"/>
    <w:rsid w:val="009F657D"/>
    <w:rsid w:val="009F762B"/>
    <w:rsid w:val="009F76BA"/>
    <w:rsid w:val="009F7E09"/>
    <w:rsid w:val="00A004A7"/>
    <w:rsid w:val="00A011AD"/>
    <w:rsid w:val="00A02047"/>
    <w:rsid w:val="00A02D87"/>
    <w:rsid w:val="00A035C0"/>
    <w:rsid w:val="00A036BE"/>
    <w:rsid w:val="00A0575E"/>
    <w:rsid w:val="00A068CE"/>
    <w:rsid w:val="00A10F77"/>
    <w:rsid w:val="00A12205"/>
    <w:rsid w:val="00A1334E"/>
    <w:rsid w:val="00A139AF"/>
    <w:rsid w:val="00A15136"/>
    <w:rsid w:val="00A1669D"/>
    <w:rsid w:val="00A1774C"/>
    <w:rsid w:val="00A20113"/>
    <w:rsid w:val="00A218D5"/>
    <w:rsid w:val="00A24B74"/>
    <w:rsid w:val="00A3248C"/>
    <w:rsid w:val="00A339E6"/>
    <w:rsid w:val="00A33EF8"/>
    <w:rsid w:val="00A34362"/>
    <w:rsid w:val="00A358E6"/>
    <w:rsid w:val="00A37C0F"/>
    <w:rsid w:val="00A409B6"/>
    <w:rsid w:val="00A422B7"/>
    <w:rsid w:val="00A424E5"/>
    <w:rsid w:val="00A4303F"/>
    <w:rsid w:val="00A44291"/>
    <w:rsid w:val="00A453DC"/>
    <w:rsid w:val="00A46457"/>
    <w:rsid w:val="00A47E33"/>
    <w:rsid w:val="00A50182"/>
    <w:rsid w:val="00A50B09"/>
    <w:rsid w:val="00A50B14"/>
    <w:rsid w:val="00A51024"/>
    <w:rsid w:val="00A51109"/>
    <w:rsid w:val="00A51F37"/>
    <w:rsid w:val="00A544DC"/>
    <w:rsid w:val="00A54B6C"/>
    <w:rsid w:val="00A55818"/>
    <w:rsid w:val="00A55CE0"/>
    <w:rsid w:val="00A56556"/>
    <w:rsid w:val="00A625E2"/>
    <w:rsid w:val="00A63015"/>
    <w:rsid w:val="00A63DC7"/>
    <w:rsid w:val="00A641F5"/>
    <w:rsid w:val="00A664F2"/>
    <w:rsid w:val="00A70289"/>
    <w:rsid w:val="00A70A96"/>
    <w:rsid w:val="00A72105"/>
    <w:rsid w:val="00A72465"/>
    <w:rsid w:val="00A726B7"/>
    <w:rsid w:val="00A7389E"/>
    <w:rsid w:val="00A80C92"/>
    <w:rsid w:val="00A82461"/>
    <w:rsid w:val="00A84417"/>
    <w:rsid w:val="00A851D8"/>
    <w:rsid w:val="00A870C4"/>
    <w:rsid w:val="00A87326"/>
    <w:rsid w:val="00A94568"/>
    <w:rsid w:val="00A953BA"/>
    <w:rsid w:val="00A96F9F"/>
    <w:rsid w:val="00A977B0"/>
    <w:rsid w:val="00AA0848"/>
    <w:rsid w:val="00AA0AAF"/>
    <w:rsid w:val="00AA2C55"/>
    <w:rsid w:val="00AA3C06"/>
    <w:rsid w:val="00AA4288"/>
    <w:rsid w:val="00AA56F6"/>
    <w:rsid w:val="00AA5D62"/>
    <w:rsid w:val="00AB0571"/>
    <w:rsid w:val="00AB1E84"/>
    <w:rsid w:val="00AB2BF2"/>
    <w:rsid w:val="00AB2F99"/>
    <w:rsid w:val="00AB3710"/>
    <w:rsid w:val="00AB4B0F"/>
    <w:rsid w:val="00AB4C9F"/>
    <w:rsid w:val="00AB652F"/>
    <w:rsid w:val="00AB6C3B"/>
    <w:rsid w:val="00AB7F4A"/>
    <w:rsid w:val="00AC113B"/>
    <w:rsid w:val="00AC226E"/>
    <w:rsid w:val="00AC3DD8"/>
    <w:rsid w:val="00AC455D"/>
    <w:rsid w:val="00AC5526"/>
    <w:rsid w:val="00AC69C8"/>
    <w:rsid w:val="00AC722C"/>
    <w:rsid w:val="00AC75C1"/>
    <w:rsid w:val="00AC7906"/>
    <w:rsid w:val="00AD1291"/>
    <w:rsid w:val="00AD134F"/>
    <w:rsid w:val="00AD1F40"/>
    <w:rsid w:val="00AD3428"/>
    <w:rsid w:val="00AD3AA2"/>
    <w:rsid w:val="00AD43B8"/>
    <w:rsid w:val="00AD49B1"/>
    <w:rsid w:val="00AD4B1A"/>
    <w:rsid w:val="00AE008F"/>
    <w:rsid w:val="00AE1BE3"/>
    <w:rsid w:val="00AF0161"/>
    <w:rsid w:val="00AF1275"/>
    <w:rsid w:val="00AF2A1F"/>
    <w:rsid w:val="00AF2D9B"/>
    <w:rsid w:val="00AF37CE"/>
    <w:rsid w:val="00AF7A46"/>
    <w:rsid w:val="00B00628"/>
    <w:rsid w:val="00B03CF6"/>
    <w:rsid w:val="00B0749B"/>
    <w:rsid w:val="00B10050"/>
    <w:rsid w:val="00B10A1E"/>
    <w:rsid w:val="00B10B36"/>
    <w:rsid w:val="00B11E08"/>
    <w:rsid w:val="00B12FF9"/>
    <w:rsid w:val="00B13507"/>
    <w:rsid w:val="00B14039"/>
    <w:rsid w:val="00B149FA"/>
    <w:rsid w:val="00B177F4"/>
    <w:rsid w:val="00B22242"/>
    <w:rsid w:val="00B2232C"/>
    <w:rsid w:val="00B2330D"/>
    <w:rsid w:val="00B25DF9"/>
    <w:rsid w:val="00B26C55"/>
    <w:rsid w:val="00B32CD3"/>
    <w:rsid w:val="00B32EA8"/>
    <w:rsid w:val="00B34CED"/>
    <w:rsid w:val="00B35A93"/>
    <w:rsid w:val="00B3672D"/>
    <w:rsid w:val="00B37DCF"/>
    <w:rsid w:val="00B433C9"/>
    <w:rsid w:val="00B437D8"/>
    <w:rsid w:val="00B44ADE"/>
    <w:rsid w:val="00B45A1B"/>
    <w:rsid w:val="00B46B42"/>
    <w:rsid w:val="00B4745C"/>
    <w:rsid w:val="00B50C47"/>
    <w:rsid w:val="00B52D3E"/>
    <w:rsid w:val="00B52E55"/>
    <w:rsid w:val="00B534F0"/>
    <w:rsid w:val="00B548BC"/>
    <w:rsid w:val="00B54C62"/>
    <w:rsid w:val="00B54D6C"/>
    <w:rsid w:val="00B57980"/>
    <w:rsid w:val="00B601D4"/>
    <w:rsid w:val="00B60CE6"/>
    <w:rsid w:val="00B60DA2"/>
    <w:rsid w:val="00B6166B"/>
    <w:rsid w:val="00B61955"/>
    <w:rsid w:val="00B63BC9"/>
    <w:rsid w:val="00B653BB"/>
    <w:rsid w:val="00B66E86"/>
    <w:rsid w:val="00B6767A"/>
    <w:rsid w:val="00B67A20"/>
    <w:rsid w:val="00B710FE"/>
    <w:rsid w:val="00B721B4"/>
    <w:rsid w:val="00B724E8"/>
    <w:rsid w:val="00B7517C"/>
    <w:rsid w:val="00B80162"/>
    <w:rsid w:val="00B85E83"/>
    <w:rsid w:val="00B87D50"/>
    <w:rsid w:val="00B91BCB"/>
    <w:rsid w:val="00B9223B"/>
    <w:rsid w:val="00B939D1"/>
    <w:rsid w:val="00B953BD"/>
    <w:rsid w:val="00B95905"/>
    <w:rsid w:val="00B97421"/>
    <w:rsid w:val="00BA2A94"/>
    <w:rsid w:val="00BA4D1F"/>
    <w:rsid w:val="00BA5339"/>
    <w:rsid w:val="00BA6226"/>
    <w:rsid w:val="00BA7AD1"/>
    <w:rsid w:val="00BA7F86"/>
    <w:rsid w:val="00BB2250"/>
    <w:rsid w:val="00BB3132"/>
    <w:rsid w:val="00BB3BC5"/>
    <w:rsid w:val="00BB4511"/>
    <w:rsid w:val="00BB5448"/>
    <w:rsid w:val="00BB68CA"/>
    <w:rsid w:val="00BB721B"/>
    <w:rsid w:val="00BC0DDF"/>
    <w:rsid w:val="00BC0FDD"/>
    <w:rsid w:val="00BC22E0"/>
    <w:rsid w:val="00BC2A46"/>
    <w:rsid w:val="00BC3FA4"/>
    <w:rsid w:val="00BC4029"/>
    <w:rsid w:val="00BD004A"/>
    <w:rsid w:val="00BD1B17"/>
    <w:rsid w:val="00BD352C"/>
    <w:rsid w:val="00BD43AE"/>
    <w:rsid w:val="00BD5023"/>
    <w:rsid w:val="00BD5133"/>
    <w:rsid w:val="00BD58AB"/>
    <w:rsid w:val="00BE28ED"/>
    <w:rsid w:val="00BF24E3"/>
    <w:rsid w:val="00C008B2"/>
    <w:rsid w:val="00C00F3C"/>
    <w:rsid w:val="00C01ABC"/>
    <w:rsid w:val="00C01E1C"/>
    <w:rsid w:val="00C01F6B"/>
    <w:rsid w:val="00C02672"/>
    <w:rsid w:val="00C02A84"/>
    <w:rsid w:val="00C06724"/>
    <w:rsid w:val="00C07B2D"/>
    <w:rsid w:val="00C104D5"/>
    <w:rsid w:val="00C10621"/>
    <w:rsid w:val="00C12209"/>
    <w:rsid w:val="00C14CD6"/>
    <w:rsid w:val="00C155B6"/>
    <w:rsid w:val="00C16927"/>
    <w:rsid w:val="00C2082E"/>
    <w:rsid w:val="00C20835"/>
    <w:rsid w:val="00C231B3"/>
    <w:rsid w:val="00C24A09"/>
    <w:rsid w:val="00C25084"/>
    <w:rsid w:val="00C25BAC"/>
    <w:rsid w:val="00C274BE"/>
    <w:rsid w:val="00C274C6"/>
    <w:rsid w:val="00C30439"/>
    <w:rsid w:val="00C310B6"/>
    <w:rsid w:val="00C3330D"/>
    <w:rsid w:val="00C347FE"/>
    <w:rsid w:val="00C357BE"/>
    <w:rsid w:val="00C4006D"/>
    <w:rsid w:val="00C4530E"/>
    <w:rsid w:val="00C45C21"/>
    <w:rsid w:val="00C50177"/>
    <w:rsid w:val="00C5130E"/>
    <w:rsid w:val="00C51FF1"/>
    <w:rsid w:val="00C52F23"/>
    <w:rsid w:val="00C55020"/>
    <w:rsid w:val="00C56C44"/>
    <w:rsid w:val="00C57028"/>
    <w:rsid w:val="00C572BB"/>
    <w:rsid w:val="00C604B3"/>
    <w:rsid w:val="00C60BD4"/>
    <w:rsid w:val="00C6271F"/>
    <w:rsid w:val="00C62A64"/>
    <w:rsid w:val="00C6332C"/>
    <w:rsid w:val="00C65CFD"/>
    <w:rsid w:val="00C66F97"/>
    <w:rsid w:val="00C6721D"/>
    <w:rsid w:val="00C677A9"/>
    <w:rsid w:val="00C678B3"/>
    <w:rsid w:val="00C70B4A"/>
    <w:rsid w:val="00C71CD1"/>
    <w:rsid w:val="00C73143"/>
    <w:rsid w:val="00C766C0"/>
    <w:rsid w:val="00C77685"/>
    <w:rsid w:val="00C77815"/>
    <w:rsid w:val="00C77977"/>
    <w:rsid w:val="00C77ABA"/>
    <w:rsid w:val="00C77BF9"/>
    <w:rsid w:val="00C77F0F"/>
    <w:rsid w:val="00C8085F"/>
    <w:rsid w:val="00C821B6"/>
    <w:rsid w:val="00C82860"/>
    <w:rsid w:val="00C8471E"/>
    <w:rsid w:val="00C850CE"/>
    <w:rsid w:val="00C85378"/>
    <w:rsid w:val="00C90BE5"/>
    <w:rsid w:val="00C91615"/>
    <w:rsid w:val="00C91B10"/>
    <w:rsid w:val="00C925E0"/>
    <w:rsid w:val="00C9271F"/>
    <w:rsid w:val="00C9297C"/>
    <w:rsid w:val="00CA49E9"/>
    <w:rsid w:val="00CA5334"/>
    <w:rsid w:val="00CA6FDA"/>
    <w:rsid w:val="00CB0886"/>
    <w:rsid w:val="00CB2CC0"/>
    <w:rsid w:val="00CB2DA9"/>
    <w:rsid w:val="00CB3B6F"/>
    <w:rsid w:val="00CB563C"/>
    <w:rsid w:val="00CB56D1"/>
    <w:rsid w:val="00CB7581"/>
    <w:rsid w:val="00CC0C5F"/>
    <w:rsid w:val="00CC2F3D"/>
    <w:rsid w:val="00CC4BF0"/>
    <w:rsid w:val="00CC4CF6"/>
    <w:rsid w:val="00CC51A7"/>
    <w:rsid w:val="00CC5FF3"/>
    <w:rsid w:val="00CC6072"/>
    <w:rsid w:val="00CD1612"/>
    <w:rsid w:val="00CD365B"/>
    <w:rsid w:val="00CD4287"/>
    <w:rsid w:val="00CD4BFA"/>
    <w:rsid w:val="00CD5FF7"/>
    <w:rsid w:val="00CE0514"/>
    <w:rsid w:val="00CE0E72"/>
    <w:rsid w:val="00CE148C"/>
    <w:rsid w:val="00CE2ADF"/>
    <w:rsid w:val="00CE367D"/>
    <w:rsid w:val="00CE784A"/>
    <w:rsid w:val="00CF0244"/>
    <w:rsid w:val="00CF1C84"/>
    <w:rsid w:val="00CF1D7D"/>
    <w:rsid w:val="00CF3813"/>
    <w:rsid w:val="00CF45D3"/>
    <w:rsid w:val="00CF51F9"/>
    <w:rsid w:val="00CF6B6C"/>
    <w:rsid w:val="00CF6C7D"/>
    <w:rsid w:val="00CF7EA2"/>
    <w:rsid w:val="00D0159B"/>
    <w:rsid w:val="00D04204"/>
    <w:rsid w:val="00D042BB"/>
    <w:rsid w:val="00D05FAE"/>
    <w:rsid w:val="00D065FC"/>
    <w:rsid w:val="00D06CA0"/>
    <w:rsid w:val="00D0731B"/>
    <w:rsid w:val="00D115BB"/>
    <w:rsid w:val="00D11797"/>
    <w:rsid w:val="00D12C68"/>
    <w:rsid w:val="00D134FB"/>
    <w:rsid w:val="00D138E7"/>
    <w:rsid w:val="00D14FEC"/>
    <w:rsid w:val="00D16C97"/>
    <w:rsid w:val="00D17789"/>
    <w:rsid w:val="00D17D85"/>
    <w:rsid w:val="00D21565"/>
    <w:rsid w:val="00D215A7"/>
    <w:rsid w:val="00D22F7D"/>
    <w:rsid w:val="00D24089"/>
    <w:rsid w:val="00D25BEE"/>
    <w:rsid w:val="00D2737E"/>
    <w:rsid w:val="00D274A9"/>
    <w:rsid w:val="00D302CF"/>
    <w:rsid w:val="00D318E3"/>
    <w:rsid w:val="00D32644"/>
    <w:rsid w:val="00D33619"/>
    <w:rsid w:val="00D37160"/>
    <w:rsid w:val="00D400F4"/>
    <w:rsid w:val="00D41CD2"/>
    <w:rsid w:val="00D426F1"/>
    <w:rsid w:val="00D43CF1"/>
    <w:rsid w:val="00D449AE"/>
    <w:rsid w:val="00D477C3"/>
    <w:rsid w:val="00D51B89"/>
    <w:rsid w:val="00D52AC7"/>
    <w:rsid w:val="00D531DC"/>
    <w:rsid w:val="00D54CA9"/>
    <w:rsid w:val="00D54D64"/>
    <w:rsid w:val="00D552FF"/>
    <w:rsid w:val="00D604FD"/>
    <w:rsid w:val="00D6340F"/>
    <w:rsid w:val="00D6535E"/>
    <w:rsid w:val="00D654EC"/>
    <w:rsid w:val="00D66C0C"/>
    <w:rsid w:val="00D720DC"/>
    <w:rsid w:val="00D72D16"/>
    <w:rsid w:val="00D742B9"/>
    <w:rsid w:val="00D7492C"/>
    <w:rsid w:val="00D755E3"/>
    <w:rsid w:val="00D766CC"/>
    <w:rsid w:val="00D7706D"/>
    <w:rsid w:val="00D77F4A"/>
    <w:rsid w:val="00D81029"/>
    <w:rsid w:val="00D8195B"/>
    <w:rsid w:val="00D821F8"/>
    <w:rsid w:val="00D848F9"/>
    <w:rsid w:val="00D84DDC"/>
    <w:rsid w:val="00D85695"/>
    <w:rsid w:val="00D857BA"/>
    <w:rsid w:val="00D8619F"/>
    <w:rsid w:val="00D86764"/>
    <w:rsid w:val="00D870AC"/>
    <w:rsid w:val="00D90385"/>
    <w:rsid w:val="00D90B92"/>
    <w:rsid w:val="00D922C3"/>
    <w:rsid w:val="00D93FF7"/>
    <w:rsid w:val="00D95611"/>
    <w:rsid w:val="00DA0DF2"/>
    <w:rsid w:val="00DA100E"/>
    <w:rsid w:val="00DA1152"/>
    <w:rsid w:val="00DA1ACE"/>
    <w:rsid w:val="00DA41D7"/>
    <w:rsid w:val="00DA494B"/>
    <w:rsid w:val="00DA5B72"/>
    <w:rsid w:val="00DB041C"/>
    <w:rsid w:val="00DB2FCC"/>
    <w:rsid w:val="00DB5C0A"/>
    <w:rsid w:val="00DC0220"/>
    <w:rsid w:val="00DC3D97"/>
    <w:rsid w:val="00DC5F15"/>
    <w:rsid w:val="00DC6FF8"/>
    <w:rsid w:val="00DD01FC"/>
    <w:rsid w:val="00DD13E2"/>
    <w:rsid w:val="00DD46D7"/>
    <w:rsid w:val="00DD7608"/>
    <w:rsid w:val="00DE47A1"/>
    <w:rsid w:val="00DE7DCC"/>
    <w:rsid w:val="00DF003C"/>
    <w:rsid w:val="00DF0F8A"/>
    <w:rsid w:val="00DF137F"/>
    <w:rsid w:val="00DF4501"/>
    <w:rsid w:val="00DF5C75"/>
    <w:rsid w:val="00DF6971"/>
    <w:rsid w:val="00DF78AE"/>
    <w:rsid w:val="00E00E78"/>
    <w:rsid w:val="00E07379"/>
    <w:rsid w:val="00E076C1"/>
    <w:rsid w:val="00E07FCA"/>
    <w:rsid w:val="00E11DBE"/>
    <w:rsid w:val="00E11E2E"/>
    <w:rsid w:val="00E13C83"/>
    <w:rsid w:val="00E15555"/>
    <w:rsid w:val="00E15B7D"/>
    <w:rsid w:val="00E22866"/>
    <w:rsid w:val="00E2408E"/>
    <w:rsid w:val="00E24BB6"/>
    <w:rsid w:val="00E27CDB"/>
    <w:rsid w:val="00E33199"/>
    <w:rsid w:val="00E369BA"/>
    <w:rsid w:val="00E371EC"/>
    <w:rsid w:val="00E43116"/>
    <w:rsid w:val="00E444DA"/>
    <w:rsid w:val="00E44674"/>
    <w:rsid w:val="00E46E2F"/>
    <w:rsid w:val="00E51A48"/>
    <w:rsid w:val="00E53E16"/>
    <w:rsid w:val="00E550AA"/>
    <w:rsid w:val="00E571F8"/>
    <w:rsid w:val="00E57E5A"/>
    <w:rsid w:val="00E62025"/>
    <w:rsid w:val="00E64D62"/>
    <w:rsid w:val="00E64F0A"/>
    <w:rsid w:val="00E65EAD"/>
    <w:rsid w:val="00E67668"/>
    <w:rsid w:val="00E702C1"/>
    <w:rsid w:val="00E70AEE"/>
    <w:rsid w:val="00E7107E"/>
    <w:rsid w:val="00E71C93"/>
    <w:rsid w:val="00E725D5"/>
    <w:rsid w:val="00E72AE3"/>
    <w:rsid w:val="00E73B51"/>
    <w:rsid w:val="00E76B98"/>
    <w:rsid w:val="00E77FC8"/>
    <w:rsid w:val="00E812F4"/>
    <w:rsid w:val="00E8151C"/>
    <w:rsid w:val="00E81A88"/>
    <w:rsid w:val="00E81E9C"/>
    <w:rsid w:val="00E82E15"/>
    <w:rsid w:val="00E83C07"/>
    <w:rsid w:val="00E84151"/>
    <w:rsid w:val="00E8471B"/>
    <w:rsid w:val="00E86FA6"/>
    <w:rsid w:val="00E91409"/>
    <w:rsid w:val="00E936FF"/>
    <w:rsid w:val="00E939C8"/>
    <w:rsid w:val="00E93A33"/>
    <w:rsid w:val="00E93B6B"/>
    <w:rsid w:val="00E95D21"/>
    <w:rsid w:val="00E96C74"/>
    <w:rsid w:val="00E97D69"/>
    <w:rsid w:val="00EA1F89"/>
    <w:rsid w:val="00EA39F3"/>
    <w:rsid w:val="00EA5177"/>
    <w:rsid w:val="00EA6144"/>
    <w:rsid w:val="00EA7FEF"/>
    <w:rsid w:val="00EB117B"/>
    <w:rsid w:val="00EB145C"/>
    <w:rsid w:val="00EB15B1"/>
    <w:rsid w:val="00EB2981"/>
    <w:rsid w:val="00EB2BEB"/>
    <w:rsid w:val="00EB3C6A"/>
    <w:rsid w:val="00EB40D6"/>
    <w:rsid w:val="00EB4222"/>
    <w:rsid w:val="00EB5F5F"/>
    <w:rsid w:val="00EB5F75"/>
    <w:rsid w:val="00EB79CD"/>
    <w:rsid w:val="00EC61C1"/>
    <w:rsid w:val="00EC64EB"/>
    <w:rsid w:val="00ED0D4C"/>
    <w:rsid w:val="00ED1975"/>
    <w:rsid w:val="00ED3CE5"/>
    <w:rsid w:val="00ED5985"/>
    <w:rsid w:val="00EE0648"/>
    <w:rsid w:val="00EE0F2E"/>
    <w:rsid w:val="00EE1868"/>
    <w:rsid w:val="00EE2610"/>
    <w:rsid w:val="00EE2A41"/>
    <w:rsid w:val="00EE354B"/>
    <w:rsid w:val="00EE3C1D"/>
    <w:rsid w:val="00EE6EC2"/>
    <w:rsid w:val="00EF0144"/>
    <w:rsid w:val="00EF09FB"/>
    <w:rsid w:val="00EF102E"/>
    <w:rsid w:val="00EF1925"/>
    <w:rsid w:val="00EF2489"/>
    <w:rsid w:val="00EF697A"/>
    <w:rsid w:val="00F02923"/>
    <w:rsid w:val="00F0323C"/>
    <w:rsid w:val="00F0351B"/>
    <w:rsid w:val="00F03BB1"/>
    <w:rsid w:val="00F06472"/>
    <w:rsid w:val="00F0678F"/>
    <w:rsid w:val="00F06C7D"/>
    <w:rsid w:val="00F071EE"/>
    <w:rsid w:val="00F07419"/>
    <w:rsid w:val="00F10856"/>
    <w:rsid w:val="00F109DA"/>
    <w:rsid w:val="00F10D6B"/>
    <w:rsid w:val="00F123C0"/>
    <w:rsid w:val="00F13254"/>
    <w:rsid w:val="00F1465C"/>
    <w:rsid w:val="00F15083"/>
    <w:rsid w:val="00F177B1"/>
    <w:rsid w:val="00F20982"/>
    <w:rsid w:val="00F22566"/>
    <w:rsid w:val="00F226B2"/>
    <w:rsid w:val="00F226DB"/>
    <w:rsid w:val="00F22963"/>
    <w:rsid w:val="00F22BA4"/>
    <w:rsid w:val="00F22C9F"/>
    <w:rsid w:val="00F232C2"/>
    <w:rsid w:val="00F24599"/>
    <w:rsid w:val="00F278FA"/>
    <w:rsid w:val="00F30F82"/>
    <w:rsid w:val="00F342B2"/>
    <w:rsid w:val="00F34D71"/>
    <w:rsid w:val="00F367F2"/>
    <w:rsid w:val="00F370A2"/>
    <w:rsid w:val="00F403EA"/>
    <w:rsid w:val="00F40660"/>
    <w:rsid w:val="00F42753"/>
    <w:rsid w:val="00F42E10"/>
    <w:rsid w:val="00F43D49"/>
    <w:rsid w:val="00F440D8"/>
    <w:rsid w:val="00F44A7B"/>
    <w:rsid w:val="00F44FFA"/>
    <w:rsid w:val="00F45B6F"/>
    <w:rsid w:val="00F510DB"/>
    <w:rsid w:val="00F516E3"/>
    <w:rsid w:val="00F519DC"/>
    <w:rsid w:val="00F52468"/>
    <w:rsid w:val="00F55095"/>
    <w:rsid w:val="00F5627B"/>
    <w:rsid w:val="00F5724D"/>
    <w:rsid w:val="00F6021E"/>
    <w:rsid w:val="00F604E7"/>
    <w:rsid w:val="00F60AB3"/>
    <w:rsid w:val="00F62329"/>
    <w:rsid w:val="00F635AC"/>
    <w:rsid w:val="00F65A74"/>
    <w:rsid w:val="00F727B0"/>
    <w:rsid w:val="00F72A12"/>
    <w:rsid w:val="00F75D06"/>
    <w:rsid w:val="00F76A74"/>
    <w:rsid w:val="00F81124"/>
    <w:rsid w:val="00F816C6"/>
    <w:rsid w:val="00F817C5"/>
    <w:rsid w:val="00F82F8D"/>
    <w:rsid w:val="00F841CB"/>
    <w:rsid w:val="00F858D5"/>
    <w:rsid w:val="00F85A17"/>
    <w:rsid w:val="00F909A9"/>
    <w:rsid w:val="00F91AEE"/>
    <w:rsid w:val="00F97806"/>
    <w:rsid w:val="00F97973"/>
    <w:rsid w:val="00F97C07"/>
    <w:rsid w:val="00FA047C"/>
    <w:rsid w:val="00FA1738"/>
    <w:rsid w:val="00FA19D2"/>
    <w:rsid w:val="00FA2545"/>
    <w:rsid w:val="00FA2625"/>
    <w:rsid w:val="00FA4A6C"/>
    <w:rsid w:val="00FA7EF6"/>
    <w:rsid w:val="00FB2524"/>
    <w:rsid w:val="00FB2D24"/>
    <w:rsid w:val="00FB4AAD"/>
    <w:rsid w:val="00FB4E3D"/>
    <w:rsid w:val="00FB5F2A"/>
    <w:rsid w:val="00FB600F"/>
    <w:rsid w:val="00FB6286"/>
    <w:rsid w:val="00FB6CF8"/>
    <w:rsid w:val="00FC0A4A"/>
    <w:rsid w:val="00FC16E9"/>
    <w:rsid w:val="00FC279C"/>
    <w:rsid w:val="00FC2A30"/>
    <w:rsid w:val="00FC3F98"/>
    <w:rsid w:val="00FC45DE"/>
    <w:rsid w:val="00FC48CB"/>
    <w:rsid w:val="00FC4F9B"/>
    <w:rsid w:val="00FC59F0"/>
    <w:rsid w:val="00FC6335"/>
    <w:rsid w:val="00FD0250"/>
    <w:rsid w:val="00FD0AF0"/>
    <w:rsid w:val="00FD0B6D"/>
    <w:rsid w:val="00FD4599"/>
    <w:rsid w:val="00FD46D7"/>
    <w:rsid w:val="00FD4784"/>
    <w:rsid w:val="00FD51A0"/>
    <w:rsid w:val="00FD6342"/>
    <w:rsid w:val="00FD65FE"/>
    <w:rsid w:val="00FD74EB"/>
    <w:rsid w:val="00FE009C"/>
    <w:rsid w:val="00FE01E5"/>
    <w:rsid w:val="00FE1E0B"/>
    <w:rsid w:val="00FE1FC6"/>
    <w:rsid w:val="00FE214F"/>
    <w:rsid w:val="00FE3DA3"/>
    <w:rsid w:val="00FE4A33"/>
    <w:rsid w:val="00FE6BC1"/>
    <w:rsid w:val="00FF0389"/>
    <w:rsid w:val="00FF08E1"/>
    <w:rsid w:val="00FF1082"/>
    <w:rsid w:val="00FF281C"/>
    <w:rsid w:val="00FF2F89"/>
    <w:rsid w:val="00FF3652"/>
    <w:rsid w:val="00FF404E"/>
    <w:rsid w:val="00FF465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2D3A73"/>
  <w15:chartTrackingRefBased/>
  <w15:docId w15:val="{8636E49A-474F-4787-9B6E-936D3E8CA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C3B"/>
  </w:style>
  <w:style w:type="paragraph" w:styleId="Ttulo2">
    <w:name w:val="heading 2"/>
    <w:basedOn w:val="Normal"/>
    <w:next w:val="Normal"/>
    <w:link w:val="Ttulo2Car"/>
    <w:uiPriority w:val="9"/>
    <w:unhideWhenUsed/>
    <w:qFormat/>
    <w:rsid w:val="00AF37C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6168E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6168E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168E4"/>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168E4"/>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6168E4"/>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6168E4"/>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rsid w:val="006168E4"/>
    <w:rPr>
      <w:color w:val="0563C1" w:themeColor="hyperlink"/>
      <w:u w:val="single"/>
    </w:rPr>
  </w:style>
  <w:style w:type="paragraph" w:styleId="Sinespaciado">
    <w:name w:val="No Spacing"/>
    <w:aliases w:val="Francesa,INAI"/>
    <w:link w:val="SinespaciadoCar"/>
    <w:uiPriority w:val="1"/>
    <w:qFormat/>
    <w:rsid w:val="006168E4"/>
    <w:pPr>
      <w:spacing w:after="0" w:line="240" w:lineRule="auto"/>
    </w:pPr>
    <w:rPr>
      <w:rFonts w:ascii="Times New Roman" w:eastAsia="Times New Roman" w:hAnsi="Times New Roman" w:cs="Times New Roman"/>
      <w:sz w:val="24"/>
      <w:szCs w:val="24"/>
      <w:lang w:eastAsia="es-ES"/>
    </w:rPr>
  </w:style>
  <w:style w:type="character" w:styleId="Textoennegrita">
    <w:name w:val="Strong"/>
    <w:uiPriority w:val="22"/>
    <w:qFormat/>
    <w:rsid w:val="006168E4"/>
    <w:rPr>
      <w:b/>
      <w:bCs/>
    </w:rPr>
  </w:style>
  <w:style w:type="character" w:customStyle="1" w:styleId="SinespaciadoCar">
    <w:name w:val="Sin espaciado Car"/>
    <w:aliases w:val="Francesa Car,INAI Car"/>
    <w:link w:val="Sinespaciado"/>
    <w:uiPriority w:val="1"/>
    <w:locked/>
    <w:rsid w:val="006168E4"/>
    <w:rPr>
      <w:rFonts w:ascii="Times New Roman" w:eastAsia="Times New Roman" w:hAnsi="Times New Roman" w:cs="Times New Roman"/>
      <w:sz w:val="24"/>
      <w:szCs w:val="24"/>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C55A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8C55A3"/>
    <w:rPr>
      <w:sz w:val="20"/>
      <w:szCs w:val="20"/>
    </w:rPr>
  </w:style>
  <w:style w:type="paragraph" w:customStyle="1" w:styleId="Default">
    <w:name w:val="Default"/>
    <w:rsid w:val="00BA7AD1"/>
    <w:pPr>
      <w:autoSpaceDE w:val="0"/>
      <w:autoSpaceDN w:val="0"/>
      <w:adjustRightInd w:val="0"/>
      <w:spacing w:after="0" w:line="240" w:lineRule="auto"/>
    </w:pPr>
    <w:rPr>
      <w:rFonts w:ascii="Arial" w:hAnsi="Arial" w:cs="Arial"/>
      <w:color w:val="000000"/>
      <w:sz w:val="24"/>
      <w:szCs w:val="24"/>
    </w:rPr>
  </w:style>
  <w:style w:type="table" w:styleId="Tabladecuadrcula1clara">
    <w:name w:val="Grid Table 1 Light"/>
    <w:basedOn w:val="Tablanormal"/>
    <w:uiPriority w:val="46"/>
    <w:rsid w:val="00870F4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xtodeglobo">
    <w:name w:val="Balloon Text"/>
    <w:basedOn w:val="Normal"/>
    <w:link w:val="TextodegloboCar"/>
    <w:uiPriority w:val="99"/>
    <w:semiHidden/>
    <w:unhideWhenUsed/>
    <w:rsid w:val="000662F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62F8"/>
    <w:rPr>
      <w:rFonts w:ascii="Segoe UI" w:hAnsi="Segoe UI" w:cs="Segoe UI"/>
      <w:sz w:val="18"/>
      <w:szCs w:val="18"/>
    </w:rPr>
  </w:style>
  <w:style w:type="table" w:styleId="Tablaconcuadrcula">
    <w:name w:val="Table Grid"/>
    <w:basedOn w:val="Tablanormal"/>
    <w:uiPriority w:val="39"/>
    <w:rsid w:val="002070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1"/>
    <w:semiHidden/>
    <w:unhideWhenUsed/>
    <w:qFormat/>
    <w:rsid w:val="007216DB"/>
    <w:pPr>
      <w:widowControl w:val="0"/>
      <w:spacing w:after="0" w:line="240" w:lineRule="auto"/>
      <w:ind w:left="20"/>
    </w:pPr>
    <w:rPr>
      <w:rFonts w:ascii="Times New Roman" w:eastAsia="Times New Roman" w:hAnsi="Times New Roman"/>
      <w:sz w:val="25"/>
      <w:szCs w:val="25"/>
      <w:lang w:val="en-US"/>
    </w:rPr>
  </w:style>
  <w:style w:type="character" w:customStyle="1" w:styleId="TextoindependienteCar">
    <w:name w:val="Texto independiente Car"/>
    <w:basedOn w:val="Fuentedeprrafopredeter"/>
    <w:link w:val="Textoindependiente"/>
    <w:uiPriority w:val="1"/>
    <w:semiHidden/>
    <w:rsid w:val="007216DB"/>
    <w:rPr>
      <w:rFonts w:ascii="Times New Roman" w:eastAsia="Times New Roman" w:hAnsi="Times New Roman"/>
      <w:sz w:val="25"/>
      <w:szCs w:val="25"/>
      <w:lang w:val="en-US"/>
    </w:rPr>
  </w:style>
  <w:style w:type="character" w:customStyle="1" w:styleId="apple-style-span">
    <w:name w:val="apple-style-span"/>
    <w:rsid w:val="007E319E"/>
  </w:style>
  <w:style w:type="paragraph" w:customStyle="1" w:styleId="INFOEM">
    <w:name w:val="INFOEM"/>
    <w:basedOn w:val="Normal"/>
    <w:qFormat/>
    <w:rsid w:val="00CE0E72"/>
    <w:pPr>
      <w:spacing w:before="240" w:line="360" w:lineRule="auto"/>
      <w:ind w:left="851" w:right="851"/>
      <w:jc w:val="both"/>
    </w:pPr>
    <w:rPr>
      <w:rFonts w:ascii="Palatino Linotype" w:hAnsi="Palatino Linotype"/>
      <w:i/>
      <w:color w:val="000000"/>
      <w:szCs w:val="14"/>
    </w:rPr>
  </w:style>
  <w:style w:type="paragraph" w:customStyle="1" w:styleId="infoemcitas">
    <w:name w:val="infoem citas"/>
    <w:basedOn w:val="Normal"/>
    <w:qFormat/>
    <w:rsid w:val="00D25BEE"/>
    <w:pPr>
      <w:spacing w:before="240" w:line="360" w:lineRule="auto"/>
      <w:ind w:left="851" w:right="851"/>
      <w:jc w:val="both"/>
    </w:pPr>
    <w:rPr>
      <w:rFonts w:ascii="Palatino Linotype" w:hAnsi="Palatino Linotype"/>
      <w:i/>
    </w:rPr>
  </w:style>
  <w:style w:type="paragraph" w:customStyle="1" w:styleId="Citas">
    <w:name w:val="Citas"/>
    <w:basedOn w:val="Normal"/>
    <w:qFormat/>
    <w:rsid w:val="006C66E4"/>
    <w:pPr>
      <w:spacing w:before="240" w:line="360" w:lineRule="auto"/>
      <w:ind w:left="851" w:right="851"/>
      <w:jc w:val="both"/>
    </w:pPr>
    <w:rPr>
      <w:rFonts w:ascii="Palatino Linotype" w:hAnsi="Palatino Linotype" w:cs="Arial"/>
      <w:i/>
    </w:rPr>
  </w:style>
  <w:style w:type="character" w:customStyle="1" w:styleId="UnresolvedMention1">
    <w:name w:val="Unresolved Mention1"/>
    <w:basedOn w:val="Fuentedeprrafopredeter"/>
    <w:uiPriority w:val="99"/>
    <w:semiHidden/>
    <w:unhideWhenUsed/>
    <w:rsid w:val="00E725D5"/>
    <w:rPr>
      <w:color w:val="605E5C"/>
      <w:shd w:val="clear" w:color="auto" w:fill="E1DFDD"/>
    </w:rPr>
  </w:style>
  <w:style w:type="character" w:customStyle="1" w:styleId="UnresolvedMention2">
    <w:name w:val="Unresolved Mention2"/>
    <w:basedOn w:val="Fuentedeprrafopredeter"/>
    <w:uiPriority w:val="99"/>
    <w:semiHidden/>
    <w:unhideWhenUsed/>
    <w:rsid w:val="00DA1152"/>
    <w:rPr>
      <w:color w:val="605E5C"/>
      <w:shd w:val="clear" w:color="auto" w:fill="E1DFDD"/>
    </w:rPr>
  </w:style>
  <w:style w:type="paragraph" w:styleId="NormalWeb">
    <w:name w:val="Normal (Web)"/>
    <w:basedOn w:val="Normal"/>
    <w:uiPriority w:val="99"/>
    <w:semiHidden/>
    <w:unhideWhenUsed/>
    <w:rsid w:val="00575268"/>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UnresolvedMention">
    <w:name w:val="Unresolved Mention"/>
    <w:basedOn w:val="Fuentedeprrafopredeter"/>
    <w:uiPriority w:val="99"/>
    <w:semiHidden/>
    <w:unhideWhenUsed/>
    <w:rsid w:val="00C155B6"/>
    <w:rPr>
      <w:color w:val="605E5C"/>
      <w:shd w:val="clear" w:color="auto" w:fill="E1DFDD"/>
    </w:rPr>
  </w:style>
  <w:style w:type="character" w:customStyle="1" w:styleId="Ttulo2Car">
    <w:name w:val="Título 2 Car"/>
    <w:basedOn w:val="Fuentedeprrafopredeter"/>
    <w:link w:val="Ttulo2"/>
    <w:uiPriority w:val="9"/>
    <w:rsid w:val="00AF37CE"/>
    <w:rPr>
      <w:rFonts w:asciiTheme="majorHAnsi" w:eastAsiaTheme="majorEastAsia" w:hAnsiTheme="majorHAnsi" w:cstheme="majorBidi"/>
      <w:color w:val="2E74B5" w:themeColor="accent1" w:themeShade="BF"/>
      <w:sz w:val="26"/>
      <w:szCs w:val="26"/>
    </w:rPr>
  </w:style>
  <w:style w:type="paragraph" w:customStyle="1" w:styleId="CitasINFOEM">
    <w:name w:val="Citas INFOEM"/>
    <w:basedOn w:val="Normal"/>
    <w:qFormat/>
    <w:rsid w:val="00BF24E3"/>
    <w:pPr>
      <w:spacing w:before="240" w:line="360" w:lineRule="auto"/>
      <w:ind w:left="851" w:right="851"/>
      <w:jc w:val="both"/>
    </w:pPr>
    <w:rPr>
      <w:rFonts w:ascii="Palatino Linotype" w:eastAsia="Times New Roman" w:hAnsi="Palatino Linotype" w:cs="Times New Roman"/>
      <w:i/>
      <w:szCs w:val="24"/>
    </w:rPr>
  </w:style>
  <w:style w:type="character" w:styleId="Refdecomentario">
    <w:name w:val="annotation reference"/>
    <w:basedOn w:val="Fuentedeprrafopredeter"/>
    <w:uiPriority w:val="99"/>
    <w:semiHidden/>
    <w:unhideWhenUsed/>
    <w:rsid w:val="00B6767A"/>
    <w:rPr>
      <w:sz w:val="16"/>
      <w:szCs w:val="16"/>
    </w:rPr>
  </w:style>
  <w:style w:type="paragraph" w:styleId="Textocomentario">
    <w:name w:val="annotation text"/>
    <w:basedOn w:val="Normal"/>
    <w:link w:val="TextocomentarioCar"/>
    <w:uiPriority w:val="99"/>
    <w:unhideWhenUsed/>
    <w:rsid w:val="00B6767A"/>
    <w:pPr>
      <w:spacing w:line="240" w:lineRule="auto"/>
    </w:pPr>
    <w:rPr>
      <w:sz w:val="20"/>
      <w:szCs w:val="20"/>
    </w:rPr>
  </w:style>
  <w:style w:type="character" w:customStyle="1" w:styleId="TextocomentarioCar">
    <w:name w:val="Texto comentario Car"/>
    <w:basedOn w:val="Fuentedeprrafopredeter"/>
    <w:link w:val="Textocomentario"/>
    <w:uiPriority w:val="99"/>
    <w:rsid w:val="00B6767A"/>
    <w:rPr>
      <w:sz w:val="20"/>
      <w:szCs w:val="20"/>
    </w:rPr>
  </w:style>
  <w:style w:type="paragraph" w:styleId="Asuntodelcomentario">
    <w:name w:val="annotation subject"/>
    <w:basedOn w:val="Textocomentario"/>
    <w:next w:val="Textocomentario"/>
    <w:link w:val="AsuntodelcomentarioCar"/>
    <w:uiPriority w:val="99"/>
    <w:semiHidden/>
    <w:unhideWhenUsed/>
    <w:rsid w:val="00B6767A"/>
    <w:rPr>
      <w:b/>
      <w:bCs/>
    </w:rPr>
  </w:style>
  <w:style w:type="character" w:customStyle="1" w:styleId="AsuntodelcomentarioCar">
    <w:name w:val="Asunto del comentario Car"/>
    <w:basedOn w:val="TextocomentarioCar"/>
    <w:link w:val="Asuntodelcomentario"/>
    <w:uiPriority w:val="99"/>
    <w:semiHidden/>
    <w:rsid w:val="00B6767A"/>
    <w:rPr>
      <w:b/>
      <w:bCs/>
      <w:sz w:val="20"/>
      <w:szCs w:val="20"/>
    </w:rPr>
  </w:style>
  <w:style w:type="character" w:customStyle="1" w:styleId="titulorubrolgt">
    <w:name w:val="titulorubrolgt"/>
    <w:basedOn w:val="Fuentedeprrafopredeter"/>
    <w:rsid w:val="005160E2"/>
  </w:style>
  <w:style w:type="character" w:customStyle="1" w:styleId="ctr">
    <w:name w:val="ctr"/>
    <w:basedOn w:val="Fuentedeprrafopredeter"/>
    <w:rsid w:val="005160E2"/>
  </w:style>
  <w:style w:type="paragraph" w:customStyle="1" w:styleId="Style1">
    <w:name w:val="Style1"/>
    <w:basedOn w:val="INFOEM"/>
    <w:qFormat/>
    <w:rsid w:val="00247C10"/>
    <w:pPr>
      <w:contextualSpacing/>
    </w:pPr>
    <w:rPr>
      <w:rFonts w:eastAsia="Times New Roman" w:cs="Palatino Linotype"/>
      <w:szCs w:val="24"/>
      <w:lang w:val="es-ES_tradnl" w:eastAsia="es-MX"/>
    </w:rPr>
  </w:style>
  <w:style w:type="character" w:customStyle="1" w:styleId="Mencinsinresolver1">
    <w:name w:val="Mención sin resolver1"/>
    <w:basedOn w:val="Fuentedeprrafopredeter"/>
    <w:uiPriority w:val="99"/>
    <w:semiHidden/>
    <w:unhideWhenUsed/>
    <w:rsid w:val="00F82F8D"/>
    <w:rPr>
      <w:color w:val="605E5C"/>
      <w:shd w:val="clear" w:color="auto" w:fill="E1DFDD"/>
    </w:rPr>
  </w:style>
  <w:style w:type="character" w:styleId="Hipervnculovisitado">
    <w:name w:val="FollowedHyperlink"/>
    <w:basedOn w:val="Fuentedeprrafopredeter"/>
    <w:uiPriority w:val="99"/>
    <w:semiHidden/>
    <w:unhideWhenUsed/>
    <w:rsid w:val="00F82F8D"/>
    <w:rPr>
      <w:color w:val="954F72" w:themeColor="followedHyperlink"/>
      <w:u w:val="single"/>
    </w:rPr>
  </w:style>
  <w:style w:type="character" w:customStyle="1" w:styleId="Mencinsinresolver2">
    <w:name w:val="Mención sin resolver2"/>
    <w:basedOn w:val="Fuentedeprrafopredeter"/>
    <w:uiPriority w:val="99"/>
    <w:semiHidden/>
    <w:unhideWhenUsed/>
    <w:rsid w:val="00F82F8D"/>
    <w:rPr>
      <w:color w:val="605E5C"/>
      <w:shd w:val="clear" w:color="auto" w:fill="E1DFDD"/>
    </w:rPr>
  </w:style>
  <w:style w:type="character" w:customStyle="1" w:styleId="highlight">
    <w:name w:val="highlight"/>
    <w:basedOn w:val="Fuentedeprrafopredeter"/>
    <w:rsid w:val="00F82F8D"/>
  </w:style>
  <w:style w:type="character" w:styleId="nfasis">
    <w:name w:val="Emphasis"/>
    <w:basedOn w:val="Fuentedeprrafopredeter"/>
    <w:uiPriority w:val="20"/>
    <w:qFormat/>
    <w:rsid w:val="00F82F8D"/>
    <w:rPr>
      <w:i/>
      <w:iCs/>
    </w:rPr>
  </w:style>
  <w:style w:type="paragraph" w:customStyle="1" w:styleId="infoem0">
    <w:name w:val="infoem"/>
    <w:basedOn w:val="Sinespaciado"/>
    <w:qFormat/>
    <w:rsid w:val="00F82F8D"/>
    <w:pPr>
      <w:spacing w:before="240" w:after="160" w:line="360" w:lineRule="auto"/>
      <w:ind w:left="851" w:right="851"/>
      <w:jc w:val="both"/>
    </w:pPr>
    <w:rPr>
      <w:rFonts w:ascii="Palatino Linotype" w:eastAsiaTheme="minorHAnsi" w:hAnsi="Palatino Linotype" w:cs="Arial"/>
      <w:i/>
      <w:sz w:val="22"/>
      <w:lang w:eastAsia="en-US"/>
    </w:rPr>
  </w:style>
  <w:style w:type="paragraph" w:customStyle="1" w:styleId="j">
    <w:name w:val="j"/>
    <w:basedOn w:val="Normal"/>
    <w:rsid w:val="00F82F8D"/>
    <w:pPr>
      <w:spacing w:before="100" w:beforeAutospacing="1" w:after="100" w:afterAutospacing="1" w:line="240" w:lineRule="auto"/>
    </w:pPr>
    <w:rPr>
      <w:rFonts w:ascii="Times New Roman" w:hAnsi="Times New Roman" w:cs="Times New Roman"/>
      <w:sz w:val="24"/>
      <w:szCs w:val="24"/>
      <w:lang w:val="es-ES_tradnl" w:eastAsia="es-ES_tradnl"/>
    </w:rPr>
  </w:style>
  <w:style w:type="character" w:customStyle="1" w:styleId="Mencinsinresolver3">
    <w:name w:val="Mención sin resolver3"/>
    <w:basedOn w:val="Fuentedeprrafopredeter"/>
    <w:uiPriority w:val="99"/>
    <w:semiHidden/>
    <w:unhideWhenUsed/>
    <w:rsid w:val="00F82F8D"/>
    <w:rPr>
      <w:color w:val="605E5C"/>
      <w:shd w:val="clear" w:color="auto" w:fill="E1DFDD"/>
    </w:rPr>
  </w:style>
  <w:style w:type="character" w:customStyle="1" w:styleId="markedcontent">
    <w:name w:val="markedcontent"/>
    <w:basedOn w:val="Fuentedeprrafopredeter"/>
    <w:rsid w:val="00F82F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566654">
      <w:bodyDiv w:val="1"/>
      <w:marLeft w:val="0"/>
      <w:marRight w:val="0"/>
      <w:marTop w:val="0"/>
      <w:marBottom w:val="0"/>
      <w:divBdr>
        <w:top w:val="none" w:sz="0" w:space="0" w:color="auto"/>
        <w:left w:val="none" w:sz="0" w:space="0" w:color="auto"/>
        <w:bottom w:val="none" w:sz="0" w:space="0" w:color="auto"/>
        <w:right w:val="none" w:sz="0" w:space="0" w:color="auto"/>
      </w:divBdr>
    </w:div>
    <w:div w:id="159539902">
      <w:bodyDiv w:val="1"/>
      <w:marLeft w:val="0"/>
      <w:marRight w:val="0"/>
      <w:marTop w:val="0"/>
      <w:marBottom w:val="0"/>
      <w:divBdr>
        <w:top w:val="none" w:sz="0" w:space="0" w:color="auto"/>
        <w:left w:val="none" w:sz="0" w:space="0" w:color="auto"/>
        <w:bottom w:val="none" w:sz="0" w:space="0" w:color="auto"/>
        <w:right w:val="none" w:sz="0" w:space="0" w:color="auto"/>
      </w:divBdr>
    </w:div>
    <w:div w:id="179663290">
      <w:bodyDiv w:val="1"/>
      <w:marLeft w:val="0"/>
      <w:marRight w:val="0"/>
      <w:marTop w:val="0"/>
      <w:marBottom w:val="0"/>
      <w:divBdr>
        <w:top w:val="none" w:sz="0" w:space="0" w:color="auto"/>
        <w:left w:val="none" w:sz="0" w:space="0" w:color="auto"/>
        <w:bottom w:val="none" w:sz="0" w:space="0" w:color="auto"/>
        <w:right w:val="none" w:sz="0" w:space="0" w:color="auto"/>
      </w:divBdr>
    </w:div>
    <w:div w:id="208029586">
      <w:bodyDiv w:val="1"/>
      <w:marLeft w:val="0"/>
      <w:marRight w:val="0"/>
      <w:marTop w:val="0"/>
      <w:marBottom w:val="0"/>
      <w:divBdr>
        <w:top w:val="none" w:sz="0" w:space="0" w:color="auto"/>
        <w:left w:val="none" w:sz="0" w:space="0" w:color="auto"/>
        <w:bottom w:val="none" w:sz="0" w:space="0" w:color="auto"/>
        <w:right w:val="none" w:sz="0" w:space="0" w:color="auto"/>
      </w:divBdr>
    </w:div>
    <w:div w:id="209584679">
      <w:bodyDiv w:val="1"/>
      <w:marLeft w:val="0"/>
      <w:marRight w:val="0"/>
      <w:marTop w:val="0"/>
      <w:marBottom w:val="0"/>
      <w:divBdr>
        <w:top w:val="none" w:sz="0" w:space="0" w:color="auto"/>
        <w:left w:val="none" w:sz="0" w:space="0" w:color="auto"/>
        <w:bottom w:val="none" w:sz="0" w:space="0" w:color="auto"/>
        <w:right w:val="none" w:sz="0" w:space="0" w:color="auto"/>
      </w:divBdr>
    </w:div>
    <w:div w:id="213516311">
      <w:bodyDiv w:val="1"/>
      <w:marLeft w:val="0"/>
      <w:marRight w:val="0"/>
      <w:marTop w:val="0"/>
      <w:marBottom w:val="0"/>
      <w:divBdr>
        <w:top w:val="none" w:sz="0" w:space="0" w:color="auto"/>
        <w:left w:val="none" w:sz="0" w:space="0" w:color="auto"/>
        <w:bottom w:val="none" w:sz="0" w:space="0" w:color="auto"/>
        <w:right w:val="none" w:sz="0" w:space="0" w:color="auto"/>
      </w:divBdr>
    </w:div>
    <w:div w:id="352802663">
      <w:bodyDiv w:val="1"/>
      <w:marLeft w:val="0"/>
      <w:marRight w:val="0"/>
      <w:marTop w:val="0"/>
      <w:marBottom w:val="0"/>
      <w:divBdr>
        <w:top w:val="none" w:sz="0" w:space="0" w:color="auto"/>
        <w:left w:val="none" w:sz="0" w:space="0" w:color="auto"/>
        <w:bottom w:val="none" w:sz="0" w:space="0" w:color="auto"/>
        <w:right w:val="none" w:sz="0" w:space="0" w:color="auto"/>
      </w:divBdr>
    </w:div>
    <w:div w:id="373430520">
      <w:bodyDiv w:val="1"/>
      <w:marLeft w:val="0"/>
      <w:marRight w:val="0"/>
      <w:marTop w:val="0"/>
      <w:marBottom w:val="0"/>
      <w:divBdr>
        <w:top w:val="none" w:sz="0" w:space="0" w:color="auto"/>
        <w:left w:val="none" w:sz="0" w:space="0" w:color="auto"/>
        <w:bottom w:val="none" w:sz="0" w:space="0" w:color="auto"/>
        <w:right w:val="none" w:sz="0" w:space="0" w:color="auto"/>
      </w:divBdr>
    </w:div>
    <w:div w:id="375473416">
      <w:bodyDiv w:val="1"/>
      <w:marLeft w:val="0"/>
      <w:marRight w:val="0"/>
      <w:marTop w:val="0"/>
      <w:marBottom w:val="0"/>
      <w:divBdr>
        <w:top w:val="none" w:sz="0" w:space="0" w:color="auto"/>
        <w:left w:val="none" w:sz="0" w:space="0" w:color="auto"/>
        <w:bottom w:val="none" w:sz="0" w:space="0" w:color="auto"/>
        <w:right w:val="none" w:sz="0" w:space="0" w:color="auto"/>
      </w:divBdr>
    </w:div>
    <w:div w:id="484666848">
      <w:bodyDiv w:val="1"/>
      <w:marLeft w:val="0"/>
      <w:marRight w:val="0"/>
      <w:marTop w:val="0"/>
      <w:marBottom w:val="0"/>
      <w:divBdr>
        <w:top w:val="none" w:sz="0" w:space="0" w:color="auto"/>
        <w:left w:val="none" w:sz="0" w:space="0" w:color="auto"/>
        <w:bottom w:val="none" w:sz="0" w:space="0" w:color="auto"/>
        <w:right w:val="none" w:sz="0" w:space="0" w:color="auto"/>
      </w:divBdr>
    </w:div>
    <w:div w:id="535191737">
      <w:bodyDiv w:val="1"/>
      <w:marLeft w:val="0"/>
      <w:marRight w:val="0"/>
      <w:marTop w:val="0"/>
      <w:marBottom w:val="0"/>
      <w:divBdr>
        <w:top w:val="none" w:sz="0" w:space="0" w:color="auto"/>
        <w:left w:val="none" w:sz="0" w:space="0" w:color="auto"/>
        <w:bottom w:val="none" w:sz="0" w:space="0" w:color="auto"/>
        <w:right w:val="none" w:sz="0" w:space="0" w:color="auto"/>
      </w:divBdr>
    </w:div>
    <w:div w:id="649095697">
      <w:bodyDiv w:val="1"/>
      <w:marLeft w:val="0"/>
      <w:marRight w:val="0"/>
      <w:marTop w:val="0"/>
      <w:marBottom w:val="0"/>
      <w:divBdr>
        <w:top w:val="none" w:sz="0" w:space="0" w:color="auto"/>
        <w:left w:val="none" w:sz="0" w:space="0" w:color="auto"/>
        <w:bottom w:val="none" w:sz="0" w:space="0" w:color="auto"/>
        <w:right w:val="none" w:sz="0" w:space="0" w:color="auto"/>
      </w:divBdr>
    </w:div>
    <w:div w:id="652223925">
      <w:bodyDiv w:val="1"/>
      <w:marLeft w:val="0"/>
      <w:marRight w:val="0"/>
      <w:marTop w:val="0"/>
      <w:marBottom w:val="0"/>
      <w:divBdr>
        <w:top w:val="none" w:sz="0" w:space="0" w:color="auto"/>
        <w:left w:val="none" w:sz="0" w:space="0" w:color="auto"/>
        <w:bottom w:val="none" w:sz="0" w:space="0" w:color="auto"/>
        <w:right w:val="none" w:sz="0" w:space="0" w:color="auto"/>
      </w:divBdr>
    </w:div>
    <w:div w:id="718211068">
      <w:bodyDiv w:val="1"/>
      <w:marLeft w:val="0"/>
      <w:marRight w:val="0"/>
      <w:marTop w:val="0"/>
      <w:marBottom w:val="0"/>
      <w:divBdr>
        <w:top w:val="none" w:sz="0" w:space="0" w:color="auto"/>
        <w:left w:val="none" w:sz="0" w:space="0" w:color="auto"/>
        <w:bottom w:val="none" w:sz="0" w:space="0" w:color="auto"/>
        <w:right w:val="none" w:sz="0" w:space="0" w:color="auto"/>
      </w:divBdr>
    </w:div>
    <w:div w:id="728041959">
      <w:bodyDiv w:val="1"/>
      <w:marLeft w:val="0"/>
      <w:marRight w:val="0"/>
      <w:marTop w:val="0"/>
      <w:marBottom w:val="0"/>
      <w:divBdr>
        <w:top w:val="none" w:sz="0" w:space="0" w:color="auto"/>
        <w:left w:val="none" w:sz="0" w:space="0" w:color="auto"/>
        <w:bottom w:val="none" w:sz="0" w:space="0" w:color="auto"/>
        <w:right w:val="none" w:sz="0" w:space="0" w:color="auto"/>
      </w:divBdr>
    </w:div>
    <w:div w:id="759179153">
      <w:bodyDiv w:val="1"/>
      <w:marLeft w:val="0"/>
      <w:marRight w:val="0"/>
      <w:marTop w:val="0"/>
      <w:marBottom w:val="0"/>
      <w:divBdr>
        <w:top w:val="none" w:sz="0" w:space="0" w:color="auto"/>
        <w:left w:val="none" w:sz="0" w:space="0" w:color="auto"/>
        <w:bottom w:val="none" w:sz="0" w:space="0" w:color="auto"/>
        <w:right w:val="none" w:sz="0" w:space="0" w:color="auto"/>
      </w:divBdr>
    </w:div>
    <w:div w:id="783614496">
      <w:bodyDiv w:val="1"/>
      <w:marLeft w:val="0"/>
      <w:marRight w:val="0"/>
      <w:marTop w:val="0"/>
      <w:marBottom w:val="0"/>
      <w:divBdr>
        <w:top w:val="none" w:sz="0" w:space="0" w:color="auto"/>
        <w:left w:val="none" w:sz="0" w:space="0" w:color="auto"/>
        <w:bottom w:val="none" w:sz="0" w:space="0" w:color="auto"/>
        <w:right w:val="none" w:sz="0" w:space="0" w:color="auto"/>
      </w:divBdr>
    </w:div>
    <w:div w:id="804542210">
      <w:bodyDiv w:val="1"/>
      <w:marLeft w:val="0"/>
      <w:marRight w:val="0"/>
      <w:marTop w:val="0"/>
      <w:marBottom w:val="0"/>
      <w:divBdr>
        <w:top w:val="none" w:sz="0" w:space="0" w:color="auto"/>
        <w:left w:val="none" w:sz="0" w:space="0" w:color="auto"/>
        <w:bottom w:val="none" w:sz="0" w:space="0" w:color="auto"/>
        <w:right w:val="none" w:sz="0" w:space="0" w:color="auto"/>
      </w:divBdr>
    </w:div>
    <w:div w:id="807625324">
      <w:bodyDiv w:val="1"/>
      <w:marLeft w:val="0"/>
      <w:marRight w:val="0"/>
      <w:marTop w:val="0"/>
      <w:marBottom w:val="0"/>
      <w:divBdr>
        <w:top w:val="none" w:sz="0" w:space="0" w:color="auto"/>
        <w:left w:val="none" w:sz="0" w:space="0" w:color="auto"/>
        <w:bottom w:val="none" w:sz="0" w:space="0" w:color="auto"/>
        <w:right w:val="none" w:sz="0" w:space="0" w:color="auto"/>
      </w:divBdr>
    </w:div>
    <w:div w:id="809516213">
      <w:bodyDiv w:val="1"/>
      <w:marLeft w:val="0"/>
      <w:marRight w:val="0"/>
      <w:marTop w:val="0"/>
      <w:marBottom w:val="0"/>
      <w:divBdr>
        <w:top w:val="none" w:sz="0" w:space="0" w:color="auto"/>
        <w:left w:val="none" w:sz="0" w:space="0" w:color="auto"/>
        <w:bottom w:val="none" w:sz="0" w:space="0" w:color="auto"/>
        <w:right w:val="none" w:sz="0" w:space="0" w:color="auto"/>
      </w:divBdr>
    </w:div>
    <w:div w:id="838540192">
      <w:bodyDiv w:val="1"/>
      <w:marLeft w:val="0"/>
      <w:marRight w:val="0"/>
      <w:marTop w:val="0"/>
      <w:marBottom w:val="0"/>
      <w:divBdr>
        <w:top w:val="none" w:sz="0" w:space="0" w:color="auto"/>
        <w:left w:val="none" w:sz="0" w:space="0" w:color="auto"/>
        <w:bottom w:val="none" w:sz="0" w:space="0" w:color="auto"/>
        <w:right w:val="none" w:sz="0" w:space="0" w:color="auto"/>
      </w:divBdr>
    </w:div>
    <w:div w:id="857044212">
      <w:bodyDiv w:val="1"/>
      <w:marLeft w:val="0"/>
      <w:marRight w:val="0"/>
      <w:marTop w:val="0"/>
      <w:marBottom w:val="0"/>
      <w:divBdr>
        <w:top w:val="none" w:sz="0" w:space="0" w:color="auto"/>
        <w:left w:val="none" w:sz="0" w:space="0" w:color="auto"/>
        <w:bottom w:val="none" w:sz="0" w:space="0" w:color="auto"/>
        <w:right w:val="none" w:sz="0" w:space="0" w:color="auto"/>
      </w:divBdr>
    </w:div>
    <w:div w:id="864829749">
      <w:bodyDiv w:val="1"/>
      <w:marLeft w:val="0"/>
      <w:marRight w:val="0"/>
      <w:marTop w:val="0"/>
      <w:marBottom w:val="0"/>
      <w:divBdr>
        <w:top w:val="none" w:sz="0" w:space="0" w:color="auto"/>
        <w:left w:val="none" w:sz="0" w:space="0" w:color="auto"/>
        <w:bottom w:val="none" w:sz="0" w:space="0" w:color="auto"/>
        <w:right w:val="none" w:sz="0" w:space="0" w:color="auto"/>
      </w:divBdr>
    </w:div>
    <w:div w:id="892816050">
      <w:bodyDiv w:val="1"/>
      <w:marLeft w:val="0"/>
      <w:marRight w:val="0"/>
      <w:marTop w:val="0"/>
      <w:marBottom w:val="0"/>
      <w:divBdr>
        <w:top w:val="none" w:sz="0" w:space="0" w:color="auto"/>
        <w:left w:val="none" w:sz="0" w:space="0" w:color="auto"/>
        <w:bottom w:val="none" w:sz="0" w:space="0" w:color="auto"/>
        <w:right w:val="none" w:sz="0" w:space="0" w:color="auto"/>
      </w:divBdr>
    </w:div>
    <w:div w:id="905720805">
      <w:bodyDiv w:val="1"/>
      <w:marLeft w:val="0"/>
      <w:marRight w:val="0"/>
      <w:marTop w:val="0"/>
      <w:marBottom w:val="0"/>
      <w:divBdr>
        <w:top w:val="none" w:sz="0" w:space="0" w:color="auto"/>
        <w:left w:val="none" w:sz="0" w:space="0" w:color="auto"/>
        <w:bottom w:val="none" w:sz="0" w:space="0" w:color="auto"/>
        <w:right w:val="none" w:sz="0" w:space="0" w:color="auto"/>
      </w:divBdr>
    </w:div>
    <w:div w:id="932979146">
      <w:bodyDiv w:val="1"/>
      <w:marLeft w:val="0"/>
      <w:marRight w:val="0"/>
      <w:marTop w:val="0"/>
      <w:marBottom w:val="0"/>
      <w:divBdr>
        <w:top w:val="none" w:sz="0" w:space="0" w:color="auto"/>
        <w:left w:val="none" w:sz="0" w:space="0" w:color="auto"/>
        <w:bottom w:val="none" w:sz="0" w:space="0" w:color="auto"/>
        <w:right w:val="none" w:sz="0" w:space="0" w:color="auto"/>
      </w:divBdr>
    </w:div>
    <w:div w:id="966080722">
      <w:bodyDiv w:val="1"/>
      <w:marLeft w:val="0"/>
      <w:marRight w:val="0"/>
      <w:marTop w:val="0"/>
      <w:marBottom w:val="0"/>
      <w:divBdr>
        <w:top w:val="none" w:sz="0" w:space="0" w:color="auto"/>
        <w:left w:val="none" w:sz="0" w:space="0" w:color="auto"/>
        <w:bottom w:val="none" w:sz="0" w:space="0" w:color="auto"/>
        <w:right w:val="none" w:sz="0" w:space="0" w:color="auto"/>
      </w:divBdr>
    </w:div>
    <w:div w:id="1017267289">
      <w:bodyDiv w:val="1"/>
      <w:marLeft w:val="0"/>
      <w:marRight w:val="0"/>
      <w:marTop w:val="0"/>
      <w:marBottom w:val="0"/>
      <w:divBdr>
        <w:top w:val="none" w:sz="0" w:space="0" w:color="auto"/>
        <w:left w:val="none" w:sz="0" w:space="0" w:color="auto"/>
        <w:bottom w:val="none" w:sz="0" w:space="0" w:color="auto"/>
        <w:right w:val="none" w:sz="0" w:space="0" w:color="auto"/>
      </w:divBdr>
    </w:div>
    <w:div w:id="1058473420">
      <w:bodyDiv w:val="1"/>
      <w:marLeft w:val="0"/>
      <w:marRight w:val="0"/>
      <w:marTop w:val="0"/>
      <w:marBottom w:val="0"/>
      <w:divBdr>
        <w:top w:val="none" w:sz="0" w:space="0" w:color="auto"/>
        <w:left w:val="none" w:sz="0" w:space="0" w:color="auto"/>
        <w:bottom w:val="none" w:sz="0" w:space="0" w:color="auto"/>
        <w:right w:val="none" w:sz="0" w:space="0" w:color="auto"/>
      </w:divBdr>
    </w:div>
    <w:div w:id="1112242907">
      <w:bodyDiv w:val="1"/>
      <w:marLeft w:val="0"/>
      <w:marRight w:val="0"/>
      <w:marTop w:val="0"/>
      <w:marBottom w:val="0"/>
      <w:divBdr>
        <w:top w:val="none" w:sz="0" w:space="0" w:color="auto"/>
        <w:left w:val="none" w:sz="0" w:space="0" w:color="auto"/>
        <w:bottom w:val="none" w:sz="0" w:space="0" w:color="auto"/>
        <w:right w:val="none" w:sz="0" w:space="0" w:color="auto"/>
      </w:divBdr>
    </w:div>
    <w:div w:id="1183977013">
      <w:bodyDiv w:val="1"/>
      <w:marLeft w:val="0"/>
      <w:marRight w:val="0"/>
      <w:marTop w:val="0"/>
      <w:marBottom w:val="0"/>
      <w:divBdr>
        <w:top w:val="none" w:sz="0" w:space="0" w:color="auto"/>
        <w:left w:val="none" w:sz="0" w:space="0" w:color="auto"/>
        <w:bottom w:val="none" w:sz="0" w:space="0" w:color="auto"/>
        <w:right w:val="none" w:sz="0" w:space="0" w:color="auto"/>
      </w:divBdr>
    </w:div>
    <w:div w:id="1211258655">
      <w:bodyDiv w:val="1"/>
      <w:marLeft w:val="0"/>
      <w:marRight w:val="0"/>
      <w:marTop w:val="0"/>
      <w:marBottom w:val="0"/>
      <w:divBdr>
        <w:top w:val="none" w:sz="0" w:space="0" w:color="auto"/>
        <w:left w:val="none" w:sz="0" w:space="0" w:color="auto"/>
        <w:bottom w:val="none" w:sz="0" w:space="0" w:color="auto"/>
        <w:right w:val="none" w:sz="0" w:space="0" w:color="auto"/>
      </w:divBdr>
    </w:div>
    <w:div w:id="1213077593">
      <w:bodyDiv w:val="1"/>
      <w:marLeft w:val="0"/>
      <w:marRight w:val="0"/>
      <w:marTop w:val="0"/>
      <w:marBottom w:val="0"/>
      <w:divBdr>
        <w:top w:val="none" w:sz="0" w:space="0" w:color="auto"/>
        <w:left w:val="none" w:sz="0" w:space="0" w:color="auto"/>
        <w:bottom w:val="none" w:sz="0" w:space="0" w:color="auto"/>
        <w:right w:val="none" w:sz="0" w:space="0" w:color="auto"/>
      </w:divBdr>
    </w:div>
    <w:div w:id="1245067843">
      <w:bodyDiv w:val="1"/>
      <w:marLeft w:val="0"/>
      <w:marRight w:val="0"/>
      <w:marTop w:val="0"/>
      <w:marBottom w:val="0"/>
      <w:divBdr>
        <w:top w:val="none" w:sz="0" w:space="0" w:color="auto"/>
        <w:left w:val="none" w:sz="0" w:space="0" w:color="auto"/>
        <w:bottom w:val="none" w:sz="0" w:space="0" w:color="auto"/>
        <w:right w:val="none" w:sz="0" w:space="0" w:color="auto"/>
      </w:divBdr>
    </w:div>
    <w:div w:id="1261838707">
      <w:bodyDiv w:val="1"/>
      <w:marLeft w:val="0"/>
      <w:marRight w:val="0"/>
      <w:marTop w:val="0"/>
      <w:marBottom w:val="0"/>
      <w:divBdr>
        <w:top w:val="none" w:sz="0" w:space="0" w:color="auto"/>
        <w:left w:val="none" w:sz="0" w:space="0" w:color="auto"/>
        <w:bottom w:val="none" w:sz="0" w:space="0" w:color="auto"/>
        <w:right w:val="none" w:sz="0" w:space="0" w:color="auto"/>
      </w:divBdr>
    </w:div>
    <w:div w:id="1291742670">
      <w:bodyDiv w:val="1"/>
      <w:marLeft w:val="0"/>
      <w:marRight w:val="0"/>
      <w:marTop w:val="0"/>
      <w:marBottom w:val="0"/>
      <w:divBdr>
        <w:top w:val="none" w:sz="0" w:space="0" w:color="auto"/>
        <w:left w:val="none" w:sz="0" w:space="0" w:color="auto"/>
        <w:bottom w:val="none" w:sz="0" w:space="0" w:color="auto"/>
        <w:right w:val="none" w:sz="0" w:space="0" w:color="auto"/>
      </w:divBdr>
    </w:div>
    <w:div w:id="1335113774">
      <w:bodyDiv w:val="1"/>
      <w:marLeft w:val="0"/>
      <w:marRight w:val="0"/>
      <w:marTop w:val="0"/>
      <w:marBottom w:val="0"/>
      <w:divBdr>
        <w:top w:val="none" w:sz="0" w:space="0" w:color="auto"/>
        <w:left w:val="none" w:sz="0" w:space="0" w:color="auto"/>
        <w:bottom w:val="none" w:sz="0" w:space="0" w:color="auto"/>
        <w:right w:val="none" w:sz="0" w:space="0" w:color="auto"/>
      </w:divBdr>
    </w:div>
    <w:div w:id="1400058973">
      <w:bodyDiv w:val="1"/>
      <w:marLeft w:val="0"/>
      <w:marRight w:val="0"/>
      <w:marTop w:val="0"/>
      <w:marBottom w:val="0"/>
      <w:divBdr>
        <w:top w:val="none" w:sz="0" w:space="0" w:color="auto"/>
        <w:left w:val="none" w:sz="0" w:space="0" w:color="auto"/>
        <w:bottom w:val="none" w:sz="0" w:space="0" w:color="auto"/>
        <w:right w:val="none" w:sz="0" w:space="0" w:color="auto"/>
      </w:divBdr>
    </w:div>
    <w:div w:id="1503813599">
      <w:bodyDiv w:val="1"/>
      <w:marLeft w:val="0"/>
      <w:marRight w:val="0"/>
      <w:marTop w:val="0"/>
      <w:marBottom w:val="0"/>
      <w:divBdr>
        <w:top w:val="none" w:sz="0" w:space="0" w:color="auto"/>
        <w:left w:val="none" w:sz="0" w:space="0" w:color="auto"/>
        <w:bottom w:val="none" w:sz="0" w:space="0" w:color="auto"/>
        <w:right w:val="none" w:sz="0" w:space="0" w:color="auto"/>
      </w:divBdr>
    </w:div>
    <w:div w:id="1504511205">
      <w:bodyDiv w:val="1"/>
      <w:marLeft w:val="0"/>
      <w:marRight w:val="0"/>
      <w:marTop w:val="0"/>
      <w:marBottom w:val="0"/>
      <w:divBdr>
        <w:top w:val="none" w:sz="0" w:space="0" w:color="auto"/>
        <w:left w:val="none" w:sz="0" w:space="0" w:color="auto"/>
        <w:bottom w:val="none" w:sz="0" w:space="0" w:color="auto"/>
        <w:right w:val="none" w:sz="0" w:space="0" w:color="auto"/>
      </w:divBdr>
    </w:div>
    <w:div w:id="1534072149">
      <w:bodyDiv w:val="1"/>
      <w:marLeft w:val="0"/>
      <w:marRight w:val="0"/>
      <w:marTop w:val="0"/>
      <w:marBottom w:val="0"/>
      <w:divBdr>
        <w:top w:val="none" w:sz="0" w:space="0" w:color="auto"/>
        <w:left w:val="none" w:sz="0" w:space="0" w:color="auto"/>
        <w:bottom w:val="none" w:sz="0" w:space="0" w:color="auto"/>
        <w:right w:val="none" w:sz="0" w:space="0" w:color="auto"/>
      </w:divBdr>
    </w:div>
    <w:div w:id="1577596044">
      <w:bodyDiv w:val="1"/>
      <w:marLeft w:val="0"/>
      <w:marRight w:val="0"/>
      <w:marTop w:val="0"/>
      <w:marBottom w:val="0"/>
      <w:divBdr>
        <w:top w:val="none" w:sz="0" w:space="0" w:color="auto"/>
        <w:left w:val="none" w:sz="0" w:space="0" w:color="auto"/>
        <w:bottom w:val="none" w:sz="0" w:space="0" w:color="auto"/>
        <w:right w:val="none" w:sz="0" w:space="0" w:color="auto"/>
      </w:divBdr>
    </w:div>
    <w:div w:id="1583561149">
      <w:bodyDiv w:val="1"/>
      <w:marLeft w:val="0"/>
      <w:marRight w:val="0"/>
      <w:marTop w:val="0"/>
      <w:marBottom w:val="0"/>
      <w:divBdr>
        <w:top w:val="none" w:sz="0" w:space="0" w:color="auto"/>
        <w:left w:val="none" w:sz="0" w:space="0" w:color="auto"/>
        <w:bottom w:val="none" w:sz="0" w:space="0" w:color="auto"/>
        <w:right w:val="none" w:sz="0" w:space="0" w:color="auto"/>
      </w:divBdr>
    </w:div>
    <w:div w:id="1618173299">
      <w:bodyDiv w:val="1"/>
      <w:marLeft w:val="0"/>
      <w:marRight w:val="0"/>
      <w:marTop w:val="0"/>
      <w:marBottom w:val="0"/>
      <w:divBdr>
        <w:top w:val="none" w:sz="0" w:space="0" w:color="auto"/>
        <w:left w:val="none" w:sz="0" w:space="0" w:color="auto"/>
        <w:bottom w:val="none" w:sz="0" w:space="0" w:color="auto"/>
        <w:right w:val="none" w:sz="0" w:space="0" w:color="auto"/>
      </w:divBdr>
    </w:div>
    <w:div w:id="1626812807">
      <w:bodyDiv w:val="1"/>
      <w:marLeft w:val="0"/>
      <w:marRight w:val="0"/>
      <w:marTop w:val="0"/>
      <w:marBottom w:val="0"/>
      <w:divBdr>
        <w:top w:val="none" w:sz="0" w:space="0" w:color="auto"/>
        <w:left w:val="none" w:sz="0" w:space="0" w:color="auto"/>
        <w:bottom w:val="none" w:sz="0" w:space="0" w:color="auto"/>
        <w:right w:val="none" w:sz="0" w:space="0" w:color="auto"/>
      </w:divBdr>
    </w:div>
    <w:div w:id="1627930448">
      <w:bodyDiv w:val="1"/>
      <w:marLeft w:val="0"/>
      <w:marRight w:val="0"/>
      <w:marTop w:val="0"/>
      <w:marBottom w:val="0"/>
      <w:divBdr>
        <w:top w:val="none" w:sz="0" w:space="0" w:color="auto"/>
        <w:left w:val="none" w:sz="0" w:space="0" w:color="auto"/>
        <w:bottom w:val="none" w:sz="0" w:space="0" w:color="auto"/>
        <w:right w:val="none" w:sz="0" w:space="0" w:color="auto"/>
      </w:divBdr>
    </w:div>
    <w:div w:id="1639187770">
      <w:bodyDiv w:val="1"/>
      <w:marLeft w:val="0"/>
      <w:marRight w:val="0"/>
      <w:marTop w:val="0"/>
      <w:marBottom w:val="0"/>
      <w:divBdr>
        <w:top w:val="none" w:sz="0" w:space="0" w:color="auto"/>
        <w:left w:val="none" w:sz="0" w:space="0" w:color="auto"/>
        <w:bottom w:val="none" w:sz="0" w:space="0" w:color="auto"/>
        <w:right w:val="none" w:sz="0" w:space="0" w:color="auto"/>
      </w:divBdr>
    </w:div>
    <w:div w:id="1732190596">
      <w:bodyDiv w:val="1"/>
      <w:marLeft w:val="0"/>
      <w:marRight w:val="0"/>
      <w:marTop w:val="0"/>
      <w:marBottom w:val="0"/>
      <w:divBdr>
        <w:top w:val="none" w:sz="0" w:space="0" w:color="auto"/>
        <w:left w:val="none" w:sz="0" w:space="0" w:color="auto"/>
        <w:bottom w:val="none" w:sz="0" w:space="0" w:color="auto"/>
        <w:right w:val="none" w:sz="0" w:space="0" w:color="auto"/>
      </w:divBdr>
    </w:div>
    <w:div w:id="1769035463">
      <w:bodyDiv w:val="1"/>
      <w:marLeft w:val="0"/>
      <w:marRight w:val="0"/>
      <w:marTop w:val="0"/>
      <w:marBottom w:val="0"/>
      <w:divBdr>
        <w:top w:val="none" w:sz="0" w:space="0" w:color="auto"/>
        <w:left w:val="none" w:sz="0" w:space="0" w:color="auto"/>
        <w:bottom w:val="none" w:sz="0" w:space="0" w:color="auto"/>
        <w:right w:val="none" w:sz="0" w:space="0" w:color="auto"/>
      </w:divBdr>
    </w:div>
    <w:div w:id="1786196112">
      <w:bodyDiv w:val="1"/>
      <w:marLeft w:val="0"/>
      <w:marRight w:val="0"/>
      <w:marTop w:val="0"/>
      <w:marBottom w:val="0"/>
      <w:divBdr>
        <w:top w:val="none" w:sz="0" w:space="0" w:color="auto"/>
        <w:left w:val="none" w:sz="0" w:space="0" w:color="auto"/>
        <w:bottom w:val="none" w:sz="0" w:space="0" w:color="auto"/>
        <w:right w:val="none" w:sz="0" w:space="0" w:color="auto"/>
      </w:divBdr>
    </w:div>
    <w:div w:id="1842039450">
      <w:bodyDiv w:val="1"/>
      <w:marLeft w:val="0"/>
      <w:marRight w:val="0"/>
      <w:marTop w:val="0"/>
      <w:marBottom w:val="0"/>
      <w:divBdr>
        <w:top w:val="none" w:sz="0" w:space="0" w:color="auto"/>
        <w:left w:val="none" w:sz="0" w:space="0" w:color="auto"/>
        <w:bottom w:val="none" w:sz="0" w:space="0" w:color="auto"/>
        <w:right w:val="none" w:sz="0" w:space="0" w:color="auto"/>
      </w:divBdr>
    </w:div>
    <w:div w:id="1906256901">
      <w:bodyDiv w:val="1"/>
      <w:marLeft w:val="0"/>
      <w:marRight w:val="0"/>
      <w:marTop w:val="0"/>
      <w:marBottom w:val="0"/>
      <w:divBdr>
        <w:top w:val="none" w:sz="0" w:space="0" w:color="auto"/>
        <w:left w:val="none" w:sz="0" w:space="0" w:color="auto"/>
        <w:bottom w:val="none" w:sz="0" w:space="0" w:color="auto"/>
        <w:right w:val="none" w:sz="0" w:space="0" w:color="auto"/>
      </w:divBdr>
    </w:div>
    <w:div w:id="1957321820">
      <w:bodyDiv w:val="1"/>
      <w:marLeft w:val="0"/>
      <w:marRight w:val="0"/>
      <w:marTop w:val="0"/>
      <w:marBottom w:val="0"/>
      <w:divBdr>
        <w:top w:val="none" w:sz="0" w:space="0" w:color="auto"/>
        <w:left w:val="none" w:sz="0" w:space="0" w:color="auto"/>
        <w:bottom w:val="none" w:sz="0" w:space="0" w:color="auto"/>
        <w:right w:val="none" w:sz="0" w:space="0" w:color="auto"/>
      </w:divBdr>
    </w:div>
    <w:div w:id="1981955570">
      <w:bodyDiv w:val="1"/>
      <w:marLeft w:val="0"/>
      <w:marRight w:val="0"/>
      <w:marTop w:val="0"/>
      <w:marBottom w:val="0"/>
      <w:divBdr>
        <w:top w:val="none" w:sz="0" w:space="0" w:color="auto"/>
        <w:left w:val="none" w:sz="0" w:space="0" w:color="auto"/>
        <w:bottom w:val="none" w:sz="0" w:space="0" w:color="auto"/>
        <w:right w:val="none" w:sz="0" w:space="0" w:color="auto"/>
      </w:divBdr>
    </w:div>
    <w:div w:id="1985809555">
      <w:bodyDiv w:val="1"/>
      <w:marLeft w:val="0"/>
      <w:marRight w:val="0"/>
      <w:marTop w:val="0"/>
      <w:marBottom w:val="0"/>
      <w:divBdr>
        <w:top w:val="none" w:sz="0" w:space="0" w:color="auto"/>
        <w:left w:val="none" w:sz="0" w:space="0" w:color="auto"/>
        <w:bottom w:val="none" w:sz="0" w:space="0" w:color="auto"/>
        <w:right w:val="none" w:sz="0" w:space="0" w:color="auto"/>
      </w:divBdr>
    </w:div>
    <w:div w:id="2038970081">
      <w:bodyDiv w:val="1"/>
      <w:marLeft w:val="0"/>
      <w:marRight w:val="0"/>
      <w:marTop w:val="0"/>
      <w:marBottom w:val="0"/>
      <w:divBdr>
        <w:top w:val="none" w:sz="0" w:space="0" w:color="auto"/>
        <w:left w:val="none" w:sz="0" w:space="0" w:color="auto"/>
        <w:bottom w:val="none" w:sz="0" w:space="0" w:color="auto"/>
        <w:right w:val="none" w:sz="0" w:space="0" w:color="auto"/>
      </w:divBdr>
    </w:div>
    <w:div w:id="2041936191">
      <w:bodyDiv w:val="1"/>
      <w:marLeft w:val="0"/>
      <w:marRight w:val="0"/>
      <w:marTop w:val="0"/>
      <w:marBottom w:val="0"/>
      <w:divBdr>
        <w:top w:val="none" w:sz="0" w:space="0" w:color="auto"/>
        <w:left w:val="none" w:sz="0" w:space="0" w:color="auto"/>
        <w:bottom w:val="none" w:sz="0" w:space="0" w:color="auto"/>
        <w:right w:val="none" w:sz="0" w:space="0" w:color="auto"/>
      </w:divBdr>
    </w:div>
    <w:div w:id="2053535162">
      <w:bodyDiv w:val="1"/>
      <w:marLeft w:val="0"/>
      <w:marRight w:val="0"/>
      <w:marTop w:val="0"/>
      <w:marBottom w:val="0"/>
      <w:divBdr>
        <w:top w:val="none" w:sz="0" w:space="0" w:color="auto"/>
        <w:left w:val="none" w:sz="0" w:space="0" w:color="auto"/>
        <w:bottom w:val="none" w:sz="0" w:space="0" w:color="auto"/>
        <w:right w:val="none" w:sz="0" w:space="0" w:color="auto"/>
      </w:divBdr>
    </w:div>
    <w:div w:id="2057851788">
      <w:bodyDiv w:val="1"/>
      <w:marLeft w:val="0"/>
      <w:marRight w:val="0"/>
      <w:marTop w:val="0"/>
      <w:marBottom w:val="0"/>
      <w:divBdr>
        <w:top w:val="none" w:sz="0" w:space="0" w:color="auto"/>
        <w:left w:val="none" w:sz="0" w:space="0" w:color="auto"/>
        <w:bottom w:val="none" w:sz="0" w:space="0" w:color="auto"/>
        <w:right w:val="none" w:sz="0" w:space="0" w:color="auto"/>
      </w:divBdr>
    </w:div>
    <w:div w:id="2064669754">
      <w:bodyDiv w:val="1"/>
      <w:marLeft w:val="0"/>
      <w:marRight w:val="0"/>
      <w:marTop w:val="0"/>
      <w:marBottom w:val="0"/>
      <w:divBdr>
        <w:top w:val="none" w:sz="0" w:space="0" w:color="auto"/>
        <w:left w:val="none" w:sz="0" w:space="0" w:color="auto"/>
        <w:bottom w:val="none" w:sz="0" w:space="0" w:color="auto"/>
        <w:right w:val="none" w:sz="0" w:space="0" w:color="auto"/>
      </w:divBdr>
    </w:div>
    <w:div w:id="2090230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684B99-4558-456E-A8F4-4D29687A1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1156</TotalTime>
  <Pages>31</Pages>
  <Words>6036</Words>
  <Characters>33201</Characters>
  <Application>Microsoft Office Word</Application>
  <DocSecurity>0</DocSecurity>
  <Lines>276</Lines>
  <Paragraphs>78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43</cp:revision>
  <cp:lastPrinted>2026-06-18T15:11:00Z</cp:lastPrinted>
  <dcterms:created xsi:type="dcterms:W3CDTF">2025-08-27T00:23:00Z</dcterms:created>
  <dcterms:modified xsi:type="dcterms:W3CDTF">2026-06-23T19:11:00Z</dcterms:modified>
</cp:coreProperties>
</file>