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C9D" w:rsidRDefault="00CA4C9D">
      <w:pPr>
        <w:widowControl w:val="0"/>
        <w:pBdr>
          <w:top w:val="nil"/>
          <w:left w:val="nil"/>
          <w:bottom w:val="nil"/>
          <w:right w:val="nil"/>
          <w:between w:val="nil"/>
        </w:pBdr>
        <w:spacing w:after="0" w:line="276" w:lineRule="auto"/>
        <w:jc w:val="left"/>
      </w:pPr>
      <w:bookmarkStart w:id="0" w:name="_GoBack"/>
      <w:bookmarkEnd w:id="0"/>
    </w:p>
    <w:p w:rsidR="00CA4C9D" w:rsidRDefault="00CA4C9D">
      <w:pPr>
        <w:tabs>
          <w:tab w:val="left" w:pos="8931"/>
        </w:tabs>
        <w:spacing w:after="0" w:line="360" w:lineRule="auto"/>
      </w:pPr>
    </w:p>
    <w:p w:rsidR="00CA4C9D" w:rsidRDefault="00C76CFD">
      <w:pPr>
        <w:keepNext/>
        <w:keepLines/>
        <w:pBdr>
          <w:top w:val="nil"/>
          <w:left w:val="nil"/>
          <w:bottom w:val="nil"/>
          <w:right w:val="nil"/>
          <w:between w:val="nil"/>
        </w:pBdr>
        <w:spacing w:before="240" w:after="0" w:line="360" w:lineRule="auto"/>
        <w:jc w:val="center"/>
        <w:rPr>
          <w:color w:val="000000"/>
        </w:rPr>
      </w:pPr>
      <w:r>
        <w:rPr>
          <w:color w:val="000000"/>
        </w:rPr>
        <w:t>RESOLUCIÓN DEL RECURSO DE REVISIÓN 02701/INFOEM/IP/RR/2026 Y ACUMULADOS</w:t>
      </w:r>
    </w:p>
    <w:p w:rsidR="00CA4C9D" w:rsidRDefault="00CA4C9D">
      <w:pPr>
        <w:spacing w:after="0" w:line="360" w:lineRule="auto"/>
      </w:pPr>
    </w:p>
    <w:sdt>
      <w:sdtPr>
        <w:rPr>
          <w:color w:val="000000" w:themeColor="text1"/>
          <w:lang w:val="es-ES"/>
        </w:rPr>
        <w:id w:val="789625836"/>
        <w:docPartObj>
          <w:docPartGallery w:val="Table of Contents"/>
          <w:docPartUnique/>
        </w:docPartObj>
      </w:sdtPr>
      <w:sdtEndPr/>
      <w:sdtContent>
        <w:p w:rsidR="00FE2090" w:rsidRPr="00FE2090" w:rsidRDefault="00FE2090" w:rsidP="00FE2090">
          <w:pPr>
            <w:keepNext/>
            <w:keepLines/>
            <w:spacing w:after="0" w:line="360" w:lineRule="auto"/>
            <w:rPr>
              <w:rFonts w:eastAsia="Times New Roman" w:cs="Times New Roman"/>
            </w:rPr>
          </w:pPr>
        </w:p>
        <w:p w:rsidR="00191F85" w:rsidRDefault="00FE2090">
          <w:pPr>
            <w:pStyle w:val="TDC1"/>
            <w:tabs>
              <w:tab w:val="right" w:leader="dot" w:pos="8921"/>
            </w:tabs>
            <w:rPr>
              <w:rFonts w:asciiTheme="minorHAnsi" w:eastAsiaTheme="minorEastAsia" w:hAnsiTheme="minorHAnsi" w:cstheme="minorBidi"/>
              <w:noProof/>
            </w:rPr>
          </w:pPr>
          <w:r w:rsidRPr="00FE2090">
            <w:rPr>
              <w:color w:val="000000" w:themeColor="text1"/>
            </w:rPr>
            <w:fldChar w:fldCharType="begin"/>
          </w:r>
          <w:r w:rsidRPr="00FE2090">
            <w:rPr>
              <w:color w:val="000000" w:themeColor="text1"/>
            </w:rPr>
            <w:instrText xml:space="preserve"> TOC \o "1-3" \h \z \u </w:instrText>
          </w:r>
          <w:r w:rsidRPr="00FE2090">
            <w:rPr>
              <w:color w:val="000000" w:themeColor="text1"/>
            </w:rPr>
            <w:fldChar w:fldCharType="separate"/>
          </w:r>
          <w:hyperlink w:anchor="_Toc225434078" w:history="1">
            <w:r w:rsidR="00191F85" w:rsidRPr="001C0657">
              <w:rPr>
                <w:rStyle w:val="Hipervnculo"/>
                <w:noProof/>
              </w:rPr>
              <w:t>A N T E C E D E N T E S</w:t>
            </w:r>
            <w:r w:rsidR="00191F85">
              <w:rPr>
                <w:noProof/>
                <w:webHidden/>
              </w:rPr>
              <w:tab/>
            </w:r>
            <w:r w:rsidR="00191F85">
              <w:rPr>
                <w:noProof/>
                <w:webHidden/>
              </w:rPr>
              <w:fldChar w:fldCharType="begin"/>
            </w:r>
            <w:r w:rsidR="00191F85">
              <w:rPr>
                <w:noProof/>
                <w:webHidden/>
              </w:rPr>
              <w:instrText xml:space="preserve"> PAGEREF _Toc225434078 \h </w:instrText>
            </w:r>
            <w:r w:rsidR="00191F85">
              <w:rPr>
                <w:noProof/>
                <w:webHidden/>
              </w:rPr>
            </w:r>
            <w:r w:rsidR="00191F85">
              <w:rPr>
                <w:noProof/>
                <w:webHidden/>
              </w:rPr>
              <w:fldChar w:fldCharType="separate"/>
            </w:r>
            <w:r w:rsidR="00D01846">
              <w:rPr>
                <w:noProof/>
                <w:webHidden/>
              </w:rPr>
              <w:t>2</w:t>
            </w:r>
            <w:r w:rsidR="00191F85">
              <w:rPr>
                <w:noProof/>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79" w:history="1">
            <w:r w:rsidR="00191F85" w:rsidRPr="001C0657">
              <w:rPr>
                <w:rStyle w:val="Hipervnculo"/>
              </w:rPr>
              <w:t>I. Presentación de la solicitud de información</w:t>
            </w:r>
            <w:r w:rsidR="00191F85">
              <w:rPr>
                <w:webHidden/>
              </w:rPr>
              <w:tab/>
            </w:r>
            <w:r w:rsidR="00191F85">
              <w:rPr>
                <w:webHidden/>
              </w:rPr>
              <w:fldChar w:fldCharType="begin"/>
            </w:r>
            <w:r w:rsidR="00191F85">
              <w:rPr>
                <w:webHidden/>
              </w:rPr>
              <w:instrText xml:space="preserve"> PAGEREF _Toc225434079 \h </w:instrText>
            </w:r>
            <w:r w:rsidR="00191F85">
              <w:rPr>
                <w:webHidden/>
              </w:rPr>
            </w:r>
            <w:r w:rsidR="00191F85">
              <w:rPr>
                <w:webHidden/>
              </w:rPr>
              <w:fldChar w:fldCharType="separate"/>
            </w:r>
            <w:r w:rsidR="00D01846">
              <w:rPr>
                <w:webHidden/>
              </w:rPr>
              <w:t>2</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0" w:history="1">
            <w:r w:rsidR="00191F85" w:rsidRPr="001C0657">
              <w:rPr>
                <w:rStyle w:val="Hipervnculo"/>
              </w:rPr>
              <w:t>II. Respuestas del Sujeto Obligado</w:t>
            </w:r>
            <w:r w:rsidR="00191F85">
              <w:rPr>
                <w:webHidden/>
              </w:rPr>
              <w:tab/>
            </w:r>
            <w:r w:rsidR="00191F85">
              <w:rPr>
                <w:webHidden/>
              </w:rPr>
              <w:fldChar w:fldCharType="begin"/>
            </w:r>
            <w:r w:rsidR="00191F85">
              <w:rPr>
                <w:webHidden/>
              </w:rPr>
              <w:instrText xml:space="preserve"> PAGEREF _Toc225434080 \h </w:instrText>
            </w:r>
            <w:r w:rsidR="00191F85">
              <w:rPr>
                <w:webHidden/>
              </w:rPr>
            </w:r>
            <w:r w:rsidR="00191F85">
              <w:rPr>
                <w:webHidden/>
              </w:rPr>
              <w:fldChar w:fldCharType="separate"/>
            </w:r>
            <w:r w:rsidR="00D01846">
              <w:rPr>
                <w:webHidden/>
              </w:rPr>
              <w:t>5</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1" w:history="1">
            <w:r w:rsidR="00191F85" w:rsidRPr="001C0657">
              <w:rPr>
                <w:rStyle w:val="Hipervnculo"/>
              </w:rPr>
              <w:t>III. Interposición del Recurso de Revisión</w:t>
            </w:r>
            <w:r w:rsidR="00191F85">
              <w:rPr>
                <w:webHidden/>
              </w:rPr>
              <w:tab/>
            </w:r>
            <w:r w:rsidR="00191F85">
              <w:rPr>
                <w:webHidden/>
              </w:rPr>
              <w:fldChar w:fldCharType="begin"/>
            </w:r>
            <w:r w:rsidR="00191F85">
              <w:rPr>
                <w:webHidden/>
              </w:rPr>
              <w:instrText xml:space="preserve"> PAGEREF _Toc225434081 \h </w:instrText>
            </w:r>
            <w:r w:rsidR="00191F85">
              <w:rPr>
                <w:webHidden/>
              </w:rPr>
            </w:r>
            <w:r w:rsidR="00191F85">
              <w:rPr>
                <w:webHidden/>
              </w:rPr>
              <w:fldChar w:fldCharType="separate"/>
            </w:r>
            <w:r w:rsidR="00D01846">
              <w:rPr>
                <w:webHidden/>
              </w:rPr>
              <w:t>5</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2" w:history="1">
            <w:r w:rsidR="00191F85" w:rsidRPr="001C0657">
              <w:rPr>
                <w:rStyle w:val="Hipervnculo"/>
              </w:rPr>
              <w:t>IV. Trámite de los Recursos de Revisión ante este Instituto</w:t>
            </w:r>
            <w:r w:rsidR="00191F85">
              <w:rPr>
                <w:webHidden/>
              </w:rPr>
              <w:tab/>
            </w:r>
            <w:r w:rsidR="00191F85">
              <w:rPr>
                <w:webHidden/>
              </w:rPr>
              <w:fldChar w:fldCharType="begin"/>
            </w:r>
            <w:r w:rsidR="00191F85">
              <w:rPr>
                <w:webHidden/>
              </w:rPr>
              <w:instrText xml:space="preserve"> PAGEREF _Toc225434082 \h </w:instrText>
            </w:r>
            <w:r w:rsidR="00191F85">
              <w:rPr>
                <w:webHidden/>
              </w:rPr>
            </w:r>
            <w:r w:rsidR="00191F85">
              <w:rPr>
                <w:webHidden/>
              </w:rPr>
              <w:fldChar w:fldCharType="separate"/>
            </w:r>
            <w:r w:rsidR="00D01846">
              <w:rPr>
                <w:webHidden/>
              </w:rPr>
              <w:t>6</w:t>
            </w:r>
            <w:r w:rsidR="00191F85">
              <w:rPr>
                <w:webHidden/>
              </w:rPr>
              <w:fldChar w:fldCharType="end"/>
            </w:r>
          </w:hyperlink>
        </w:p>
        <w:p w:rsidR="00191F85" w:rsidRDefault="00F67A95">
          <w:pPr>
            <w:pStyle w:val="TDC1"/>
            <w:tabs>
              <w:tab w:val="right" w:leader="dot" w:pos="8921"/>
            </w:tabs>
            <w:rPr>
              <w:rFonts w:asciiTheme="minorHAnsi" w:eastAsiaTheme="minorEastAsia" w:hAnsiTheme="minorHAnsi" w:cstheme="minorBidi"/>
              <w:noProof/>
            </w:rPr>
          </w:pPr>
          <w:hyperlink w:anchor="_Toc225434083" w:history="1">
            <w:r w:rsidR="00191F85" w:rsidRPr="001C0657">
              <w:rPr>
                <w:rStyle w:val="Hipervnculo"/>
                <w:noProof/>
              </w:rPr>
              <w:t>C O N S I D E R A N D O S</w:t>
            </w:r>
            <w:r w:rsidR="00191F85">
              <w:rPr>
                <w:noProof/>
                <w:webHidden/>
              </w:rPr>
              <w:tab/>
            </w:r>
            <w:r w:rsidR="00191F85">
              <w:rPr>
                <w:noProof/>
                <w:webHidden/>
              </w:rPr>
              <w:fldChar w:fldCharType="begin"/>
            </w:r>
            <w:r w:rsidR="00191F85">
              <w:rPr>
                <w:noProof/>
                <w:webHidden/>
              </w:rPr>
              <w:instrText xml:space="preserve"> PAGEREF _Toc225434083 \h </w:instrText>
            </w:r>
            <w:r w:rsidR="00191F85">
              <w:rPr>
                <w:noProof/>
                <w:webHidden/>
              </w:rPr>
            </w:r>
            <w:r w:rsidR="00191F85">
              <w:rPr>
                <w:noProof/>
                <w:webHidden/>
              </w:rPr>
              <w:fldChar w:fldCharType="separate"/>
            </w:r>
            <w:r w:rsidR="00D01846">
              <w:rPr>
                <w:noProof/>
                <w:webHidden/>
              </w:rPr>
              <w:t>7</w:t>
            </w:r>
            <w:r w:rsidR="00191F85">
              <w:rPr>
                <w:noProof/>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4" w:history="1">
            <w:r w:rsidR="00191F85" w:rsidRPr="001C0657">
              <w:rPr>
                <w:rStyle w:val="Hipervnculo"/>
              </w:rPr>
              <w:t>PRIMERO. Competencia</w:t>
            </w:r>
            <w:r w:rsidR="00191F85">
              <w:rPr>
                <w:webHidden/>
              </w:rPr>
              <w:tab/>
            </w:r>
            <w:r w:rsidR="00191F85">
              <w:rPr>
                <w:webHidden/>
              </w:rPr>
              <w:fldChar w:fldCharType="begin"/>
            </w:r>
            <w:r w:rsidR="00191F85">
              <w:rPr>
                <w:webHidden/>
              </w:rPr>
              <w:instrText xml:space="preserve"> PAGEREF _Toc225434084 \h </w:instrText>
            </w:r>
            <w:r w:rsidR="00191F85">
              <w:rPr>
                <w:webHidden/>
              </w:rPr>
            </w:r>
            <w:r w:rsidR="00191F85">
              <w:rPr>
                <w:webHidden/>
              </w:rPr>
              <w:fldChar w:fldCharType="separate"/>
            </w:r>
            <w:r w:rsidR="00D01846">
              <w:rPr>
                <w:webHidden/>
              </w:rPr>
              <w:t>7</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5" w:history="1">
            <w:r w:rsidR="00191F85" w:rsidRPr="001C0657">
              <w:rPr>
                <w:rStyle w:val="Hipervnculo"/>
              </w:rPr>
              <w:t>SEGUNDO. Causales de improcedencia y sobreseimiento</w:t>
            </w:r>
            <w:r w:rsidR="00191F85">
              <w:rPr>
                <w:webHidden/>
              </w:rPr>
              <w:tab/>
            </w:r>
            <w:r w:rsidR="00191F85">
              <w:rPr>
                <w:webHidden/>
              </w:rPr>
              <w:fldChar w:fldCharType="begin"/>
            </w:r>
            <w:r w:rsidR="00191F85">
              <w:rPr>
                <w:webHidden/>
              </w:rPr>
              <w:instrText xml:space="preserve"> PAGEREF _Toc225434085 \h </w:instrText>
            </w:r>
            <w:r w:rsidR="00191F85">
              <w:rPr>
                <w:webHidden/>
              </w:rPr>
            </w:r>
            <w:r w:rsidR="00191F85">
              <w:rPr>
                <w:webHidden/>
              </w:rPr>
              <w:fldChar w:fldCharType="separate"/>
            </w:r>
            <w:r w:rsidR="00D01846">
              <w:rPr>
                <w:webHidden/>
              </w:rPr>
              <w:t>8</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6" w:history="1">
            <w:r w:rsidR="00191F85" w:rsidRPr="001C0657">
              <w:rPr>
                <w:rStyle w:val="Hipervnculo"/>
              </w:rPr>
              <w:t>TERCERO. Determinación de la Controversia</w:t>
            </w:r>
            <w:r w:rsidR="00191F85">
              <w:rPr>
                <w:webHidden/>
              </w:rPr>
              <w:tab/>
            </w:r>
            <w:r w:rsidR="00191F85">
              <w:rPr>
                <w:webHidden/>
              </w:rPr>
              <w:fldChar w:fldCharType="begin"/>
            </w:r>
            <w:r w:rsidR="00191F85">
              <w:rPr>
                <w:webHidden/>
              </w:rPr>
              <w:instrText xml:space="preserve"> PAGEREF _Toc225434086 \h </w:instrText>
            </w:r>
            <w:r w:rsidR="00191F85">
              <w:rPr>
                <w:webHidden/>
              </w:rPr>
            </w:r>
            <w:r w:rsidR="00191F85">
              <w:rPr>
                <w:webHidden/>
              </w:rPr>
              <w:fldChar w:fldCharType="separate"/>
            </w:r>
            <w:r w:rsidR="00D01846">
              <w:rPr>
                <w:webHidden/>
              </w:rPr>
              <w:t>10</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7" w:history="1">
            <w:r w:rsidR="00191F85" w:rsidRPr="001C0657">
              <w:rPr>
                <w:rStyle w:val="Hipervnculo"/>
              </w:rPr>
              <w:t>CUARTO. Marco normativo aplicable en materia de transparencia y acceso a la información pública</w:t>
            </w:r>
            <w:r w:rsidR="00191F85">
              <w:rPr>
                <w:webHidden/>
              </w:rPr>
              <w:tab/>
            </w:r>
            <w:r w:rsidR="00191F85">
              <w:rPr>
                <w:webHidden/>
              </w:rPr>
              <w:fldChar w:fldCharType="begin"/>
            </w:r>
            <w:r w:rsidR="00191F85">
              <w:rPr>
                <w:webHidden/>
              </w:rPr>
              <w:instrText xml:space="preserve"> PAGEREF _Toc225434087 \h </w:instrText>
            </w:r>
            <w:r w:rsidR="00191F85">
              <w:rPr>
                <w:webHidden/>
              </w:rPr>
            </w:r>
            <w:r w:rsidR="00191F85">
              <w:rPr>
                <w:webHidden/>
              </w:rPr>
              <w:fldChar w:fldCharType="separate"/>
            </w:r>
            <w:r w:rsidR="00D01846">
              <w:rPr>
                <w:webHidden/>
              </w:rPr>
              <w:t>11</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8" w:history="1">
            <w:r w:rsidR="00191F85" w:rsidRPr="001C0657">
              <w:rPr>
                <w:rStyle w:val="Hipervnculo"/>
              </w:rPr>
              <w:t>QUINTO. Estudio de Fondo</w:t>
            </w:r>
            <w:r w:rsidR="00191F85">
              <w:rPr>
                <w:webHidden/>
              </w:rPr>
              <w:tab/>
            </w:r>
            <w:r w:rsidR="00191F85">
              <w:rPr>
                <w:webHidden/>
              </w:rPr>
              <w:fldChar w:fldCharType="begin"/>
            </w:r>
            <w:r w:rsidR="00191F85">
              <w:rPr>
                <w:webHidden/>
              </w:rPr>
              <w:instrText xml:space="preserve"> PAGEREF _Toc225434088 \h </w:instrText>
            </w:r>
            <w:r w:rsidR="00191F85">
              <w:rPr>
                <w:webHidden/>
              </w:rPr>
            </w:r>
            <w:r w:rsidR="00191F85">
              <w:rPr>
                <w:webHidden/>
              </w:rPr>
              <w:fldChar w:fldCharType="separate"/>
            </w:r>
            <w:r w:rsidR="00D01846">
              <w:rPr>
                <w:webHidden/>
              </w:rPr>
              <w:t>12</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89" w:history="1">
            <w:r w:rsidR="00191F85" w:rsidRPr="001C0657">
              <w:rPr>
                <w:rStyle w:val="Hipervnculo"/>
              </w:rPr>
              <w:t>SEXTO. Decisión</w:t>
            </w:r>
            <w:r w:rsidR="00191F85">
              <w:rPr>
                <w:webHidden/>
              </w:rPr>
              <w:tab/>
            </w:r>
            <w:r w:rsidR="00191F85">
              <w:rPr>
                <w:webHidden/>
              </w:rPr>
              <w:fldChar w:fldCharType="begin"/>
            </w:r>
            <w:r w:rsidR="00191F85">
              <w:rPr>
                <w:webHidden/>
              </w:rPr>
              <w:instrText xml:space="preserve"> PAGEREF _Toc225434089 \h </w:instrText>
            </w:r>
            <w:r w:rsidR="00191F85">
              <w:rPr>
                <w:webHidden/>
              </w:rPr>
            </w:r>
            <w:r w:rsidR="00191F85">
              <w:rPr>
                <w:webHidden/>
              </w:rPr>
              <w:fldChar w:fldCharType="separate"/>
            </w:r>
            <w:r w:rsidR="00D01846">
              <w:rPr>
                <w:webHidden/>
              </w:rPr>
              <w:t>18</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90" w:history="1">
            <w:r w:rsidR="00191F85" w:rsidRPr="001C0657">
              <w:rPr>
                <w:rStyle w:val="Hipervnculo"/>
              </w:rPr>
              <w:t>SÉPTIMO. Vista a la Secretaría Técnica del Pleno</w:t>
            </w:r>
            <w:r w:rsidR="00191F85">
              <w:rPr>
                <w:webHidden/>
              </w:rPr>
              <w:tab/>
            </w:r>
            <w:r w:rsidR="00191F85">
              <w:rPr>
                <w:webHidden/>
              </w:rPr>
              <w:fldChar w:fldCharType="begin"/>
            </w:r>
            <w:r w:rsidR="00191F85">
              <w:rPr>
                <w:webHidden/>
              </w:rPr>
              <w:instrText xml:space="preserve"> PAGEREF _Toc225434090 \h </w:instrText>
            </w:r>
            <w:r w:rsidR="00191F85">
              <w:rPr>
                <w:webHidden/>
              </w:rPr>
            </w:r>
            <w:r w:rsidR="00191F85">
              <w:rPr>
                <w:webHidden/>
              </w:rPr>
              <w:fldChar w:fldCharType="separate"/>
            </w:r>
            <w:r w:rsidR="00D01846">
              <w:rPr>
                <w:webHidden/>
              </w:rPr>
              <w:t>18</w:t>
            </w:r>
            <w:r w:rsidR="00191F85">
              <w:rPr>
                <w:webHidden/>
              </w:rPr>
              <w:fldChar w:fldCharType="end"/>
            </w:r>
          </w:hyperlink>
        </w:p>
        <w:p w:rsidR="00191F85" w:rsidRDefault="00F67A95">
          <w:pPr>
            <w:pStyle w:val="TDC2"/>
            <w:rPr>
              <w:rFonts w:asciiTheme="minorHAnsi" w:eastAsiaTheme="minorEastAsia" w:hAnsiTheme="minorHAnsi" w:cstheme="minorBidi"/>
              <w:lang w:eastAsia="es-MX"/>
            </w:rPr>
          </w:pPr>
          <w:hyperlink w:anchor="_Toc225434091" w:history="1">
            <w:r w:rsidR="00191F85" w:rsidRPr="001C0657">
              <w:rPr>
                <w:rStyle w:val="Hipervnculo"/>
              </w:rPr>
              <w:t>R E S U E L V E</w:t>
            </w:r>
            <w:r w:rsidR="00191F85">
              <w:rPr>
                <w:webHidden/>
              </w:rPr>
              <w:tab/>
            </w:r>
            <w:r w:rsidR="00191F85">
              <w:rPr>
                <w:webHidden/>
              </w:rPr>
              <w:fldChar w:fldCharType="begin"/>
            </w:r>
            <w:r w:rsidR="00191F85">
              <w:rPr>
                <w:webHidden/>
              </w:rPr>
              <w:instrText xml:space="preserve"> PAGEREF _Toc225434091 \h </w:instrText>
            </w:r>
            <w:r w:rsidR="00191F85">
              <w:rPr>
                <w:webHidden/>
              </w:rPr>
            </w:r>
            <w:r w:rsidR="00191F85">
              <w:rPr>
                <w:webHidden/>
              </w:rPr>
              <w:fldChar w:fldCharType="separate"/>
            </w:r>
            <w:r w:rsidR="00D01846">
              <w:rPr>
                <w:webHidden/>
              </w:rPr>
              <w:t>20</w:t>
            </w:r>
            <w:r w:rsidR="00191F85">
              <w:rPr>
                <w:webHidden/>
              </w:rPr>
              <w:fldChar w:fldCharType="end"/>
            </w:r>
          </w:hyperlink>
        </w:p>
        <w:p w:rsidR="00FE2090" w:rsidRPr="00FE2090" w:rsidRDefault="00FE2090" w:rsidP="00FE2090">
          <w:pPr>
            <w:spacing w:after="0" w:line="360" w:lineRule="auto"/>
            <w:rPr>
              <w:b/>
              <w:bCs/>
              <w:color w:val="000000" w:themeColor="text1"/>
              <w:lang w:val="es-ES"/>
            </w:rPr>
          </w:pPr>
          <w:r w:rsidRPr="00FE2090">
            <w:rPr>
              <w:b/>
              <w:bCs/>
              <w:color w:val="000000" w:themeColor="text1"/>
              <w:lang w:val="es-ES"/>
            </w:rPr>
            <w:fldChar w:fldCharType="end"/>
          </w:r>
        </w:p>
      </w:sdtContent>
    </w:sdt>
    <w:p w:rsidR="00CA4C9D" w:rsidRDefault="00CA4C9D">
      <w:pPr>
        <w:tabs>
          <w:tab w:val="left" w:pos="8931"/>
        </w:tabs>
        <w:spacing w:after="0" w:line="360" w:lineRule="auto"/>
      </w:pPr>
    </w:p>
    <w:p w:rsidR="00CA4C9D" w:rsidRDefault="00C76CFD">
      <w:pPr>
        <w:spacing w:after="0" w:line="259" w:lineRule="auto"/>
      </w:pPr>
      <w:r>
        <w:br w:type="page"/>
      </w:r>
    </w:p>
    <w:p w:rsidR="00CA4C9D" w:rsidRDefault="00C76CFD">
      <w:pPr>
        <w:tabs>
          <w:tab w:val="left" w:pos="8931"/>
        </w:tabs>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veinticinco de marzo de dos mil veintiséis.</w:t>
      </w:r>
    </w:p>
    <w:p w:rsidR="00CA4C9D" w:rsidRDefault="00CA4C9D">
      <w:pPr>
        <w:spacing w:after="0" w:line="360" w:lineRule="auto"/>
        <w:rPr>
          <w:b/>
          <w:bCs/>
        </w:rPr>
      </w:pPr>
    </w:p>
    <w:p w:rsidR="00CA4C9D" w:rsidRDefault="00C76CFD">
      <w:pPr>
        <w:spacing w:after="0" w:line="360" w:lineRule="auto"/>
        <w:rPr>
          <w:b/>
          <w:bCs/>
        </w:rPr>
      </w:pPr>
      <w:r>
        <w:rPr>
          <w:b/>
          <w:bCs/>
        </w:rPr>
        <w:t>VISTOS</w:t>
      </w:r>
      <w:r>
        <w:t xml:space="preserve"> los expedientes conformados con motivo de los Recursos de Revisión </w:t>
      </w:r>
      <w:r>
        <w:rPr>
          <w:b/>
          <w:bCs/>
        </w:rPr>
        <w:t xml:space="preserve">02701/INFOEM/IP/RR/2026, 02706/INFOEM/IP/RR/2026, 02711/INFOEM/IP/RR/2026, 02716/INFOEM/IP/RR/2026, 02721/INFOEM/IP/RR/2026, 02726/INFOEM/IP/RR/2026, 02731/INFOEM/IP/RR/2026, 02736/INFOEM/IP/RR/2026, 02741/INFOEM/IP/RR/2026, 02746/INFOEM/IP/RR/2026 y 02756/INFOEM/IP/RR/2026, </w:t>
      </w:r>
      <w:r>
        <w:t>interpuestos por la persona</w:t>
      </w:r>
      <w:r>
        <w:rPr>
          <w:b/>
          <w:bCs/>
        </w:rPr>
        <w:t xml:space="preserve"> </w:t>
      </w:r>
      <w:r>
        <w:t xml:space="preserve">Recurrente y/o Particular, en contra de la falta de respuestas del Sujeto Obligado </w:t>
      </w:r>
      <w:r>
        <w:rPr>
          <w:b/>
          <w:bCs/>
        </w:rPr>
        <w:t>Ayuntamiento de Tepotzotlán</w:t>
      </w:r>
      <w:r>
        <w:t>, se emite la presente Resolución, con base en los Antecedentes y Considerandos que a continuación se exponen:</w:t>
      </w:r>
    </w:p>
    <w:p w:rsidR="00CA4C9D" w:rsidRDefault="00CA4C9D">
      <w:pPr>
        <w:spacing w:after="0" w:line="360" w:lineRule="auto"/>
        <w:rPr>
          <w:b/>
          <w:bCs/>
        </w:rPr>
      </w:pPr>
    </w:p>
    <w:p w:rsidR="00CA4C9D" w:rsidRDefault="00C76CFD">
      <w:pPr>
        <w:pStyle w:val="Ttulo1"/>
        <w:spacing w:before="0" w:after="0" w:line="360" w:lineRule="auto"/>
        <w:jc w:val="center"/>
        <w:rPr>
          <w:sz w:val="22"/>
          <w:szCs w:val="22"/>
        </w:rPr>
      </w:pPr>
      <w:bookmarkStart w:id="1" w:name="_Toc225434078"/>
      <w:r>
        <w:rPr>
          <w:sz w:val="22"/>
          <w:szCs w:val="22"/>
        </w:rPr>
        <w:t>A N T E C E D E N T E S</w:t>
      </w:r>
      <w:bookmarkEnd w:id="1"/>
    </w:p>
    <w:p w:rsidR="00CA4C9D" w:rsidRDefault="00CA4C9D">
      <w:pPr>
        <w:spacing w:after="0" w:line="360" w:lineRule="auto"/>
        <w:jc w:val="center"/>
        <w:rPr>
          <w:b/>
          <w:bCs/>
        </w:rPr>
      </w:pPr>
    </w:p>
    <w:p w:rsidR="00CA4C9D" w:rsidRDefault="00C76CFD">
      <w:pPr>
        <w:pStyle w:val="Ttulo2"/>
        <w:spacing w:before="0" w:after="0" w:line="360" w:lineRule="auto"/>
        <w:rPr>
          <w:sz w:val="22"/>
          <w:szCs w:val="22"/>
        </w:rPr>
      </w:pPr>
      <w:bookmarkStart w:id="2" w:name="_Toc225434079"/>
      <w:r>
        <w:rPr>
          <w:sz w:val="22"/>
          <w:szCs w:val="22"/>
        </w:rPr>
        <w:t>I. Presentación de la solicitud de información</w:t>
      </w:r>
      <w:bookmarkEnd w:id="2"/>
    </w:p>
    <w:p w:rsidR="00CA4C9D" w:rsidRDefault="00CA4C9D">
      <w:pPr>
        <w:tabs>
          <w:tab w:val="left" w:pos="567"/>
        </w:tabs>
        <w:spacing w:after="0" w:line="360" w:lineRule="auto"/>
      </w:pPr>
    </w:p>
    <w:p w:rsidR="00CA4C9D" w:rsidRDefault="00C76CFD">
      <w:pPr>
        <w:tabs>
          <w:tab w:val="left" w:pos="567"/>
        </w:tabs>
        <w:spacing w:after="0" w:line="360" w:lineRule="auto"/>
        <w:ind w:right="-28"/>
      </w:pPr>
      <w:r>
        <w:t>El veinte, veintidós, veintitrés y veintiséis de enero, así como tres de febrero, todos de dos mil veintiséis, el Particular presentó once solicitudes de acceso a la información pública (ya que si bien algunos se tuvieron por presentados el veinticuatro y veinticinco de enero, y primero de febrero de dos mil veintiséis estos fueron inhábiles, por lo que se tuvieron por presentados los días hábiles siguientes),  a través del Sistema de Acceso a la Información Mexiquense (SAIMEX), ante el Ayuntamiento de Tepotzotlán, mediante las cuales requirió lo siguiente:</w:t>
      </w:r>
    </w:p>
    <w:p w:rsidR="00CA4C9D" w:rsidRDefault="00CA4C9D">
      <w:pPr>
        <w:tabs>
          <w:tab w:val="left" w:pos="567"/>
        </w:tabs>
        <w:spacing w:line="360" w:lineRule="auto"/>
        <w:ind w:right="-28"/>
        <w:rPr>
          <w:sz w:val="16"/>
          <w:szCs w:val="16"/>
        </w:rPr>
      </w:pPr>
    </w:p>
    <w:tbl>
      <w:tblPr>
        <w:tblStyle w:val="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
        <w:gridCol w:w="2790"/>
        <w:gridCol w:w="5775"/>
      </w:tblGrid>
      <w:tr w:rsidR="00CA4C9D">
        <w:tc>
          <w:tcPr>
            <w:tcW w:w="502" w:type="dxa"/>
            <w:shd w:val="clear" w:color="auto" w:fill="DDD9C4"/>
          </w:tcPr>
          <w:p w:rsidR="00CA4C9D" w:rsidRDefault="00CA4C9D">
            <w:pPr>
              <w:tabs>
                <w:tab w:val="left" w:pos="567"/>
              </w:tabs>
              <w:spacing w:line="360" w:lineRule="auto"/>
              <w:ind w:right="-28"/>
              <w:rPr>
                <w:sz w:val="20"/>
                <w:szCs w:val="20"/>
              </w:rPr>
            </w:pPr>
          </w:p>
        </w:tc>
        <w:tc>
          <w:tcPr>
            <w:tcW w:w="2790" w:type="dxa"/>
            <w:shd w:val="clear" w:color="auto" w:fill="DDD9C4"/>
          </w:tcPr>
          <w:p w:rsidR="00CA4C9D" w:rsidRDefault="00C76CFD">
            <w:pPr>
              <w:tabs>
                <w:tab w:val="left" w:pos="567"/>
              </w:tabs>
              <w:spacing w:line="360" w:lineRule="auto"/>
              <w:ind w:right="-28"/>
              <w:rPr>
                <w:b/>
                <w:bCs/>
                <w:sz w:val="20"/>
                <w:szCs w:val="20"/>
              </w:rPr>
            </w:pPr>
            <w:r>
              <w:rPr>
                <w:b/>
                <w:bCs/>
                <w:sz w:val="20"/>
                <w:szCs w:val="20"/>
              </w:rPr>
              <w:t>FOLIO DE SOLICITUD</w:t>
            </w:r>
          </w:p>
        </w:tc>
        <w:tc>
          <w:tcPr>
            <w:tcW w:w="5775" w:type="dxa"/>
            <w:shd w:val="clear" w:color="auto" w:fill="DDD9C4"/>
          </w:tcPr>
          <w:p w:rsidR="00CA4C9D" w:rsidRDefault="00C76CFD">
            <w:pPr>
              <w:tabs>
                <w:tab w:val="left" w:pos="567"/>
              </w:tabs>
              <w:spacing w:line="360" w:lineRule="auto"/>
              <w:ind w:right="-28"/>
              <w:rPr>
                <w:b/>
                <w:bCs/>
                <w:sz w:val="20"/>
                <w:szCs w:val="20"/>
              </w:rPr>
            </w:pPr>
            <w:r>
              <w:rPr>
                <w:b/>
                <w:bCs/>
                <w:sz w:val="20"/>
                <w:szCs w:val="20"/>
              </w:rPr>
              <w:t>DESCRIPCIÓN CLARA Y PRECISA DE LA INFORMACIÓN SOLICITADA</w:t>
            </w:r>
          </w:p>
        </w:tc>
      </w:tr>
      <w:tr w:rsidR="00CA4C9D">
        <w:tc>
          <w:tcPr>
            <w:tcW w:w="502" w:type="dxa"/>
          </w:tcPr>
          <w:p w:rsidR="00CA4C9D" w:rsidRDefault="00C76CFD">
            <w:pPr>
              <w:tabs>
                <w:tab w:val="left" w:pos="567"/>
              </w:tabs>
              <w:spacing w:line="360" w:lineRule="auto"/>
              <w:ind w:right="-28"/>
              <w:rPr>
                <w:b/>
                <w:bCs/>
                <w:sz w:val="20"/>
                <w:szCs w:val="20"/>
              </w:rPr>
            </w:pPr>
            <w:bookmarkStart w:id="3" w:name="_heading=h.8uu6z7kw3bc2" w:colFirst="0" w:colLast="0"/>
            <w:bookmarkEnd w:id="3"/>
            <w:r>
              <w:rPr>
                <w:b/>
                <w:bCs/>
                <w:sz w:val="20"/>
                <w:szCs w:val="20"/>
              </w:rPr>
              <w:lastRenderedPageBreak/>
              <w:t>1</w:t>
            </w:r>
          </w:p>
        </w:tc>
        <w:tc>
          <w:tcPr>
            <w:tcW w:w="2790" w:type="dxa"/>
          </w:tcPr>
          <w:p w:rsidR="00CA4C9D" w:rsidRDefault="00C76CFD">
            <w:pPr>
              <w:spacing w:line="360" w:lineRule="auto"/>
              <w:rPr>
                <w:b/>
                <w:bCs/>
                <w:sz w:val="20"/>
                <w:szCs w:val="20"/>
              </w:rPr>
            </w:pPr>
            <w:r>
              <w:rPr>
                <w:b/>
                <w:bCs/>
                <w:sz w:val="20"/>
                <w:szCs w:val="20"/>
              </w:rPr>
              <w:t>00293/TEPOTZOT/IP/2026</w:t>
            </w:r>
            <w:r>
              <w:rPr>
                <w:b/>
                <w:bCs/>
                <w:sz w:val="20"/>
                <w:szCs w:val="20"/>
              </w:rPr>
              <w:tab/>
            </w:r>
          </w:p>
        </w:tc>
        <w:tc>
          <w:tcPr>
            <w:tcW w:w="5775" w:type="dxa"/>
          </w:tcPr>
          <w:p w:rsidR="00CA4C9D" w:rsidRDefault="00C76CFD">
            <w:pPr>
              <w:tabs>
                <w:tab w:val="left" w:pos="567"/>
              </w:tabs>
              <w:spacing w:line="360" w:lineRule="auto"/>
              <w:ind w:right="-28"/>
              <w:rPr>
                <w:i/>
                <w:iCs/>
                <w:sz w:val="20"/>
                <w:szCs w:val="20"/>
              </w:rPr>
            </w:pPr>
            <w:r>
              <w:rPr>
                <w:i/>
                <w:iCs/>
                <w:sz w:val="20"/>
                <w:szCs w:val="20"/>
              </w:rPr>
              <w:t>“El nombre y ubicación de las obras públicas que no hayan quedado concluidas en el año 2025 y el tratamiento que haya hecho la contraloría municipal sobre cada una de dichas obras inconclusas.”</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2</w:t>
            </w:r>
          </w:p>
        </w:tc>
        <w:tc>
          <w:tcPr>
            <w:tcW w:w="2790" w:type="dxa"/>
          </w:tcPr>
          <w:p w:rsidR="00CA4C9D" w:rsidRDefault="00C76CFD">
            <w:pPr>
              <w:spacing w:line="360" w:lineRule="auto"/>
              <w:rPr>
                <w:b/>
                <w:bCs/>
                <w:sz w:val="20"/>
                <w:szCs w:val="20"/>
              </w:rPr>
            </w:pPr>
            <w:r>
              <w:rPr>
                <w:b/>
                <w:bCs/>
                <w:sz w:val="20"/>
                <w:szCs w:val="20"/>
              </w:rPr>
              <w:t>00327/TEPOTZOT/IP/2026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“Todos los recibos de pago de sueldo y pagos hechos a Luz Elvira Noyola González del año 2024 y en imagen PDF, solo ocultando los datos de la cadena original, el QR, CURP, RFC, y R. ISSEMYM, dejando completamente visibles las percepciones y deducciones.”</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3</w:t>
            </w:r>
          </w:p>
        </w:tc>
        <w:tc>
          <w:tcPr>
            <w:tcW w:w="2790" w:type="dxa"/>
          </w:tcPr>
          <w:p w:rsidR="00CA4C9D" w:rsidRDefault="00C76CFD">
            <w:pPr>
              <w:spacing w:line="360" w:lineRule="auto"/>
              <w:rPr>
                <w:b/>
                <w:bCs/>
                <w:sz w:val="20"/>
                <w:szCs w:val="20"/>
              </w:rPr>
            </w:pPr>
            <w:r>
              <w:rPr>
                <w:b/>
                <w:bCs/>
                <w:sz w:val="20"/>
                <w:szCs w:val="20"/>
              </w:rPr>
              <w:t>00360/TEPOTZOT/IP/2026</w:t>
            </w:r>
            <w:r>
              <w:rPr>
                <w:b/>
                <w:bCs/>
                <w:sz w:val="20"/>
                <w:szCs w:val="20"/>
              </w:rPr>
              <w:tab/>
            </w:r>
          </w:p>
        </w:tc>
        <w:tc>
          <w:tcPr>
            <w:tcW w:w="5775" w:type="dxa"/>
          </w:tcPr>
          <w:p w:rsidR="00CA4C9D" w:rsidRDefault="00C76CFD">
            <w:pPr>
              <w:tabs>
                <w:tab w:val="left" w:pos="567"/>
              </w:tabs>
              <w:spacing w:line="360" w:lineRule="auto"/>
              <w:ind w:right="-28"/>
              <w:rPr>
                <w:i/>
                <w:iCs/>
                <w:sz w:val="20"/>
                <w:szCs w:val="20"/>
              </w:rPr>
            </w:pPr>
            <w:r>
              <w:rPr>
                <w:i/>
                <w:iCs/>
                <w:sz w:val="20"/>
                <w:szCs w:val="20"/>
              </w:rPr>
              <w:t>“Todos los documentos que existan desde el 1 de enero de 2025 hasta hoy y que sirven de evidencia para demostrar el trabajo que esté haciendo la contralora al supervisar que los servidores públicos estén atendiendo cabalmente las solicitudes de información sin negar informacion a la ciudadanía ni retrasar de forma alguna la entrega de la información solicitada.”</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4</w:t>
            </w:r>
          </w:p>
        </w:tc>
        <w:tc>
          <w:tcPr>
            <w:tcW w:w="2790" w:type="dxa"/>
          </w:tcPr>
          <w:p w:rsidR="00CA4C9D" w:rsidRDefault="00C76CFD">
            <w:pPr>
              <w:spacing w:line="360" w:lineRule="auto"/>
              <w:rPr>
                <w:b/>
                <w:bCs/>
                <w:sz w:val="20"/>
                <w:szCs w:val="20"/>
              </w:rPr>
            </w:pPr>
            <w:r>
              <w:rPr>
                <w:b/>
                <w:bCs/>
                <w:sz w:val="20"/>
                <w:szCs w:val="20"/>
              </w:rPr>
              <w:t>00418/TEPOTZOT/IP/2026</w:t>
            </w:r>
            <w:r>
              <w:rPr>
                <w:b/>
                <w:bCs/>
                <w:sz w:val="20"/>
                <w:szCs w:val="20"/>
              </w:rPr>
              <w:tab/>
            </w:r>
          </w:p>
        </w:tc>
        <w:tc>
          <w:tcPr>
            <w:tcW w:w="5775" w:type="dxa"/>
          </w:tcPr>
          <w:p w:rsidR="00CA4C9D" w:rsidRDefault="00C76CFD">
            <w:pPr>
              <w:tabs>
                <w:tab w:val="left" w:pos="567"/>
              </w:tabs>
              <w:spacing w:line="360" w:lineRule="auto"/>
              <w:ind w:right="-28"/>
              <w:rPr>
                <w:i/>
                <w:iCs/>
                <w:sz w:val="20"/>
                <w:szCs w:val="20"/>
              </w:rPr>
            </w:pPr>
            <w:r>
              <w:rPr>
                <w:i/>
                <w:iCs/>
                <w:sz w:val="20"/>
                <w:szCs w:val="20"/>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junio de 2025.”</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5</w:t>
            </w:r>
          </w:p>
        </w:tc>
        <w:tc>
          <w:tcPr>
            <w:tcW w:w="2790" w:type="dxa"/>
          </w:tcPr>
          <w:p w:rsidR="00CA4C9D" w:rsidRDefault="00C76CFD">
            <w:pPr>
              <w:spacing w:line="360" w:lineRule="auto"/>
              <w:rPr>
                <w:b/>
                <w:bCs/>
                <w:sz w:val="20"/>
                <w:szCs w:val="20"/>
              </w:rPr>
            </w:pPr>
            <w:r>
              <w:rPr>
                <w:b/>
                <w:bCs/>
                <w:sz w:val="20"/>
                <w:szCs w:val="20"/>
              </w:rPr>
              <w:t>00420/TEPOTZOT/IP/2026</w:t>
            </w:r>
            <w:r>
              <w:rPr>
                <w:b/>
                <w:bCs/>
                <w:sz w:val="20"/>
                <w:szCs w:val="20"/>
              </w:rPr>
              <w:tab/>
            </w:r>
          </w:p>
        </w:tc>
        <w:tc>
          <w:tcPr>
            <w:tcW w:w="5775" w:type="dxa"/>
          </w:tcPr>
          <w:p w:rsidR="00CA4C9D" w:rsidRDefault="00C76CFD">
            <w:pPr>
              <w:tabs>
                <w:tab w:val="left" w:pos="567"/>
              </w:tabs>
              <w:spacing w:line="360" w:lineRule="auto"/>
              <w:ind w:right="-28"/>
              <w:rPr>
                <w:i/>
                <w:iCs/>
                <w:sz w:val="20"/>
                <w:szCs w:val="20"/>
              </w:rPr>
            </w:pPr>
            <w:r>
              <w:rPr>
                <w:i/>
                <w:iCs/>
                <w:sz w:val="20"/>
                <w:szCs w:val="20"/>
              </w:rPr>
              <w:t>“Los documentos donde consta la supervisión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 durante el mes de agosto de 2025.”</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6</w:t>
            </w:r>
          </w:p>
        </w:tc>
        <w:tc>
          <w:tcPr>
            <w:tcW w:w="2790" w:type="dxa"/>
          </w:tcPr>
          <w:p w:rsidR="00CA4C9D" w:rsidRDefault="00C76CFD">
            <w:pPr>
              <w:spacing w:line="360" w:lineRule="auto"/>
              <w:rPr>
                <w:b/>
                <w:bCs/>
                <w:sz w:val="20"/>
                <w:szCs w:val="20"/>
              </w:rPr>
            </w:pPr>
            <w:r>
              <w:rPr>
                <w:b/>
                <w:bCs/>
                <w:sz w:val="20"/>
                <w:szCs w:val="20"/>
              </w:rPr>
              <w:t>00426/TEPOTZOT/IP/2026</w:t>
            </w:r>
            <w:r>
              <w:rPr>
                <w:b/>
                <w:bCs/>
                <w:sz w:val="20"/>
                <w:szCs w:val="20"/>
              </w:rPr>
              <w:tab/>
            </w:r>
          </w:p>
        </w:tc>
        <w:tc>
          <w:tcPr>
            <w:tcW w:w="5775" w:type="dxa"/>
          </w:tcPr>
          <w:p w:rsidR="00CA4C9D" w:rsidRDefault="00C76CFD">
            <w:pPr>
              <w:tabs>
                <w:tab w:val="left" w:pos="567"/>
              </w:tabs>
              <w:spacing w:line="360" w:lineRule="auto"/>
              <w:ind w:right="-28"/>
              <w:rPr>
                <w:i/>
                <w:iCs/>
                <w:sz w:val="20"/>
                <w:szCs w:val="20"/>
              </w:rPr>
            </w:pPr>
            <w:r>
              <w:rPr>
                <w:i/>
                <w:iCs/>
                <w:sz w:val="20"/>
                <w:szCs w:val="20"/>
              </w:rPr>
              <w:t xml:space="preserve">“Los documentos donde consta la supervisión de la obra Terminación de construcción de paso inferior vehicular Tepotzotlán Norte ubicado en la carretera México Querétaro, en el km 44+834.073, en el Estado </w:t>
            </w:r>
            <w:r>
              <w:rPr>
                <w:i/>
                <w:iCs/>
                <w:sz w:val="20"/>
                <w:szCs w:val="20"/>
              </w:rPr>
              <w:lastRenderedPageBreak/>
              <w:t>de México y vialidades de acceso a las cabinas remotas de la plaza de cobro Tepotzotlán, de la autopista México-Querétaro, durante el mes de febrero de 2026”</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lastRenderedPageBreak/>
              <w:t>7</w:t>
            </w:r>
          </w:p>
        </w:tc>
        <w:tc>
          <w:tcPr>
            <w:tcW w:w="2790" w:type="dxa"/>
          </w:tcPr>
          <w:p w:rsidR="00CA4C9D" w:rsidRDefault="00C76CFD">
            <w:pPr>
              <w:spacing w:line="360" w:lineRule="auto"/>
              <w:rPr>
                <w:b/>
                <w:bCs/>
                <w:sz w:val="20"/>
                <w:szCs w:val="20"/>
              </w:rPr>
            </w:pPr>
            <w:r>
              <w:rPr>
                <w:b/>
                <w:bCs/>
                <w:sz w:val="20"/>
                <w:szCs w:val="20"/>
              </w:rPr>
              <w:t>00429/TEPOTZOT/IP/2026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“El procedimiento de asignación y contratación de la obra terminación de construcción de paso inferior vehicular Tepotzotlán Norte ubicado en la carretera México Querétaro, en el km 44+834.073, en el Estado de México y vialidades de acceso a las cabinas remotas de la plaza de cobro Tepotzotlán, de la autopista México-Querétaro.”</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8</w:t>
            </w:r>
          </w:p>
        </w:tc>
        <w:tc>
          <w:tcPr>
            <w:tcW w:w="2790" w:type="dxa"/>
          </w:tcPr>
          <w:p w:rsidR="00CA4C9D" w:rsidRDefault="00C76CFD">
            <w:pPr>
              <w:spacing w:line="360" w:lineRule="auto"/>
              <w:rPr>
                <w:b/>
                <w:bCs/>
                <w:sz w:val="20"/>
                <w:szCs w:val="20"/>
              </w:rPr>
            </w:pPr>
            <w:r>
              <w:rPr>
                <w:b/>
                <w:bCs/>
                <w:sz w:val="20"/>
                <w:szCs w:val="20"/>
              </w:rPr>
              <w:t>00431/TEPOTZOT/IP/2026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“Todos los nombres que haya tenido en sus etapas o años anteriores la obra actualmente conocida como Terminación de construcción de paso inferior vehicular Tepotzotlán Norte ubicado en la carretera México Querétaro, en el km 44+834.073, en el Estado de México y vialidades de acceso a las cabinas remotas de la plaza de cobro Tepotzotlán, de la autopista México-Querétaro. Todas las facturas pagadas desde que inició la obra antes mencionada abarcando los otros nombres que haya tenido anteriormente.”</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9</w:t>
            </w:r>
          </w:p>
        </w:tc>
        <w:tc>
          <w:tcPr>
            <w:tcW w:w="2790" w:type="dxa"/>
          </w:tcPr>
          <w:p w:rsidR="00CA4C9D" w:rsidRDefault="00C76CFD">
            <w:pPr>
              <w:spacing w:line="360" w:lineRule="auto"/>
              <w:rPr>
                <w:b/>
                <w:bCs/>
                <w:sz w:val="20"/>
                <w:szCs w:val="20"/>
              </w:rPr>
            </w:pPr>
            <w:r>
              <w:rPr>
                <w:b/>
                <w:bCs/>
                <w:sz w:val="20"/>
                <w:szCs w:val="20"/>
              </w:rPr>
              <w:t>00513/TEPOTZOT/IP/2026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“Los resultados de las evaluaciones que haya hecho la unidad de inglés con,.planeación y evaluación en el 2025.”</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10</w:t>
            </w:r>
          </w:p>
        </w:tc>
        <w:tc>
          <w:tcPr>
            <w:tcW w:w="2790" w:type="dxa"/>
          </w:tcPr>
          <w:p w:rsidR="00CA4C9D" w:rsidRDefault="00C76CFD">
            <w:pPr>
              <w:spacing w:line="360" w:lineRule="auto"/>
              <w:rPr>
                <w:b/>
                <w:bCs/>
                <w:sz w:val="20"/>
                <w:szCs w:val="20"/>
              </w:rPr>
            </w:pPr>
            <w:r>
              <w:rPr>
                <w:b/>
                <w:bCs/>
                <w:sz w:val="20"/>
                <w:szCs w:val="20"/>
              </w:rPr>
              <w:t>00517/TEPOTZOT/IP/2026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“Las órdenes de pago emitidas por la dirección de desarollo y fomento económico o su equivalente para realizar el cobro por anuncios durante el 2025, personas físicas y morales, con los recibos de pago oficiales relacionados con cada orden de pago expedida.”</w:t>
            </w:r>
          </w:p>
        </w:tc>
      </w:tr>
      <w:tr w:rsidR="00CA4C9D">
        <w:tc>
          <w:tcPr>
            <w:tcW w:w="502" w:type="dxa"/>
          </w:tcPr>
          <w:p w:rsidR="00CA4C9D" w:rsidRDefault="00C76CFD">
            <w:pPr>
              <w:tabs>
                <w:tab w:val="left" w:pos="567"/>
              </w:tabs>
              <w:spacing w:line="360" w:lineRule="auto"/>
              <w:ind w:right="-28"/>
              <w:rPr>
                <w:b/>
                <w:bCs/>
                <w:sz w:val="20"/>
                <w:szCs w:val="20"/>
              </w:rPr>
            </w:pPr>
            <w:r>
              <w:rPr>
                <w:b/>
                <w:bCs/>
                <w:sz w:val="20"/>
                <w:szCs w:val="20"/>
              </w:rPr>
              <w:t>11</w:t>
            </w:r>
          </w:p>
        </w:tc>
        <w:tc>
          <w:tcPr>
            <w:tcW w:w="2790" w:type="dxa"/>
          </w:tcPr>
          <w:p w:rsidR="00CA4C9D" w:rsidRDefault="00C76CFD">
            <w:pPr>
              <w:spacing w:line="360" w:lineRule="auto"/>
              <w:rPr>
                <w:b/>
                <w:bCs/>
                <w:sz w:val="20"/>
                <w:szCs w:val="20"/>
              </w:rPr>
            </w:pPr>
            <w:r>
              <w:rPr>
                <w:b/>
                <w:bCs/>
                <w:sz w:val="20"/>
                <w:szCs w:val="20"/>
              </w:rPr>
              <w:t>00550/TEPOTZOT/IP/2026</w:t>
            </w:r>
          </w:p>
        </w:tc>
        <w:tc>
          <w:tcPr>
            <w:tcW w:w="5775" w:type="dxa"/>
          </w:tcPr>
          <w:p w:rsidR="00CA4C9D" w:rsidRDefault="00C76CFD">
            <w:pPr>
              <w:tabs>
                <w:tab w:val="left" w:pos="567"/>
              </w:tabs>
              <w:spacing w:line="360" w:lineRule="auto"/>
              <w:ind w:right="-28"/>
              <w:rPr>
                <w:i/>
                <w:iCs/>
                <w:sz w:val="20"/>
                <w:szCs w:val="20"/>
              </w:rPr>
            </w:pPr>
            <w:r>
              <w:rPr>
                <w:i/>
                <w:iCs/>
                <w:sz w:val="20"/>
                <w:szCs w:val="20"/>
              </w:rPr>
              <w:t>“Nombres, grado académico y sueldo neto y bruto quincenal y mensual de las personas que trabajan en turismo municipal.”</w:t>
            </w:r>
          </w:p>
        </w:tc>
      </w:tr>
    </w:tbl>
    <w:p w:rsidR="00CA4C9D" w:rsidRDefault="00CA4C9D">
      <w:pPr>
        <w:tabs>
          <w:tab w:val="left" w:pos="4667"/>
        </w:tabs>
        <w:spacing w:after="0" w:line="360" w:lineRule="auto"/>
        <w:ind w:left="567" w:right="567"/>
        <w:rPr>
          <w:b/>
          <w:bCs/>
        </w:rPr>
      </w:pPr>
    </w:p>
    <w:p w:rsidR="00CA4C9D" w:rsidRDefault="00C76CFD">
      <w:pPr>
        <w:tabs>
          <w:tab w:val="left" w:pos="4667"/>
        </w:tabs>
        <w:spacing w:after="0" w:line="360" w:lineRule="auto"/>
        <w:ind w:right="567"/>
      </w:pPr>
      <w:r>
        <w:rPr>
          <w:b/>
          <w:bCs/>
        </w:rPr>
        <w:t>MODALIDAD DE ENTREGA</w:t>
      </w:r>
    </w:p>
    <w:p w:rsidR="00CA4C9D" w:rsidRDefault="00CA4C9D">
      <w:pPr>
        <w:spacing w:after="0" w:line="360" w:lineRule="auto"/>
        <w:ind w:right="567"/>
      </w:pPr>
    </w:p>
    <w:p w:rsidR="00CA4C9D" w:rsidRDefault="00C76CFD">
      <w:pPr>
        <w:spacing w:line="360" w:lineRule="auto"/>
        <w:ind w:right="113"/>
      </w:pPr>
      <w:r>
        <w:lastRenderedPageBreak/>
        <w:t>La modalidad de entrega que escogió la Particular para que se le entregará la información en las solicitudes de acceso a la información fue a través del Sistema de Acceso a la Información Mexiquense (SAIMEX)</w:t>
      </w:r>
    </w:p>
    <w:p w:rsidR="00CA4C9D" w:rsidRDefault="00CA4C9D">
      <w:pPr>
        <w:pBdr>
          <w:top w:val="nil"/>
          <w:left w:val="nil"/>
          <w:bottom w:val="nil"/>
          <w:right w:val="nil"/>
          <w:between w:val="nil"/>
        </w:pBdr>
        <w:tabs>
          <w:tab w:val="left" w:pos="567"/>
        </w:tabs>
        <w:spacing w:after="0" w:line="360" w:lineRule="auto"/>
        <w:rPr>
          <w:b/>
          <w:bCs/>
          <w:color w:val="000000"/>
        </w:rPr>
      </w:pPr>
    </w:p>
    <w:p w:rsidR="00CA4C9D" w:rsidRDefault="00C76CFD">
      <w:pPr>
        <w:pStyle w:val="Ttulo2"/>
        <w:spacing w:before="0" w:after="0" w:line="360" w:lineRule="auto"/>
        <w:rPr>
          <w:sz w:val="22"/>
          <w:szCs w:val="22"/>
        </w:rPr>
      </w:pPr>
      <w:bookmarkStart w:id="4" w:name="_Toc225434080"/>
      <w:r>
        <w:rPr>
          <w:sz w:val="22"/>
          <w:szCs w:val="22"/>
        </w:rPr>
        <w:t>II. Respuestas del Sujeto Obligado</w:t>
      </w:r>
      <w:bookmarkEnd w:id="4"/>
    </w:p>
    <w:p w:rsidR="00CA4C9D" w:rsidRDefault="00CA4C9D">
      <w:pPr>
        <w:spacing w:after="0" w:line="360" w:lineRule="auto"/>
        <w:rPr>
          <w:b/>
          <w:bCs/>
        </w:rPr>
      </w:pPr>
    </w:p>
    <w:p w:rsidR="00CA4C9D" w:rsidRDefault="00C76CFD">
      <w:pPr>
        <w:spacing w:after="0" w:line="360" w:lineRule="auto"/>
      </w:pPr>
      <w:r>
        <w:t>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Sistema de Acceso a la Información Mexiquense (SAIMEX), se advierte que el</w:t>
      </w:r>
      <w:r>
        <w:rPr>
          <w:b/>
          <w:bCs/>
        </w:rPr>
        <w:t xml:space="preserve"> Ayuntamiento de Tepotzotlán</w:t>
      </w:r>
      <w:r>
        <w:t xml:space="preserve">, omitió dar respuestas, por lo que se </w:t>
      </w:r>
      <w:r>
        <w:rPr>
          <w:b/>
          <w:bCs/>
        </w:rPr>
        <w:t>configura la negativa ficta</w:t>
      </w:r>
      <w:r>
        <w:t xml:space="preserve"> a entregar información, prevista, en los artículos 166, párrafo cuarto y 178, párrafo segundo de la Ley de Transparencia y Acceso a la Información Pública del Estado de México y Municipios.</w:t>
      </w:r>
    </w:p>
    <w:p w:rsidR="00CA4C9D" w:rsidRDefault="00CA4C9D">
      <w:pPr>
        <w:spacing w:line="360" w:lineRule="auto"/>
      </w:pPr>
    </w:p>
    <w:p w:rsidR="00CA4C9D" w:rsidRDefault="00C76CFD">
      <w:pPr>
        <w:pStyle w:val="Ttulo2"/>
        <w:spacing w:before="0" w:after="0" w:line="360" w:lineRule="auto"/>
        <w:rPr>
          <w:sz w:val="22"/>
          <w:szCs w:val="22"/>
        </w:rPr>
      </w:pPr>
      <w:bookmarkStart w:id="5" w:name="_Toc225434081"/>
      <w:r>
        <w:rPr>
          <w:sz w:val="22"/>
          <w:szCs w:val="22"/>
        </w:rPr>
        <w:t>III. Interposición del Recurso de Revisión</w:t>
      </w:r>
      <w:bookmarkEnd w:id="5"/>
    </w:p>
    <w:p w:rsidR="00CA4C9D" w:rsidRDefault="00CA4C9D">
      <w:pPr>
        <w:spacing w:after="0" w:line="360" w:lineRule="auto"/>
        <w:rPr>
          <w:b/>
          <w:bCs/>
        </w:rPr>
      </w:pPr>
    </w:p>
    <w:p w:rsidR="00CA4C9D" w:rsidRDefault="00C76CFD">
      <w:pPr>
        <w:spacing w:after="0" w:line="360" w:lineRule="auto"/>
      </w:pPr>
      <w:r>
        <w:t>El veintiséis de febrero de dos mil veintiséis, se recibió en este Instituto, a través del Sistema de Acceso a la Información Mexiquense (SAIMEX), once Recursos de Revisión interpuestos por la persona Recurrente, en contra de la respuesta por el Sujeto Obligado, a las solicitudes de información, en los mismos términos como se muestra a continuación:</w:t>
      </w:r>
    </w:p>
    <w:p w:rsidR="00CA4C9D" w:rsidRDefault="00CA4C9D">
      <w:pPr>
        <w:spacing w:after="0" w:line="360" w:lineRule="auto"/>
        <w:ind w:left="567" w:right="567"/>
        <w:rPr>
          <w:b/>
          <w:bCs/>
          <w:i/>
          <w:iCs/>
          <w:sz w:val="20"/>
          <w:szCs w:val="20"/>
        </w:rPr>
      </w:pPr>
    </w:p>
    <w:p w:rsidR="00CA4C9D" w:rsidRDefault="00C76CFD">
      <w:pPr>
        <w:spacing w:after="0" w:line="360" w:lineRule="auto"/>
        <w:ind w:left="567" w:right="567"/>
        <w:rPr>
          <w:b/>
          <w:bCs/>
          <w:color w:val="000000"/>
          <w:sz w:val="20"/>
          <w:szCs w:val="20"/>
        </w:rPr>
      </w:pPr>
      <w:r>
        <w:rPr>
          <w:b/>
          <w:bCs/>
          <w:color w:val="000000"/>
          <w:sz w:val="20"/>
          <w:szCs w:val="20"/>
        </w:rPr>
        <w:t>ACTO IMPUGNADO</w:t>
      </w:r>
    </w:p>
    <w:p w:rsidR="00CA4C9D" w:rsidRDefault="00C76CFD">
      <w:pPr>
        <w:spacing w:after="0" w:line="360" w:lineRule="auto"/>
        <w:ind w:left="567" w:right="539"/>
        <w:rPr>
          <w:i/>
          <w:iCs/>
          <w:color w:val="000000"/>
          <w:sz w:val="20"/>
          <w:szCs w:val="20"/>
        </w:rPr>
      </w:pPr>
      <w:r>
        <w:rPr>
          <w:i/>
          <w:iCs/>
          <w:color w:val="000000"/>
          <w:sz w:val="20"/>
          <w:szCs w:val="20"/>
        </w:rPr>
        <w:t>“La falta de respuesta a una solicitud de acceso a la información.” (Sic)</w:t>
      </w:r>
    </w:p>
    <w:p w:rsidR="00CA4C9D" w:rsidRDefault="00CA4C9D">
      <w:pPr>
        <w:spacing w:after="0" w:line="360" w:lineRule="auto"/>
        <w:ind w:left="567"/>
        <w:jc w:val="left"/>
        <w:rPr>
          <w:b/>
          <w:bCs/>
          <w:color w:val="000000"/>
          <w:sz w:val="20"/>
          <w:szCs w:val="20"/>
        </w:rPr>
      </w:pPr>
    </w:p>
    <w:p w:rsidR="00CA4C9D" w:rsidRDefault="00C76CFD">
      <w:pPr>
        <w:spacing w:after="0" w:line="360" w:lineRule="auto"/>
        <w:ind w:left="567"/>
        <w:jc w:val="left"/>
        <w:rPr>
          <w:b/>
          <w:bCs/>
          <w:color w:val="000000"/>
          <w:sz w:val="20"/>
          <w:szCs w:val="20"/>
        </w:rPr>
      </w:pPr>
      <w:r>
        <w:rPr>
          <w:b/>
          <w:bCs/>
          <w:color w:val="000000"/>
          <w:sz w:val="20"/>
          <w:szCs w:val="20"/>
        </w:rPr>
        <w:t>RAZONES O MOTIVOS DE LA INCONFORMIDAD</w:t>
      </w:r>
    </w:p>
    <w:p w:rsidR="00CA4C9D" w:rsidRDefault="00C76CFD">
      <w:pPr>
        <w:spacing w:after="0" w:line="360" w:lineRule="auto"/>
        <w:ind w:left="567" w:right="539"/>
        <w:rPr>
          <w:i/>
          <w:iCs/>
          <w:color w:val="000000"/>
          <w:sz w:val="20"/>
          <w:szCs w:val="20"/>
        </w:rPr>
      </w:pPr>
      <w:r>
        <w:rPr>
          <w:i/>
          <w:iCs/>
          <w:color w:val="000000"/>
          <w:sz w:val="20"/>
          <w:szCs w:val="20"/>
        </w:rPr>
        <w:lastRenderedPageBreak/>
        <w:t>“La falta de respuesta a una solicitud de acceso a la información.” (Sic)</w:t>
      </w:r>
    </w:p>
    <w:p w:rsidR="00CA4C9D" w:rsidRDefault="00CA4C9D">
      <w:pPr>
        <w:spacing w:after="0" w:line="360" w:lineRule="auto"/>
        <w:ind w:left="567" w:right="567"/>
        <w:rPr>
          <w:b/>
          <w:bCs/>
          <w:i/>
          <w:iCs/>
          <w:sz w:val="20"/>
          <w:szCs w:val="20"/>
        </w:rPr>
      </w:pPr>
    </w:p>
    <w:p w:rsidR="00CA4C9D" w:rsidRDefault="00C76CFD">
      <w:pPr>
        <w:pStyle w:val="Ttulo2"/>
        <w:spacing w:before="0" w:after="0" w:line="360" w:lineRule="auto"/>
        <w:rPr>
          <w:sz w:val="22"/>
          <w:szCs w:val="22"/>
        </w:rPr>
      </w:pPr>
      <w:bookmarkStart w:id="6" w:name="_Toc225434082"/>
      <w:r>
        <w:rPr>
          <w:sz w:val="22"/>
          <w:szCs w:val="22"/>
        </w:rPr>
        <w:t>IV. Trámite de los Recursos de Revisión ante este Instituto</w:t>
      </w:r>
      <w:bookmarkEnd w:id="6"/>
    </w:p>
    <w:p w:rsidR="00CA4C9D" w:rsidRDefault="00CA4C9D">
      <w:pPr>
        <w:spacing w:after="0" w:line="360" w:lineRule="auto"/>
        <w:rPr>
          <w:b/>
          <w:bCs/>
        </w:rPr>
      </w:pPr>
    </w:p>
    <w:p w:rsidR="00CA4C9D" w:rsidRDefault="00C76CFD">
      <w:pPr>
        <w:spacing w:after="0" w:line="360" w:lineRule="auto"/>
      </w:pPr>
      <w:r>
        <w:rPr>
          <w:b/>
          <w:bCs/>
        </w:rPr>
        <w:t xml:space="preserve">a) Turno de los Recursos de Revisión. </w:t>
      </w:r>
      <w:r>
        <w:t>El veintiséis de febrero de dos mil veintiséis el SAIMEX, asignó los Recursos de Revisión con base en el sistema aprobado por el Pleno de este Órgano Garante y los turnó para los efectos del artículo 185, fracción I, de la Ley de Transparencia y Acceso a la Información Pública del Estado de México y Municipios, a los Comisionados que integran el Pleno de este Instituto.</w:t>
      </w:r>
    </w:p>
    <w:p w:rsidR="00CA4C9D" w:rsidRDefault="00CA4C9D">
      <w:pPr>
        <w:spacing w:after="0" w:line="360" w:lineRule="auto"/>
        <w:rPr>
          <w:b/>
          <w:bCs/>
        </w:rPr>
      </w:pPr>
    </w:p>
    <w:p w:rsidR="00CA4C9D" w:rsidRDefault="00C76CFD">
      <w:pPr>
        <w:spacing w:after="0" w:line="360" w:lineRule="auto"/>
      </w:pPr>
      <w:r>
        <w:rPr>
          <w:b/>
          <w:bCs/>
        </w:rPr>
        <w:t xml:space="preserve">b) Admisión del Recurso de Revisión. </w:t>
      </w:r>
      <w:r>
        <w:t>El cuatro de marzo de dos mil veintiséis, se acordó la admisión de los Recursos de Revisión interpuestos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CA4C9D" w:rsidRDefault="00CA4C9D">
      <w:pPr>
        <w:spacing w:after="0" w:line="360" w:lineRule="auto"/>
      </w:pPr>
    </w:p>
    <w:p w:rsidR="00CA4C9D" w:rsidRDefault="00C76CFD">
      <w:pPr>
        <w:spacing w:after="0" w:line="360" w:lineRule="auto"/>
      </w:pPr>
      <w:r>
        <w:rPr>
          <w:b/>
          <w:bCs/>
        </w:rPr>
        <w:t>c)</w:t>
      </w:r>
      <w:r>
        <w:t xml:space="preserve"> </w:t>
      </w:r>
      <w:r>
        <w:rPr>
          <w:b/>
          <w:bCs/>
        </w:rPr>
        <w:t xml:space="preserve"> Informe Justificado. </w:t>
      </w:r>
      <w:r>
        <w:t>El Sujeto Obligado fue omiso en realizar manifestación alguna.</w:t>
      </w:r>
    </w:p>
    <w:p w:rsidR="00CA4C9D" w:rsidRDefault="00CA4C9D">
      <w:pPr>
        <w:spacing w:after="0" w:line="360" w:lineRule="auto"/>
      </w:pPr>
    </w:p>
    <w:p w:rsidR="00CA4C9D" w:rsidRDefault="00C76CFD">
      <w:pPr>
        <w:spacing w:after="0" w:line="360" w:lineRule="auto"/>
        <w:rPr>
          <w:i/>
          <w:iCs/>
        </w:rPr>
      </w:pPr>
      <w:r>
        <w:rPr>
          <w:b/>
          <w:bCs/>
        </w:rPr>
        <w:t xml:space="preserve">d) Manifestaciones del Recurrente: </w:t>
      </w:r>
      <w:r>
        <w:t>El Particular fue omiso en realizar manifestación alguna.</w:t>
      </w:r>
    </w:p>
    <w:p w:rsidR="00CA4C9D" w:rsidRDefault="00CA4C9D">
      <w:pPr>
        <w:spacing w:after="0" w:line="360" w:lineRule="auto"/>
      </w:pPr>
    </w:p>
    <w:p w:rsidR="00CA4C9D" w:rsidRDefault="00C76CFD">
      <w:pPr>
        <w:spacing w:after="0" w:line="360" w:lineRule="auto"/>
        <w:rPr>
          <w:b/>
          <w:bCs/>
          <w:color w:val="0D0D0D"/>
        </w:rPr>
      </w:pPr>
      <w:r>
        <w:rPr>
          <w:b/>
          <w:bCs/>
        </w:rPr>
        <w:t>e) Acumulación de los asuntos.</w:t>
      </w:r>
      <w:r>
        <w:t xml:space="preserve"> El diecisiete de marzo de dos mil veintiséis, mediante acuerdo con el propósito de privilegiar la resolución expedita y evitar resoluciones contradictorias, con fundamento en el artículo 18 del Código de Procedimientos Administrativos del Estado de México, de aplicación supletoria a la Ley de Transparencia y </w:t>
      </w:r>
      <w:r>
        <w:lastRenderedPageBreak/>
        <w:t xml:space="preserve">Acceso a la Información Pública del Estado de México y Municipios, según lo previsto en su artículo 195, </w:t>
      </w:r>
      <w:r>
        <w:rPr>
          <w:b/>
          <w:bCs/>
        </w:rPr>
        <w:t>acordó</w:t>
      </w:r>
      <w:r>
        <w:t xml:space="preserve"> la acumulación de los Recursos de Revisión</w:t>
      </w:r>
      <w:r>
        <w:rPr>
          <w:b/>
          <w:bCs/>
          <w:color w:val="0D0D0D"/>
        </w:rPr>
        <w:t xml:space="preserve"> 02706/INFOEM/IP/RR/2026, 02711/INFOEM/IP/RR/2026, 02716/INFOEM/IP/RR/2026, 02721/INFOEM/IP/RR/2026, 02726/INFOEM/IP/RR/2026, 02731/INFOEM/IP/RR/2026, 02736/INFOEM/IP/RR/2026, 02741/INFOEM/IP/RR/2026, 02746/INFOEM/IP/RR/2026 y 02756/INFOEM/IP/RR/2026,</w:t>
      </w:r>
      <w:r>
        <w:rPr>
          <w:b/>
          <w:bCs/>
        </w:rPr>
        <w:t xml:space="preserve"> </w:t>
      </w:r>
      <w:r>
        <w:t>al diverso</w:t>
      </w:r>
      <w:r>
        <w:rPr>
          <w:b/>
          <w:bCs/>
        </w:rPr>
        <w:t xml:space="preserve"> 02701/INFOEM/IP/RR/2026</w:t>
      </w:r>
      <w:r>
        <w:rPr>
          <w:b/>
          <w:bCs/>
          <w:color w:val="0D0D0D"/>
        </w:rPr>
        <w:t xml:space="preserve">, </w:t>
      </w:r>
      <w:r>
        <w:t>por ser este último el más antiguo, sustanciado bajo el índice de esta Ponencia, al advertir conexidad entre estos, ya que fueron promovidos por la misma persona, en los que se señaló como Sujeto Obligado recurrido Ayuntamiento de Tepotzotlán y en los cuales, además, se manifestaron idénticos actos recurridos.</w:t>
      </w:r>
    </w:p>
    <w:p w:rsidR="00CA4C9D" w:rsidRDefault="00CA4C9D">
      <w:pPr>
        <w:spacing w:after="0" w:line="360" w:lineRule="auto"/>
      </w:pPr>
    </w:p>
    <w:p w:rsidR="00CA4C9D" w:rsidRDefault="00C76CFD">
      <w:pPr>
        <w:spacing w:after="0" w:line="360" w:lineRule="auto"/>
      </w:pPr>
      <w:r>
        <w:rPr>
          <w:b/>
          <w:bCs/>
        </w:rPr>
        <w:t>f) Cierre de instrucción.</w:t>
      </w:r>
      <w:r>
        <w:t xml:space="preserve"> El diecisiete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CA4C9D" w:rsidRDefault="00CA4C9D">
      <w:pPr>
        <w:spacing w:after="0" w:line="360" w:lineRule="auto"/>
        <w:rPr>
          <w:b/>
          <w:bCs/>
        </w:rPr>
      </w:pPr>
    </w:p>
    <w:p w:rsidR="00CA4C9D" w:rsidRDefault="00C76CFD">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rsidR="00CA4C9D" w:rsidRDefault="00CA4C9D">
      <w:pPr>
        <w:spacing w:after="0" w:line="360" w:lineRule="auto"/>
      </w:pPr>
    </w:p>
    <w:p w:rsidR="00CA4C9D" w:rsidRDefault="00C76CFD">
      <w:pPr>
        <w:pStyle w:val="Ttulo1"/>
        <w:spacing w:before="0" w:after="0" w:line="360" w:lineRule="auto"/>
        <w:jc w:val="center"/>
        <w:rPr>
          <w:sz w:val="22"/>
          <w:szCs w:val="22"/>
        </w:rPr>
      </w:pPr>
      <w:bookmarkStart w:id="7" w:name="_Toc225434083"/>
      <w:r>
        <w:rPr>
          <w:sz w:val="22"/>
          <w:szCs w:val="22"/>
        </w:rPr>
        <w:t>C O N S I D E R A N D O S</w:t>
      </w:r>
      <w:bookmarkEnd w:id="7"/>
    </w:p>
    <w:p w:rsidR="00CA4C9D" w:rsidRDefault="00CA4C9D">
      <w:pPr>
        <w:spacing w:after="0" w:line="360" w:lineRule="auto"/>
        <w:rPr>
          <w:b/>
          <w:bCs/>
        </w:rPr>
      </w:pPr>
    </w:p>
    <w:p w:rsidR="00CA4C9D" w:rsidRDefault="00C76CFD">
      <w:pPr>
        <w:pStyle w:val="Ttulo2"/>
        <w:spacing w:before="0" w:after="0" w:line="360" w:lineRule="auto"/>
        <w:rPr>
          <w:sz w:val="22"/>
          <w:szCs w:val="22"/>
        </w:rPr>
      </w:pPr>
      <w:bookmarkStart w:id="8" w:name="_Toc225434084"/>
      <w:r>
        <w:rPr>
          <w:sz w:val="22"/>
          <w:szCs w:val="22"/>
        </w:rPr>
        <w:t>PRIMERO. Competencia</w:t>
      </w:r>
      <w:bookmarkEnd w:id="8"/>
    </w:p>
    <w:p w:rsidR="00CA4C9D" w:rsidRDefault="00CA4C9D">
      <w:pPr>
        <w:spacing w:after="0" w:line="360" w:lineRule="auto"/>
        <w:rPr>
          <w:b/>
          <w:bCs/>
        </w:rPr>
      </w:pPr>
    </w:p>
    <w:p w:rsidR="00CA4C9D" w:rsidRDefault="00C76CFD">
      <w:pPr>
        <w:spacing w:after="0" w:line="360" w:lineRule="auto"/>
      </w:pPr>
      <w:bookmarkStart w:id="9" w:name="_heading=h.30j0zll" w:colFirst="0" w:colLast="0"/>
      <w:bookmarkEnd w:id="9"/>
      <w: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CA4C9D" w:rsidRDefault="00CA4C9D">
      <w:pPr>
        <w:spacing w:after="0" w:line="360" w:lineRule="auto"/>
      </w:pPr>
    </w:p>
    <w:p w:rsidR="00CA4C9D" w:rsidRDefault="00C76CFD">
      <w:pPr>
        <w:pStyle w:val="Ttulo2"/>
        <w:spacing w:before="0" w:after="0" w:line="360" w:lineRule="auto"/>
        <w:rPr>
          <w:sz w:val="22"/>
          <w:szCs w:val="22"/>
        </w:rPr>
      </w:pPr>
      <w:bookmarkStart w:id="10" w:name="_Toc225434085"/>
      <w:r>
        <w:rPr>
          <w:sz w:val="22"/>
          <w:szCs w:val="22"/>
        </w:rPr>
        <w:t>SEGUNDO. Causales de improcedencia y sobreseimiento</w:t>
      </w:r>
      <w:bookmarkEnd w:id="10"/>
    </w:p>
    <w:p w:rsidR="00CA4C9D" w:rsidRDefault="00CA4C9D">
      <w:pPr>
        <w:spacing w:after="0" w:line="360" w:lineRule="auto"/>
      </w:pPr>
    </w:p>
    <w:p w:rsidR="00CA4C9D" w:rsidRDefault="00C76CFD">
      <w:pPr>
        <w:spacing w:after="0" w:line="360" w:lineRule="auto"/>
      </w:pPr>
      <w:r>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rsidR="00CA4C9D" w:rsidRDefault="00CA4C9D">
      <w:pPr>
        <w:spacing w:after="0" w:line="360" w:lineRule="auto"/>
      </w:pPr>
    </w:p>
    <w:p w:rsidR="00CA4C9D" w:rsidRDefault="00C76CFD">
      <w:pPr>
        <w:spacing w:after="0" w:line="360" w:lineRule="auto"/>
        <w:rPr>
          <w:b/>
          <w:bCs/>
        </w:rPr>
      </w:pPr>
      <w:r>
        <w:rPr>
          <w:b/>
          <w:bCs/>
        </w:rPr>
        <w:t>Causales de improcedencia</w:t>
      </w:r>
    </w:p>
    <w:p w:rsidR="00CA4C9D" w:rsidRDefault="00CA4C9D">
      <w:pPr>
        <w:spacing w:after="0" w:line="360" w:lineRule="auto"/>
      </w:pPr>
    </w:p>
    <w:p w:rsidR="00CA4C9D" w:rsidRDefault="00C76CFD">
      <w:pPr>
        <w:spacing w:after="0" w:line="360" w:lineRule="auto"/>
      </w:pPr>
      <w: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lastRenderedPageBreak/>
        <w:t>actualice alguno de los supuestos establecidos en el artículo 191 de la Ley de Transparencia y Acceso a la Información Pública del Estado de México y Municipios, por ser improcedente.</w:t>
      </w:r>
    </w:p>
    <w:p w:rsidR="00CA4C9D" w:rsidRDefault="00CA4C9D">
      <w:pPr>
        <w:spacing w:after="0" w:line="360" w:lineRule="auto"/>
      </w:pPr>
    </w:p>
    <w:p w:rsidR="00CA4C9D" w:rsidRDefault="00C76CFD">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CA4C9D" w:rsidRDefault="00CA4C9D">
      <w:pPr>
        <w:spacing w:after="0" w:line="360" w:lineRule="auto"/>
      </w:pPr>
    </w:p>
    <w:p w:rsidR="00CA4C9D" w:rsidRDefault="00C76CFD">
      <w:pPr>
        <w:spacing w:after="0" w:line="360" w:lineRule="auto"/>
      </w:pPr>
      <w:r>
        <w:t xml:space="preserve">Además, de que el Medios de Impugnación fue presentado en tiempo, toda vez que ante la ausencia de la respuesta del Ente Recurrido, se constituyó la </w:t>
      </w:r>
      <w:r>
        <w:rPr>
          <w:b/>
          <w:bCs/>
        </w:rPr>
        <w:t>negativa ficta</w:t>
      </w:r>
      <w:r>
        <w:t xml:space="preserve">, que genera la posibilidad de los particulares de interponer un recurso de revisión ante tal omisión, </w:t>
      </w:r>
      <w:r>
        <w:rPr>
          <w:u w:val="single"/>
        </w:rPr>
        <w:t>en cualquier momento</w:t>
      </w:r>
      <w: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00CA4C9D" w:rsidRDefault="00CA4C9D">
      <w:pPr>
        <w:spacing w:after="0" w:line="360" w:lineRule="auto"/>
      </w:pPr>
    </w:p>
    <w:p w:rsidR="00CA4C9D" w:rsidRDefault="00C76CFD">
      <w:pPr>
        <w:spacing w:after="0" w:line="360" w:lineRule="auto"/>
      </w:pPr>
      <w:r>
        <w:t>Conforme a lo anterior, se actualiza la causal de procedencia señalada en el artículo 179, fracción VII, de la Ley de la materia, toda vez que el Solicitante se inconformó por la falta de respuestas a sus solicitudes de acceso a información pública.</w:t>
      </w:r>
    </w:p>
    <w:p w:rsidR="00CA4C9D" w:rsidRDefault="00CA4C9D">
      <w:pPr>
        <w:spacing w:after="0" w:line="360" w:lineRule="auto"/>
      </w:pPr>
    </w:p>
    <w:p w:rsidR="00CA4C9D" w:rsidRDefault="00C76CFD">
      <w:pPr>
        <w:spacing w:after="0" w:line="360" w:lineRule="auto"/>
      </w:pPr>
      <w:r>
        <w:rPr>
          <w:b/>
          <w:bCs/>
        </w:rPr>
        <w:t>Causales de sobreseimiento</w:t>
      </w:r>
    </w:p>
    <w:p w:rsidR="00CA4C9D" w:rsidRDefault="00CA4C9D">
      <w:pPr>
        <w:spacing w:after="0" w:line="360" w:lineRule="auto"/>
      </w:pPr>
    </w:p>
    <w:p w:rsidR="00CA4C9D" w:rsidRDefault="00C76CFD">
      <w:pPr>
        <w:spacing w:after="0" w:line="360" w:lineRule="auto"/>
      </w:pPr>
      <w:r>
        <w:t>Por ser de previo y especial pronunciamiento, este Instituto analiza si se actualiza alguna causal de sobreseimiento.</w:t>
      </w:r>
    </w:p>
    <w:p w:rsidR="00CA4C9D" w:rsidRDefault="00CA4C9D">
      <w:pPr>
        <w:spacing w:after="0" w:line="360" w:lineRule="auto"/>
      </w:pPr>
    </w:p>
    <w:p w:rsidR="00CA4C9D" w:rsidRDefault="00C76CFD">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CA4C9D" w:rsidRDefault="00CA4C9D">
      <w:pPr>
        <w:spacing w:after="0" w:line="360" w:lineRule="auto"/>
      </w:pPr>
    </w:p>
    <w:p w:rsidR="00CA4C9D" w:rsidRDefault="00C76CFD">
      <w:pPr>
        <w:spacing w:after="0" w:line="360" w:lineRule="auto"/>
      </w:pPr>
      <w:r>
        <w:t xml:space="preserve">Por tales motivos, se considera procedente entrar al fondo del presente asunto. </w:t>
      </w:r>
    </w:p>
    <w:p w:rsidR="00CA4C9D" w:rsidRDefault="00CA4C9D">
      <w:pPr>
        <w:spacing w:after="0" w:line="360" w:lineRule="auto"/>
        <w:rPr>
          <w:b/>
          <w:bCs/>
        </w:rPr>
      </w:pPr>
    </w:p>
    <w:p w:rsidR="00CA4C9D" w:rsidRDefault="00C76CFD">
      <w:pPr>
        <w:pStyle w:val="Ttulo2"/>
        <w:spacing w:before="0" w:after="0" w:line="360" w:lineRule="auto"/>
        <w:rPr>
          <w:sz w:val="22"/>
          <w:szCs w:val="22"/>
        </w:rPr>
      </w:pPr>
      <w:bookmarkStart w:id="11" w:name="_Toc225434086"/>
      <w:r>
        <w:rPr>
          <w:sz w:val="22"/>
          <w:szCs w:val="22"/>
        </w:rPr>
        <w:t>TERCERO. Determinación de la Controversia</w:t>
      </w:r>
      <w:bookmarkEnd w:id="11"/>
    </w:p>
    <w:p w:rsidR="00CA4C9D" w:rsidRDefault="00CA4C9D">
      <w:pPr>
        <w:spacing w:after="0" w:line="360" w:lineRule="auto"/>
        <w:rPr>
          <w:b/>
          <w:bCs/>
        </w:rPr>
      </w:pPr>
    </w:p>
    <w:p w:rsidR="00CA4C9D" w:rsidRDefault="00C76CFD">
      <w:pPr>
        <w:spacing w:after="0" w:line="360" w:lineRule="auto"/>
      </w:pPr>
      <w:r>
        <w:t>Con el objetivo de ilustrar la controversia planteada, resulta conveniente precisar, que una vez realizado el estudio de las constancias que integran el expediente en el que se actúa, se desprende que el Particular realizó diversos requerimientos al Sujeto Obligado.</w:t>
      </w:r>
    </w:p>
    <w:p w:rsidR="00CA4C9D" w:rsidRDefault="00CA4C9D">
      <w:pPr>
        <w:spacing w:after="0" w:line="360" w:lineRule="auto"/>
      </w:pPr>
    </w:p>
    <w:p w:rsidR="00CA4C9D" w:rsidRDefault="00C76CFD">
      <w:pPr>
        <w:pBdr>
          <w:top w:val="nil"/>
          <w:left w:val="nil"/>
          <w:bottom w:val="nil"/>
          <w:right w:val="nil"/>
          <w:between w:val="nil"/>
        </w:pBdr>
        <w:spacing w:after="0" w:line="360" w:lineRule="auto"/>
        <w:ind w:right="-28"/>
        <w:rPr>
          <w:color w:val="000000"/>
        </w:rPr>
      </w:pPr>
      <w:r>
        <w:rPr>
          <w:color w:val="000000"/>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color w:val="000000"/>
          <w:highlight w:val="white"/>
        </w:rPr>
        <w:t xml:space="preserve">. </w:t>
      </w:r>
      <w:r>
        <w:rPr>
          <w:color w:val="000000"/>
        </w:rPr>
        <w:t>Así las cosas, una vez admitido y notificado el Recurso de Revisión a las partes, estas fueron omisas en realizar manifestaciones o alegatos.</w:t>
      </w:r>
    </w:p>
    <w:p w:rsidR="00CA4C9D" w:rsidRDefault="00CA4C9D">
      <w:pPr>
        <w:pBdr>
          <w:top w:val="nil"/>
          <w:left w:val="nil"/>
          <w:bottom w:val="nil"/>
          <w:right w:val="nil"/>
          <w:between w:val="nil"/>
        </w:pBdr>
        <w:spacing w:after="0" w:line="360" w:lineRule="auto"/>
        <w:ind w:right="-28"/>
        <w:rPr>
          <w:color w:val="000000"/>
        </w:rPr>
      </w:pPr>
    </w:p>
    <w:p w:rsidR="00CA4C9D" w:rsidRDefault="00C76CFD">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y el </w:t>
      </w:r>
      <w:r>
        <w:lastRenderedPageBreak/>
        <w:t>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CA4C9D" w:rsidRDefault="00CA4C9D">
      <w:pPr>
        <w:tabs>
          <w:tab w:val="left" w:pos="4962"/>
        </w:tabs>
        <w:spacing w:line="360" w:lineRule="auto"/>
      </w:pPr>
    </w:p>
    <w:p w:rsidR="00CA4C9D" w:rsidRDefault="00C76CFD">
      <w:pPr>
        <w:pStyle w:val="Ttulo2"/>
        <w:spacing w:before="0" w:after="0" w:line="360" w:lineRule="auto"/>
        <w:rPr>
          <w:sz w:val="22"/>
          <w:szCs w:val="22"/>
        </w:rPr>
      </w:pPr>
      <w:bookmarkStart w:id="12" w:name="_Toc225434087"/>
      <w:r>
        <w:rPr>
          <w:sz w:val="22"/>
          <w:szCs w:val="22"/>
        </w:rPr>
        <w:t>CUARTO. Marco normativo aplicable en materia de transparencia y acceso a la información pública</w:t>
      </w:r>
      <w:bookmarkEnd w:id="12"/>
    </w:p>
    <w:p w:rsidR="00CA4C9D" w:rsidRDefault="00CA4C9D">
      <w:pPr>
        <w:spacing w:after="0" w:line="360" w:lineRule="auto"/>
      </w:pPr>
    </w:p>
    <w:p w:rsidR="00CA4C9D" w:rsidRDefault="00C76CFD">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CA4C9D" w:rsidRDefault="00CA4C9D">
      <w:pPr>
        <w:spacing w:after="0" w:line="360" w:lineRule="auto"/>
      </w:pPr>
    </w:p>
    <w:p w:rsidR="00CA4C9D" w:rsidRDefault="00C76CFD">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CA4C9D" w:rsidRDefault="00CA4C9D">
      <w:pPr>
        <w:spacing w:after="0" w:line="360" w:lineRule="auto"/>
      </w:pPr>
    </w:p>
    <w:p w:rsidR="00CA4C9D" w:rsidRDefault="00C76CFD">
      <w:pPr>
        <w:spacing w:after="0" w:line="360" w:lineRule="auto"/>
      </w:pPr>
      <w:r>
        <w:t>Por su parte, la Ley de Transparencia y Acceso a la Información Pública del Estado de México y Municipios (Reglamentaria del artículo 5° de la Constitución Local), establece lo siguiente:</w:t>
      </w:r>
    </w:p>
    <w:p w:rsidR="00CA4C9D" w:rsidRDefault="00CA4C9D">
      <w:pPr>
        <w:spacing w:after="0" w:line="360" w:lineRule="auto"/>
      </w:pPr>
    </w:p>
    <w:p w:rsidR="00CA4C9D" w:rsidRDefault="00C76CFD">
      <w:pPr>
        <w:spacing w:after="0" w:line="360" w:lineRule="auto"/>
      </w:pPr>
      <w:r>
        <w:t>El artículo 12, que, quienes generen, recopilen, administren, manejen, procesen, archiven o conserven información pública serán responsables de la misma.</w:t>
      </w:r>
    </w:p>
    <w:p w:rsidR="00CA4C9D" w:rsidRDefault="00CA4C9D">
      <w:pPr>
        <w:spacing w:after="0" w:line="360" w:lineRule="auto"/>
      </w:pPr>
    </w:p>
    <w:p w:rsidR="00CA4C9D" w:rsidRDefault="00C76CFD">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rsidR="00CA4C9D" w:rsidRDefault="00CA4C9D">
      <w:pPr>
        <w:widowControl w:val="0"/>
        <w:spacing w:after="0" w:line="360" w:lineRule="auto"/>
      </w:pPr>
    </w:p>
    <w:p w:rsidR="00CA4C9D" w:rsidRDefault="00C76CFD">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CA4C9D" w:rsidRDefault="00CA4C9D">
      <w:pPr>
        <w:spacing w:after="0" w:line="360" w:lineRule="auto"/>
      </w:pPr>
    </w:p>
    <w:p w:rsidR="00CA4C9D" w:rsidRDefault="00C76CFD">
      <w:pPr>
        <w:pStyle w:val="Ttulo2"/>
        <w:spacing w:before="0" w:after="0" w:line="360" w:lineRule="auto"/>
        <w:rPr>
          <w:sz w:val="22"/>
          <w:szCs w:val="22"/>
        </w:rPr>
      </w:pPr>
      <w:bookmarkStart w:id="13" w:name="_Toc225434088"/>
      <w:r>
        <w:rPr>
          <w:sz w:val="22"/>
          <w:szCs w:val="22"/>
        </w:rPr>
        <w:t>QUINTO. Estudio de Fondo</w:t>
      </w:r>
      <w:bookmarkEnd w:id="13"/>
    </w:p>
    <w:p w:rsidR="00CA4C9D" w:rsidRDefault="00CA4C9D">
      <w:pPr>
        <w:spacing w:after="0" w:line="360" w:lineRule="auto"/>
        <w:rPr>
          <w:b/>
          <w:bCs/>
        </w:rPr>
      </w:pPr>
    </w:p>
    <w:p w:rsidR="00CA4C9D" w:rsidRDefault="00C76CFD">
      <w:pPr>
        <w:spacing w:after="0" w:line="360" w:lineRule="auto"/>
      </w:pPr>
      <w:r>
        <w:t>Expuestas las posturas de las partes, se procede al análisis del agravio hecho valer por la persona Recurrente, concerniente a la falta de respuestas del Ayuntamiento de Tepotzotlán, a las solicitudes de información.</w:t>
      </w:r>
    </w:p>
    <w:p w:rsidR="00CA4C9D" w:rsidRDefault="00CA4C9D">
      <w:pPr>
        <w:spacing w:after="0" w:line="360" w:lineRule="auto"/>
      </w:pPr>
    </w:p>
    <w:p w:rsidR="00CA4C9D" w:rsidRDefault="00C76CFD">
      <w:pPr>
        <w:spacing w:after="0" w:line="360" w:lineRule="auto"/>
      </w:pPr>
      <w: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00CA4C9D" w:rsidRDefault="00CA4C9D">
      <w:pPr>
        <w:spacing w:after="0" w:line="360" w:lineRule="auto"/>
      </w:pPr>
    </w:p>
    <w:p w:rsidR="00CA4C9D" w:rsidRDefault="00C76CFD">
      <w:pPr>
        <w:numPr>
          <w:ilvl w:val="0"/>
          <w:numId w:val="1"/>
        </w:numPr>
        <w:spacing w:after="0" w:line="360" w:lineRule="auto"/>
      </w:pPr>
      <w:r>
        <w:t>Proveer lo necesario para garantizar a toda persona el derecho de acceso a la información pública, a través de procedimientos sencillos, expeditos, oportunos y gratuitos;</w:t>
      </w:r>
    </w:p>
    <w:p w:rsidR="00CA4C9D" w:rsidRDefault="00CA4C9D">
      <w:pPr>
        <w:spacing w:after="0" w:line="360" w:lineRule="auto"/>
        <w:ind w:left="720"/>
      </w:pPr>
    </w:p>
    <w:p w:rsidR="00CA4C9D" w:rsidRDefault="00C76CFD">
      <w:pPr>
        <w:numPr>
          <w:ilvl w:val="0"/>
          <w:numId w:val="1"/>
        </w:numPr>
        <w:spacing w:after="0" w:line="360" w:lineRule="auto"/>
      </w:pPr>
      <w:r>
        <w:t>Transparentar la gestión pública, mediante la difusión de la información generada por los Sujetos Obligados, y</w:t>
      </w:r>
    </w:p>
    <w:p w:rsidR="00CA4C9D" w:rsidRDefault="00CA4C9D">
      <w:pPr>
        <w:pBdr>
          <w:top w:val="nil"/>
          <w:left w:val="nil"/>
          <w:bottom w:val="nil"/>
          <w:right w:val="nil"/>
          <w:between w:val="nil"/>
        </w:pBdr>
        <w:spacing w:after="0" w:line="360" w:lineRule="auto"/>
        <w:ind w:left="720"/>
        <w:rPr>
          <w:color w:val="000000"/>
        </w:rPr>
      </w:pPr>
    </w:p>
    <w:p w:rsidR="00CA4C9D" w:rsidRDefault="00C76CFD">
      <w:pPr>
        <w:numPr>
          <w:ilvl w:val="0"/>
          <w:numId w:val="1"/>
        </w:numPr>
        <w:spacing w:after="0" w:line="360" w:lineRule="auto"/>
      </w:pPr>
      <w:r>
        <w:lastRenderedPageBreak/>
        <w:t>Promover, fomentar y difundir la cultura de la transparencia en el ejercicio de la función pública, el acceso a la información y la participación ciudadana, así como, la rendición de cuentas.</w:t>
      </w:r>
    </w:p>
    <w:p w:rsidR="00CA4C9D" w:rsidRDefault="00CA4C9D">
      <w:pPr>
        <w:spacing w:after="0" w:line="360" w:lineRule="auto"/>
      </w:pPr>
    </w:p>
    <w:p w:rsidR="00CA4C9D" w:rsidRDefault="00C76CFD">
      <w:pPr>
        <w:spacing w:after="0" w:line="360" w:lineRule="auto"/>
      </w:pPr>
      <w: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CA4C9D" w:rsidRDefault="00CA4C9D">
      <w:pPr>
        <w:spacing w:after="0" w:line="360" w:lineRule="auto"/>
      </w:pPr>
    </w:p>
    <w:p w:rsidR="00CA4C9D" w:rsidRDefault="00C76CFD">
      <w:pPr>
        <w:spacing w:after="0" w:line="360" w:lineRule="auto"/>
      </w:pPr>
      <w: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CA4C9D" w:rsidRDefault="00CA4C9D">
      <w:pPr>
        <w:spacing w:after="0" w:line="360" w:lineRule="auto"/>
      </w:pPr>
    </w:p>
    <w:p w:rsidR="00CA4C9D" w:rsidRDefault="00C76CFD">
      <w:pPr>
        <w:spacing w:after="0" w:line="360" w:lineRule="auto"/>
      </w:pPr>
      <w: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CA4C9D" w:rsidRDefault="00CA4C9D">
      <w:pPr>
        <w:spacing w:after="0" w:line="360" w:lineRule="auto"/>
      </w:pPr>
    </w:p>
    <w:p w:rsidR="00CA4C9D" w:rsidRDefault="00C76CFD">
      <w:pPr>
        <w:numPr>
          <w:ilvl w:val="0"/>
          <w:numId w:val="2"/>
        </w:numPr>
        <w:spacing w:after="0" w:line="360" w:lineRule="auto"/>
      </w:pPr>
      <w:r>
        <w:t xml:space="preserve">Las Unidades de Transparencia de los Sujetos Obligados deben garantizar las medidas y condiciones de accesibilidad para que toda persona puede ejercer el derecho de acceso a la información; por lo que, son las responsables de hacer las </w:t>
      </w:r>
      <w:r>
        <w:lastRenderedPageBreak/>
        <w:t>notificaciones correspondientes, además de llevar a cabo de todas las gestiones necesarias para facilitar el acceso de la información;</w:t>
      </w:r>
    </w:p>
    <w:p w:rsidR="00CA4C9D" w:rsidRDefault="00CA4C9D">
      <w:pPr>
        <w:spacing w:after="0" w:line="360" w:lineRule="auto"/>
        <w:ind w:left="720"/>
      </w:pPr>
    </w:p>
    <w:p w:rsidR="00CA4C9D" w:rsidRDefault="00C76CFD">
      <w:pPr>
        <w:numPr>
          <w:ilvl w:val="0"/>
          <w:numId w:val="2"/>
        </w:numPr>
        <w:spacing w:after="0" w:line="360" w:lineRule="auto"/>
      </w:pPr>
      <w: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CA4C9D" w:rsidRDefault="00CA4C9D">
      <w:pPr>
        <w:pBdr>
          <w:top w:val="nil"/>
          <w:left w:val="nil"/>
          <w:bottom w:val="nil"/>
          <w:right w:val="nil"/>
          <w:between w:val="nil"/>
        </w:pBdr>
        <w:spacing w:after="0" w:line="360" w:lineRule="auto"/>
        <w:ind w:left="720"/>
        <w:rPr>
          <w:color w:val="000000"/>
        </w:rPr>
      </w:pPr>
    </w:p>
    <w:p w:rsidR="00CA4C9D" w:rsidRDefault="00C76CFD">
      <w:pPr>
        <w:numPr>
          <w:ilvl w:val="0"/>
          <w:numId w:val="2"/>
        </w:numPr>
        <w:spacing w:after="0" w:line="360" w:lineRule="auto"/>
      </w:pPr>
      <w: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rsidR="00CA4C9D" w:rsidRDefault="00CA4C9D">
      <w:pPr>
        <w:pBdr>
          <w:top w:val="nil"/>
          <w:left w:val="nil"/>
          <w:bottom w:val="nil"/>
          <w:right w:val="nil"/>
          <w:between w:val="nil"/>
        </w:pBdr>
        <w:spacing w:after="0" w:line="360" w:lineRule="auto"/>
        <w:ind w:left="720"/>
        <w:rPr>
          <w:color w:val="000000"/>
        </w:rPr>
      </w:pPr>
    </w:p>
    <w:p w:rsidR="00CA4C9D" w:rsidRDefault="00C76CFD">
      <w:pPr>
        <w:numPr>
          <w:ilvl w:val="0"/>
          <w:numId w:val="2"/>
        </w:numPr>
        <w:spacing w:after="0" w:line="360" w:lineRule="auto"/>
      </w:pPr>
      <w: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00CA4C9D" w:rsidRDefault="00CA4C9D">
      <w:pPr>
        <w:spacing w:after="0" w:line="360" w:lineRule="auto"/>
      </w:pPr>
    </w:p>
    <w:p w:rsidR="00CA4C9D" w:rsidRDefault="00C76CFD">
      <w:pPr>
        <w:numPr>
          <w:ilvl w:val="0"/>
          <w:numId w:val="2"/>
        </w:numPr>
        <w:spacing w:after="0" w:line="360" w:lineRule="auto"/>
      </w:pPr>
      <w:r>
        <w:t xml:space="preserve">El acceso se dará en la modalidad de entrega y en su caso, de envío elegido por el solicitante, cuando no pueda entregarse en dicha modalidad, el Sujeto Obligado </w:t>
      </w:r>
      <w:r>
        <w:lastRenderedPageBreak/>
        <w:t>deberá ofrecer otras; por lo cual, deberá fundamentar y motivar la necesidad de modificar el medio de entrega, y</w:t>
      </w:r>
    </w:p>
    <w:p w:rsidR="00CA4C9D" w:rsidRDefault="00CA4C9D">
      <w:pPr>
        <w:pBdr>
          <w:top w:val="nil"/>
          <w:left w:val="nil"/>
          <w:bottom w:val="nil"/>
          <w:right w:val="nil"/>
          <w:between w:val="nil"/>
        </w:pBdr>
        <w:spacing w:after="0" w:line="360" w:lineRule="auto"/>
        <w:ind w:left="720"/>
        <w:rPr>
          <w:color w:val="000000"/>
        </w:rPr>
      </w:pPr>
    </w:p>
    <w:p w:rsidR="00CA4C9D" w:rsidRDefault="00C76CFD">
      <w:pPr>
        <w:numPr>
          <w:ilvl w:val="0"/>
          <w:numId w:val="2"/>
        </w:numPr>
        <w:spacing w:after="0" w:line="360" w:lineRule="auto"/>
      </w:pPr>
      <w: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CA4C9D" w:rsidRDefault="00CA4C9D">
      <w:pPr>
        <w:spacing w:after="0" w:line="360" w:lineRule="auto"/>
      </w:pPr>
    </w:p>
    <w:p w:rsidR="00CA4C9D" w:rsidRDefault="00C76CFD">
      <w:pPr>
        <w:spacing w:after="0" w:line="360" w:lineRule="auto"/>
      </w:pPr>
      <w:r>
        <w:t>Una vez establecido lo anterior, es de indicar que el agravio del Particular consistió en que, a la fecha de interposición del Recurso de Revisión, el Ayuntamiento de Tepotzotlán, no había registrado respuesta a los requerimientos de acceso a la información, los cuales se presentaron, el veintidós, veintitrés y veintiséis de enero, así como tres de febrero, todos de dos mil veintiséis.</w:t>
      </w:r>
    </w:p>
    <w:p w:rsidR="00CA4C9D" w:rsidRDefault="00CA4C9D">
      <w:pPr>
        <w:spacing w:after="0" w:line="360" w:lineRule="auto"/>
      </w:pPr>
    </w:p>
    <w:p w:rsidR="00CA4C9D" w:rsidRDefault="00C76CFD">
      <w:pPr>
        <w:spacing w:after="0" w:line="360" w:lineRule="auto"/>
      </w:pPr>
      <w:bookmarkStart w:id="14" w:name="_heading=h.4fgpokj420xf" w:colFirst="0" w:colLast="0"/>
      <w:bookmarkEnd w:id="14"/>
      <w:r>
        <w:t xml:space="preserve">En ese orden de ideas, el plazo con el que contaba el Sujeto Obligado para emitir contestación a los requerimientos informativos comenzó a correr el catorce de veintiuno, veintitrés y veintisiete de enero, así como cuatro de febrero de dos mil veintiséis y fenecieron los días once, trece, diecisiete, veinticuatro de febrero de dos mil veintiséis; lo anterior, sin contar los días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veintiséis. </w:t>
      </w:r>
    </w:p>
    <w:p w:rsidR="00CA4C9D" w:rsidRDefault="00CA4C9D">
      <w:pPr>
        <w:spacing w:after="0" w:line="360" w:lineRule="auto"/>
      </w:pPr>
    </w:p>
    <w:p w:rsidR="00CA4C9D" w:rsidRDefault="00C76CFD">
      <w:pPr>
        <w:spacing w:after="0" w:line="360" w:lineRule="auto"/>
      </w:pPr>
      <w:r>
        <w:lastRenderedPageBreak/>
        <w:t>Así, este Instituto verificó que, en efecto, no se registró respuesta a las solicitudes de información de la persona Recurrente, en el Sistema de Acceso a la Información Mexiquense (SAIMEX), se coloca la siguiente imagen a manera de ejemplo correspondiente al Recurso de Revisión 02701/INFOEM/IP/RR/2026:</w:t>
      </w:r>
    </w:p>
    <w:p w:rsidR="00CA4C9D" w:rsidRDefault="00CA4C9D">
      <w:pPr>
        <w:spacing w:after="0" w:line="360" w:lineRule="auto"/>
      </w:pPr>
    </w:p>
    <w:p w:rsidR="00CA4C9D" w:rsidRDefault="00C76CFD">
      <w:pPr>
        <w:spacing w:after="0" w:line="360" w:lineRule="auto"/>
        <w:jc w:val="center"/>
      </w:pPr>
      <w:r>
        <w:rPr>
          <w:noProof/>
        </w:rPr>
        <w:drawing>
          <wp:inline distT="0" distB="0" distL="0" distR="0">
            <wp:extent cx="3353091" cy="1455546"/>
            <wp:effectExtent l="0" t="0" r="0" b="0"/>
            <wp:docPr id="428993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353091" cy="1455546"/>
                    </a:xfrm>
                    <a:prstGeom prst="rect">
                      <a:avLst/>
                    </a:prstGeom>
                    <a:ln/>
                  </pic:spPr>
                </pic:pic>
              </a:graphicData>
            </a:graphic>
          </wp:inline>
        </w:drawing>
      </w:r>
    </w:p>
    <w:p w:rsidR="00CA4C9D" w:rsidRDefault="00CA4C9D">
      <w:pPr>
        <w:spacing w:after="0" w:line="360" w:lineRule="auto"/>
      </w:pPr>
    </w:p>
    <w:p w:rsidR="00CA4C9D" w:rsidRDefault="00C76CFD">
      <w:pPr>
        <w:spacing w:after="0" w:line="360" w:lineRule="auto"/>
      </w:pPr>
      <w:r>
        <w:t xml:space="preserve">Conforme a lo anterior, se colige que, tal como lo precisó la persona Recurrente, el Ayuntamiento de Tepotzotlán, no emitió respuestas para dar atención a las solicitudes de acceso a la información pública, dentro de los plazos establecidos en el artículo 163, de la Ley de Transparencia y Acceso a la Información Pública del Estado de México y Municipios, pues tenía hasta los días once, trece, diecisiete y veinticuatro de febrero de dos mil veintiséis, para realizar dicha situación, por lo que es evidente que el agravio es </w:t>
      </w:r>
      <w:r>
        <w:rPr>
          <w:b/>
          <w:bCs/>
        </w:rPr>
        <w:t>FUNDADO</w:t>
      </w:r>
      <w:r>
        <w:t xml:space="preserve">. </w:t>
      </w:r>
    </w:p>
    <w:p w:rsidR="00CA4C9D" w:rsidRDefault="00CA4C9D">
      <w:pPr>
        <w:spacing w:after="0" w:line="360" w:lineRule="auto"/>
      </w:pPr>
    </w:p>
    <w:p w:rsidR="00CA4C9D" w:rsidRDefault="00C76CFD">
      <w:pPr>
        <w:spacing w:after="0" w:line="360" w:lineRule="auto"/>
        <w:rPr>
          <w:b/>
          <w:bCs/>
        </w:rPr>
      </w:pPr>
      <w:r>
        <w:t xml:space="preserve">Con base en lo expuesto, es procedente </w:t>
      </w:r>
      <w:r>
        <w:rPr>
          <w:b/>
          <w:bCs/>
        </w:rPr>
        <w:t>ORDENAR</w:t>
      </w:r>
      <w:r>
        <w:t xml:space="preserve"> al Sujeto Obligado, que emita las respuestas que a derecho corresponda, además cabe señalar que de conformidad con los artículos 5° de la Constitución Política del Estado Libre y Soberano de México, 4° de la Ley General de Transparencia y Acceso a la Información Pública y 4° de la Ley de Transparencia y Acceso a la Información Pública del Estado de México y Municipios, </w:t>
      </w:r>
      <w:r>
        <w:rPr>
          <w:b/>
          <w:bCs/>
        </w:rPr>
        <w:t>toda la información generada, obtenida, adquirida, transformada o en posesión de los sujetos obligados es pública y accesible a cualquier persona.</w:t>
      </w:r>
    </w:p>
    <w:p w:rsidR="00CA4C9D" w:rsidRDefault="00CA4C9D">
      <w:pPr>
        <w:spacing w:after="0" w:line="360" w:lineRule="auto"/>
      </w:pPr>
    </w:p>
    <w:p w:rsidR="00CA4C9D" w:rsidRDefault="00C76CFD">
      <w:pPr>
        <w:spacing w:after="0" w:line="360" w:lineRule="auto"/>
      </w:pPr>
      <w:r>
        <w:lastRenderedPageBreak/>
        <w:t>Ahora bien, el artículo 18 de la Ley de Transparencia y Acceso a la Información Pública del Estado de México y Municipios, contempla que los sujetos obligados deberán documentar todo acto que derive del ejercicio de sus facultades, competencias o funciones.</w:t>
      </w:r>
    </w:p>
    <w:p w:rsidR="00CA4C9D" w:rsidRDefault="00CA4C9D">
      <w:pPr>
        <w:spacing w:after="0" w:line="360" w:lineRule="auto"/>
      </w:pPr>
    </w:p>
    <w:p w:rsidR="00CA4C9D" w:rsidRDefault="00C76CFD">
      <w:pPr>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rsidR="00CA4C9D" w:rsidRDefault="00CA4C9D">
      <w:pPr>
        <w:spacing w:after="0" w:line="360" w:lineRule="auto"/>
      </w:pPr>
    </w:p>
    <w:p w:rsidR="00CA4C9D" w:rsidRDefault="00C76CFD">
      <w:pPr>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rsidR="00CA4C9D" w:rsidRDefault="00CA4C9D">
      <w:pPr>
        <w:spacing w:after="0" w:line="360" w:lineRule="auto"/>
      </w:pPr>
    </w:p>
    <w:p w:rsidR="00CA4C9D" w:rsidRDefault="00C76CFD">
      <w:pPr>
        <w:spacing w:after="0" w:line="360" w:lineRule="auto"/>
      </w:pPr>
      <w: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CA4C9D" w:rsidRDefault="00CA4C9D">
      <w:pPr>
        <w:spacing w:after="0" w:line="360" w:lineRule="auto"/>
      </w:pPr>
    </w:p>
    <w:p w:rsidR="00CA4C9D" w:rsidRDefault="00C76CFD">
      <w:pPr>
        <w:spacing w:line="360" w:lineRule="auto"/>
      </w:pPr>
      <w:bookmarkStart w:id="15" w:name="_heading=h.fzzsivtm0wyr" w:colFirst="0" w:colLast="0"/>
      <w:bookmarkEnd w:id="15"/>
      <w: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CA4C9D" w:rsidRDefault="00C76CFD">
      <w:pPr>
        <w:pStyle w:val="Ttulo2"/>
        <w:spacing w:line="360" w:lineRule="auto"/>
        <w:rPr>
          <w:sz w:val="22"/>
          <w:szCs w:val="22"/>
        </w:rPr>
      </w:pPr>
      <w:bookmarkStart w:id="16" w:name="_Toc225434089"/>
      <w:r>
        <w:rPr>
          <w:sz w:val="22"/>
          <w:szCs w:val="22"/>
        </w:rPr>
        <w:t>SEXTO. Decisión</w:t>
      </w:r>
      <w:bookmarkEnd w:id="16"/>
    </w:p>
    <w:p w:rsidR="00CA4C9D" w:rsidRDefault="00CA4C9D">
      <w:pPr>
        <w:spacing w:after="0" w:line="360" w:lineRule="auto"/>
      </w:pPr>
    </w:p>
    <w:p w:rsidR="00CA4C9D" w:rsidRDefault="00C76CFD">
      <w:pPr>
        <w:spacing w:after="0" w:line="360" w:lineRule="auto"/>
      </w:pPr>
      <w:r>
        <w:t xml:space="preserve">Con fundamento en el artículo 186, fracción IV, de la Ley de Transparencia y Acceso a la Información Pública del Estado de México y Municipios, este Instituto considera procedente </w:t>
      </w:r>
      <w:r>
        <w:rPr>
          <w:b/>
          <w:bCs/>
        </w:rPr>
        <w:t>ORDENAR</w:t>
      </w:r>
      <w:r>
        <w:t xml:space="preserve"> al Sujeto Obligado, a que dé trámite y respuesta a las solicitudes de información pública con número 00293/TEPOTZOT/IP/2026, 00327/TEPOTZOT/IP/2026, 00360/TEPOTZOT/IP/2026, 00418/TEPOTZOT/IP/2026, 00420/TEPOTZOT/IP/2026, 00426/TEPOTZOT/IP/2026, 00429/TEPOTZOT/IP/2026, 00431/TEPOTZOT/IP/2026, 00513/TEPOTZOT/IP/2026, 00517/TEPOTZOT/IP/2026 y 00550/TEPOTZOT/IP/2026.</w:t>
      </w:r>
    </w:p>
    <w:p w:rsidR="00CA4C9D" w:rsidRDefault="00CA4C9D">
      <w:pPr>
        <w:spacing w:after="0" w:line="360" w:lineRule="auto"/>
      </w:pPr>
    </w:p>
    <w:p w:rsidR="00CA4C9D" w:rsidRPr="00FE2090" w:rsidRDefault="00C76CFD" w:rsidP="00FE2090">
      <w:pPr>
        <w:pStyle w:val="Ttulo2"/>
        <w:spacing w:line="360" w:lineRule="auto"/>
        <w:rPr>
          <w:sz w:val="22"/>
          <w:szCs w:val="22"/>
        </w:rPr>
      </w:pPr>
      <w:bookmarkStart w:id="17" w:name="_Toc225434090"/>
      <w:r w:rsidRPr="00FE2090">
        <w:rPr>
          <w:sz w:val="22"/>
          <w:szCs w:val="22"/>
        </w:rPr>
        <w:t>SÉPTIMO. Vista a la Secretaría Técnica del Pleno</w:t>
      </w:r>
      <w:bookmarkEnd w:id="17"/>
    </w:p>
    <w:p w:rsidR="00CA4C9D" w:rsidRDefault="00CA4C9D">
      <w:pPr>
        <w:spacing w:after="0" w:line="360" w:lineRule="auto"/>
        <w:rPr>
          <w:color w:val="000000"/>
        </w:rPr>
      </w:pPr>
    </w:p>
    <w:p w:rsidR="00CA4C9D" w:rsidRDefault="00C76CFD">
      <w:pPr>
        <w:spacing w:after="0" w:line="360" w:lineRule="auto"/>
        <w:ind w:right="-93"/>
        <w:rPr>
          <w:color w:val="000000"/>
        </w:rPr>
      </w:pPr>
      <w:r>
        <w:rPr>
          <w:color w:val="000000"/>
        </w:rPr>
        <w:t xml:space="preserve">En el caso en estudio, como ha quedado señalado que el Ayuntamiento de Tepotzotlán,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CA4C9D" w:rsidRDefault="00CA4C9D">
      <w:pPr>
        <w:spacing w:after="0" w:line="360" w:lineRule="auto"/>
        <w:ind w:right="-93"/>
        <w:rPr>
          <w:color w:val="000000"/>
        </w:rPr>
      </w:pPr>
    </w:p>
    <w:p w:rsidR="00CA4C9D" w:rsidRDefault="00C76CFD">
      <w:pPr>
        <w:spacing w:after="0" w:line="360" w:lineRule="auto"/>
        <w:ind w:right="-93"/>
        <w:rPr>
          <w:color w:val="000000"/>
        </w:rPr>
      </w:pPr>
      <w:r>
        <w:rPr>
          <w:color w:val="000000"/>
        </w:rPr>
        <w:lastRenderedPageBreak/>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CA4C9D" w:rsidRDefault="00CA4C9D">
      <w:pPr>
        <w:spacing w:after="0" w:line="360" w:lineRule="auto"/>
        <w:ind w:right="-93"/>
        <w:rPr>
          <w:color w:val="000000"/>
        </w:rPr>
      </w:pPr>
    </w:p>
    <w:p w:rsidR="00CA4C9D" w:rsidRDefault="00C76CFD">
      <w:pPr>
        <w:spacing w:after="0" w:line="360" w:lineRule="auto"/>
        <w:ind w:right="-93"/>
        <w:rPr>
          <w:color w:val="000000"/>
        </w:rPr>
      </w:pPr>
      <w:r>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CA4C9D" w:rsidRDefault="00CA4C9D">
      <w:pPr>
        <w:spacing w:after="0" w:line="360" w:lineRule="auto"/>
        <w:ind w:right="-93"/>
        <w:rPr>
          <w:color w:val="000000"/>
        </w:rPr>
      </w:pPr>
    </w:p>
    <w:p w:rsidR="00CA4C9D" w:rsidRDefault="00C76CFD">
      <w:pPr>
        <w:spacing w:after="0" w:line="360" w:lineRule="auto"/>
        <w:ind w:right="-93"/>
        <w:rPr>
          <w:color w:val="000000"/>
        </w:rPr>
      </w:pPr>
      <w:r>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CA4C9D" w:rsidRDefault="00CA4C9D">
      <w:pPr>
        <w:spacing w:after="0" w:line="360" w:lineRule="auto"/>
        <w:ind w:right="-93"/>
        <w:rPr>
          <w:color w:val="000000"/>
        </w:rPr>
      </w:pPr>
    </w:p>
    <w:p w:rsidR="00CA4C9D" w:rsidRDefault="00C76CFD">
      <w:pPr>
        <w:spacing w:after="0" w:line="360" w:lineRule="auto"/>
        <w:ind w:right="-93"/>
        <w:rPr>
          <w:color w:val="000000"/>
        </w:rPr>
      </w:pPr>
      <w:r>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CA4C9D" w:rsidRDefault="00CA4C9D">
      <w:pPr>
        <w:spacing w:after="0" w:line="360" w:lineRule="auto"/>
        <w:rPr>
          <w:color w:val="000000"/>
        </w:rPr>
      </w:pPr>
    </w:p>
    <w:p w:rsidR="00CA4C9D" w:rsidRDefault="00C76CFD">
      <w:pPr>
        <w:spacing w:after="0" w:line="360" w:lineRule="auto"/>
        <w:rPr>
          <w:b/>
          <w:bCs/>
          <w:color w:val="000000"/>
        </w:rPr>
      </w:pPr>
      <w:r>
        <w:rPr>
          <w:b/>
          <w:bCs/>
          <w:color w:val="000000"/>
        </w:rPr>
        <w:t>Términos de la Resolución para conocimiento del Particular</w:t>
      </w:r>
    </w:p>
    <w:p w:rsidR="00CA4C9D" w:rsidRDefault="00CA4C9D">
      <w:pPr>
        <w:spacing w:after="0" w:line="360" w:lineRule="auto"/>
        <w:rPr>
          <w:b/>
          <w:bCs/>
          <w:color w:val="000000"/>
        </w:rPr>
      </w:pPr>
    </w:p>
    <w:p w:rsidR="00CA4C9D" w:rsidRDefault="00C76CFD">
      <w:pPr>
        <w:spacing w:after="0" w:line="360" w:lineRule="auto"/>
        <w:rPr>
          <w:color w:val="000000"/>
        </w:rPr>
      </w:pPr>
      <w:r>
        <w:rPr>
          <w:color w:val="000000"/>
        </w:rPr>
        <w:t xml:space="preserve">Se le hace del conocimiento al Particular, que, en el presente caso, se le da la razón, pues el Sujeto Obligado no emitió contestación alguna, por lo que, deberá dar atención al </w:t>
      </w:r>
      <w:r>
        <w:rPr>
          <w:color w:val="000000"/>
        </w:rPr>
        <w:lastRenderedPageBreak/>
        <w:t xml:space="preserve">requerimiento de información, realizar una búsqueda exhaustiva y razonable en sus archivos, y en su caso, entregarle la documentación que corresponda. </w:t>
      </w:r>
    </w:p>
    <w:p w:rsidR="00CA4C9D" w:rsidRDefault="00CA4C9D">
      <w:pPr>
        <w:spacing w:after="0" w:line="360" w:lineRule="auto"/>
        <w:rPr>
          <w:color w:val="000000"/>
        </w:rPr>
      </w:pPr>
    </w:p>
    <w:p w:rsidR="00CA4C9D" w:rsidRDefault="00C76CFD">
      <w:pPr>
        <w:spacing w:after="0" w:line="360" w:lineRule="auto"/>
        <w:rPr>
          <w:color w:val="000000"/>
        </w:rPr>
      </w:pPr>
      <w:r>
        <w:rPr>
          <w:color w:val="000000"/>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CA4C9D" w:rsidRDefault="00CA4C9D">
      <w:pPr>
        <w:spacing w:after="0" w:line="360" w:lineRule="auto"/>
        <w:rPr>
          <w:color w:val="000000"/>
        </w:rPr>
      </w:pPr>
    </w:p>
    <w:p w:rsidR="00CA4C9D" w:rsidRDefault="00C76CFD">
      <w:pPr>
        <w:spacing w:after="0" w:line="360" w:lineRule="auto"/>
        <w:rPr>
          <w:color w:val="000000"/>
        </w:rPr>
      </w:pPr>
      <w:r>
        <w:rPr>
          <w:color w:val="000000"/>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CA4C9D" w:rsidRDefault="00CA4C9D">
      <w:pPr>
        <w:spacing w:after="0" w:line="360" w:lineRule="auto"/>
        <w:rPr>
          <w:color w:val="000000"/>
        </w:rPr>
      </w:pPr>
    </w:p>
    <w:p w:rsidR="00CA4C9D" w:rsidRDefault="00C76CFD">
      <w:pPr>
        <w:spacing w:after="0" w:line="360" w:lineRule="auto"/>
        <w:rPr>
          <w:color w:val="000000"/>
        </w:rPr>
      </w:pPr>
      <w:r>
        <w:rPr>
          <w:color w:val="000000"/>
        </w:rPr>
        <w:t>Por lo expuesto y fundado, este Pleno:</w:t>
      </w:r>
    </w:p>
    <w:p w:rsidR="00CA4C9D" w:rsidRDefault="00CA4C9D">
      <w:pPr>
        <w:spacing w:after="0" w:line="360" w:lineRule="auto"/>
        <w:rPr>
          <w:color w:val="000000"/>
        </w:rPr>
      </w:pPr>
    </w:p>
    <w:p w:rsidR="00CA4C9D" w:rsidRPr="00FE2090" w:rsidRDefault="00C76CFD" w:rsidP="00FE2090">
      <w:pPr>
        <w:pStyle w:val="Ttulo2"/>
        <w:spacing w:line="360" w:lineRule="auto"/>
        <w:jc w:val="center"/>
        <w:rPr>
          <w:sz w:val="22"/>
          <w:szCs w:val="22"/>
        </w:rPr>
      </w:pPr>
      <w:bookmarkStart w:id="18" w:name="_Toc225434091"/>
      <w:r w:rsidRPr="00FE2090">
        <w:rPr>
          <w:sz w:val="22"/>
          <w:szCs w:val="22"/>
        </w:rPr>
        <w:t>R E S U E L V E</w:t>
      </w:r>
      <w:bookmarkEnd w:id="18"/>
    </w:p>
    <w:p w:rsidR="00CA4C9D" w:rsidRDefault="00CA4C9D">
      <w:pPr>
        <w:spacing w:after="0" w:line="360" w:lineRule="auto"/>
        <w:rPr>
          <w:b/>
          <w:bCs/>
          <w:color w:val="000000"/>
        </w:rPr>
      </w:pPr>
    </w:p>
    <w:p w:rsidR="00CA4C9D" w:rsidRDefault="00C76CFD">
      <w:pPr>
        <w:spacing w:after="0" w:line="360" w:lineRule="auto"/>
        <w:rPr>
          <w:color w:val="000000"/>
        </w:rPr>
      </w:pPr>
      <w:r>
        <w:rPr>
          <w:b/>
          <w:bCs/>
          <w:color w:val="000000"/>
        </w:rPr>
        <w:t xml:space="preserve">PRIMERO. </w:t>
      </w:r>
      <w:r>
        <w:rPr>
          <w:color w:val="000000"/>
        </w:rPr>
        <w:t xml:space="preserve">Resultan </w:t>
      </w:r>
      <w:r>
        <w:rPr>
          <w:b/>
          <w:bCs/>
          <w:color w:val="000000"/>
        </w:rPr>
        <w:t>FUNDADAS</w:t>
      </w:r>
      <w:r>
        <w:rPr>
          <w:color w:val="000000"/>
        </w:rPr>
        <w:t xml:space="preserve"> las razones o motivos de inconformidad hechos valer por el Particular en los Recursos de Revisión </w:t>
      </w:r>
      <w:r>
        <w:rPr>
          <w:b/>
          <w:bCs/>
        </w:rPr>
        <w:t>02701/INFOEM/IP/RR/2026, 02706/INFOEM/IP/RR/2026, 02711/INFOEM/IP/RR/2026, 02716/INFOEM/IP/RR/2026, 02721/INFOEM/IP/RR/2026, 02726/INFOEM/IP/RR/2026, 02731/INFOEM/IP/RR/2026, 02736/INFOEM/IP/RR/2026, 02741/INFOEM/IP/RR/2026, 02746/INFOEM/IP/RR/2026 y 02756/INFOEM/IP/RR/2026</w:t>
      </w:r>
      <w:r>
        <w:rPr>
          <w:color w:val="000000"/>
        </w:rPr>
        <w:t>, en términos de los considerandos QUINTO y SEXTO de la presente Resolución.</w:t>
      </w:r>
    </w:p>
    <w:p w:rsidR="00CA4C9D" w:rsidRDefault="00CA4C9D">
      <w:pPr>
        <w:spacing w:after="0" w:line="360" w:lineRule="auto"/>
        <w:rPr>
          <w:color w:val="000000"/>
        </w:rPr>
      </w:pPr>
    </w:p>
    <w:p w:rsidR="00CA4C9D" w:rsidRDefault="00C76CFD">
      <w:pPr>
        <w:spacing w:after="0" w:line="360" w:lineRule="auto"/>
        <w:rPr>
          <w:rFonts w:ascii="Times New Roman" w:eastAsia="Times New Roman" w:hAnsi="Times New Roman" w:cs="Times New Roman"/>
          <w:b/>
          <w:bCs/>
          <w:color w:val="000000"/>
          <w:sz w:val="20"/>
          <w:szCs w:val="20"/>
        </w:rPr>
      </w:pPr>
      <w:r>
        <w:rPr>
          <w:b/>
          <w:bCs/>
          <w:color w:val="000000"/>
        </w:rPr>
        <w:lastRenderedPageBreak/>
        <w:t xml:space="preserve">SEGUNDO. </w:t>
      </w:r>
      <w:r>
        <w:rPr>
          <w:color w:val="000000"/>
        </w:rPr>
        <w:t>Se</w:t>
      </w:r>
      <w:r>
        <w:rPr>
          <w:b/>
          <w:bCs/>
          <w:color w:val="000000"/>
        </w:rPr>
        <w:t xml:space="preserve"> ORDENA </w:t>
      </w:r>
      <w:r>
        <w:rPr>
          <w:color w:val="000000"/>
        </w:rPr>
        <w:t>al Sujeto Obligado, a efecto de que dé atención a las solicitudes de acceso a la información</w:t>
      </w:r>
      <w:r>
        <w:rPr>
          <w:color w:val="0D0D0D"/>
        </w:rPr>
        <w:t xml:space="preserve"> </w:t>
      </w:r>
      <w:r>
        <w:t>00293/TEPOTZOT/IP/2026, 00327/TEPOTZOT/IP/2026, 00360/TEPOTZOT/IP/2026, 00418/TEPOTZOT/IP/2026, 00420/TEPOTZOT/IP/2026, 00426/TEPOTZOT/IP/2026, 00429/TEPOTZOT/IP/2026, 00431/TEPOTZOT/IP/2026, 00513/TEPOTZOT/IP/2026, 00517/TEPOTZOT/IP/2026 y 00550/TEPOTZOT/IP/2026</w:t>
      </w:r>
      <w:r>
        <w:rPr>
          <w:color w:val="0D0D0D"/>
        </w:rPr>
        <w:t xml:space="preserve">, </w:t>
      </w:r>
      <w:r>
        <w:rPr>
          <w:color w:val="000000"/>
        </w:rPr>
        <w:t>y a través del SAIMEX, dé la respuesta que conforme a derecho corresponda</w:t>
      </w:r>
      <w:r>
        <w:rPr>
          <w:rFonts w:ascii="Times New Roman" w:eastAsia="Times New Roman" w:hAnsi="Times New Roman" w:cs="Times New Roman"/>
          <w:b/>
          <w:bCs/>
          <w:color w:val="000000"/>
          <w:sz w:val="20"/>
          <w:szCs w:val="20"/>
        </w:rPr>
        <w:t xml:space="preserve">. </w:t>
      </w:r>
    </w:p>
    <w:p w:rsidR="00CA4C9D" w:rsidRDefault="00CA4C9D">
      <w:pPr>
        <w:spacing w:after="0" w:line="360" w:lineRule="auto"/>
        <w:rPr>
          <w:color w:val="000000"/>
        </w:rPr>
      </w:pPr>
    </w:p>
    <w:p w:rsidR="00CA4C9D" w:rsidRDefault="00C76CFD">
      <w:pPr>
        <w:spacing w:after="0" w:line="360" w:lineRule="auto"/>
        <w:rPr>
          <w:color w:val="000000"/>
        </w:rPr>
      </w:pPr>
      <w:r>
        <w:rPr>
          <w:b/>
          <w:bCs/>
          <w:color w:val="000000"/>
        </w:rPr>
        <w:t xml:space="preserve">TERCERO. </w:t>
      </w:r>
      <w:r>
        <w:rPr>
          <w:color w:val="000000"/>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CA4C9D" w:rsidRDefault="00CA4C9D">
      <w:pPr>
        <w:spacing w:after="0" w:line="360" w:lineRule="auto"/>
        <w:rPr>
          <w:color w:val="000000"/>
        </w:rPr>
      </w:pPr>
    </w:p>
    <w:p w:rsidR="00CA4C9D" w:rsidRDefault="00C76CFD">
      <w:pPr>
        <w:spacing w:after="0" w:line="360" w:lineRule="auto"/>
        <w:rPr>
          <w:color w:val="000000"/>
        </w:rPr>
      </w:pPr>
      <w:r>
        <w:rPr>
          <w:b/>
          <w:bCs/>
          <w:color w:val="000000"/>
        </w:rPr>
        <w:t>CUARTO.</w:t>
      </w:r>
      <w:r>
        <w:rPr>
          <w:color w:val="000000"/>
        </w:rPr>
        <w:t xml:space="preserve"> </w:t>
      </w:r>
      <w:r>
        <w:rPr>
          <w:b/>
          <w:bCs/>
          <w:color w:val="000000"/>
        </w:rPr>
        <w:t xml:space="preserve">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CA4C9D" w:rsidRDefault="00CA4C9D">
      <w:pPr>
        <w:spacing w:after="0" w:line="360" w:lineRule="auto"/>
        <w:rPr>
          <w:color w:val="000000"/>
        </w:rPr>
      </w:pPr>
    </w:p>
    <w:p w:rsidR="00CA4C9D" w:rsidRDefault="00C76CFD">
      <w:pPr>
        <w:spacing w:after="0" w:line="360" w:lineRule="auto"/>
        <w:rPr>
          <w:color w:val="000000"/>
        </w:rPr>
      </w:pPr>
      <w:r>
        <w:rPr>
          <w:b/>
          <w:bCs/>
          <w:color w:val="000000"/>
        </w:rPr>
        <w:t>QUINTO. NOTIFÍQUESE</w:t>
      </w:r>
      <w:r>
        <w:rPr>
          <w:color w:val="000000"/>
        </w:rPr>
        <w:t xml:space="preserve"> </w:t>
      </w:r>
      <w:r>
        <w:rPr>
          <w:b/>
          <w:bCs/>
          <w:color w:val="000000"/>
        </w:rPr>
        <w:t xml:space="preserve">POR SAIMEX, </w:t>
      </w:r>
      <w:r>
        <w:rPr>
          <w:color w:val="000000"/>
        </w:rPr>
        <w:t xml:space="preserve">a la persona Recurrente la presente Resolución, asimismo, se hace de su conocimiento que de conformidad con lo establecido en el artículo </w:t>
      </w:r>
      <w:r>
        <w:rPr>
          <w:color w:val="000000"/>
        </w:rPr>
        <w:lastRenderedPageBreak/>
        <w:t>196 de la Ley de Transparencia y Acceso a la Información Pública del Estado de México y Municipios podrá promover el Juicio de Amparo en los términos de las leyes aplicables.</w:t>
      </w:r>
    </w:p>
    <w:p w:rsidR="00CA4C9D" w:rsidRDefault="00CA4C9D">
      <w:pPr>
        <w:spacing w:after="0" w:line="360" w:lineRule="auto"/>
        <w:rPr>
          <w:color w:val="000000"/>
        </w:rPr>
      </w:pPr>
    </w:p>
    <w:p w:rsidR="00CA4C9D" w:rsidRDefault="00C76CFD">
      <w:pPr>
        <w:spacing w:after="0" w:line="360" w:lineRule="auto"/>
        <w:rPr>
          <w:color w:val="000000"/>
        </w:rPr>
      </w:pPr>
      <w:r>
        <w:rPr>
          <w:b/>
          <w:bCs/>
          <w:color w:val="000000"/>
        </w:rPr>
        <w:t>SEXTO.</w:t>
      </w:r>
      <w:r>
        <w:rPr>
          <w:color w:val="000000"/>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CA4C9D" w:rsidRDefault="00CA4C9D">
      <w:pPr>
        <w:spacing w:after="0" w:line="360" w:lineRule="auto"/>
        <w:rPr>
          <w:b/>
          <w:bCs/>
          <w:color w:val="000000"/>
        </w:rPr>
      </w:pPr>
    </w:p>
    <w:p w:rsidR="00CA4C9D" w:rsidRDefault="00C76CFD">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p>
    <w:p w:rsidR="00CA4C9D" w:rsidRDefault="00CA4C9D">
      <w:pPr>
        <w:spacing w:after="0" w:line="360" w:lineRule="auto"/>
        <w:rPr>
          <w:b/>
          <w:bCs/>
        </w:rPr>
      </w:pPr>
    </w:p>
    <w:p w:rsidR="00CA4C9D" w:rsidRDefault="00CA4C9D">
      <w:pPr>
        <w:spacing w:after="0" w:line="360" w:lineRule="auto"/>
        <w:rPr>
          <w:b/>
          <w:bCs/>
        </w:rPr>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tabs>
          <w:tab w:val="right" w:pos="8931"/>
        </w:tabs>
        <w:spacing w:after="0" w:line="360" w:lineRule="auto"/>
      </w:pPr>
    </w:p>
    <w:p w:rsidR="00CA4C9D" w:rsidRDefault="00CA4C9D">
      <w:pPr>
        <w:tabs>
          <w:tab w:val="right" w:pos="8931"/>
        </w:tabs>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p w:rsidR="00CA4C9D" w:rsidRDefault="00CA4C9D">
      <w:pPr>
        <w:spacing w:after="0" w:line="360" w:lineRule="auto"/>
      </w:pPr>
    </w:p>
    <w:sectPr w:rsidR="00CA4C9D">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A95" w:rsidRDefault="00F67A95">
      <w:pPr>
        <w:spacing w:after="0" w:line="240" w:lineRule="auto"/>
      </w:pPr>
      <w:r>
        <w:separator/>
      </w:r>
    </w:p>
  </w:endnote>
  <w:endnote w:type="continuationSeparator" w:id="0">
    <w:p w:rsidR="00F67A95" w:rsidRDefault="00F67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939AD443-BCDE-454A-AA1F-01BF2ADB31A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6DF77CA-2F6F-451F-9993-32C4E460516D}"/>
    <w:embedBold r:id="rId3" w:fontKey="{7931747C-A896-469E-932C-EFEA08BDFF81}"/>
    <w:embedItalic r:id="rId4" w:fontKey="{5BE03C39-60AF-46D8-BD4A-307F49AD60DB}"/>
    <w:embedBoldItalic r:id="rId5" w:fontKey="{29EE6E14-8FFA-4124-ACD1-92281373D08B}"/>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8554222-4EC7-4C7A-93DC-C0FEBE77117B}"/>
  </w:font>
  <w:font w:name="Calibri">
    <w:panose1 w:val="020F0502020204030204"/>
    <w:charset w:val="00"/>
    <w:family w:val="swiss"/>
    <w:pitch w:val="variable"/>
    <w:sig w:usb0="E4002EFF" w:usb1="C200247B" w:usb2="00000009" w:usb3="00000000" w:csb0="000001FF" w:csb1="00000000"/>
    <w:embedRegular r:id="rId7" w:fontKey="{0E1BEBB8-89AD-4233-8DC7-8F5AC16460E6}"/>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Italic r:id="rId8" w:fontKey="{FEDE4EB0-5652-4D1C-A315-70711EEFF0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C76C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D01846">
      <w:rPr>
        <w:b/>
        <w:bCs/>
        <w:color w:val="000000"/>
        <w:sz w:val="24"/>
        <w:szCs w:val="24"/>
      </w:rPr>
      <w:fldChar w:fldCharType="separate"/>
    </w:r>
    <w:r w:rsidR="00D01846">
      <w:rPr>
        <w:b/>
        <w:bCs/>
        <w:noProof/>
        <w:color w:val="000000"/>
        <w:sz w:val="24"/>
        <w:szCs w:val="24"/>
      </w:rPr>
      <w:t>23</w:t>
    </w:r>
    <w:r>
      <w:rPr>
        <w:b/>
        <w:bCs/>
        <w:color w:val="000000"/>
        <w:sz w:val="24"/>
        <w:szCs w:val="24"/>
      </w:rPr>
      <w:fldChar w:fldCharType="end"/>
    </w:r>
  </w:p>
  <w:p w:rsidR="00CA4C9D" w:rsidRDefault="00CA4C9D">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C76C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01846">
      <w:rPr>
        <w:b/>
        <w:bCs/>
        <w:noProof/>
        <w:color w:val="000000"/>
        <w:sz w:val="24"/>
        <w:szCs w:val="24"/>
      </w:rPr>
      <w:t>12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01846">
      <w:rPr>
        <w:b/>
        <w:bCs/>
        <w:noProof/>
        <w:color w:val="000000"/>
        <w:sz w:val="24"/>
        <w:szCs w:val="24"/>
      </w:rPr>
      <w:t>23</w:t>
    </w:r>
    <w:r>
      <w:rPr>
        <w:b/>
        <w:bCs/>
        <w:color w:val="000000"/>
        <w:sz w:val="24"/>
        <w:szCs w:val="24"/>
      </w:rPr>
      <w:fldChar w:fldCharType="end"/>
    </w:r>
  </w:p>
  <w:p w:rsidR="00CA4C9D" w:rsidRDefault="00CA4C9D">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C76CF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D0184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D01846">
      <w:rPr>
        <w:b/>
        <w:bCs/>
        <w:noProof/>
        <w:color w:val="000000"/>
        <w:sz w:val="24"/>
        <w:szCs w:val="24"/>
      </w:rPr>
      <w:t>23</w:t>
    </w:r>
    <w:r>
      <w:rPr>
        <w:b/>
        <w:bCs/>
        <w:color w:val="000000"/>
        <w:sz w:val="24"/>
        <w:szCs w:val="24"/>
      </w:rPr>
      <w:fldChar w:fldCharType="end"/>
    </w:r>
  </w:p>
  <w:p w:rsidR="00CA4C9D" w:rsidRDefault="00CA4C9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A95" w:rsidRDefault="00F67A95">
      <w:pPr>
        <w:spacing w:after="0" w:line="240" w:lineRule="auto"/>
      </w:pPr>
      <w:r>
        <w:separator/>
      </w:r>
    </w:p>
  </w:footnote>
  <w:footnote w:type="continuationSeparator" w:id="0">
    <w:p w:rsidR="00F67A95" w:rsidRDefault="00F67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CA4C9D">
    <w:pPr>
      <w:widowControl w:val="0"/>
      <w:pBdr>
        <w:top w:val="nil"/>
        <w:left w:val="nil"/>
        <w:bottom w:val="nil"/>
        <w:right w:val="nil"/>
        <w:between w:val="nil"/>
      </w:pBdr>
      <w:spacing w:after="0" w:line="276" w:lineRule="auto"/>
      <w:jc w:val="left"/>
      <w:rPr>
        <w:color w:val="000000"/>
      </w:rPr>
    </w:pPr>
  </w:p>
  <w:tbl>
    <w:tblPr>
      <w:tblStyle w:val="a0"/>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CA4C9D">
      <w:trPr>
        <w:trHeight w:val="132"/>
      </w:trPr>
      <w:tc>
        <w:tcPr>
          <w:tcW w:w="0" w:type="auto"/>
        </w:tcPr>
        <w:p w:rsidR="00CA4C9D" w:rsidRDefault="00C76CFD">
          <w:pPr>
            <w:tabs>
              <w:tab w:val="right" w:pos="8838"/>
            </w:tabs>
            <w:ind w:right="-105"/>
            <w:rPr>
              <w:b/>
              <w:bCs/>
            </w:rPr>
          </w:pPr>
          <w:r>
            <w:rPr>
              <w:b/>
              <w:bCs/>
            </w:rPr>
            <w:t>Recurso de Revisión:</w:t>
          </w:r>
        </w:p>
      </w:tc>
      <w:tc>
        <w:tcPr>
          <w:tcW w:w="0" w:type="auto"/>
        </w:tcPr>
        <w:p w:rsidR="00CA4C9D" w:rsidRDefault="00C76CFD">
          <w:pPr>
            <w:tabs>
              <w:tab w:val="right" w:pos="8838"/>
            </w:tabs>
            <w:ind w:left="-28" w:right="-32"/>
          </w:pPr>
          <w:r>
            <w:t>03846/INFOEM/IP/RR/2020</w:t>
          </w:r>
        </w:p>
      </w:tc>
    </w:tr>
    <w:tr w:rsidR="00CA4C9D">
      <w:trPr>
        <w:trHeight w:val="261"/>
      </w:trPr>
      <w:tc>
        <w:tcPr>
          <w:tcW w:w="0" w:type="auto"/>
        </w:tcPr>
        <w:p w:rsidR="00CA4C9D" w:rsidRDefault="00C76CFD">
          <w:pPr>
            <w:tabs>
              <w:tab w:val="right" w:pos="8838"/>
            </w:tabs>
            <w:ind w:right="-105"/>
            <w:rPr>
              <w:b/>
              <w:bCs/>
            </w:rPr>
          </w:pPr>
          <w:r>
            <w:rPr>
              <w:b/>
              <w:bCs/>
            </w:rPr>
            <w:t>Sujeto Obligado:</w:t>
          </w:r>
        </w:p>
      </w:tc>
      <w:tc>
        <w:tcPr>
          <w:tcW w:w="0" w:type="auto"/>
        </w:tcPr>
        <w:p w:rsidR="00CA4C9D" w:rsidRDefault="00C76CFD">
          <w:pPr>
            <w:tabs>
              <w:tab w:val="right" w:pos="8838"/>
            </w:tabs>
            <w:ind w:right="-32"/>
          </w:pPr>
          <w:r>
            <w:t>Ayuntamiento de Temascalcingo</w:t>
          </w:r>
        </w:p>
      </w:tc>
    </w:tr>
    <w:tr w:rsidR="00CA4C9D">
      <w:trPr>
        <w:trHeight w:val="261"/>
      </w:trPr>
      <w:tc>
        <w:tcPr>
          <w:tcW w:w="0" w:type="auto"/>
        </w:tcPr>
        <w:p w:rsidR="00CA4C9D" w:rsidRDefault="00C76CFD">
          <w:pPr>
            <w:tabs>
              <w:tab w:val="right" w:pos="8838"/>
            </w:tabs>
            <w:ind w:right="-105"/>
            <w:rPr>
              <w:b/>
              <w:bCs/>
            </w:rPr>
          </w:pPr>
          <w:r>
            <w:rPr>
              <w:b/>
              <w:bCs/>
            </w:rPr>
            <w:t>Comisionado Ponente:</w:t>
          </w:r>
        </w:p>
      </w:tc>
      <w:tc>
        <w:tcPr>
          <w:tcW w:w="0" w:type="auto"/>
        </w:tcPr>
        <w:p w:rsidR="00CA4C9D" w:rsidRDefault="00C76CFD">
          <w:pPr>
            <w:tabs>
              <w:tab w:val="right" w:pos="8838"/>
            </w:tabs>
            <w:ind w:right="-32"/>
            <w:rPr>
              <w:b/>
              <w:bCs/>
            </w:rPr>
          </w:pPr>
          <w:r>
            <w:t>Luis Gustavo Parra Noriega</w:t>
          </w:r>
        </w:p>
      </w:tc>
    </w:tr>
  </w:tbl>
  <w:p w:rsidR="00CA4C9D" w:rsidRDefault="00F67A95">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F67A95">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92.55pt;margin-top:-130.7pt;width:663.5pt;height:12in;z-index:-251659776;mso-position-horizontal:absolute;mso-position-horizontal-relative:margin;mso-position-vertical:absolute;mso-position-vertical-relative:margin">
          <v:imagedata r:id="rId1" o:title="image1"/>
          <w10:wrap anchorx="margin" anchory="margin"/>
        </v:shape>
      </w:pict>
    </w:r>
  </w:p>
  <w:tbl>
    <w:tblPr>
      <w:tblStyle w:val="a1"/>
      <w:tblW w:w="6095"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268"/>
      <w:gridCol w:w="3827"/>
    </w:tblGrid>
    <w:tr w:rsidR="00CA4C9D">
      <w:trPr>
        <w:trHeight w:val="138"/>
      </w:trPr>
      <w:tc>
        <w:tcPr>
          <w:tcW w:w="2268" w:type="dxa"/>
          <w:vAlign w:val="center"/>
        </w:tcPr>
        <w:p w:rsidR="00CA4C9D" w:rsidRDefault="00CA4C9D">
          <w:pPr>
            <w:tabs>
              <w:tab w:val="right" w:pos="8838"/>
            </w:tabs>
            <w:ind w:left="-108" w:right="-105"/>
            <w:jc w:val="left"/>
            <w:rPr>
              <w:b/>
              <w:bCs/>
            </w:rPr>
          </w:pPr>
        </w:p>
        <w:p w:rsidR="00CA4C9D" w:rsidRDefault="00C76CFD">
          <w:pPr>
            <w:tabs>
              <w:tab w:val="right" w:pos="8838"/>
            </w:tabs>
            <w:ind w:left="-108" w:right="-105"/>
            <w:jc w:val="left"/>
            <w:rPr>
              <w:b/>
              <w:bCs/>
            </w:rPr>
          </w:pPr>
          <w:r>
            <w:rPr>
              <w:b/>
              <w:bCs/>
            </w:rPr>
            <w:t>Recurso de Revisión:</w:t>
          </w:r>
        </w:p>
      </w:tc>
      <w:tc>
        <w:tcPr>
          <w:tcW w:w="3827" w:type="dxa"/>
        </w:tcPr>
        <w:p w:rsidR="00CA4C9D" w:rsidRDefault="00C76CFD">
          <w:pPr>
            <w:tabs>
              <w:tab w:val="right" w:pos="8838"/>
            </w:tabs>
            <w:ind w:left="-115" w:right="-111"/>
          </w:pPr>
          <w:r>
            <w:tab/>
          </w:r>
        </w:p>
        <w:p w:rsidR="00CA4C9D" w:rsidRDefault="00C76CFD">
          <w:pPr>
            <w:tabs>
              <w:tab w:val="right" w:pos="8838"/>
            </w:tabs>
            <w:ind w:left="-115" w:right="-111"/>
          </w:pPr>
          <w:r>
            <w:t>02701/INFOEM/IP/RR/2026 y acumulados</w:t>
          </w:r>
        </w:p>
      </w:tc>
    </w:tr>
    <w:tr w:rsidR="00CA4C9D">
      <w:trPr>
        <w:trHeight w:val="273"/>
      </w:trPr>
      <w:tc>
        <w:tcPr>
          <w:tcW w:w="2268" w:type="dxa"/>
        </w:tcPr>
        <w:p w:rsidR="00CA4C9D" w:rsidRDefault="00C76CFD">
          <w:pPr>
            <w:tabs>
              <w:tab w:val="right" w:pos="8838"/>
            </w:tabs>
            <w:ind w:left="-108" w:right="-105"/>
            <w:rPr>
              <w:b/>
              <w:bCs/>
            </w:rPr>
          </w:pPr>
          <w:r>
            <w:rPr>
              <w:b/>
              <w:bCs/>
            </w:rPr>
            <w:t>Sujeto Obligado:</w:t>
          </w:r>
        </w:p>
      </w:tc>
      <w:tc>
        <w:tcPr>
          <w:tcW w:w="3827" w:type="dxa"/>
        </w:tcPr>
        <w:p w:rsidR="00CA4C9D" w:rsidRDefault="00C76CFD">
          <w:pPr>
            <w:tabs>
              <w:tab w:val="right" w:pos="8838"/>
            </w:tabs>
            <w:ind w:left="-115" w:right="175"/>
          </w:pPr>
          <w:r>
            <w:t>Ayuntamiento de Tepotzotlán</w:t>
          </w:r>
        </w:p>
      </w:tc>
    </w:tr>
    <w:tr w:rsidR="00CA4C9D">
      <w:trPr>
        <w:trHeight w:val="273"/>
      </w:trPr>
      <w:tc>
        <w:tcPr>
          <w:tcW w:w="2268" w:type="dxa"/>
        </w:tcPr>
        <w:p w:rsidR="00CA4C9D" w:rsidRDefault="00C76CFD">
          <w:pPr>
            <w:tabs>
              <w:tab w:val="right" w:pos="8838"/>
            </w:tabs>
            <w:ind w:left="-108" w:right="-105"/>
            <w:rPr>
              <w:b/>
              <w:bCs/>
            </w:rPr>
          </w:pPr>
          <w:r>
            <w:rPr>
              <w:b/>
              <w:bCs/>
            </w:rPr>
            <w:t>Comisionado Ponente:</w:t>
          </w:r>
        </w:p>
      </w:tc>
      <w:tc>
        <w:tcPr>
          <w:tcW w:w="3827" w:type="dxa"/>
        </w:tcPr>
        <w:p w:rsidR="00CA4C9D" w:rsidRDefault="00C76CFD">
          <w:pPr>
            <w:tabs>
              <w:tab w:val="right" w:pos="8838"/>
            </w:tabs>
            <w:ind w:left="-115" w:right="-170"/>
          </w:pPr>
          <w:r>
            <w:t xml:space="preserve"> Luis Gustavo Parra Noriega</w:t>
          </w:r>
        </w:p>
        <w:p w:rsidR="00CA4C9D" w:rsidRDefault="00CA4C9D">
          <w:pPr>
            <w:tabs>
              <w:tab w:val="right" w:pos="8838"/>
            </w:tabs>
            <w:ind w:right="-170"/>
            <w:rPr>
              <w:b/>
              <w:bCs/>
              <w:sz w:val="13"/>
              <w:szCs w:val="13"/>
            </w:rPr>
          </w:pPr>
        </w:p>
      </w:tc>
    </w:tr>
  </w:tbl>
  <w:p w:rsidR="00CA4C9D" w:rsidRDefault="00CA4C9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C9D" w:rsidRDefault="00CA4C9D">
    <w:pPr>
      <w:widowControl w:val="0"/>
      <w:pBdr>
        <w:top w:val="nil"/>
        <w:left w:val="nil"/>
        <w:bottom w:val="nil"/>
        <w:right w:val="nil"/>
        <w:between w:val="nil"/>
      </w:pBdr>
      <w:spacing w:after="0" w:line="276" w:lineRule="auto"/>
      <w:jc w:val="left"/>
      <w:rPr>
        <w:color w:val="000000"/>
      </w:rPr>
    </w:pPr>
  </w:p>
  <w:tbl>
    <w:tblPr>
      <w:tblStyle w:val="a2"/>
      <w:tblW w:w="6804" w:type="dxa"/>
      <w:tblInd w:w="2268"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CA4C9D">
      <w:trPr>
        <w:trHeight w:val="132"/>
      </w:trPr>
      <w:tc>
        <w:tcPr>
          <w:tcW w:w="2551" w:type="dxa"/>
        </w:tcPr>
        <w:p w:rsidR="00CA4C9D" w:rsidRDefault="00C76CFD">
          <w:pPr>
            <w:tabs>
              <w:tab w:val="right" w:pos="8838"/>
            </w:tabs>
            <w:ind w:right="-105"/>
            <w:rPr>
              <w:b/>
              <w:bCs/>
            </w:rPr>
          </w:pPr>
          <w:r>
            <w:rPr>
              <w:b/>
              <w:bCs/>
            </w:rPr>
            <w:t>Recurso de Revisión:</w:t>
          </w:r>
        </w:p>
      </w:tc>
      <w:tc>
        <w:tcPr>
          <w:tcW w:w="4253" w:type="dxa"/>
        </w:tcPr>
        <w:p w:rsidR="00CA4C9D" w:rsidRDefault="00C76CFD">
          <w:pPr>
            <w:ind w:left="42" w:hanging="42"/>
          </w:pPr>
          <w:r>
            <w:tab/>
            <w:t>02701/INFOEM/IP/RR/2026 y acumulados</w:t>
          </w:r>
        </w:p>
      </w:tc>
    </w:tr>
    <w:tr w:rsidR="00CA4C9D">
      <w:trPr>
        <w:trHeight w:val="132"/>
      </w:trPr>
      <w:tc>
        <w:tcPr>
          <w:tcW w:w="2551" w:type="dxa"/>
        </w:tcPr>
        <w:p w:rsidR="00CA4C9D" w:rsidRDefault="00C76CFD">
          <w:pPr>
            <w:tabs>
              <w:tab w:val="left" w:pos="1875"/>
            </w:tabs>
            <w:ind w:right="-105"/>
            <w:rPr>
              <w:b/>
              <w:bCs/>
            </w:rPr>
          </w:pPr>
          <w:r>
            <w:rPr>
              <w:b/>
              <w:bCs/>
            </w:rPr>
            <w:t>Recurrente:</w:t>
          </w:r>
        </w:p>
      </w:tc>
      <w:tc>
        <w:tcPr>
          <w:tcW w:w="4253" w:type="dxa"/>
        </w:tcPr>
        <w:p w:rsidR="00CA4C9D" w:rsidRDefault="00CA4C9D"/>
      </w:tc>
    </w:tr>
    <w:tr w:rsidR="00CA4C9D">
      <w:trPr>
        <w:trHeight w:val="261"/>
      </w:trPr>
      <w:tc>
        <w:tcPr>
          <w:tcW w:w="2551" w:type="dxa"/>
        </w:tcPr>
        <w:p w:rsidR="00CA4C9D" w:rsidRDefault="00C76CFD">
          <w:pPr>
            <w:tabs>
              <w:tab w:val="right" w:pos="8838"/>
            </w:tabs>
            <w:ind w:right="-105"/>
            <w:rPr>
              <w:b/>
              <w:bCs/>
            </w:rPr>
          </w:pPr>
          <w:r>
            <w:rPr>
              <w:b/>
              <w:bCs/>
            </w:rPr>
            <w:t>Sujeto Obligado:</w:t>
          </w:r>
        </w:p>
      </w:tc>
      <w:tc>
        <w:tcPr>
          <w:tcW w:w="4253" w:type="dxa"/>
        </w:tcPr>
        <w:p w:rsidR="00CA4C9D" w:rsidRDefault="00C76CFD">
          <w:r>
            <w:t>Ayuntamiento de Tepotzotlán</w:t>
          </w:r>
        </w:p>
      </w:tc>
    </w:tr>
    <w:tr w:rsidR="00CA4C9D">
      <w:trPr>
        <w:trHeight w:val="261"/>
      </w:trPr>
      <w:tc>
        <w:tcPr>
          <w:tcW w:w="2551" w:type="dxa"/>
        </w:tcPr>
        <w:p w:rsidR="00CA4C9D" w:rsidRDefault="00C76CFD">
          <w:pPr>
            <w:tabs>
              <w:tab w:val="right" w:pos="8838"/>
            </w:tabs>
            <w:ind w:right="-105"/>
            <w:rPr>
              <w:b/>
              <w:bCs/>
            </w:rPr>
          </w:pPr>
          <w:r>
            <w:rPr>
              <w:b/>
              <w:bCs/>
            </w:rPr>
            <w:t>Comisionado Ponente:</w:t>
          </w:r>
        </w:p>
      </w:tc>
      <w:tc>
        <w:tcPr>
          <w:tcW w:w="4253" w:type="dxa"/>
        </w:tcPr>
        <w:p w:rsidR="00CA4C9D" w:rsidRDefault="00C76CFD">
          <w:pPr>
            <w:tabs>
              <w:tab w:val="right" w:pos="8838"/>
            </w:tabs>
            <w:ind w:right="-32"/>
            <w:rPr>
              <w:b/>
              <w:bCs/>
            </w:rPr>
          </w:pPr>
          <w:r>
            <w:t>Luis Gustavo Parra Noriega</w:t>
          </w:r>
        </w:p>
      </w:tc>
    </w:tr>
  </w:tbl>
  <w:p w:rsidR="00CA4C9D" w:rsidRDefault="00F67A9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A0D51"/>
    <w:multiLevelType w:val="multilevel"/>
    <w:tmpl w:val="23E6A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3F3577"/>
    <w:multiLevelType w:val="multilevel"/>
    <w:tmpl w:val="8B12B3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C9D"/>
    <w:rsid w:val="00191F85"/>
    <w:rsid w:val="006B7ED8"/>
    <w:rsid w:val="00911663"/>
    <w:rsid w:val="00C76CFD"/>
    <w:rsid w:val="00CA4C9D"/>
    <w:rsid w:val="00D01846"/>
    <w:rsid w:val="00F67A95"/>
    <w:rsid w:val="00FE20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4B631F9-B925-432A-92C0-1A3CFE8A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EE243E"/>
    <w:pPr>
      <w:tabs>
        <w:tab w:val="right" w:leader="dot" w:pos="8921"/>
      </w:tabs>
      <w:spacing w:after="100"/>
      <w:ind w:left="220"/>
    </w:pPr>
    <w:rPr>
      <w:rFonts w:eastAsia="Yu Gothic Light" w:cs="Times New Roman"/>
      <w:noProof/>
      <w:lang w:eastAsia="es-ES"/>
    </w:r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441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65AkKoc/X+Bsqk8upk4FtqrlYw==">CgMxLjAyDmguMmM2bzh5dWZvZG16Mg5oLmt0NW5oejJ0bzd3NjIOaC44dXU2ejdrdzNiYzIyDmguZ3h3cWhoMnRodzZtMg5oLm9yc3ZpMjN1bHA1NDIOaC5vMWFtZDFsa2F1OHYyDmgucXJsNnVxandveTlpMg5oLnRvcHBzd3YwenNpZjIJaC4zMGowemxsMg5oLnUyZG8wcTNoazhsajIOaC50MzJ0ajQ2Mzd6ZzYyDWgub2VwMHRrcWZ2ZWMyDmguM2kyYWt4ZmFuaWo5Mg5oLjRmZ3Bva2o0MjB4ZjIOaC5menpzaXZ0bTB3eXIyDmguYnpxZGw5bGIwejJ6Mg5oLmNwYjU4a2doOHdqeTIOaC43cGhkMXVqY2o2czY4AHIhMWVxbFBpNEhLYnBGeUxFWmlSMy1QVWhXdk03YWg1UUt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5356</Words>
  <Characters>29463</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INFOEM-610</dc:creator>
  <cp:lastModifiedBy>USUARIO</cp:lastModifiedBy>
  <cp:revision>3</cp:revision>
  <cp:lastPrinted>2026-03-27T17:11:00Z</cp:lastPrinted>
  <dcterms:created xsi:type="dcterms:W3CDTF">2026-03-27T17:10:00Z</dcterms:created>
  <dcterms:modified xsi:type="dcterms:W3CDTF">2026-03-27T17:11:00Z</dcterms:modified>
</cp:coreProperties>
</file>