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7C1E06F1" w14:textId="568EBDA3" w:rsidR="00342378" w:rsidRPr="006805D2" w:rsidRDefault="00342378" w:rsidP="000B54EE">
          <w:pPr>
            <w:pStyle w:val="TtulodeTDC"/>
            <w:spacing w:before="0" w:line="360" w:lineRule="auto"/>
            <w:rPr>
              <w:rFonts w:ascii="Palatino Linotype" w:hAnsi="Palatino Linotype"/>
              <w:b/>
              <w:color w:val="auto"/>
              <w:sz w:val="22"/>
              <w:szCs w:val="22"/>
            </w:rPr>
          </w:pPr>
        </w:p>
        <w:p w14:paraId="3183377B" w14:textId="77777777" w:rsidR="00F67AAD" w:rsidRPr="00F67AAD" w:rsidRDefault="00342378">
          <w:pPr>
            <w:pStyle w:val="TDC1"/>
            <w:tabs>
              <w:tab w:val="right" w:leader="dot" w:pos="9034"/>
            </w:tabs>
            <w:rPr>
              <w:rFonts w:asciiTheme="minorHAnsi" w:eastAsiaTheme="minorEastAsia" w:hAnsiTheme="minorHAnsi" w:cstheme="minorBidi"/>
              <w:noProof/>
              <w:sz w:val="22"/>
              <w:szCs w:val="22"/>
              <w:lang w:eastAsia="es-MX"/>
            </w:rPr>
          </w:pPr>
          <w:r w:rsidRPr="006805D2">
            <w:rPr>
              <w:rFonts w:ascii="Palatino Linotype" w:hAnsi="Palatino Linotype"/>
              <w:b/>
              <w:bCs/>
              <w:sz w:val="22"/>
              <w:szCs w:val="22"/>
              <w:lang w:val="es-ES"/>
            </w:rPr>
            <w:fldChar w:fldCharType="begin"/>
          </w:r>
          <w:r w:rsidRPr="006805D2">
            <w:rPr>
              <w:rFonts w:ascii="Palatino Linotype" w:hAnsi="Palatino Linotype"/>
              <w:b/>
              <w:bCs/>
              <w:sz w:val="22"/>
              <w:szCs w:val="22"/>
              <w:lang w:val="es-ES"/>
            </w:rPr>
            <w:instrText xml:space="preserve"> TOC \o "1-3" \h \z \u </w:instrText>
          </w:r>
          <w:r w:rsidRPr="006805D2">
            <w:rPr>
              <w:rFonts w:ascii="Palatino Linotype" w:hAnsi="Palatino Linotype"/>
              <w:b/>
              <w:bCs/>
              <w:sz w:val="22"/>
              <w:szCs w:val="22"/>
              <w:lang w:val="es-ES"/>
            </w:rPr>
            <w:fldChar w:fldCharType="separate"/>
          </w:r>
          <w:hyperlink w:anchor="_Toc220595940" w:history="1">
            <w:r w:rsidR="00F67AAD" w:rsidRPr="00F67AAD">
              <w:rPr>
                <w:rStyle w:val="Hipervnculo"/>
                <w:rFonts w:ascii="Palatino Linotype" w:hAnsi="Palatino Linotype"/>
                <w:noProof/>
              </w:rPr>
              <w:t>A N T E C E D E N T E S</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_Toc220595940 \h </w:instrText>
            </w:r>
            <w:r w:rsidR="00F67AAD" w:rsidRPr="00F67AAD">
              <w:rPr>
                <w:noProof/>
                <w:webHidden/>
              </w:rPr>
            </w:r>
            <w:r w:rsidR="00F67AAD" w:rsidRPr="00F67AAD">
              <w:rPr>
                <w:noProof/>
                <w:webHidden/>
              </w:rPr>
              <w:fldChar w:fldCharType="separate"/>
            </w:r>
            <w:r w:rsidR="00735907">
              <w:rPr>
                <w:noProof/>
                <w:webHidden/>
              </w:rPr>
              <w:t>2</w:t>
            </w:r>
            <w:r w:rsidR="00F67AAD" w:rsidRPr="00F67AAD">
              <w:rPr>
                <w:noProof/>
                <w:webHidden/>
              </w:rPr>
              <w:fldChar w:fldCharType="end"/>
            </w:r>
          </w:hyperlink>
        </w:p>
        <w:p w14:paraId="11F43271"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41" w:history="1">
            <w:r w:rsidR="00F67AAD" w:rsidRPr="00F67AAD">
              <w:rPr>
                <w:rStyle w:val="Hipervnculo"/>
                <w:rFonts w:ascii="Palatino Linotype" w:hAnsi="Palatino Linotype"/>
                <w:noProof/>
              </w:rPr>
              <w:t>I. Presentación de la solicitud de información</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_Toc220595941 \h </w:instrText>
            </w:r>
            <w:r w:rsidR="00F67AAD" w:rsidRPr="00F67AAD">
              <w:rPr>
                <w:noProof/>
                <w:webHidden/>
              </w:rPr>
            </w:r>
            <w:r w:rsidR="00F67AAD" w:rsidRPr="00F67AAD">
              <w:rPr>
                <w:noProof/>
                <w:webHidden/>
              </w:rPr>
              <w:fldChar w:fldCharType="separate"/>
            </w:r>
            <w:r w:rsidR="00735907">
              <w:rPr>
                <w:noProof/>
                <w:webHidden/>
              </w:rPr>
              <w:t>2</w:t>
            </w:r>
            <w:r w:rsidR="00F67AAD" w:rsidRPr="00F67AAD">
              <w:rPr>
                <w:noProof/>
                <w:webHidden/>
              </w:rPr>
              <w:fldChar w:fldCharType="end"/>
            </w:r>
          </w:hyperlink>
        </w:p>
        <w:p w14:paraId="603FDAD6"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42" w:history="1">
            <w:r w:rsidR="00F67AAD" w:rsidRPr="00F67AAD">
              <w:rPr>
                <w:rStyle w:val="Hipervnculo"/>
                <w:rFonts w:ascii="Palatino Linotype" w:eastAsia="Palatino Linotype" w:hAnsi="Palatino Linotype" w:cs="Palatino Linotype"/>
                <w:noProof/>
                <w:lang w:eastAsia="es-MX"/>
              </w:rPr>
              <w:t xml:space="preserve">II. </w:t>
            </w:r>
            <w:r w:rsidR="00F67AAD" w:rsidRPr="00F67AAD">
              <w:rPr>
                <w:rStyle w:val="Hipervnculo"/>
                <w:rFonts w:ascii="Palatino Linotype" w:hAnsi="Palatino Linotype" w:cs="Tahoma"/>
                <w:noProof/>
              </w:rPr>
              <w:t>Respuesta del Sujeto Obligado</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_Toc220595942 \h </w:instrText>
            </w:r>
            <w:r w:rsidR="00F67AAD" w:rsidRPr="00F67AAD">
              <w:rPr>
                <w:noProof/>
                <w:webHidden/>
              </w:rPr>
            </w:r>
            <w:r w:rsidR="00F67AAD" w:rsidRPr="00F67AAD">
              <w:rPr>
                <w:noProof/>
                <w:webHidden/>
              </w:rPr>
              <w:fldChar w:fldCharType="separate"/>
            </w:r>
            <w:r w:rsidR="00735907">
              <w:rPr>
                <w:noProof/>
                <w:webHidden/>
              </w:rPr>
              <w:t>3</w:t>
            </w:r>
            <w:r w:rsidR="00F67AAD" w:rsidRPr="00F67AAD">
              <w:rPr>
                <w:noProof/>
                <w:webHidden/>
              </w:rPr>
              <w:fldChar w:fldCharType="end"/>
            </w:r>
          </w:hyperlink>
        </w:p>
        <w:p w14:paraId="0CBB3004"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43" w:history="1">
            <w:r w:rsidR="00F67AAD" w:rsidRPr="00F67AAD">
              <w:rPr>
                <w:rStyle w:val="Hipervnculo"/>
                <w:rFonts w:ascii="Palatino Linotype" w:hAnsi="Palatino Linotype" w:cs="Tahoma"/>
                <w:noProof/>
              </w:rPr>
              <w:t>III. Interposición del Recurso de Revisión</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_Toc220595943 \h </w:instrText>
            </w:r>
            <w:r w:rsidR="00F67AAD" w:rsidRPr="00F67AAD">
              <w:rPr>
                <w:noProof/>
                <w:webHidden/>
              </w:rPr>
            </w:r>
            <w:r w:rsidR="00F67AAD" w:rsidRPr="00F67AAD">
              <w:rPr>
                <w:noProof/>
                <w:webHidden/>
              </w:rPr>
              <w:fldChar w:fldCharType="separate"/>
            </w:r>
            <w:r w:rsidR="00735907">
              <w:rPr>
                <w:noProof/>
                <w:webHidden/>
              </w:rPr>
              <w:t>3</w:t>
            </w:r>
            <w:r w:rsidR="00F67AAD" w:rsidRPr="00F67AAD">
              <w:rPr>
                <w:noProof/>
                <w:webHidden/>
              </w:rPr>
              <w:fldChar w:fldCharType="end"/>
            </w:r>
          </w:hyperlink>
        </w:p>
        <w:p w14:paraId="042DCEFE"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44" w:history="1">
            <w:r w:rsidR="00F67AAD" w:rsidRPr="00F67AAD">
              <w:rPr>
                <w:rStyle w:val="Hipervnculo"/>
                <w:rFonts w:ascii="Palatino Linotype" w:hAnsi="Palatino Linotype"/>
                <w:noProof/>
              </w:rPr>
              <w:t>IV. Trámite del Recurso de Revisión ante el Instituto</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_Toc220595944 \h </w:instrText>
            </w:r>
            <w:r w:rsidR="00F67AAD" w:rsidRPr="00F67AAD">
              <w:rPr>
                <w:noProof/>
                <w:webHidden/>
              </w:rPr>
            </w:r>
            <w:r w:rsidR="00F67AAD" w:rsidRPr="00F67AAD">
              <w:rPr>
                <w:noProof/>
                <w:webHidden/>
              </w:rPr>
              <w:fldChar w:fldCharType="separate"/>
            </w:r>
            <w:r w:rsidR="00735907">
              <w:rPr>
                <w:noProof/>
                <w:webHidden/>
              </w:rPr>
              <w:t>3</w:t>
            </w:r>
            <w:r w:rsidR="00F67AAD" w:rsidRPr="00F67AAD">
              <w:rPr>
                <w:noProof/>
                <w:webHidden/>
              </w:rPr>
              <w:fldChar w:fldCharType="end"/>
            </w:r>
          </w:hyperlink>
        </w:p>
        <w:p w14:paraId="6C6A88F6" w14:textId="77777777" w:rsidR="00F67AAD" w:rsidRPr="00F67AAD" w:rsidRDefault="00DF2634">
          <w:pPr>
            <w:pStyle w:val="TDC3"/>
            <w:tabs>
              <w:tab w:val="right" w:leader="dot" w:pos="9034"/>
            </w:tabs>
            <w:rPr>
              <w:rFonts w:asciiTheme="minorHAnsi" w:eastAsiaTheme="minorEastAsia" w:hAnsiTheme="minorHAnsi" w:cstheme="minorBidi"/>
              <w:noProof/>
              <w:sz w:val="22"/>
              <w:szCs w:val="22"/>
              <w:lang w:eastAsia="es-MX"/>
            </w:rPr>
          </w:pPr>
          <w:hyperlink w:anchor="_Toc220595945" w:history="1">
            <w:r w:rsidR="00F67AAD" w:rsidRPr="00F67AAD">
              <w:rPr>
                <w:rStyle w:val="Hipervnculo"/>
                <w:rFonts w:ascii="Palatino Linotype" w:hAnsi="Palatino Linotype"/>
                <w:noProof/>
              </w:rPr>
              <w:t>a) Turno del Recurso de Revisión.</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_Toc220595945 \h </w:instrText>
            </w:r>
            <w:r w:rsidR="00F67AAD" w:rsidRPr="00F67AAD">
              <w:rPr>
                <w:noProof/>
                <w:webHidden/>
              </w:rPr>
            </w:r>
            <w:r w:rsidR="00F67AAD" w:rsidRPr="00F67AAD">
              <w:rPr>
                <w:noProof/>
                <w:webHidden/>
              </w:rPr>
              <w:fldChar w:fldCharType="separate"/>
            </w:r>
            <w:r w:rsidR="00735907">
              <w:rPr>
                <w:noProof/>
                <w:webHidden/>
              </w:rPr>
              <w:t>3</w:t>
            </w:r>
            <w:r w:rsidR="00F67AAD" w:rsidRPr="00F67AAD">
              <w:rPr>
                <w:noProof/>
                <w:webHidden/>
              </w:rPr>
              <w:fldChar w:fldCharType="end"/>
            </w:r>
          </w:hyperlink>
        </w:p>
        <w:p w14:paraId="4E154964" w14:textId="77777777" w:rsidR="00F67AAD" w:rsidRPr="00F67AAD" w:rsidRDefault="00DF2634">
          <w:pPr>
            <w:pStyle w:val="TDC3"/>
            <w:tabs>
              <w:tab w:val="right" w:leader="dot" w:pos="9034"/>
            </w:tabs>
            <w:rPr>
              <w:rFonts w:asciiTheme="minorHAnsi" w:eastAsiaTheme="minorEastAsia" w:hAnsiTheme="minorHAnsi" w:cstheme="minorBidi"/>
              <w:noProof/>
              <w:sz w:val="22"/>
              <w:szCs w:val="22"/>
              <w:lang w:eastAsia="es-MX"/>
            </w:rPr>
          </w:pPr>
          <w:hyperlink w:anchor="_Toc220595946" w:history="1">
            <w:r w:rsidR="00F67AAD" w:rsidRPr="00F67AAD">
              <w:rPr>
                <w:rStyle w:val="Hipervnculo"/>
                <w:rFonts w:ascii="Palatino Linotype" w:hAnsi="Palatino Linotype"/>
                <w:noProof/>
              </w:rPr>
              <w:t>b) Admisión del Recurso de Revisión.</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_Toc220595946 \h </w:instrText>
            </w:r>
            <w:r w:rsidR="00F67AAD" w:rsidRPr="00F67AAD">
              <w:rPr>
                <w:noProof/>
                <w:webHidden/>
              </w:rPr>
            </w:r>
            <w:r w:rsidR="00F67AAD" w:rsidRPr="00F67AAD">
              <w:rPr>
                <w:noProof/>
                <w:webHidden/>
              </w:rPr>
              <w:fldChar w:fldCharType="separate"/>
            </w:r>
            <w:r w:rsidR="00735907">
              <w:rPr>
                <w:noProof/>
                <w:webHidden/>
              </w:rPr>
              <w:t>4</w:t>
            </w:r>
            <w:r w:rsidR="00F67AAD" w:rsidRPr="00F67AAD">
              <w:rPr>
                <w:noProof/>
                <w:webHidden/>
              </w:rPr>
              <w:fldChar w:fldCharType="end"/>
            </w:r>
          </w:hyperlink>
        </w:p>
        <w:p w14:paraId="21AD5D44" w14:textId="77777777" w:rsidR="00F67AAD" w:rsidRPr="00F67AAD" w:rsidRDefault="00DF2634">
          <w:pPr>
            <w:pStyle w:val="TDC3"/>
            <w:tabs>
              <w:tab w:val="right" w:leader="dot" w:pos="9034"/>
            </w:tabs>
            <w:rPr>
              <w:rFonts w:asciiTheme="minorHAnsi" w:eastAsiaTheme="minorEastAsia" w:hAnsiTheme="minorHAnsi" w:cstheme="minorBidi"/>
              <w:noProof/>
              <w:sz w:val="22"/>
              <w:szCs w:val="22"/>
              <w:lang w:eastAsia="es-MX"/>
            </w:rPr>
          </w:pPr>
          <w:hyperlink w:anchor="_Toc220595947" w:history="1">
            <w:r w:rsidR="00F67AAD" w:rsidRPr="00F67AAD">
              <w:rPr>
                <w:rStyle w:val="Hipervnculo"/>
                <w:rFonts w:ascii="Palatino Linotype" w:hAnsi="Palatino Linotype"/>
                <w:noProof/>
              </w:rPr>
              <w:t>d) Cierre de instrucción</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_Toc220595947 \h </w:instrText>
            </w:r>
            <w:r w:rsidR="00F67AAD" w:rsidRPr="00F67AAD">
              <w:rPr>
                <w:noProof/>
                <w:webHidden/>
              </w:rPr>
            </w:r>
            <w:r w:rsidR="00F67AAD" w:rsidRPr="00F67AAD">
              <w:rPr>
                <w:noProof/>
                <w:webHidden/>
              </w:rPr>
              <w:fldChar w:fldCharType="separate"/>
            </w:r>
            <w:r w:rsidR="00735907">
              <w:rPr>
                <w:noProof/>
                <w:webHidden/>
              </w:rPr>
              <w:t>4</w:t>
            </w:r>
            <w:r w:rsidR="00F67AAD" w:rsidRPr="00F67AAD">
              <w:rPr>
                <w:noProof/>
                <w:webHidden/>
              </w:rPr>
              <w:fldChar w:fldCharType="end"/>
            </w:r>
          </w:hyperlink>
        </w:p>
        <w:p w14:paraId="12DFCEAD" w14:textId="77777777" w:rsidR="00F67AAD" w:rsidRPr="00F67AAD" w:rsidRDefault="00DF2634">
          <w:pPr>
            <w:pStyle w:val="TDC1"/>
            <w:tabs>
              <w:tab w:val="right" w:leader="dot" w:pos="9034"/>
            </w:tabs>
            <w:rPr>
              <w:rFonts w:asciiTheme="minorHAnsi" w:eastAsiaTheme="minorEastAsia" w:hAnsiTheme="minorHAnsi" w:cstheme="minorBidi"/>
              <w:noProof/>
              <w:sz w:val="22"/>
              <w:szCs w:val="22"/>
              <w:lang w:eastAsia="es-MX"/>
            </w:rPr>
          </w:pPr>
          <w:hyperlink w:anchor="_Toc220595948" w:history="1">
            <w:r w:rsidR="00F67AAD" w:rsidRPr="00F67AAD">
              <w:rPr>
                <w:rStyle w:val="Hipervnculo"/>
                <w:rFonts w:ascii="Palatino Linotype" w:hAnsi="Palatino Linotype"/>
                <w:noProof/>
              </w:rPr>
              <w:t>C O N S I D E R A N D O S</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_Toc220595948 \h </w:instrText>
            </w:r>
            <w:r w:rsidR="00F67AAD" w:rsidRPr="00F67AAD">
              <w:rPr>
                <w:noProof/>
                <w:webHidden/>
              </w:rPr>
            </w:r>
            <w:r w:rsidR="00F67AAD" w:rsidRPr="00F67AAD">
              <w:rPr>
                <w:noProof/>
                <w:webHidden/>
              </w:rPr>
              <w:fldChar w:fldCharType="separate"/>
            </w:r>
            <w:r w:rsidR="00735907">
              <w:rPr>
                <w:noProof/>
                <w:webHidden/>
              </w:rPr>
              <w:t>4</w:t>
            </w:r>
            <w:r w:rsidR="00F67AAD" w:rsidRPr="00F67AAD">
              <w:rPr>
                <w:noProof/>
                <w:webHidden/>
              </w:rPr>
              <w:fldChar w:fldCharType="end"/>
            </w:r>
          </w:hyperlink>
        </w:p>
        <w:p w14:paraId="2F087593"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49" w:history="1">
            <w:r w:rsidR="00F67AAD" w:rsidRPr="00F67AAD">
              <w:rPr>
                <w:rStyle w:val="Hipervnculo"/>
                <w:rFonts w:ascii="Palatino Linotype" w:eastAsia="Calibri" w:hAnsi="Palatino Linotype"/>
                <w:noProof/>
                <w:lang w:eastAsia="es-MX"/>
              </w:rPr>
              <w:t xml:space="preserve">PRIMERO. </w:t>
            </w:r>
            <w:r w:rsidR="00F67AAD" w:rsidRPr="00F67AAD">
              <w:rPr>
                <w:rStyle w:val="Hipervnculo"/>
                <w:rFonts w:ascii="Palatino Linotype" w:hAnsi="Palatino Linotype"/>
                <w:noProof/>
              </w:rPr>
              <w:t>Competencia</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_Toc220595949 \h </w:instrText>
            </w:r>
            <w:r w:rsidR="00F67AAD" w:rsidRPr="00F67AAD">
              <w:rPr>
                <w:noProof/>
                <w:webHidden/>
              </w:rPr>
            </w:r>
            <w:r w:rsidR="00F67AAD" w:rsidRPr="00F67AAD">
              <w:rPr>
                <w:noProof/>
                <w:webHidden/>
              </w:rPr>
              <w:fldChar w:fldCharType="separate"/>
            </w:r>
            <w:r w:rsidR="00735907">
              <w:rPr>
                <w:noProof/>
                <w:webHidden/>
              </w:rPr>
              <w:t>4</w:t>
            </w:r>
            <w:r w:rsidR="00F67AAD" w:rsidRPr="00F67AAD">
              <w:rPr>
                <w:noProof/>
                <w:webHidden/>
              </w:rPr>
              <w:fldChar w:fldCharType="end"/>
            </w:r>
          </w:hyperlink>
        </w:p>
        <w:p w14:paraId="7293611D"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50" w:history="1">
            <w:r w:rsidR="00F67AAD" w:rsidRPr="00F67AAD">
              <w:rPr>
                <w:rStyle w:val="Hipervnculo"/>
                <w:rFonts w:ascii="Palatino Linotype" w:eastAsia="Calibri" w:hAnsi="Palatino Linotype"/>
                <w:noProof/>
                <w:lang w:eastAsia="es-MX"/>
              </w:rPr>
              <w:t>SEGUNDO. Causales de improcedencia y sobreseimiento</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_Toc220595950 \h </w:instrText>
            </w:r>
            <w:r w:rsidR="00F67AAD" w:rsidRPr="00F67AAD">
              <w:rPr>
                <w:noProof/>
                <w:webHidden/>
              </w:rPr>
            </w:r>
            <w:r w:rsidR="00F67AAD" w:rsidRPr="00F67AAD">
              <w:rPr>
                <w:noProof/>
                <w:webHidden/>
              </w:rPr>
              <w:fldChar w:fldCharType="separate"/>
            </w:r>
            <w:r w:rsidR="00735907">
              <w:rPr>
                <w:noProof/>
                <w:webHidden/>
              </w:rPr>
              <w:t>5</w:t>
            </w:r>
            <w:r w:rsidR="00F67AAD" w:rsidRPr="00F67AAD">
              <w:rPr>
                <w:noProof/>
                <w:webHidden/>
              </w:rPr>
              <w:fldChar w:fldCharType="end"/>
            </w:r>
          </w:hyperlink>
        </w:p>
        <w:p w14:paraId="1B019823" w14:textId="77777777" w:rsidR="00F67AAD" w:rsidRPr="00F67AAD" w:rsidRDefault="00DF2634">
          <w:pPr>
            <w:pStyle w:val="TDC3"/>
            <w:tabs>
              <w:tab w:val="right" w:leader="dot" w:pos="9034"/>
            </w:tabs>
            <w:rPr>
              <w:rFonts w:asciiTheme="minorHAnsi" w:eastAsiaTheme="minorEastAsia" w:hAnsiTheme="minorHAnsi" w:cstheme="minorBidi"/>
              <w:noProof/>
              <w:sz w:val="22"/>
              <w:szCs w:val="22"/>
              <w:lang w:eastAsia="es-MX"/>
            </w:rPr>
          </w:pPr>
          <w:hyperlink w:anchor="_Toc220595951" w:history="1">
            <w:r w:rsidR="00F67AAD" w:rsidRPr="00F67AAD">
              <w:rPr>
                <w:rStyle w:val="Hipervnculo"/>
                <w:rFonts w:ascii="Palatino Linotype" w:eastAsia="Calibri" w:hAnsi="Palatino Linotype" w:cs="Arial"/>
                <w:noProof/>
                <w:lang w:eastAsia="es-ES_tradnl"/>
              </w:rPr>
              <w:t>Causales de sobreseimiento</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_Toc220595951 \h </w:instrText>
            </w:r>
            <w:r w:rsidR="00F67AAD" w:rsidRPr="00F67AAD">
              <w:rPr>
                <w:noProof/>
                <w:webHidden/>
              </w:rPr>
            </w:r>
            <w:r w:rsidR="00F67AAD" w:rsidRPr="00F67AAD">
              <w:rPr>
                <w:noProof/>
                <w:webHidden/>
              </w:rPr>
              <w:fldChar w:fldCharType="separate"/>
            </w:r>
            <w:r w:rsidR="00735907">
              <w:rPr>
                <w:noProof/>
                <w:webHidden/>
              </w:rPr>
              <w:t>6</w:t>
            </w:r>
            <w:r w:rsidR="00F67AAD" w:rsidRPr="00F67AAD">
              <w:rPr>
                <w:noProof/>
                <w:webHidden/>
              </w:rPr>
              <w:fldChar w:fldCharType="end"/>
            </w:r>
          </w:hyperlink>
        </w:p>
        <w:p w14:paraId="27364145"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52" w:history="1">
            <w:r w:rsidR="00F67AAD" w:rsidRPr="00F67AAD">
              <w:rPr>
                <w:rStyle w:val="Hipervnculo"/>
                <w:rFonts w:ascii="Palatino Linotype" w:eastAsia="Calibri" w:hAnsi="Palatino Linotype"/>
                <w:noProof/>
                <w:lang w:eastAsia="es-ES_tradnl"/>
              </w:rPr>
              <w:t>TERCERO. Determinación de la Controversia</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_Toc220595952 \h </w:instrText>
            </w:r>
            <w:r w:rsidR="00F67AAD" w:rsidRPr="00F67AAD">
              <w:rPr>
                <w:noProof/>
                <w:webHidden/>
              </w:rPr>
            </w:r>
            <w:r w:rsidR="00F67AAD" w:rsidRPr="00F67AAD">
              <w:rPr>
                <w:noProof/>
                <w:webHidden/>
              </w:rPr>
              <w:fldChar w:fldCharType="separate"/>
            </w:r>
            <w:r w:rsidR="00735907">
              <w:rPr>
                <w:noProof/>
                <w:webHidden/>
              </w:rPr>
              <w:t>6</w:t>
            </w:r>
            <w:r w:rsidR="00F67AAD" w:rsidRPr="00F67AAD">
              <w:rPr>
                <w:noProof/>
                <w:webHidden/>
              </w:rPr>
              <w:fldChar w:fldCharType="end"/>
            </w:r>
          </w:hyperlink>
        </w:p>
        <w:p w14:paraId="6772C3A3"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53" w:history="1">
            <w:r w:rsidR="00F67AAD" w:rsidRPr="00F67AAD">
              <w:rPr>
                <w:rStyle w:val="Hipervnculo"/>
                <w:rFonts w:ascii="Palatino Linotype" w:eastAsia="Calibri" w:hAnsi="Palatino Linotype" w:cs="Arial"/>
                <w:noProof/>
                <w:lang w:eastAsia="es-ES_tradnl"/>
              </w:rPr>
              <w:t>CUARTO. Marco normativo aplicable en materia de transparencia y acceso a la información pública</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_Toc220595953 \h </w:instrText>
            </w:r>
            <w:r w:rsidR="00F67AAD" w:rsidRPr="00F67AAD">
              <w:rPr>
                <w:noProof/>
                <w:webHidden/>
              </w:rPr>
            </w:r>
            <w:r w:rsidR="00F67AAD" w:rsidRPr="00F67AAD">
              <w:rPr>
                <w:noProof/>
                <w:webHidden/>
              </w:rPr>
              <w:fldChar w:fldCharType="separate"/>
            </w:r>
            <w:r w:rsidR="00735907">
              <w:rPr>
                <w:noProof/>
                <w:webHidden/>
              </w:rPr>
              <w:t>7</w:t>
            </w:r>
            <w:r w:rsidR="00F67AAD" w:rsidRPr="00F67AAD">
              <w:rPr>
                <w:noProof/>
                <w:webHidden/>
              </w:rPr>
              <w:fldChar w:fldCharType="end"/>
            </w:r>
          </w:hyperlink>
        </w:p>
        <w:p w14:paraId="38C840AC"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54" w:history="1">
            <w:r w:rsidR="00F67AAD" w:rsidRPr="00F67AAD">
              <w:rPr>
                <w:rStyle w:val="Hipervnculo"/>
                <w:rFonts w:ascii="Palatino Linotype" w:eastAsia="Calibri" w:hAnsi="Palatino Linotype"/>
                <w:noProof/>
                <w:lang w:eastAsia="es-ES_tradnl"/>
              </w:rPr>
              <w:t>QUINTO. Estudio de Fondo</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_Toc220595954 \h </w:instrText>
            </w:r>
            <w:r w:rsidR="00F67AAD" w:rsidRPr="00F67AAD">
              <w:rPr>
                <w:noProof/>
                <w:webHidden/>
              </w:rPr>
            </w:r>
            <w:r w:rsidR="00F67AAD" w:rsidRPr="00F67AAD">
              <w:rPr>
                <w:noProof/>
                <w:webHidden/>
              </w:rPr>
              <w:fldChar w:fldCharType="separate"/>
            </w:r>
            <w:r w:rsidR="00735907">
              <w:rPr>
                <w:noProof/>
                <w:webHidden/>
              </w:rPr>
              <w:t>8</w:t>
            </w:r>
            <w:r w:rsidR="00F67AAD" w:rsidRPr="00F67AAD">
              <w:rPr>
                <w:noProof/>
                <w:webHidden/>
              </w:rPr>
              <w:fldChar w:fldCharType="end"/>
            </w:r>
          </w:hyperlink>
        </w:p>
        <w:p w14:paraId="7565D502" w14:textId="77777777" w:rsidR="00F67AAD" w:rsidRPr="00F67AAD" w:rsidRDefault="00DF2634">
          <w:pPr>
            <w:pStyle w:val="TDC2"/>
            <w:tabs>
              <w:tab w:val="right" w:leader="dot" w:pos="9034"/>
            </w:tabs>
            <w:rPr>
              <w:rFonts w:asciiTheme="minorHAnsi" w:eastAsiaTheme="minorEastAsia" w:hAnsiTheme="minorHAnsi" w:cstheme="minorBidi"/>
              <w:noProof/>
              <w:sz w:val="22"/>
              <w:szCs w:val="22"/>
              <w:lang w:eastAsia="es-MX"/>
            </w:rPr>
          </w:pPr>
          <w:hyperlink w:anchor="_Toc220595955" w:history="1">
            <w:r w:rsidR="00F67AAD" w:rsidRPr="00F67AAD">
              <w:rPr>
                <w:rStyle w:val="Hipervnculo"/>
                <w:rFonts w:ascii="Palatino Linotype" w:hAnsi="Palatino Linotype"/>
                <w:noProof/>
              </w:rPr>
              <w:t>SEXTO. Decisión</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_Toc220595955 \h </w:instrText>
            </w:r>
            <w:r w:rsidR="00F67AAD" w:rsidRPr="00F67AAD">
              <w:rPr>
                <w:noProof/>
                <w:webHidden/>
              </w:rPr>
            </w:r>
            <w:r w:rsidR="00F67AAD" w:rsidRPr="00F67AAD">
              <w:rPr>
                <w:noProof/>
                <w:webHidden/>
              </w:rPr>
              <w:fldChar w:fldCharType="separate"/>
            </w:r>
            <w:r w:rsidR="00735907">
              <w:rPr>
                <w:noProof/>
                <w:webHidden/>
              </w:rPr>
              <w:t>29</w:t>
            </w:r>
            <w:r w:rsidR="00F67AAD" w:rsidRPr="00F67AAD">
              <w:rPr>
                <w:noProof/>
                <w:webHidden/>
              </w:rPr>
              <w:fldChar w:fldCharType="end"/>
            </w:r>
          </w:hyperlink>
        </w:p>
        <w:p w14:paraId="5EA9955A" w14:textId="77777777" w:rsidR="00F67AAD" w:rsidRPr="00F67AAD" w:rsidRDefault="00DF2634">
          <w:pPr>
            <w:pStyle w:val="TDC1"/>
            <w:tabs>
              <w:tab w:val="right" w:leader="dot" w:pos="9034"/>
            </w:tabs>
            <w:rPr>
              <w:rFonts w:asciiTheme="minorHAnsi" w:eastAsiaTheme="minorEastAsia" w:hAnsiTheme="minorHAnsi" w:cstheme="minorBidi"/>
              <w:noProof/>
              <w:sz w:val="22"/>
              <w:szCs w:val="22"/>
              <w:lang w:eastAsia="es-MX"/>
            </w:rPr>
          </w:pPr>
          <w:hyperlink w:anchor="_Toc220595956" w:history="1">
            <w:r w:rsidR="00F67AAD" w:rsidRPr="00F67AAD">
              <w:rPr>
                <w:rStyle w:val="Hipervnculo"/>
                <w:rFonts w:ascii="Palatino Linotype" w:eastAsia="Calibri" w:hAnsi="Palatino Linotype"/>
                <w:noProof/>
                <w:lang w:eastAsia="en-US"/>
              </w:rPr>
              <w:t>R E S U E L V E</w:t>
            </w:r>
            <w:r w:rsidR="00F67AAD" w:rsidRPr="00F67AAD">
              <w:rPr>
                <w:noProof/>
                <w:webHidden/>
              </w:rPr>
              <w:tab/>
            </w:r>
            <w:r w:rsidR="00F67AAD" w:rsidRPr="00F67AAD">
              <w:rPr>
                <w:noProof/>
                <w:webHidden/>
              </w:rPr>
              <w:fldChar w:fldCharType="begin"/>
            </w:r>
            <w:r w:rsidR="00F67AAD" w:rsidRPr="00F67AAD">
              <w:rPr>
                <w:noProof/>
                <w:webHidden/>
              </w:rPr>
              <w:instrText xml:space="preserve"> PAGEREF _Toc220595956 \h </w:instrText>
            </w:r>
            <w:r w:rsidR="00F67AAD" w:rsidRPr="00F67AAD">
              <w:rPr>
                <w:noProof/>
                <w:webHidden/>
              </w:rPr>
            </w:r>
            <w:r w:rsidR="00F67AAD" w:rsidRPr="00F67AAD">
              <w:rPr>
                <w:noProof/>
                <w:webHidden/>
              </w:rPr>
              <w:fldChar w:fldCharType="separate"/>
            </w:r>
            <w:r w:rsidR="00735907">
              <w:rPr>
                <w:noProof/>
                <w:webHidden/>
              </w:rPr>
              <w:t>30</w:t>
            </w:r>
            <w:r w:rsidR="00F67AAD" w:rsidRPr="00F67AAD">
              <w:rPr>
                <w:noProof/>
                <w:webHidden/>
              </w:rPr>
              <w:fldChar w:fldCharType="end"/>
            </w:r>
          </w:hyperlink>
        </w:p>
        <w:p w14:paraId="01B9745B" w14:textId="77777777" w:rsidR="00342378" w:rsidRPr="006805D2" w:rsidRDefault="00342378" w:rsidP="000B54EE">
          <w:pPr>
            <w:spacing w:line="360" w:lineRule="auto"/>
          </w:pPr>
          <w:r w:rsidRPr="006805D2">
            <w:rPr>
              <w:rFonts w:ascii="Palatino Linotype" w:hAnsi="Palatino Linotype"/>
              <w:b/>
              <w:bCs/>
              <w:sz w:val="22"/>
              <w:szCs w:val="22"/>
              <w:lang w:val="es-ES"/>
            </w:rPr>
            <w:fldChar w:fldCharType="end"/>
          </w:r>
        </w:p>
      </w:sdtContent>
    </w:sdt>
    <w:p w14:paraId="42B16C4C" w14:textId="77777777" w:rsidR="00ED76AF" w:rsidRPr="006805D2" w:rsidRDefault="00ED76AF" w:rsidP="000B54EE">
      <w:pPr>
        <w:tabs>
          <w:tab w:val="left" w:pos="3969"/>
        </w:tabs>
        <w:spacing w:line="360" w:lineRule="auto"/>
        <w:contextualSpacing/>
        <w:jc w:val="both"/>
        <w:rPr>
          <w:rFonts w:ascii="Palatino Linotype" w:hAnsi="Palatino Linotype" w:cs="Tahoma"/>
          <w:bCs/>
          <w:sz w:val="22"/>
          <w:szCs w:val="22"/>
        </w:rPr>
      </w:pPr>
    </w:p>
    <w:p w14:paraId="2B948404" w14:textId="77777777" w:rsidR="00501E1B" w:rsidRPr="006805D2" w:rsidRDefault="00501E1B" w:rsidP="000B54EE">
      <w:pPr>
        <w:tabs>
          <w:tab w:val="left" w:pos="3969"/>
        </w:tabs>
        <w:spacing w:line="360" w:lineRule="auto"/>
        <w:contextualSpacing/>
        <w:jc w:val="both"/>
        <w:rPr>
          <w:rFonts w:ascii="Palatino Linotype" w:hAnsi="Palatino Linotype" w:cs="Tahoma"/>
          <w:bCs/>
          <w:sz w:val="22"/>
          <w:szCs w:val="22"/>
        </w:rPr>
      </w:pPr>
    </w:p>
    <w:p w14:paraId="7B996737" w14:textId="77777777" w:rsidR="008E3045" w:rsidRPr="006805D2" w:rsidRDefault="008E3045">
      <w:pPr>
        <w:spacing w:after="160" w:line="259" w:lineRule="auto"/>
        <w:rPr>
          <w:rFonts w:ascii="Palatino Linotype" w:hAnsi="Palatino Linotype" w:cs="Tahoma"/>
          <w:bCs/>
          <w:sz w:val="22"/>
          <w:szCs w:val="22"/>
        </w:rPr>
      </w:pPr>
      <w:r w:rsidRPr="006805D2">
        <w:rPr>
          <w:rFonts w:ascii="Palatino Linotype" w:hAnsi="Palatino Linotype" w:cs="Tahoma"/>
          <w:bCs/>
          <w:sz w:val="22"/>
          <w:szCs w:val="22"/>
        </w:rPr>
        <w:br w:type="page"/>
      </w:r>
    </w:p>
    <w:p w14:paraId="3C379BF2" w14:textId="77777777" w:rsidR="00E35DF9" w:rsidRPr="006805D2" w:rsidRDefault="00E35DF9" w:rsidP="000B54EE">
      <w:pPr>
        <w:spacing w:line="360" w:lineRule="auto"/>
        <w:contextualSpacing/>
        <w:jc w:val="both"/>
        <w:rPr>
          <w:rFonts w:ascii="Palatino Linotype" w:hAnsi="Palatino Linotype" w:cs="Tahoma"/>
          <w:bCs/>
          <w:sz w:val="22"/>
          <w:szCs w:val="22"/>
        </w:rPr>
      </w:pPr>
      <w:r w:rsidRPr="006805D2">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6805D2">
        <w:rPr>
          <w:rFonts w:ascii="Palatino Linotype" w:hAnsi="Palatino Linotype" w:cs="Tahoma"/>
          <w:bCs/>
          <w:sz w:val="22"/>
          <w:szCs w:val="22"/>
        </w:rPr>
        <w:t xml:space="preserve"> </w:t>
      </w:r>
      <w:r w:rsidR="00314520" w:rsidRPr="006805D2">
        <w:rPr>
          <w:rFonts w:ascii="Palatino Linotype" w:hAnsi="Palatino Linotype" w:cs="Tahoma"/>
          <w:bCs/>
          <w:sz w:val="22"/>
          <w:szCs w:val="22"/>
        </w:rPr>
        <w:t>veintiocho</w:t>
      </w:r>
      <w:r w:rsidR="009908D1" w:rsidRPr="006805D2">
        <w:rPr>
          <w:rFonts w:ascii="Palatino Linotype" w:hAnsi="Palatino Linotype" w:cs="Tahoma"/>
          <w:bCs/>
          <w:sz w:val="22"/>
          <w:szCs w:val="22"/>
        </w:rPr>
        <w:t xml:space="preserve"> de enero </w:t>
      </w:r>
      <w:r w:rsidR="008453FA" w:rsidRPr="006805D2">
        <w:rPr>
          <w:rFonts w:ascii="Palatino Linotype" w:hAnsi="Palatino Linotype" w:cs="Tahoma"/>
          <w:bCs/>
          <w:sz w:val="22"/>
          <w:szCs w:val="22"/>
        </w:rPr>
        <w:t xml:space="preserve">de dos mil </w:t>
      </w:r>
      <w:r w:rsidR="009908D1" w:rsidRPr="006805D2">
        <w:rPr>
          <w:rFonts w:ascii="Palatino Linotype" w:hAnsi="Palatino Linotype" w:cs="Tahoma"/>
          <w:bCs/>
          <w:sz w:val="22"/>
          <w:szCs w:val="22"/>
        </w:rPr>
        <w:t>veintiséis</w:t>
      </w:r>
      <w:r w:rsidRPr="006805D2">
        <w:rPr>
          <w:rFonts w:ascii="Palatino Linotype" w:hAnsi="Palatino Linotype" w:cs="Tahoma"/>
          <w:bCs/>
          <w:sz w:val="22"/>
          <w:szCs w:val="22"/>
        </w:rPr>
        <w:t>.</w:t>
      </w:r>
    </w:p>
    <w:p w14:paraId="3C6667BC" w14:textId="77777777" w:rsidR="00E35DF9" w:rsidRPr="006805D2" w:rsidRDefault="00E35DF9" w:rsidP="000B54EE">
      <w:pPr>
        <w:spacing w:line="360" w:lineRule="auto"/>
        <w:contextualSpacing/>
        <w:jc w:val="both"/>
        <w:rPr>
          <w:rFonts w:ascii="Palatino Linotype" w:hAnsi="Palatino Linotype" w:cs="Tahoma"/>
          <w:bCs/>
          <w:sz w:val="22"/>
          <w:szCs w:val="22"/>
        </w:rPr>
      </w:pPr>
    </w:p>
    <w:p w14:paraId="3FA66273" w14:textId="7FB5D64A" w:rsidR="00E35DF9" w:rsidRPr="006805D2" w:rsidRDefault="00E35DF9" w:rsidP="000B54EE">
      <w:pPr>
        <w:spacing w:line="360" w:lineRule="auto"/>
        <w:contextualSpacing/>
        <w:jc w:val="both"/>
        <w:rPr>
          <w:rFonts w:ascii="Palatino Linotype" w:hAnsi="Palatino Linotype" w:cs="Tahoma"/>
          <w:bCs/>
          <w:sz w:val="22"/>
          <w:szCs w:val="22"/>
        </w:rPr>
      </w:pPr>
      <w:r w:rsidRPr="006805D2">
        <w:rPr>
          <w:rFonts w:ascii="Palatino Linotype" w:hAnsi="Palatino Linotype" w:cs="Tahoma"/>
          <w:b/>
          <w:bCs/>
          <w:color w:val="0D0D0D" w:themeColor="text1" w:themeTint="F2"/>
          <w:sz w:val="22"/>
          <w:szCs w:val="22"/>
        </w:rPr>
        <w:t xml:space="preserve">VISTO </w:t>
      </w:r>
      <w:r w:rsidR="00D0542E" w:rsidRPr="006805D2">
        <w:rPr>
          <w:rFonts w:ascii="Palatino Linotype" w:hAnsi="Palatino Linotype" w:cs="Tahoma"/>
          <w:bCs/>
          <w:color w:val="0D0D0D" w:themeColor="text1" w:themeTint="F2"/>
          <w:sz w:val="22"/>
          <w:szCs w:val="22"/>
        </w:rPr>
        <w:t>el expediente</w:t>
      </w:r>
      <w:r w:rsidRPr="006805D2">
        <w:rPr>
          <w:rFonts w:ascii="Palatino Linotype" w:hAnsi="Palatino Linotype" w:cs="Tahoma"/>
          <w:bCs/>
          <w:color w:val="0D0D0D" w:themeColor="text1" w:themeTint="F2"/>
          <w:sz w:val="22"/>
          <w:szCs w:val="22"/>
        </w:rPr>
        <w:t xml:space="preserve"> conformado con motivo de</w:t>
      </w:r>
      <w:r w:rsidR="00E30210" w:rsidRPr="006805D2">
        <w:rPr>
          <w:rFonts w:ascii="Palatino Linotype" w:hAnsi="Palatino Linotype" w:cs="Tahoma"/>
          <w:bCs/>
          <w:color w:val="0D0D0D" w:themeColor="text1" w:themeTint="F2"/>
          <w:sz w:val="22"/>
          <w:szCs w:val="22"/>
        </w:rPr>
        <w:t>l</w:t>
      </w:r>
      <w:r w:rsidRPr="006805D2">
        <w:rPr>
          <w:rFonts w:ascii="Palatino Linotype" w:hAnsi="Palatino Linotype" w:cs="Tahoma"/>
          <w:bCs/>
          <w:color w:val="0D0D0D" w:themeColor="text1" w:themeTint="F2"/>
          <w:sz w:val="22"/>
          <w:szCs w:val="22"/>
        </w:rPr>
        <w:t xml:space="preserve"> Recurso de Revisión</w:t>
      </w:r>
      <w:r w:rsidR="0089175F" w:rsidRPr="006805D2">
        <w:rPr>
          <w:rFonts w:ascii="Palatino Linotype" w:hAnsi="Palatino Linotype" w:cs="Tahoma"/>
          <w:bCs/>
          <w:color w:val="0D0D0D" w:themeColor="text1" w:themeTint="F2"/>
          <w:sz w:val="22"/>
          <w:szCs w:val="22"/>
        </w:rPr>
        <w:t xml:space="preserve"> </w:t>
      </w:r>
      <w:r w:rsidR="00314520" w:rsidRPr="00341388">
        <w:rPr>
          <w:rFonts w:ascii="Palatino Linotype" w:hAnsi="Palatino Linotype" w:cs="Tahoma"/>
          <w:b/>
          <w:color w:val="0D0D0D" w:themeColor="text1" w:themeTint="F2"/>
          <w:sz w:val="22"/>
          <w:szCs w:val="22"/>
        </w:rPr>
        <w:t>14</w:t>
      </w:r>
      <w:r w:rsidR="00B056E3" w:rsidRPr="00341388">
        <w:rPr>
          <w:rFonts w:ascii="Palatino Linotype" w:hAnsi="Palatino Linotype" w:cs="Tahoma"/>
          <w:b/>
          <w:color w:val="0D0D0D" w:themeColor="text1" w:themeTint="F2"/>
          <w:sz w:val="22"/>
          <w:szCs w:val="22"/>
        </w:rPr>
        <w:t>4</w:t>
      </w:r>
      <w:r w:rsidR="0018340C" w:rsidRPr="00341388">
        <w:rPr>
          <w:rFonts w:ascii="Palatino Linotype" w:hAnsi="Palatino Linotype" w:cs="Tahoma"/>
          <w:b/>
          <w:color w:val="0D0D0D" w:themeColor="text1" w:themeTint="F2"/>
          <w:sz w:val="22"/>
          <w:szCs w:val="22"/>
        </w:rPr>
        <w:t>51</w:t>
      </w:r>
      <w:r w:rsidR="0089175F" w:rsidRPr="00341388">
        <w:rPr>
          <w:rFonts w:ascii="Palatino Linotype" w:hAnsi="Palatino Linotype" w:cs="Tahoma"/>
          <w:b/>
          <w:color w:val="0D0D0D" w:themeColor="text1" w:themeTint="F2"/>
          <w:sz w:val="22"/>
          <w:szCs w:val="22"/>
        </w:rPr>
        <w:t>/INFOEM/IP/RR/202</w:t>
      </w:r>
      <w:r w:rsidR="00CD10BF" w:rsidRPr="00341388">
        <w:rPr>
          <w:rFonts w:ascii="Palatino Linotype" w:hAnsi="Palatino Linotype" w:cs="Tahoma"/>
          <w:b/>
          <w:color w:val="0D0D0D" w:themeColor="text1" w:themeTint="F2"/>
          <w:sz w:val="22"/>
          <w:szCs w:val="22"/>
        </w:rPr>
        <w:t>5</w:t>
      </w:r>
      <w:r w:rsidR="0089175F" w:rsidRPr="00341388">
        <w:rPr>
          <w:rFonts w:ascii="Palatino Linotype" w:hAnsi="Palatino Linotype" w:cs="Tahoma"/>
          <w:b/>
          <w:color w:val="0D0D0D" w:themeColor="text1" w:themeTint="F2"/>
          <w:sz w:val="22"/>
          <w:szCs w:val="22"/>
        </w:rPr>
        <w:t>,</w:t>
      </w:r>
      <w:r w:rsidRPr="006805D2">
        <w:rPr>
          <w:rFonts w:ascii="Palatino Linotype" w:hAnsi="Palatino Linotype" w:cs="Tahoma"/>
          <w:color w:val="0D0D0D" w:themeColor="text1" w:themeTint="F2"/>
          <w:sz w:val="22"/>
          <w:szCs w:val="22"/>
        </w:rPr>
        <w:t xml:space="preserve"> interpuesto</w:t>
      </w:r>
      <w:r w:rsidR="00C74F5F" w:rsidRPr="006805D2">
        <w:rPr>
          <w:rFonts w:ascii="Palatino Linotype" w:hAnsi="Palatino Linotype" w:cs="Tahoma"/>
          <w:color w:val="0D0D0D" w:themeColor="text1" w:themeTint="F2"/>
          <w:sz w:val="22"/>
          <w:szCs w:val="22"/>
        </w:rPr>
        <w:t xml:space="preserve"> </w:t>
      </w:r>
      <w:r w:rsidR="007E4927" w:rsidRPr="006805D2">
        <w:rPr>
          <w:rFonts w:ascii="Palatino Linotype" w:hAnsi="Palatino Linotype" w:cs="Tahoma"/>
          <w:color w:val="0D0D0D" w:themeColor="text1" w:themeTint="F2"/>
          <w:sz w:val="22"/>
          <w:szCs w:val="22"/>
        </w:rPr>
        <w:t>por</w:t>
      </w:r>
      <w:r w:rsidR="00383BDB" w:rsidRPr="006805D2">
        <w:rPr>
          <w:rFonts w:ascii="Palatino Linotype" w:hAnsi="Palatino Linotype" w:cs="Tahoma"/>
          <w:color w:val="0D0D0D" w:themeColor="text1" w:themeTint="F2"/>
          <w:sz w:val="22"/>
          <w:szCs w:val="22"/>
        </w:rPr>
        <w:t xml:space="preserve"> </w:t>
      </w:r>
      <w:r w:rsidR="000B54EE" w:rsidRPr="006805D2">
        <w:rPr>
          <w:rFonts w:ascii="Palatino Linotype" w:hAnsi="Palatino Linotype" w:cs="Tahoma"/>
          <w:color w:val="0D0D0D" w:themeColor="text1" w:themeTint="F2"/>
          <w:sz w:val="22"/>
          <w:szCs w:val="22"/>
        </w:rPr>
        <w:t>la persona</w:t>
      </w:r>
      <w:r w:rsidR="00F770EE" w:rsidRPr="006805D2">
        <w:rPr>
          <w:rFonts w:ascii="Palatino Linotype" w:hAnsi="Palatino Linotype" w:cs="Tahoma"/>
          <w:color w:val="0D0D0D" w:themeColor="text1" w:themeTint="F2"/>
          <w:sz w:val="22"/>
          <w:szCs w:val="22"/>
        </w:rPr>
        <w:t xml:space="preserve"> </w:t>
      </w:r>
      <w:r w:rsidRPr="006805D2">
        <w:rPr>
          <w:rFonts w:ascii="Palatino Linotype" w:hAnsi="Palatino Linotype" w:cs="Tahoma"/>
          <w:color w:val="0D0D0D" w:themeColor="text1" w:themeTint="F2"/>
          <w:sz w:val="22"/>
          <w:szCs w:val="22"/>
        </w:rPr>
        <w:t>Recurrente o Particular, en contra de la respuesta del Sujeto Obligado</w:t>
      </w:r>
      <w:r w:rsidRPr="006805D2">
        <w:rPr>
          <w:rFonts w:ascii="Palatino Linotype" w:hAnsi="Palatino Linotype"/>
          <w:sz w:val="22"/>
          <w:szCs w:val="22"/>
        </w:rPr>
        <w:t xml:space="preserve"> </w:t>
      </w:r>
      <w:r w:rsidR="0018340C" w:rsidRPr="00341388">
        <w:rPr>
          <w:rFonts w:ascii="Palatino Linotype" w:eastAsia="Calibri" w:hAnsi="Palatino Linotype" w:cs="Tahoma"/>
          <w:b/>
          <w:sz w:val="22"/>
          <w:szCs w:val="22"/>
          <w:lang w:eastAsia="en-US"/>
        </w:rPr>
        <w:t>Ayuntamiento de Villa del Carbón</w:t>
      </w:r>
      <w:r w:rsidRPr="006805D2">
        <w:rPr>
          <w:rFonts w:ascii="Palatino Linotype" w:hAnsi="Palatino Linotype" w:cs="Tahoma"/>
          <w:b/>
          <w:color w:val="0D0D0D" w:themeColor="text1" w:themeTint="F2"/>
          <w:sz w:val="22"/>
          <w:szCs w:val="22"/>
        </w:rPr>
        <w:t xml:space="preserve">, </w:t>
      </w:r>
      <w:r w:rsidRPr="006805D2">
        <w:rPr>
          <w:rFonts w:ascii="Palatino Linotype" w:hAnsi="Palatino Linotype" w:cs="Tahoma"/>
          <w:bCs/>
          <w:color w:val="0D0D0D" w:themeColor="text1" w:themeTint="F2"/>
          <w:sz w:val="22"/>
          <w:szCs w:val="22"/>
        </w:rPr>
        <w:t>se emite la presente Resolución, con base en los Antecedentes y C</w:t>
      </w:r>
      <w:r w:rsidRPr="006805D2">
        <w:rPr>
          <w:rFonts w:ascii="Palatino Linotype" w:hAnsi="Palatino Linotype" w:cs="Tahoma"/>
          <w:bCs/>
          <w:sz w:val="22"/>
          <w:szCs w:val="22"/>
        </w:rPr>
        <w:t>onsiderandos que a continuación se exponen:</w:t>
      </w:r>
    </w:p>
    <w:p w14:paraId="6D1BB6BB" w14:textId="77777777" w:rsidR="00BB1F81" w:rsidRPr="006805D2" w:rsidRDefault="00BB1F81" w:rsidP="000B54EE">
      <w:pPr>
        <w:spacing w:line="360" w:lineRule="auto"/>
        <w:contextualSpacing/>
        <w:jc w:val="both"/>
        <w:rPr>
          <w:rFonts w:ascii="Palatino Linotype" w:hAnsi="Palatino Linotype" w:cs="Tahoma"/>
          <w:b/>
          <w:color w:val="0D0D0D" w:themeColor="text1" w:themeTint="F2"/>
          <w:sz w:val="18"/>
          <w:szCs w:val="22"/>
        </w:rPr>
      </w:pPr>
    </w:p>
    <w:p w14:paraId="5B3E25C8" w14:textId="77777777" w:rsidR="00E35DF9" w:rsidRPr="006805D2" w:rsidRDefault="00E35DF9" w:rsidP="000B54EE">
      <w:pPr>
        <w:pStyle w:val="Ttulo1"/>
        <w:spacing w:before="0" w:line="360" w:lineRule="auto"/>
        <w:jc w:val="center"/>
        <w:rPr>
          <w:rFonts w:ascii="Palatino Linotype" w:hAnsi="Palatino Linotype"/>
          <w:b/>
          <w:sz w:val="22"/>
          <w:szCs w:val="22"/>
        </w:rPr>
      </w:pPr>
      <w:bookmarkStart w:id="1" w:name="_Toc220595940"/>
      <w:r w:rsidRPr="006805D2">
        <w:rPr>
          <w:rFonts w:ascii="Palatino Linotype" w:hAnsi="Palatino Linotype"/>
          <w:b/>
          <w:color w:val="auto"/>
          <w:sz w:val="22"/>
          <w:szCs w:val="22"/>
        </w:rPr>
        <w:t>A N T E C E D E N T E S</w:t>
      </w:r>
      <w:bookmarkEnd w:id="1"/>
    </w:p>
    <w:p w14:paraId="7A3C619D" w14:textId="77777777" w:rsidR="001E7B8B" w:rsidRPr="006805D2" w:rsidRDefault="001E7B8B" w:rsidP="000B54EE">
      <w:pPr>
        <w:pStyle w:val="Prrafodelista"/>
        <w:tabs>
          <w:tab w:val="left" w:pos="567"/>
        </w:tabs>
        <w:spacing w:line="360" w:lineRule="auto"/>
        <w:ind w:left="0"/>
        <w:jc w:val="both"/>
        <w:rPr>
          <w:rFonts w:ascii="Palatino Linotype" w:hAnsi="Palatino Linotype" w:cs="Tahoma"/>
          <w:b/>
          <w:szCs w:val="22"/>
        </w:rPr>
      </w:pPr>
    </w:p>
    <w:p w14:paraId="7979BCD1" w14:textId="77777777" w:rsidR="00E35DF9" w:rsidRPr="006805D2" w:rsidRDefault="00E35DF9" w:rsidP="000B54EE">
      <w:pPr>
        <w:pStyle w:val="Ttulo2"/>
        <w:spacing w:before="0" w:line="360" w:lineRule="auto"/>
        <w:rPr>
          <w:rFonts w:ascii="Palatino Linotype" w:hAnsi="Palatino Linotype"/>
          <w:b/>
          <w:color w:val="auto"/>
          <w:sz w:val="22"/>
          <w:szCs w:val="22"/>
        </w:rPr>
      </w:pPr>
      <w:bookmarkStart w:id="2" w:name="_Toc220595941"/>
      <w:r w:rsidRPr="006805D2">
        <w:rPr>
          <w:rFonts w:ascii="Palatino Linotype" w:hAnsi="Palatino Linotype"/>
          <w:b/>
          <w:color w:val="auto"/>
          <w:sz w:val="22"/>
          <w:szCs w:val="22"/>
        </w:rPr>
        <w:t>I. Presentación de la solicitud de información</w:t>
      </w:r>
      <w:bookmarkEnd w:id="2"/>
    </w:p>
    <w:p w14:paraId="4E4D96A2" w14:textId="77777777" w:rsidR="00E35DF9" w:rsidRPr="006805D2" w:rsidRDefault="00E35DF9" w:rsidP="000B54EE">
      <w:pPr>
        <w:pStyle w:val="Prrafodelista"/>
        <w:tabs>
          <w:tab w:val="left" w:pos="567"/>
        </w:tabs>
        <w:spacing w:line="360" w:lineRule="auto"/>
        <w:ind w:left="0"/>
        <w:jc w:val="both"/>
        <w:rPr>
          <w:rFonts w:ascii="Palatino Linotype" w:hAnsi="Palatino Linotype" w:cs="Tahoma"/>
          <w:b/>
          <w:szCs w:val="28"/>
        </w:rPr>
      </w:pPr>
    </w:p>
    <w:p w14:paraId="1198B6AC" w14:textId="20D58ED5" w:rsidR="00E35DF9" w:rsidRPr="006805D2" w:rsidRDefault="00BB1F81" w:rsidP="000B54EE">
      <w:pPr>
        <w:tabs>
          <w:tab w:val="left" w:pos="567"/>
        </w:tabs>
        <w:spacing w:line="360" w:lineRule="auto"/>
        <w:contextualSpacing/>
        <w:jc w:val="both"/>
        <w:rPr>
          <w:rFonts w:ascii="Palatino Linotype" w:hAnsi="Palatino Linotype" w:cs="Tahoma"/>
          <w:sz w:val="22"/>
          <w:szCs w:val="22"/>
        </w:rPr>
      </w:pPr>
      <w:r w:rsidRPr="006805D2">
        <w:rPr>
          <w:rFonts w:ascii="Palatino Linotype" w:hAnsi="Palatino Linotype" w:cs="Tahoma"/>
          <w:sz w:val="22"/>
          <w:szCs w:val="22"/>
        </w:rPr>
        <w:t>El</w:t>
      </w:r>
      <w:r w:rsidR="00E35DF9" w:rsidRPr="006805D2">
        <w:rPr>
          <w:rFonts w:ascii="Palatino Linotype" w:hAnsi="Palatino Linotype" w:cs="Tahoma"/>
          <w:sz w:val="22"/>
          <w:szCs w:val="22"/>
        </w:rPr>
        <w:t xml:space="preserve"> </w:t>
      </w:r>
      <w:r w:rsidR="0018340C" w:rsidRPr="006805D2">
        <w:rPr>
          <w:rFonts w:ascii="Palatino Linotype" w:hAnsi="Palatino Linotype" w:cs="Tahoma"/>
          <w:sz w:val="22"/>
          <w:szCs w:val="22"/>
        </w:rPr>
        <w:t xml:space="preserve">nueve de diciembre </w:t>
      </w:r>
      <w:r w:rsidR="00D6115B" w:rsidRPr="006805D2">
        <w:rPr>
          <w:rFonts w:ascii="Palatino Linotype" w:hAnsi="Palatino Linotype" w:cs="Tahoma"/>
          <w:sz w:val="22"/>
          <w:szCs w:val="22"/>
        </w:rPr>
        <w:t>de dos mil veinticinco</w:t>
      </w:r>
      <w:r w:rsidR="00E35DF9" w:rsidRPr="006805D2">
        <w:rPr>
          <w:rFonts w:ascii="Palatino Linotype" w:hAnsi="Palatino Linotype" w:cs="Tahoma"/>
          <w:sz w:val="22"/>
          <w:szCs w:val="22"/>
        </w:rPr>
        <w:t xml:space="preserve">, </w:t>
      </w:r>
      <w:r w:rsidR="00C247E5" w:rsidRPr="006805D2">
        <w:rPr>
          <w:rFonts w:ascii="Palatino Linotype" w:hAnsi="Palatino Linotype" w:cs="Tahoma"/>
          <w:sz w:val="22"/>
          <w:szCs w:val="22"/>
        </w:rPr>
        <w:t>el</w:t>
      </w:r>
      <w:r w:rsidR="00E35DF9" w:rsidRPr="006805D2">
        <w:rPr>
          <w:rFonts w:ascii="Palatino Linotype" w:hAnsi="Palatino Linotype" w:cs="Tahoma"/>
          <w:sz w:val="22"/>
          <w:szCs w:val="22"/>
        </w:rPr>
        <w:t xml:space="preserve"> Particular presentó solicitud de acceso a la i</w:t>
      </w:r>
      <w:r w:rsidR="009D6672" w:rsidRPr="006805D2">
        <w:rPr>
          <w:rFonts w:ascii="Palatino Linotype" w:hAnsi="Palatino Linotype" w:cs="Tahoma"/>
          <w:sz w:val="22"/>
          <w:szCs w:val="22"/>
        </w:rPr>
        <w:t>nformación pública, a través de</w:t>
      </w:r>
      <w:r w:rsidR="00EA2594" w:rsidRPr="006805D2">
        <w:rPr>
          <w:rFonts w:ascii="Palatino Linotype" w:hAnsi="Palatino Linotype" w:cs="Tahoma"/>
          <w:sz w:val="22"/>
          <w:szCs w:val="22"/>
        </w:rPr>
        <w:t xml:space="preserve">l </w:t>
      </w:r>
      <w:r w:rsidR="00062387" w:rsidRPr="006805D2">
        <w:rPr>
          <w:rFonts w:ascii="Palatino Linotype" w:hAnsi="Palatino Linotype" w:cs="Tahoma"/>
          <w:sz w:val="22"/>
          <w:szCs w:val="22"/>
        </w:rPr>
        <w:t>Sistema de Acceso a la</w:t>
      </w:r>
      <w:r w:rsidR="000973B8" w:rsidRPr="006805D2">
        <w:rPr>
          <w:rFonts w:ascii="Palatino Linotype" w:hAnsi="Palatino Linotype" w:cs="Tahoma"/>
          <w:sz w:val="22"/>
          <w:szCs w:val="22"/>
        </w:rPr>
        <w:t xml:space="preserve"> Información Mexiquense</w:t>
      </w:r>
      <w:r w:rsidRPr="006805D2">
        <w:rPr>
          <w:rFonts w:ascii="Palatino Linotype" w:hAnsi="Palatino Linotype" w:cs="Tahoma"/>
          <w:sz w:val="22"/>
          <w:szCs w:val="22"/>
        </w:rPr>
        <w:t>, en lo sucesivo</w:t>
      </w:r>
      <w:r w:rsidR="000973B8" w:rsidRPr="006805D2">
        <w:rPr>
          <w:rFonts w:ascii="Palatino Linotype" w:hAnsi="Palatino Linotype" w:cs="Tahoma"/>
          <w:sz w:val="22"/>
          <w:szCs w:val="22"/>
        </w:rPr>
        <w:t xml:space="preserve"> </w:t>
      </w:r>
      <w:r w:rsidRPr="006805D2">
        <w:rPr>
          <w:rFonts w:ascii="Palatino Linotype" w:hAnsi="Palatino Linotype" w:cs="Tahoma"/>
          <w:sz w:val="22"/>
          <w:szCs w:val="22"/>
        </w:rPr>
        <w:t xml:space="preserve">el </w:t>
      </w:r>
      <w:r w:rsidR="000973B8" w:rsidRPr="006805D2">
        <w:rPr>
          <w:rFonts w:ascii="Palatino Linotype" w:hAnsi="Palatino Linotype" w:cs="Tahoma"/>
          <w:sz w:val="22"/>
          <w:szCs w:val="22"/>
        </w:rPr>
        <w:t>SAIMEX</w:t>
      </w:r>
      <w:r w:rsidR="00E35DF9" w:rsidRPr="006805D2">
        <w:rPr>
          <w:rFonts w:ascii="Palatino Linotype" w:hAnsi="Palatino Linotype" w:cs="Tahoma"/>
          <w:sz w:val="22"/>
          <w:szCs w:val="22"/>
        </w:rPr>
        <w:t xml:space="preserve">, ante </w:t>
      </w:r>
      <w:r w:rsidR="009C323D" w:rsidRPr="006805D2">
        <w:rPr>
          <w:rFonts w:ascii="Palatino Linotype" w:hAnsi="Palatino Linotype" w:cs="Tahoma"/>
          <w:sz w:val="22"/>
          <w:szCs w:val="22"/>
        </w:rPr>
        <w:t>e</w:t>
      </w:r>
      <w:r w:rsidR="00212285" w:rsidRPr="006805D2">
        <w:rPr>
          <w:rFonts w:ascii="Palatino Linotype" w:hAnsi="Palatino Linotype" w:cs="Tahoma"/>
          <w:sz w:val="22"/>
          <w:szCs w:val="22"/>
        </w:rPr>
        <w:t>l</w:t>
      </w:r>
      <w:r w:rsidR="00E35DF9" w:rsidRPr="006805D2">
        <w:rPr>
          <w:rFonts w:ascii="Palatino Linotype" w:hAnsi="Palatino Linotype" w:cs="Tahoma"/>
          <w:sz w:val="22"/>
          <w:szCs w:val="22"/>
        </w:rPr>
        <w:t xml:space="preserve"> </w:t>
      </w:r>
      <w:r w:rsidR="0018340C" w:rsidRPr="006805D2">
        <w:rPr>
          <w:rFonts w:ascii="Palatino Linotype" w:hAnsi="Palatino Linotype" w:cs="Tahoma"/>
          <w:sz w:val="22"/>
          <w:szCs w:val="22"/>
        </w:rPr>
        <w:t>Ayuntamiento de Villa del Carbón</w:t>
      </w:r>
      <w:r w:rsidR="00E35DF9" w:rsidRPr="006805D2">
        <w:rPr>
          <w:rFonts w:ascii="Palatino Linotype" w:hAnsi="Palatino Linotype" w:cs="Tahoma"/>
          <w:sz w:val="22"/>
          <w:szCs w:val="22"/>
        </w:rPr>
        <w:t xml:space="preserve">, </w:t>
      </w:r>
      <w:r w:rsidR="003A12F1" w:rsidRPr="006805D2">
        <w:rPr>
          <w:rFonts w:ascii="Palatino Linotype" w:hAnsi="Palatino Linotype" w:cs="Tahoma"/>
          <w:sz w:val="22"/>
          <w:szCs w:val="22"/>
        </w:rPr>
        <w:t xml:space="preserve">misma que fue registrada con el número de folio </w:t>
      </w:r>
      <w:r w:rsidR="0018340C" w:rsidRPr="006805D2">
        <w:rPr>
          <w:rFonts w:ascii="Palatino Linotype" w:hAnsi="Palatino Linotype" w:cs="Tahoma"/>
          <w:sz w:val="22"/>
          <w:szCs w:val="22"/>
        </w:rPr>
        <w:t>00317/VICARBO/IP/2025</w:t>
      </w:r>
      <w:r w:rsidR="003A12F1" w:rsidRPr="006805D2">
        <w:rPr>
          <w:rFonts w:ascii="Palatino Linotype" w:hAnsi="Palatino Linotype" w:cs="Tahoma"/>
          <w:b/>
          <w:bCs/>
          <w:sz w:val="22"/>
          <w:szCs w:val="22"/>
        </w:rPr>
        <w:t xml:space="preserve">, </w:t>
      </w:r>
      <w:r w:rsidR="00E35DF9" w:rsidRPr="006805D2">
        <w:rPr>
          <w:rFonts w:ascii="Palatino Linotype" w:hAnsi="Palatino Linotype" w:cs="Tahoma"/>
          <w:sz w:val="22"/>
          <w:szCs w:val="22"/>
        </w:rPr>
        <w:t xml:space="preserve">mediante </w:t>
      </w:r>
      <w:r w:rsidR="0074594A" w:rsidRPr="006805D2">
        <w:rPr>
          <w:rFonts w:ascii="Palatino Linotype" w:hAnsi="Palatino Linotype" w:cs="Tahoma"/>
          <w:sz w:val="22"/>
          <w:szCs w:val="22"/>
        </w:rPr>
        <w:t>l</w:t>
      </w:r>
      <w:r w:rsidR="00B50512" w:rsidRPr="006805D2">
        <w:rPr>
          <w:rFonts w:ascii="Palatino Linotype" w:hAnsi="Palatino Linotype" w:cs="Tahoma"/>
          <w:sz w:val="22"/>
          <w:szCs w:val="22"/>
        </w:rPr>
        <w:t>a</w:t>
      </w:r>
      <w:r w:rsidR="00E35DF9" w:rsidRPr="006805D2">
        <w:rPr>
          <w:rFonts w:ascii="Palatino Linotype" w:hAnsi="Palatino Linotype" w:cs="Tahoma"/>
          <w:sz w:val="22"/>
          <w:szCs w:val="22"/>
        </w:rPr>
        <w:t xml:space="preserve"> cual requirió lo siguiente: </w:t>
      </w:r>
    </w:p>
    <w:p w14:paraId="2AA49497" w14:textId="77777777" w:rsidR="00D807FB" w:rsidRPr="006805D2" w:rsidRDefault="00D807FB" w:rsidP="000B54EE">
      <w:pPr>
        <w:tabs>
          <w:tab w:val="left" w:pos="567"/>
        </w:tabs>
        <w:spacing w:line="360" w:lineRule="auto"/>
        <w:contextualSpacing/>
        <w:jc w:val="both"/>
        <w:rPr>
          <w:rFonts w:ascii="Palatino Linotype" w:hAnsi="Palatino Linotype" w:cs="Tahoma"/>
          <w:sz w:val="22"/>
        </w:rPr>
      </w:pPr>
    </w:p>
    <w:p w14:paraId="06E52FDD" w14:textId="77777777" w:rsidR="00D807FB" w:rsidRPr="006805D2" w:rsidRDefault="00D807FB" w:rsidP="000B54EE">
      <w:pPr>
        <w:tabs>
          <w:tab w:val="left" w:pos="567"/>
        </w:tabs>
        <w:spacing w:line="360" w:lineRule="auto"/>
        <w:ind w:left="567" w:right="539"/>
        <w:contextualSpacing/>
        <w:jc w:val="both"/>
        <w:rPr>
          <w:rFonts w:ascii="Palatino Linotype" w:hAnsi="Palatino Linotype" w:cs="Tahoma"/>
          <w:b/>
          <w:bCs/>
          <w:sz w:val="22"/>
          <w:szCs w:val="22"/>
        </w:rPr>
      </w:pPr>
      <w:r w:rsidRPr="006805D2">
        <w:rPr>
          <w:rFonts w:ascii="Palatino Linotype" w:hAnsi="Palatino Linotype" w:cs="Tahoma"/>
          <w:b/>
          <w:bCs/>
        </w:rPr>
        <w:t>DESCRIPCIÓN CLARA Y PRECISA DE LA INFORMACIÓN SOLICITADA</w:t>
      </w:r>
    </w:p>
    <w:p w14:paraId="2169DDF2" w14:textId="3D0E0D20" w:rsidR="000F2B83" w:rsidRPr="006805D2" w:rsidRDefault="004B553D" w:rsidP="00F1586E">
      <w:pPr>
        <w:pStyle w:val="Prrafodelista"/>
        <w:tabs>
          <w:tab w:val="left" w:pos="567"/>
        </w:tabs>
        <w:spacing w:line="360" w:lineRule="auto"/>
        <w:ind w:left="567" w:right="539"/>
        <w:jc w:val="both"/>
        <w:rPr>
          <w:rFonts w:ascii="Palatino Linotype" w:hAnsi="Palatino Linotype"/>
          <w:i/>
          <w:iCs/>
          <w:color w:val="000000"/>
          <w:sz w:val="20"/>
          <w:szCs w:val="20"/>
        </w:rPr>
      </w:pPr>
      <w:r w:rsidRPr="006805D2">
        <w:rPr>
          <w:rFonts w:ascii="Palatino Linotype" w:hAnsi="Palatino Linotype"/>
          <w:i/>
          <w:iCs/>
          <w:color w:val="000000"/>
          <w:sz w:val="20"/>
          <w:szCs w:val="20"/>
        </w:rPr>
        <w:t>"</w:t>
      </w:r>
      <w:r w:rsidR="0018340C" w:rsidRPr="006805D2">
        <w:rPr>
          <w:rFonts w:ascii="Palatino Linotype" w:hAnsi="Palatino Linotype"/>
          <w:i/>
          <w:iCs/>
          <w:color w:val="000000"/>
          <w:sz w:val="20"/>
          <w:szCs w:val="20"/>
        </w:rPr>
        <w:t xml:space="preserve">Solicito una lista con los nombres, puestos y sueldo mensual neto, de todo el personal adscrito al ayuntamiento del Villa del Carbón, administración 2025-2027. En formato </w:t>
      </w:r>
      <w:proofErr w:type="spellStart"/>
      <w:r w:rsidR="0018340C" w:rsidRPr="006805D2">
        <w:rPr>
          <w:rFonts w:ascii="Palatino Linotype" w:hAnsi="Palatino Linotype"/>
          <w:i/>
          <w:iCs/>
          <w:color w:val="000000"/>
          <w:sz w:val="20"/>
          <w:szCs w:val="20"/>
        </w:rPr>
        <w:t>pdf</w:t>
      </w:r>
      <w:proofErr w:type="spellEnd"/>
      <w:r w:rsidR="0018340C" w:rsidRPr="006805D2">
        <w:rPr>
          <w:rFonts w:ascii="Palatino Linotype" w:hAnsi="Palatino Linotype"/>
          <w:i/>
          <w:iCs/>
          <w:color w:val="000000"/>
          <w:sz w:val="20"/>
          <w:szCs w:val="20"/>
        </w:rPr>
        <w:t xml:space="preserve">, por esta vía. A la fecha de la solicitud. </w:t>
      </w:r>
      <w:proofErr w:type="gramStart"/>
      <w:r w:rsidR="00B50512" w:rsidRPr="006805D2">
        <w:rPr>
          <w:rFonts w:ascii="Palatino Linotype" w:hAnsi="Palatino Linotype"/>
          <w:i/>
          <w:iCs/>
          <w:color w:val="000000"/>
          <w:sz w:val="20"/>
          <w:szCs w:val="20"/>
        </w:rPr>
        <w:t>"</w:t>
      </w:r>
      <w:r w:rsidR="00A650C6" w:rsidRPr="006805D2">
        <w:rPr>
          <w:rFonts w:ascii="Palatino Linotype" w:hAnsi="Palatino Linotype"/>
          <w:i/>
          <w:iCs/>
          <w:color w:val="000000"/>
          <w:sz w:val="20"/>
          <w:szCs w:val="20"/>
        </w:rPr>
        <w:t xml:space="preserve"> </w:t>
      </w:r>
      <w:r w:rsidR="00954EDD" w:rsidRPr="006805D2">
        <w:rPr>
          <w:rFonts w:ascii="Palatino Linotype" w:hAnsi="Palatino Linotype"/>
          <w:i/>
          <w:iCs/>
          <w:color w:val="000000"/>
          <w:sz w:val="20"/>
          <w:szCs w:val="20"/>
        </w:rPr>
        <w:t>(</w:t>
      </w:r>
      <w:proofErr w:type="gramEnd"/>
      <w:r w:rsidR="00954EDD" w:rsidRPr="006805D2">
        <w:rPr>
          <w:rFonts w:ascii="Palatino Linotype" w:hAnsi="Palatino Linotype"/>
          <w:i/>
          <w:iCs/>
          <w:color w:val="000000"/>
          <w:sz w:val="20"/>
          <w:szCs w:val="20"/>
        </w:rPr>
        <w:t>Sic)</w:t>
      </w:r>
    </w:p>
    <w:p w14:paraId="75744A47" w14:textId="77777777" w:rsidR="007E4927" w:rsidRPr="006805D2" w:rsidRDefault="007E4927" w:rsidP="000B54EE">
      <w:pPr>
        <w:pStyle w:val="Prrafodelista"/>
        <w:tabs>
          <w:tab w:val="left" w:pos="567"/>
        </w:tabs>
        <w:spacing w:line="360" w:lineRule="auto"/>
        <w:ind w:left="567" w:right="539"/>
        <w:jc w:val="both"/>
        <w:rPr>
          <w:rFonts w:ascii="Palatino Linotype" w:hAnsi="Palatino Linotype"/>
          <w:i/>
          <w:iCs/>
          <w:color w:val="000000"/>
          <w:sz w:val="20"/>
          <w:szCs w:val="20"/>
        </w:rPr>
      </w:pPr>
    </w:p>
    <w:p w14:paraId="6E316A8B" w14:textId="77777777" w:rsidR="00E677FF" w:rsidRPr="006805D2" w:rsidRDefault="00E35DF9" w:rsidP="000B54EE">
      <w:pPr>
        <w:pStyle w:val="Prrafodelista"/>
        <w:tabs>
          <w:tab w:val="left" w:pos="567"/>
        </w:tabs>
        <w:spacing w:line="360" w:lineRule="auto"/>
        <w:ind w:left="567" w:right="539"/>
        <w:jc w:val="both"/>
        <w:rPr>
          <w:rFonts w:ascii="Palatino Linotype" w:hAnsi="Palatino Linotype" w:cs="Tahoma"/>
          <w:b/>
          <w:sz w:val="20"/>
          <w:szCs w:val="22"/>
        </w:rPr>
      </w:pPr>
      <w:r w:rsidRPr="006805D2">
        <w:rPr>
          <w:rFonts w:ascii="Palatino Linotype" w:hAnsi="Palatino Linotype" w:cs="Tahoma"/>
          <w:b/>
          <w:sz w:val="20"/>
          <w:szCs w:val="22"/>
        </w:rPr>
        <w:t>MODALIDAD DE ENTREGA</w:t>
      </w:r>
      <w:r w:rsidR="00007985" w:rsidRPr="006805D2">
        <w:rPr>
          <w:rFonts w:ascii="Palatino Linotype" w:hAnsi="Palatino Linotype" w:cs="Tahoma"/>
          <w:b/>
          <w:sz w:val="20"/>
          <w:szCs w:val="22"/>
        </w:rPr>
        <w:t xml:space="preserve"> </w:t>
      </w:r>
    </w:p>
    <w:p w14:paraId="09527CEF" w14:textId="5FF6F57C" w:rsidR="00E35DF9" w:rsidRPr="006805D2" w:rsidRDefault="00E677FF" w:rsidP="000B54EE">
      <w:pPr>
        <w:pStyle w:val="Prrafodelista"/>
        <w:tabs>
          <w:tab w:val="left" w:pos="567"/>
        </w:tabs>
        <w:spacing w:line="360" w:lineRule="auto"/>
        <w:ind w:left="567" w:right="539"/>
        <w:jc w:val="both"/>
        <w:rPr>
          <w:rFonts w:ascii="Palatino Linotype" w:hAnsi="Palatino Linotype" w:cs="Tahoma"/>
          <w:i/>
          <w:sz w:val="20"/>
          <w:szCs w:val="22"/>
        </w:rPr>
      </w:pPr>
      <w:r w:rsidRPr="006805D2">
        <w:rPr>
          <w:rFonts w:ascii="Palatino Linotype" w:hAnsi="Palatino Linotype" w:cs="Tahoma"/>
          <w:b/>
          <w:sz w:val="20"/>
          <w:szCs w:val="22"/>
        </w:rPr>
        <w:t>“</w:t>
      </w:r>
      <w:r w:rsidR="00062387" w:rsidRPr="006805D2">
        <w:rPr>
          <w:rFonts w:ascii="Palatino Linotype" w:hAnsi="Palatino Linotype" w:cs="Tahoma"/>
          <w:i/>
          <w:sz w:val="20"/>
          <w:szCs w:val="22"/>
        </w:rPr>
        <w:t>A través del SAIMEX</w:t>
      </w:r>
      <w:r w:rsidR="007E4927" w:rsidRPr="006805D2">
        <w:rPr>
          <w:rFonts w:ascii="Palatino Linotype" w:hAnsi="Palatino Linotype" w:cs="Tahoma"/>
          <w:i/>
          <w:sz w:val="20"/>
          <w:szCs w:val="22"/>
        </w:rPr>
        <w:t>”</w:t>
      </w:r>
    </w:p>
    <w:p w14:paraId="3C8F891B" w14:textId="77777777" w:rsidR="008E3045" w:rsidRPr="006805D2" w:rsidRDefault="008E3045" w:rsidP="00B056E3">
      <w:pPr>
        <w:tabs>
          <w:tab w:val="left" w:pos="567"/>
        </w:tabs>
        <w:spacing w:line="360" w:lineRule="auto"/>
        <w:ind w:right="539"/>
        <w:jc w:val="both"/>
        <w:rPr>
          <w:rFonts w:ascii="Palatino Linotype" w:hAnsi="Palatino Linotype" w:cs="Tahoma"/>
          <w:i/>
          <w:szCs w:val="22"/>
        </w:rPr>
      </w:pPr>
    </w:p>
    <w:p w14:paraId="698BB80F" w14:textId="77777777" w:rsidR="00AC72D5" w:rsidRPr="006805D2" w:rsidRDefault="00AC72D5" w:rsidP="00B056E3">
      <w:pPr>
        <w:tabs>
          <w:tab w:val="left" w:pos="567"/>
        </w:tabs>
        <w:spacing w:line="360" w:lineRule="auto"/>
        <w:ind w:right="539"/>
        <w:jc w:val="both"/>
        <w:rPr>
          <w:rFonts w:ascii="Palatino Linotype" w:hAnsi="Palatino Linotype" w:cs="Tahoma"/>
          <w:i/>
          <w:szCs w:val="22"/>
        </w:rPr>
      </w:pPr>
    </w:p>
    <w:p w14:paraId="675280CE" w14:textId="55B047D4" w:rsidR="00681D84" w:rsidRPr="006805D2" w:rsidRDefault="00B056E3" w:rsidP="0018340C">
      <w:pPr>
        <w:keepNext/>
        <w:keepLines/>
        <w:spacing w:line="360" w:lineRule="auto"/>
        <w:contextualSpacing/>
        <w:jc w:val="both"/>
        <w:outlineLvl w:val="1"/>
      </w:pPr>
      <w:bookmarkStart w:id="3" w:name="_Toc206496349"/>
      <w:bookmarkStart w:id="4" w:name="_Toc210747036"/>
      <w:bookmarkStart w:id="5" w:name="_Toc210751362"/>
      <w:bookmarkStart w:id="6" w:name="_Toc215143627"/>
      <w:bookmarkStart w:id="7" w:name="_Toc219280619"/>
      <w:bookmarkStart w:id="8" w:name="_Toc220595942"/>
      <w:r w:rsidRPr="006805D2">
        <w:rPr>
          <w:rFonts w:ascii="Palatino Linotype" w:eastAsia="Palatino Linotype" w:hAnsi="Palatino Linotype" w:cs="Palatino Linotype"/>
          <w:b/>
          <w:color w:val="000000"/>
          <w:sz w:val="22"/>
          <w:szCs w:val="22"/>
          <w:lang w:eastAsia="es-MX"/>
        </w:rPr>
        <w:lastRenderedPageBreak/>
        <w:t xml:space="preserve">II. </w:t>
      </w:r>
      <w:bookmarkEnd w:id="3"/>
      <w:bookmarkEnd w:id="4"/>
      <w:bookmarkEnd w:id="5"/>
      <w:bookmarkEnd w:id="6"/>
      <w:bookmarkEnd w:id="7"/>
      <w:r w:rsidR="00681D84" w:rsidRPr="006805D2">
        <w:rPr>
          <w:rFonts w:ascii="Palatino Linotype" w:hAnsi="Palatino Linotype" w:cs="Tahoma"/>
          <w:b/>
          <w:sz w:val="22"/>
          <w:szCs w:val="22"/>
        </w:rPr>
        <w:t>Respuesta del Sujeto Obligado</w:t>
      </w:r>
      <w:bookmarkEnd w:id="8"/>
    </w:p>
    <w:p w14:paraId="632457FE" w14:textId="77777777" w:rsidR="00E0128F" w:rsidRPr="006805D2" w:rsidRDefault="00E0128F" w:rsidP="000B54EE">
      <w:pPr>
        <w:pStyle w:val="Prrafodelista"/>
        <w:tabs>
          <w:tab w:val="left" w:pos="567"/>
        </w:tabs>
        <w:spacing w:line="360" w:lineRule="auto"/>
        <w:ind w:left="0"/>
        <w:jc w:val="both"/>
        <w:rPr>
          <w:rFonts w:ascii="Palatino Linotype" w:hAnsi="Palatino Linotype" w:cs="Tahoma"/>
          <w:b/>
          <w:sz w:val="20"/>
          <w:szCs w:val="22"/>
        </w:rPr>
      </w:pPr>
    </w:p>
    <w:p w14:paraId="2428AC01" w14:textId="651FEE75" w:rsidR="00785FCA" w:rsidRPr="006805D2" w:rsidRDefault="00BB1F81" w:rsidP="008E3045">
      <w:pPr>
        <w:autoSpaceDE w:val="0"/>
        <w:autoSpaceDN w:val="0"/>
        <w:adjustRightInd w:val="0"/>
        <w:spacing w:line="360" w:lineRule="auto"/>
        <w:contextualSpacing/>
        <w:jc w:val="both"/>
        <w:rPr>
          <w:rFonts w:ascii="Palatino Linotype" w:hAnsi="Palatino Linotype" w:cs="Tahoma"/>
          <w:sz w:val="22"/>
          <w:szCs w:val="22"/>
        </w:rPr>
      </w:pPr>
      <w:r w:rsidRPr="006805D2">
        <w:rPr>
          <w:rFonts w:ascii="Palatino Linotype" w:hAnsi="Palatino Linotype" w:cs="Tahoma"/>
          <w:sz w:val="22"/>
          <w:szCs w:val="22"/>
        </w:rPr>
        <w:t>El</w:t>
      </w:r>
      <w:r w:rsidR="00681D84" w:rsidRPr="006805D2">
        <w:rPr>
          <w:rFonts w:ascii="Palatino Linotype" w:hAnsi="Palatino Linotype" w:cs="Tahoma"/>
          <w:sz w:val="22"/>
          <w:szCs w:val="22"/>
        </w:rPr>
        <w:t xml:space="preserve"> </w:t>
      </w:r>
      <w:r w:rsidR="0018340C" w:rsidRPr="006805D2">
        <w:rPr>
          <w:rFonts w:ascii="Palatino Linotype" w:hAnsi="Palatino Linotype" w:cs="Tahoma"/>
          <w:sz w:val="22"/>
          <w:szCs w:val="22"/>
        </w:rPr>
        <w:t xml:space="preserve">dieciséis </w:t>
      </w:r>
      <w:r w:rsidR="00314520" w:rsidRPr="006805D2">
        <w:rPr>
          <w:rFonts w:ascii="Palatino Linotype" w:hAnsi="Palatino Linotype" w:cs="Tahoma"/>
          <w:sz w:val="22"/>
          <w:szCs w:val="22"/>
        </w:rPr>
        <w:t>de diciembre</w:t>
      </w:r>
      <w:r w:rsidR="00DB28B1" w:rsidRPr="006805D2">
        <w:rPr>
          <w:rFonts w:ascii="Palatino Linotype" w:hAnsi="Palatino Linotype" w:cs="Tahoma"/>
          <w:sz w:val="22"/>
          <w:szCs w:val="22"/>
        </w:rPr>
        <w:t xml:space="preserve"> </w:t>
      </w:r>
      <w:r w:rsidR="00B71F2C" w:rsidRPr="006805D2">
        <w:rPr>
          <w:rFonts w:ascii="Palatino Linotype" w:hAnsi="Palatino Linotype" w:cs="Tahoma"/>
          <w:sz w:val="22"/>
          <w:szCs w:val="22"/>
        </w:rPr>
        <w:t>de dos mil veinti</w:t>
      </w:r>
      <w:r w:rsidR="00F93A36" w:rsidRPr="006805D2">
        <w:rPr>
          <w:rFonts w:ascii="Palatino Linotype" w:hAnsi="Palatino Linotype" w:cs="Tahoma"/>
          <w:sz w:val="22"/>
          <w:szCs w:val="22"/>
        </w:rPr>
        <w:t>c</w:t>
      </w:r>
      <w:r w:rsidR="00CD10BF" w:rsidRPr="006805D2">
        <w:rPr>
          <w:rFonts w:ascii="Palatino Linotype" w:hAnsi="Palatino Linotype" w:cs="Tahoma"/>
          <w:sz w:val="22"/>
          <w:szCs w:val="22"/>
        </w:rPr>
        <w:t>inco</w:t>
      </w:r>
      <w:r w:rsidR="00681D84" w:rsidRPr="006805D2">
        <w:rPr>
          <w:rFonts w:ascii="Palatino Linotype" w:hAnsi="Palatino Linotype" w:cs="Tahoma"/>
          <w:sz w:val="22"/>
          <w:szCs w:val="22"/>
        </w:rPr>
        <w:t xml:space="preserve">, </w:t>
      </w:r>
      <w:r w:rsidR="00D74B06" w:rsidRPr="006805D2">
        <w:rPr>
          <w:rFonts w:ascii="Palatino Linotype" w:hAnsi="Palatino Linotype" w:cs="Tahoma"/>
          <w:sz w:val="22"/>
          <w:szCs w:val="22"/>
        </w:rPr>
        <w:t xml:space="preserve">el Sujeto Obligado </w:t>
      </w:r>
      <w:r w:rsidR="008453FA" w:rsidRPr="006805D2">
        <w:rPr>
          <w:rFonts w:ascii="Palatino Linotype" w:hAnsi="Palatino Linotype" w:cs="Tahoma"/>
          <w:sz w:val="22"/>
          <w:szCs w:val="22"/>
        </w:rPr>
        <w:t xml:space="preserve">otorgó respuesta a través del </w:t>
      </w:r>
      <w:r w:rsidRPr="006805D2">
        <w:rPr>
          <w:rFonts w:ascii="Palatino Linotype" w:hAnsi="Palatino Linotype" w:cs="Tahoma"/>
          <w:sz w:val="22"/>
          <w:szCs w:val="22"/>
        </w:rPr>
        <w:t>SAIMEX</w:t>
      </w:r>
      <w:r w:rsidR="008453FA" w:rsidRPr="006805D2">
        <w:rPr>
          <w:rFonts w:ascii="Palatino Linotype" w:hAnsi="Palatino Linotype" w:cs="Tahoma"/>
          <w:sz w:val="22"/>
          <w:szCs w:val="22"/>
        </w:rPr>
        <w:t xml:space="preserve"> en </w:t>
      </w:r>
      <w:r w:rsidR="009C323D" w:rsidRPr="006805D2">
        <w:rPr>
          <w:rFonts w:ascii="Palatino Linotype" w:hAnsi="Palatino Linotype" w:cs="Tahoma"/>
          <w:sz w:val="22"/>
          <w:szCs w:val="22"/>
        </w:rPr>
        <w:t>l</w:t>
      </w:r>
      <w:r w:rsidR="00253861" w:rsidRPr="006805D2">
        <w:rPr>
          <w:rFonts w:ascii="Palatino Linotype" w:hAnsi="Palatino Linotype" w:cs="Tahoma"/>
          <w:sz w:val="22"/>
          <w:szCs w:val="22"/>
        </w:rPr>
        <w:t xml:space="preserve">a que </w:t>
      </w:r>
      <w:r w:rsidR="009908D1" w:rsidRPr="006805D2">
        <w:rPr>
          <w:rFonts w:ascii="Palatino Linotype" w:hAnsi="Palatino Linotype" w:cs="Tahoma"/>
          <w:sz w:val="22"/>
          <w:szCs w:val="22"/>
        </w:rPr>
        <w:t xml:space="preserve">el </w:t>
      </w:r>
      <w:r w:rsidR="00B056E3" w:rsidRPr="006805D2">
        <w:rPr>
          <w:rFonts w:ascii="Palatino Linotype" w:hAnsi="Palatino Linotype" w:cs="Tahoma"/>
          <w:sz w:val="22"/>
          <w:szCs w:val="22"/>
        </w:rPr>
        <w:t xml:space="preserve">Director de </w:t>
      </w:r>
      <w:r w:rsidR="00E677FF" w:rsidRPr="006805D2">
        <w:rPr>
          <w:rFonts w:ascii="Palatino Linotype" w:hAnsi="Palatino Linotype" w:cs="Tahoma"/>
          <w:sz w:val="22"/>
          <w:szCs w:val="22"/>
        </w:rPr>
        <w:t>A</w:t>
      </w:r>
      <w:r w:rsidR="00B056E3" w:rsidRPr="006805D2">
        <w:rPr>
          <w:rFonts w:ascii="Palatino Linotype" w:hAnsi="Palatino Linotype" w:cs="Tahoma"/>
          <w:sz w:val="22"/>
          <w:szCs w:val="22"/>
        </w:rPr>
        <w:t xml:space="preserve">dministración </w:t>
      </w:r>
      <w:r w:rsidR="0018340C" w:rsidRPr="006805D2">
        <w:rPr>
          <w:rFonts w:ascii="Palatino Linotype" w:hAnsi="Palatino Linotype" w:cs="Tahoma"/>
          <w:sz w:val="22"/>
          <w:szCs w:val="22"/>
        </w:rPr>
        <w:t xml:space="preserve">y </w:t>
      </w:r>
      <w:r w:rsidR="00E677FF" w:rsidRPr="006805D2">
        <w:rPr>
          <w:rFonts w:ascii="Palatino Linotype" w:hAnsi="Palatino Linotype" w:cs="Tahoma"/>
          <w:sz w:val="22"/>
          <w:szCs w:val="22"/>
        </w:rPr>
        <w:t>R</w:t>
      </w:r>
      <w:r w:rsidR="0018340C" w:rsidRPr="006805D2">
        <w:rPr>
          <w:rFonts w:ascii="Palatino Linotype" w:hAnsi="Palatino Linotype" w:cs="Tahoma"/>
          <w:sz w:val="22"/>
          <w:szCs w:val="22"/>
        </w:rPr>
        <w:t xml:space="preserve">ecursos </w:t>
      </w:r>
      <w:r w:rsidR="00E677FF" w:rsidRPr="006805D2">
        <w:rPr>
          <w:rFonts w:ascii="Palatino Linotype" w:hAnsi="Palatino Linotype" w:cs="Tahoma"/>
          <w:sz w:val="22"/>
          <w:szCs w:val="22"/>
        </w:rPr>
        <w:t>H</w:t>
      </w:r>
      <w:r w:rsidR="0018340C" w:rsidRPr="006805D2">
        <w:rPr>
          <w:rFonts w:ascii="Palatino Linotype" w:hAnsi="Palatino Linotype" w:cs="Tahoma"/>
          <w:sz w:val="22"/>
          <w:szCs w:val="22"/>
        </w:rPr>
        <w:t>umanos señaló que la información se podía consultar en el portal IPOMEX.</w:t>
      </w:r>
    </w:p>
    <w:p w14:paraId="3D43C369" w14:textId="77777777" w:rsidR="0018340C" w:rsidRPr="006805D2" w:rsidRDefault="0018340C" w:rsidP="008E3045">
      <w:pPr>
        <w:autoSpaceDE w:val="0"/>
        <w:autoSpaceDN w:val="0"/>
        <w:adjustRightInd w:val="0"/>
        <w:spacing w:line="360" w:lineRule="auto"/>
        <w:contextualSpacing/>
        <w:jc w:val="both"/>
        <w:rPr>
          <w:rFonts w:ascii="Palatino Linotype" w:hAnsi="Palatino Linotype" w:cs="Tahoma"/>
          <w:sz w:val="22"/>
          <w:szCs w:val="22"/>
        </w:rPr>
      </w:pPr>
    </w:p>
    <w:p w14:paraId="475B73BC" w14:textId="77777777" w:rsidR="001A412B" w:rsidRPr="006805D2" w:rsidRDefault="007812D1" w:rsidP="000B54EE">
      <w:pPr>
        <w:pStyle w:val="Ttulo2"/>
        <w:spacing w:before="0" w:line="360" w:lineRule="auto"/>
        <w:rPr>
          <w:rFonts w:ascii="Palatino Linotype" w:hAnsi="Palatino Linotype" w:cs="Tahoma"/>
          <w:b/>
          <w:color w:val="auto"/>
          <w:sz w:val="22"/>
          <w:szCs w:val="22"/>
        </w:rPr>
      </w:pPr>
      <w:bookmarkStart w:id="9" w:name="_Toc220595943"/>
      <w:bookmarkEnd w:id="0"/>
      <w:r w:rsidRPr="006805D2">
        <w:rPr>
          <w:rFonts w:ascii="Palatino Linotype" w:hAnsi="Palatino Linotype" w:cs="Tahoma"/>
          <w:b/>
          <w:color w:val="auto"/>
          <w:sz w:val="22"/>
          <w:szCs w:val="22"/>
        </w:rPr>
        <w:t>I</w:t>
      </w:r>
      <w:r w:rsidR="00BF4B55" w:rsidRPr="006805D2">
        <w:rPr>
          <w:rFonts w:ascii="Palatino Linotype" w:hAnsi="Palatino Linotype" w:cs="Tahoma"/>
          <w:b/>
          <w:color w:val="auto"/>
          <w:sz w:val="22"/>
          <w:szCs w:val="22"/>
        </w:rPr>
        <w:t>II</w:t>
      </w:r>
      <w:r w:rsidR="009A7587" w:rsidRPr="006805D2">
        <w:rPr>
          <w:rFonts w:ascii="Palatino Linotype" w:hAnsi="Palatino Linotype" w:cs="Tahoma"/>
          <w:b/>
          <w:color w:val="auto"/>
          <w:sz w:val="22"/>
          <w:szCs w:val="22"/>
        </w:rPr>
        <w:t>. Interposición del Recurso de Revisión</w:t>
      </w:r>
      <w:bookmarkEnd w:id="9"/>
    </w:p>
    <w:p w14:paraId="1A73D72E" w14:textId="77777777" w:rsidR="00F87649" w:rsidRPr="006805D2" w:rsidRDefault="00F87649" w:rsidP="000B54EE">
      <w:pPr>
        <w:autoSpaceDE w:val="0"/>
        <w:autoSpaceDN w:val="0"/>
        <w:adjustRightInd w:val="0"/>
        <w:spacing w:line="360" w:lineRule="auto"/>
        <w:contextualSpacing/>
        <w:jc w:val="both"/>
        <w:rPr>
          <w:rFonts w:ascii="Palatino Linotype" w:hAnsi="Palatino Linotype" w:cs="Tahoma"/>
          <w:b/>
          <w:sz w:val="18"/>
          <w:szCs w:val="22"/>
        </w:rPr>
      </w:pPr>
    </w:p>
    <w:p w14:paraId="6912B80E" w14:textId="77777777" w:rsidR="009A7587" w:rsidRPr="006805D2" w:rsidRDefault="009A7587" w:rsidP="000B54EE">
      <w:pPr>
        <w:tabs>
          <w:tab w:val="left" w:pos="3122"/>
        </w:tabs>
        <w:spacing w:line="360" w:lineRule="auto"/>
        <w:contextualSpacing/>
        <w:jc w:val="both"/>
        <w:rPr>
          <w:rFonts w:ascii="Palatino Linotype" w:hAnsi="Palatino Linotype" w:cs="Tahoma"/>
          <w:sz w:val="22"/>
          <w:szCs w:val="22"/>
        </w:rPr>
      </w:pPr>
      <w:r w:rsidRPr="006805D2">
        <w:rPr>
          <w:rFonts w:ascii="Palatino Linotype" w:hAnsi="Palatino Linotype" w:cs="Tahoma"/>
          <w:sz w:val="22"/>
          <w:szCs w:val="22"/>
        </w:rPr>
        <w:t>Con fecha</w:t>
      </w:r>
      <w:r w:rsidR="00E13C8C" w:rsidRPr="006805D2">
        <w:rPr>
          <w:rFonts w:ascii="Palatino Linotype" w:hAnsi="Palatino Linotype" w:cs="Tahoma"/>
          <w:sz w:val="22"/>
          <w:szCs w:val="22"/>
        </w:rPr>
        <w:t xml:space="preserve"> </w:t>
      </w:r>
      <w:r w:rsidR="00B056E3" w:rsidRPr="006805D2">
        <w:rPr>
          <w:rFonts w:ascii="Palatino Linotype" w:hAnsi="Palatino Linotype" w:cs="Tahoma"/>
          <w:sz w:val="22"/>
          <w:szCs w:val="22"/>
        </w:rPr>
        <w:t>diecisiete</w:t>
      </w:r>
      <w:r w:rsidR="00314520" w:rsidRPr="006805D2">
        <w:rPr>
          <w:rFonts w:ascii="Palatino Linotype" w:hAnsi="Palatino Linotype" w:cs="Tahoma"/>
          <w:sz w:val="22"/>
          <w:szCs w:val="22"/>
        </w:rPr>
        <w:t xml:space="preserve"> de diciembre </w:t>
      </w:r>
      <w:r w:rsidR="00B267E1" w:rsidRPr="006805D2">
        <w:rPr>
          <w:rFonts w:ascii="Palatino Linotype" w:hAnsi="Palatino Linotype" w:cs="Tahoma"/>
          <w:sz w:val="22"/>
          <w:szCs w:val="22"/>
        </w:rPr>
        <w:t>de dos mil veinti</w:t>
      </w:r>
      <w:r w:rsidR="00F93A36" w:rsidRPr="006805D2">
        <w:rPr>
          <w:rFonts w:ascii="Palatino Linotype" w:hAnsi="Palatino Linotype" w:cs="Tahoma"/>
          <w:sz w:val="22"/>
          <w:szCs w:val="22"/>
        </w:rPr>
        <w:t>c</w:t>
      </w:r>
      <w:r w:rsidR="00BF4B55" w:rsidRPr="006805D2">
        <w:rPr>
          <w:rFonts w:ascii="Palatino Linotype" w:hAnsi="Palatino Linotype" w:cs="Tahoma"/>
          <w:sz w:val="22"/>
          <w:szCs w:val="22"/>
        </w:rPr>
        <w:t>inco</w:t>
      </w:r>
      <w:r w:rsidRPr="006805D2">
        <w:rPr>
          <w:rFonts w:ascii="Palatino Linotype" w:hAnsi="Palatino Linotype" w:cs="Tahoma"/>
          <w:sz w:val="22"/>
          <w:szCs w:val="22"/>
        </w:rPr>
        <w:t xml:space="preserve">, a través del </w:t>
      </w:r>
      <w:r w:rsidR="00BB1F81" w:rsidRPr="006805D2">
        <w:rPr>
          <w:rFonts w:ascii="Palatino Linotype" w:hAnsi="Palatino Linotype" w:cs="Tahoma"/>
          <w:sz w:val="22"/>
          <w:szCs w:val="22"/>
          <w:lang w:val="es-ES"/>
        </w:rPr>
        <w:t>SAIMEX</w:t>
      </w:r>
      <w:r w:rsidR="00A048C7" w:rsidRPr="006805D2">
        <w:rPr>
          <w:rFonts w:ascii="Palatino Linotype" w:hAnsi="Palatino Linotype" w:cs="Tahoma"/>
          <w:sz w:val="22"/>
          <w:szCs w:val="22"/>
        </w:rPr>
        <w:t>, se interpus</w:t>
      </w:r>
      <w:r w:rsidR="003C3E71" w:rsidRPr="006805D2">
        <w:rPr>
          <w:rFonts w:ascii="Palatino Linotype" w:hAnsi="Palatino Linotype" w:cs="Tahoma"/>
          <w:sz w:val="22"/>
          <w:szCs w:val="22"/>
        </w:rPr>
        <w:t>o</w:t>
      </w:r>
      <w:r w:rsidR="00A048C7" w:rsidRPr="006805D2">
        <w:rPr>
          <w:rFonts w:ascii="Palatino Linotype" w:hAnsi="Palatino Linotype" w:cs="Tahoma"/>
          <w:sz w:val="22"/>
          <w:szCs w:val="22"/>
        </w:rPr>
        <w:t xml:space="preserve"> </w:t>
      </w:r>
      <w:r w:rsidR="003C3E71" w:rsidRPr="006805D2">
        <w:rPr>
          <w:rFonts w:ascii="Palatino Linotype" w:hAnsi="Palatino Linotype" w:cs="Tahoma"/>
          <w:sz w:val="22"/>
          <w:szCs w:val="22"/>
        </w:rPr>
        <w:t>el</w:t>
      </w:r>
      <w:r w:rsidRPr="006805D2">
        <w:rPr>
          <w:rFonts w:ascii="Palatino Linotype" w:hAnsi="Palatino Linotype" w:cs="Tahoma"/>
          <w:sz w:val="22"/>
          <w:szCs w:val="22"/>
        </w:rPr>
        <w:t xml:space="preserve"> presente Recurso de Revisión por</w:t>
      </w:r>
      <w:r w:rsidR="008E6658" w:rsidRPr="006805D2">
        <w:rPr>
          <w:rFonts w:ascii="Palatino Linotype" w:hAnsi="Palatino Linotype" w:cs="Tahoma"/>
          <w:sz w:val="22"/>
          <w:szCs w:val="22"/>
        </w:rPr>
        <w:t xml:space="preserve"> </w:t>
      </w:r>
      <w:r w:rsidR="0035716C" w:rsidRPr="006805D2">
        <w:rPr>
          <w:rFonts w:ascii="Palatino Linotype" w:hAnsi="Palatino Linotype" w:cs="Tahoma"/>
          <w:sz w:val="22"/>
          <w:szCs w:val="22"/>
        </w:rPr>
        <w:t xml:space="preserve">el </w:t>
      </w:r>
      <w:r w:rsidRPr="006805D2">
        <w:rPr>
          <w:rFonts w:ascii="Palatino Linotype" w:hAnsi="Palatino Linotype" w:cs="Tahoma"/>
          <w:sz w:val="22"/>
          <w:szCs w:val="22"/>
        </w:rPr>
        <w:t xml:space="preserve">Recurrente, en contra de </w:t>
      </w:r>
      <w:r w:rsidR="00655265" w:rsidRPr="006805D2">
        <w:rPr>
          <w:rFonts w:ascii="Palatino Linotype" w:hAnsi="Palatino Linotype" w:cs="Tahoma"/>
          <w:sz w:val="22"/>
          <w:szCs w:val="22"/>
        </w:rPr>
        <w:t>la respuesta emitida</w:t>
      </w:r>
      <w:r w:rsidRPr="006805D2">
        <w:rPr>
          <w:rFonts w:ascii="Palatino Linotype" w:hAnsi="Palatino Linotype" w:cs="Tahoma"/>
          <w:sz w:val="22"/>
          <w:szCs w:val="22"/>
        </w:rPr>
        <w:t xml:space="preserve"> por el Sujeto Obligado a </w:t>
      </w:r>
      <w:r w:rsidR="00655265" w:rsidRPr="006805D2">
        <w:rPr>
          <w:rFonts w:ascii="Palatino Linotype" w:hAnsi="Palatino Linotype" w:cs="Tahoma"/>
          <w:sz w:val="22"/>
          <w:szCs w:val="22"/>
        </w:rPr>
        <w:t>la solicitud</w:t>
      </w:r>
      <w:r w:rsidRPr="006805D2">
        <w:rPr>
          <w:rFonts w:ascii="Palatino Linotype" w:hAnsi="Palatino Linotype" w:cs="Tahoma"/>
          <w:sz w:val="22"/>
          <w:szCs w:val="22"/>
        </w:rPr>
        <w:t xml:space="preserve"> de información, en los siguientes términos:</w:t>
      </w:r>
    </w:p>
    <w:p w14:paraId="0E2BE1B5" w14:textId="77777777" w:rsidR="00AB6595" w:rsidRPr="006805D2" w:rsidRDefault="00AB6595" w:rsidP="000B54EE">
      <w:pPr>
        <w:tabs>
          <w:tab w:val="left" w:pos="4995"/>
        </w:tabs>
        <w:spacing w:line="360" w:lineRule="auto"/>
        <w:contextualSpacing/>
        <w:jc w:val="both"/>
        <w:rPr>
          <w:rFonts w:ascii="Palatino Linotype" w:hAnsi="Palatino Linotype" w:cs="Tahoma"/>
          <w:sz w:val="22"/>
          <w:szCs w:val="22"/>
        </w:rPr>
      </w:pPr>
    </w:p>
    <w:p w14:paraId="447E9074" w14:textId="77777777" w:rsidR="00D5699B" w:rsidRPr="006805D2" w:rsidRDefault="00D5699B" w:rsidP="000B54EE">
      <w:pPr>
        <w:spacing w:line="360" w:lineRule="auto"/>
        <w:ind w:left="567" w:right="539"/>
        <w:contextualSpacing/>
        <w:jc w:val="both"/>
        <w:rPr>
          <w:rFonts w:ascii="Palatino Linotype" w:hAnsi="Palatino Linotype" w:cs="Tahoma"/>
          <w:b/>
          <w:bCs/>
          <w:szCs w:val="22"/>
        </w:rPr>
      </w:pPr>
      <w:r w:rsidRPr="006805D2">
        <w:rPr>
          <w:rFonts w:ascii="Palatino Linotype" w:hAnsi="Palatino Linotype" w:cs="Tahoma"/>
          <w:b/>
          <w:bCs/>
          <w:szCs w:val="22"/>
        </w:rPr>
        <w:t>ACTO IMPUGNADO</w:t>
      </w:r>
    </w:p>
    <w:p w14:paraId="467898B8" w14:textId="5D23DF2E" w:rsidR="003D1770" w:rsidRPr="006805D2" w:rsidRDefault="007E4927" w:rsidP="000B54EE">
      <w:pPr>
        <w:spacing w:line="360" w:lineRule="auto"/>
        <w:ind w:left="567" w:right="539"/>
        <w:contextualSpacing/>
        <w:jc w:val="both"/>
        <w:rPr>
          <w:rFonts w:ascii="Palatino Linotype" w:hAnsi="Palatino Linotype" w:cs="Tahoma"/>
          <w:bCs/>
          <w:szCs w:val="22"/>
        </w:rPr>
      </w:pPr>
      <w:r w:rsidRPr="006805D2">
        <w:rPr>
          <w:rFonts w:ascii="Palatino Linotype" w:hAnsi="Palatino Linotype" w:cs="Tahoma"/>
          <w:bCs/>
          <w:i/>
          <w:szCs w:val="22"/>
        </w:rPr>
        <w:t>“</w:t>
      </w:r>
      <w:r w:rsidR="0018340C" w:rsidRPr="006805D2">
        <w:rPr>
          <w:rFonts w:ascii="Palatino Linotype" w:hAnsi="Palatino Linotype" w:cs="Tahoma"/>
          <w:bCs/>
          <w:i/>
          <w:szCs w:val="22"/>
        </w:rPr>
        <w:t xml:space="preserve">El sujeto obligado no entrega la información como se solicita. </w:t>
      </w:r>
      <w:r w:rsidR="00E55401" w:rsidRPr="006805D2">
        <w:rPr>
          <w:rFonts w:ascii="Palatino Linotype" w:hAnsi="Palatino Linotype" w:cs="Tahoma"/>
          <w:bCs/>
          <w:i/>
          <w:szCs w:val="22"/>
        </w:rPr>
        <w:t>"</w:t>
      </w:r>
      <w:r w:rsidR="004D62C9" w:rsidRPr="006805D2">
        <w:rPr>
          <w:rFonts w:ascii="Palatino Linotype" w:hAnsi="Palatino Linotype" w:cs="Tahoma"/>
          <w:bCs/>
          <w:i/>
          <w:szCs w:val="22"/>
        </w:rPr>
        <w:t xml:space="preserve"> (Sic)</w:t>
      </w:r>
    </w:p>
    <w:p w14:paraId="1B8797DF" w14:textId="77777777" w:rsidR="000B54EE" w:rsidRPr="006805D2" w:rsidRDefault="000B54EE" w:rsidP="000B54EE">
      <w:pPr>
        <w:spacing w:line="360" w:lineRule="auto"/>
        <w:ind w:left="567" w:right="539"/>
        <w:contextualSpacing/>
        <w:jc w:val="both"/>
        <w:rPr>
          <w:rFonts w:ascii="Palatino Linotype" w:hAnsi="Palatino Linotype" w:cs="Tahoma"/>
          <w:bCs/>
          <w:szCs w:val="22"/>
        </w:rPr>
      </w:pPr>
    </w:p>
    <w:p w14:paraId="3BDA155D" w14:textId="77777777" w:rsidR="00CE2F19" w:rsidRPr="006805D2" w:rsidRDefault="00CE2F19" w:rsidP="000B54EE">
      <w:pPr>
        <w:spacing w:line="360" w:lineRule="auto"/>
        <w:ind w:left="567" w:right="539"/>
        <w:contextualSpacing/>
        <w:jc w:val="both"/>
        <w:rPr>
          <w:rFonts w:ascii="Palatino Linotype" w:hAnsi="Palatino Linotype" w:cs="Tahoma"/>
          <w:b/>
          <w:bCs/>
          <w:szCs w:val="22"/>
        </w:rPr>
      </w:pPr>
      <w:r w:rsidRPr="006805D2">
        <w:rPr>
          <w:rFonts w:ascii="Palatino Linotype" w:hAnsi="Palatino Linotype" w:cs="Tahoma"/>
          <w:b/>
          <w:bCs/>
          <w:szCs w:val="22"/>
        </w:rPr>
        <w:t>RAZONES O MOTIVOS DE LA INCONFORMIDAD</w:t>
      </w:r>
    </w:p>
    <w:p w14:paraId="387251F9" w14:textId="079FAB28" w:rsidR="00CE2F19" w:rsidRPr="006805D2" w:rsidRDefault="00CE2F19" w:rsidP="000B54EE">
      <w:pPr>
        <w:spacing w:line="360" w:lineRule="auto"/>
        <w:ind w:left="567" w:right="539"/>
        <w:contextualSpacing/>
        <w:jc w:val="both"/>
        <w:rPr>
          <w:rFonts w:ascii="Palatino Linotype" w:hAnsi="Palatino Linotype" w:cs="Tahoma"/>
          <w:bCs/>
          <w:i/>
          <w:szCs w:val="24"/>
        </w:rPr>
      </w:pPr>
      <w:r w:rsidRPr="006805D2">
        <w:rPr>
          <w:rFonts w:ascii="Palatino Linotype" w:hAnsi="Palatino Linotype" w:cs="Tahoma"/>
          <w:bCs/>
          <w:i/>
          <w:szCs w:val="24"/>
        </w:rPr>
        <w:t>“</w:t>
      </w:r>
      <w:bookmarkStart w:id="10" w:name="_Hlk181699048"/>
      <w:r w:rsidR="0018340C" w:rsidRPr="006805D2">
        <w:rPr>
          <w:rFonts w:ascii="Palatino Linotype" w:hAnsi="Palatino Linotype" w:cs="Tahoma"/>
          <w:bCs/>
          <w:i/>
          <w:szCs w:val="24"/>
        </w:rPr>
        <w:t>El sujeto obligado no entrega la información en el formato ni por la vía solicitada. Y remite a otra plataforma no accesible para el solicitante.</w:t>
      </w:r>
      <w:r w:rsidRPr="006805D2">
        <w:rPr>
          <w:rFonts w:ascii="Palatino Linotype" w:hAnsi="Palatino Linotype" w:cs="Tahoma"/>
          <w:bCs/>
          <w:i/>
          <w:szCs w:val="24"/>
        </w:rPr>
        <w:t>”</w:t>
      </w:r>
      <w:r w:rsidR="004D62C9" w:rsidRPr="006805D2">
        <w:rPr>
          <w:rFonts w:ascii="Palatino Linotype" w:hAnsi="Palatino Linotype" w:cs="Tahoma"/>
          <w:bCs/>
          <w:i/>
          <w:szCs w:val="24"/>
        </w:rPr>
        <w:t xml:space="preserve"> (Sic)</w:t>
      </w:r>
    </w:p>
    <w:p w14:paraId="14BF9859" w14:textId="77777777" w:rsidR="00342378" w:rsidRPr="006805D2" w:rsidRDefault="00342378" w:rsidP="000B54EE">
      <w:pPr>
        <w:spacing w:line="360" w:lineRule="auto"/>
        <w:ind w:right="539"/>
        <w:contextualSpacing/>
        <w:jc w:val="both"/>
        <w:rPr>
          <w:rFonts w:ascii="Palatino Linotype" w:hAnsi="Palatino Linotype" w:cs="Tahoma"/>
          <w:bCs/>
          <w:i/>
          <w:szCs w:val="24"/>
        </w:rPr>
      </w:pPr>
    </w:p>
    <w:p w14:paraId="15444E79" w14:textId="77777777" w:rsidR="009A7587" w:rsidRPr="006805D2" w:rsidRDefault="00BF4B55" w:rsidP="000B54EE">
      <w:pPr>
        <w:pStyle w:val="Ttulo2"/>
        <w:spacing w:before="0" w:line="360" w:lineRule="auto"/>
        <w:rPr>
          <w:rFonts w:ascii="Palatino Linotype" w:eastAsia="Batang" w:hAnsi="Palatino Linotype" w:cs="Tahoma"/>
          <w:b/>
          <w:bCs/>
          <w:color w:val="auto"/>
          <w:sz w:val="22"/>
          <w:szCs w:val="22"/>
        </w:rPr>
      </w:pPr>
      <w:bookmarkStart w:id="11" w:name="_Toc220595944"/>
      <w:bookmarkEnd w:id="10"/>
      <w:r w:rsidRPr="006805D2">
        <w:rPr>
          <w:rStyle w:val="Ttulo2Car"/>
          <w:rFonts w:ascii="Palatino Linotype" w:hAnsi="Palatino Linotype"/>
          <w:b/>
          <w:color w:val="auto"/>
          <w:sz w:val="22"/>
          <w:szCs w:val="22"/>
        </w:rPr>
        <w:t>I</w:t>
      </w:r>
      <w:r w:rsidR="00FF1049" w:rsidRPr="006805D2">
        <w:rPr>
          <w:rStyle w:val="Ttulo2Car"/>
          <w:rFonts w:ascii="Palatino Linotype" w:hAnsi="Palatino Linotype"/>
          <w:b/>
          <w:color w:val="auto"/>
          <w:sz w:val="22"/>
          <w:szCs w:val="22"/>
        </w:rPr>
        <w:t>V</w:t>
      </w:r>
      <w:r w:rsidR="009A7587" w:rsidRPr="006805D2">
        <w:rPr>
          <w:rStyle w:val="Ttulo2Car"/>
          <w:rFonts w:ascii="Palatino Linotype" w:hAnsi="Palatino Linotype"/>
          <w:b/>
          <w:color w:val="auto"/>
          <w:sz w:val="22"/>
          <w:szCs w:val="22"/>
        </w:rPr>
        <w:t>. Trámite del Recurso de Revisión ante el Instituto</w:t>
      </w:r>
      <w:bookmarkEnd w:id="11"/>
    </w:p>
    <w:p w14:paraId="78833E03" w14:textId="77777777" w:rsidR="007E4927" w:rsidRPr="006805D2" w:rsidRDefault="007E4927" w:rsidP="000B54EE">
      <w:pPr>
        <w:spacing w:line="360" w:lineRule="auto"/>
        <w:contextualSpacing/>
        <w:jc w:val="both"/>
        <w:rPr>
          <w:rFonts w:ascii="Palatino Linotype" w:eastAsia="Batang" w:hAnsi="Palatino Linotype" w:cs="Tahoma"/>
          <w:b/>
          <w:bCs/>
          <w:sz w:val="22"/>
          <w:szCs w:val="22"/>
        </w:rPr>
      </w:pPr>
    </w:p>
    <w:p w14:paraId="5DEEF2EC" w14:textId="09941F0A" w:rsidR="00C950E3" w:rsidRPr="006805D2" w:rsidRDefault="009A7587" w:rsidP="000B54EE">
      <w:pPr>
        <w:spacing w:line="360" w:lineRule="auto"/>
        <w:contextualSpacing/>
        <w:jc w:val="both"/>
        <w:rPr>
          <w:rFonts w:ascii="Palatino Linotype" w:eastAsia="Batang" w:hAnsi="Palatino Linotype" w:cs="Tahoma"/>
          <w:bCs/>
          <w:sz w:val="22"/>
          <w:szCs w:val="22"/>
        </w:rPr>
      </w:pPr>
      <w:bookmarkStart w:id="12" w:name="_Toc205306988"/>
      <w:bookmarkStart w:id="13" w:name="_Toc220595945"/>
      <w:r w:rsidRPr="006805D2">
        <w:rPr>
          <w:rStyle w:val="Ttulo3Car"/>
          <w:rFonts w:ascii="Palatino Linotype" w:hAnsi="Palatino Linotype"/>
          <w:b/>
          <w:color w:val="auto"/>
          <w:sz w:val="22"/>
          <w:szCs w:val="22"/>
        </w:rPr>
        <w:t>a) Turno del Recurso de Revisión</w:t>
      </w:r>
      <w:r w:rsidRPr="006805D2">
        <w:rPr>
          <w:rStyle w:val="Ttulo3Car"/>
          <w:rFonts w:ascii="Palatino Linotype" w:hAnsi="Palatino Linotype"/>
          <w:color w:val="auto"/>
          <w:sz w:val="22"/>
          <w:szCs w:val="22"/>
        </w:rPr>
        <w:t>.</w:t>
      </w:r>
      <w:bookmarkEnd w:id="12"/>
      <w:bookmarkEnd w:id="13"/>
      <w:r w:rsidRPr="006805D2">
        <w:rPr>
          <w:rFonts w:ascii="Palatino Linotype" w:eastAsia="Batang" w:hAnsi="Palatino Linotype" w:cs="Tahoma"/>
          <w:b/>
          <w:bCs/>
          <w:sz w:val="22"/>
          <w:szCs w:val="22"/>
        </w:rPr>
        <w:t xml:space="preserve"> </w:t>
      </w:r>
      <w:r w:rsidR="00A06844" w:rsidRPr="006805D2">
        <w:rPr>
          <w:rFonts w:ascii="Palatino Linotype" w:eastAsia="Batang" w:hAnsi="Palatino Linotype" w:cs="Tahoma"/>
          <w:bCs/>
          <w:sz w:val="22"/>
          <w:szCs w:val="22"/>
        </w:rPr>
        <w:t xml:space="preserve">El </w:t>
      </w:r>
      <w:r w:rsidR="00B056E3" w:rsidRPr="006805D2">
        <w:rPr>
          <w:rFonts w:ascii="Palatino Linotype" w:hAnsi="Palatino Linotype" w:cs="Tahoma"/>
          <w:sz w:val="22"/>
          <w:szCs w:val="22"/>
        </w:rPr>
        <w:t>diecisiete</w:t>
      </w:r>
      <w:r w:rsidR="00314520" w:rsidRPr="006805D2">
        <w:rPr>
          <w:rFonts w:ascii="Palatino Linotype" w:hAnsi="Palatino Linotype" w:cs="Tahoma"/>
          <w:sz w:val="22"/>
          <w:szCs w:val="22"/>
        </w:rPr>
        <w:t xml:space="preserve"> de diciembre </w:t>
      </w:r>
      <w:r w:rsidR="00BF4B55" w:rsidRPr="006805D2">
        <w:rPr>
          <w:rFonts w:ascii="Palatino Linotype" w:hAnsi="Palatino Linotype" w:cs="Tahoma"/>
          <w:sz w:val="22"/>
          <w:szCs w:val="22"/>
        </w:rPr>
        <w:t>de dos mil veinticinco</w:t>
      </w:r>
      <w:r w:rsidR="00A06844" w:rsidRPr="006805D2">
        <w:rPr>
          <w:rFonts w:ascii="Palatino Linotype" w:eastAsia="Batang" w:hAnsi="Palatino Linotype" w:cs="Tahoma"/>
          <w:bCs/>
          <w:sz w:val="22"/>
          <w:szCs w:val="22"/>
        </w:rPr>
        <w:t xml:space="preserve">, </w:t>
      </w:r>
      <w:r w:rsidR="00D5699B" w:rsidRPr="006805D2">
        <w:rPr>
          <w:rFonts w:ascii="Palatino Linotype" w:eastAsia="Batang" w:hAnsi="Palatino Linotype" w:cs="Tahoma"/>
          <w:bCs/>
          <w:sz w:val="22"/>
          <w:szCs w:val="22"/>
        </w:rPr>
        <w:t xml:space="preserve">el </w:t>
      </w:r>
      <w:r w:rsidR="00BB1F81" w:rsidRPr="006805D2">
        <w:rPr>
          <w:rFonts w:ascii="Palatino Linotype" w:eastAsia="Batang" w:hAnsi="Palatino Linotype" w:cs="Tahoma"/>
          <w:bCs/>
          <w:sz w:val="22"/>
          <w:szCs w:val="22"/>
        </w:rPr>
        <w:t>SAIMEX</w:t>
      </w:r>
      <w:r w:rsidR="00D5699B" w:rsidRPr="006805D2">
        <w:rPr>
          <w:rFonts w:ascii="Palatino Linotype" w:eastAsia="Batang" w:hAnsi="Palatino Linotype" w:cs="Tahoma"/>
          <w:bCs/>
          <w:sz w:val="22"/>
          <w:szCs w:val="22"/>
        </w:rPr>
        <w:t xml:space="preserve">, asignó el número de expediente </w:t>
      </w:r>
      <w:r w:rsidR="00314520" w:rsidRPr="006805D2">
        <w:rPr>
          <w:rFonts w:ascii="Palatino Linotype" w:eastAsia="Batang" w:hAnsi="Palatino Linotype" w:cs="Tahoma"/>
          <w:b/>
          <w:bCs/>
          <w:sz w:val="22"/>
          <w:szCs w:val="22"/>
        </w:rPr>
        <w:t>14</w:t>
      </w:r>
      <w:r w:rsidR="00B056E3" w:rsidRPr="006805D2">
        <w:rPr>
          <w:rFonts w:ascii="Palatino Linotype" w:eastAsia="Batang" w:hAnsi="Palatino Linotype" w:cs="Tahoma"/>
          <w:b/>
          <w:bCs/>
          <w:sz w:val="22"/>
          <w:szCs w:val="22"/>
        </w:rPr>
        <w:t>4</w:t>
      </w:r>
      <w:r w:rsidR="0018340C" w:rsidRPr="006805D2">
        <w:rPr>
          <w:rFonts w:ascii="Palatino Linotype" w:eastAsia="Batang" w:hAnsi="Palatino Linotype" w:cs="Tahoma"/>
          <w:b/>
          <w:bCs/>
          <w:sz w:val="22"/>
          <w:szCs w:val="22"/>
        </w:rPr>
        <w:t>51</w:t>
      </w:r>
      <w:r w:rsidR="00D5699B" w:rsidRPr="006805D2">
        <w:rPr>
          <w:rFonts w:ascii="Palatino Linotype" w:eastAsia="Batang" w:hAnsi="Palatino Linotype" w:cs="Tahoma"/>
          <w:b/>
          <w:bCs/>
          <w:sz w:val="22"/>
          <w:szCs w:val="22"/>
        </w:rPr>
        <w:t>/INFOEM/IP/RR/202</w:t>
      </w:r>
      <w:r w:rsidR="00BF4B55" w:rsidRPr="006805D2">
        <w:rPr>
          <w:rFonts w:ascii="Palatino Linotype" w:eastAsia="Batang" w:hAnsi="Palatino Linotype" w:cs="Tahoma"/>
          <w:b/>
          <w:bCs/>
          <w:sz w:val="22"/>
          <w:szCs w:val="22"/>
        </w:rPr>
        <w:t>5</w:t>
      </w:r>
      <w:r w:rsidR="00D5699B" w:rsidRPr="006805D2">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6805D2">
        <w:rPr>
          <w:rFonts w:ascii="Palatino Linotype" w:eastAsia="Batang" w:hAnsi="Palatino Linotype" w:cs="Tahoma"/>
          <w:b/>
          <w:bCs/>
          <w:sz w:val="22"/>
          <w:szCs w:val="22"/>
        </w:rPr>
        <w:t>Comisionado Ponente Luis Gustavo Parra Noriega</w:t>
      </w:r>
      <w:r w:rsidR="00D5699B" w:rsidRPr="006805D2">
        <w:rPr>
          <w:rFonts w:ascii="Palatino Linotype" w:eastAsia="Batang" w:hAnsi="Palatino Linotype" w:cs="Tahoma"/>
          <w:bCs/>
          <w:sz w:val="22"/>
          <w:szCs w:val="22"/>
        </w:rPr>
        <w:t>, para los efectos del artículo 185, fracción I</w:t>
      </w:r>
      <w:r w:rsidR="00BB1F81" w:rsidRPr="006805D2">
        <w:rPr>
          <w:rFonts w:ascii="Palatino Linotype" w:eastAsia="Batang" w:hAnsi="Palatino Linotype" w:cs="Tahoma"/>
          <w:bCs/>
          <w:sz w:val="22"/>
          <w:szCs w:val="22"/>
        </w:rPr>
        <w:t>,</w:t>
      </w:r>
      <w:r w:rsidR="00D5699B" w:rsidRPr="006805D2">
        <w:rPr>
          <w:rFonts w:ascii="Palatino Linotype" w:eastAsia="Batang" w:hAnsi="Palatino Linotype" w:cs="Tahoma"/>
          <w:bCs/>
          <w:sz w:val="22"/>
          <w:szCs w:val="22"/>
        </w:rPr>
        <w:t xml:space="preserve"> de la Ley de Transparencia y Acceso a la Información Pública del Estado de México y Municipios.</w:t>
      </w:r>
    </w:p>
    <w:p w14:paraId="5D1C3ECB" w14:textId="77777777" w:rsidR="00253937" w:rsidRPr="006805D2" w:rsidRDefault="009A7587" w:rsidP="000B54EE">
      <w:pPr>
        <w:spacing w:line="360" w:lineRule="auto"/>
        <w:contextualSpacing/>
        <w:jc w:val="both"/>
        <w:rPr>
          <w:rFonts w:ascii="Palatino Linotype" w:hAnsi="Palatino Linotype" w:cs="Tahoma"/>
          <w:bCs/>
          <w:sz w:val="22"/>
          <w:szCs w:val="22"/>
          <w:lang w:val="es-ES_tradnl"/>
        </w:rPr>
      </w:pPr>
      <w:bookmarkStart w:id="14" w:name="_Toc205306989"/>
      <w:bookmarkStart w:id="15" w:name="_Toc220595946"/>
      <w:r w:rsidRPr="006805D2">
        <w:rPr>
          <w:rStyle w:val="Ttulo3Car"/>
          <w:rFonts w:ascii="Palatino Linotype" w:hAnsi="Palatino Linotype"/>
          <w:b/>
          <w:color w:val="auto"/>
          <w:sz w:val="22"/>
          <w:szCs w:val="22"/>
        </w:rPr>
        <w:lastRenderedPageBreak/>
        <w:t>b) Admisión del Recurso de Revisión</w:t>
      </w:r>
      <w:r w:rsidRPr="006805D2">
        <w:rPr>
          <w:rStyle w:val="Ttulo3Car"/>
          <w:rFonts w:ascii="Palatino Linotype" w:hAnsi="Palatino Linotype"/>
          <w:color w:val="auto"/>
          <w:sz w:val="22"/>
          <w:szCs w:val="22"/>
        </w:rPr>
        <w:t>.</w:t>
      </w:r>
      <w:bookmarkEnd w:id="14"/>
      <w:bookmarkEnd w:id="15"/>
      <w:r w:rsidRPr="006805D2">
        <w:rPr>
          <w:rFonts w:ascii="Palatino Linotype" w:eastAsia="Batang" w:hAnsi="Palatino Linotype" w:cs="Tahoma"/>
          <w:b/>
          <w:bCs/>
          <w:sz w:val="22"/>
          <w:szCs w:val="22"/>
          <w:lang w:val="es-ES_tradnl"/>
        </w:rPr>
        <w:t xml:space="preserve"> </w:t>
      </w:r>
      <w:r w:rsidRPr="006805D2">
        <w:rPr>
          <w:rFonts w:ascii="Palatino Linotype" w:hAnsi="Palatino Linotype" w:cs="Tahoma"/>
          <w:bCs/>
          <w:sz w:val="22"/>
          <w:szCs w:val="22"/>
        </w:rPr>
        <w:t>El</w:t>
      </w:r>
      <w:r w:rsidR="00EB3A2C" w:rsidRPr="006805D2">
        <w:rPr>
          <w:rFonts w:ascii="Palatino Linotype" w:hAnsi="Palatino Linotype" w:cs="Tahoma"/>
          <w:bCs/>
          <w:sz w:val="22"/>
          <w:szCs w:val="22"/>
        </w:rPr>
        <w:t xml:space="preserve"> </w:t>
      </w:r>
      <w:r w:rsidR="00B056E3" w:rsidRPr="006805D2">
        <w:rPr>
          <w:rFonts w:ascii="Palatino Linotype" w:hAnsi="Palatino Linotype" w:cs="Tahoma"/>
          <w:bCs/>
          <w:sz w:val="22"/>
          <w:szCs w:val="22"/>
        </w:rPr>
        <w:t>doce de enero</w:t>
      </w:r>
      <w:r w:rsidR="00314520" w:rsidRPr="006805D2">
        <w:rPr>
          <w:rFonts w:ascii="Palatino Linotype" w:hAnsi="Palatino Linotype" w:cs="Tahoma"/>
          <w:bCs/>
          <w:sz w:val="22"/>
          <w:szCs w:val="22"/>
        </w:rPr>
        <w:t xml:space="preserve"> </w:t>
      </w:r>
      <w:r w:rsidR="00BF4B55" w:rsidRPr="006805D2">
        <w:rPr>
          <w:rFonts w:ascii="Palatino Linotype" w:hAnsi="Palatino Linotype" w:cs="Tahoma"/>
          <w:bCs/>
          <w:sz w:val="22"/>
          <w:szCs w:val="22"/>
        </w:rPr>
        <w:t xml:space="preserve">de dos mil </w:t>
      </w:r>
      <w:r w:rsidR="00B056E3" w:rsidRPr="006805D2">
        <w:rPr>
          <w:rFonts w:ascii="Palatino Linotype" w:hAnsi="Palatino Linotype" w:cs="Tahoma"/>
          <w:bCs/>
          <w:sz w:val="22"/>
          <w:szCs w:val="22"/>
        </w:rPr>
        <w:t>veintiséis</w:t>
      </w:r>
      <w:r w:rsidRPr="006805D2">
        <w:rPr>
          <w:rFonts w:ascii="Palatino Linotype" w:hAnsi="Palatino Linotype" w:cs="Tahoma"/>
          <w:bCs/>
          <w:sz w:val="22"/>
          <w:szCs w:val="22"/>
        </w:rPr>
        <w:t xml:space="preserve">, </w:t>
      </w:r>
      <w:r w:rsidR="001F787A" w:rsidRPr="006805D2">
        <w:rPr>
          <w:rFonts w:ascii="Palatino Linotype" w:hAnsi="Palatino Linotype" w:cs="Tahoma"/>
          <w:bCs/>
          <w:sz w:val="22"/>
          <w:szCs w:val="22"/>
        </w:rPr>
        <w:t xml:space="preserve">se acordó la admisión del </w:t>
      </w:r>
      <w:r w:rsidR="001F787A" w:rsidRPr="006805D2">
        <w:rPr>
          <w:rFonts w:ascii="Palatino Linotype" w:hAnsi="Palatino Linotype" w:cs="Tahoma"/>
          <w:bCs/>
          <w:sz w:val="22"/>
          <w:szCs w:val="22"/>
          <w:lang w:val="es-ES_tradnl"/>
        </w:rPr>
        <w:t xml:space="preserve">Recurso de Revisión interpuesto por el Recurrente en contra del </w:t>
      </w:r>
      <w:r w:rsidR="001F787A" w:rsidRPr="006805D2">
        <w:rPr>
          <w:rFonts w:ascii="Palatino Linotype" w:hAnsi="Palatino Linotype" w:cs="Tahoma"/>
          <w:b/>
          <w:bCs/>
          <w:sz w:val="22"/>
          <w:szCs w:val="22"/>
          <w:lang w:val="es-ES_tradnl"/>
        </w:rPr>
        <w:t>Sujeto Obligado</w:t>
      </w:r>
      <w:r w:rsidR="001F787A" w:rsidRPr="006805D2">
        <w:rPr>
          <w:rFonts w:ascii="Palatino Linotype" w:hAnsi="Palatino Linotype" w:cs="Tahoma"/>
          <w:bCs/>
          <w:sz w:val="22"/>
          <w:szCs w:val="22"/>
          <w:lang w:val="es-ES_tradnl"/>
        </w:rPr>
        <w:t>, en términos del artículo 185, fracciones I, II y IV</w:t>
      </w:r>
      <w:r w:rsidR="00BB1F81" w:rsidRPr="006805D2">
        <w:rPr>
          <w:rFonts w:ascii="Palatino Linotype" w:hAnsi="Palatino Linotype" w:cs="Tahoma"/>
          <w:bCs/>
          <w:sz w:val="22"/>
          <w:szCs w:val="22"/>
          <w:lang w:val="es-ES_tradnl"/>
        </w:rPr>
        <w:t>,</w:t>
      </w:r>
      <w:r w:rsidR="001F787A" w:rsidRPr="006805D2">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6805D2">
        <w:rPr>
          <w:rFonts w:ascii="Palatino Linotype" w:hAnsi="Palatino Linotype" w:cs="Tahoma"/>
          <w:bCs/>
          <w:sz w:val="22"/>
          <w:szCs w:val="22"/>
          <w:lang w:val="es-ES_tradnl"/>
        </w:rPr>
        <w:t>o a las partes el mismo día</w:t>
      </w:r>
      <w:r w:rsidR="001F787A" w:rsidRPr="006805D2">
        <w:rPr>
          <w:rFonts w:ascii="Palatino Linotype" w:hAnsi="Palatino Linotype" w:cs="Tahoma"/>
          <w:bCs/>
          <w:sz w:val="22"/>
          <w:szCs w:val="22"/>
          <w:lang w:val="es-ES_tradnl"/>
        </w:rPr>
        <w:t xml:space="preserve"> a través del </w:t>
      </w:r>
      <w:r w:rsidR="00BB1F81" w:rsidRPr="006805D2">
        <w:rPr>
          <w:rFonts w:ascii="Palatino Linotype" w:hAnsi="Palatino Linotype" w:cs="Tahoma"/>
          <w:bCs/>
          <w:sz w:val="22"/>
          <w:szCs w:val="22"/>
          <w:lang w:val="es-ES_tradnl"/>
        </w:rPr>
        <w:t>SAIMEX</w:t>
      </w:r>
      <w:r w:rsidR="001F787A" w:rsidRPr="006805D2">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1FA1E49D" w14:textId="77777777" w:rsidR="00253937" w:rsidRPr="006805D2" w:rsidRDefault="00253937" w:rsidP="000B54EE">
      <w:pPr>
        <w:spacing w:line="360" w:lineRule="auto"/>
        <w:contextualSpacing/>
        <w:jc w:val="both"/>
        <w:rPr>
          <w:rFonts w:ascii="Palatino Linotype" w:hAnsi="Palatino Linotype" w:cs="Tahoma"/>
          <w:bCs/>
          <w:sz w:val="22"/>
          <w:szCs w:val="22"/>
          <w:lang w:val="es-ES_tradnl"/>
        </w:rPr>
      </w:pPr>
    </w:p>
    <w:p w14:paraId="20CC1FF9" w14:textId="5F2464A3" w:rsidR="0018340C" w:rsidRPr="006805D2" w:rsidRDefault="00B056E3" w:rsidP="0018340C">
      <w:pPr>
        <w:spacing w:line="360" w:lineRule="auto"/>
        <w:jc w:val="both"/>
        <w:rPr>
          <w:rFonts w:ascii="Palatino Linotype" w:eastAsia="Palatino Linotype" w:hAnsi="Palatino Linotype" w:cs="Palatino Linotype"/>
          <w:color w:val="000000"/>
          <w:sz w:val="22"/>
          <w:szCs w:val="22"/>
          <w:lang w:eastAsia="es-MX"/>
        </w:rPr>
      </w:pPr>
      <w:bookmarkStart w:id="16" w:name="_Toc190261913"/>
      <w:bookmarkStart w:id="17" w:name="_Toc196917717"/>
      <w:bookmarkStart w:id="18" w:name="_Toc205306990"/>
      <w:bookmarkStart w:id="19" w:name="_Toc190261914"/>
      <w:bookmarkStart w:id="20" w:name="_Toc196917718"/>
      <w:r w:rsidRPr="006805D2">
        <w:rPr>
          <w:rFonts w:ascii="Palatino Linotype" w:eastAsia="Palatino Linotype" w:hAnsi="Palatino Linotype" w:cs="Palatino Linotype"/>
          <w:b/>
          <w:color w:val="000000"/>
          <w:sz w:val="22"/>
          <w:szCs w:val="22"/>
          <w:lang w:eastAsia="es-MX"/>
        </w:rPr>
        <w:t>c) Informe Justificado</w:t>
      </w:r>
      <w:r w:rsidR="0018340C" w:rsidRPr="006805D2">
        <w:rPr>
          <w:rFonts w:ascii="Palatino Linotype" w:eastAsia="Palatino Linotype" w:hAnsi="Palatino Linotype" w:cs="Palatino Linotype"/>
          <w:b/>
          <w:color w:val="000000"/>
          <w:sz w:val="22"/>
          <w:szCs w:val="22"/>
          <w:lang w:eastAsia="es-MX"/>
        </w:rPr>
        <w:t xml:space="preserve"> y Manifestaciones</w:t>
      </w:r>
      <w:r w:rsidRPr="006805D2">
        <w:rPr>
          <w:rFonts w:ascii="Palatino Linotype" w:eastAsia="Palatino Linotype" w:hAnsi="Palatino Linotype" w:cs="Palatino Linotype"/>
          <w:b/>
          <w:color w:val="000000"/>
          <w:sz w:val="22"/>
          <w:szCs w:val="22"/>
          <w:lang w:eastAsia="es-MX"/>
        </w:rPr>
        <w:t xml:space="preserve">. </w:t>
      </w:r>
      <w:r w:rsidR="0018340C" w:rsidRPr="006805D2">
        <w:rPr>
          <w:rFonts w:ascii="Palatino Linotype" w:eastAsia="Palatino Linotype" w:hAnsi="Palatino Linotype" w:cs="Palatino Linotype"/>
          <w:color w:val="000000"/>
          <w:sz w:val="22"/>
          <w:szCs w:val="22"/>
          <w:lang w:eastAsia="es-MX"/>
        </w:rPr>
        <w:t>Las partes fueron omisas en realizar manifestación alguna.</w:t>
      </w:r>
      <w:bookmarkStart w:id="21" w:name="_Toc205306992"/>
      <w:bookmarkEnd w:id="16"/>
      <w:bookmarkEnd w:id="17"/>
      <w:bookmarkEnd w:id="18"/>
      <w:bookmarkEnd w:id="19"/>
      <w:bookmarkEnd w:id="20"/>
    </w:p>
    <w:p w14:paraId="1235A0AD" w14:textId="77777777" w:rsidR="0018340C" w:rsidRPr="006805D2" w:rsidRDefault="0018340C" w:rsidP="0018340C">
      <w:pPr>
        <w:spacing w:line="360" w:lineRule="auto"/>
        <w:jc w:val="both"/>
        <w:rPr>
          <w:rStyle w:val="Ttulo3Car"/>
          <w:rFonts w:ascii="Palatino Linotype" w:hAnsi="Palatino Linotype"/>
          <w:b/>
          <w:color w:val="auto"/>
          <w:sz w:val="22"/>
          <w:szCs w:val="22"/>
        </w:rPr>
      </w:pPr>
    </w:p>
    <w:p w14:paraId="6306E1B2" w14:textId="150BE8AE" w:rsidR="00ED5DF5" w:rsidRPr="006805D2" w:rsidRDefault="0018340C" w:rsidP="000B54EE">
      <w:pPr>
        <w:spacing w:line="360" w:lineRule="auto"/>
        <w:jc w:val="both"/>
        <w:rPr>
          <w:rFonts w:ascii="Palatino Linotype" w:hAnsi="Palatino Linotype" w:cs="Tahoma"/>
          <w:sz w:val="22"/>
          <w:szCs w:val="22"/>
        </w:rPr>
      </w:pPr>
      <w:bookmarkStart w:id="22" w:name="_Toc220595947"/>
      <w:r w:rsidRPr="006805D2">
        <w:rPr>
          <w:rStyle w:val="Ttulo3Car"/>
          <w:rFonts w:ascii="Palatino Linotype" w:hAnsi="Palatino Linotype"/>
          <w:b/>
          <w:color w:val="auto"/>
          <w:sz w:val="22"/>
          <w:szCs w:val="22"/>
        </w:rPr>
        <w:t>d</w:t>
      </w:r>
      <w:r w:rsidR="003B0501" w:rsidRPr="006805D2">
        <w:rPr>
          <w:rStyle w:val="Ttulo3Car"/>
          <w:rFonts w:ascii="Palatino Linotype" w:hAnsi="Palatino Linotype"/>
          <w:b/>
          <w:color w:val="auto"/>
          <w:sz w:val="22"/>
          <w:szCs w:val="22"/>
        </w:rPr>
        <w:t>)</w:t>
      </w:r>
      <w:r w:rsidR="00C3485C" w:rsidRPr="006805D2">
        <w:rPr>
          <w:rStyle w:val="Ttulo3Car"/>
          <w:rFonts w:ascii="Palatino Linotype" w:hAnsi="Palatino Linotype"/>
          <w:b/>
          <w:color w:val="auto"/>
          <w:sz w:val="22"/>
          <w:szCs w:val="22"/>
        </w:rPr>
        <w:t xml:space="preserve"> </w:t>
      </w:r>
      <w:r w:rsidR="00ED5DF5" w:rsidRPr="006805D2">
        <w:rPr>
          <w:rStyle w:val="Ttulo3Car"/>
          <w:rFonts w:ascii="Palatino Linotype" w:hAnsi="Palatino Linotype"/>
          <w:b/>
          <w:color w:val="auto"/>
          <w:sz w:val="22"/>
          <w:szCs w:val="22"/>
        </w:rPr>
        <w:t>Cierre de instrucción</w:t>
      </w:r>
      <w:bookmarkEnd w:id="21"/>
      <w:bookmarkEnd w:id="22"/>
      <w:r w:rsidR="00ED5DF5" w:rsidRPr="006805D2">
        <w:rPr>
          <w:rFonts w:ascii="Palatino Linotype" w:hAnsi="Palatino Linotype" w:cs="Tahoma"/>
          <w:b/>
          <w:bCs/>
          <w:sz w:val="22"/>
          <w:szCs w:val="22"/>
        </w:rPr>
        <w:t xml:space="preserve">. </w:t>
      </w:r>
      <w:r w:rsidR="00ED5DF5" w:rsidRPr="006805D2">
        <w:rPr>
          <w:rFonts w:ascii="Palatino Linotype" w:hAnsi="Palatino Linotype" w:cs="Tahoma"/>
          <w:sz w:val="22"/>
          <w:szCs w:val="22"/>
        </w:rPr>
        <w:t>El</w:t>
      </w:r>
      <w:r w:rsidR="000F437A" w:rsidRPr="006805D2">
        <w:rPr>
          <w:rFonts w:ascii="Palatino Linotype" w:hAnsi="Palatino Linotype" w:cs="Tahoma"/>
          <w:sz w:val="22"/>
          <w:szCs w:val="22"/>
        </w:rPr>
        <w:t xml:space="preserve"> </w:t>
      </w:r>
      <w:r w:rsidRPr="006805D2">
        <w:rPr>
          <w:rFonts w:ascii="Palatino Linotype" w:hAnsi="Palatino Linotype" w:cs="Tahoma"/>
          <w:sz w:val="22"/>
          <w:szCs w:val="22"/>
        </w:rPr>
        <w:t xml:space="preserve">veintidós </w:t>
      </w:r>
      <w:r w:rsidR="009908D1" w:rsidRPr="006805D2">
        <w:rPr>
          <w:rFonts w:ascii="Palatino Linotype" w:hAnsi="Palatino Linotype" w:cs="Tahoma"/>
          <w:sz w:val="22"/>
          <w:szCs w:val="22"/>
        </w:rPr>
        <w:t xml:space="preserve">de enero </w:t>
      </w:r>
      <w:r w:rsidR="00E95147" w:rsidRPr="006805D2">
        <w:rPr>
          <w:rFonts w:ascii="Palatino Linotype" w:hAnsi="Palatino Linotype" w:cs="Tahoma"/>
          <w:sz w:val="22"/>
          <w:szCs w:val="22"/>
        </w:rPr>
        <w:t xml:space="preserve">de dos mil </w:t>
      </w:r>
      <w:r w:rsidR="009908D1" w:rsidRPr="006805D2">
        <w:rPr>
          <w:rFonts w:ascii="Palatino Linotype" w:hAnsi="Palatino Linotype" w:cs="Tahoma"/>
          <w:sz w:val="22"/>
          <w:szCs w:val="22"/>
        </w:rPr>
        <w:t>veintiséis</w:t>
      </w:r>
      <w:r w:rsidR="00ED5DF5" w:rsidRPr="006805D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6805D2">
        <w:rPr>
          <w:rFonts w:ascii="Palatino Linotype" w:hAnsi="Palatino Linotype" w:cs="Tahoma"/>
          <w:sz w:val="22"/>
          <w:szCs w:val="22"/>
        </w:rPr>
        <w:t>el mismo día</w:t>
      </w:r>
      <w:r w:rsidR="00ED5DF5" w:rsidRPr="006805D2">
        <w:rPr>
          <w:rFonts w:ascii="Palatino Linotype" w:hAnsi="Palatino Linotype" w:cs="Tahoma"/>
          <w:sz w:val="22"/>
          <w:szCs w:val="22"/>
        </w:rPr>
        <w:t xml:space="preserve">, a través del </w:t>
      </w:r>
      <w:r w:rsidR="00BB1F81" w:rsidRPr="006805D2">
        <w:rPr>
          <w:rFonts w:ascii="Palatino Linotype" w:hAnsi="Palatino Linotype" w:cs="Tahoma"/>
          <w:sz w:val="22"/>
          <w:szCs w:val="22"/>
          <w:lang w:val="es-ES"/>
        </w:rPr>
        <w:t>SAIMEX</w:t>
      </w:r>
      <w:r w:rsidR="00ED5DF5" w:rsidRPr="006805D2">
        <w:rPr>
          <w:rFonts w:ascii="Palatino Linotype" w:hAnsi="Palatino Linotype" w:cs="Tahoma"/>
          <w:sz w:val="22"/>
          <w:szCs w:val="22"/>
        </w:rPr>
        <w:t>.</w:t>
      </w:r>
    </w:p>
    <w:p w14:paraId="1A0D5D6E" w14:textId="77777777" w:rsidR="0079675C" w:rsidRPr="006805D2" w:rsidRDefault="0079675C" w:rsidP="000B54EE">
      <w:pPr>
        <w:spacing w:line="360" w:lineRule="auto"/>
        <w:jc w:val="both"/>
        <w:rPr>
          <w:rFonts w:ascii="Palatino Linotype" w:hAnsi="Palatino Linotype" w:cs="Tahoma"/>
          <w:sz w:val="22"/>
          <w:szCs w:val="22"/>
        </w:rPr>
      </w:pPr>
    </w:p>
    <w:p w14:paraId="0DC610CB" w14:textId="77777777" w:rsidR="004F2D88" w:rsidRPr="006805D2" w:rsidRDefault="004F2D88" w:rsidP="000B54EE">
      <w:pPr>
        <w:spacing w:line="360" w:lineRule="auto"/>
        <w:contextualSpacing/>
        <w:jc w:val="both"/>
        <w:rPr>
          <w:rFonts w:ascii="Palatino Linotype" w:hAnsi="Palatino Linotype" w:cs="Tahoma"/>
          <w:color w:val="000000"/>
          <w:sz w:val="22"/>
          <w:szCs w:val="22"/>
        </w:rPr>
      </w:pPr>
      <w:r w:rsidRPr="006805D2">
        <w:rPr>
          <w:rFonts w:ascii="Palatino Linotype" w:hAnsi="Palatino Linotype" w:cs="Tahoma"/>
          <w:color w:val="000000"/>
          <w:sz w:val="22"/>
          <w:szCs w:val="22"/>
        </w:rPr>
        <w:t xml:space="preserve">En </w:t>
      </w:r>
      <w:r w:rsidR="00367F82" w:rsidRPr="006805D2">
        <w:rPr>
          <w:rFonts w:ascii="Palatino Linotype" w:hAnsi="Palatino Linotype" w:cs="Tahoma"/>
          <w:color w:val="000000"/>
          <w:sz w:val="22"/>
          <w:szCs w:val="22"/>
        </w:rPr>
        <w:t>razón de que fue debidamente su</w:t>
      </w:r>
      <w:r w:rsidRPr="006805D2">
        <w:rPr>
          <w:rFonts w:ascii="Palatino Linotype" w:hAnsi="Palatino Linotype" w:cs="Tahoma"/>
          <w:color w:val="000000"/>
          <w:sz w:val="22"/>
          <w:szCs w:val="22"/>
        </w:rPr>
        <w:t xml:space="preserve">stanciado el expediente </w:t>
      </w:r>
      <w:r w:rsidR="00367F82" w:rsidRPr="006805D2">
        <w:rPr>
          <w:rFonts w:ascii="Palatino Linotype" w:hAnsi="Palatino Linotype" w:cs="Tahoma"/>
          <w:color w:val="000000"/>
          <w:sz w:val="22"/>
          <w:szCs w:val="22"/>
        </w:rPr>
        <w:t xml:space="preserve">electrónico </w:t>
      </w:r>
      <w:r w:rsidRPr="006805D2">
        <w:rPr>
          <w:rFonts w:ascii="Palatino Linotype" w:hAnsi="Palatino Linotype" w:cs="Tahoma"/>
          <w:color w:val="000000"/>
          <w:sz w:val="22"/>
          <w:szCs w:val="22"/>
        </w:rPr>
        <w:t>y no exist</w:t>
      </w:r>
      <w:r w:rsidR="00367F82" w:rsidRPr="006805D2">
        <w:rPr>
          <w:rFonts w:ascii="Palatino Linotype" w:hAnsi="Palatino Linotype" w:cs="Tahoma"/>
          <w:color w:val="000000"/>
          <w:sz w:val="22"/>
          <w:szCs w:val="22"/>
        </w:rPr>
        <w:t>e</w:t>
      </w:r>
      <w:r w:rsidRPr="006805D2">
        <w:rPr>
          <w:rFonts w:ascii="Palatino Linotype" w:hAnsi="Palatino Linotype" w:cs="Tahoma"/>
          <w:color w:val="000000"/>
          <w:sz w:val="22"/>
          <w:szCs w:val="22"/>
        </w:rPr>
        <w:t xml:space="preserve"> dilige</w:t>
      </w:r>
      <w:r w:rsidR="00367F82" w:rsidRPr="006805D2">
        <w:rPr>
          <w:rFonts w:ascii="Palatino Linotype" w:hAnsi="Palatino Linotype" w:cs="Tahoma"/>
          <w:color w:val="000000"/>
          <w:sz w:val="22"/>
          <w:szCs w:val="22"/>
        </w:rPr>
        <w:t xml:space="preserve">ncia pendiente de desahogo, se </w:t>
      </w:r>
      <w:r w:rsidRPr="006805D2">
        <w:rPr>
          <w:rFonts w:ascii="Palatino Linotype" w:hAnsi="Palatino Linotype" w:cs="Tahoma"/>
          <w:color w:val="000000"/>
          <w:sz w:val="22"/>
          <w:szCs w:val="22"/>
        </w:rPr>
        <w:t>emit</w:t>
      </w:r>
      <w:r w:rsidR="00367F82" w:rsidRPr="006805D2">
        <w:rPr>
          <w:rFonts w:ascii="Palatino Linotype" w:hAnsi="Palatino Linotype" w:cs="Tahoma"/>
          <w:color w:val="000000"/>
          <w:sz w:val="22"/>
          <w:szCs w:val="22"/>
        </w:rPr>
        <w:t>e</w:t>
      </w:r>
      <w:r w:rsidRPr="006805D2">
        <w:rPr>
          <w:rFonts w:ascii="Palatino Linotype" w:hAnsi="Palatino Linotype" w:cs="Tahoma"/>
          <w:color w:val="000000"/>
          <w:sz w:val="22"/>
          <w:szCs w:val="22"/>
        </w:rPr>
        <w:t xml:space="preserve"> la resolución que conforme a Derecho proceda, de acuerdo a l</w:t>
      </w:r>
      <w:r w:rsidR="009A620E" w:rsidRPr="006805D2">
        <w:rPr>
          <w:rFonts w:ascii="Palatino Linotype" w:hAnsi="Palatino Linotype" w:cs="Tahoma"/>
          <w:color w:val="000000"/>
          <w:sz w:val="22"/>
          <w:szCs w:val="22"/>
        </w:rPr>
        <w:t>o</w:t>
      </w:r>
      <w:r w:rsidRPr="006805D2">
        <w:rPr>
          <w:rFonts w:ascii="Palatino Linotype" w:hAnsi="Palatino Linotype" w:cs="Tahoma"/>
          <w:color w:val="000000"/>
          <w:sz w:val="22"/>
          <w:szCs w:val="22"/>
        </w:rPr>
        <w:t xml:space="preserve">s siguientes: </w:t>
      </w:r>
    </w:p>
    <w:p w14:paraId="027EE855" w14:textId="77777777" w:rsidR="00314520" w:rsidRPr="006805D2" w:rsidRDefault="00314520" w:rsidP="000B54EE">
      <w:pPr>
        <w:spacing w:line="360" w:lineRule="auto"/>
        <w:contextualSpacing/>
        <w:jc w:val="both"/>
        <w:rPr>
          <w:rFonts w:ascii="Palatino Linotype" w:hAnsi="Palatino Linotype" w:cs="Tahoma"/>
          <w:color w:val="000000"/>
          <w:sz w:val="22"/>
          <w:szCs w:val="22"/>
        </w:rPr>
      </w:pPr>
    </w:p>
    <w:p w14:paraId="59A3BB47" w14:textId="77777777" w:rsidR="00EA4E4A" w:rsidRPr="006805D2" w:rsidRDefault="00EA4E4A" w:rsidP="000B54EE">
      <w:pPr>
        <w:pStyle w:val="Ttulo1"/>
        <w:spacing w:before="0" w:line="360" w:lineRule="auto"/>
        <w:jc w:val="center"/>
        <w:rPr>
          <w:rFonts w:ascii="Palatino Linotype" w:hAnsi="Palatino Linotype"/>
          <w:b/>
          <w:color w:val="auto"/>
          <w:sz w:val="22"/>
          <w:szCs w:val="22"/>
        </w:rPr>
      </w:pPr>
      <w:bookmarkStart w:id="23" w:name="_Toc220595948"/>
      <w:r w:rsidRPr="006805D2">
        <w:rPr>
          <w:rFonts w:ascii="Palatino Linotype" w:hAnsi="Palatino Linotype"/>
          <w:b/>
          <w:color w:val="auto"/>
          <w:sz w:val="22"/>
          <w:szCs w:val="22"/>
        </w:rPr>
        <w:t>C O N S I D E R A N D O S</w:t>
      </w:r>
      <w:bookmarkEnd w:id="23"/>
    </w:p>
    <w:p w14:paraId="795467B0" w14:textId="77777777" w:rsidR="00EA4E4A" w:rsidRPr="006805D2" w:rsidRDefault="00EA4E4A" w:rsidP="000B54EE">
      <w:pPr>
        <w:spacing w:line="360" w:lineRule="auto"/>
        <w:contextualSpacing/>
        <w:jc w:val="both"/>
        <w:rPr>
          <w:rFonts w:ascii="Palatino Linotype" w:hAnsi="Palatino Linotype" w:cs="Tahoma"/>
          <w:b/>
          <w:sz w:val="22"/>
          <w:szCs w:val="22"/>
        </w:rPr>
      </w:pPr>
    </w:p>
    <w:p w14:paraId="361AB410" w14:textId="77777777" w:rsidR="00EA4E4A" w:rsidRPr="006805D2" w:rsidRDefault="00EA4E4A" w:rsidP="000B54EE">
      <w:pPr>
        <w:pStyle w:val="Ttulo2"/>
        <w:spacing w:before="0" w:line="360" w:lineRule="auto"/>
        <w:rPr>
          <w:rFonts w:ascii="Palatino Linotype" w:hAnsi="Palatino Linotype"/>
          <w:b/>
          <w:sz w:val="22"/>
          <w:szCs w:val="22"/>
        </w:rPr>
      </w:pPr>
      <w:bookmarkStart w:id="24" w:name="_Toc220595949"/>
      <w:r w:rsidRPr="006805D2">
        <w:rPr>
          <w:rFonts w:ascii="Palatino Linotype" w:eastAsia="Calibri" w:hAnsi="Palatino Linotype"/>
          <w:b/>
          <w:color w:val="auto"/>
          <w:sz w:val="22"/>
          <w:szCs w:val="22"/>
          <w:lang w:eastAsia="es-MX"/>
        </w:rPr>
        <w:t xml:space="preserve">PRIMERO. </w:t>
      </w:r>
      <w:r w:rsidRPr="006805D2">
        <w:rPr>
          <w:rFonts w:ascii="Palatino Linotype" w:hAnsi="Palatino Linotype"/>
          <w:b/>
          <w:color w:val="auto"/>
          <w:sz w:val="22"/>
          <w:szCs w:val="22"/>
        </w:rPr>
        <w:t>Competencia</w:t>
      </w:r>
      <w:bookmarkEnd w:id="24"/>
    </w:p>
    <w:p w14:paraId="397A9DA8" w14:textId="77777777" w:rsidR="00EA4E4A" w:rsidRPr="006805D2" w:rsidRDefault="00EA4E4A" w:rsidP="000B54EE">
      <w:pPr>
        <w:autoSpaceDE w:val="0"/>
        <w:autoSpaceDN w:val="0"/>
        <w:adjustRightInd w:val="0"/>
        <w:spacing w:line="360" w:lineRule="auto"/>
        <w:contextualSpacing/>
        <w:jc w:val="both"/>
        <w:rPr>
          <w:rFonts w:ascii="Palatino Linotype" w:hAnsi="Palatino Linotype" w:cs="Tahoma"/>
          <w:b/>
          <w:sz w:val="22"/>
          <w:szCs w:val="22"/>
        </w:rPr>
      </w:pPr>
    </w:p>
    <w:p w14:paraId="2FFF19B0" w14:textId="77777777" w:rsidR="00692FA8" w:rsidRPr="006805D2" w:rsidRDefault="00692FA8" w:rsidP="00692FA8">
      <w:pPr>
        <w:spacing w:line="360" w:lineRule="auto"/>
        <w:jc w:val="both"/>
        <w:rPr>
          <w:rFonts w:ascii="Palatino Linotype" w:eastAsia="Calibri" w:hAnsi="Palatino Linotype" w:cs="Tahoma"/>
          <w:color w:val="000000"/>
          <w:sz w:val="22"/>
          <w:szCs w:val="22"/>
          <w:lang w:eastAsia="es-MX"/>
        </w:rPr>
      </w:pPr>
      <w:r w:rsidRPr="006805D2">
        <w:rPr>
          <w:rFonts w:ascii="Palatino Linotype" w:eastAsia="Calibri" w:hAnsi="Palatino Linotype" w:cs="Tahoma"/>
          <w:color w:val="000000"/>
          <w:sz w:val="22"/>
          <w:szCs w:val="22"/>
          <w:lang w:eastAsia="es-MX"/>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8893EBD" w14:textId="77777777" w:rsidR="008266D8" w:rsidRPr="006805D2" w:rsidRDefault="008266D8" w:rsidP="008266D8">
      <w:pPr>
        <w:spacing w:line="360" w:lineRule="auto"/>
        <w:jc w:val="both"/>
        <w:rPr>
          <w:rFonts w:ascii="Palatino Linotype" w:eastAsia="Palatino Linotype" w:hAnsi="Palatino Linotype" w:cs="Palatino Linotype"/>
          <w:color w:val="000000" w:themeColor="text1"/>
          <w:sz w:val="22"/>
          <w:szCs w:val="22"/>
          <w:lang w:eastAsia="es-MX"/>
        </w:rPr>
      </w:pPr>
    </w:p>
    <w:p w14:paraId="7438D5A3" w14:textId="77777777" w:rsidR="00CE0B4C" w:rsidRPr="006805D2" w:rsidRDefault="00CE0B4C" w:rsidP="000B54EE">
      <w:pPr>
        <w:pStyle w:val="Ttulo2"/>
        <w:spacing w:before="0" w:line="360" w:lineRule="auto"/>
        <w:rPr>
          <w:rFonts w:ascii="Palatino Linotype" w:eastAsia="Calibri" w:hAnsi="Palatino Linotype"/>
          <w:b/>
          <w:color w:val="auto"/>
          <w:sz w:val="22"/>
          <w:szCs w:val="22"/>
          <w:lang w:eastAsia="es-MX"/>
        </w:rPr>
      </w:pPr>
      <w:bookmarkStart w:id="25" w:name="_Toc220595950"/>
      <w:r w:rsidRPr="006805D2">
        <w:rPr>
          <w:rFonts w:ascii="Palatino Linotype" w:eastAsia="Calibri" w:hAnsi="Palatino Linotype"/>
          <w:b/>
          <w:color w:val="auto"/>
          <w:sz w:val="22"/>
          <w:szCs w:val="22"/>
          <w:lang w:eastAsia="es-MX"/>
        </w:rPr>
        <w:t>SEGUNDO. Causales de improcedencia y sobreseimiento</w:t>
      </w:r>
      <w:bookmarkEnd w:id="25"/>
    </w:p>
    <w:p w14:paraId="4368CD85" w14:textId="77777777" w:rsidR="00566562" w:rsidRPr="006805D2" w:rsidRDefault="00566562"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A1322C" w14:textId="77777777" w:rsidR="00CE0B4C" w:rsidRPr="006805D2"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805D2">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0E8712" w14:textId="77777777" w:rsidR="00CE0B4C" w:rsidRPr="006805D2"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5608325" w14:textId="77777777" w:rsidR="00CE0B4C" w:rsidRPr="006805D2" w:rsidRDefault="00CE0B4C"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805D2">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w:t>
      </w:r>
      <w:r w:rsidRPr="006805D2">
        <w:rPr>
          <w:rFonts w:ascii="Palatino Linotype" w:eastAsia="Calibri" w:hAnsi="Palatino Linotype" w:cs="Tahoma"/>
          <w:color w:val="000000"/>
          <w:sz w:val="22"/>
          <w:szCs w:val="22"/>
          <w:lang w:eastAsia="es-MX"/>
        </w:rPr>
        <w:lastRenderedPageBreak/>
        <w:t>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29418D5" w14:textId="77777777" w:rsidR="00BF4B55" w:rsidRPr="006805D2" w:rsidRDefault="00BF4B55" w:rsidP="000B54E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689568E" w14:textId="77777777" w:rsidR="00CE0B4C" w:rsidRPr="006805D2" w:rsidRDefault="00CE0B4C" w:rsidP="000B54EE">
      <w:pPr>
        <w:pStyle w:val="Ttulo3"/>
        <w:spacing w:before="0" w:line="360" w:lineRule="auto"/>
        <w:rPr>
          <w:rFonts w:ascii="Palatino Linotype" w:eastAsia="Calibri" w:hAnsi="Palatino Linotype" w:cs="Arial"/>
          <w:b/>
          <w:color w:val="auto"/>
          <w:sz w:val="22"/>
          <w:szCs w:val="22"/>
          <w:lang w:eastAsia="es-ES_tradnl"/>
        </w:rPr>
      </w:pPr>
      <w:bookmarkStart w:id="26" w:name="_Toc220595951"/>
      <w:r w:rsidRPr="006805D2">
        <w:rPr>
          <w:rFonts w:ascii="Palatino Linotype" w:eastAsia="Calibri" w:hAnsi="Palatino Linotype" w:cs="Arial"/>
          <w:b/>
          <w:color w:val="auto"/>
          <w:sz w:val="22"/>
          <w:szCs w:val="22"/>
          <w:lang w:eastAsia="es-ES_tradnl"/>
        </w:rPr>
        <w:t>Causales de sobreseimiento</w:t>
      </w:r>
      <w:bookmarkEnd w:id="26"/>
    </w:p>
    <w:p w14:paraId="6DCA61BF" w14:textId="77777777" w:rsidR="00B02FEF" w:rsidRPr="006805D2" w:rsidRDefault="00B02FEF" w:rsidP="00B02FEF">
      <w:pPr>
        <w:spacing w:line="360" w:lineRule="auto"/>
        <w:jc w:val="both"/>
        <w:rPr>
          <w:rFonts w:ascii="Palatino Linotype" w:eastAsia="Calibri" w:hAnsi="Palatino Linotype" w:cs="Tahoma"/>
          <w:sz w:val="22"/>
          <w:szCs w:val="22"/>
          <w:lang w:eastAsia="es-ES_tradnl"/>
        </w:rPr>
      </w:pPr>
    </w:p>
    <w:p w14:paraId="0814C644" w14:textId="77777777" w:rsidR="00B02FEF" w:rsidRPr="006805D2" w:rsidRDefault="00785FCA" w:rsidP="00B02FEF">
      <w:pPr>
        <w:spacing w:line="360" w:lineRule="auto"/>
        <w:jc w:val="both"/>
        <w:rPr>
          <w:rFonts w:ascii="Palatino Linotype" w:eastAsia="Calibri" w:hAnsi="Palatino Linotype" w:cs="Tahoma"/>
          <w:sz w:val="22"/>
          <w:szCs w:val="22"/>
          <w:lang w:eastAsia="es-ES_tradnl"/>
        </w:rPr>
      </w:pPr>
      <w:r w:rsidRPr="006805D2">
        <w:rPr>
          <w:rFonts w:ascii="Palatino Linotype" w:eastAsia="Calibri" w:hAnsi="Palatino Linotype" w:cs="Tahoma"/>
          <w:sz w:val="22"/>
          <w:szCs w:val="22"/>
          <w:lang w:eastAsia="es-ES_tradnl"/>
        </w:rPr>
        <w:t>Por lo que hace a las causales de sobreseimiento, del análisis realizado por este Instituto, se advierte que no se actualiza ninguna de las previstas por el artículo 192 de la Ley de Transparencia y Acceso a la Información Pública del Estado de México y Municipios; 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Por tales motivos, se considera procedente entrar al fondo del presente asunto.</w:t>
      </w:r>
    </w:p>
    <w:p w14:paraId="2006C525" w14:textId="77777777" w:rsidR="00785FCA" w:rsidRPr="006805D2" w:rsidRDefault="00785FCA" w:rsidP="00B02FEF">
      <w:pPr>
        <w:spacing w:line="360" w:lineRule="auto"/>
        <w:jc w:val="both"/>
        <w:rPr>
          <w:rFonts w:ascii="Palatino Linotype" w:eastAsia="Calibri" w:hAnsi="Palatino Linotype" w:cs="Tahoma"/>
          <w:sz w:val="22"/>
          <w:szCs w:val="22"/>
          <w:lang w:eastAsia="es-ES_tradnl"/>
        </w:rPr>
      </w:pPr>
    </w:p>
    <w:p w14:paraId="3EC5D6E3" w14:textId="77777777" w:rsidR="00CE0B4C" w:rsidRPr="006805D2" w:rsidRDefault="00CE0B4C" w:rsidP="000B54EE">
      <w:pPr>
        <w:pStyle w:val="Ttulo2"/>
        <w:spacing w:before="0" w:line="360" w:lineRule="auto"/>
        <w:rPr>
          <w:rFonts w:ascii="Palatino Linotype" w:eastAsia="Calibri" w:hAnsi="Palatino Linotype"/>
          <w:b/>
          <w:color w:val="auto"/>
          <w:sz w:val="22"/>
          <w:lang w:val="es-ES" w:eastAsia="es-ES_tradnl"/>
        </w:rPr>
      </w:pPr>
      <w:bookmarkStart w:id="27" w:name="_Toc220595952"/>
      <w:r w:rsidRPr="006805D2">
        <w:rPr>
          <w:rFonts w:ascii="Palatino Linotype" w:eastAsia="Calibri" w:hAnsi="Palatino Linotype"/>
          <w:b/>
          <w:color w:val="auto"/>
          <w:sz w:val="22"/>
          <w:lang w:eastAsia="es-ES_tradnl"/>
        </w:rPr>
        <w:t>TERCERO. Determinación de la Controversia</w:t>
      </w:r>
      <w:bookmarkEnd w:id="27"/>
    </w:p>
    <w:p w14:paraId="46D19004" w14:textId="77777777" w:rsidR="00785FCA" w:rsidRPr="006805D2"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708EC337" w14:textId="77777777" w:rsidR="000A1EDC" w:rsidRPr="006805D2"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6805D2">
        <w:rPr>
          <w:rFonts w:ascii="Palatino Linotype" w:eastAsia="Calibri" w:hAnsi="Palatino Linotype" w:cs="Tahoma"/>
          <w:iCs/>
          <w:sz w:val="22"/>
          <w:szCs w:val="22"/>
          <w:lang w:val="es-ES" w:eastAsia="es-ES_tradnl"/>
        </w:rPr>
        <w:t>Una vez realizado el estudio de las constancias que integran el expediente en que se actúa, se desprende que el Particular solicitó</w:t>
      </w:r>
      <w:r w:rsidR="00EF574D" w:rsidRPr="006805D2">
        <w:rPr>
          <w:rFonts w:ascii="Palatino Linotype" w:eastAsia="Calibri" w:hAnsi="Palatino Linotype" w:cs="Tahoma"/>
          <w:iCs/>
          <w:sz w:val="22"/>
          <w:szCs w:val="22"/>
          <w:lang w:val="es-ES" w:eastAsia="es-ES_tradnl"/>
        </w:rPr>
        <w:t xml:space="preserve"> </w:t>
      </w:r>
      <w:r w:rsidR="000A1EDC" w:rsidRPr="006805D2">
        <w:rPr>
          <w:rFonts w:ascii="Palatino Linotype" w:eastAsia="Calibri" w:hAnsi="Palatino Linotype" w:cs="Tahoma"/>
          <w:iCs/>
          <w:sz w:val="22"/>
          <w:szCs w:val="22"/>
          <w:lang w:val="es-ES" w:eastAsia="es-ES_tradnl"/>
        </w:rPr>
        <w:t>el padrón y/o cédulas de proveedores del Ayuntamiento vigente a la fecha de la solicitud.</w:t>
      </w:r>
    </w:p>
    <w:p w14:paraId="2FE4060C" w14:textId="77777777" w:rsidR="002715BD" w:rsidRPr="006805D2" w:rsidRDefault="002715BD" w:rsidP="00785FCA">
      <w:pPr>
        <w:tabs>
          <w:tab w:val="left" w:pos="4962"/>
        </w:tabs>
        <w:spacing w:line="360" w:lineRule="auto"/>
        <w:jc w:val="both"/>
        <w:rPr>
          <w:rFonts w:ascii="Palatino Linotype" w:eastAsia="Calibri" w:hAnsi="Palatino Linotype" w:cs="Tahoma"/>
          <w:iCs/>
          <w:sz w:val="22"/>
          <w:szCs w:val="22"/>
          <w:lang w:val="es-ES" w:eastAsia="es-ES_tradnl"/>
        </w:rPr>
      </w:pPr>
    </w:p>
    <w:p w14:paraId="59C8D7F2" w14:textId="77777777" w:rsidR="00785FCA" w:rsidRPr="006805D2" w:rsidRDefault="00785FCA" w:rsidP="00785FCA">
      <w:pPr>
        <w:tabs>
          <w:tab w:val="left" w:pos="4962"/>
        </w:tabs>
        <w:spacing w:line="360" w:lineRule="auto"/>
        <w:jc w:val="both"/>
        <w:rPr>
          <w:rFonts w:ascii="Palatino Linotype" w:eastAsia="Calibri" w:hAnsi="Palatino Linotype" w:cs="Tahoma"/>
          <w:iCs/>
          <w:sz w:val="22"/>
          <w:szCs w:val="22"/>
          <w:lang w:val="es-ES" w:eastAsia="es-ES_tradnl"/>
        </w:rPr>
      </w:pPr>
      <w:r w:rsidRPr="006805D2">
        <w:rPr>
          <w:rFonts w:ascii="Palatino Linotype" w:eastAsia="Calibri" w:hAnsi="Palatino Linotype" w:cs="Tahoma"/>
          <w:iCs/>
          <w:sz w:val="22"/>
          <w:szCs w:val="22"/>
          <w:lang w:val="es-ES" w:eastAsia="es-ES_tradnl"/>
        </w:rPr>
        <w:t xml:space="preserve">En respuesta, el Sujeto Obligado </w:t>
      </w:r>
      <w:r w:rsidR="00EF574D" w:rsidRPr="006805D2">
        <w:rPr>
          <w:rFonts w:ascii="Palatino Linotype" w:eastAsia="Calibri" w:hAnsi="Palatino Linotype" w:cs="Tahoma"/>
          <w:iCs/>
          <w:sz w:val="22"/>
          <w:szCs w:val="22"/>
          <w:lang w:val="es-ES" w:eastAsia="es-ES_tradnl"/>
        </w:rPr>
        <w:t xml:space="preserve">proporcionó una liga electrónica con el argumento de que ahí se localizaba la información, derivado de ello </w:t>
      </w:r>
      <w:r w:rsidR="002715BD" w:rsidRPr="006805D2">
        <w:rPr>
          <w:rFonts w:ascii="Palatino Linotype" w:eastAsia="Calibri" w:hAnsi="Palatino Linotype" w:cs="Tahoma"/>
          <w:iCs/>
          <w:sz w:val="22"/>
          <w:szCs w:val="22"/>
          <w:lang w:val="es-ES" w:eastAsia="es-ES_tradnl"/>
        </w:rPr>
        <w:t>el Particular se inconformó</w:t>
      </w:r>
      <w:r w:rsidRPr="006805D2">
        <w:rPr>
          <w:rFonts w:ascii="Palatino Linotype" w:eastAsia="Calibri" w:hAnsi="Palatino Linotype" w:cs="Tahoma"/>
          <w:iCs/>
          <w:sz w:val="22"/>
          <w:szCs w:val="22"/>
          <w:lang w:val="es-ES" w:eastAsia="es-ES_tradnl"/>
        </w:rPr>
        <w:t>,</w:t>
      </w:r>
      <w:r w:rsidR="00EF574D" w:rsidRPr="006805D2">
        <w:rPr>
          <w:rFonts w:ascii="Palatino Linotype" w:eastAsia="Calibri" w:hAnsi="Palatino Linotype" w:cs="Tahoma"/>
          <w:iCs/>
          <w:sz w:val="22"/>
          <w:szCs w:val="22"/>
          <w:lang w:val="es-ES" w:eastAsia="es-ES_tradnl"/>
        </w:rPr>
        <w:t xml:space="preserve"> por no otorgarse la información en la modalidad que escogió,</w:t>
      </w:r>
      <w:r w:rsidRPr="006805D2">
        <w:rPr>
          <w:rFonts w:ascii="Palatino Linotype" w:eastAsia="Calibri" w:hAnsi="Palatino Linotype" w:cs="Tahoma"/>
          <w:iCs/>
          <w:sz w:val="22"/>
          <w:szCs w:val="22"/>
          <w:lang w:val="es-ES" w:eastAsia="es-ES_tradnl"/>
        </w:rPr>
        <w:t xml:space="preserve"> </w:t>
      </w:r>
      <w:r w:rsidRPr="006805D2">
        <w:rPr>
          <w:rFonts w:ascii="Palatino Linotype" w:eastAsia="Calibri" w:hAnsi="Palatino Linotype" w:cs="Tahoma"/>
          <w:bCs/>
          <w:sz w:val="22"/>
          <w:szCs w:val="22"/>
          <w:lang w:val="es-ES_tradnl" w:eastAsia="en-US"/>
        </w:rPr>
        <w:t xml:space="preserve">así </w:t>
      </w:r>
      <w:r w:rsidRPr="006805D2">
        <w:rPr>
          <w:rFonts w:ascii="Palatino Linotype" w:eastAsia="Calibri" w:hAnsi="Palatino Linotype" w:cs="Tahoma"/>
          <w:color w:val="000000"/>
          <w:sz w:val="22"/>
          <w:szCs w:val="22"/>
        </w:rPr>
        <w:t xml:space="preserve">en el asunto que nos ocupa se actualiza la causal de procedencia señalada en el </w:t>
      </w:r>
      <w:r w:rsidRPr="006805D2">
        <w:rPr>
          <w:rFonts w:ascii="Palatino Linotype" w:eastAsia="Calibri" w:hAnsi="Palatino Linotype" w:cs="Tahoma"/>
          <w:sz w:val="22"/>
          <w:szCs w:val="22"/>
        </w:rPr>
        <w:t>artículo 179, fracción V</w:t>
      </w:r>
      <w:r w:rsidR="001809B9" w:rsidRPr="006805D2">
        <w:rPr>
          <w:rFonts w:ascii="Palatino Linotype" w:eastAsia="Calibri" w:hAnsi="Palatino Linotype" w:cs="Tahoma"/>
          <w:sz w:val="22"/>
          <w:szCs w:val="22"/>
        </w:rPr>
        <w:t>II</w:t>
      </w:r>
      <w:r w:rsidRPr="006805D2">
        <w:rPr>
          <w:rFonts w:ascii="Palatino Linotype" w:eastAsia="Calibri" w:hAnsi="Palatino Linotype" w:cs="Tahoma"/>
          <w:sz w:val="22"/>
          <w:szCs w:val="22"/>
        </w:rPr>
        <w:t>I, de la Ley de la materia</w:t>
      </w:r>
      <w:r w:rsidRPr="006805D2">
        <w:rPr>
          <w:rFonts w:ascii="Palatino Linotype" w:eastAsia="Calibri" w:hAnsi="Palatino Linotype" w:cs="Tahoma"/>
          <w:bCs/>
          <w:sz w:val="22"/>
          <w:szCs w:val="22"/>
        </w:rPr>
        <w:t>.</w:t>
      </w:r>
    </w:p>
    <w:p w14:paraId="091133BD" w14:textId="77777777" w:rsidR="00785FCA" w:rsidRPr="006805D2" w:rsidRDefault="00785FCA" w:rsidP="00785FCA">
      <w:pPr>
        <w:tabs>
          <w:tab w:val="left" w:pos="4962"/>
        </w:tabs>
        <w:spacing w:line="360" w:lineRule="auto"/>
        <w:jc w:val="both"/>
        <w:rPr>
          <w:rFonts w:ascii="Palatino Linotype" w:eastAsia="Calibri" w:hAnsi="Palatino Linotype" w:cs="Tahoma"/>
          <w:b/>
          <w:iCs/>
          <w:sz w:val="22"/>
          <w:szCs w:val="22"/>
          <w:lang w:val="es-ES" w:eastAsia="es-ES_tradnl"/>
        </w:rPr>
      </w:pPr>
    </w:p>
    <w:p w14:paraId="73FA7E72" w14:textId="77777777" w:rsidR="00785FCA" w:rsidRPr="006805D2" w:rsidRDefault="00785FCA" w:rsidP="00785FCA">
      <w:pPr>
        <w:tabs>
          <w:tab w:val="left" w:pos="4962"/>
        </w:tabs>
        <w:spacing w:line="360" w:lineRule="auto"/>
        <w:jc w:val="both"/>
        <w:rPr>
          <w:rFonts w:ascii="Palatino Linotype" w:eastAsia="Calibri" w:hAnsi="Palatino Linotype" w:cs="Tahoma"/>
          <w:iCs/>
          <w:sz w:val="22"/>
          <w:szCs w:val="22"/>
          <w:lang w:eastAsia="es-ES_tradnl"/>
        </w:rPr>
      </w:pPr>
      <w:r w:rsidRPr="006805D2">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BD1E2BB" w14:textId="77777777" w:rsidR="00785FCA" w:rsidRPr="006805D2" w:rsidRDefault="00785FCA" w:rsidP="00785FCA">
      <w:pPr>
        <w:tabs>
          <w:tab w:val="left" w:pos="4962"/>
        </w:tabs>
        <w:spacing w:line="360" w:lineRule="auto"/>
        <w:jc w:val="both"/>
        <w:rPr>
          <w:rFonts w:ascii="Palatino Linotype" w:eastAsia="Calibri" w:hAnsi="Palatino Linotype" w:cs="Tahoma"/>
          <w:iCs/>
          <w:sz w:val="22"/>
          <w:szCs w:val="22"/>
          <w:lang w:eastAsia="es-ES_tradnl"/>
        </w:rPr>
      </w:pPr>
    </w:p>
    <w:p w14:paraId="6DF421EF" w14:textId="77777777" w:rsidR="00CE0B4C" w:rsidRPr="006805D2" w:rsidRDefault="00CE0B4C" w:rsidP="000B54EE">
      <w:pPr>
        <w:pStyle w:val="Ttulo2"/>
        <w:spacing w:before="0" w:line="360" w:lineRule="auto"/>
        <w:jc w:val="both"/>
        <w:rPr>
          <w:rFonts w:ascii="Palatino Linotype" w:eastAsia="Calibri" w:hAnsi="Palatino Linotype" w:cs="Arial"/>
          <w:b/>
          <w:color w:val="auto"/>
          <w:sz w:val="22"/>
          <w:lang w:eastAsia="es-ES_tradnl"/>
        </w:rPr>
      </w:pPr>
      <w:bookmarkStart w:id="28" w:name="_Toc220595953"/>
      <w:r w:rsidRPr="006805D2">
        <w:rPr>
          <w:rFonts w:ascii="Palatino Linotype" w:eastAsia="Calibri" w:hAnsi="Palatino Linotype" w:cs="Arial"/>
          <w:b/>
          <w:color w:val="auto"/>
          <w:sz w:val="22"/>
          <w:lang w:eastAsia="es-ES_tradnl"/>
        </w:rPr>
        <w:t>CUARTO. Marco normativo aplicable en materia de transparencia y acceso a la información pública</w:t>
      </w:r>
      <w:bookmarkEnd w:id="28"/>
    </w:p>
    <w:p w14:paraId="49C6AD5C" w14:textId="77777777" w:rsidR="00CE0B4C" w:rsidRPr="006805D2" w:rsidRDefault="00CE0B4C" w:rsidP="000B54EE">
      <w:pPr>
        <w:spacing w:line="360" w:lineRule="auto"/>
        <w:contextualSpacing/>
        <w:jc w:val="both"/>
        <w:rPr>
          <w:rFonts w:ascii="Palatino Linotype" w:hAnsi="Palatino Linotype" w:cs="Tahoma"/>
          <w:sz w:val="22"/>
          <w:szCs w:val="22"/>
        </w:rPr>
      </w:pPr>
    </w:p>
    <w:p w14:paraId="65F56CAC" w14:textId="77777777" w:rsidR="00CE0B4C" w:rsidRPr="006805D2" w:rsidRDefault="00CE0B4C" w:rsidP="000B54EE">
      <w:pPr>
        <w:widowControl w:val="0"/>
        <w:spacing w:line="360" w:lineRule="auto"/>
        <w:contextualSpacing/>
        <w:jc w:val="both"/>
        <w:rPr>
          <w:rFonts w:ascii="Palatino Linotype" w:hAnsi="Palatino Linotype" w:cs="Tahoma"/>
          <w:sz w:val="22"/>
          <w:szCs w:val="22"/>
        </w:rPr>
      </w:pPr>
      <w:r w:rsidRPr="006805D2">
        <w:rPr>
          <w:rFonts w:ascii="Palatino Linotype" w:hAnsi="Palatino Linotype" w:cs="Tahoma"/>
          <w:sz w:val="22"/>
          <w:szCs w:val="22"/>
        </w:rPr>
        <w:t>El artículo 6°, Apartado A), fracción I</w:t>
      </w:r>
      <w:r w:rsidR="00D63A43" w:rsidRPr="006805D2">
        <w:rPr>
          <w:rFonts w:ascii="Palatino Linotype" w:hAnsi="Palatino Linotype" w:cs="Tahoma"/>
          <w:sz w:val="22"/>
          <w:szCs w:val="22"/>
        </w:rPr>
        <w:t>,</w:t>
      </w:r>
      <w:r w:rsidRPr="006805D2">
        <w:rPr>
          <w:rFonts w:ascii="Palatino Linotype" w:hAnsi="Palatino Linotype" w:cs="Tahoma"/>
          <w:sz w:val="22"/>
          <w:szCs w:val="22"/>
        </w:rPr>
        <w:t xml:space="preserve"> de la Constitución Política de los Estados Unidos Mexicanos, establece que toda la información en posesión de cualquier </w:t>
      </w:r>
      <w:r w:rsidR="005A1884" w:rsidRPr="006805D2">
        <w:rPr>
          <w:rFonts w:ascii="Palatino Linotype" w:hAnsi="Palatino Linotype" w:cs="Tahoma"/>
          <w:sz w:val="22"/>
          <w:szCs w:val="22"/>
        </w:rPr>
        <w:t>autoridad</w:t>
      </w:r>
      <w:r w:rsidRPr="006805D2">
        <w:rPr>
          <w:rFonts w:ascii="Palatino Linotype" w:hAnsi="Palatino Linotype" w:cs="Tahoma"/>
          <w:sz w:val="22"/>
          <w:szCs w:val="22"/>
        </w:rPr>
        <w:t xml:space="preserve"> es pública y sólo podrá ser reservada temporalmente por razones de interés público.</w:t>
      </w:r>
    </w:p>
    <w:p w14:paraId="135702EA" w14:textId="77777777" w:rsidR="00CE0B4C" w:rsidRPr="006805D2" w:rsidRDefault="00CE0B4C" w:rsidP="000B54EE">
      <w:pPr>
        <w:spacing w:line="360" w:lineRule="auto"/>
        <w:contextualSpacing/>
        <w:jc w:val="both"/>
        <w:rPr>
          <w:rFonts w:ascii="Palatino Linotype" w:hAnsi="Palatino Linotype" w:cs="Tahoma"/>
          <w:sz w:val="22"/>
          <w:szCs w:val="22"/>
        </w:rPr>
      </w:pPr>
    </w:p>
    <w:p w14:paraId="0C178B3A" w14:textId="77777777" w:rsidR="00CE0B4C" w:rsidRPr="006805D2" w:rsidRDefault="00CE0B4C" w:rsidP="000B54EE">
      <w:pPr>
        <w:spacing w:line="360" w:lineRule="auto"/>
        <w:jc w:val="both"/>
        <w:rPr>
          <w:rFonts w:ascii="Palatino Linotype" w:hAnsi="Palatino Linotype" w:cs="Tahoma"/>
          <w:sz w:val="22"/>
          <w:szCs w:val="22"/>
        </w:rPr>
      </w:pPr>
      <w:r w:rsidRPr="006805D2">
        <w:rPr>
          <w:rFonts w:ascii="Palatino Linotype" w:hAnsi="Palatino Linotype" w:cs="Tahoma"/>
          <w:sz w:val="22"/>
          <w:szCs w:val="22"/>
        </w:rPr>
        <w:t>En materia local, el artículo 5°, fracción I</w:t>
      </w:r>
      <w:r w:rsidR="00002CF8" w:rsidRPr="006805D2">
        <w:rPr>
          <w:rFonts w:ascii="Palatino Linotype" w:hAnsi="Palatino Linotype" w:cs="Tahoma"/>
          <w:sz w:val="22"/>
          <w:szCs w:val="22"/>
        </w:rPr>
        <w:t>,</w:t>
      </w:r>
      <w:r w:rsidRPr="006805D2">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44D6BB" w14:textId="77777777" w:rsidR="00CE0B4C" w:rsidRPr="006805D2" w:rsidRDefault="00CE0B4C" w:rsidP="000B54EE">
      <w:pPr>
        <w:spacing w:line="360" w:lineRule="auto"/>
        <w:jc w:val="both"/>
        <w:rPr>
          <w:rFonts w:ascii="Palatino Linotype" w:hAnsi="Palatino Linotype" w:cs="Tahoma"/>
          <w:sz w:val="22"/>
          <w:szCs w:val="22"/>
        </w:rPr>
      </w:pPr>
    </w:p>
    <w:p w14:paraId="31EEB9A6" w14:textId="77777777" w:rsidR="00CE0B4C" w:rsidRPr="006805D2" w:rsidRDefault="00CE0B4C" w:rsidP="000B54EE">
      <w:pPr>
        <w:spacing w:line="360" w:lineRule="auto"/>
        <w:jc w:val="both"/>
        <w:rPr>
          <w:rFonts w:ascii="Palatino Linotype" w:hAnsi="Palatino Linotype" w:cs="Tahoma"/>
          <w:sz w:val="22"/>
          <w:szCs w:val="22"/>
        </w:rPr>
      </w:pPr>
      <w:r w:rsidRPr="006805D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E54D692" w14:textId="77777777" w:rsidR="00CE0B4C" w:rsidRPr="006805D2" w:rsidRDefault="00CE0B4C" w:rsidP="000B54EE">
      <w:pPr>
        <w:spacing w:line="360" w:lineRule="auto"/>
        <w:jc w:val="both"/>
        <w:rPr>
          <w:rFonts w:ascii="Palatino Linotype" w:hAnsi="Palatino Linotype" w:cs="Tahoma"/>
          <w:sz w:val="22"/>
          <w:szCs w:val="22"/>
        </w:rPr>
      </w:pPr>
    </w:p>
    <w:p w14:paraId="07B85A89" w14:textId="77777777" w:rsidR="00CE0B4C" w:rsidRPr="006805D2" w:rsidRDefault="00CE0B4C" w:rsidP="000B54EE">
      <w:pPr>
        <w:spacing w:line="360" w:lineRule="auto"/>
        <w:jc w:val="both"/>
        <w:rPr>
          <w:rFonts w:ascii="Palatino Linotype" w:hAnsi="Palatino Linotype" w:cs="Tahoma"/>
          <w:sz w:val="22"/>
          <w:szCs w:val="22"/>
        </w:rPr>
      </w:pPr>
      <w:r w:rsidRPr="006805D2">
        <w:rPr>
          <w:rFonts w:ascii="Palatino Linotype" w:hAnsi="Palatino Linotype" w:cs="Tahoma"/>
          <w:sz w:val="22"/>
          <w:szCs w:val="22"/>
        </w:rPr>
        <w:t>El artículo 12, que, quienes generen, recopilen, administren, manejen, procesen, archiven o conserven información pública serán responsables de la misma.</w:t>
      </w:r>
    </w:p>
    <w:p w14:paraId="4675F5C9" w14:textId="77777777" w:rsidR="00EF5683" w:rsidRPr="006805D2" w:rsidRDefault="00EF5683" w:rsidP="000B54EE">
      <w:pPr>
        <w:spacing w:line="360" w:lineRule="auto"/>
        <w:jc w:val="both"/>
        <w:rPr>
          <w:rFonts w:ascii="Palatino Linotype" w:hAnsi="Palatino Linotype" w:cs="Tahoma"/>
          <w:sz w:val="22"/>
          <w:szCs w:val="22"/>
        </w:rPr>
      </w:pPr>
    </w:p>
    <w:p w14:paraId="36630CD1" w14:textId="77777777" w:rsidR="00CE0B4C" w:rsidRPr="006805D2" w:rsidRDefault="00CE0B4C" w:rsidP="000B54EE">
      <w:pPr>
        <w:spacing w:line="360" w:lineRule="auto"/>
        <w:jc w:val="both"/>
        <w:rPr>
          <w:rFonts w:ascii="Palatino Linotype" w:hAnsi="Palatino Linotype" w:cs="Tahoma"/>
          <w:sz w:val="22"/>
          <w:szCs w:val="22"/>
        </w:rPr>
      </w:pPr>
      <w:r w:rsidRPr="006805D2">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0EF7DE1" w14:textId="77777777" w:rsidR="005C0E48" w:rsidRPr="006805D2" w:rsidRDefault="005C0E48" w:rsidP="000B54EE">
      <w:pPr>
        <w:spacing w:line="360" w:lineRule="auto"/>
        <w:jc w:val="both"/>
        <w:rPr>
          <w:rFonts w:ascii="Palatino Linotype" w:hAnsi="Palatino Linotype" w:cs="Tahoma"/>
          <w:sz w:val="22"/>
          <w:szCs w:val="22"/>
        </w:rPr>
      </w:pPr>
    </w:p>
    <w:p w14:paraId="4EBCCCF2" w14:textId="77777777" w:rsidR="00CE0B4C" w:rsidRPr="006805D2" w:rsidRDefault="00CE0B4C" w:rsidP="000B54EE">
      <w:pPr>
        <w:spacing w:line="360" w:lineRule="auto"/>
        <w:jc w:val="both"/>
        <w:rPr>
          <w:rFonts w:ascii="Palatino Linotype" w:hAnsi="Palatino Linotype" w:cs="Tahoma"/>
          <w:sz w:val="22"/>
          <w:szCs w:val="22"/>
        </w:rPr>
      </w:pPr>
      <w:r w:rsidRPr="006805D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C0F4033" w14:textId="77777777" w:rsidR="00EA1A4A" w:rsidRPr="006805D2" w:rsidRDefault="00EA1A4A" w:rsidP="000B54EE">
      <w:pPr>
        <w:spacing w:line="360" w:lineRule="auto"/>
        <w:jc w:val="both"/>
        <w:rPr>
          <w:rFonts w:ascii="Palatino Linotype" w:hAnsi="Palatino Linotype" w:cs="Tahoma"/>
          <w:sz w:val="22"/>
          <w:szCs w:val="22"/>
        </w:rPr>
      </w:pPr>
    </w:p>
    <w:p w14:paraId="301EA7AA" w14:textId="77777777" w:rsidR="00CE0B4C" w:rsidRPr="006805D2" w:rsidRDefault="00CE0B4C" w:rsidP="000B54EE">
      <w:pPr>
        <w:pStyle w:val="Ttulo2"/>
        <w:spacing w:before="0" w:line="360" w:lineRule="auto"/>
        <w:rPr>
          <w:rFonts w:ascii="Palatino Linotype" w:hAnsi="Palatino Linotype"/>
          <w:b/>
          <w:color w:val="auto"/>
          <w:sz w:val="22"/>
          <w:lang w:val="es-ES"/>
        </w:rPr>
      </w:pPr>
      <w:bookmarkStart w:id="29" w:name="_Toc220595954"/>
      <w:r w:rsidRPr="006805D2">
        <w:rPr>
          <w:rFonts w:ascii="Palatino Linotype" w:eastAsia="Calibri" w:hAnsi="Palatino Linotype"/>
          <w:b/>
          <w:color w:val="auto"/>
          <w:sz w:val="22"/>
          <w:lang w:eastAsia="es-ES_tradnl"/>
        </w:rPr>
        <w:t>QUINTO. Estudio de Fondo</w:t>
      </w:r>
      <w:bookmarkEnd w:id="29"/>
    </w:p>
    <w:p w14:paraId="2312F502" w14:textId="77777777" w:rsidR="00040101" w:rsidRPr="006805D2" w:rsidRDefault="00040101" w:rsidP="000B54EE">
      <w:pPr>
        <w:spacing w:line="360" w:lineRule="auto"/>
        <w:ind w:right="-93"/>
        <w:jc w:val="both"/>
        <w:rPr>
          <w:rFonts w:ascii="Palatino Linotype" w:hAnsi="Palatino Linotype" w:cs="Tahoma"/>
          <w:b/>
          <w:sz w:val="22"/>
          <w:szCs w:val="22"/>
          <w:lang w:val="es-ES"/>
        </w:rPr>
      </w:pPr>
    </w:p>
    <w:p w14:paraId="294E15CF" w14:textId="77777777" w:rsidR="001809B9" w:rsidRPr="006805D2" w:rsidRDefault="001809B9" w:rsidP="001809B9">
      <w:pPr>
        <w:spacing w:line="360" w:lineRule="auto"/>
        <w:jc w:val="both"/>
        <w:rPr>
          <w:rFonts w:ascii="Palatino Linotype" w:hAnsi="Palatino Linotype" w:cs="Tahoma"/>
          <w:bCs/>
          <w:iCs/>
          <w:color w:val="000000"/>
          <w:sz w:val="22"/>
          <w:szCs w:val="22"/>
        </w:rPr>
      </w:pPr>
      <w:r w:rsidRPr="006805D2">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6805D2">
        <w:rPr>
          <w:rFonts w:ascii="Palatino Linotype" w:hAnsi="Palatino Linotype" w:cs="Tahoma"/>
          <w:bCs/>
          <w:iCs/>
          <w:color w:val="000000"/>
          <w:sz w:val="22"/>
          <w:szCs w:val="22"/>
        </w:rPr>
        <w:t>por lo que, en principio es necesario contextualizar la solicitud de información.</w:t>
      </w:r>
    </w:p>
    <w:p w14:paraId="33A77600" w14:textId="389E0442" w:rsidR="001809B9" w:rsidRPr="006805D2" w:rsidRDefault="001809B9" w:rsidP="001809B9">
      <w:pPr>
        <w:spacing w:line="360" w:lineRule="auto"/>
        <w:jc w:val="both"/>
        <w:rPr>
          <w:rFonts w:ascii="Palatino Linotype" w:hAnsi="Palatino Linotype" w:cs="Tahoma"/>
          <w:bCs/>
          <w:iCs/>
          <w:color w:val="000000"/>
          <w:sz w:val="22"/>
          <w:szCs w:val="22"/>
        </w:rPr>
      </w:pPr>
    </w:p>
    <w:p w14:paraId="4A898F73" w14:textId="5D877D33" w:rsidR="00F23023" w:rsidRPr="006805D2" w:rsidRDefault="00F23023" w:rsidP="00F23023">
      <w:pPr>
        <w:spacing w:line="360" w:lineRule="auto"/>
        <w:jc w:val="both"/>
        <w:rPr>
          <w:rFonts w:ascii="Palatino Linotype" w:hAnsi="Palatino Linotype"/>
          <w:b/>
          <w:color w:val="0D0D0D"/>
          <w:sz w:val="22"/>
          <w:szCs w:val="22"/>
        </w:rPr>
      </w:pPr>
      <w:r w:rsidRPr="006805D2">
        <w:rPr>
          <w:rFonts w:ascii="Palatino Linotype" w:hAnsi="Palatino Linotype"/>
          <w:color w:val="0D0D0D"/>
          <w:sz w:val="22"/>
          <w:szCs w:val="22"/>
        </w:rPr>
        <w:t xml:space="preserve">Derivado de lo anterior, como se observa el Particular quiere conocer sueldo de todos los servidores públicos, así como sus nombre y </w:t>
      </w:r>
      <w:r w:rsidR="00E843BA" w:rsidRPr="006805D2">
        <w:rPr>
          <w:rFonts w:ascii="Palatino Linotype" w:hAnsi="Palatino Linotype"/>
          <w:color w:val="0D0D0D"/>
          <w:sz w:val="22"/>
          <w:szCs w:val="22"/>
        </w:rPr>
        <w:t>puesto</w:t>
      </w:r>
      <w:r w:rsidRPr="006805D2">
        <w:rPr>
          <w:rFonts w:ascii="Palatino Linotype" w:hAnsi="Palatino Linotype"/>
          <w:color w:val="0D0D0D"/>
          <w:sz w:val="22"/>
          <w:szCs w:val="22"/>
        </w:rPr>
        <w:t>, por ello es de señalar que</w:t>
      </w:r>
      <w:r w:rsidRPr="006805D2">
        <w:rPr>
          <w:rFonts w:ascii="Palatino Linotype" w:hAnsi="Palatino Linotype"/>
          <w:bCs/>
          <w:iCs/>
          <w:color w:val="0D0D0D"/>
          <w:sz w:val="22"/>
          <w:szCs w:val="22"/>
        </w:rPr>
        <w:t xml:space="preserve"> el </w:t>
      </w:r>
      <w:r w:rsidRPr="006805D2">
        <w:rPr>
          <w:rFonts w:ascii="Palatino Linotype" w:hAnsi="Palatino Linotype"/>
          <w:color w:val="0D0D0D"/>
          <w:sz w:val="22"/>
          <w:szCs w:val="22"/>
        </w:rPr>
        <w:t xml:space="preserve">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6805D2">
        <w:rPr>
          <w:rFonts w:ascii="Palatino Linotype" w:hAnsi="Palatino Linotype"/>
          <w:b/>
          <w:color w:val="0D0D0D"/>
          <w:sz w:val="22"/>
          <w:szCs w:val="22"/>
        </w:rPr>
        <w:t>servidores públicos a todas las personas que desempeñen un empleo, cargo o comisión en los Municipios.</w:t>
      </w:r>
    </w:p>
    <w:p w14:paraId="1A50FB82" w14:textId="77777777" w:rsidR="00F23023" w:rsidRPr="006805D2" w:rsidRDefault="00F23023" w:rsidP="00F23023">
      <w:pPr>
        <w:spacing w:line="360" w:lineRule="auto"/>
        <w:jc w:val="both"/>
        <w:rPr>
          <w:rFonts w:ascii="Palatino Linotype" w:hAnsi="Palatino Linotype"/>
          <w:b/>
          <w:color w:val="0D0D0D"/>
          <w:sz w:val="22"/>
          <w:szCs w:val="22"/>
        </w:rPr>
      </w:pPr>
    </w:p>
    <w:p w14:paraId="2FCD5DB4" w14:textId="77777777" w:rsidR="00F23023" w:rsidRPr="006805D2" w:rsidRDefault="00F23023" w:rsidP="00F23023">
      <w:pPr>
        <w:spacing w:line="360" w:lineRule="auto"/>
        <w:jc w:val="both"/>
        <w:rPr>
          <w:rFonts w:ascii="Palatino Linotype" w:hAnsi="Palatino Linotype"/>
          <w:color w:val="0D0D0D"/>
          <w:sz w:val="22"/>
          <w:szCs w:val="22"/>
        </w:rPr>
      </w:pPr>
      <w:r w:rsidRPr="006805D2">
        <w:rPr>
          <w:rFonts w:ascii="Palatino Linotype" w:hAnsi="Palatino Linotype"/>
          <w:color w:val="0D0D0D"/>
          <w:sz w:val="22"/>
          <w:szCs w:val="22"/>
        </w:rPr>
        <w:lastRenderedPageBreak/>
        <w:t xml:space="preserve">Además, el artículo 4°, fracción VI, de la Ley del Trabajo de los servidores públicos del Estado y Municipios, precisa que son </w:t>
      </w:r>
      <w:r w:rsidRPr="006805D2">
        <w:rPr>
          <w:rFonts w:ascii="Palatino Linotype" w:hAnsi="Palatino Linotype"/>
          <w:b/>
          <w:color w:val="0D0D0D"/>
          <w:sz w:val="22"/>
          <w:szCs w:val="22"/>
        </w:rPr>
        <w:t>servidores públicos,</w:t>
      </w:r>
      <w:r w:rsidRPr="006805D2">
        <w:rPr>
          <w:rFonts w:ascii="Palatino Linotype" w:hAnsi="Palatino Linotype"/>
          <w:color w:val="0D0D0D"/>
          <w:sz w:val="22"/>
          <w:szCs w:val="22"/>
        </w:rPr>
        <w:t xml:space="preserve"> todas las personas físicas que presten a una institución pública un trabajo personal subordinado, mediante el pago de un sueldo.</w:t>
      </w:r>
    </w:p>
    <w:p w14:paraId="7490940F" w14:textId="77777777" w:rsidR="00F23023" w:rsidRPr="006805D2" w:rsidRDefault="00F23023" w:rsidP="00F23023">
      <w:pPr>
        <w:spacing w:line="360" w:lineRule="auto"/>
        <w:jc w:val="both"/>
        <w:rPr>
          <w:rFonts w:ascii="Palatino Linotype" w:hAnsi="Palatino Linotype"/>
          <w:color w:val="0D0D0D"/>
          <w:sz w:val="22"/>
          <w:szCs w:val="22"/>
        </w:rPr>
      </w:pPr>
    </w:p>
    <w:p w14:paraId="698D0333" w14:textId="77777777" w:rsidR="00F23023" w:rsidRPr="006805D2" w:rsidRDefault="00F23023" w:rsidP="00F23023">
      <w:pPr>
        <w:spacing w:line="360" w:lineRule="auto"/>
        <w:jc w:val="both"/>
        <w:rPr>
          <w:rFonts w:ascii="Palatino Linotype" w:hAnsi="Palatino Linotype"/>
          <w:color w:val="0D0D0D"/>
          <w:sz w:val="22"/>
          <w:szCs w:val="22"/>
        </w:rPr>
      </w:pPr>
      <w:r w:rsidRPr="006805D2">
        <w:rPr>
          <w:rFonts w:ascii="Palatino Linotype" w:hAnsi="Palatino Linotype"/>
          <w:color w:val="0D0D0D"/>
          <w:sz w:val="22"/>
          <w:szCs w:val="22"/>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1C0B030" w14:textId="77777777" w:rsidR="00F23023" w:rsidRPr="006805D2" w:rsidRDefault="00F23023" w:rsidP="00F23023">
      <w:pPr>
        <w:spacing w:line="360" w:lineRule="auto"/>
        <w:jc w:val="both"/>
        <w:rPr>
          <w:rFonts w:ascii="Palatino Linotype" w:hAnsi="Palatino Linotype"/>
          <w:color w:val="0D0D0D"/>
          <w:sz w:val="22"/>
          <w:szCs w:val="22"/>
        </w:rPr>
      </w:pPr>
    </w:p>
    <w:p w14:paraId="38341A86" w14:textId="77777777" w:rsidR="00F23023" w:rsidRPr="006805D2" w:rsidRDefault="00F23023" w:rsidP="00F23023">
      <w:pPr>
        <w:spacing w:line="360" w:lineRule="auto"/>
        <w:jc w:val="both"/>
        <w:rPr>
          <w:rFonts w:ascii="Palatino Linotype" w:hAnsi="Palatino Linotype"/>
          <w:color w:val="0D0D0D"/>
          <w:sz w:val="22"/>
          <w:szCs w:val="22"/>
        </w:rPr>
      </w:pPr>
      <w:r w:rsidRPr="006805D2">
        <w:rPr>
          <w:rFonts w:ascii="Palatino Linotype" w:hAnsi="Palatino Linotype"/>
          <w:color w:val="0D0D0D"/>
          <w:sz w:val="22"/>
          <w:szCs w:val="22"/>
        </w:rPr>
        <w:t>En ese contexto, el artículo 92, fracción VIII, de la Ley de Transparencia y Acceso a la Información Pública del Estado de México y Municipios, establece que los Sujetos Obligados</w:t>
      </w:r>
    </w:p>
    <w:p w14:paraId="41EA4E89" w14:textId="77777777" w:rsidR="00F23023" w:rsidRPr="006805D2" w:rsidRDefault="00F23023" w:rsidP="00F23023">
      <w:pPr>
        <w:spacing w:line="360" w:lineRule="auto"/>
        <w:jc w:val="both"/>
        <w:rPr>
          <w:rFonts w:ascii="Palatino Linotype" w:hAnsi="Palatino Linotype"/>
          <w:color w:val="0D0D0D"/>
          <w:sz w:val="22"/>
          <w:szCs w:val="22"/>
        </w:rPr>
      </w:pPr>
      <w:r w:rsidRPr="006805D2">
        <w:rPr>
          <w:rFonts w:ascii="Palatino Linotype" w:hAnsi="Palatino Linotype"/>
          <w:color w:val="0D0D0D"/>
          <w:sz w:val="22"/>
          <w:szCs w:val="22"/>
        </w:rPr>
        <w:t>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4D3BF07" w14:textId="77777777" w:rsidR="00F23023" w:rsidRPr="006805D2" w:rsidRDefault="00F23023" w:rsidP="00F23023">
      <w:pPr>
        <w:spacing w:line="360" w:lineRule="auto"/>
        <w:jc w:val="both"/>
        <w:rPr>
          <w:rFonts w:ascii="Palatino Linotype" w:hAnsi="Palatino Linotype"/>
          <w:color w:val="0D0D0D"/>
          <w:sz w:val="22"/>
          <w:szCs w:val="22"/>
        </w:rPr>
      </w:pPr>
    </w:p>
    <w:p w14:paraId="5A54408A" w14:textId="77777777" w:rsidR="00F23023" w:rsidRPr="006805D2" w:rsidRDefault="00F23023" w:rsidP="00F23023">
      <w:pPr>
        <w:spacing w:line="360" w:lineRule="auto"/>
        <w:jc w:val="both"/>
        <w:rPr>
          <w:rFonts w:ascii="Palatino Linotype" w:hAnsi="Palatino Linotype"/>
          <w:b/>
          <w:color w:val="0D0D0D"/>
          <w:sz w:val="22"/>
          <w:szCs w:val="22"/>
        </w:rPr>
      </w:pPr>
      <w:r w:rsidRPr="006805D2">
        <w:rPr>
          <w:rFonts w:ascii="Palatino Linotype" w:hAnsi="Palatino Linotype"/>
          <w:color w:val="0D0D0D"/>
          <w:sz w:val="22"/>
          <w:szCs w:val="22"/>
        </w:rPr>
        <w:t>Por otra parte, respecto al documento requerido, el Glosario localizado en la página de Transparencia Presupuestaria de la Secretaría de Hacienda y Crédito Público (</w:t>
      </w:r>
      <w:hyperlink r:id="rId8" w:history="1">
        <w:r w:rsidRPr="006805D2">
          <w:rPr>
            <w:rStyle w:val="Hipervnculo"/>
            <w:rFonts w:ascii="Palatino Linotype" w:hAnsi="Palatino Linotype"/>
            <w:sz w:val="22"/>
            <w:szCs w:val="22"/>
          </w:rPr>
          <w:t>http://www.transparenciapresupuestaria.gob.mx/es/PTP/Glosario</w:t>
        </w:r>
      </w:hyperlink>
      <w:r w:rsidRPr="006805D2">
        <w:rPr>
          <w:rFonts w:ascii="Palatino Linotype" w:hAnsi="Palatino Linotype"/>
          <w:color w:val="0D0D0D"/>
          <w:sz w:val="22"/>
          <w:szCs w:val="22"/>
        </w:rPr>
        <w:t xml:space="preserve">), establece que la </w:t>
      </w:r>
      <w:r w:rsidRPr="006805D2">
        <w:rPr>
          <w:rFonts w:ascii="Palatino Linotype" w:hAnsi="Palatino Linotype"/>
          <w:b/>
          <w:color w:val="0D0D0D"/>
          <w:sz w:val="22"/>
          <w:szCs w:val="22"/>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D3CD588" w14:textId="77777777" w:rsidR="00F23023" w:rsidRPr="006805D2" w:rsidRDefault="00F23023" w:rsidP="00F23023">
      <w:pPr>
        <w:spacing w:line="360" w:lineRule="auto"/>
        <w:jc w:val="both"/>
        <w:rPr>
          <w:rFonts w:ascii="Palatino Linotype" w:hAnsi="Palatino Linotype"/>
          <w:color w:val="0D0D0D"/>
          <w:sz w:val="22"/>
          <w:szCs w:val="22"/>
        </w:rPr>
      </w:pPr>
    </w:p>
    <w:p w14:paraId="51D8B5B8" w14:textId="77777777" w:rsidR="00F23023" w:rsidRPr="006805D2" w:rsidRDefault="00F23023" w:rsidP="00F23023">
      <w:pPr>
        <w:spacing w:line="360" w:lineRule="auto"/>
        <w:jc w:val="both"/>
        <w:rPr>
          <w:rFonts w:ascii="Palatino Linotype" w:hAnsi="Palatino Linotype"/>
          <w:b/>
          <w:color w:val="0D0D0D"/>
          <w:sz w:val="22"/>
          <w:szCs w:val="22"/>
        </w:rPr>
      </w:pPr>
      <w:r w:rsidRPr="006805D2">
        <w:rPr>
          <w:rFonts w:ascii="Palatino Linotype" w:hAnsi="Palatino Linotype"/>
          <w:color w:val="0D0D0D"/>
          <w:sz w:val="22"/>
          <w:szCs w:val="22"/>
        </w:rPr>
        <w:t xml:space="preserve">De la misma manera, el Glosario de términos más usuales en la Administración Pública Federal, emitido por la Secretaría de Hacienda y Crédito Público </w:t>
      </w:r>
      <w:r w:rsidRPr="006805D2">
        <w:rPr>
          <w:rFonts w:ascii="Palatino Linotype" w:hAnsi="Palatino Linotype"/>
          <w:color w:val="0D0D0D"/>
          <w:sz w:val="22"/>
          <w:szCs w:val="22"/>
        </w:rPr>
        <w:lastRenderedPageBreak/>
        <w:t>(</w:t>
      </w:r>
      <w:hyperlink r:id="rId9" w:history="1">
        <w:r w:rsidRPr="006805D2">
          <w:rPr>
            <w:rStyle w:val="Hipervnculo"/>
            <w:rFonts w:ascii="Palatino Linotype" w:hAnsi="Palatino Linotype"/>
            <w:sz w:val="22"/>
            <w:szCs w:val="22"/>
          </w:rPr>
          <w:t>https://www.apartados.hacienda.gob.mx/contabilidad/documentos/informe_cuenta/1998/cuenta_publica/Glosario/n.htm</w:t>
        </w:r>
      </w:hyperlink>
      <w:r w:rsidRPr="006805D2">
        <w:rPr>
          <w:rFonts w:ascii="Palatino Linotype" w:hAnsi="Palatino Linotype"/>
          <w:color w:val="0D0D0D"/>
          <w:sz w:val="22"/>
          <w:szCs w:val="22"/>
        </w:rPr>
        <w:t xml:space="preserve">),  establece que la </w:t>
      </w:r>
      <w:r w:rsidRPr="006805D2">
        <w:rPr>
          <w:rFonts w:ascii="Palatino Linotype" w:hAnsi="Palatino Linotype"/>
          <w:b/>
          <w:color w:val="0D0D0D"/>
          <w:sz w:val="22"/>
          <w:szCs w:val="22"/>
          <w:u w:val="single"/>
        </w:rPr>
        <w:t>nómina es un listado general</w:t>
      </w:r>
      <w:r w:rsidRPr="006805D2">
        <w:rPr>
          <w:rFonts w:ascii="Palatino Linotype" w:hAnsi="Palatino Linotype"/>
          <w:b/>
          <w:color w:val="0D0D0D"/>
          <w:sz w:val="22"/>
          <w:szCs w:val="22"/>
        </w:rPr>
        <w:t xml:space="preserve"> de los trabajadores de una institución, en el cual se asientan las percepciones brutas, deducciones y alcance neto de las mismas.</w:t>
      </w:r>
    </w:p>
    <w:p w14:paraId="01C042AB" w14:textId="77777777" w:rsidR="00F23023" w:rsidRPr="006805D2" w:rsidRDefault="00F23023" w:rsidP="00F23023">
      <w:pPr>
        <w:spacing w:line="360" w:lineRule="auto"/>
        <w:jc w:val="both"/>
        <w:rPr>
          <w:rFonts w:ascii="Palatino Linotype" w:hAnsi="Palatino Linotype"/>
          <w:color w:val="0D0D0D"/>
          <w:sz w:val="22"/>
          <w:szCs w:val="22"/>
        </w:rPr>
      </w:pPr>
    </w:p>
    <w:p w14:paraId="47CA4009" w14:textId="77777777" w:rsidR="00F23023" w:rsidRPr="006805D2" w:rsidRDefault="00F23023" w:rsidP="00F23023">
      <w:pPr>
        <w:spacing w:line="360" w:lineRule="auto"/>
        <w:jc w:val="both"/>
        <w:rPr>
          <w:rFonts w:ascii="Palatino Linotype" w:hAnsi="Palatino Linotype"/>
          <w:color w:val="0D0D0D"/>
          <w:sz w:val="22"/>
          <w:szCs w:val="22"/>
        </w:rPr>
      </w:pPr>
      <w:r w:rsidRPr="006805D2">
        <w:rPr>
          <w:rFonts w:ascii="Palatino Linotype" w:hAnsi="Palatino Linotype"/>
          <w:color w:val="0D0D0D"/>
          <w:sz w:val="22"/>
          <w:szCs w:val="22"/>
        </w:rPr>
        <w:t xml:space="preserve">Conforme a lo anterior, se puede advertir que la nómina se puede referir a lo siguiente: </w:t>
      </w:r>
    </w:p>
    <w:p w14:paraId="35076FAA" w14:textId="77777777" w:rsidR="00F23023" w:rsidRPr="006805D2" w:rsidRDefault="00F23023" w:rsidP="00F23023">
      <w:pPr>
        <w:spacing w:line="360" w:lineRule="auto"/>
        <w:jc w:val="both"/>
        <w:rPr>
          <w:rFonts w:ascii="Palatino Linotype" w:hAnsi="Palatino Linotype"/>
          <w:color w:val="0D0D0D"/>
          <w:sz w:val="22"/>
          <w:szCs w:val="22"/>
        </w:rPr>
      </w:pPr>
    </w:p>
    <w:p w14:paraId="7953A7CB" w14:textId="77777777" w:rsidR="00F23023" w:rsidRPr="006805D2" w:rsidRDefault="00F23023" w:rsidP="00F23023">
      <w:pPr>
        <w:numPr>
          <w:ilvl w:val="0"/>
          <w:numId w:val="3"/>
        </w:numPr>
        <w:spacing w:line="360" w:lineRule="auto"/>
        <w:jc w:val="both"/>
        <w:rPr>
          <w:rFonts w:ascii="Palatino Linotype" w:hAnsi="Palatino Linotype"/>
          <w:color w:val="0D0D0D"/>
          <w:sz w:val="22"/>
          <w:szCs w:val="22"/>
        </w:rPr>
      </w:pPr>
      <w:r w:rsidRPr="006805D2">
        <w:rPr>
          <w:rFonts w:ascii="Palatino Linotype" w:hAnsi="Palatino Linotype"/>
          <w:color w:val="0D0D0D"/>
          <w:sz w:val="22"/>
          <w:szCs w:val="22"/>
        </w:rPr>
        <w:t>Relación de trabajadores con las percepciones monetarias de cada uno.</w:t>
      </w:r>
    </w:p>
    <w:p w14:paraId="19590B30" w14:textId="77777777" w:rsidR="00F23023" w:rsidRPr="006805D2" w:rsidRDefault="00F23023" w:rsidP="00F23023">
      <w:pPr>
        <w:numPr>
          <w:ilvl w:val="0"/>
          <w:numId w:val="3"/>
        </w:numPr>
        <w:spacing w:line="360" w:lineRule="auto"/>
        <w:jc w:val="both"/>
        <w:rPr>
          <w:rFonts w:ascii="Palatino Linotype" w:hAnsi="Palatino Linotype"/>
          <w:color w:val="0D0D0D"/>
          <w:sz w:val="22"/>
          <w:szCs w:val="22"/>
        </w:rPr>
      </w:pPr>
      <w:r w:rsidRPr="006805D2">
        <w:rPr>
          <w:rFonts w:ascii="Palatino Linotype" w:hAnsi="Palatino Linotype"/>
          <w:color w:val="0D0D0D"/>
          <w:sz w:val="22"/>
          <w:szCs w:val="22"/>
        </w:rPr>
        <w:t xml:space="preserve">Recibo individual que contiene las prestaciones y deducciones de un trabajador. </w:t>
      </w:r>
    </w:p>
    <w:p w14:paraId="080EEE68" w14:textId="77777777" w:rsidR="00F23023" w:rsidRPr="006805D2" w:rsidRDefault="00F23023" w:rsidP="00F23023">
      <w:pPr>
        <w:numPr>
          <w:ilvl w:val="0"/>
          <w:numId w:val="3"/>
        </w:numPr>
        <w:spacing w:line="360" w:lineRule="auto"/>
        <w:jc w:val="both"/>
        <w:rPr>
          <w:rFonts w:ascii="Palatino Linotype" w:hAnsi="Palatino Linotype"/>
          <w:color w:val="0D0D0D"/>
          <w:sz w:val="22"/>
          <w:szCs w:val="22"/>
        </w:rPr>
      </w:pPr>
      <w:r w:rsidRPr="006805D2">
        <w:rPr>
          <w:rFonts w:ascii="Palatino Linotype" w:hAnsi="Palatino Linotype"/>
          <w:color w:val="0D0D0D"/>
          <w:sz w:val="22"/>
          <w:szCs w:val="22"/>
        </w:rPr>
        <w:t>Listado general de los servidores públicos de una institución o dependencia, en el cual se asientan las percepciones brutas, deducciones y alcance neto de las mismas.</w:t>
      </w:r>
    </w:p>
    <w:p w14:paraId="3FDCC793" w14:textId="77777777" w:rsidR="00F23023" w:rsidRPr="006805D2" w:rsidRDefault="00F23023" w:rsidP="00F23023">
      <w:pPr>
        <w:spacing w:line="360" w:lineRule="auto"/>
        <w:jc w:val="both"/>
        <w:rPr>
          <w:rFonts w:ascii="Palatino Linotype" w:hAnsi="Palatino Linotype"/>
          <w:color w:val="0D0D0D"/>
          <w:sz w:val="22"/>
          <w:szCs w:val="22"/>
        </w:rPr>
      </w:pPr>
    </w:p>
    <w:p w14:paraId="13E12A4C" w14:textId="77777777" w:rsidR="00F23023" w:rsidRPr="006805D2" w:rsidRDefault="00F23023" w:rsidP="00F23023">
      <w:pPr>
        <w:spacing w:line="360" w:lineRule="auto"/>
        <w:jc w:val="both"/>
        <w:rPr>
          <w:rFonts w:ascii="Palatino Linotype" w:eastAsia="Calibri" w:hAnsi="Palatino Linotype" w:cs="Tahoma"/>
          <w:bCs/>
          <w:sz w:val="22"/>
          <w:szCs w:val="22"/>
        </w:rPr>
      </w:pPr>
      <w:r w:rsidRPr="006805D2">
        <w:rPr>
          <w:rFonts w:ascii="Palatino Linotype" w:hAnsi="Palatino Linotype"/>
          <w:color w:val="0D0D0D"/>
          <w:sz w:val="22"/>
          <w:szCs w:val="22"/>
        </w:rPr>
        <w:t xml:space="preserve">En ese contexto, los Lineamientos para la Integración y Entrega del Informe Trimestral Municipal, dos mil veinticinco, emitidos por el Órgano Superior de Fiscalización del Estado de México, el cual precisa que los Ayuntamientos deben de proporcionar, para su fiscalización, diversos documentos, entre los cuales se encuentran aquellos del Módulo 4, que contienen la Conciliación de Nómina, el cual se conforma de del listado de servidores públicos, con todas sus percepciones y deducciones, mismo que se genera de manera quincenal, por lo que este documento de manera enunciativa mas no limitativa puede contener la información interés del Particular </w:t>
      </w:r>
    </w:p>
    <w:p w14:paraId="40205B8F" w14:textId="77777777" w:rsidR="00F23023" w:rsidRPr="006805D2" w:rsidRDefault="00F23023" w:rsidP="00F23023">
      <w:pPr>
        <w:tabs>
          <w:tab w:val="left" w:pos="4962"/>
        </w:tabs>
        <w:spacing w:line="360" w:lineRule="auto"/>
        <w:jc w:val="both"/>
        <w:rPr>
          <w:rFonts w:ascii="Palatino Linotype" w:eastAsia="Calibri" w:hAnsi="Palatino Linotype" w:cs="Tahoma"/>
          <w:bCs/>
          <w:sz w:val="22"/>
          <w:szCs w:val="22"/>
        </w:rPr>
      </w:pPr>
    </w:p>
    <w:p w14:paraId="0A42AA6D" w14:textId="700983A3" w:rsidR="001809B9" w:rsidRPr="006805D2" w:rsidRDefault="00F23023" w:rsidP="00E843BA">
      <w:pPr>
        <w:spacing w:line="360" w:lineRule="auto"/>
        <w:contextualSpacing/>
        <w:jc w:val="both"/>
        <w:rPr>
          <w:rFonts w:ascii="Palatino Linotype" w:eastAsia="Palatino Linotype" w:hAnsi="Palatino Linotype" w:cs="Palatino Linotype"/>
          <w:color w:val="000000"/>
          <w:sz w:val="22"/>
          <w:szCs w:val="22"/>
          <w:lang w:eastAsia="es-MX"/>
        </w:rPr>
      </w:pPr>
      <w:r w:rsidRPr="006805D2">
        <w:rPr>
          <w:rFonts w:ascii="Palatino Linotype" w:hAnsi="Palatino Linotype" w:cs="Tahoma"/>
          <w:bCs/>
          <w:iCs/>
          <w:color w:val="000000"/>
          <w:sz w:val="22"/>
          <w:szCs w:val="22"/>
          <w:lang w:val="es-ES" w:eastAsia="es-MX"/>
        </w:rPr>
        <w:t xml:space="preserve">Conforme a lo anterior, el Sujeto Obligado cuenta con competencia para conocer de lo solicitado, </w:t>
      </w:r>
      <w:r w:rsidR="00302898" w:rsidRPr="006805D2">
        <w:rPr>
          <w:rFonts w:ascii="Palatino Linotype" w:hAnsi="Palatino Linotype" w:cs="Tahoma"/>
          <w:sz w:val="22"/>
          <w:szCs w:val="22"/>
        </w:rPr>
        <w:t xml:space="preserve">tan es así que a través de la </w:t>
      </w:r>
      <w:r w:rsidR="00363F6A" w:rsidRPr="006805D2">
        <w:rPr>
          <w:rFonts w:ascii="Palatino Linotype" w:hAnsi="Palatino Linotype" w:cs="Tahoma"/>
          <w:sz w:val="22"/>
          <w:szCs w:val="22"/>
        </w:rPr>
        <w:t xml:space="preserve">Dirección de administración </w:t>
      </w:r>
      <w:r w:rsidR="00302898" w:rsidRPr="006805D2">
        <w:rPr>
          <w:rFonts w:ascii="Palatino Linotype" w:hAnsi="Palatino Linotype" w:cs="Tahoma"/>
          <w:sz w:val="22"/>
          <w:szCs w:val="22"/>
        </w:rPr>
        <w:t>proporcionó una liga electrónica en la que a su dicho contaba con la información solicitada,</w:t>
      </w:r>
      <w:r w:rsidR="001809B9" w:rsidRPr="006805D2">
        <w:rPr>
          <w:rFonts w:ascii="Palatino Linotype" w:eastAsia="Palatino Linotype" w:hAnsi="Palatino Linotype" w:cs="Palatino Linotype"/>
          <w:color w:val="000000"/>
          <w:sz w:val="22"/>
          <w:szCs w:val="22"/>
          <w:lang w:eastAsia="es-MX"/>
        </w:rPr>
        <w:t xml:space="preserve"> por lo que, es oportuno hacer referencia al </w:t>
      </w:r>
      <w:r w:rsidR="001809B9" w:rsidRPr="006805D2">
        <w:rPr>
          <w:rFonts w:ascii="Palatino Linotype" w:eastAsia="Palatino Linotype" w:hAnsi="Palatino Linotype" w:cs="Palatino Linotype"/>
          <w:b/>
          <w:color w:val="000000"/>
          <w:sz w:val="22"/>
          <w:szCs w:val="22"/>
          <w:lang w:eastAsia="es-MX"/>
        </w:rPr>
        <w:t>procedimiento de búsqueda que deben de seguir los Sujetos Obligados para localizar la información</w:t>
      </w:r>
      <w:r w:rsidR="001809B9" w:rsidRPr="006805D2">
        <w:rPr>
          <w:rFonts w:ascii="Palatino Linotype" w:eastAsia="Palatino Linotype" w:hAnsi="Palatino Linotype" w:cs="Palatino Linotype"/>
          <w:color w:val="000000"/>
          <w:sz w:val="22"/>
          <w:szCs w:val="22"/>
          <w:lang w:eastAsia="es-MX"/>
        </w:rPr>
        <w:t xml:space="preserve">, el cual se encuentra previsto en el artículo 162 de la Ley de </w:t>
      </w:r>
      <w:r w:rsidR="001809B9" w:rsidRPr="006805D2">
        <w:rPr>
          <w:rFonts w:ascii="Palatino Linotype" w:eastAsia="Palatino Linotype" w:hAnsi="Palatino Linotype" w:cs="Palatino Linotype"/>
          <w:color w:val="000000"/>
          <w:sz w:val="22"/>
          <w:szCs w:val="22"/>
          <w:lang w:eastAsia="es-MX"/>
        </w:rPr>
        <w:lastRenderedPageBreak/>
        <w:t>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3A90C202" w14:textId="77777777" w:rsidR="001809B9" w:rsidRPr="006805D2" w:rsidRDefault="001809B9" w:rsidP="001809B9">
      <w:pPr>
        <w:spacing w:line="360" w:lineRule="auto"/>
        <w:ind w:left="720"/>
        <w:jc w:val="both"/>
        <w:rPr>
          <w:rFonts w:ascii="Palatino Linotype" w:eastAsia="Palatino Linotype" w:hAnsi="Palatino Linotype" w:cs="Palatino Linotype"/>
          <w:color w:val="000000"/>
          <w:sz w:val="22"/>
          <w:szCs w:val="22"/>
          <w:lang w:eastAsia="es-MX"/>
        </w:rPr>
      </w:pPr>
    </w:p>
    <w:p w14:paraId="5E6F9939" w14:textId="3E93FFE5" w:rsidR="00AF2917" w:rsidRPr="006805D2" w:rsidRDefault="001809B9" w:rsidP="00AF2917">
      <w:pPr>
        <w:spacing w:line="360" w:lineRule="auto"/>
        <w:jc w:val="both"/>
        <w:rPr>
          <w:rFonts w:ascii="Palatino Linotype" w:eastAsia="Palatino Linotype" w:hAnsi="Palatino Linotype" w:cs="Palatino Linotype"/>
          <w:color w:val="000000"/>
          <w:sz w:val="22"/>
          <w:szCs w:val="22"/>
          <w:lang w:eastAsia="es-MX"/>
        </w:rPr>
      </w:pPr>
      <w:r w:rsidRPr="006805D2">
        <w:rPr>
          <w:rFonts w:ascii="Palatino Linotype" w:eastAsia="Palatino Linotype" w:hAnsi="Palatino Linotype" w:cs="Palatino Linotype"/>
          <w:color w:val="000000"/>
          <w:sz w:val="22"/>
          <w:szCs w:val="22"/>
          <w:lang w:eastAsia="es-MX"/>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w:t>
      </w:r>
      <w:r w:rsidR="00AF2917" w:rsidRPr="006805D2">
        <w:rPr>
          <w:rFonts w:ascii="Palatino Linotype" w:eastAsia="Palatino Linotype" w:hAnsi="Palatino Linotype" w:cs="Palatino Linotype"/>
          <w:color w:val="000000"/>
          <w:sz w:val="22"/>
          <w:szCs w:val="22"/>
          <w:lang w:eastAsia="es-MX"/>
        </w:rPr>
        <w:t>.</w:t>
      </w:r>
    </w:p>
    <w:p w14:paraId="7A55F905" w14:textId="77777777" w:rsidR="00302898" w:rsidRPr="006805D2" w:rsidRDefault="00302898" w:rsidP="00302898">
      <w:pPr>
        <w:spacing w:line="360" w:lineRule="auto"/>
        <w:jc w:val="both"/>
        <w:rPr>
          <w:rFonts w:ascii="Palatino Linotype" w:eastAsia="Calibri" w:hAnsi="Palatino Linotype"/>
          <w:color w:val="000000"/>
          <w:sz w:val="22"/>
          <w:szCs w:val="22"/>
          <w:lang w:eastAsia="es-MX"/>
        </w:rPr>
      </w:pPr>
    </w:p>
    <w:p w14:paraId="4F3F2270"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r w:rsidRPr="006805D2">
        <w:rPr>
          <w:rFonts w:ascii="Palatino Linotype" w:eastAsia="Calibri" w:hAnsi="Palatino Linotype" w:cs="Tahoma"/>
          <w:bCs/>
          <w:sz w:val="22"/>
          <w:szCs w:val="22"/>
          <w:lang w:eastAsia="en-US"/>
        </w:rPr>
        <w:t>Establecido lo anterior, se procede a analizar la respuesta d</w:t>
      </w:r>
      <w:r w:rsidRPr="006805D2">
        <w:rPr>
          <w:rFonts w:ascii="Palatino Linotype" w:hAnsi="Palatino Linotype" w:cs="Tahoma"/>
          <w:sz w:val="22"/>
          <w:szCs w:val="22"/>
        </w:rPr>
        <w:t>el Sujeto Obligado en la que proporcionó una liga electrónica</w:t>
      </w:r>
      <w:r w:rsidRPr="006805D2">
        <w:rPr>
          <w:rFonts w:ascii="Palatino Linotype" w:eastAsia="Palatino Linotype" w:hAnsi="Palatino Linotype" w:cs="Palatino Linotype"/>
          <w:sz w:val="22"/>
          <w:szCs w:val="22"/>
        </w:rPr>
        <w:t xml:space="preserve">, </w:t>
      </w:r>
      <w:r w:rsidRPr="006805D2">
        <w:rPr>
          <w:rFonts w:ascii="Palatino Linotype" w:eastAsia="Calibri" w:hAnsi="Palatino Linotype"/>
          <w:color w:val="000000"/>
          <w:sz w:val="22"/>
          <w:szCs w:val="22"/>
          <w:lang w:eastAsia="es-MX"/>
        </w:rPr>
        <w:t>de cuya revisión se logra vislumbrar que se encuentra en un formato cerrado, es decir, que no se puede copiar y pegar para tener acceso.</w:t>
      </w:r>
    </w:p>
    <w:p w14:paraId="4418F2A3"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p>
    <w:p w14:paraId="0C2129CA"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r w:rsidRPr="006805D2">
        <w:rPr>
          <w:rFonts w:ascii="Palatino Linotype" w:eastAsia="Calibri" w:hAnsi="Palatino Linotype"/>
          <w:color w:val="000000"/>
          <w:sz w:val="22"/>
          <w:szCs w:val="22"/>
          <w:lang w:eastAsia="es-MX"/>
        </w:rPr>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F4CE44D"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p>
    <w:p w14:paraId="73DF4778"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r w:rsidRPr="006805D2">
        <w:rPr>
          <w:rFonts w:ascii="Palatino Linotype" w:eastAsia="Calibri" w:hAnsi="Palatino Linotype"/>
          <w:color w:val="000000"/>
          <w:sz w:val="22"/>
          <w:szCs w:val="22"/>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57C5BD34"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p>
    <w:p w14:paraId="57F86269"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r w:rsidRPr="006805D2">
        <w:rPr>
          <w:rFonts w:ascii="Palatino Linotype" w:eastAsia="Calibri" w:hAnsi="Palatino Linotype"/>
          <w:color w:val="000000"/>
          <w:sz w:val="22"/>
          <w:szCs w:val="22"/>
          <w:lang w:eastAsia="es-MX"/>
        </w:rPr>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EE42CE9"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p>
    <w:p w14:paraId="429BCD85" w14:textId="77777777" w:rsidR="00AF2917" w:rsidRPr="006805D2" w:rsidRDefault="00AF2917" w:rsidP="00D01231">
      <w:pPr>
        <w:numPr>
          <w:ilvl w:val="0"/>
          <w:numId w:val="2"/>
        </w:numPr>
        <w:spacing w:line="360" w:lineRule="auto"/>
        <w:contextualSpacing/>
        <w:jc w:val="both"/>
        <w:rPr>
          <w:rFonts w:ascii="Palatino Linotype" w:eastAsia="Calibri" w:hAnsi="Palatino Linotype"/>
          <w:color w:val="000000"/>
          <w:sz w:val="22"/>
          <w:szCs w:val="24"/>
        </w:rPr>
      </w:pPr>
      <w:r w:rsidRPr="006805D2">
        <w:rPr>
          <w:rFonts w:ascii="Palatino Linotype" w:eastAsia="Calibri" w:hAnsi="Palatino Linotype"/>
          <w:b/>
          <w:bCs/>
          <w:color w:val="000000"/>
          <w:sz w:val="22"/>
          <w:szCs w:val="24"/>
        </w:rPr>
        <w:t>Dato abierto:</w:t>
      </w:r>
      <w:r w:rsidRPr="006805D2">
        <w:rPr>
          <w:rFonts w:ascii="Palatino Linotype" w:eastAsia="Calibri" w:hAnsi="Palatino Linotype"/>
          <w:color w:val="000000"/>
          <w:sz w:val="22"/>
          <w:szCs w:val="24"/>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E28504A" w14:textId="77777777" w:rsidR="00AF2917" w:rsidRPr="006805D2" w:rsidRDefault="00AF2917" w:rsidP="00AF2917">
      <w:pPr>
        <w:spacing w:line="360" w:lineRule="auto"/>
        <w:jc w:val="both"/>
        <w:rPr>
          <w:rFonts w:ascii="Palatino Linotype" w:eastAsia="Palatino Linotype" w:hAnsi="Palatino Linotype" w:cs="Palatino Linotype"/>
          <w:sz w:val="22"/>
          <w:szCs w:val="22"/>
          <w:lang w:eastAsia="es-MX"/>
        </w:rPr>
      </w:pPr>
    </w:p>
    <w:p w14:paraId="1B9D1315" w14:textId="77777777" w:rsidR="00AF2917" w:rsidRPr="006805D2" w:rsidRDefault="00AF2917" w:rsidP="00D01231">
      <w:pPr>
        <w:numPr>
          <w:ilvl w:val="0"/>
          <w:numId w:val="2"/>
        </w:numPr>
        <w:spacing w:line="360" w:lineRule="auto"/>
        <w:contextualSpacing/>
        <w:jc w:val="both"/>
        <w:rPr>
          <w:rFonts w:ascii="Palatino Linotype" w:eastAsia="Calibri" w:hAnsi="Palatino Linotype"/>
          <w:color w:val="000000"/>
          <w:sz w:val="22"/>
          <w:szCs w:val="24"/>
        </w:rPr>
      </w:pPr>
      <w:r w:rsidRPr="006805D2">
        <w:rPr>
          <w:rFonts w:ascii="Palatino Linotype" w:eastAsia="Calibri" w:hAnsi="Palatino Linotype"/>
          <w:b/>
          <w:bCs/>
          <w:color w:val="000000"/>
          <w:sz w:val="22"/>
          <w:szCs w:val="24"/>
        </w:rPr>
        <w:t>Formato accesible:</w:t>
      </w:r>
      <w:r w:rsidRPr="006805D2">
        <w:rPr>
          <w:rFonts w:ascii="Palatino Linotype" w:eastAsia="Calibri" w:hAnsi="Palatino Linotype"/>
          <w:color w:val="000000"/>
          <w:sz w:val="22"/>
          <w:szCs w:val="24"/>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3F1CB31"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p>
    <w:p w14:paraId="1E0D0A58"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r w:rsidRPr="006805D2">
        <w:rPr>
          <w:rFonts w:ascii="Palatino Linotype" w:eastAsia="Calibri" w:hAnsi="Palatino Linotype"/>
          <w:color w:val="000000"/>
          <w:sz w:val="22"/>
          <w:szCs w:val="22"/>
          <w:lang w:eastAsia="es-MX"/>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en estas.</w:t>
      </w:r>
    </w:p>
    <w:p w14:paraId="7552890A"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p>
    <w:p w14:paraId="7A6031E0"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r w:rsidRPr="006805D2">
        <w:rPr>
          <w:rFonts w:ascii="Palatino Linotype" w:eastAsia="Calibri" w:hAnsi="Palatino Linotype"/>
          <w:color w:val="000000"/>
          <w:sz w:val="22"/>
          <w:szCs w:val="22"/>
          <w:lang w:eastAsia="es-MX"/>
        </w:rPr>
        <w:t xml:space="preserve">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w:t>
      </w:r>
      <w:r w:rsidRPr="006805D2">
        <w:rPr>
          <w:rFonts w:ascii="Palatino Linotype" w:eastAsia="Calibri" w:hAnsi="Palatino Linotype"/>
          <w:color w:val="000000"/>
          <w:sz w:val="22"/>
          <w:szCs w:val="22"/>
          <w:lang w:eastAsia="es-MX"/>
        </w:rPr>
        <w:lastRenderedPageBreak/>
        <w:t>de manera precisa a los solicitantes, la fuente, el lugar y la forma en que se puede obtener la información.</w:t>
      </w:r>
    </w:p>
    <w:p w14:paraId="57665848" w14:textId="77777777" w:rsidR="00AF2917" w:rsidRPr="006805D2" w:rsidRDefault="00AF2917" w:rsidP="00AF2917">
      <w:pPr>
        <w:spacing w:line="360" w:lineRule="auto"/>
        <w:jc w:val="both"/>
        <w:rPr>
          <w:rFonts w:ascii="Palatino Linotype" w:eastAsia="Calibri" w:hAnsi="Palatino Linotype"/>
          <w:color w:val="000000"/>
          <w:sz w:val="22"/>
          <w:szCs w:val="22"/>
          <w:lang w:eastAsia="es-MX"/>
        </w:rPr>
      </w:pPr>
    </w:p>
    <w:p w14:paraId="0C55B061" w14:textId="17D3B363" w:rsidR="00504E80" w:rsidRPr="006805D2" w:rsidRDefault="00AF2917" w:rsidP="00AF2917">
      <w:pPr>
        <w:spacing w:line="360" w:lineRule="auto"/>
        <w:ind w:right="-93"/>
        <w:jc w:val="both"/>
        <w:rPr>
          <w:rFonts w:ascii="Palatino Linotype" w:eastAsia="Calibri" w:hAnsi="Palatino Linotype"/>
          <w:color w:val="000000"/>
          <w:sz w:val="22"/>
          <w:szCs w:val="22"/>
          <w:lang w:eastAsia="es-MX"/>
        </w:rPr>
      </w:pPr>
      <w:r w:rsidRPr="006805D2">
        <w:rPr>
          <w:rFonts w:ascii="Palatino Linotype" w:eastAsia="Calibri" w:hAnsi="Palatino Linotype"/>
          <w:color w:val="000000"/>
          <w:sz w:val="22"/>
          <w:szCs w:val="22"/>
          <w:lang w:eastAsia="es-MX"/>
        </w:rPr>
        <w:t>Como se logra observar, el Sujeto Obligado si bien señaló una liga electrónica, omitió proporcionarla en formato abierto, lo cual implica la dificultad de acceder a la misma, pues se traduce al hecho de que el Particular tendría que colocar cada dígito alfanumérico, y cuya equivocación implicaría no acceder a la información contenida en las misma; por lo que, se considera que incumplió con lo establecido en el artículo 161 de la Ley de Transparencia y Acceso a la Información Pública del Estado de México y Municipios</w:t>
      </w:r>
      <w:r w:rsidR="00504E80" w:rsidRPr="006805D2">
        <w:rPr>
          <w:rFonts w:ascii="Palatino Linotype" w:eastAsia="Calibri" w:hAnsi="Palatino Linotype"/>
          <w:color w:val="000000"/>
          <w:sz w:val="22"/>
          <w:szCs w:val="22"/>
          <w:lang w:eastAsia="es-MX"/>
        </w:rPr>
        <w:t>.</w:t>
      </w:r>
    </w:p>
    <w:p w14:paraId="2F958C3F" w14:textId="173217F8" w:rsidR="00E843BA" w:rsidRPr="006805D2" w:rsidRDefault="00E843BA" w:rsidP="00AF2917">
      <w:pPr>
        <w:spacing w:line="360" w:lineRule="auto"/>
        <w:ind w:right="-93"/>
        <w:jc w:val="both"/>
        <w:rPr>
          <w:rFonts w:ascii="Palatino Linotype" w:eastAsia="Calibri" w:hAnsi="Palatino Linotype"/>
          <w:color w:val="000000"/>
          <w:sz w:val="22"/>
          <w:szCs w:val="22"/>
          <w:lang w:eastAsia="es-MX"/>
        </w:rPr>
      </w:pPr>
    </w:p>
    <w:p w14:paraId="77CE38B7" w14:textId="4C9F97F0" w:rsidR="00E843BA" w:rsidRPr="006805D2" w:rsidRDefault="00E843BA" w:rsidP="00AF2917">
      <w:pPr>
        <w:spacing w:line="360" w:lineRule="auto"/>
        <w:ind w:right="-93"/>
        <w:jc w:val="both"/>
        <w:rPr>
          <w:rFonts w:ascii="Palatino Linotype" w:eastAsia="Calibri" w:hAnsi="Palatino Linotype"/>
          <w:color w:val="000000"/>
          <w:sz w:val="22"/>
          <w:szCs w:val="22"/>
          <w:lang w:eastAsia="es-MX"/>
        </w:rPr>
      </w:pPr>
      <w:r w:rsidRPr="006805D2">
        <w:rPr>
          <w:rFonts w:ascii="Palatino Linotype" w:eastAsia="Calibri" w:hAnsi="Palatino Linotype"/>
          <w:color w:val="000000"/>
          <w:sz w:val="22"/>
          <w:szCs w:val="22"/>
          <w:lang w:eastAsia="es-MX"/>
        </w:rPr>
        <w:t xml:space="preserve">Derivado de lo anterior, lo dable es ordenar al Sujeto Obligado a efecto de que proporcione los documentos en los que conste el nombre de todos los servidores públicos con su puesto y sueldo neto vigente al nueve de diciembre de dos mil veinticinco. </w:t>
      </w:r>
    </w:p>
    <w:p w14:paraId="4E5C3422" w14:textId="56BC93BF" w:rsidR="00302898" w:rsidRPr="006805D2" w:rsidRDefault="00302898" w:rsidP="00BB3882">
      <w:pPr>
        <w:spacing w:line="360" w:lineRule="auto"/>
        <w:contextualSpacing/>
        <w:jc w:val="both"/>
        <w:rPr>
          <w:rFonts w:ascii="Palatino Linotype" w:eastAsia="Calibri" w:hAnsi="Palatino Linotype" w:cs="Tahoma"/>
          <w:bCs/>
          <w:sz w:val="22"/>
          <w:szCs w:val="22"/>
          <w:lang w:eastAsia="en-US"/>
        </w:rPr>
      </w:pPr>
    </w:p>
    <w:p w14:paraId="202EA8B2" w14:textId="77777777" w:rsidR="004D4A5D" w:rsidRPr="006805D2" w:rsidRDefault="004D4A5D" w:rsidP="004D4A5D">
      <w:pPr>
        <w:spacing w:line="360" w:lineRule="auto"/>
        <w:jc w:val="both"/>
        <w:rPr>
          <w:rFonts w:ascii="Palatino Linotype" w:eastAsia="Calibri" w:hAnsi="Palatino Linotype" w:cs="Tahoma"/>
          <w:b/>
          <w:sz w:val="22"/>
          <w:szCs w:val="22"/>
          <w:lang w:eastAsia="es-ES_tradnl"/>
        </w:rPr>
      </w:pPr>
      <w:r w:rsidRPr="006805D2">
        <w:rPr>
          <w:rFonts w:ascii="Palatino Linotype" w:eastAsia="Calibri" w:hAnsi="Palatino Linotype" w:cs="Tahoma"/>
          <w:b/>
          <w:sz w:val="22"/>
          <w:szCs w:val="22"/>
          <w:lang w:eastAsia="es-ES_tradnl"/>
        </w:rPr>
        <w:t>Versión Pública</w:t>
      </w:r>
    </w:p>
    <w:p w14:paraId="390A6571" w14:textId="77777777" w:rsidR="004D4A5D" w:rsidRPr="006805D2" w:rsidRDefault="004D4A5D" w:rsidP="004D4A5D">
      <w:pPr>
        <w:spacing w:line="360" w:lineRule="auto"/>
        <w:jc w:val="both"/>
        <w:rPr>
          <w:rFonts w:ascii="Palatino Linotype" w:hAnsi="Palatino Linotype"/>
          <w:b/>
          <w:caps/>
          <w:noProof/>
          <w:szCs w:val="22"/>
          <w:lang w:eastAsia="es-MX"/>
        </w:rPr>
      </w:pPr>
    </w:p>
    <w:p w14:paraId="5EE28367" w14:textId="77777777" w:rsidR="004D4A5D" w:rsidRPr="006805D2" w:rsidRDefault="004D4A5D" w:rsidP="004D4A5D">
      <w:pPr>
        <w:autoSpaceDE w:val="0"/>
        <w:autoSpaceDN w:val="0"/>
        <w:adjustRightInd w:val="0"/>
        <w:spacing w:line="360" w:lineRule="auto"/>
        <w:jc w:val="both"/>
        <w:rPr>
          <w:rFonts w:ascii="Palatino Linotype" w:hAnsi="Palatino Linotype" w:cs="Tahoma"/>
          <w:bCs/>
          <w:sz w:val="22"/>
          <w:szCs w:val="22"/>
        </w:rPr>
      </w:pPr>
      <w:r w:rsidRPr="006805D2">
        <w:rPr>
          <w:rFonts w:ascii="Palatino Linotype" w:hAnsi="Palatino Linotype" w:cs="Tahoma"/>
          <w:bCs/>
          <w:iCs/>
          <w:sz w:val="22"/>
          <w:szCs w:val="22"/>
          <w:lang w:val="es-ES"/>
        </w:rPr>
        <w:t xml:space="preserve">Como ya se hizo la referencia, entre los documentos solicitados por el Particular puede haber información susceptible de ser clasificada como confidencial, por lo que, el Sujeto Obligado deberá elaborar las versiones públicas respectivas, </w:t>
      </w:r>
      <w:r w:rsidRPr="006805D2">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14:paraId="32D80114"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23AE1D01"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0E8F65B4"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2E3D6E34"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05B98322"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8E85258"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43ABCD24"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30E9A962"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0F13DD23"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817349A"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7D49A3DA"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0D1FCCF9"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180719CB" w14:textId="77777777" w:rsidR="004D4A5D" w:rsidRPr="006805D2" w:rsidRDefault="004D4A5D" w:rsidP="004D4A5D">
      <w:pPr>
        <w:numPr>
          <w:ilvl w:val="0"/>
          <w:numId w:val="5"/>
        </w:num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63753019" w14:textId="77777777" w:rsidR="004D4A5D" w:rsidRPr="006805D2" w:rsidRDefault="004D4A5D" w:rsidP="004D4A5D">
      <w:pPr>
        <w:numPr>
          <w:ilvl w:val="0"/>
          <w:numId w:val="5"/>
        </w:num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 xml:space="preserve">Para la difusión de los datos, se requiera el consentimiento del titular. </w:t>
      </w:r>
    </w:p>
    <w:p w14:paraId="21C3277E"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56CEE2A4"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59D98D8F"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0A189AF1"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Además, en el artículo 5° de dicho ordenamiento jurídico, establece que es la Ley aplicable para todo tratamiento de datos personales.</w:t>
      </w:r>
    </w:p>
    <w:p w14:paraId="6CFCC9EB"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38DB2951"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ACCE676"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31B21522"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w:t>
      </w:r>
      <w:r w:rsidRPr="006805D2">
        <w:rPr>
          <w:rFonts w:ascii="Palatino Linotype" w:hAnsi="Palatino Linotype" w:cs="Tahoma"/>
          <w:bCs/>
          <w:iCs/>
          <w:sz w:val="22"/>
          <w:szCs w:val="22"/>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7E19225"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43B05249"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E5180E0"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77CA00B7"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B8A698A"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27FF8CC1"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1C795BE"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30C85465"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05A6D47"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781EF450" w14:textId="77777777" w:rsidR="004D4A5D" w:rsidRPr="006805D2" w:rsidRDefault="004D4A5D" w:rsidP="004D4A5D">
      <w:pPr>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68F91C1"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5CD77A25" w14:textId="77777777" w:rsidR="004D4A5D" w:rsidRPr="006805D2" w:rsidRDefault="004D4A5D" w:rsidP="004D4A5D">
      <w:pPr>
        <w:tabs>
          <w:tab w:val="left" w:pos="709"/>
        </w:tabs>
        <w:spacing w:line="360" w:lineRule="auto"/>
        <w:contextualSpacing/>
        <w:jc w:val="both"/>
        <w:rPr>
          <w:rFonts w:ascii="Palatino Linotype" w:hAnsi="Palatino Linotype" w:cs="Tahoma"/>
          <w:bCs/>
          <w:iCs/>
          <w:sz w:val="22"/>
          <w:szCs w:val="22"/>
        </w:rPr>
      </w:pPr>
      <w:r w:rsidRPr="006805D2">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como ya se analizó el </w:t>
      </w:r>
      <w:r w:rsidRPr="006805D2">
        <w:rPr>
          <w:rFonts w:ascii="Palatino Linotype" w:hAnsi="Palatino Linotype" w:cs="Tahoma"/>
          <w:b/>
          <w:bCs/>
          <w:iCs/>
          <w:sz w:val="22"/>
          <w:szCs w:val="22"/>
        </w:rPr>
        <w:t>Registro Federal de Contribuyentes</w:t>
      </w:r>
      <w:r w:rsidRPr="006805D2">
        <w:rPr>
          <w:rFonts w:ascii="Palatino Linotype" w:hAnsi="Palatino Linotype" w:cs="Tahoma"/>
          <w:bCs/>
          <w:iCs/>
          <w:sz w:val="22"/>
          <w:szCs w:val="22"/>
        </w:rPr>
        <w:t xml:space="preserve"> (RFC), además la </w:t>
      </w:r>
      <w:r w:rsidRPr="006805D2">
        <w:rPr>
          <w:rFonts w:ascii="Palatino Linotype" w:hAnsi="Palatino Linotype" w:cs="Tahoma"/>
          <w:b/>
          <w:bCs/>
          <w:iCs/>
          <w:sz w:val="22"/>
          <w:szCs w:val="22"/>
        </w:rPr>
        <w:t>Clave Única de Registro de Población</w:t>
      </w:r>
      <w:r w:rsidRPr="006805D2">
        <w:rPr>
          <w:rFonts w:ascii="Palatino Linotype" w:hAnsi="Palatino Linotype" w:cs="Tahoma"/>
          <w:bCs/>
          <w:iCs/>
          <w:sz w:val="22"/>
          <w:szCs w:val="22"/>
        </w:rPr>
        <w:t xml:space="preserve"> (CURP), clave de seguridad social, deducciones personales, número de cuenta bancario. </w:t>
      </w:r>
    </w:p>
    <w:p w14:paraId="5175BFE5" w14:textId="77777777" w:rsidR="004D4A5D" w:rsidRPr="006805D2" w:rsidRDefault="004D4A5D" w:rsidP="004D4A5D">
      <w:pPr>
        <w:spacing w:line="360" w:lineRule="auto"/>
        <w:ind w:right="-93"/>
        <w:jc w:val="both"/>
        <w:rPr>
          <w:rFonts w:ascii="Palatino Linotype" w:hAnsi="Palatino Linotype" w:cs="Tahoma"/>
          <w:bCs/>
          <w:iCs/>
          <w:sz w:val="22"/>
          <w:szCs w:val="22"/>
        </w:rPr>
      </w:pPr>
    </w:p>
    <w:p w14:paraId="2D4FA7F5" w14:textId="77777777" w:rsidR="004D4A5D" w:rsidRPr="006805D2" w:rsidRDefault="004D4A5D" w:rsidP="004D4A5D">
      <w:pPr>
        <w:pStyle w:val="Prrafodelista"/>
        <w:numPr>
          <w:ilvl w:val="0"/>
          <w:numId w:val="4"/>
        </w:numPr>
        <w:spacing w:line="360" w:lineRule="auto"/>
        <w:ind w:right="-93"/>
        <w:jc w:val="both"/>
        <w:rPr>
          <w:rFonts w:ascii="Palatino Linotype" w:hAnsi="Palatino Linotype" w:cs="Tahoma"/>
          <w:b/>
          <w:bCs/>
          <w:iCs/>
          <w:szCs w:val="22"/>
        </w:rPr>
      </w:pPr>
      <w:r w:rsidRPr="006805D2">
        <w:rPr>
          <w:rFonts w:ascii="Palatino Linotype" w:hAnsi="Palatino Linotype" w:cs="Tahoma"/>
          <w:b/>
          <w:bCs/>
          <w:iCs/>
          <w:szCs w:val="22"/>
        </w:rPr>
        <w:t>Registro Federal de Contribuyentes (RFC)</w:t>
      </w:r>
    </w:p>
    <w:p w14:paraId="504A1753" w14:textId="77777777" w:rsidR="004D4A5D" w:rsidRPr="006805D2" w:rsidRDefault="004D4A5D" w:rsidP="004D4A5D">
      <w:pPr>
        <w:spacing w:line="360" w:lineRule="auto"/>
        <w:ind w:right="-93"/>
        <w:jc w:val="both"/>
        <w:rPr>
          <w:rFonts w:ascii="Palatino Linotype" w:hAnsi="Palatino Linotype" w:cs="Tahoma"/>
          <w:bCs/>
          <w:iCs/>
          <w:sz w:val="22"/>
          <w:szCs w:val="22"/>
        </w:rPr>
      </w:pPr>
      <w:r w:rsidRPr="006805D2">
        <w:rPr>
          <w:rFonts w:ascii="Palatino Linotype" w:hAnsi="Palatino Linotype" w:cs="Tahoma"/>
          <w:bCs/>
          <w:iCs/>
          <w:sz w:val="22"/>
          <w:szCs w:val="22"/>
        </w:rPr>
        <w:lastRenderedPageBreak/>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456DA7EA" w14:textId="77777777" w:rsidR="004D4A5D" w:rsidRPr="006805D2" w:rsidRDefault="004D4A5D" w:rsidP="004D4A5D">
      <w:pPr>
        <w:spacing w:line="360" w:lineRule="auto"/>
        <w:ind w:right="-93"/>
        <w:jc w:val="both"/>
        <w:rPr>
          <w:rFonts w:ascii="Palatino Linotype" w:hAnsi="Palatino Linotype" w:cs="Tahoma"/>
          <w:bCs/>
          <w:iCs/>
          <w:sz w:val="22"/>
          <w:szCs w:val="22"/>
        </w:rPr>
      </w:pPr>
    </w:p>
    <w:p w14:paraId="1ACF90E7" w14:textId="77777777" w:rsidR="004D4A5D" w:rsidRPr="006805D2" w:rsidRDefault="004D4A5D" w:rsidP="004D4A5D">
      <w:pPr>
        <w:spacing w:line="360" w:lineRule="auto"/>
        <w:ind w:right="-93"/>
        <w:jc w:val="both"/>
        <w:rPr>
          <w:rFonts w:ascii="Palatino Linotype" w:hAnsi="Palatino Linotype" w:cs="Tahoma"/>
          <w:bCs/>
          <w:iCs/>
          <w:sz w:val="22"/>
          <w:szCs w:val="22"/>
        </w:rPr>
      </w:pPr>
      <w:r w:rsidRPr="006805D2">
        <w:rPr>
          <w:rFonts w:ascii="Palatino Linotype" w:hAnsi="Palatino Linotype" w:cs="Tahoma"/>
          <w:bCs/>
          <w:iCs/>
          <w:sz w:val="22"/>
          <w:szCs w:val="22"/>
        </w:rPr>
        <w:t xml:space="preserve">De acuerdo con lo establecido en el artículo en comento, esta clave se compone de trece caracteres alfanuméricos, con datos obtenidos de los apellidos, nombre (s), fecha de nacimiento del titular, más una </w:t>
      </w:r>
      <w:proofErr w:type="spellStart"/>
      <w:r w:rsidRPr="006805D2">
        <w:rPr>
          <w:rFonts w:ascii="Palatino Linotype" w:hAnsi="Palatino Linotype" w:cs="Tahoma"/>
          <w:bCs/>
          <w:iCs/>
          <w:sz w:val="22"/>
          <w:szCs w:val="22"/>
        </w:rPr>
        <w:t>homoclave</w:t>
      </w:r>
      <w:proofErr w:type="spellEnd"/>
      <w:r w:rsidRPr="006805D2">
        <w:rPr>
          <w:rFonts w:ascii="Palatino Linotype" w:hAnsi="Palatino Linotype" w:cs="Tahoma"/>
          <w:bCs/>
          <w:iCs/>
          <w:sz w:val="22"/>
          <w:szCs w:val="22"/>
        </w:rPr>
        <w:t xml:space="preserve"> que establece el sistema automático del Servicio de Administración Tributaria.</w:t>
      </w:r>
    </w:p>
    <w:p w14:paraId="27F6C00B" w14:textId="77777777" w:rsidR="004D4A5D" w:rsidRPr="006805D2" w:rsidRDefault="004D4A5D" w:rsidP="004D4A5D">
      <w:pPr>
        <w:spacing w:line="360" w:lineRule="auto"/>
        <w:ind w:right="-93"/>
        <w:jc w:val="both"/>
        <w:rPr>
          <w:rFonts w:ascii="Palatino Linotype" w:hAnsi="Palatino Linotype" w:cs="Tahoma"/>
          <w:bCs/>
          <w:iCs/>
          <w:sz w:val="22"/>
          <w:szCs w:val="22"/>
        </w:rPr>
      </w:pPr>
    </w:p>
    <w:p w14:paraId="40321C78" w14:textId="77777777" w:rsidR="004D4A5D" w:rsidRPr="006805D2" w:rsidRDefault="004D4A5D" w:rsidP="004D4A5D">
      <w:pPr>
        <w:spacing w:line="360" w:lineRule="auto"/>
        <w:ind w:right="-93"/>
        <w:jc w:val="both"/>
        <w:rPr>
          <w:rFonts w:ascii="Palatino Linotype" w:hAnsi="Palatino Linotype" w:cs="Tahoma"/>
          <w:bCs/>
          <w:iCs/>
          <w:sz w:val="22"/>
          <w:szCs w:val="22"/>
        </w:rPr>
      </w:pPr>
      <w:r w:rsidRPr="006805D2">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D7B0374" w14:textId="77777777" w:rsidR="004D4A5D" w:rsidRPr="006805D2" w:rsidRDefault="004D4A5D" w:rsidP="004D4A5D">
      <w:pPr>
        <w:spacing w:line="360" w:lineRule="auto"/>
        <w:ind w:right="-93"/>
        <w:jc w:val="both"/>
        <w:rPr>
          <w:rFonts w:ascii="Palatino Linotype" w:hAnsi="Palatino Linotype" w:cs="Tahoma"/>
          <w:bCs/>
          <w:iCs/>
          <w:sz w:val="22"/>
          <w:szCs w:val="22"/>
        </w:rPr>
      </w:pPr>
    </w:p>
    <w:p w14:paraId="53406D81" w14:textId="77777777" w:rsidR="004D4A5D" w:rsidRPr="006805D2" w:rsidRDefault="004D4A5D" w:rsidP="004D4A5D">
      <w:pPr>
        <w:spacing w:line="360" w:lineRule="auto"/>
        <w:ind w:right="-93"/>
        <w:jc w:val="both"/>
        <w:rPr>
          <w:rFonts w:ascii="Palatino Linotype" w:hAnsi="Palatino Linotype" w:cs="Tahoma"/>
          <w:bCs/>
          <w:iCs/>
          <w:sz w:val="22"/>
          <w:szCs w:val="22"/>
        </w:rPr>
      </w:pPr>
      <w:r w:rsidRPr="006805D2">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6805D2">
        <w:rPr>
          <w:rFonts w:ascii="Palatino Linotype" w:hAnsi="Palatino Linotype" w:cs="Tahoma"/>
          <w:bCs/>
          <w:iCs/>
          <w:sz w:val="22"/>
          <w:szCs w:val="22"/>
        </w:rPr>
        <w:t>involucradas</w:t>
      </w:r>
      <w:proofErr w:type="gramEnd"/>
      <w:r w:rsidRPr="006805D2">
        <w:rPr>
          <w:rFonts w:ascii="Palatino Linotype" w:hAnsi="Palatino Linotype" w:cs="Tahoma"/>
          <w:bCs/>
          <w:iCs/>
          <w:sz w:val="22"/>
          <w:szCs w:val="22"/>
        </w:rPr>
        <w:t xml:space="preserve">, en el pago de estos, en el presente caso, del pago del Impuesto Sobre el Producto del Trabajo. </w:t>
      </w:r>
    </w:p>
    <w:p w14:paraId="69B5CB12" w14:textId="77777777" w:rsidR="004D4A5D" w:rsidRPr="006805D2" w:rsidRDefault="004D4A5D" w:rsidP="004D4A5D">
      <w:pPr>
        <w:spacing w:line="360" w:lineRule="auto"/>
        <w:ind w:right="-93"/>
        <w:jc w:val="both"/>
        <w:rPr>
          <w:rFonts w:ascii="Palatino Linotype" w:hAnsi="Palatino Linotype" w:cs="Tahoma"/>
          <w:bCs/>
          <w:iCs/>
          <w:sz w:val="22"/>
          <w:szCs w:val="22"/>
        </w:rPr>
      </w:pPr>
    </w:p>
    <w:p w14:paraId="7E3C703D" w14:textId="40DE86B5" w:rsidR="004D4A5D" w:rsidRPr="006805D2" w:rsidRDefault="004D4A5D" w:rsidP="004D4A5D">
      <w:pPr>
        <w:spacing w:line="360" w:lineRule="auto"/>
        <w:ind w:right="-93"/>
        <w:jc w:val="both"/>
        <w:rPr>
          <w:rFonts w:ascii="Palatino Linotype" w:hAnsi="Palatino Linotype" w:cs="Tahoma"/>
          <w:bCs/>
          <w:iCs/>
          <w:sz w:val="22"/>
          <w:szCs w:val="22"/>
        </w:rPr>
      </w:pPr>
      <w:r w:rsidRPr="006805D2">
        <w:rPr>
          <w:rFonts w:ascii="Palatino Linotype" w:hAnsi="Palatino Linotype" w:cs="Tahoma"/>
          <w:bCs/>
          <w:iCs/>
          <w:sz w:val="22"/>
          <w:szCs w:val="22"/>
        </w:rPr>
        <w:lastRenderedPageBreak/>
        <w:t xml:space="preserve">Esto, resulta congruente con el Criterio </w:t>
      </w:r>
      <w:r w:rsidR="00BC18F8" w:rsidRPr="006805D2">
        <w:rPr>
          <w:rFonts w:ascii="Palatino Linotype" w:hAnsi="Palatino Linotype" w:cs="Tahoma"/>
          <w:bCs/>
          <w:iCs/>
          <w:sz w:val="22"/>
          <w:szCs w:val="22"/>
        </w:rPr>
        <w:t>Orientador SO/0</w:t>
      </w:r>
      <w:r w:rsidRPr="006805D2">
        <w:rPr>
          <w:rFonts w:ascii="Palatino Linotype" w:hAnsi="Palatino Linotype" w:cs="Tahoma"/>
          <w:bCs/>
          <w:iCs/>
          <w:sz w:val="22"/>
          <w:szCs w:val="22"/>
        </w:rPr>
        <w:t>19/</w:t>
      </w:r>
      <w:r w:rsidR="00BC18F8" w:rsidRPr="006805D2">
        <w:rPr>
          <w:rFonts w:ascii="Palatino Linotype" w:hAnsi="Palatino Linotype" w:cs="Tahoma"/>
          <w:bCs/>
          <w:iCs/>
          <w:sz w:val="22"/>
          <w:szCs w:val="22"/>
        </w:rPr>
        <w:t>20</w:t>
      </w:r>
      <w:r w:rsidRPr="006805D2">
        <w:rPr>
          <w:rFonts w:ascii="Palatino Linotype" w:hAnsi="Palatino Linotype" w:cs="Tahoma"/>
          <w:bCs/>
          <w:iCs/>
          <w:sz w:val="22"/>
          <w:szCs w:val="22"/>
        </w:rPr>
        <w:t>17 emitido por el Instituto Nacional de Transparencia, Acceso a la Información y Protección de Datos Personales, en el cual se señala lo siguiente:</w:t>
      </w:r>
    </w:p>
    <w:p w14:paraId="6FAADA47" w14:textId="77777777" w:rsidR="004D4A5D" w:rsidRPr="006805D2" w:rsidRDefault="004D4A5D" w:rsidP="004D4A5D">
      <w:pPr>
        <w:spacing w:line="360" w:lineRule="auto"/>
        <w:ind w:right="-93"/>
        <w:jc w:val="both"/>
        <w:rPr>
          <w:rFonts w:ascii="Palatino Linotype" w:hAnsi="Palatino Linotype" w:cs="Tahoma"/>
          <w:bCs/>
          <w:iCs/>
          <w:sz w:val="22"/>
          <w:szCs w:val="22"/>
        </w:rPr>
      </w:pPr>
    </w:p>
    <w:p w14:paraId="0884DB65" w14:textId="77777777" w:rsidR="004D4A5D" w:rsidRPr="006805D2" w:rsidRDefault="004D4A5D" w:rsidP="004D4A5D">
      <w:pPr>
        <w:spacing w:line="360" w:lineRule="auto"/>
        <w:ind w:left="567" w:right="539"/>
        <w:jc w:val="both"/>
        <w:rPr>
          <w:rFonts w:ascii="Palatino Linotype" w:hAnsi="Palatino Linotype" w:cs="Tahoma"/>
          <w:bCs/>
          <w:i/>
          <w:iCs/>
        </w:rPr>
      </w:pPr>
      <w:r w:rsidRPr="006805D2">
        <w:rPr>
          <w:rFonts w:ascii="Palatino Linotype" w:hAnsi="Palatino Linotype" w:cs="Tahoma"/>
          <w:bCs/>
          <w:i/>
          <w:iCs/>
        </w:rPr>
        <w:t>“</w:t>
      </w:r>
      <w:r w:rsidRPr="006805D2">
        <w:rPr>
          <w:rFonts w:ascii="Palatino Linotype" w:hAnsi="Palatino Linotype" w:cs="Tahoma"/>
          <w:b/>
          <w:bCs/>
          <w:i/>
          <w:iCs/>
        </w:rPr>
        <w:t>Registro Federal de Contribuyentes (RFC) de personas físicas</w:t>
      </w:r>
      <w:r w:rsidRPr="006805D2">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6BE16012" w14:textId="77777777" w:rsidR="004D4A5D" w:rsidRPr="006805D2" w:rsidRDefault="004D4A5D" w:rsidP="004D4A5D">
      <w:pPr>
        <w:spacing w:line="360" w:lineRule="auto"/>
        <w:ind w:right="-93"/>
        <w:jc w:val="both"/>
        <w:rPr>
          <w:rFonts w:ascii="Palatino Linotype" w:hAnsi="Palatino Linotype" w:cs="Tahoma"/>
          <w:bCs/>
          <w:iCs/>
          <w:sz w:val="22"/>
          <w:szCs w:val="22"/>
        </w:rPr>
      </w:pPr>
    </w:p>
    <w:p w14:paraId="402F7D16" w14:textId="77777777" w:rsidR="004D4A5D" w:rsidRPr="006805D2" w:rsidRDefault="004D4A5D" w:rsidP="004D4A5D">
      <w:pPr>
        <w:spacing w:line="360" w:lineRule="auto"/>
        <w:ind w:right="-93"/>
        <w:jc w:val="both"/>
        <w:rPr>
          <w:rFonts w:ascii="Palatino Linotype" w:hAnsi="Palatino Linotype" w:cs="Tahoma"/>
          <w:bCs/>
          <w:iCs/>
          <w:sz w:val="22"/>
          <w:szCs w:val="22"/>
        </w:rPr>
      </w:pPr>
      <w:r w:rsidRPr="006805D2">
        <w:rPr>
          <w:rFonts w:ascii="Palatino Linotype" w:hAnsi="Palatino Linotype" w:cs="Tahoma"/>
          <w:bCs/>
          <w:iCs/>
          <w:sz w:val="22"/>
          <w:szCs w:val="22"/>
        </w:rPr>
        <w:t xml:space="preserve">De tal suerte, el Registro Federal de Contribuyentes de los servidores públicos no guarda relación con la transparencia de los recursos públicos ni el Código </w:t>
      </w:r>
      <w:proofErr w:type="spellStart"/>
      <w:r w:rsidRPr="006805D2">
        <w:rPr>
          <w:rFonts w:ascii="Palatino Linotype" w:hAnsi="Palatino Linotype" w:cs="Tahoma"/>
          <w:bCs/>
          <w:iCs/>
          <w:sz w:val="22"/>
          <w:szCs w:val="22"/>
        </w:rPr>
        <w:t>Qr</w:t>
      </w:r>
      <w:proofErr w:type="spellEnd"/>
      <w:r w:rsidRPr="006805D2">
        <w:rPr>
          <w:rFonts w:ascii="Palatino Linotype" w:hAnsi="Palatino Linotype" w:cs="Tahoma"/>
          <w:bCs/>
          <w:iCs/>
          <w:sz w:val="22"/>
          <w:szCs w:val="22"/>
        </w:rPr>
        <w:t xml:space="preserve"> ya que este último da cuenta del primero,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78DE9A38" w14:textId="77777777" w:rsidR="004D4A5D" w:rsidRPr="006805D2" w:rsidRDefault="004D4A5D" w:rsidP="004D4A5D">
      <w:pPr>
        <w:spacing w:line="360" w:lineRule="auto"/>
        <w:contextualSpacing/>
        <w:jc w:val="both"/>
        <w:rPr>
          <w:rFonts w:ascii="Palatino Linotype" w:hAnsi="Palatino Linotype" w:cs="Tahoma"/>
          <w:bCs/>
          <w:iCs/>
          <w:sz w:val="22"/>
          <w:szCs w:val="22"/>
        </w:rPr>
      </w:pPr>
    </w:p>
    <w:p w14:paraId="0ECF3F66" w14:textId="77777777" w:rsidR="004D4A5D" w:rsidRPr="006805D2" w:rsidRDefault="004D4A5D" w:rsidP="004D4A5D">
      <w:pPr>
        <w:numPr>
          <w:ilvl w:val="0"/>
          <w:numId w:val="6"/>
        </w:numPr>
        <w:spacing w:line="360" w:lineRule="auto"/>
        <w:contextualSpacing/>
        <w:jc w:val="both"/>
        <w:rPr>
          <w:rFonts w:ascii="Palatino Linotype" w:hAnsi="Palatino Linotype" w:cs="Tahoma"/>
          <w:b/>
          <w:sz w:val="22"/>
          <w:szCs w:val="22"/>
        </w:rPr>
      </w:pPr>
      <w:r w:rsidRPr="006805D2">
        <w:rPr>
          <w:rFonts w:ascii="Palatino Linotype" w:hAnsi="Palatino Linotype" w:cs="Tahoma"/>
          <w:b/>
          <w:sz w:val="22"/>
          <w:szCs w:val="22"/>
        </w:rPr>
        <w:t>Clave Única de Registro de Población (CURP)</w:t>
      </w:r>
    </w:p>
    <w:p w14:paraId="3FBFD2A5"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3D00CC53"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62AB5176"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6160F661"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5FD8D143"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1BE0D201"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 xml:space="preserve">Acorde con lo anterior, el artículo 22 del Reglamento Interior de la Secretaría de Gobernación, establece en su fracción III, que la Dirección General del Registro Nacional de Población e </w:t>
      </w:r>
      <w:r w:rsidRPr="006805D2">
        <w:rPr>
          <w:rFonts w:ascii="Palatino Linotype" w:hAnsi="Palatino Linotype" w:cs="Tahoma"/>
          <w:sz w:val="22"/>
          <w:szCs w:val="22"/>
          <w:lang w:eastAsia="es-MX"/>
        </w:rPr>
        <w:lastRenderedPageBreak/>
        <w:t>Identificación Personal tiene la atribución de asignar y depurar la Clave Única de Registro de Población a todas las personas residentes en el país, así como a los mexicanos que residan en el extranjero.</w:t>
      </w:r>
    </w:p>
    <w:p w14:paraId="1AE541F6"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68204CC9"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6805D2">
          <w:rPr>
            <w:rStyle w:val="Hipervnculo"/>
            <w:rFonts w:ascii="Palatino Linotype" w:hAnsi="Palatino Linotype" w:cs="Tahoma"/>
            <w:sz w:val="22"/>
            <w:szCs w:val="22"/>
            <w:lang w:eastAsia="es-MX"/>
          </w:rPr>
          <w:t>https://consultas.curp.gob.mx/CurpSP/html/informacionecurpPS.html</w:t>
        </w:r>
      </w:hyperlink>
      <w:r w:rsidRPr="006805D2">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805D2">
        <w:rPr>
          <w:rFonts w:ascii="Palatino Linotype" w:hAnsi="Palatino Linotype" w:cs="Tahoma"/>
          <w:b/>
          <w:sz w:val="22"/>
          <w:szCs w:val="22"/>
          <w:lang w:eastAsia="es-MX"/>
        </w:rPr>
        <w:t>se generan a partir de los datos contenidos en el documento probatorio de la identidad</w:t>
      </w:r>
      <w:r w:rsidRPr="006805D2">
        <w:rPr>
          <w:rFonts w:ascii="Palatino Linotype" w:hAnsi="Palatino Linotype" w:cs="Tahoma"/>
          <w:sz w:val="22"/>
          <w:szCs w:val="22"/>
          <w:lang w:eastAsia="es-MX"/>
        </w:rPr>
        <w:t xml:space="preserve"> </w:t>
      </w:r>
      <w:r w:rsidRPr="006805D2">
        <w:rPr>
          <w:rFonts w:ascii="Palatino Linotype" w:hAnsi="Palatino Linotype" w:cs="Tahoma"/>
          <w:b/>
          <w:sz w:val="22"/>
          <w:szCs w:val="22"/>
          <w:lang w:eastAsia="es-MX"/>
        </w:rPr>
        <w:t xml:space="preserve">del interesado </w:t>
      </w:r>
      <w:r w:rsidRPr="006805D2">
        <w:rPr>
          <w:rFonts w:ascii="Palatino Linotype" w:hAnsi="Palatino Linotype" w:cs="Tahoma"/>
          <w:sz w:val="22"/>
          <w:szCs w:val="22"/>
          <w:lang w:eastAsia="es-MX"/>
        </w:rPr>
        <w:t>(acta de nacimiento, carta de naturalización o documento migratorio) de la siguiente forma:</w:t>
      </w:r>
    </w:p>
    <w:p w14:paraId="3A2EB3BB"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2CB1D850"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 xml:space="preserve"> • El primero y segundo apellidos, así como al nombre de pila.</w:t>
      </w:r>
    </w:p>
    <w:p w14:paraId="3DC44490"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 xml:space="preserve"> • La fecha de nacimiento.</w:t>
      </w:r>
    </w:p>
    <w:p w14:paraId="2D871770"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 xml:space="preserve"> • El sexo.</w:t>
      </w:r>
    </w:p>
    <w:p w14:paraId="329AF656"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 xml:space="preserve"> • La entidad federativa de nacimiento.</w:t>
      </w:r>
    </w:p>
    <w:p w14:paraId="7DE90220"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6F03915D"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76EC93D8"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6CF0B76F" w14:textId="77777777" w:rsidR="004D4A5D" w:rsidRPr="006805D2" w:rsidRDefault="004D4A5D" w:rsidP="004D4A5D">
      <w:pPr>
        <w:spacing w:line="360" w:lineRule="auto"/>
        <w:contextualSpacing/>
        <w:jc w:val="both"/>
        <w:rPr>
          <w:rFonts w:ascii="Palatino Linotype" w:hAnsi="Palatino Linotype" w:cs="Tahoma"/>
          <w:sz w:val="22"/>
          <w:szCs w:val="22"/>
        </w:rPr>
      </w:pPr>
      <w:r w:rsidRPr="006805D2">
        <w:rPr>
          <w:rFonts w:ascii="Palatino Linotype" w:hAnsi="Palatino Linotype" w:cs="Tahoma"/>
          <w:sz w:val="22"/>
          <w:szCs w:val="22"/>
        </w:rPr>
        <w:t xml:space="preserve">Como se desprende de lo anterior, la </w:t>
      </w:r>
      <w:r w:rsidRPr="006805D2">
        <w:rPr>
          <w:rFonts w:ascii="Palatino Linotype" w:hAnsi="Palatino Linotype" w:cs="Tahoma"/>
          <w:sz w:val="22"/>
          <w:szCs w:val="22"/>
          <w:lang w:eastAsia="es-MX"/>
        </w:rPr>
        <w:t>Clave Única de Registro de Población</w:t>
      </w:r>
      <w:r w:rsidRPr="006805D2">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6805D2">
        <w:rPr>
          <w:rFonts w:ascii="Palatino Linotype" w:hAnsi="Palatino Linotype" w:cs="Tahoma"/>
          <w:sz w:val="22"/>
          <w:szCs w:val="22"/>
        </w:rPr>
        <w:lastRenderedPageBreak/>
        <w:t>de un trámite administrativo requerido por la autoridad federal para hacer identificables a las personas.</w:t>
      </w:r>
    </w:p>
    <w:p w14:paraId="69BA01CD" w14:textId="77777777" w:rsidR="004D4A5D" w:rsidRPr="006805D2" w:rsidRDefault="004D4A5D" w:rsidP="004D4A5D">
      <w:pPr>
        <w:spacing w:line="360" w:lineRule="auto"/>
        <w:contextualSpacing/>
        <w:jc w:val="both"/>
        <w:rPr>
          <w:rFonts w:ascii="Palatino Linotype" w:hAnsi="Palatino Linotype" w:cs="Tahoma"/>
          <w:sz w:val="22"/>
          <w:szCs w:val="22"/>
        </w:rPr>
      </w:pPr>
    </w:p>
    <w:p w14:paraId="1FE405A5" w14:textId="7AA2D7DA" w:rsidR="004D4A5D" w:rsidRPr="006805D2" w:rsidRDefault="004D4A5D" w:rsidP="004D4A5D">
      <w:pPr>
        <w:spacing w:line="360" w:lineRule="auto"/>
        <w:jc w:val="both"/>
        <w:rPr>
          <w:rFonts w:ascii="Palatino Linotype" w:eastAsiaTheme="minorHAnsi" w:hAnsi="Palatino Linotype" w:cstheme="minorBidi"/>
          <w:bCs/>
          <w:iCs/>
          <w:color w:val="000000" w:themeColor="text1"/>
          <w:sz w:val="22"/>
          <w:szCs w:val="22"/>
          <w:lang w:eastAsia="en-US"/>
        </w:rPr>
      </w:pPr>
      <w:r w:rsidRPr="006805D2">
        <w:rPr>
          <w:rFonts w:ascii="Palatino Linotype" w:eastAsiaTheme="minorHAnsi" w:hAnsi="Palatino Linotype" w:cstheme="minorBidi"/>
          <w:bCs/>
          <w:iCs/>
          <w:color w:val="000000" w:themeColor="text1"/>
          <w:sz w:val="22"/>
          <w:szCs w:val="22"/>
          <w:lang w:eastAsia="en-US"/>
        </w:rPr>
        <w:t>Situación que se robustece, con el</w:t>
      </w:r>
      <w:r w:rsidRPr="006805D2">
        <w:rPr>
          <w:rFonts w:ascii="Palatino Linotype" w:eastAsia="Calibri" w:hAnsi="Palatino Linotype" w:cs="Tahoma"/>
          <w:bCs/>
          <w:sz w:val="22"/>
          <w:szCs w:val="22"/>
          <w:lang w:val="es-ES" w:eastAsia="en-US"/>
        </w:rPr>
        <w:t xml:space="preserve"> Criterio </w:t>
      </w:r>
      <w:r w:rsidR="00BC18F8" w:rsidRPr="006805D2">
        <w:rPr>
          <w:rFonts w:ascii="Palatino Linotype" w:eastAsia="Calibri" w:hAnsi="Palatino Linotype" w:cs="Tahoma"/>
          <w:bCs/>
          <w:sz w:val="22"/>
          <w:szCs w:val="22"/>
          <w:lang w:val="es-ES" w:eastAsia="en-US"/>
        </w:rPr>
        <w:t>Orientador</w:t>
      </w:r>
      <w:r w:rsidRPr="006805D2">
        <w:rPr>
          <w:rFonts w:ascii="Palatino Linotype" w:eastAsia="Calibri" w:hAnsi="Palatino Linotype" w:cs="Tahoma"/>
          <w:bCs/>
          <w:sz w:val="22"/>
          <w:szCs w:val="22"/>
          <w:lang w:val="es-ES" w:eastAsia="en-US"/>
        </w:rPr>
        <w:t xml:space="preserve">, de la Segunda Época, con número de registro </w:t>
      </w:r>
      <w:r w:rsidRPr="006805D2">
        <w:rPr>
          <w:rFonts w:ascii="Palatino Linotype" w:eastAsia="Calibri" w:hAnsi="Palatino Linotype" w:cs="Tahoma"/>
          <w:bCs/>
          <w:sz w:val="22"/>
          <w:szCs w:val="22"/>
          <w:lang w:eastAsia="en-US"/>
        </w:rPr>
        <w:t>SO/018/2017</w:t>
      </w:r>
      <w:r w:rsidRPr="006805D2">
        <w:rPr>
          <w:rFonts w:ascii="Palatino Linotype" w:eastAsiaTheme="minorHAnsi" w:hAnsi="Palatino Linotype" w:cstheme="minorBidi"/>
          <w:bCs/>
          <w:iCs/>
          <w:color w:val="000000" w:themeColor="text1"/>
          <w:sz w:val="22"/>
          <w:szCs w:val="22"/>
          <w:lang w:eastAsia="en-US"/>
        </w:rPr>
        <w:t>, emitido por el Instituto Nacional de Transparencia, Acceso a la Información y Protección de Datos Personales, que establece lo siguiente:</w:t>
      </w:r>
    </w:p>
    <w:p w14:paraId="09B93B33" w14:textId="77777777" w:rsidR="004D4A5D" w:rsidRPr="006805D2" w:rsidRDefault="004D4A5D" w:rsidP="004D4A5D">
      <w:pPr>
        <w:spacing w:line="360" w:lineRule="auto"/>
        <w:jc w:val="both"/>
        <w:rPr>
          <w:rFonts w:ascii="Palatino Linotype" w:eastAsiaTheme="minorHAnsi" w:hAnsi="Palatino Linotype" w:cstheme="minorBidi"/>
          <w:bCs/>
          <w:iCs/>
          <w:color w:val="000000" w:themeColor="text1"/>
          <w:sz w:val="22"/>
          <w:szCs w:val="22"/>
          <w:lang w:eastAsia="en-US"/>
        </w:rPr>
      </w:pPr>
    </w:p>
    <w:p w14:paraId="2220C61B" w14:textId="77777777" w:rsidR="004D4A5D" w:rsidRPr="006805D2" w:rsidRDefault="004D4A5D" w:rsidP="004D4A5D">
      <w:pPr>
        <w:spacing w:line="360" w:lineRule="auto"/>
        <w:ind w:left="567" w:right="567"/>
        <w:jc w:val="both"/>
        <w:rPr>
          <w:rFonts w:ascii="Palatino Linotype" w:eastAsiaTheme="minorHAnsi" w:hAnsi="Palatino Linotype" w:cstheme="minorBidi"/>
          <w:bCs/>
          <w:i/>
          <w:iCs/>
          <w:color w:val="000000" w:themeColor="text1"/>
          <w:lang w:eastAsia="en-US"/>
        </w:rPr>
      </w:pPr>
      <w:r w:rsidRPr="006805D2">
        <w:rPr>
          <w:rFonts w:ascii="Palatino Linotype" w:eastAsiaTheme="minorHAnsi" w:hAnsi="Palatino Linotype" w:cstheme="minorBidi"/>
          <w:b/>
          <w:bCs/>
          <w:i/>
          <w:iCs/>
          <w:color w:val="000000" w:themeColor="text1"/>
          <w:lang w:eastAsia="en-US"/>
        </w:rPr>
        <w:t xml:space="preserve">“Clave Única de Registro de Población (CURP). </w:t>
      </w:r>
      <w:r w:rsidRPr="006805D2">
        <w:rPr>
          <w:rFonts w:ascii="Palatino Linotype" w:eastAsiaTheme="minorHAnsi" w:hAnsi="Palatino Linotype" w:cstheme="minorBidi"/>
          <w:bCs/>
          <w:i/>
          <w:iCs/>
          <w:color w:val="000000" w:themeColor="text1"/>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E5CC496" w14:textId="77777777" w:rsidR="004D4A5D" w:rsidRPr="006805D2" w:rsidRDefault="004D4A5D" w:rsidP="004D4A5D">
      <w:pPr>
        <w:spacing w:line="360" w:lineRule="auto"/>
        <w:contextualSpacing/>
        <w:jc w:val="both"/>
        <w:rPr>
          <w:rFonts w:ascii="Palatino Linotype" w:hAnsi="Palatino Linotype" w:cs="Tahoma"/>
          <w:sz w:val="22"/>
          <w:szCs w:val="22"/>
        </w:rPr>
      </w:pPr>
    </w:p>
    <w:p w14:paraId="27EE92F9" w14:textId="77777777" w:rsidR="004D4A5D" w:rsidRPr="006805D2" w:rsidRDefault="004D4A5D" w:rsidP="004D4A5D">
      <w:pPr>
        <w:spacing w:line="360" w:lineRule="auto"/>
        <w:contextualSpacing/>
        <w:jc w:val="both"/>
        <w:rPr>
          <w:rFonts w:ascii="Palatino Linotype" w:hAnsi="Palatino Linotype" w:cs="Tahoma"/>
          <w:b/>
          <w:sz w:val="22"/>
          <w:szCs w:val="22"/>
        </w:rPr>
      </w:pPr>
      <w:r w:rsidRPr="006805D2">
        <w:rPr>
          <w:rFonts w:ascii="Palatino Linotype" w:hAnsi="Palatino Linotype" w:cs="Tahoma"/>
          <w:sz w:val="22"/>
          <w:szCs w:val="22"/>
        </w:rPr>
        <w:t xml:space="preserve">De acuerdo con lo anterior, </w:t>
      </w:r>
      <w:r w:rsidRPr="006805D2">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06892431"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563E1516" w14:textId="77777777" w:rsidR="004D4A5D" w:rsidRPr="006805D2" w:rsidRDefault="004D4A5D" w:rsidP="004D4A5D">
      <w:pPr>
        <w:pStyle w:val="Prrafodelista"/>
        <w:numPr>
          <w:ilvl w:val="0"/>
          <w:numId w:val="7"/>
        </w:numPr>
        <w:spacing w:line="360" w:lineRule="auto"/>
        <w:jc w:val="both"/>
        <w:rPr>
          <w:rFonts w:ascii="Palatino Linotype" w:hAnsi="Palatino Linotype" w:cs="Tahoma"/>
          <w:b/>
          <w:szCs w:val="22"/>
          <w:lang w:eastAsia="es-MX"/>
        </w:rPr>
      </w:pPr>
      <w:r w:rsidRPr="006805D2">
        <w:rPr>
          <w:rFonts w:ascii="Palatino Linotype" w:hAnsi="Palatino Linotype" w:cs="Tahoma"/>
          <w:b/>
          <w:szCs w:val="22"/>
        </w:rPr>
        <w:t>Clave de seguridad social ISSEMYM</w:t>
      </w:r>
    </w:p>
    <w:p w14:paraId="26BBCA0E" w14:textId="77777777" w:rsidR="004D4A5D" w:rsidRPr="006805D2" w:rsidRDefault="004D4A5D" w:rsidP="004D4A5D">
      <w:pPr>
        <w:pStyle w:val="Prrafodelista"/>
        <w:spacing w:line="360" w:lineRule="auto"/>
        <w:jc w:val="both"/>
        <w:rPr>
          <w:rFonts w:ascii="Palatino Linotype" w:hAnsi="Palatino Linotype" w:cs="Tahoma"/>
          <w:szCs w:val="22"/>
          <w:lang w:eastAsia="es-MX"/>
        </w:rPr>
      </w:pPr>
    </w:p>
    <w:p w14:paraId="0D43457E"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8CDB469"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368EFE7B" w14:textId="77777777" w:rsidR="004D4A5D" w:rsidRPr="006805D2" w:rsidRDefault="004D4A5D" w:rsidP="004D4A5D">
      <w:pPr>
        <w:spacing w:line="360" w:lineRule="auto"/>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w:t>
      </w:r>
      <w:r w:rsidRPr="006805D2">
        <w:rPr>
          <w:rFonts w:ascii="Palatino Linotype" w:hAnsi="Palatino Linotype" w:cs="Tahoma"/>
          <w:sz w:val="22"/>
          <w:szCs w:val="22"/>
          <w:lang w:eastAsia="es-MX"/>
        </w:rPr>
        <w:lastRenderedPageBreak/>
        <w:t xml:space="preserve">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6805D2">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26C58276" w14:textId="77777777" w:rsidR="004D4A5D" w:rsidRPr="006805D2" w:rsidRDefault="004D4A5D" w:rsidP="004D4A5D">
      <w:pPr>
        <w:pStyle w:val="Prrafodelista"/>
        <w:spacing w:line="360" w:lineRule="auto"/>
        <w:jc w:val="both"/>
        <w:rPr>
          <w:rFonts w:ascii="Palatino Linotype" w:hAnsi="Palatino Linotype" w:cs="Tahoma"/>
          <w:szCs w:val="22"/>
          <w:lang w:eastAsia="es-MX"/>
        </w:rPr>
      </w:pPr>
    </w:p>
    <w:p w14:paraId="022AB12D"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3ADBC9B0" w14:textId="77777777" w:rsidR="004D4A5D" w:rsidRPr="006805D2" w:rsidRDefault="004D4A5D" w:rsidP="004D4A5D">
      <w:pPr>
        <w:pStyle w:val="Prrafodelista"/>
        <w:spacing w:line="360" w:lineRule="auto"/>
        <w:jc w:val="both"/>
        <w:rPr>
          <w:rFonts w:ascii="Palatino Linotype" w:hAnsi="Palatino Linotype" w:cs="Tahoma"/>
          <w:szCs w:val="22"/>
          <w:lang w:eastAsia="es-MX"/>
        </w:rPr>
      </w:pPr>
    </w:p>
    <w:p w14:paraId="1CD54394"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3C8E38B1" w14:textId="77777777" w:rsidR="004D4A5D" w:rsidRPr="006805D2" w:rsidRDefault="004D4A5D" w:rsidP="004D4A5D">
      <w:pPr>
        <w:spacing w:line="360" w:lineRule="auto"/>
        <w:contextualSpacing/>
        <w:jc w:val="both"/>
        <w:rPr>
          <w:rFonts w:ascii="Palatino Linotype" w:hAnsi="Palatino Linotype" w:cs="Tahoma"/>
          <w:b/>
          <w:sz w:val="22"/>
          <w:szCs w:val="22"/>
        </w:rPr>
      </w:pPr>
    </w:p>
    <w:p w14:paraId="3721B36C" w14:textId="77777777" w:rsidR="004D4A5D" w:rsidRPr="006805D2" w:rsidRDefault="004D4A5D" w:rsidP="004D4A5D">
      <w:pPr>
        <w:numPr>
          <w:ilvl w:val="0"/>
          <w:numId w:val="6"/>
        </w:numPr>
        <w:spacing w:line="360" w:lineRule="auto"/>
        <w:contextualSpacing/>
        <w:jc w:val="both"/>
        <w:rPr>
          <w:rFonts w:ascii="Palatino Linotype" w:hAnsi="Palatino Linotype" w:cs="Tahoma"/>
          <w:bCs/>
          <w:sz w:val="22"/>
          <w:szCs w:val="22"/>
          <w:lang w:eastAsia="es-MX"/>
        </w:rPr>
      </w:pPr>
      <w:r w:rsidRPr="006805D2">
        <w:rPr>
          <w:rFonts w:ascii="Palatino Linotype" w:hAnsi="Palatino Linotype" w:cs="Tahoma"/>
          <w:b/>
          <w:bCs/>
          <w:iCs/>
          <w:sz w:val="22"/>
          <w:szCs w:val="22"/>
          <w:lang w:eastAsia="es-MX"/>
        </w:rPr>
        <w:t>Préstamos o descuentos que se le hagan al servidor público</w:t>
      </w:r>
    </w:p>
    <w:p w14:paraId="22ECF6E6" w14:textId="77777777" w:rsidR="004D4A5D" w:rsidRPr="006805D2" w:rsidRDefault="004D4A5D" w:rsidP="004D4A5D">
      <w:pPr>
        <w:spacing w:line="360" w:lineRule="auto"/>
        <w:contextualSpacing/>
        <w:jc w:val="both"/>
        <w:rPr>
          <w:rFonts w:ascii="Palatino Linotype" w:hAnsi="Palatino Linotype" w:cs="Tahoma"/>
          <w:b/>
          <w:sz w:val="22"/>
          <w:szCs w:val="22"/>
          <w:lang w:eastAsia="es-MX"/>
        </w:rPr>
      </w:pPr>
    </w:p>
    <w:p w14:paraId="77C8A606"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14:paraId="67963787"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08DD1FEC"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lastRenderedPageBreak/>
        <w:t xml:space="preserve"> Asimismo, pueden existir deducciones que se generan con motivo de una sentencia judicial, como es la pensión alimenticia que periódicamente se retira de la cuenta de un empleado, a efecto de que sea entregado a un tercero.  </w:t>
      </w:r>
    </w:p>
    <w:p w14:paraId="261E4719"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729A63EB"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 </w:t>
      </w:r>
    </w:p>
    <w:p w14:paraId="27F82668"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75E63D51" w14:textId="77777777" w:rsidR="004D4A5D" w:rsidRPr="006805D2" w:rsidRDefault="004D4A5D" w:rsidP="004D4A5D">
      <w:pPr>
        <w:spacing w:line="360" w:lineRule="auto"/>
        <w:jc w:val="both"/>
        <w:rPr>
          <w:rFonts w:ascii="Palatino Linotype" w:hAnsi="Palatino Linotype" w:cs="Tahoma"/>
          <w:b/>
          <w:sz w:val="22"/>
          <w:szCs w:val="22"/>
          <w:lang w:val="es-ES"/>
        </w:rPr>
      </w:pPr>
      <w:r w:rsidRPr="006805D2">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14:paraId="1CCB4EF4" w14:textId="77777777" w:rsidR="004D4A5D" w:rsidRPr="006805D2" w:rsidRDefault="004D4A5D" w:rsidP="004D4A5D">
      <w:pPr>
        <w:spacing w:line="360" w:lineRule="auto"/>
        <w:jc w:val="both"/>
        <w:rPr>
          <w:rFonts w:ascii="Palatino Linotype" w:hAnsi="Palatino Linotype" w:cs="Tahoma"/>
          <w:b/>
          <w:sz w:val="22"/>
          <w:szCs w:val="22"/>
          <w:lang w:val="es-ES"/>
        </w:rPr>
      </w:pPr>
    </w:p>
    <w:p w14:paraId="3EA0AA4D" w14:textId="77777777" w:rsidR="004D4A5D" w:rsidRPr="006805D2" w:rsidRDefault="004D4A5D" w:rsidP="004D4A5D">
      <w:pPr>
        <w:pStyle w:val="Prrafodelista"/>
        <w:numPr>
          <w:ilvl w:val="0"/>
          <w:numId w:val="4"/>
        </w:numPr>
        <w:spacing w:line="360" w:lineRule="auto"/>
        <w:ind w:right="-93"/>
        <w:jc w:val="both"/>
        <w:rPr>
          <w:rFonts w:ascii="Palatino Linotype" w:hAnsi="Palatino Linotype" w:cs="Tahoma"/>
          <w:b/>
          <w:szCs w:val="22"/>
        </w:rPr>
      </w:pPr>
      <w:r w:rsidRPr="006805D2">
        <w:rPr>
          <w:rFonts w:ascii="Palatino Linotype" w:hAnsi="Palatino Linotype" w:cs="Tahoma"/>
          <w:b/>
          <w:bCs/>
          <w:iCs/>
          <w:szCs w:val="22"/>
        </w:rPr>
        <w:t>Número de cuenta bancario</w:t>
      </w:r>
    </w:p>
    <w:p w14:paraId="34B226A3" w14:textId="77777777" w:rsidR="004D4A5D" w:rsidRPr="006805D2" w:rsidRDefault="004D4A5D" w:rsidP="004D4A5D">
      <w:pPr>
        <w:spacing w:line="360" w:lineRule="auto"/>
        <w:ind w:right="-93"/>
        <w:jc w:val="both"/>
        <w:rPr>
          <w:rFonts w:ascii="Palatino Linotype" w:hAnsi="Palatino Linotype" w:cs="Tahoma"/>
          <w:sz w:val="22"/>
          <w:szCs w:val="22"/>
        </w:rPr>
      </w:pPr>
    </w:p>
    <w:p w14:paraId="31810CD0"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r w:rsidRPr="006805D2">
        <w:rPr>
          <w:rFonts w:ascii="Palatino Linotype" w:hAnsi="Palatino Linotype" w:cs="Tahoma"/>
          <w:sz w:val="22"/>
          <w:szCs w:val="22"/>
        </w:rPr>
        <w:t>Como se precisó anteriormente, uno de los requisitos que indica la nómina del OSFEM que se deben agregar es el número de cuenta bancario al que se deposita</w:t>
      </w:r>
      <w:r w:rsidRPr="006805D2">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3ED559FC"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19E9EAE5" w14:textId="77777777" w:rsidR="004D4A5D" w:rsidRPr="006805D2" w:rsidRDefault="004D4A5D" w:rsidP="004D4A5D">
      <w:pPr>
        <w:spacing w:line="360" w:lineRule="auto"/>
        <w:jc w:val="both"/>
        <w:rPr>
          <w:rFonts w:ascii="Palatino Linotype" w:hAnsi="Palatino Linotype" w:cs="Tahoma"/>
          <w:sz w:val="22"/>
          <w:szCs w:val="22"/>
        </w:rPr>
      </w:pPr>
      <w:r w:rsidRPr="006805D2">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3DE51E92" w14:textId="77777777" w:rsidR="004D4A5D" w:rsidRPr="006805D2" w:rsidRDefault="004D4A5D" w:rsidP="004D4A5D">
      <w:pPr>
        <w:spacing w:line="360" w:lineRule="auto"/>
        <w:ind w:left="567" w:right="567"/>
        <w:jc w:val="both"/>
        <w:rPr>
          <w:rFonts w:ascii="Palatino Linotype" w:hAnsi="Palatino Linotype" w:cs="Tahoma"/>
          <w:sz w:val="22"/>
          <w:szCs w:val="22"/>
        </w:rPr>
      </w:pPr>
    </w:p>
    <w:p w14:paraId="19D2968A" w14:textId="77777777" w:rsidR="004D4A5D" w:rsidRPr="006805D2" w:rsidRDefault="004D4A5D" w:rsidP="004D4A5D">
      <w:pPr>
        <w:spacing w:line="360" w:lineRule="auto"/>
        <w:ind w:left="567" w:right="567"/>
        <w:jc w:val="both"/>
        <w:rPr>
          <w:rFonts w:ascii="Palatino Linotype" w:hAnsi="Palatino Linotype" w:cs="Tahoma"/>
          <w:i/>
        </w:rPr>
      </w:pPr>
      <w:r w:rsidRPr="006805D2">
        <w:rPr>
          <w:rFonts w:ascii="Palatino Linotype" w:hAnsi="Palatino Linotype" w:cs="Tahoma"/>
          <w:i/>
        </w:rPr>
        <w:lastRenderedPageBreak/>
        <w:t>“</w:t>
      </w:r>
      <w:r w:rsidRPr="006805D2">
        <w:rPr>
          <w:rFonts w:ascii="Palatino Linotype" w:hAnsi="Palatino Linotype" w:cs="Tahoma"/>
          <w:b/>
          <w:i/>
        </w:rPr>
        <w:t>Cuentas bancarias y/o CLABE interbancaria de personas físicas y morales privadas.</w:t>
      </w:r>
      <w:r w:rsidRPr="006805D2">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EE5FB42"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17E4E5A0" w14:textId="77777777" w:rsidR="004D4A5D" w:rsidRPr="006805D2" w:rsidRDefault="004D4A5D" w:rsidP="004D4A5D">
      <w:pPr>
        <w:spacing w:line="360" w:lineRule="auto"/>
        <w:ind w:right="-93"/>
        <w:jc w:val="both"/>
        <w:rPr>
          <w:rFonts w:ascii="Palatino Linotype" w:hAnsi="Palatino Linotype" w:cs="Tahoma"/>
          <w:sz w:val="22"/>
          <w:szCs w:val="22"/>
        </w:rPr>
      </w:pPr>
      <w:r w:rsidRPr="006805D2">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6805D2">
        <w:rPr>
          <w:rFonts w:ascii="Palatino Linotype" w:hAnsi="Palatino Linotype" w:cs="Tahoma"/>
          <w:sz w:val="22"/>
          <w:szCs w:val="22"/>
        </w:rPr>
        <w:t>artículo 143, fracción I de la Ley de Transparencia y Acceso a la Información Pública del Estado de México y Municipios.</w:t>
      </w:r>
    </w:p>
    <w:p w14:paraId="4349EC03" w14:textId="77777777" w:rsidR="004D4A5D" w:rsidRPr="006805D2" w:rsidRDefault="004D4A5D" w:rsidP="004D4A5D">
      <w:pPr>
        <w:spacing w:line="360" w:lineRule="auto"/>
        <w:contextualSpacing/>
        <w:jc w:val="both"/>
        <w:rPr>
          <w:rFonts w:ascii="Palatino Linotype" w:hAnsi="Palatino Linotype" w:cs="Tahoma"/>
          <w:sz w:val="22"/>
          <w:szCs w:val="22"/>
          <w:lang w:eastAsia="es-MX"/>
        </w:rPr>
      </w:pPr>
    </w:p>
    <w:p w14:paraId="05F01479" w14:textId="77777777" w:rsidR="004D4A5D" w:rsidRPr="006805D2" w:rsidRDefault="004D4A5D" w:rsidP="004D4A5D">
      <w:pPr>
        <w:spacing w:line="360" w:lineRule="auto"/>
        <w:ind w:right="-93"/>
        <w:jc w:val="both"/>
        <w:rPr>
          <w:rFonts w:ascii="Palatino Linotype" w:hAnsi="Palatino Linotype" w:cs="Tahoma"/>
          <w:sz w:val="22"/>
          <w:szCs w:val="22"/>
        </w:rPr>
      </w:pPr>
      <w:r w:rsidRPr="006805D2">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664E1037" w14:textId="77777777" w:rsidR="004D4A5D" w:rsidRPr="006805D2" w:rsidRDefault="004D4A5D" w:rsidP="004D4A5D">
      <w:pPr>
        <w:spacing w:line="360" w:lineRule="auto"/>
        <w:jc w:val="both"/>
        <w:rPr>
          <w:rFonts w:ascii="Palatino Linotype" w:hAnsi="Palatino Linotype" w:cs="Tahoma"/>
          <w:bCs/>
          <w:iCs/>
          <w:sz w:val="22"/>
          <w:szCs w:val="22"/>
          <w:lang w:val="es-ES"/>
        </w:rPr>
      </w:pPr>
    </w:p>
    <w:p w14:paraId="5BD0F8E7" w14:textId="77777777" w:rsidR="004D4A5D" w:rsidRPr="006805D2" w:rsidRDefault="004D4A5D" w:rsidP="004D4A5D">
      <w:pPr>
        <w:pStyle w:val="Prrafodelista"/>
        <w:numPr>
          <w:ilvl w:val="0"/>
          <w:numId w:val="4"/>
        </w:numPr>
        <w:spacing w:line="360" w:lineRule="auto"/>
        <w:jc w:val="both"/>
        <w:rPr>
          <w:rFonts w:ascii="Palatino Linotype" w:eastAsia="Calibri" w:hAnsi="Palatino Linotype" w:cs="Tahoma"/>
          <w:b/>
          <w:iCs/>
          <w:szCs w:val="22"/>
          <w:lang w:eastAsia="es-ES_tradnl"/>
        </w:rPr>
      </w:pPr>
      <w:r w:rsidRPr="006805D2">
        <w:rPr>
          <w:rFonts w:ascii="Palatino Linotype" w:eastAsia="Calibri" w:hAnsi="Palatino Linotype" w:cs="Tahoma"/>
          <w:b/>
          <w:iCs/>
          <w:szCs w:val="22"/>
          <w:lang w:eastAsia="es-ES_tradnl"/>
        </w:rPr>
        <w:t xml:space="preserve">Elementos operativos </w:t>
      </w:r>
    </w:p>
    <w:p w14:paraId="7AE99779" w14:textId="77777777" w:rsidR="004D4A5D" w:rsidRPr="006805D2" w:rsidRDefault="004D4A5D" w:rsidP="004D4A5D">
      <w:pPr>
        <w:spacing w:line="360" w:lineRule="auto"/>
        <w:ind w:right="-93"/>
        <w:jc w:val="both"/>
        <w:rPr>
          <w:rFonts w:ascii="Palatino Linotype" w:eastAsia="Calibri" w:hAnsi="Palatino Linotype" w:cs="Tahoma"/>
          <w:bCs/>
          <w:iCs/>
          <w:sz w:val="22"/>
          <w:szCs w:val="22"/>
          <w:lang w:eastAsia="en-US"/>
        </w:rPr>
      </w:pPr>
    </w:p>
    <w:p w14:paraId="6E64E9D3"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r w:rsidRPr="006805D2">
        <w:rPr>
          <w:rFonts w:ascii="Palatino Linotype" w:eastAsia="Calibri" w:hAnsi="Palatino Linotype" w:cs="Tahoma"/>
          <w:bCs/>
          <w:sz w:val="22"/>
          <w:szCs w:val="22"/>
          <w:lang w:eastAsia="en-US"/>
        </w:rPr>
        <w:t xml:space="preserve">En ese contexto, tal como se precisó en párrafos anteriores, </w:t>
      </w:r>
      <w:r w:rsidRPr="006805D2">
        <w:rPr>
          <w:rFonts w:ascii="Palatino Linotype" w:eastAsia="Calibri" w:hAnsi="Palatino Linotype" w:cs="Tahoma"/>
          <w:b/>
          <w:bCs/>
          <w:sz w:val="22"/>
          <w:szCs w:val="22"/>
          <w:lang w:eastAsia="en-US"/>
        </w:rPr>
        <w:t xml:space="preserve">los datos de servidores públicos, entre los que se encuentran el nombre de los trabajadores, por regla general, </w:t>
      </w:r>
      <w:r w:rsidRPr="006805D2">
        <w:rPr>
          <w:rFonts w:ascii="Palatino Linotype" w:eastAsia="Calibri" w:hAnsi="Palatino Linotype" w:cs="Tahoma"/>
          <w:bCs/>
          <w:sz w:val="22"/>
          <w:szCs w:val="22"/>
          <w:lang w:eastAsia="en-US"/>
        </w:rPr>
        <w:t>son de naturaleza pública, ya que su publicidad orienta a cumplir los objetivos que persigue la Ley.</w:t>
      </w:r>
    </w:p>
    <w:p w14:paraId="306B4102"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1DA9BF39" w14:textId="77777777" w:rsidR="004D4A5D" w:rsidRPr="006805D2" w:rsidRDefault="004D4A5D" w:rsidP="004D4A5D">
      <w:pPr>
        <w:spacing w:line="360" w:lineRule="auto"/>
        <w:jc w:val="both"/>
        <w:rPr>
          <w:rFonts w:ascii="Palatino Linotype" w:hAnsi="Palatino Linotype" w:cs="Tahoma"/>
          <w:sz w:val="22"/>
          <w:szCs w:val="22"/>
        </w:rPr>
      </w:pPr>
      <w:r w:rsidRPr="006805D2">
        <w:rPr>
          <w:rFonts w:ascii="Palatino Linotype" w:eastAsia="Calibri" w:hAnsi="Palatino Linotype" w:cs="Tahoma"/>
          <w:bCs/>
          <w:sz w:val="22"/>
          <w:szCs w:val="22"/>
          <w:lang w:eastAsia="en-US"/>
        </w:rPr>
        <w:lastRenderedPageBreak/>
        <w:t xml:space="preserve">No obstante, resulta necesario traer a colación por analogía, el Criterio 06/09, emitido por </w:t>
      </w:r>
      <w:r w:rsidRPr="006805D2">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1419AADA" w14:textId="77777777" w:rsidR="004D4A5D" w:rsidRPr="006805D2" w:rsidRDefault="004D4A5D" w:rsidP="004D4A5D">
      <w:pPr>
        <w:spacing w:line="360" w:lineRule="auto"/>
        <w:jc w:val="both"/>
        <w:rPr>
          <w:rFonts w:ascii="Palatino Linotype" w:hAnsi="Palatino Linotype" w:cs="Tahoma"/>
          <w:i/>
          <w:sz w:val="22"/>
          <w:szCs w:val="22"/>
        </w:rPr>
      </w:pPr>
    </w:p>
    <w:p w14:paraId="37BC2910" w14:textId="77777777" w:rsidR="004D4A5D" w:rsidRPr="006805D2" w:rsidRDefault="004D4A5D" w:rsidP="004D4A5D">
      <w:pPr>
        <w:tabs>
          <w:tab w:val="left" w:pos="4962"/>
        </w:tabs>
        <w:spacing w:line="360" w:lineRule="auto"/>
        <w:ind w:left="567" w:right="567"/>
        <w:jc w:val="both"/>
        <w:rPr>
          <w:rFonts w:ascii="Palatino Linotype" w:hAnsi="Palatino Linotype" w:cs="Tahoma"/>
          <w:i/>
          <w:szCs w:val="22"/>
        </w:rPr>
      </w:pPr>
      <w:r w:rsidRPr="006805D2">
        <w:rPr>
          <w:rFonts w:ascii="Palatino Linotype" w:hAnsi="Palatino Linotype" w:cs="Tahoma"/>
          <w:b/>
          <w:i/>
          <w:szCs w:val="22"/>
        </w:rPr>
        <w:t>“Nombres de servidores públicos dedicados a actividades en materia de seguridad, por excepción pueden considerarse información reservada.</w:t>
      </w:r>
      <w:r w:rsidRPr="006805D2">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88029AC"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77CB83AC"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r w:rsidRPr="006805D2">
        <w:rPr>
          <w:rFonts w:ascii="Palatino Linotype" w:eastAsia="Calibri" w:hAnsi="Palatino Linotype" w:cs="Tahoma"/>
          <w:bCs/>
          <w:sz w:val="22"/>
          <w:szCs w:val="22"/>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w:t>
      </w:r>
      <w:r w:rsidRPr="006805D2">
        <w:rPr>
          <w:rFonts w:ascii="Palatino Linotype" w:eastAsia="Calibri" w:hAnsi="Palatino Linotype" w:cs="Tahoma"/>
          <w:bCs/>
          <w:sz w:val="22"/>
          <w:szCs w:val="22"/>
          <w:lang w:eastAsia="en-US"/>
        </w:rPr>
        <w:lastRenderedPageBreak/>
        <w:t>manifestaciones; por lo que, una forma en que la delincuencia puede llegar a poner en riesgo la seguridad del País, Estado y Municipio, anulando, impidiendo u obstaculizando la actuación de los servidores públicos que realizan funciones de carácter operativo.</w:t>
      </w:r>
    </w:p>
    <w:p w14:paraId="558755AB"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43EE6873"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r w:rsidRPr="006805D2">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6805D2">
        <w:rPr>
          <w:rFonts w:ascii="Palatino Linotype" w:eastAsia="Calibri" w:hAnsi="Palatino Linotype" w:cs="Tahoma"/>
          <w:b/>
          <w:bCs/>
          <w:sz w:val="22"/>
          <w:szCs w:val="22"/>
          <w:lang w:eastAsia="en-US"/>
        </w:rPr>
        <w:t>aquellos que realicen actividades operativas en materia de seguridad,</w:t>
      </w:r>
      <w:r w:rsidRPr="006805D2">
        <w:rPr>
          <w:rFonts w:ascii="Palatino Linotype" w:eastAsia="Calibri" w:hAnsi="Palatino Linotype" w:cs="Tahoma"/>
          <w:bCs/>
          <w:sz w:val="22"/>
          <w:szCs w:val="22"/>
          <w:lang w:eastAsia="en-US"/>
        </w:rPr>
        <w:t xml:space="preserve"> como es el caso de los elementos operativos y la policía municipal.</w:t>
      </w:r>
    </w:p>
    <w:p w14:paraId="2C29C9C3"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5A2E0A57"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r w:rsidRPr="006805D2">
        <w:rPr>
          <w:rFonts w:ascii="Palatino Linotype" w:eastAsia="Calibri" w:hAnsi="Palatino Linotype" w:cs="Tahoma"/>
          <w:bCs/>
          <w:sz w:val="22"/>
          <w:szCs w:val="22"/>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34F96E7"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0F5CF9F5"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r w:rsidRPr="006805D2">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7CEDDDE7"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4C66E612" w14:textId="77777777" w:rsidR="004D4A5D" w:rsidRPr="006805D2" w:rsidRDefault="004D4A5D" w:rsidP="004D4A5D">
      <w:pPr>
        <w:pStyle w:val="Prrafodelista"/>
        <w:numPr>
          <w:ilvl w:val="0"/>
          <w:numId w:val="8"/>
        </w:numPr>
        <w:spacing w:line="360" w:lineRule="auto"/>
        <w:jc w:val="both"/>
        <w:rPr>
          <w:rFonts w:ascii="Palatino Linotype" w:eastAsia="Calibri" w:hAnsi="Palatino Linotype" w:cs="Tahoma"/>
          <w:b/>
          <w:bCs/>
          <w:szCs w:val="22"/>
          <w:lang w:eastAsia="en-US"/>
        </w:rPr>
      </w:pPr>
      <w:r w:rsidRPr="006805D2">
        <w:rPr>
          <w:rFonts w:ascii="Palatino Linotype" w:eastAsia="Calibri" w:hAnsi="Palatino Linotype" w:cs="Tahoma"/>
          <w:b/>
          <w:bCs/>
          <w:szCs w:val="22"/>
          <w:lang w:eastAsia="en-US"/>
        </w:rPr>
        <w:t xml:space="preserve">Instituciones Policiales: </w:t>
      </w:r>
      <w:r w:rsidRPr="006805D2">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6805D2">
        <w:rPr>
          <w:rFonts w:ascii="Palatino Linotype" w:eastAsia="Calibri" w:hAnsi="Palatino Linotype" w:cs="Tahoma"/>
          <w:b/>
          <w:bCs/>
          <w:szCs w:val="22"/>
          <w:lang w:eastAsia="en-US"/>
        </w:rPr>
        <w:t>todas las dependencias encargadas de la seguridad pública a nivel</w:t>
      </w:r>
      <w:r w:rsidRPr="006805D2">
        <w:rPr>
          <w:rFonts w:ascii="Palatino Linotype" w:eastAsia="Calibri" w:hAnsi="Palatino Linotype" w:cs="Tahoma"/>
          <w:bCs/>
          <w:szCs w:val="22"/>
          <w:lang w:eastAsia="en-US"/>
        </w:rPr>
        <w:t xml:space="preserve"> estatal y </w:t>
      </w:r>
      <w:r w:rsidRPr="006805D2">
        <w:rPr>
          <w:rFonts w:ascii="Palatino Linotype" w:eastAsia="Calibri" w:hAnsi="Palatino Linotype" w:cs="Tahoma"/>
          <w:b/>
          <w:bCs/>
          <w:szCs w:val="22"/>
          <w:lang w:eastAsia="en-US"/>
        </w:rPr>
        <w:t>municipal.</w:t>
      </w:r>
    </w:p>
    <w:p w14:paraId="229523D2" w14:textId="77777777" w:rsidR="004D4A5D" w:rsidRPr="006805D2" w:rsidRDefault="004D4A5D" w:rsidP="004D4A5D">
      <w:pPr>
        <w:pStyle w:val="Prrafodelista"/>
        <w:spacing w:line="360" w:lineRule="auto"/>
        <w:jc w:val="both"/>
        <w:rPr>
          <w:rFonts w:ascii="Palatino Linotype" w:eastAsia="Calibri" w:hAnsi="Palatino Linotype" w:cs="Tahoma"/>
          <w:bCs/>
          <w:szCs w:val="22"/>
          <w:lang w:eastAsia="en-US"/>
        </w:rPr>
      </w:pPr>
    </w:p>
    <w:p w14:paraId="4E8BFC9D" w14:textId="77777777" w:rsidR="004D4A5D" w:rsidRPr="006805D2" w:rsidRDefault="004D4A5D" w:rsidP="004D4A5D">
      <w:pPr>
        <w:pStyle w:val="Prrafodelista"/>
        <w:numPr>
          <w:ilvl w:val="0"/>
          <w:numId w:val="8"/>
        </w:numPr>
        <w:spacing w:line="360" w:lineRule="auto"/>
        <w:jc w:val="both"/>
        <w:rPr>
          <w:rFonts w:ascii="Palatino Linotype" w:eastAsia="Calibri" w:hAnsi="Palatino Linotype" w:cs="Tahoma"/>
          <w:b/>
          <w:bCs/>
          <w:szCs w:val="22"/>
          <w:lang w:eastAsia="en-US"/>
        </w:rPr>
      </w:pPr>
      <w:r w:rsidRPr="006805D2">
        <w:rPr>
          <w:rFonts w:ascii="Palatino Linotype" w:eastAsia="Calibri" w:hAnsi="Palatino Linotype" w:cs="Tahoma"/>
          <w:b/>
          <w:bCs/>
          <w:szCs w:val="22"/>
          <w:lang w:eastAsia="en-US"/>
        </w:rPr>
        <w:lastRenderedPageBreak/>
        <w:t xml:space="preserve">Instituciones de Seguridad Pública: </w:t>
      </w:r>
      <w:r w:rsidRPr="006805D2">
        <w:rPr>
          <w:rFonts w:ascii="Palatino Linotype" w:eastAsia="Calibri" w:hAnsi="Palatino Linotype" w:cs="Tahoma"/>
          <w:bCs/>
          <w:szCs w:val="22"/>
          <w:lang w:eastAsia="en-US"/>
        </w:rPr>
        <w:t xml:space="preserve">Instituciones Policiales, Procuración de Justicia, Sistema Penitenciario y </w:t>
      </w:r>
      <w:r w:rsidRPr="006805D2">
        <w:rPr>
          <w:rFonts w:ascii="Palatino Linotype" w:eastAsia="Calibri" w:hAnsi="Palatino Linotype" w:cs="Tahoma"/>
          <w:b/>
          <w:bCs/>
          <w:szCs w:val="22"/>
          <w:lang w:eastAsia="en-US"/>
        </w:rPr>
        <w:t xml:space="preserve">dependencias encargadas de la seguridad pública a nivel </w:t>
      </w:r>
      <w:r w:rsidRPr="006805D2">
        <w:rPr>
          <w:rFonts w:ascii="Palatino Linotype" w:eastAsia="Calibri" w:hAnsi="Palatino Linotype" w:cs="Tahoma"/>
          <w:bCs/>
          <w:szCs w:val="22"/>
          <w:lang w:eastAsia="en-US"/>
        </w:rPr>
        <w:t xml:space="preserve">estatal y </w:t>
      </w:r>
      <w:r w:rsidRPr="006805D2">
        <w:rPr>
          <w:rFonts w:ascii="Palatino Linotype" w:eastAsia="Calibri" w:hAnsi="Palatino Linotype" w:cs="Tahoma"/>
          <w:b/>
          <w:bCs/>
          <w:szCs w:val="22"/>
          <w:lang w:eastAsia="en-US"/>
        </w:rPr>
        <w:t>municipal.</w:t>
      </w:r>
    </w:p>
    <w:p w14:paraId="6B66FE41" w14:textId="77777777" w:rsidR="004D4A5D" w:rsidRPr="006805D2" w:rsidRDefault="004D4A5D" w:rsidP="004D4A5D">
      <w:pPr>
        <w:pStyle w:val="Prrafodelista"/>
        <w:rPr>
          <w:rFonts w:ascii="Palatino Linotype" w:eastAsia="Calibri" w:hAnsi="Palatino Linotype" w:cs="Tahoma"/>
          <w:b/>
          <w:bCs/>
          <w:szCs w:val="22"/>
          <w:lang w:eastAsia="en-US"/>
        </w:rPr>
      </w:pPr>
    </w:p>
    <w:p w14:paraId="6935010B"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r w:rsidRPr="006805D2">
        <w:rPr>
          <w:rFonts w:ascii="Palatino Linotype" w:eastAsia="Calibri" w:hAnsi="Palatino Linotype" w:cs="Tahoma"/>
          <w:iCs/>
          <w:sz w:val="22"/>
          <w:lang w:val="es-ES" w:eastAsia="es-ES_tradnl"/>
        </w:rPr>
        <w:t>Conforme a lo anterior</w:t>
      </w:r>
      <w:r w:rsidRPr="006805D2">
        <w:rPr>
          <w:rFonts w:ascii="Palatino Linotype" w:eastAsia="Calibri" w:hAnsi="Palatino Linotype" w:cs="Tahoma"/>
          <w:bCs/>
          <w:sz w:val="22"/>
          <w:szCs w:val="22"/>
          <w:lang w:eastAsia="en-US"/>
        </w:rPr>
        <w:t>, se puede deducir que la Dirección de Seguridad Ciudadana, es una institución de seguridad pública, pues tiene como atribución principal resguardar el orden público y la paz social, la prevención de delitos y la inhibición de manifestaciones de conductas antisociales.</w:t>
      </w:r>
    </w:p>
    <w:p w14:paraId="3175DF89"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120D4AC3" w14:textId="77777777" w:rsidR="004D4A5D" w:rsidRPr="006805D2" w:rsidRDefault="004D4A5D" w:rsidP="004D4A5D">
      <w:pPr>
        <w:tabs>
          <w:tab w:val="left" w:pos="4962"/>
        </w:tabs>
        <w:spacing w:line="360" w:lineRule="auto"/>
        <w:ind w:right="-28"/>
        <w:jc w:val="both"/>
        <w:rPr>
          <w:rFonts w:ascii="Palatino Linotype" w:eastAsia="Calibri" w:hAnsi="Palatino Linotype" w:cs="Tahoma"/>
          <w:bCs/>
          <w:sz w:val="22"/>
          <w:szCs w:val="22"/>
          <w:lang w:eastAsia="en-US"/>
        </w:rPr>
      </w:pPr>
      <w:r w:rsidRPr="006805D2">
        <w:rPr>
          <w:rFonts w:ascii="Palatino Linotype" w:eastAsia="Calibri" w:hAnsi="Palatino Linotype" w:cs="Tahoma"/>
          <w:bCs/>
          <w:sz w:val="22"/>
          <w:szCs w:val="22"/>
          <w:lang w:val="es-ES" w:eastAsia="en-US"/>
        </w:rPr>
        <w:t xml:space="preserve">Además, </w:t>
      </w:r>
      <w:r w:rsidRPr="006805D2">
        <w:rPr>
          <w:rFonts w:ascii="Palatino Linotype" w:eastAsia="Calibri" w:hAnsi="Palatino Linotype" w:cs="Tahoma"/>
          <w:bCs/>
          <w:sz w:val="22"/>
          <w:szCs w:val="22"/>
          <w:lang w:eastAsia="en-US"/>
        </w:rPr>
        <w:t xml:space="preserve">el Instructivo de llenado del Formato “Personal de Seguridad Pública”, del Secretariado Ejecutivo del Sistema Nacional de Seguridad Pública (consultado en la liga electrónica </w:t>
      </w:r>
      <w:hyperlink r:id="rId11" w:history="1">
        <w:r w:rsidRPr="006805D2">
          <w:rPr>
            <w:rStyle w:val="Hipervnculo"/>
            <w:rFonts w:ascii="Palatino Linotype" w:eastAsia="Calibri" w:hAnsi="Palatino Linotype" w:cs="Tahoma"/>
            <w:bCs/>
            <w:sz w:val="22"/>
            <w:szCs w:val="22"/>
            <w:lang w:eastAsia="en-US"/>
          </w:rPr>
          <w:t>http://secretariadoejecutivo.gob.mx/work/models/SecretariadoEjecutivo/Resource/328/1/images/instructivo_final_edo_fuerza(1).pdf</w:t>
        </w:r>
      </w:hyperlink>
      <w:r w:rsidRPr="006805D2">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Pr="006805D2">
        <w:rPr>
          <w:rFonts w:ascii="Palatino Linotype" w:eastAsia="Calibri" w:hAnsi="Palatino Linotype" w:cs="Tahoma"/>
          <w:b/>
          <w:bCs/>
          <w:sz w:val="22"/>
          <w:szCs w:val="22"/>
          <w:lang w:eastAsia="en-US"/>
        </w:rPr>
        <w:t>desempeña funciones de mando</w:t>
      </w:r>
      <w:r w:rsidRPr="006805D2">
        <w:rPr>
          <w:rFonts w:ascii="Palatino Linotype" w:eastAsia="Calibri" w:hAnsi="Palatino Linotype" w:cs="Tahoma"/>
          <w:bCs/>
          <w:sz w:val="22"/>
          <w:szCs w:val="22"/>
          <w:lang w:eastAsia="en-US"/>
        </w:rPr>
        <w:t xml:space="preserve">), entre los cuales, se encuentra </w:t>
      </w:r>
      <w:r w:rsidRPr="006805D2">
        <w:rPr>
          <w:rFonts w:ascii="Palatino Linotype" w:eastAsia="Calibri" w:hAnsi="Palatino Linotype" w:cs="Tahoma"/>
          <w:b/>
          <w:bCs/>
          <w:sz w:val="22"/>
          <w:szCs w:val="22"/>
          <w:lang w:eastAsia="en-US"/>
        </w:rPr>
        <w:t>la Policía Municipal</w:t>
      </w:r>
      <w:r w:rsidRPr="006805D2">
        <w:rPr>
          <w:rFonts w:ascii="Palatino Linotype" w:eastAsia="Calibri" w:hAnsi="Palatino Linotype" w:cs="Tahoma"/>
          <w:bCs/>
          <w:sz w:val="22"/>
          <w:szCs w:val="22"/>
          <w:lang w:eastAsia="en-US"/>
        </w:rPr>
        <w:t>.</w:t>
      </w:r>
    </w:p>
    <w:p w14:paraId="22F9D2F7" w14:textId="77777777" w:rsidR="004D4A5D" w:rsidRPr="006805D2" w:rsidRDefault="004D4A5D" w:rsidP="004D4A5D">
      <w:pPr>
        <w:tabs>
          <w:tab w:val="left" w:pos="4962"/>
        </w:tabs>
        <w:spacing w:line="360" w:lineRule="auto"/>
        <w:ind w:right="-28"/>
        <w:jc w:val="both"/>
        <w:rPr>
          <w:rFonts w:ascii="Palatino Linotype" w:eastAsia="Calibri" w:hAnsi="Palatino Linotype" w:cs="Tahoma"/>
          <w:bCs/>
          <w:sz w:val="22"/>
          <w:szCs w:val="22"/>
          <w:lang w:eastAsia="en-US"/>
        </w:rPr>
      </w:pPr>
    </w:p>
    <w:p w14:paraId="651F0314" w14:textId="77777777" w:rsidR="004D4A5D" w:rsidRPr="006805D2" w:rsidRDefault="004D4A5D" w:rsidP="004D4A5D">
      <w:pPr>
        <w:tabs>
          <w:tab w:val="left" w:pos="4962"/>
        </w:tabs>
        <w:spacing w:line="360" w:lineRule="auto"/>
        <w:ind w:right="-28"/>
        <w:jc w:val="both"/>
        <w:rPr>
          <w:rFonts w:ascii="Palatino Linotype" w:eastAsia="Calibri" w:hAnsi="Palatino Linotype" w:cs="Tahoma"/>
          <w:bCs/>
          <w:sz w:val="22"/>
          <w:szCs w:val="22"/>
          <w:lang w:eastAsia="en-US"/>
        </w:rPr>
      </w:pPr>
      <w:r w:rsidRPr="006805D2">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Ciudadana, tiene dos clases de servidores públicos, por una parte, los operativos (policía municipal) y por otra, los administrativos, de apoyo y personal de mando, los cuales no realizan funciones operativas.</w:t>
      </w:r>
    </w:p>
    <w:p w14:paraId="71C5FCB1"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537BF7C1"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r w:rsidRPr="006805D2">
        <w:rPr>
          <w:rFonts w:ascii="Palatino Linotype" w:eastAsia="Calibri" w:hAnsi="Palatino Linotype" w:cs="Tahoma"/>
          <w:bCs/>
          <w:sz w:val="22"/>
          <w:szCs w:val="22"/>
          <w:lang w:eastAsia="en-US"/>
        </w:rPr>
        <w:lastRenderedPageBreak/>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5DC7EDA"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06FB65F0"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r w:rsidRPr="006805D2">
        <w:rPr>
          <w:rFonts w:ascii="Palatino Linotype" w:eastAsia="Calibri" w:hAnsi="Palatino Linotype"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5825B83" w14:textId="77777777" w:rsidR="004D4A5D" w:rsidRPr="006805D2" w:rsidRDefault="004D4A5D" w:rsidP="004D4A5D">
      <w:pPr>
        <w:spacing w:line="360" w:lineRule="auto"/>
        <w:jc w:val="both"/>
        <w:rPr>
          <w:rFonts w:ascii="Palatino Linotype" w:eastAsia="Calibri" w:hAnsi="Palatino Linotype" w:cs="Tahoma"/>
          <w:bCs/>
          <w:sz w:val="22"/>
          <w:szCs w:val="22"/>
          <w:lang w:eastAsia="en-US"/>
        </w:rPr>
      </w:pPr>
    </w:p>
    <w:p w14:paraId="24FD9AB1" w14:textId="77777777" w:rsidR="004D4A5D" w:rsidRPr="006805D2" w:rsidRDefault="004D4A5D" w:rsidP="004D4A5D">
      <w:pPr>
        <w:tabs>
          <w:tab w:val="left" w:pos="4962"/>
        </w:tabs>
        <w:spacing w:line="360" w:lineRule="auto"/>
        <w:jc w:val="both"/>
        <w:rPr>
          <w:rFonts w:ascii="Palatino Linotype" w:eastAsia="Calibri" w:hAnsi="Palatino Linotype" w:cs="Tahoma"/>
          <w:iCs/>
          <w:sz w:val="22"/>
          <w:szCs w:val="22"/>
          <w:lang w:val="es-ES" w:eastAsia="es-ES_tradnl"/>
        </w:rPr>
      </w:pPr>
      <w:r w:rsidRPr="006805D2">
        <w:rPr>
          <w:rFonts w:ascii="Palatino Linotype" w:eastAsia="Calibri" w:hAnsi="Palatino Linotype" w:cs="Tahoma"/>
          <w:iCs/>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30243392" w14:textId="77777777" w:rsidR="004D4A5D" w:rsidRPr="006805D2" w:rsidRDefault="004D4A5D" w:rsidP="004D4A5D">
      <w:pPr>
        <w:tabs>
          <w:tab w:val="left" w:pos="4962"/>
        </w:tabs>
        <w:spacing w:line="360" w:lineRule="auto"/>
        <w:jc w:val="both"/>
        <w:rPr>
          <w:rFonts w:ascii="Palatino Linotype" w:eastAsia="Calibri" w:hAnsi="Palatino Linotype" w:cs="Tahoma"/>
          <w:iCs/>
          <w:sz w:val="22"/>
          <w:szCs w:val="22"/>
          <w:lang w:val="es-ES" w:eastAsia="es-ES_tradnl"/>
        </w:rPr>
      </w:pPr>
    </w:p>
    <w:p w14:paraId="77DB3583" w14:textId="77777777" w:rsidR="004D4A5D" w:rsidRPr="006805D2" w:rsidRDefault="004D4A5D" w:rsidP="004D4A5D">
      <w:pPr>
        <w:numPr>
          <w:ilvl w:val="0"/>
          <w:numId w:val="9"/>
        </w:numPr>
        <w:tabs>
          <w:tab w:val="left" w:pos="4962"/>
        </w:tabs>
        <w:spacing w:line="360" w:lineRule="auto"/>
        <w:jc w:val="both"/>
        <w:rPr>
          <w:rFonts w:ascii="Palatino Linotype" w:eastAsia="Calibri" w:hAnsi="Palatino Linotype" w:cs="Tahoma"/>
          <w:iCs/>
          <w:sz w:val="22"/>
          <w:szCs w:val="22"/>
          <w:lang w:eastAsia="es-ES_tradnl"/>
        </w:rPr>
      </w:pPr>
      <w:r w:rsidRPr="006805D2">
        <w:rPr>
          <w:rFonts w:ascii="Palatino Linotype" w:eastAsia="Calibri" w:hAnsi="Palatino Linotype" w:cs="Tahoma"/>
          <w:iCs/>
          <w:sz w:val="22"/>
          <w:szCs w:val="22"/>
          <w:lang w:eastAsia="es-ES_tradnl"/>
        </w:rPr>
        <w:t>La divulgación de la información representa un riesgo real, demostrable e identificable de perjuicio significativo al interés público o a la seguridad nacional.</w:t>
      </w:r>
    </w:p>
    <w:p w14:paraId="2FA0DBC0" w14:textId="77777777" w:rsidR="004D4A5D" w:rsidRPr="006805D2" w:rsidRDefault="004D4A5D" w:rsidP="004D4A5D">
      <w:pPr>
        <w:numPr>
          <w:ilvl w:val="0"/>
          <w:numId w:val="9"/>
        </w:numPr>
        <w:tabs>
          <w:tab w:val="left" w:pos="4962"/>
        </w:tabs>
        <w:spacing w:line="360" w:lineRule="auto"/>
        <w:jc w:val="both"/>
        <w:rPr>
          <w:rFonts w:ascii="Palatino Linotype" w:eastAsia="Calibri" w:hAnsi="Palatino Linotype" w:cs="Tahoma"/>
          <w:iCs/>
          <w:sz w:val="22"/>
          <w:szCs w:val="22"/>
          <w:lang w:eastAsia="es-ES_tradnl"/>
        </w:rPr>
      </w:pPr>
      <w:r w:rsidRPr="006805D2">
        <w:rPr>
          <w:rFonts w:ascii="Palatino Linotype" w:eastAsia="Calibri" w:hAnsi="Palatino Linotype" w:cs="Tahoma"/>
          <w:iCs/>
          <w:sz w:val="22"/>
          <w:szCs w:val="22"/>
          <w:lang w:eastAsia="es-ES_tradnl"/>
        </w:rPr>
        <w:t>El riesgo de perjuicio supera el interés público general de que se difunda.</w:t>
      </w:r>
    </w:p>
    <w:p w14:paraId="491B23A6" w14:textId="77777777" w:rsidR="004D4A5D" w:rsidRPr="006805D2" w:rsidRDefault="004D4A5D" w:rsidP="004D4A5D">
      <w:pPr>
        <w:numPr>
          <w:ilvl w:val="0"/>
          <w:numId w:val="9"/>
        </w:numPr>
        <w:tabs>
          <w:tab w:val="left" w:pos="4962"/>
        </w:tabs>
        <w:spacing w:line="360" w:lineRule="auto"/>
        <w:jc w:val="both"/>
        <w:rPr>
          <w:rFonts w:ascii="Palatino Linotype" w:eastAsia="Calibri" w:hAnsi="Palatino Linotype" w:cs="Tahoma"/>
          <w:iCs/>
          <w:sz w:val="22"/>
          <w:szCs w:val="22"/>
          <w:lang w:eastAsia="es-ES_tradnl"/>
        </w:rPr>
      </w:pPr>
      <w:r w:rsidRPr="006805D2">
        <w:rPr>
          <w:rFonts w:ascii="Palatino Linotype" w:eastAsia="Calibri" w:hAnsi="Palatino Linotype" w:cs="Tahoma"/>
          <w:iCs/>
          <w:sz w:val="22"/>
          <w:szCs w:val="22"/>
          <w:lang w:eastAsia="es-ES_tradnl"/>
        </w:rPr>
        <w:lastRenderedPageBreak/>
        <w:t>Que la limitación se adecua al principio de proporcionalidad y representa el medio menos restrictivo disponible para evitar el perjuicio.</w:t>
      </w:r>
    </w:p>
    <w:p w14:paraId="31337B69" w14:textId="77777777" w:rsidR="004D4A5D" w:rsidRPr="006805D2" w:rsidRDefault="004D4A5D" w:rsidP="004D4A5D">
      <w:pPr>
        <w:spacing w:line="360" w:lineRule="auto"/>
        <w:jc w:val="both"/>
        <w:rPr>
          <w:rFonts w:ascii="Palatino Linotype" w:eastAsia="Calibri" w:hAnsi="Palatino Linotype" w:cs="Tahoma"/>
          <w:iCs/>
          <w:sz w:val="22"/>
          <w:szCs w:val="22"/>
          <w:lang w:eastAsia="es-ES_tradnl"/>
        </w:rPr>
      </w:pPr>
    </w:p>
    <w:p w14:paraId="1F123866" w14:textId="77777777" w:rsidR="004D4A5D" w:rsidRPr="006805D2" w:rsidRDefault="004D4A5D" w:rsidP="004D4A5D">
      <w:pPr>
        <w:spacing w:line="360" w:lineRule="auto"/>
        <w:jc w:val="both"/>
        <w:rPr>
          <w:rFonts w:ascii="Palatino Linotype" w:eastAsia="Calibri" w:hAnsi="Palatino Linotype" w:cs="Tahoma"/>
          <w:b/>
          <w:iCs/>
          <w:sz w:val="22"/>
          <w:szCs w:val="22"/>
          <w:lang w:val="es-ES" w:eastAsia="es-ES_tradnl"/>
        </w:rPr>
      </w:pPr>
      <w:r w:rsidRPr="006805D2">
        <w:rPr>
          <w:rFonts w:ascii="Palatino Linotype" w:eastAsia="Calibri" w:hAnsi="Palatino Linotype" w:cs="Tahoma"/>
          <w:bCs/>
          <w:sz w:val="22"/>
          <w:szCs w:val="22"/>
          <w:lang w:eastAsia="en-US"/>
        </w:rPr>
        <w:t xml:space="preserve">Por tales consideraciones, </w:t>
      </w:r>
      <w:r w:rsidRPr="006805D2">
        <w:rPr>
          <w:rFonts w:ascii="Palatino Linotype" w:eastAsia="Calibri" w:hAnsi="Palatino Linotype" w:cs="Tahoma"/>
          <w:b/>
          <w:bCs/>
          <w:sz w:val="22"/>
          <w:szCs w:val="22"/>
          <w:lang w:eastAsia="en-US"/>
        </w:rPr>
        <w:t xml:space="preserve">resulta procedente la reserva del nombre de los elementos operativos de la Dirección de Seguridad Ciudadana, en términos del artículo 140, fracción IV, de </w:t>
      </w:r>
      <w:r w:rsidRPr="006805D2">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190A5EF3" w14:textId="77777777" w:rsidR="004D4A5D" w:rsidRPr="006805D2" w:rsidRDefault="004D4A5D" w:rsidP="004D4A5D">
      <w:pPr>
        <w:spacing w:line="360" w:lineRule="auto"/>
        <w:jc w:val="both"/>
        <w:rPr>
          <w:rFonts w:ascii="Palatino Linotype" w:eastAsia="Calibri" w:hAnsi="Palatino Linotype" w:cs="Tahoma"/>
          <w:b/>
          <w:iCs/>
          <w:sz w:val="22"/>
          <w:szCs w:val="22"/>
          <w:lang w:val="es-ES" w:eastAsia="es-ES_tradnl"/>
        </w:rPr>
      </w:pPr>
    </w:p>
    <w:p w14:paraId="3DE9451A" w14:textId="77777777" w:rsidR="004D4A5D" w:rsidRPr="006805D2" w:rsidRDefault="004D4A5D" w:rsidP="004D4A5D">
      <w:pPr>
        <w:autoSpaceDE w:val="0"/>
        <w:autoSpaceDN w:val="0"/>
        <w:spacing w:line="360" w:lineRule="auto"/>
        <w:jc w:val="both"/>
        <w:rPr>
          <w:rFonts w:ascii="Palatino Linotype" w:hAnsi="Palatino Linotype" w:cs="Tahoma"/>
          <w:bCs/>
          <w:sz w:val="22"/>
          <w:szCs w:val="22"/>
        </w:rPr>
      </w:pPr>
      <w:r w:rsidRPr="006805D2">
        <w:rPr>
          <w:rFonts w:ascii="Palatino Linotype" w:eastAsia="Calibri" w:hAnsi="Palatino Linotype" w:cs="Tahoma"/>
          <w:iCs/>
          <w:sz w:val="22"/>
          <w:szCs w:val="22"/>
          <w:lang w:val="es-ES" w:eastAsia="es-ES_tradnl"/>
        </w:rPr>
        <w:t>Finalmente,</w:t>
      </w:r>
      <w:r w:rsidRPr="006805D2">
        <w:rPr>
          <w:rFonts w:ascii="Palatino Linotype" w:eastAsia="Calibri" w:hAnsi="Palatino Linotype" w:cs="Tahoma"/>
          <w:b/>
          <w:iCs/>
          <w:sz w:val="22"/>
          <w:szCs w:val="22"/>
          <w:lang w:val="es-ES" w:eastAsia="es-ES_tradnl"/>
        </w:rPr>
        <w:t xml:space="preserve"> </w:t>
      </w:r>
      <w:r w:rsidRPr="006805D2">
        <w:rPr>
          <w:rFonts w:ascii="Palatino Linotype" w:eastAsia="Calibri" w:hAnsi="Palatino Linotype" w:cs="Tahoma"/>
          <w:bCs/>
          <w:sz w:val="22"/>
          <w:szCs w:val="22"/>
          <w:lang w:eastAsia="en-US"/>
        </w:rPr>
        <w:t xml:space="preserve">respecto al plazo de reserva, el artículo 125 de la Ley de la materia, establece </w:t>
      </w:r>
      <w:r w:rsidRPr="006805D2">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6805D2">
        <w:rPr>
          <w:rFonts w:ascii="Palatino Linotype" w:hAnsi="Palatino Linotype" w:cs="Tahoma"/>
          <w:sz w:val="22"/>
          <w:szCs w:val="22"/>
        </w:rPr>
        <w:t>versiones públicas, deberá clasificar el nombre de los elementos operativos en materia de seguridad, y proporcionar sus remuneraciones, junto con su respectivo acuerdo de Clasificación.</w:t>
      </w:r>
    </w:p>
    <w:p w14:paraId="390CD275" w14:textId="77777777" w:rsidR="004D4A5D" w:rsidRPr="006805D2" w:rsidRDefault="004D4A5D" w:rsidP="004D4A5D">
      <w:pPr>
        <w:spacing w:line="360" w:lineRule="auto"/>
        <w:ind w:right="-93"/>
        <w:jc w:val="both"/>
        <w:rPr>
          <w:rFonts w:ascii="Palatino Linotype" w:eastAsia="Calibri" w:hAnsi="Palatino Linotype" w:cs="Tahoma"/>
          <w:bCs/>
          <w:iCs/>
          <w:sz w:val="22"/>
          <w:szCs w:val="22"/>
          <w:lang w:eastAsia="en-US"/>
        </w:rPr>
      </w:pPr>
    </w:p>
    <w:p w14:paraId="1B7CDCC8" w14:textId="77777777" w:rsidR="004D4A5D" w:rsidRPr="006805D2" w:rsidRDefault="004D4A5D" w:rsidP="00BB3882">
      <w:pPr>
        <w:spacing w:line="360" w:lineRule="auto"/>
        <w:contextualSpacing/>
        <w:jc w:val="both"/>
        <w:rPr>
          <w:rFonts w:ascii="Palatino Linotype" w:eastAsia="Calibri" w:hAnsi="Palatino Linotype" w:cs="Tahoma"/>
          <w:bCs/>
          <w:sz w:val="22"/>
          <w:szCs w:val="22"/>
          <w:lang w:eastAsia="en-US"/>
        </w:rPr>
      </w:pPr>
    </w:p>
    <w:p w14:paraId="4248CD59" w14:textId="77777777" w:rsidR="005D4660" w:rsidRPr="006805D2" w:rsidRDefault="005D4660" w:rsidP="000B54EE">
      <w:pPr>
        <w:pStyle w:val="Ttulo2"/>
        <w:spacing w:before="0" w:line="360" w:lineRule="auto"/>
        <w:rPr>
          <w:rFonts w:ascii="Palatino Linotype" w:hAnsi="Palatino Linotype"/>
          <w:b/>
          <w:color w:val="auto"/>
          <w:sz w:val="22"/>
          <w:szCs w:val="22"/>
        </w:rPr>
      </w:pPr>
      <w:bookmarkStart w:id="30" w:name="_Toc190857068"/>
      <w:bookmarkStart w:id="31" w:name="_Toc220595955"/>
      <w:r w:rsidRPr="006805D2">
        <w:rPr>
          <w:rFonts w:ascii="Palatino Linotype" w:hAnsi="Palatino Linotype"/>
          <w:b/>
          <w:color w:val="auto"/>
          <w:sz w:val="22"/>
          <w:szCs w:val="22"/>
        </w:rPr>
        <w:t>SEXTO. Decisión</w:t>
      </w:r>
      <w:bookmarkEnd w:id="30"/>
      <w:bookmarkEnd w:id="31"/>
    </w:p>
    <w:p w14:paraId="7DFAB6BB" w14:textId="77777777" w:rsidR="005D4660" w:rsidRPr="006805D2" w:rsidRDefault="005D4660" w:rsidP="000B54EE">
      <w:pPr>
        <w:spacing w:line="360" w:lineRule="auto"/>
        <w:ind w:right="-93"/>
        <w:jc w:val="both"/>
        <w:rPr>
          <w:rFonts w:ascii="Palatino Linotype" w:hAnsi="Palatino Linotype" w:cs="Tahoma"/>
          <w:b/>
          <w:sz w:val="22"/>
          <w:szCs w:val="22"/>
        </w:rPr>
      </w:pPr>
    </w:p>
    <w:p w14:paraId="16411740" w14:textId="17FB5F2A" w:rsidR="00BB3882" w:rsidRPr="006805D2" w:rsidRDefault="00BB3882" w:rsidP="00BB3882">
      <w:pPr>
        <w:spacing w:line="360" w:lineRule="auto"/>
        <w:ind w:right="-93"/>
        <w:jc w:val="both"/>
        <w:rPr>
          <w:rFonts w:ascii="Palatino Linotype" w:hAnsi="Palatino Linotype" w:cs="Tahoma"/>
          <w:sz w:val="22"/>
          <w:szCs w:val="22"/>
        </w:rPr>
      </w:pPr>
      <w:r w:rsidRPr="006805D2">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06503E" w:rsidRPr="006805D2">
        <w:rPr>
          <w:rFonts w:ascii="Palatino Linotype" w:hAnsi="Palatino Linotype" w:cs="Tahoma"/>
          <w:b/>
          <w:sz w:val="22"/>
          <w:szCs w:val="22"/>
        </w:rPr>
        <w:lastRenderedPageBreak/>
        <w:t>REVOCAR</w:t>
      </w:r>
      <w:r w:rsidRPr="006805D2">
        <w:rPr>
          <w:rFonts w:ascii="Palatino Linotype" w:hAnsi="Palatino Linotype" w:cs="Tahoma"/>
          <w:sz w:val="22"/>
          <w:szCs w:val="22"/>
        </w:rPr>
        <w:t xml:space="preserve"> la respuesta otorgada por el Sujeto Obligado a la solicitud de información </w:t>
      </w:r>
      <w:r w:rsidR="00E843BA" w:rsidRPr="006805D2">
        <w:rPr>
          <w:rFonts w:ascii="Palatino Linotype" w:hAnsi="Palatino Linotype" w:cs="Tahoma"/>
          <w:b/>
          <w:bCs/>
          <w:sz w:val="22"/>
          <w:szCs w:val="22"/>
        </w:rPr>
        <w:t>00317/VICARBO/IP/2025</w:t>
      </w:r>
      <w:r w:rsidRPr="006805D2">
        <w:rPr>
          <w:rFonts w:ascii="Palatino Linotype" w:hAnsi="Palatino Linotype" w:cs="Tahoma"/>
          <w:sz w:val="22"/>
          <w:szCs w:val="22"/>
        </w:rPr>
        <w:t xml:space="preserve">, por resultar fundadas las razones o motivos de inconformidad hechos valer por el Recurrente, en el Recurso de Revisión </w:t>
      </w:r>
      <w:r w:rsidR="00E843BA" w:rsidRPr="006805D2">
        <w:rPr>
          <w:rFonts w:ascii="Palatino Linotype" w:hAnsi="Palatino Linotype" w:cs="Tahoma"/>
          <w:b/>
          <w:sz w:val="22"/>
          <w:szCs w:val="22"/>
        </w:rPr>
        <w:t>14451</w:t>
      </w:r>
      <w:r w:rsidRPr="006805D2">
        <w:rPr>
          <w:rFonts w:ascii="Palatino Linotype" w:hAnsi="Palatino Linotype" w:cs="Tahoma"/>
          <w:b/>
          <w:sz w:val="22"/>
          <w:szCs w:val="22"/>
        </w:rPr>
        <w:t>/INFOEM/IP/RR/2025</w:t>
      </w:r>
      <w:r w:rsidRPr="006805D2">
        <w:rPr>
          <w:rFonts w:ascii="Palatino Linotype" w:hAnsi="Palatino Linotype" w:cs="Tahoma"/>
          <w:sz w:val="22"/>
          <w:szCs w:val="22"/>
        </w:rPr>
        <w:t xml:space="preserve">, en consecuencia procede </w:t>
      </w:r>
      <w:r w:rsidRPr="006805D2">
        <w:rPr>
          <w:rFonts w:ascii="Palatino Linotype" w:hAnsi="Palatino Linotype" w:cs="Tahoma"/>
          <w:b/>
          <w:sz w:val="22"/>
          <w:szCs w:val="22"/>
        </w:rPr>
        <w:t>ORDENAR</w:t>
      </w:r>
      <w:r w:rsidRPr="006805D2">
        <w:rPr>
          <w:rFonts w:ascii="Palatino Linotype" w:hAnsi="Palatino Linotype" w:cs="Tahoma"/>
          <w:sz w:val="22"/>
          <w:szCs w:val="22"/>
        </w:rPr>
        <w:t xml:space="preserve">, </w:t>
      </w:r>
      <w:r w:rsidR="00504E80" w:rsidRPr="006805D2">
        <w:rPr>
          <w:rFonts w:ascii="Palatino Linotype" w:hAnsi="Palatino Linotype" w:cs="Tahoma"/>
          <w:sz w:val="22"/>
          <w:szCs w:val="22"/>
        </w:rPr>
        <w:t>haga entrega de la información solicitada</w:t>
      </w:r>
      <w:r w:rsidRPr="006805D2">
        <w:rPr>
          <w:rFonts w:ascii="Palatino Linotype" w:hAnsi="Palatino Linotype" w:cs="Tahoma"/>
          <w:sz w:val="22"/>
          <w:szCs w:val="22"/>
        </w:rPr>
        <w:t>.</w:t>
      </w:r>
    </w:p>
    <w:p w14:paraId="5A25BAB4" w14:textId="77777777" w:rsidR="00BB3882" w:rsidRPr="006805D2" w:rsidRDefault="00BB3882" w:rsidP="00BB3882">
      <w:pPr>
        <w:spacing w:line="360" w:lineRule="auto"/>
        <w:ind w:right="-93"/>
        <w:jc w:val="both"/>
        <w:rPr>
          <w:rFonts w:ascii="Palatino Linotype" w:eastAsia="Palatino Linotype" w:hAnsi="Palatino Linotype" w:cs="Palatino Linotype"/>
          <w:sz w:val="22"/>
          <w:szCs w:val="22"/>
        </w:rPr>
      </w:pPr>
    </w:p>
    <w:p w14:paraId="74787E07" w14:textId="77777777" w:rsidR="00BB3882" w:rsidRPr="006805D2" w:rsidRDefault="00BB3882" w:rsidP="00BB3882">
      <w:pPr>
        <w:spacing w:line="360" w:lineRule="auto"/>
        <w:contextualSpacing/>
        <w:jc w:val="both"/>
        <w:rPr>
          <w:rFonts w:ascii="Palatino Linotype" w:eastAsia="Calibri" w:hAnsi="Palatino Linotype" w:cs="Tahoma"/>
          <w:b/>
          <w:bCs/>
          <w:iCs/>
          <w:sz w:val="22"/>
          <w:szCs w:val="22"/>
          <w:u w:val="single"/>
          <w:lang w:val="es-ES" w:eastAsia="es-ES_tradnl"/>
        </w:rPr>
      </w:pPr>
      <w:r w:rsidRPr="006805D2">
        <w:rPr>
          <w:rFonts w:ascii="Palatino Linotype" w:eastAsia="Calibri" w:hAnsi="Palatino Linotype" w:cs="Tahoma"/>
          <w:b/>
          <w:bCs/>
          <w:iCs/>
          <w:sz w:val="22"/>
          <w:szCs w:val="22"/>
          <w:u w:val="single"/>
          <w:lang w:val="es-ES" w:eastAsia="es-ES_tradnl"/>
        </w:rPr>
        <w:t>Términos de la Resolución para el Recurrente:</w:t>
      </w:r>
    </w:p>
    <w:p w14:paraId="4D87CF4C" w14:textId="77777777" w:rsidR="00BB3882" w:rsidRPr="006805D2" w:rsidRDefault="00BB3882" w:rsidP="00BB3882">
      <w:pPr>
        <w:spacing w:line="360" w:lineRule="auto"/>
        <w:jc w:val="both"/>
        <w:rPr>
          <w:rFonts w:ascii="Palatino Linotype" w:eastAsia="Calibri" w:hAnsi="Palatino Linotype" w:cs="Tahoma"/>
          <w:iCs/>
          <w:sz w:val="22"/>
          <w:szCs w:val="22"/>
          <w:lang w:eastAsia="es-ES_tradnl"/>
        </w:rPr>
      </w:pPr>
    </w:p>
    <w:p w14:paraId="6E288114" w14:textId="77777777" w:rsidR="00BB3882" w:rsidRPr="006805D2" w:rsidRDefault="00BB3882" w:rsidP="00BB3882">
      <w:pPr>
        <w:spacing w:line="360" w:lineRule="auto"/>
        <w:jc w:val="both"/>
        <w:rPr>
          <w:rFonts w:ascii="Palatino Linotype" w:hAnsi="Palatino Linotype" w:cs="Tahoma"/>
          <w:bCs/>
          <w:sz w:val="22"/>
          <w:szCs w:val="22"/>
          <w:u w:val="single"/>
        </w:rPr>
      </w:pPr>
      <w:r w:rsidRPr="006805D2">
        <w:rPr>
          <w:rFonts w:ascii="Palatino Linotype" w:hAnsi="Palatino Linotype" w:cs="Tahoma"/>
          <w:bCs/>
          <w:sz w:val="22"/>
          <w:szCs w:val="22"/>
          <w:u w:val="single"/>
        </w:rPr>
        <w:t>Se hace del conocimiento del Recurrente la determinación de este Organismo Garante a su inconformidad:</w:t>
      </w:r>
    </w:p>
    <w:p w14:paraId="22ECE0BE" w14:textId="77777777" w:rsidR="00BB3882" w:rsidRPr="006805D2" w:rsidRDefault="00BB3882" w:rsidP="00BB3882">
      <w:pPr>
        <w:spacing w:line="360" w:lineRule="auto"/>
        <w:jc w:val="both"/>
        <w:rPr>
          <w:rFonts w:ascii="Palatino Linotype" w:hAnsi="Palatino Linotype" w:cs="Tahoma"/>
          <w:bCs/>
          <w:sz w:val="22"/>
          <w:szCs w:val="22"/>
          <w:u w:val="single"/>
        </w:rPr>
      </w:pPr>
    </w:p>
    <w:p w14:paraId="747691E4" w14:textId="77777777" w:rsidR="00BB3882" w:rsidRPr="006805D2" w:rsidRDefault="00BB3882" w:rsidP="00BB3882">
      <w:pPr>
        <w:spacing w:line="360" w:lineRule="auto"/>
        <w:jc w:val="both"/>
        <w:rPr>
          <w:rFonts w:ascii="Palatino Linotype" w:hAnsi="Palatino Linotype" w:cs="Tahoma"/>
          <w:bCs/>
          <w:sz w:val="22"/>
          <w:szCs w:val="22"/>
          <w:u w:val="single"/>
        </w:rPr>
      </w:pPr>
      <w:r w:rsidRPr="006805D2">
        <w:rPr>
          <w:rFonts w:ascii="Palatino Linotype" w:hAnsi="Palatino Linotype" w:cs="Tahoma"/>
          <w:bCs/>
          <w:sz w:val="22"/>
          <w:szCs w:val="22"/>
          <w:u w:val="single"/>
        </w:rPr>
        <w:t xml:space="preserve">Este Instituto, determinó </w:t>
      </w:r>
      <w:r w:rsidR="0006503E" w:rsidRPr="006805D2">
        <w:rPr>
          <w:rFonts w:ascii="Palatino Linotype" w:hAnsi="Palatino Linotype" w:cs="Tahoma"/>
          <w:bCs/>
          <w:sz w:val="22"/>
          <w:szCs w:val="22"/>
          <w:u w:val="single"/>
        </w:rPr>
        <w:t>revocar</w:t>
      </w:r>
      <w:r w:rsidRPr="006805D2">
        <w:rPr>
          <w:rFonts w:ascii="Palatino Linotype" w:hAnsi="Palatino Linotype" w:cs="Tahoma"/>
          <w:bCs/>
          <w:sz w:val="22"/>
          <w:szCs w:val="22"/>
          <w:u w:val="single"/>
        </w:rPr>
        <w:t xml:space="preserve"> la respuesta que le entregó el Sujeto Obligado a su solicitud de acceso, toda vez que el Ayuntamiento no </w:t>
      </w:r>
      <w:r w:rsidR="0006503E" w:rsidRPr="006805D2">
        <w:rPr>
          <w:rFonts w:ascii="Palatino Linotype" w:hAnsi="Palatino Linotype" w:cs="Tahoma"/>
          <w:bCs/>
          <w:sz w:val="22"/>
          <w:szCs w:val="22"/>
          <w:u w:val="single"/>
        </w:rPr>
        <w:t xml:space="preserve">entregó la información </w:t>
      </w:r>
      <w:r w:rsidR="00504E80" w:rsidRPr="006805D2">
        <w:rPr>
          <w:rFonts w:ascii="Palatino Linotype" w:hAnsi="Palatino Linotype" w:cs="Tahoma"/>
          <w:bCs/>
          <w:sz w:val="22"/>
          <w:szCs w:val="22"/>
          <w:u w:val="single"/>
        </w:rPr>
        <w:t>que es de su interés y cuenta con la obligación de generarla.</w:t>
      </w:r>
    </w:p>
    <w:p w14:paraId="03C7D2DD" w14:textId="77777777" w:rsidR="00BB3882" w:rsidRPr="006805D2" w:rsidRDefault="00BB3882" w:rsidP="00BB3882">
      <w:pPr>
        <w:spacing w:line="360" w:lineRule="auto"/>
        <w:jc w:val="both"/>
        <w:rPr>
          <w:rFonts w:ascii="Palatino Linotype" w:hAnsi="Palatino Linotype" w:cs="Tahoma"/>
          <w:bCs/>
          <w:sz w:val="22"/>
          <w:szCs w:val="22"/>
          <w:u w:val="single"/>
        </w:rPr>
      </w:pPr>
    </w:p>
    <w:p w14:paraId="23F125A7" w14:textId="77777777" w:rsidR="00BB3882" w:rsidRPr="006805D2" w:rsidRDefault="00BB3882" w:rsidP="00BB3882">
      <w:pPr>
        <w:spacing w:line="360" w:lineRule="auto"/>
        <w:ind w:right="-93"/>
        <w:jc w:val="both"/>
        <w:rPr>
          <w:rFonts w:ascii="Palatino Linotype" w:hAnsi="Palatino Linotype" w:cs="Tahoma"/>
          <w:bCs/>
          <w:sz w:val="22"/>
          <w:szCs w:val="22"/>
          <w:u w:val="single"/>
        </w:rPr>
      </w:pPr>
      <w:r w:rsidRPr="006805D2">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753E4870" w14:textId="77777777" w:rsidR="0006503E" w:rsidRPr="006805D2" w:rsidRDefault="0006503E" w:rsidP="00BB3882">
      <w:pPr>
        <w:spacing w:line="360" w:lineRule="auto"/>
        <w:ind w:right="-93"/>
        <w:jc w:val="both"/>
        <w:rPr>
          <w:rFonts w:ascii="Palatino Linotype" w:hAnsi="Palatino Linotype" w:cs="Tahoma"/>
          <w:bCs/>
          <w:sz w:val="22"/>
          <w:szCs w:val="22"/>
          <w:u w:val="single"/>
        </w:rPr>
      </w:pPr>
    </w:p>
    <w:p w14:paraId="716DE98B" w14:textId="77777777" w:rsidR="005D4660" w:rsidRPr="006805D2" w:rsidRDefault="005D4660" w:rsidP="000B54EE">
      <w:pPr>
        <w:pStyle w:val="Ttulo1"/>
        <w:spacing w:before="0" w:line="360" w:lineRule="auto"/>
        <w:jc w:val="center"/>
        <w:rPr>
          <w:rFonts w:ascii="Palatino Linotype" w:eastAsia="Calibri" w:hAnsi="Palatino Linotype"/>
          <w:b/>
          <w:color w:val="auto"/>
          <w:sz w:val="22"/>
          <w:szCs w:val="22"/>
          <w:lang w:eastAsia="en-US"/>
        </w:rPr>
      </w:pPr>
      <w:bookmarkStart w:id="32" w:name="_Toc190857069"/>
      <w:bookmarkStart w:id="33" w:name="_Toc220595956"/>
      <w:r w:rsidRPr="006805D2">
        <w:rPr>
          <w:rFonts w:ascii="Palatino Linotype" w:eastAsia="Calibri" w:hAnsi="Palatino Linotype"/>
          <w:b/>
          <w:color w:val="auto"/>
          <w:sz w:val="22"/>
          <w:szCs w:val="22"/>
          <w:lang w:eastAsia="en-US"/>
        </w:rPr>
        <w:t>R E S U E L V E</w:t>
      </w:r>
      <w:bookmarkEnd w:id="32"/>
      <w:bookmarkEnd w:id="33"/>
    </w:p>
    <w:p w14:paraId="20A57940" w14:textId="77777777" w:rsidR="005D4660" w:rsidRPr="006805D2" w:rsidRDefault="005D4660" w:rsidP="000B54EE">
      <w:pPr>
        <w:spacing w:line="360" w:lineRule="auto"/>
        <w:jc w:val="both"/>
        <w:rPr>
          <w:rFonts w:ascii="Palatino Linotype" w:hAnsi="Palatino Linotype" w:cs="Tahoma"/>
          <w:b/>
          <w:bCs/>
          <w:sz w:val="22"/>
          <w:szCs w:val="22"/>
        </w:rPr>
      </w:pPr>
    </w:p>
    <w:p w14:paraId="07295A8E" w14:textId="497AF6F7" w:rsidR="005D4660" w:rsidRPr="006805D2" w:rsidRDefault="005D4660" w:rsidP="000B54EE">
      <w:pPr>
        <w:spacing w:line="360" w:lineRule="auto"/>
        <w:contextualSpacing/>
        <w:jc w:val="both"/>
        <w:rPr>
          <w:rFonts w:ascii="Palatino Linotype" w:eastAsia="Calibri" w:hAnsi="Palatino Linotype" w:cs="Tahoma"/>
          <w:bCs/>
          <w:sz w:val="22"/>
          <w:szCs w:val="22"/>
          <w:lang w:eastAsia="en-US"/>
        </w:rPr>
      </w:pPr>
      <w:r w:rsidRPr="006805D2">
        <w:rPr>
          <w:rFonts w:ascii="Palatino Linotype" w:hAnsi="Palatino Linotype" w:cs="Tahoma"/>
          <w:b/>
          <w:bCs/>
          <w:sz w:val="22"/>
          <w:szCs w:val="22"/>
        </w:rPr>
        <w:t xml:space="preserve">PRIMERO. </w:t>
      </w:r>
      <w:r w:rsidRPr="006805D2">
        <w:rPr>
          <w:rFonts w:ascii="Palatino Linotype" w:hAnsi="Palatino Linotype" w:cs="Tahoma"/>
          <w:bCs/>
          <w:sz w:val="22"/>
          <w:szCs w:val="22"/>
        </w:rPr>
        <w:t xml:space="preserve">Se </w:t>
      </w:r>
      <w:r w:rsidR="0006503E" w:rsidRPr="006805D2">
        <w:rPr>
          <w:rFonts w:ascii="Palatino Linotype" w:hAnsi="Palatino Linotype" w:cs="Tahoma"/>
          <w:b/>
          <w:bCs/>
          <w:sz w:val="22"/>
          <w:szCs w:val="22"/>
        </w:rPr>
        <w:t>REVOCA</w:t>
      </w:r>
      <w:r w:rsidRPr="006805D2">
        <w:rPr>
          <w:rFonts w:ascii="Palatino Linotype" w:hAnsi="Palatino Linotype" w:cs="Tahoma"/>
          <w:bCs/>
          <w:sz w:val="22"/>
          <w:szCs w:val="22"/>
        </w:rPr>
        <w:t xml:space="preserve"> la respuesta entregada por el </w:t>
      </w:r>
      <w:r w:rsidR="0018340C" w:rsidRPr="006805D2">
        <w:rPr>
          <w:rFonts w:ascii="Palatino Linotype" w:hAnsi="Palatino Linotype" w:cs="Tahoma"/>
          <w:sz w:val="22"/>
          <w:szCs w:val="22"/>
        </w:rPr>
        <w:t>Ayuntamiento de Villa del Carbón</w:t>
      </w:r>
      <w:r w:rsidRPr="006805D2">
        <w:rPr>
          <w:rFonts w:ascii="Palatino Linotype" w:hAnsi="Palatino Linotype" w:cs="Tahoma"/>
          <w:sz w:val="22"/>
          <w:szCs w:val="22"/>
        </w:rPr>
        <w:t xml:space="preserve"> </w:t>
      </w:r>
      <w:r w:rsidRPr="006805D2">
        <w:rPr>
          <w:rFonts w:ascii="Palatino Linotype" w:eastAsia="Calibri" w:hAnsi="Palatino Linotype" w:cs="Tahoma"/>
          <w:sz w:val="22"/>
          <w:szCs w:val="22"/>
          <w:lang w:eastAsia="en-US"/>
        </w:rPr>
        <w:t>a</w:t>
      </w:r>
      <w:r w:rsidRPr="006805D2">
        <w:rPr>
          <w:rFonts w:ascii="Palatino Linotype" w:hAnsi="Palatino Linotype" w:cs="Tahoma"/>
          <w:sz w:val="22"/>
          <w:szCs w:val="22"/>
        </w:rPr>
        <w:t xml:space="preserve"> la solicitud de información </w:t>
      </w:r>
      <w:r w:rsidR="00E843BA" w:rsidRPr="006805D2">
        <w:rPr>
          <w:rFonts w:ascii="Palatino Linotype" w:hAnsi="Palatino Linotype"/>
          <w:sz w:val="22"/>
          <w:szCs w:val="22"/>
        </w:rPr>
        <w:t xml:space="preserve">00317/VICARBO/IP/2025 </w:t>
      </w:r>
      <w:r w:rsidRPr="006805D2">
        <w:rPr>
          <w:rFonts w:ascii="Palatino Linotype" w:hAnsi="Palatino Linotype"/>
          <w:sz w:val="22"/>
          <w:szCs w:val="22"/>
        </w:rPr>
        <w:t>p</w:t>
      </w:r>
      <w:r w:rsidRPr="006805D2">
        <w:rPr>
          <w:rFonts w:ascii="Palatino Linotype" w:hAnsi="Palatino Linotype"/>
          <w:bCs/>
          <w:sz w:val="22"/>
          <w:szCs w:val="22"/>
        </w:rPr>
        <w:t>or resultar</w:t>
      </w:r>
      <w:r w:rsidR="006E6B62" w:rsidRPr="006805D2">
        <w:rPr>
          <w:rFonts w:ascii="Palatino Linotype" w:hAnsi="Palatino Linotype"/>
          <w:bCs/>
          <w:sz w:val="22"/>
          <w:szCs w:val="22"/>
        </w:rPr>
        <w:t xml:space="preserve"> </w:t>
      </w:r>
      <w:r w:rsidRPr="006805D2">
        <w:rPr>
          <w:rFonts w:ascii="Palatino Linotype" w:hAnsi="Palatino Linotype"/>
          <w:sz w:val="22"/>
          <w:szCs w:val="22"/>
        </w:rPr>
        <w:t>fundadas</w:t>
      </w:r>
      <w:r w:rsidRPr="006805D2">
        <w:rPr>
          <w:rFonts w:ascii="Palatino Linotype" w:hAnsi="Palatino Linotype" w:cs="Tahoma"/>
          <w:bCs/>
          <w:sz w:val="22"/>
          <w:szCs w:val="22"/>
        </w:rPr>
        <w:t xml:space="preserve"> </w:t>
      </w:r>
      <w:r w:rsidRPr="006805D2">
        <w:rPr>
          <w:rFonts w:ascii="Palatino Linotype" w:eastAsia="Calibri" w:hAnsi="Palatino Linotype" w:cs="Tahoma"/>
          <w:bCs/>
          <w:sz w:val="22"/>
          <w:szCs w:val="22"/>
          <w:lang w:eastAsia="en-US"/>
        </w:rPr>
        <w:t xml:space="preserve">las razones o motivos de inconformidad hechos valer por el Recurrente en el Recurso de Revisión </w:t>
      </w:r>
      <w:r w:rsidR="00504E80" w:rsidRPr="006805D2">
        <w:rPr>
          <w:rFonts w:ascii="Palatino Linotype" w:hAnsi="Palatino Linotype" w:cs="Tahoma"/>
          <w:color w:val="0D0D0D" w:themeColor="text1" w:themeTint="F2"/>
          <w:sz w:val="22"/>
          <w:szCs w:val="22"/>
        </w:rPr>
        <w:t>144</w:t>
      </w:r>
      <w:r w:rsidR="00E843BA" w:rsidRPr="006805D2">
        <w:rPr>
          <w:rFonts w:ascii="Palatino Linotype" w:hAnsi="Palatino Linotype" w:cs="Tahoma"/>
          <w:color w:val="0D0D0D" w:themeColor="text1" w:themeTint="F2"/>
          <w:sz w:val="22"/>
          <w:szCs w:val="22"/>
        </w:rPr>
        <w:t>51</w:t>
      </w:r>
      <w:r w:rsidRPr="006805D2">
        <w:rPr>
          <w:rFonts w:ascii="Palatino Linotype" w:hAnsi="Palatino Linotype" w:cs="Tahoma"/>
          <w:color w:val="0D0D0D" w:themeColor="text1" w:themeTint="F2"/>
          <w:sz w:val="22"/>
          <w:szCs w:val="22"/>
        </w:rPr>
        <w:t>/INFOEM/IP/RR/2025</w:t>
      </w:r>
      <w:r w:rsidRPr="006805D2">
        <w:rPr>
          <w:rFonts w:ascii="Palatino Linotype" w:eastAsia="Calibri" w:hAnsi="Palatino Linotype" w:cs="Tahoma"/>
          <w:sz w:val="22"/>
          <w:szCs w:val="22"/>
          <w:lang w:eastAsia="en-US"/>
        </w:rPr>
        <w:t>,</w:t>
      </w:r>
      <w:r w:rsidRPr="006805D2">
        <w:rPr>
          <w:rFonts w:ascii="Palatino Linotype" w:eastAsia="Calibri" w:hAnsi="Palatino Linotype" w:cs="Tahoma"/>
          <w:bCs/>
          <w:sz w:val="22"/>
          <w:szCs w:val="22"/>
          <w:lang w:eastAsia="en-US"/>
        </w:rPr>
        <w:t xml:space="preserve"> en términos de los considerandos QUINTO y SEXTO de la presente Resolución.</w:t>
      </w:r>
    </w:p>
    <w:p w14:paraId="5883A5F1" w14:textId="77777777" w:rsidR="0012359E" w:rsidRPr="006805D2" w:rsidRDefault="0012359E" w:rsidP="000B54EE">
      <w:pPr>
        <w:spacing w:line="360" w:lineRule="auto"/>
        <w:contextualSpacing/>
        <w:jc w:val="both"/>
        <w:rPr>
          <w:rFonts w:ascii="Palatino Linotype" w:eastAsia="Calibri" w:hAnsi="Palatino Linotype" w:cs="Tahoma"/>
          <w:bCs/>
          <w:sz w:val="22"/>
          <w:szCs w:val="22"/>
          <w:lang w:eastAsia="en-US"/>
        </w:rPr>
      </w:pPr>
    </w:p>
    <w:p w14:paraId="00FE91F5" w14:textId="172CD896" w:rsidR="00BC18F8" w:rsidRPr="006805D2" w:rsidRDefault="005D4660" w:rsidP="0006503E">
      <w:pPr>
        <w:spacing w:line="360" w:lineRule="auto"/>
        <w:ind w:right="-93"/>
        <w:jc w:val="both"/>
        <w:rPr>
          <w:rFonts w:ascii="Palatino Linotype" w:hAnsi="Palatino Linotype" w:cs="Tahoma"/>
          <w:sz w:val="22"/>
          <w:szCs w:val="22"/>
        </w:rPr>
      </w:pPr>
      <w:r w:rsidRPr="006805D2">
        <w:rPr>
          <w:rFonts w:ascii="Palatino Linotype" w:hAnsi="Palatino Linotype" w:cs="Tahoma"/>
          <w:b/>
          <w:bCs/>
          <w:sz w:val="22"/>
          <w:szCs w:val="22"/>
        </w:rPr>
        <w:lastRenderedPageBreak/>
        <w:t xml:space="preserve">SEGUNDO. </w:t>
      </w:r>
      <w:r w:rsidRPr="006805D2">
        <w:rPr>
          <w:rFonts w:ascii="Palatino Linotype" w:hAnsi="Palatino Linotype" w:cs="Tahoma"/>
          <w:sz w:val="22"/>
          <w:szCs w:val="22"/>
        </w:rPr>
        <w:t xml:space="preserve">Se </w:t>
      </w:r>
      <w:r w:rsidRPr="006805D2">
        <w:rPr>
          <w:rFonts w:ascii="Palatino Linotype" w:hAnsi="Palatino Linotype" w:cs="Tahoma"/>
          <w:b/>
          <w:sz w:val="22"/>
          <w:szCs w:val="22"/>
        </w:rPr>
        <w:t xml:space="preserve">ORDENA </w:t>
      </w:r>
      <w:r w:rsidRPr="006805D2">
        <w:rPr>
          <w:rFonts w:ascii="Palatino Linotype" w:hAnsi="Palatino Linotype" w:cs="Tahoma"/>
          <w:sz w:val="22"/>
          <w:szCs w:val="22"/>
        </w:rPr>
        <w:t xml:space="preserve">al </w:t>
      </w:r>
      <w:r w:rsidR="0018340C" w:rsidRPr="006805D2">
        <w:rPr>
          <w:rFonts w:ascii="Palatino Linotype" w:eastAsia="Calibri" w:hAnsi="Palatino Linotype" w:cs="Tahoma"/>
          <w:sz w:val="22"/>
          <w:szCs w:val="22"/>
          <w:lang w:eastAsia="en-US"/>
        </w:rPr>
        <w:t>Ayuntamiento de Villa del Carbón</w:t>
      </w:r>
      <w:r w:rsidRPr="006805D2">
        <w:rPr>
          <w:rFonts w:ascii="Palatino Linotype" w:hAnsi="Palatino Linotype" w:cs="Tahoma"/>
          <w:sz w:val="22"/>
          <w:szCs w:val="22"/>
        </w:rPr>
        <w:t xml:space="preserve">, </w:t>
      </w:r>
      <w:r w:rsidR="00A90050" w:rsidRPr="006805D2">
        <w:rPr>
          <w:rFonts w:ascii="Palatino Linotype" w:hAnsi="Palatino Linotype" w:cs="Tahoma"/>
          <w:sz w:val="22"/>
          <w:szCs w:val="22"/>
        </w:rPr>
        <w:t>a efecto de que</w:t>
      </w:r>
      <w:r w:rsidR="00BC18F8" w:rsidRPr="006805D2">
        <w:rPr>
          <w:rFonts w:ascii="Palatino Linotype" w:hAnsi="Palatino Linotype" w:cs="Tahoma"/>
          <w:sz w:val="22"/>
          <w:szCs w:val="22"/>
        </w:rPr>
        <w:t xml:space="preserve"> previa búsqueda exhaustiva y razonable en los archivos de las unidades administrativas competentes</w:t>
      </w:r>
      <w:r w:rsidR="00A90050" w:rsidRPr="006805D2">
        <w:rPr>
          <w:rFonts w:ascii="Palatino Linotype" w:hAnsi="Palatino Linotype" w:cs="Tahoma"/>
          <w:sz w:val="22"/>
          <w:szCs w:val="22"/>
        </w:rPr>
        <w:t xml:space="preserve">, </w:t>
      </w:r>
      <w:r w:rsidR="00504E80" w:rsidRPr="006805D2">
        <w:rPr>
          <w:rFonts w:ascii="Palatino Linotype" w:hAnsi="Palatino Linotype" w:cs="Tahoma"/>
          <w:sz w:val="22"/>
          <w:szCs w:val="22"/>
        </w:rPr>
        <w:t>haga entrega a través del SAIMEX, de ser procedente en versión pública</w:t>
      </w:r>
      <w:r w:rsidR="00BC18F8" w:rsidRPr="006805D2">
        <w:rPr>
          <w:rFonts w:ascii="Palatino Linotype" w:hAnsi="Palatino Linotype" w:cs="Tahoma"/>
          <w:sz w:val="22"/>
          <w:szCs w:val="22"/>
        </w:rPr>
        <w:t>,</w:t>
      </w:r>
      <w:r w:rsidR="00E843BA" w:rsidRPr="006805D2">
        <w:rPr>
          <w:rFonts w:ascii="Palatino Linotype" w:hAnsi="Palatino Linotype" w:cs="Tahoma"/>
          <w:sz w:val="22"/>
          <w:szCs w:val="22"/>
        </w:rPr>
        <w:t xml:space="preserve"> </w:t>
      </w:r>
      <w:r w:rsidR="00504E80" w:rsidRPr="006805D2">
        <w:rPr>
          <w:rFonts w:ascii="Palatino Linotype" w:hAnsi="Palatino Linotype" w:cs="Tahoma"/>
          <w:sz w:val="22"/>
          <w:szCs w:val="22"/>
        </w:rPr>
        <w:t>l</w:t>
      </w:r>
      <w:r w:rsidR="00E843BA" w:rsidRPr="006805D2">
        <w:rPr>
          <w:rFonts w:ascii="Palatino Linotype" w:hAnsi="Palatino Linotype" w:cs="Tahoma"/>
          <w:sz w:val="22"/>
          <w:szCs w:val="22"/>
        </w:rPr>
        <w:t xml:space="preserve">os documentos en </w:t>
      </w:r>
      <w:r w:rsidR="00BC18F8" w:rsidRPr="006805D2">
        <w:rPr>
          <w:rFonts w:ascii="Palatino Linotype" w:hAnsi="Palatino Linotype" w:cs="Tahoma"/>
          <w:sz w:val="22"/>
          <w:szCs w:val="22"/>
        </w:rPr>
        <w:t>donde</w:t>
      </w:r>
      <w:r w:rsidR="00E843BA" w:rsidRPr="006805D2">
        <w:rPr>
          <w:rFonts w:ascii="Palatino Linotype" w:hAnsi="Palatino Linotype" w:cs="Tahoma"/>
          <w:sz w:val="22"/>
          <w:szCs w:val="22"/>
        </w:rPr>
        <w:t xml:space="preserve"> conste el nombre</w:t>
      </w:r>
      <w:r w:rsidR="00BC18F8" w:rsidRPr="006805D2">
        <w:rPr>
          <w:rFonts w:ascii="Palatino Linotype" w:hAnsi="Palatino Linotype" w:cs="Tahoma"/>
          <w:sz w:val="22"/>
          <w:szCs w:val="22"/>
        </w:rPr>
        <w:t>, puesto o cargo y sueldo mensual neto vigente, de todos los servidores públicos en funciones al nueve de diciembre de dos mil veinticinco.</w:t>
      </w:r>
    </w:p>
    <w:p w14:paraId="0ECAF2D4" w14:textId="77777777" w:rsidR="0012359E" w:rsidRPr="006805D2" w:rsidRDefault="0012359E" w:rsidP="00A90050">
      <w:pPr>
        <w:spacing w:line="360" w:lineRule="auto"/>
        <w:ind w:right="-93"/>
        <w:jc w:val="both"/>
        <w:rPr>
          <w:rFonts w:ascii="Palatino Linotype" w:eastAsia="Calibri" w:hAnsi="Palatino Linotype" w:cs="Tahoma"/>
          <w:bCs/>
          <w:iCs/>
          <w:sz w:val="22"/>
          <w:szCs w:val="22"/>
          <w:lang w:eastAsia="en-US"/>
        </w:rPr>
      </w:pPr>
    </w:p>
    <w:p w14:paraId="50203FF9" w14:textId="77777777" w:rsidR="00BC18F8" w:rsidRPr="006805D2" w:rsidRDefault="00BC18F8" w:rsidP="00BC18F8">
      <w:pPr>
        <w:spacing w:line="360" w:lineRule="auto"/>
        <w:jc w:val="both"/>
        <w:rPr>
          <w:rFonts w:ascii="Palatino Linotype" w:eastAsia="Palatino Linotype" w:hAnsi="Palatino Linotype" w:cs="Palatino Linotype"/>
          <w:sz w:val="22"/>
          <w:szCs w:val="22"/>
          <w:lang w:eastAsia="es-MX"/>
        </w:rPr>
      </w:pPr>
      <w:r w:rsidRPr="006805D2">
        <w:rPr>
          <w:rFonts w:ascii="Palatino Linotype" w:eastAsia="Palatino Linotype" w:hAnsi="Palatino Linotype" w:cs="Palatino Linotype"/>
          <w:sz w:val="22"/>
          <w:szCs w:val="22"/>
        </w:rPr>
        <w:t>Además, 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7DC7DB81" w14:textId="77777777" w:rsidR="00BC18F8" w:rsidRPr="006805D2" w:rsidRDefault="00BC18F8" w:rsidP="00A90050">
      <w:pPr>
        <w:spacing w:line="360" w:lineRule="auto"/>
        <w:ind w:right="-93"/>
        <w:jc w:val="both"/>
        <w:rPr>
          <w:rFonts w:ascii="Palatino Linotype" w:eastAsia="Calibri" w:hAnsi="Palatino Linotype" w:cs="Tahoma"/>
          <w:bCs/>
          <w:iCs/>
          <w:sz w:val="22"/>
          <w:szCs w:val="22"/>
          <w:lang w:eastAsia="en-US"/>
        </w:rPr>
      </w:pPr>
    </w:p>
    <w:p w14:paraId="1AD259A7" w14:textId="77777777" w:rsidR="005D4660" w:rsidRPr="006805D2" w:rsidRDefault="005D4660" w:rsidP="000B54EE">
      <w:pPr>
        <w:spacing w:line="360" w:lineRule="auto"/>
        <w:contextualSpacing/>
        <w:jc w:val="both"/>
        <w:rPr>
          <w:rFonts w:ascii="Palatino Linotype" w:eastAsia="Calibri" w:hAnsi="Palatino Linotype" w:cs="Tahoma"/>
          <w:bCs/>
          <w:sz w:val="22"/>
          <w:szCs w:val="22"/>
          <w:lang w:eastAsia="en-US"/>
        </w:rPr>
      </w:pPr>
      <w:r w:rsidRPr="006805D2">
        <w:rPr>
          <w:rFonts w:ascii="Palatino Linotype" w:eastAsia="Calibri" w:hAnsi="Palatino Linotype" w:cs="Tahoma"/>
          <w:b/>
          <w:bCs/>
          <w:sz w:val="22"/>
          <w:szCs w:val="22"/>
          <w:lang w:eastAsia="en-US"/>
        </w:rPr>
        <w:t xml:space="preserve">TERCERO. NOTIFÍQUESE POR SAIMEX </w:t>
      </w:r>
      <w:r w:rsidRPr="006805D2">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12C61CB5" w14:textId="77777777" w:rsidR="005D4660" w:rsidRPr="006805D2" w:rsidRDefault="005D4660" w:rsidP="000B54EE">
      <w:pPr>
        <w:spacing w:line="360" w:lineRule="auto"/>
        <w:contextualSpacing/>
        <w:jc w:val="both"/>
        <w:rPr>
          <w:rFonts w:ascii="Palatino Linotype" w:hAnsi="Palatino Linotype" w:cs="Tahoma"/>
          <w:sz w:val="22"/>
          <w:szCs w:val="22"/>
        </w:rPr>
      </w:pPr>
    </w:p>
    <w:p w14:paraId="554818B4" w14:textId="77777777" w:rsidR="005D4660" w:rsidRPr="006805D2" w:rsidRDefault="005D4660" w:rsidP="000B54EE">
      <w:pPr>
        <w:spacing w:line="360" w:lineRule="auto"/>
        <w:contextualSpacing/>
        <w:jc w:val="both"/>
        <w:rPr>
          <w:rFonts w:ascii="Palatino Linotype" w:hAnsi="Palatino Linotype" w:cs="Tahoma"/>
          <w:iCs/>
          <w:sz w:val="22"/>
          <w:szCs w:val="22"/>
        </w:rPr>
      </w:pPr>
      <w:r w:rsidRPr="006805D2">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9E8A022" w14:textId="77777777" w:rsidR="005D4660" w:rsidRPr="006805D2" w:rsidRDefault="005D4660" w:rsidP="000B54EE">
      <w:pPr>
        <w:spacing w:line="360" w:lineRule="auto"/>
        <w:contextualSpacing/>
        <w:jc w:val="both"/>
        <w:rPr>
          <w:rFonts w:ascii="Palatino Linotype" w:eastAsia="Calibri" w:hAnsi="Palatino Linotype" w:cs="Tahoma"/>
          <w:color w:val="000000"/>
          <w:sz w:val="22"/>
          <w:szCs w:val="22"/>
          <w:lang w:val="es-ES" w:eastAsia="es-MX"/>
        </w:rPr>
      </w:pPr>
    </w:p>
    <w:p w14:paraId="7C542405" w14:textId="77777777" w:rsidR="005D4660" w:rsidRPr="006805D2" w:rsidRDefault="005D4660" w:rsidP="000B54EE">
      <w:pPr>
        <w:spacing w:line="360" w:lineRule="auto"/>
        <w:jc w:val="both"/>
        <w:rPr>
          <w:rFonts w:ascii="Palatino Linotype" w:hAnsi="Palatino Linotype" w:cs="Tahoma"/>
          <w:color w:val="000000" w:themeColor="text1"/>
          <w:sz w:val="22"/>
          <w:szCs w:val="22"/>
        </w:rPr>
      </w:pPr>
      <w:r w:rsidRPr="006805D2">
        <w:rPr>
          <w:rFonts w:ascii="Palatino Linotype" w:eastAsia="Calibri" w:hAnsi="Palatino Linotype" w:cs="Tahoma"/>
          <w:b/>
          <w:color w:val="000000" w:themeColor="text1"/>
          <w:sz w:val="22"/>
          <w:szCs w:val="22"/>
          <w:lang w:eastAsia="es-MX"/>
        </w:rPr>
        <w:lastRenderedPageBreak/>
        <w:t>CUARTO</w:t>
      </w:r>
      <w:r w:rsidRPr="006805D2">
        <w:rPr>
          <w:rFonts w:ascii="Palatino Linotype" w:eastAsia="Calibri" w:hAnsi="Palatino Linotype" w:cs="Tahoma"/>
          <w:b/>
          <w:bCs/>
          <w:color w:val="000000" w:themeColor="text1"/>
          <w:sz w:val="22"/>
          <w:szCs w:val="22"/>
          <w:lang w:eastAsia="en-US"/>
        </w:rPr>
        <w:t xml:space="preserve">. </w:t>
      </w:r>
      <w:r w:rsidRPr="006805D2">
        <w:rPr>
          <w:rFonts w:ascii="Palatino Linotype" w:hAnsi="Palatino Linotype" w:cs="Tahoma"/>
          <w:b/>
          <w:color w:val="000000" w:themeColor="text1"/>
          <w:sz w:val="22"/>
          <w:szCs w:val="22"/>
        </w:rPr>
        <w:t>NOTIFÍQUESE</w:t>
      </w:r>
      <w:r w:rsidRPr="006805D2">
        <w:rPr>
          <w:rFonts w:ascii="Palatino Linotype" w:hAnsi="Palatino Linotype" w:cs="Tahoma"/>
          <w:color w:val="000000" w:themeColor="text1"/>
          <w:sz w:val="22"/>
          <w:szCs w:val="22"/>
        </w:rPr>
        <w:t xml:space="preserve"> </w:t>
      </w:r>
      <w:r w:rsidRPr="006805D2">
        <w:rPr>
          <w:rFonts w:ascii="Palatino Linotype" w:eastAsia="Calibri" w:hAnsi="Palatino Linotype" w:cs="Tahoma"/>
          <w:b/>
          <w:bCs/>
          <w:sz w:val="22"/>
          <w:szCs w:val="22"/>
          <w:lang w:eastAsia="en-US"/>
        </w:rPr>
        <w:t xml:space="preserve">POR SAIMEX </w:t>
      </w:r>
      <w:r w:rsidRPr="006805D2">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6805D2">
        <w:rPr>
          <w:rFonts w:ascii="Palatino Linotype" w:hAnsi="Palatino Linotype" w:cs="Tahoma"/>
          <w:sz w:val="22"/>
          <w:szCs w:val="22"/>
        </w:rPr>
        <w:t>.</w:t>
      </w:r>
    </w:p>
    <w:p w14:paraId="42F6D4B1" w14:textId="77777777" w:rsidR="005D4660" w:rsidRPr="006805D2" w:rsidRDefault="005D4660" w:rsidP="000B54EE">
      <w:pPr>
        <w:spacing w:line="360" w:lineRule="auto"/>
        <w:contextualSpacing/>
        <w:jc w:val="both"/>
        <w:rPr>
          <w:rFonts w:ascii="Palatino Linotype" w:hAnsi="Palatino Linotype" w:cs="Tahoma"/>
          <w:color w:val="000000" w:themeColor="text1"/>
          <w:sz w:val="22"/>
          <w:szCs w:val="22"/>
        </w:rPr>
      </w:pPr>
    </w:p>
    <w:p w14:paraId="124A7454" w14:textId="491FD917" w:rsidR="00803E3D" w:rsidRDefault="00803E3D" w:rsidP="000B54EE">
      <w:pPr>
        <w:spacing w:line="360" w:lineRule="auto"/>
        <w:contextualSpacing/>
        <w:jc w:val="both"/>
        <w:rPr>
          <w:rFonts w:ascii="Palatino Linotype" w:hAnsi="Palatino Linotype" w:cs="Tahoma"/>
          <w:sz w:val="22"/>
          <w:szCs w:val="22"/>
        </w:rPr>
      </w:pPr>
      <w:r w:rsidRPr="006805D2">
        <w:rPr>
          <w:rFonts w:ascii="Palatino Linotype" w:hAnsi="Palatino Linotype" w:cs="Tahoma"/>
          <w:sz w:val="22"/>
          <w:szCs w:val="22"/>
          <w:lang w:eastAsia="es-MX"/>
        </w:rPr>
        <w:t xml:space="preserve">ASÍ LO RESUELVE, POR </w:t>
      </w:r>
      <w:r w:rsidRPr="006805D2">
        <w:rPr>
          <w:rFonts w:ascii="Palatino Linotype" w:hAnsi="Palatino Linotype" w:cs="Tahoma"/>
          <w:b/>
          <w:sz w:val="22"/>
          <w:szCs w:val="22"/>
          <w:lang w:eastAsia="es-MX"/>
        </w:rPr>
        <w:t>UNANIMIDAD</w:t>
      </w:r>
      <w:r w:rsidRPr="006805D2">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EF7C19" w:rsidRPr="006805D2">
        <w:rPr>
          <w:rFonts w:ascii="Palatino Linotype" w:hAnsi="Palatino Linotype" w:cs="Tahoma"/>
          <w:sz w:val="22"/>
          <w:szCs w:val="22"/>
          <w:lang w:eastAsia="es-MX"/>
        </w:rPr>
        <w:t xml:space="preserve"> (AUSENCIA JUSTIFICADA)</w:t>
      </w:r>
      <w:r w:rsidRPr="006805D2">
        <w:rPr>
          <w:rFonts w:ascii="Palatino Linotype" w:hAnsi="Palatino Linotype" w:cs="Tahoma"/>
          <w:sz w:val="22"/>
          <w:szCs w:val="22"/>
          <w:lang w:eastAsia="es-MX"/>
        </w:rPr>
        <w:t>, SHARON CRISTINA MORALES MARTÍNEZ, LUIS GUSTAVO PARRA NORIEGA</w:t>
      </w:r>
      <w:r w:rsidR="00341388">
        <w:rPr>
          <w:rFonts w:ascii="Palatino Linotype" w:hAnsi="Palatino Linotype" w:cs="Tahoma"/>
          <w:sz w:val="22"/>
          <w:szCs w:val="22"/>
          <w:lang w:eastAsia="es-MX"/>
        </w:rPr>
        <w:t xml:space="preserve"> CON VOTO PARTICULAR </w:t>
      </w:r>
      <w:r w:rsidRPr="006805D2">
        <w:rPr>
          <w:rFonts w:ascii="Palatino Linotype" w:hAnsi="Palatino Linotype" w:cs="Tahoma"/>
          <w:sz w:val="22"/>
          <w:szCs w:val="22"/>
          <w:lang w:eastAsia="es-MX"/>
        </w:rPr>
        <w:t>Y GUADALUPE RAMÍREZ PEÑA</w:t>
      </w:r>
      <w:r w:rsidR="00341388">
        <w:rPr>
          <w:rFonts w:ascii="Palatino Linotype" w:hAnsi="Palatino Linotype" w:cs="Tahoma"/>
          <w:sz w:val="22"/>
          <w:szCs w:val="22"/>
          <w:lang w:eastAsia="es-MX"/>
        </w:rPr>
        <w:t xml:space="preserve"> </w:t>
      </w:r>
      <w:r w:rsidR="00EF7C19" w:rsidRPr="006805D2">
        <w:rPr>
          <w:rFonts w:ascii="Palatino Linotype" w:hAnsi="Palatino Linotype" w:cs="Tahoma"/>
          <w:sz w:val="22"/>
          <w:szCs w:val="22"/>
          <w:lang w:eastAsia="es-MX"/>
        </w:rPr>
        <w:t>CON VOTO PARTICULAR</w:t>
      </w:r>
      <w:bookmarkStart w:id="34" w:name="_GoBack"/>
      <w:bookmarkEnd w:id="34"/>
      <w:r w:rsidRPr="006805D2">
        <w:rPr>
          <w:rFonts w:ascii="Palatino Linotype" w:hAnsi="Palatino Linotype" w:cs="Tahoma"/>
          <w:sz w:val="22"/>
          <w:szCs w:val="22"/>
          <w:lang w:eastAsia="es-MX"/>
        </w:rPr>
        <w:t xml:space="preserve">, EN LA </w:t>
      </w:r>
      <w:r w:rsidR="00504E80" w:rsidRPr="006805D2">
        <w:rPr>
          <w:rFonts w:ascii="Palatino Linotype" w:hAnsi="Palatino Linotype" w:cs="Tahoma"/>
          <w:sz w:val="22"/>
          <w:szCs w:val="22"/>
          <w:lang w:eastAsia="es-MX"/>
        </w:rPr>
        <w:t>TERCERA</w:t>
      </w:r>
      <w:r w:rsidR="00A90050" w:rsidRPr="006805D2">
        <w:rPr>
          <w:rFonts w:ascii="Palatino Linotype" w:hAnsi="Palatino Linotype" w:cs="Tahoma"/>
          <w:sz w:val="22"/>
          <w:szCs w:val="22"/>
          <w:lang w:eastAsia="es-MX"/>
        </w:rPr>
        <w:t xml:space="preserve"> </w:t>
      </w:r>
      <w:r w:rsidRPr="006805D2">
        <w:rPr>
          <w:rFonts w:ascii="Palatino Linotype" w:hAnsi="Palatino Linotype" w:cs="Tahoma"/>
          <w:sz w:val="22"/>
          <w:szCs w:val="22"/>
          <w:lang w:eastAsia="es-MX"/>
        </w:rPr>
        <w:t xml:space="preserve">SESIÓN ORDINARIA, CELEBRADA EL </w:t>
      </w:r>
      <w:r w:rsidR="0006503E" w:rsidRPr="006805D2">
        <w:rPr>
          <w:rFonts w:ascii="Palatino Linotype" w:hAnsi="Palatino Linotype" w:cs="Tahoma"/>
          <w:sz w:val="22"/>
          <w:szCs w:val="22"/>
          <w:lang w:eastAsia="es-MX"/>
        </w:rPr>
        <w:t>VEINTIOCHO DE ENERO DE DOS MIL VEINTISÉIS</w:t>
      </w:r>
      <w:r w:rsidRPr="006805D2">
        <w:rPr>
          <w:rFonts w:ascii="Palatino Linotype" w:hAnsi="Palatino Linotype" w:cs="Tahoma"/>
          <w:sz w:val="22"/>
          <w:szCs w:val="22"/>
          <w:lang w:eastAsia="es-MX"/>
        </w:rPr>
        <w:t>, ANTE EL SECRETARIO TÉCNICO DEL PLENO, ALEXIS TAPIA RAMÍREZ.</w:t>
      </w:r>
    </w:p>
    <w:p w14:paraId="51ECFC1A" w14:textId="08E86969" w:rsidR="0089175F" w:rsidRDefault="0089175F" w:rsidP="000B54EE">
      <w:pPr>
        <w:spacing w:line="360" w:lineRule="auto"/>
        <w:contextualSpacing/>
        <w:jc w:val="both"/>
        <w:rPr>
          <w:rFonts w:ascii="Palatino Linotype" w:hAnsi="Palatino Linotype" w:cs="Tahoma"/>
          <w:sz w:val="22"/>
          <w:szCs w:val="22"/>
        </w:rPr>
      </w:pPr>
    </w:p>
    <w:p w14:paraId="0B9043CC" w14:textId="77777777" w:rsidR="0089175F" w:rsidRDefault="0089175F" w:rsidP="000B54EE">
      <w:pPr>
        <w:spacing w:line="360" w:lineRule="auto"/>
        <w:contextualSpacing/>
        <w:jc w:val="both"/>
        <w:rPr>
          <w:rFonts w:ascii="Palatino Linotype" w:hAnsi="Palatino Linotype" w:cs="Tahoma"/>
          <w:sz w:val="22"/>
          <w:szCs w:val="22"/>
        </w:rPr>
      </w:pPr>
    </w:p>
    <w:p w14:paraId="38858E20" w14:textId="77777777" w:rsidR="0089175F" w:rsidRDefault="0089175F" w:rsidP="000B54EE">
      <w:pPr>
        <w:spacing w:line="360" w:lineRule="auto"/>
        <w:contextualSpacing/>
        <w:jc w:val="both"/>
        <w:rPr>
          <w:rFonts w:ascii="Palatino Linotype" w:hAnsi="Palatino Linotype" w:cs="Tahoma"/>
          <w:sz w:val="22"/>
          <w:szCs w:val="22"/>
        </w:rPr>
      </w:pPr>
    </w:p>
    <w:p w14:paraId="76AA311F" w14:textId="77777777" w:rsidR="001F1A77" w:rsidRDefault="001F1A77" w:rsidP="000B54EE">
      <w:pPr>
        <w:spacing w:line="360" w:lineRule="auto"/>
        <w:contextualSpacing/>
        <w:jc w:val="both"/>
        <w:rPr>
          <w:rFonts w:ascii="Palatino Linotype" w:hAnsi="Palatino Linotype" w:cs="Tahoma"/>
          <w:sz w:val="22"/>
          <w:szCs w:val="22"/>
        </w:rPr>
      </w:pPr>
    </w:p>
    <w:p w14:paraId="7A2B67BF" w14:textId="77777777" w:rsidR="001F1A77" w:rsidRDefault="001F1A77" w:rsidP="000B54EE">
      <w:pPr>
        <w:spacing w:line="360" w:lineRule="auto"/>
        <w:contextualSpacing/>
        <w:jc w:val="both"/>
        <w:rPr>
          <w:rFonts w:ascii="Palatino Linotype" w:hAnsi="Palatino Linotype" w:cs="Tahoma"/>
          <w:sz w:val="22"/>
          <w:szCs w:val="22"/>
        </w:rPr>
      </w:pPr>
    </w:p>
    <w:p w14:paraId="6E380365" w14:textId="77777777" w:rsidR="000B1059" w:rsidRDefault="000B1059" w:rsidP="000B54EE">
      <w:pPr>
        <w:spacing w:line="360" w:lineRule="auto"/>
        <w:contextualSpacing/>
        <w:jc w:val="both"/>
        <w:rPr>
          <w:rFonts w:ascii="Palatino Linotype" w:hAnsi="Palatino Linotype" w:cs="Tahoma"/>
          <w:sz w:val="22"/>
          <w:szCs w:val="22"/>
        </w:rPr>
      </w:pPr>
    </w:p>
    <w:p w14:paraId="75E72104" w14:textId="77777777" w:rsidR="000B1059" w:rsidRDefault="000B1059" w:rsidP="000B54EE">
      <w:pPr>
        <w:spacing w:line="360" w:lineRule="auto"/>
        <w:contextualSpacing/>
        <w:jc w:val="both"/>
        <w:rPr>
          <w:rFonts w:ascii="Palatino Linotype" w:hAnsi="Palatino Linotype" w:cs="Tahoma"/>
          <w:sz w:val="22"/>
          <w:szCs w:val="22"/>
        </w:rPr>
      </w:pPr>
    </w:p>
    <w:p w14:paraId="3EEA82E0" w14:textId="77777777" w:rsidR="000B1059" w:rsidRDefault="000B1059" w:rsidP="000B54EE">
      <w:pPr>
        <w:spacing w:line="360" w:lineRule="auto"/>
        <w:contextualSpacing/>
        <w:jc w:val="both"/>
        <w:rPr>
          <w:rFonts w:ascii="Palatino Linotype" w:hAnsi="Palatino Linotype" w:cs="Tahoma"/>
          <w:sz w:val="22"/>
          <w:szCs w:val="22"/>
        </w:rPr>
      </w:pPr>
    </w:p>
    <w:p w14:paraId="45AB9EEC" w14:textId="77777777" w:rsidR="001F1A77" w:rsidRDefault="001F1A77" w:rsidP="000B54EE">
      <w:pPr>
        <w:spacing w:line="360" w:lineRule="auto"/>
        <w:contextualSpacing/>
        <w:jc w:val="both"/>
        <w:rPr>
          <w:rFonts w:ascii="Palatino Linotype" w:hAnsi="Palatino Linotype" w:cs="Tahoma"/>
          <w:sz w:val="22"/>
          <w:szCs w:val="22"/>
        </w:rPr>
      </w:pPr>
    </w:p>
    <w:p w14:paraId="63FC8B84" w14:textId="77777777" w:rsidR="001F1A77" w:rsidRDefault="001F1A77" w:rsidP="000B54EE">
      <w:pPr>
        <w:spacing w:line="360" w:lineRule="auto"/>
        <w:contextualSpacing/>
        <w:jc w:val="both"/>
        <w:rPr>
          <w:rFonts w:ascii="Palatino Linotype" w:hAnsi="Palatino Linotype" w:cs="Tahoma"/>
          <w:sz w:val="22"/>
          <w:szCs w:val="22"/>
        </w:rPr>
      </w:pPr>
    </w:p>
    <w:p w14:paraId="6A81213D" w14:textId="77777777" w:rsidR="001F1A77" w:rsidRDefault="001F1A77" w:rsidP="000B54EE">
      <w:pPr>
        <w:spacing w:line="360" w:lineRule="auto"/>
        <w:contextualSpacing/>
        <w:jc w:val="both"/>
        <w:rPr>
          <w:rFonts w:ascii="Palatino Linotype" w:hAnsi="Palatino Linotype" w:cs="Tahoma"/>
          <w:sz w:val="22"/>
          <w:szCs w:val="22"/>
        </w:rPr>
      </w:pPr>
    </w:p>
    <w:p w14:paraId="76E51CA4" w14:textId="77777777" w:rsidR="001F1A77" w:rsidRDefault="001F1A77" w:rsidP="000B54EE">
      <w:pPr>
        <w:spacing w:line="360" w:lineRule="auto"/>
        <w:contextualSpacing/>
        <w:jc w:val="both"/>
        <w:rPr>
          <w:rFonts w:ascii="Palatino Linotype" w:hAnsi="Palatino Linotype" w:cs="Tahoma"/>
          <w:sz w:val="22"/>
          <w:szCs w:val="22"/>
        </w:rPr>
      </w:pPr>
    </w:p>
    <w:p w14:paraId="4E88A69B" w14:textId="77777777" w:rsidR="001F1A77" w:rsidRDefault="001F1A77" w:rsidP="000B54EE">
      <w:pPr>
        <w:spacing w:line="360" w:lineRule="auto"/>
        <w:contextualSpacing/>
        <w:jc w:val="both"/>
        <w:rPr>
          <w:rFonts w:ascii="Palatino Linotype" w:hAnsi="Palatino Linotype" w:cs="Tahoma"/>
          <w:sz w:val="22"/>
          <w:szCs w:val="22"/>
        </w:rPr>
      </w:pPr>
    </w:p>
    <w:p w14:paraId="6B6C58DB" w14:textId="77777777" w:rsidR="001F1A77" w:rsidRDefault="001F1A77" w:rsidP="000B54EE">
      <w:pPr>
        <w:spacing w:line="360" w:lineRule="auto"/>
        <w:contextualSpacing/>
        <w:jc w:val="both"/>
        <w:rPr>
          <w:rFonts w:ascii="Palatino Linotype" w:hAnsi="Palatino Linotype" w:cs="Tahoma"/>
          <w:sz w:val="22"/>
          <w:szCs w:val="22"/>
        </w:rPr>
      </w:pPr>
    </w:p>
    <w:p w14:paraId="3699AD84" w14:textId="77777777" w:rsidR="001F1A77" w:rsidRDefault="001F1A77" w:rsidP="000B54EE">
      <w:pPr>
        <w:spacing w:line="360" w:lineRule="auto"/>
        <w:contextualSpacing/>
        <w:jc w:val="both"/>
        <w:rPr>
          <w:rFonts w:ascii="Palatino Linotype" w:hAnsi="Palatino Linotype" w:cs="Tahoma"/>
          <w:sz w:val="22"/>
          <w:szCs w:val="22"/>
        </w:rPr>
      </w:pPr>
    </w:p>
    <w:p w14:paraId="40A2606B" w14:textId="77777777" w:rsidR="001F1A77" w:rsidRPr="003A1DF0" w:rsidRDefault="001F1A77" w:rsidP="000B54EE">
      <w:pPr>
        <w:spacing w:line="360" w:lineRule="auto"/>
        <w:contextualSpacing/>
        <w:jc w:val="both"/>
        <w:rPr>
          <w:rFonts w:ascii="Palatino Linotype" w:hAnsi="Palatino Linotype" w:cs="Tahoma"/>
          <w:sz w:val="22"/>
          <w:szCs w:val="22"/>
        </w:rPr>
      </w:pPr>
    </w:p>
    <w:p w14:paraId="3059BCF1" w14:textId="77777777" w:rsidR="003A1DF0" w:rsidRPr="003A1DF0" w:rsidRDefault="003A1DF0" w:rsidP="000B54EE">
      <w:pPr>
        <w:spacing w:line="360" w:lineRule="auto"/>
        <w:contextualSpacing/>
        <w:jc w:val="both"/>
        <w:rPr>
          <w:rFonts w:ascii="Palatino Linotype" w:hAnsi="Palatino Linotype" w:cs="Tahoma"/>
          <w:sz w:val="22"/>
          <w:szCs w:val="22"/>
        </w:rPr>
      </w:pPr>
    </w:p>
    <w:sectPr w:rsidR="003A1DF0" w:rsidRPr="003A1DF0" w:rsidSect="008C2B4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EE313" w14:textId="77777777" w:rsidR="00DF2634" w:rsidRDefault="00DF2634" w:rsidP="00B31222">
      <w:r>
        <w:separator/>
      </w:r>
    </w:p>
  </w:endnote>
  <w:endnote w:type="continuationSeparator" w:id="0">
    <w:p w14:paraId="4F3E9F9A" w14:textId="77777777" w:rsidR="00DF2634" w:rsidRDefault="00DF2634" w:rsidP="00B31222">
      <w:r>
        <w:continuationSeparator/>
      </w:r>
    </w:p>
  </w:endnote>
  <w:endnote w:type="continuationNotice" w:id="1">
    <w:p w14:paraId="621BF35E" w14:textId="77777777" w:rsidR="00DF2634" w:rsidRDefault="00DF2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99777A0"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5907">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5907">
              <w:rPr>
                <w:b/>
                <w:bCs/>
                <w:noProof/>
              </w:rPr>
              <w:t>33</w:t>
            </w:r>
            <w:r>
              <w:rPr>
                <w:b/>
                <w:bCs/>
                <w:sz w:val="24"/>
                <w:szCs w:val="24"/>
              </w:rPr>
              <w:fldChar w:fldCharType="end"/>
            </w:r>
          </w:p>
        </w:sdtContent>
      </w:sdt>
    </w:sdtContent>
  </w:sdt>
  <w:p w14:paraId="72D52A03" w14:textId="77777777" w:rsidR="0094768D" w:rsidRDefault="00947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3787D7F7"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590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5907">
              <w:rPr>
                <w:b/>
                <w:bCs/>
                <w:noProof/>
              </w:rPr>
              <w:t>33</w:t>
            </w:r>
            <w:r>
              <w:rPr>
                <w:b/>
                <w:bCs/>
                <w:sz w:val="24"/>
                <w:szCs w:val="24"/>
              </w:rPr>
              <w:fldChar w:fldCharType="end"/>
            </w:r>
          </w:p>
        </w:sdtContent>
      </w:sdt>
    </w:sdtContent>
  </w:sdt>
  <w:p w14:paraId="7174FF3C" w14:textId="77777777" w:rsidR="0094768D" w:rsidRDefault="00947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1C5B7" w14:textId="77777777" w:rsidR="00DF2634" w:rsidRDefault="00DF2634" w:rsidP="00B31222">
      <w:r>
        <w:separator/>
      </w:r>
    </w:p>
  </w:footnote>
  <w:footnote w:type="continuationSeparator" w:id="0">
    <w:p w14:paraId="18782D35" w14:textId="77777777" w:rsidR="00DF2634" w:rsidRDefault="00DF2634" w:rsidP="00B31222">
      <w:r>
        <w:continuationSeparator/>
      </w:r>
    </w:p>
  </w:footnote>
  <w:footnote w:type="continuationNotice" w:id="1">
    <w:p w14:paraId="08B970E3" w14:textId="77777777" w:rsidR="00DF2634" w:rsidRDefault="00DF26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3330" w14:textId="77777777" w:rsidR="0094768D" w:rsidRDefault="00DF2634">
    <w:pPr>
      <w:pStyle w:val="Encabezado"/>
    </w:pPr>
    <w:r>
      <w:rPr>
        <w:noProof/>
        <w:lang w:eastAsia="es-MX"/>
      </w:rPr>
      <w:pict w14:anchorId="4D88E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94768D" w:rsidRPr="005C106F" w14:paraId="57392E53" w14:textId="77777777" w:rsidTr="00E677FF">
      <w:trPr>
        <w:trHeight w:val="1435"/>
      </w:trPr>
      <w:tc>
        <w:tcPr>
          <w:tcW w:w="2977" w:type="dxa"/>
          <w:shd w:val="clear" w:color="auto" w:fill="auto"/>
        </w:tcPr>
        <w:p w14:paraId="158630AB"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184745C7" wp14:editId="0556D187">
                <wp:simplePos x="0" y="0"/>
                <wp:positionH relativeFrom="page">
                  <wp:posOffset>-919480</wp:posOffset>
                </wp:positionH>
                <wp:positionV relativeFrom="margin">
                  <wp:posOffset>-485775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5805CE29" w14:textId="77777777" w:rsidR="0094768D" w:rsidRDefault="0094768D" w:rsidP="005743D2"/>
        <w:tbl>
          <w:tblPr>
            <w:tblStyle w:val="Tablaconcuadrcula"/>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074"/>
          </w:tblGrid>
          <w:tr w:rsidR="0094768D" w14:paraId="1E34133E" w14:textId="77777777" w:rsidTr="00E677FF">
            <w:trPr>
              <w:trHeight w:val="144"/>
            </w:trPr>
            <w:tc>
              <w:tcPr>
                <w:tcW w:w="2589" w:type="dxa"/>
              </w:tcPr>
              <w:p w14:paraId="71C2E404" w14:textId="77777777" w:rsidR="000B54EE" w:rsidRDefault="000B54EE" w:rsidP="00E43A0F">
                <w:pPr>
                  <w:tabs>
                    <w:tab w:val="right" w:pos="8838"/>
                  </w:tabs>
                  <w:ind w:right="-105"/>
                  <w:rPr>
                    <w:rFonts w:ascii="Palatino Linotype" w:eastAsia="Calibri" w:hAnsi="Palatino Linotype" w:cs="Tahoma"/>
                    <w:b/>
                    <w:sz w:val="22"/>
                    <w:szCs w:val="22"/>
                    <w:lang w:eastAsia="en-US"/>
                  </w:rPr>
                </w:pPr>
              </w:p>
              <w:p w14:paraId="5CB26796"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074" w:type="dxa"/>
              </w:tcPr>
              <w:p w14:paraId="433CC254" w14:textId="77777777" w:rsidR="000B54EE" w:rsidRDefault="000B54EE" w:rsidP="004B553D">
                <w:pPr>
                  <w:tabs>
                    <w:tab w:val="right" w:pos="8838"/>
                  </w:tabs>
                  <w:ind w:left="-106" w:right="171"/>
                  <w:jc w:val="both"/>
                  <w:rPr>
                    <w:rFonts w:ascii="Palatino Linotype" w:eastAsia="Calibri" w:hAnsi="Palatino Linotype" w:cs="Tahoma"/>
                    <w:sz w:val="22"/>
                    <w:szCs w:val="22"/>
                    <w:lang w:val="es-MX" w:eastAsia="en-US"/>
                  </w:rPr>
                </w:pPr>
              </w:p>
              <w:p w14:paraId="0CF7EC62" w14:textId="51107F52" w:rsidR="0094768D" w:rsidRPr="000B54EE" w:rsidRDefault="00314520"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w:t>
                </w:r>
                <w:r w:rsidR="00B056E3">
                  <w:rPr>
                    <w:rFonts w:ascii="Palatino Linotype" w:eastAsia="Calibri" w:hAnsi="Palatino Linotype" w:cs="Tahoma"/>
                    <w:sz w:val="22"/>
                    <w:szCs w:val="22"/>
                    <w:lang w:val="es-MX" w:eastAsia="en-US"/>
                  </w:rPr>
                  <w:t>4</w:t>
                </w:r>
                <w:r w:rsidR="0018340C">
                  <w:rPr>
                    <w:rFonts w:ascii="Palatino Linotype" w:eastAsia="Calibri" w:hAnsi="Palatino Linotype" w:cs="Tahoma"/>
                    <w:sz w:val="22"/>
                    <w:szCs w:val="22"/>
                    <w:lang w:val="es-MX" w:eastAsia="en-US"/>
                  </w:rPr>
                  <w:t>51</w:t>
                </w:r>
                <w:r w:rsidR="0094768D" w:rsidRPr="000B54EE">
                  <w:rPr>
                    <w:rFonts w:ascii="Palatino Linotype" w:eastAsia="Calibri" w:hAnsi="Palatino Linotype" w:cs="Tahoma"/>
                    <w:sz w:val="22"/>
                    <w:szCs w:val="22"/>
                    <w:lang w:val="es-MX" w:eastAsia="en-US"/>
                  </w:rPr>
                  <w:t>/INFOEM/IP/RR/2025</w:t>
                </w:r>
              </w:p>
            </w:tc>
          </w:tr>
          <w:tr w:rsidR="0094768D" w14:paraId="29DBF6F5" w14:textId="77777777" w:rsidTr="00E677FF">
            <w:trPr>
              <w:trHeight w:val="283"/>
            </w:trPr>
            <w:tc>
              <w:tcPr>
                <w:tcW w:w="2589" w:type="dxa"/>
              </w:tcPr>
              <w:p w14:paraId="4ED2E85F"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074" w:type="dxa"/>
              </w:tcPr>
              <w:p w14:paraId="0C295CDB" w14:textId="606E63ED" w:rsidR="0094768D" w:rsidRPr="005F13CF" w:rsidRDefault="0018340C"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Villa del Carbón</w:t>
                </w:r>
              </w:p>
            </w:tc>
          </w:tr>
          <w:tr w:rsidR="0094768D" w14:paraId="54212C32" w14:textId="77777777" w:rsidTr="00E677FF">
            <w:trPr>
              <w:trHeight w:val="283"/>
            </w:trPr>
            <w:tc>
              <w:tcPr>
                <w:tcW w:w="2589" w:type="dxa"/>
              </w:tcPr>
              <w:p w14:paraId="769DCDB9"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074" w:type="dxa"/>
              </w:tcPr>
              <w:p w14:paraId="1EEA1F4E"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BFB8CC"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17A95BF3"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47B31712"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768D" w:rsidRPr="00330DA7" w14:paraId="378CFF72" w14:textId="77777777" w:rsidTr="003B165A">
      <w:trPr>
        <w:trHeight w:val="1435"/>
      </w:trPr>
      <w:tc>
        <w:tcPr>
          <w:tcW w:w="2835" w:type="dxa"/>
          <w:shd w:val="clear" w:color="auto" w:fill="auto"/>
        </w:tcPr>
        <w:p w14:paraId="49BDFA69"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3746766" wp14:editId="53AFA0DA">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183C7792" w14:textId="77777777" w:rsidR="000B54EE" w:rsidRDefault="000B54EE"/>
        <w:tbl>
          <w:tblPr>
            <w:tblStyle w:val="Tablaconcuadrcula"/>
            <w:tblW w:w="6132" w:type="dxa"/>
            <w:tblInd w:w="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94768D" w:rsidRPr="00431A70" w14:paraId="334D4DB3" w14:textId="77777777" w:rsidTr="00785FCA">
            <w:trPr>
              <w:trHeight w:val="144"/>
            </w:trPr>
            <w:tc>
              <w:tcPr>
                <w:tcW w:w="2589" w:type="dxa"/>
              </w:tcPr>
              <w:p w14:paraId="62C3E551"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4146FF" w14:textId="30318207" w:rsidR="0094768D" w:rsidRPr="000B54EE" w:rsidRDefault="00314520" w:rsidP="004B553D">
                <w:pPr>
                  <w:tabs>
                    <w:tab w:val="right" w:pos="8838"/>
                  </w:tabs>
                  <w:ind w:left="-106"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14</w:t>
                </w:r>
                <w:r w:rsidR="00B056E3">
                  <w:rPr>
                    <w:rFonts w:ascii="Palatino Linotype" w:eastAsia="Calibri" w:hAnsi="Palatino Linotype" w:cs="Tahoma"/>
                    <w:sz w:val="22"/>
                    <w:szCs w:val="22"/>
                    <w:lang w:val="es-MX" w:eastAsia="en-US"/>
                  </w:rPr>
                  <w:t>4</w:t>
                </w:r>
                <w:r w:rsidR="0018340C">
                  <w:rPr>
                    <w:rFonts w:ascii="Palatino Linotype" w:eastAsia="Calibri" w:hAnsi="Palatino Linotype" w:cs="Tahoma"/>
                    <w:sz w:val="22"/>
                    <w:szCs w:val="22"/>
                    <w:lang w:val="es-MX" w:eastAsia="en-US"/>
                  </w:rPr>
                  <w:t>51</w:t>
                </w:r>
                <w:r w:rsidR="0094768D" w:rsidRPr="000B54EE">
                  <w:rPr>
                    <w:rFonts w:ascii="Palatino Linotype" w:eastAsia="Calibri" w:hAnsi="Palatino Linotype" w:cs="Tahoma"/>
                    <w:sz w:val="22"/>
                    <w:szCs w:val="22"/>
                    <w:lang w:val="es-MX" w:eastAsia="en-US"/>
                  </w:rPr>
                  <w:t>/INFOEM/IP/RR/2025</w:t>
                </w:r>
              </w:p>
            </w:tc>
          </w:tr>
          <w:tr w:rsidR="0094768D" w:rsidRPr="00286D0C" w14:paraId="74FE0FFB" w14:textId="77777777" w:rsidTr="00785FCA">
            <w:trPr>
              <w:trHeight w:val="144"/>
            </w:trPr>
            <w:tc>
              <w:tcPr>
                <w:tcW w:w="2589" w:type="dxa"/>
              </w:tcPr>
              <w:p w14:paraId="37AA942F"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2603A5D8" w14:textId="47DC0345"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14C4DD9C" w14:textId="77777777" w:rsidTr="00785FCA">
            <w:trPr>
              <w:trHeight w:val="283"/>
            </w:trPr>
            <w:tc>
              <w:tcPr>
                <w:tcW w:w="2589" w:type="dxa"/>
              </w:tcPr>
              <w:p w14:paraId="51B7F915"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9DB7FDC" w14:textId="40837C9F" w:rsidR="0094768D" w:rsidRPr="005F13CF" w:rsidRDefault="0018340C"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Villa del Carbón</w:t>
                </w:r>
              </w:p>
            </w:tc>
          </w:tr>
          <w:tr w:rsidR="0094768D" w:rsidRPr="00431A70" w14:paraId="02DA8CC2" w14:textId="77777777" w:rsidTr="00785FCA">
            <w:trPr>
              <w:trHeight w:val="283"/>
            </w:trPr>
            <w:tc>
              <w:tcPr>
                <w:tcW w:w="2589" w:type="dxa"/>
              </w:tcPr>
              <w:p w14:paraId="5F767679"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EABE0C3"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56A1E1"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37308691"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9A5C34"/>
    <w:multiLevelType w:val="hybridMultilevel"/>
    <w:tmpl w:val="F8C40E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0D1D37"/>
    <w:multiLevelType w:val="hybridMultilevel"/>
    <w:tmpl w:val="8EE43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8"/>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03E"/>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4CD0"/>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1EDC"/>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4EE"/>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22A"/>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987"/>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9E"/>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47D2"/>
    <w:rsid w:val="00175052"/>
    <w:rsid w:val="00175A0D"/>
    <w:rsid w:val="00175CEB"/>
    <w:rsid w:val="00175E61"/>
    <w:rsid w:val="00176367"/>
    <w:rsid w:val="00177532"/>
    <w:rsid w:val="00177BFC"/>
    <w:rsid w:val="00177C07"/>
    <w:rsid w:val="00177D3B"/>
    <w:rsid w:val="00180208"/>
    <w:rsid w:val="00180365"/>
    <w:rsid w:val="001809B9"/>
    <w:rsid w:val="00180DE9"/>
    <w:rsid w:val="001821D9"/>
    <w:rsid w:val="001824D6"/>
    <w:rsid w:val="00182D6C"/>
    <w:rsid w:val="00182DCE"/>
    <w:rsid w:val="00182F0F"/>
    <w:rsid w:val="001832D9"/>
    <w:rsid w:val="0018340C"/>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1C8"/>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861"/>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5BD"/>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670A"/>
    <w:rsid w:val="002F7857"/>
    <w:rsid w:val="0030032A"/>
    <w:rsid w:val="003007FA"/>
    <w:rsid w:val="00300A0B"/>
    <w:rsid w:val="0030100F"/>
    <w:rsid w:val="00301D5F"/>
    <w:rsid w:val="00301F46"/>
    <w:rsid w:val="00302898"/>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4520"/>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388"/>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57AA1"/>
    <w:rsid w:val="00360391"/>
    <w:rsid w:val="003604D7"/>
    <w:rsid w:val="003604E7"/>
    <w:rsid w:val="00361176"/>
    <w:rsid w:val="003613DA"/>
    <w:rsid w:val="0036164E"/>
    <w:rsid w:val="00361E18"/>
    <w:rsid w:val="003622C8"/>
    <w:rsid w:val="0036351E"/>
    <w:rsid w:val="00363615"/>
    <w:rsid w:val="00363F6A"/>
    <w:rsid w:val="00364521"/>
    <w:rsid w:val="00364D22"/>
    <w:rsid w:val="00365026"/>
    <w:rsid w:val="0036585C"/>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244"/>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4CAB"/>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2E"/>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4A5D"/>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4E80"/>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4C27"/>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0E32"/>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CCF"/>
    <w:rsid w:val="00635DD5"/>
    <w:rsid w:val="00636904"/>
    <w:rsid w:val="00636D9C"/>
    <w:rsid w:val="00636ED4"/>
    <w:rsid w:val="00637179"/>
    <w:rsid w:val="00637EC0"/>
    <w:rsid w:val="00640193"/>
    <w:rsid w:val="006408C4"/>
    <w:rsid w:val="0064182B"/>
    <w:rsid w:val="006418ED"/>
    <w:rsid w:val="0064229C"/>
    <w:rsid w:val="00642776"/>
    <w:rsid w:val="00642B13"/>
    <w:rsid w:val="0064309D"/>
    <w:rsid w:val="006431FF"/>
    <w:rsid w:val="00643AC4"/>
    <w:rsid w:val="00644B26"/>
    <w:rsid w:val="006455A3"/>
    <w:rsid w:val="00645F7D"/>
    <w:rsid w:val="00645F85"/>
    <w:rsid w:val="00646100"/>
    <w:rsid w:val="00646C1B"/>
    <w:rsid w:val="006476CA"/>
    <w:rsid w:val="0064771A"/>
    <w:rsid w:val="00647B98"/>
    <w:rsid w:val="00647E3E"/>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5D2"/>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FA8"/>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DDE"/>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551"/>
    <w:rsid w:val="006E1A7A"/>
    <w:rsid w:val="006E2429"/>
    <w:rsid w:val="006E2DEB"/>
    <w:rsid w:val="006E45BE"/>
    <w:rsid w:val="006E4723"/>
    <w:rsid w:val="006E6B62"/>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07"/>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5FCA"/>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19F"/>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1D2F"/>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81B"/>
    <w:rsid w:val="0080373C"/>
    <w:rsid w:val="00803E3D"/>
    <w:rsid w:val="00804CDA"/>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6D8"/>
    <w:rsid w:val="008267E8"/>
    <w:rsid w:val="00826BB6"/>
    <w:rsid w:val="0082778C"/>
    <w:rsid w:val="00827F88"/>
    <w:rsid w:val="008310F6"/>
    <w:rsid w:val="008313A5"/>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22B"/>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045"/>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0E5B"/>
    <w:rsid w:val="008F10EB"/>
    <w:rsid w:val="008F13A5"/>
    <w:rsid w:val="008F18ED"/>
    <w:rsid w:val="008F2631"/>
    <w:rsid w:val="008F3966"/>
    <w:rsid w:val="008F452A"/>
    <w:rsid w:val="008F46C2"/>
    <w:rsid w:val="008F5C6C"/>
    <w:rsid w:val="008F6301"/>
    <w:rsid w:val="008F6CE5"/>
    <w:rsid w:val="008F7068"/>
    <w:rsid w:val="008F77BF"/>
    <w:rsid w:val="008F7852"/>
    <w:rsid w:val="00901CD4"/>
    <w:rsid w:val="00901F28"/>
    <w:rsid w:val="0090360E"/>
    <w:rsid w:val="00903D37"/>
    <w:rsid w:val="0090582F"/>
    <w:rsid w:val="009079CA"/>
    <w:rsid w:val="009079ED"/>
    <w:rsid w:val="0091000D"/>
    <w:rsid w:val="00910500"/>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B0D"/>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08D1"/>
    <w:rsid w:val="009912C8"/>
    <w:rsid w:val="009912E0"/>
    <w:rsid w:val="00992750"/>
    <w:rsid w:val="009934CF"/>
    <w:rsid w:val="00993BF4"/>
    <w:rsid w:val="009940FC"/>
    <w:rsid w:val="009942A6"/>
    <w:rsid w:val="009942C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2C92"/>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57C6"/>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6778F"/>
    <w:rsid w:val="00A71251"/>
    <w:rsid w:val="00A719AA"/>
    <w:rsid w:val="00A71E7E"/>
    <w:rsid w:val="00A731B5"/>
    <w:rsid w:val="00A73DE3"/>
    <w:rsid w:val="00A73E67"/>
    <w:rsid w:val="00A747F9"/>
    <w:rsid w:val="00A74C2D"/>
    <w:rsid w:val="00A7560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050"/>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C72D5"/>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2917"/>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2FEF"/>
    <w:rsid w:val="00B03811"/>
    <w:rsid w:val="00B039E1"/>
    <w:rsid w:val="00B03B83"/>
    <w:rsid w:val="00B04B02"/>
    <w:rsid w:val="00B04D4C"/>
    <w:rsid w:val="00B04D63"/>
    <w:rsid w:val="00B04FDF"/>
    <w:rsid w:val="00B056E3"/>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44F8"/>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624"/>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527"/>
    <w:rsid w:val="00B95BCD"/>
    <w:rsid w:val="00B95CDC"/>
    <w:rsid w:val="00B95CE5"/>
    <w:rsid w:val="00B96107"/>
    <w:rsid w:val="00B97239"/>
    <w:rsid w:val="00BA064F"/>
    <w:rsid w:val="00BA0D0B"/>
    <w:rsid w:val="00BA14FC"/>
    <w:rsid w:val="00BA1A0D"/>
    <w:rsid w:val="00BA1EE5"/>
    <w:rsid w:val="00BA3ADF"/>
    <w:rsid w:val="00BA3D3F"/>
    <w:rsid w:val="00BA4C61"/>
    <w:rsid w:val="00BA4CE5"/>
    <w:rsid w:val="00BA5DF2"/>
    <w:rsid w:val="00BA7E4A"/>
    <w:rsid w:val="00BB1236"/>
    <w:rsid w:val="00BB1A27"/>
    <w:rsid w:val="00BB1F81"/>
    <w:rsid w:val="00BB30A3"/>
    <w:rsid w:val="00BB375D"/>
    <w:rsid w:val="00BB3882"/>
    <w:rsid w:val="00BB4015"/>
    <w:rsid w:val="00BB41B8"/>
    <w:rsid w:val="00BB4277"/>
    <w:rsid w:val="00BB42B2"/>
    <w:rsid w:val="00BB49A0"/>
    <w:rsid w:val="00BB4DD5"/>
    <w:rsid w:val="00BB515F"/>
    <w:rsid w:val="00BB532B"/>
    <w:rsid w:val="00BB5C60"/>
    <w:rsid w:val="00BC0924"/>
    <w:rsid w:val="00BC0C50"/>
    <w:rsid w:val="00BC0E4B"/>
    <w:rsid w:val="00BC11E0"/>
    <w:rsid w:val="00BC18F8"/>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1FD7"/>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18CC"/>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10"/>
    <w:rsid w:val="00C64A51"/>
    <w:rsid w:val="00C64B27"/>
    <w:rsid w:val="00C64FE7"/>
    <w:rsid w:val="00C65531"/>
    <w:rsid w:val="00C655F2"/>
    <w:rsid w:val="00C65C4D"/>
    <w:rsid w:val="00C66047"/>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231"/>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3D73"/>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2634"/>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7FF"/>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3BA"/>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39B"/>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74D"/>
    <w:rsid w:val="00EF5D21"/>
    <w:rsid w:val="00EF6D09"/>
    <w:rsid w:val="00EF7198"/>
    <w:rsid w:val="00EF76FA"/>
    <w:rsid w:val="00EF7C19"/>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36D7"/>
    <w:rsid w:val="00F14017"/>
    <w:rsid w:val="00F1586E"/>
    <w:rsid w:val="00F1602E"/>
    <w:rsid w:val="00F160C8"/>
    <w:rsid w:val="00F1684C"/>
    <w:rsid w:val="00F17435"/>
    <w:rsid w:val="00F17BCE"/>
    <w:rsid w:val="00F20633"/>
    <w:rsid w:val="00F210B8"/>
    <w:rsid w:val="00F21CB5"/>
    <w:rsid w:val="00F228AA"/>
    <w:rsid w:val="00F228DB"/>
    <w:rsid w:val="00F23023"/>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47"/>
    <w:rsid w:val="00F427A1"/>
    <w:rsid w:val="00F42AE8"/>
    <w:rsid w:val="00F42E3D"/>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67AAD"/>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651"/>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A99591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UnresolvedMention">
    <w:name w:val="Unresolved Mention"/>
    <w:basedOn w:val="Fuentedeprrafopredeter"/>
    <w:uiPriority w:val="99"/>
    <w:semiHidden/>
    <w:unhideWhenUsed/>
    <w:rsid w:val="006E6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3516393">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898897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4222477">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4355721">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5744809">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3960893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18842377">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62039842">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retariadoejecutivo.gob.mx/work/models/SecretariadoEjecutivo/Resource/328/1/images/instructivo_final_edo_fuerza(1).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https://www.apartados.hacienda.gob.mx/contabilidad/documentos/informe_cuenta/1998/cuenta_publica/Glosario/n.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01C3-0F01-4964-8C76-04A2AFA6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8281</Words>
  <Characters>45549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USUARIO</cp:lastModifiedBy>
  <cp:revision>3</cp:revision>
  <cp:lastPrinted>2026-01-30T17:38:00Z</cp:lastPrinted>
  <dcterms:created xsi:type="dcterms:W3CDTF">2026-01-30T17:38:00Z</dcterms:created>
  <dcterms:modified xsi:type="dcterms:W3CDTF">2026-01-30T17:38:00Z</dcterms:modified>
</cp:coreProperties>
</file>