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6E145" w14:textId="6C98AAB2" w:rsidR="00566EB9" w:rsidRPr="00794DAB"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794DAB">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794DAB">
        <w:rPr>
          <w:rFonts w:ascii="Palatino Linotype" w:eastAsia="Palatino Linotype" w:hAnsi="Palatino Linotype" w:cs="Palatino Linotype"/>
          <w:b/>
          <w:sz w:val="22"/>
          <w:szCs w:val="22"/>
        </w:rPr>
        <w:t xml:space="preserve">a </w:t>
      </w:r>
      <w:r w:rsidR="00B653A7" w:rsidRPr="00794DAB">
        <w:rPr>
          <w:rFonts w:ascii="Palatino Linotype" w:eastAsia="Palatino Linotype" w:hAnsi="Palatino Linotype" w:cs="Palatino Linotype"/>
          <w:b/>
          <w:sz w:val="22"/>
          <w:szCs w:val="22"/>
        </w:rPr>
        <w:t>ocho de abril</w:t>
      </w:r>
      <w:r w:rsidR="002E02CC" w:rsidRPr="00794DAB">
        <w:rPr>
          <w:rFonts w:ascii="Palatino Linotype" w:eastAsia="Palatino Linotype" w:hAnsi="Palatino Linotype" w:cs="Palatino Linotype"/>
          <w:b/>
          <w:sz w:val="22"/>
          <w:szCs w:val="22"/>
        </w:rPr>
        <w:t xml:space="preserve"> de dos mil veintiséis.</w:t>
      </w:r>
      <w:r w:rsidRPr="00794DAB">
        <w:rPr>
          <w:rFonts w:ascii="Palatino Linotype" w:eastAsia="Palatino Linotype" w:hAnsi="Palatino Linotype" w:cs="Palatino Linotype"/>
          <w:sz w:val="22"/>
          <w:szCs w:val="22"/>
        </w:rPr>
        <w:t xml:space="preserve"> </w:t>
      </w:r>
    </w:p>
    <w:p w14:paraId="74DCE31D" w14:textId="509E2DAB" w:rsidR="00566EB9" w:rsidRPr="00794DAB"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794DAB">
        <w:rPr>
          <w:rFonts w:ascii="Palatino Linotype" w:eastAsia="Palatino Linotype" w:hAnsi="Palatino Linotype" w:cs="Palatino Linotype"/>
          <w:b/>
          <w:sz w:val="22"/>
          <w:szCs w:val="22"/>
        </w:rPr>
        <w:t>Visto</w:t>
      </w:r>
      <w:r w:rsidRPr="00794DAB">
        <w:rPr>
          <w:rFonts w:ascii="Palatino Linotype" w:eastAsia="Palatino Linotype" w:hAnsi="Palatino Linotype" w:cs="Palatino Linotype"/>
          <w:sz w:val="22"/>
          <w:szCs w:val="22"/>
        </w:rPr>
        <w:t xml:space="preserve"> el expediente formado con motivo del recurso de revisión </w:t>
      </w:r>
      <w:r w:rsidR="00F561F5" w:rsidRPr="00794DAB">
        <w:rPr>
          <w:rFonts w:ascii="Palatino Linotype" w:eastAsia="Palatino Linotype" w:hAnsi="Palatino Linotype" w:cs="Palatino Linotype"/>
          <w:b/>
          <w:sz w:val="22"/>
          <w:szCs w:val="22"/>
        </w:rPr>
        <w:t>1098</w:t>
      </w:r>
      <w:r w:rsidR="0067755B" w:rsidRPr="00794DAB">
        <w:rPr>
          <w:rFonts w:ascii="Palatino Linotype" w:eastAsia="Palatino Linotype" w:hAnsi="Palatino Linotype" w:cs="Palatino Linotype"/>
          <w:b/>
          <w:sz w:val="22"/>
          <w:szCs w:val="22"/>
        </w:rPr>
        <w:t>4</w:t>
      </w:r>
      <w:r w:rsidRPr="00794DAB">
        <w:rPr>
          <w:rFonts w:ascii="Palatino Linotype" w:eastAsia="Palatino Linotype" w:hAnsi="Palatino Linotype" w:cs="Palatino Linotype"/>
          <w:b/>
          <w:sz w:val="22"/>
          <w:szCs w:val="22"/>
        </w:rPr>
        <w:t>/INFOEM/IP/RR/2025</w:t>
      </w:r>
      <w:r w:rsidRPr="00794DAB">
        <w:rPr>
          <w:rFonts w:ascii="Palatino Linotype" w:eastAsia="Palatino Linotype" w:hAnsi="Palatino Linotype" w:cs="Palatino Linotype"/>
          <w:sz w:val="22"/>
          <w:szCs w:val="22"/>
        </w:rPr>
        <w:t>, interpuesto por</w:t>
      </w:r>
      <w:r w:rsidR="003F0A9C" w:rsidRPr="00794DAB">
        <w:t xml:space="preserve"> </w:t>
      </w:r>
      <w:r w:rsidR="00B653A7" w:rsidRPr="00794DAB">
        <w:rPr>
          <w:rFonts w:ascii="Palatino Linotype" w:eastAsia="Palatino Linotype" w:hAnsi="Palatino Linotype" w:cs="Palatino Linotype"/>
          <w:b/>
          <w:sz w:val="22"/>
          <w:szCs w:val="22"/>
        </w:rPr>
        <w:t>una persona usuaria del Sistema de Acceso a la Información Mexiquense que no proporcionó nombre</w:t>
      </w:r>
      <w:r w:rsidRPr="00794DAB">
        <w:rPr>
          <w:rFonts w:ascii="Palatino Linotype" w:eastAsia="Palatino Linotype" w:hAnsi="Palatino Linotype" w:cs="Palatino Linotype"/>
          <w:b/>
          <w:sz w:val="22"/>
          <w:szCs w:val="22"/>
        </w:rPr>
        <w:t>,</w:t>
      </w:r>
      <w:r w:rsidRPr="00794DAB">
        <w:rPr>
          <w:rFonts w:ascii="Palatino Linotype" w:eastAsia="Palatino Linotype" w:hAnsi="Palatino Linotype" w:cs="Palatino Linotype"/>
          <w:sz w:val="22"/>
          <w:szCs w:val="22"/>
        </w:rPr>
        <w:t xml:space="preserve"> en lo sucesivo</w:t>
      </w:r>
      <w:r w:rsidRPr="00794DAB">
        <w:rPr>
          <w:rFonts w:ascii="Palatino Linotype" w:eastAsia="Palatino Linotype" w:hAnsi="Palatino Linotype" w:cs="Palatino Linotype"/>
          <w:b/>
          <w:sz w:val="22"/>
          <w:szCs w:val="22"/>
        </w:rPr>
        <w:t xml:space="preserve"> la parte</w:t>
      </w:r>
      <w:r w:rsidRPr="00794DAB">
        <w:rPr>
          <w:rFonts w:ascii="Palatino Linotype" w:eastAsia="Palatino Linotype" w:hAnsi="Palatino Linotype" w:cs="Palatino Linotype"/>
          <w:sz w:val="22"/>
          <w:szCs w:val="22"/>
        </w:rPr>
        <w:t xml:space="preserve"> </w:t>
      </w:r>
      <w:r w:rsidRPr="00794DAB">
        <w:rPr>
          <w:rFonts w:ascii="Palatino Linotype" w:eastAsia="Palatino Linotype" w:hAnsi="Palatino Linotype" w:cs="Palatino Linotype"/>
          <w:b/>
          <w:sz w:val="22"/>
          <w:szCs w:val="22"/>
        </w:rPr>
        <w:t>Recurrente,</w:t>
      </w:r>
      <w:r w:rsidRPr="00794DAB">
        <w:rPr>
          <w:rFonts w:ascii="Palatino Linotype" w:eastAsia="Palatino Linotype" w:hAnsi="Palatino Linotype" w:cs="Palatino Linotype"/>
          <w:sz w:val="22"/>
          <w:szCs w:val="22"/>
        </w:rPr>
        <w:t xml:space="preserve"> en contra de la respuesta a su solicitud por parte de</w:t>
      </w:r>
      <w:r w:rsidR="00C639A7" w:rsidRPr="00794DAB">
        <w:rPr>
          <w:rFonts w:ascii="Palatino Linotype" w:eastAsia="Palatino Linotype" w:hAnsi="Palatino Linotype" w:cs="Palatino Linotype"/>
          <w:sz w:val="22"/>
          <w:szCs w:val="22"/>
        </w:rPr>
        <w:t>l</w:t>
      </w:r>
      <w:r w:rsidR="005D49DE" w:rsidRPr="00794DAB">
        <w:rPr>
          <w:rFonts w:ascii="Palatino Linotype" w:eastAsia="Palatino Linotype" w:hAnsi="Palatino Linotype" w:cs="Palatino Linotype"/>
          <w:sz w:val="22"/>
          <w:szCs w:val="22"/>
        </w:rPr>
        <w:t xml:space="preserve"> </w:t>
      </w:r>
      <w:r w:rsidR="00C639A7" w:rsidRPr="00794DAB">
        <w:rPr>
          <w:rFonts w:ascii="Palatino Linotype" w:eastAsia="Palatino Linotype" w:hAnsi="Palatino Linotype" w:cs="Palatino Linotype"/>
          <w:b/>
          <w:sz w:val="22"/>
          <w:szCs w:val="22"/>
        </w:rPr>
        <w:t>Ayuntamiento de Toluca</w:t>
      </w:r>
      <w:r w:rsidR="00C30DDF" w:rsidRPr="00794DAB">
        <w:rPr>
          <w:rFonts w:ascii="Palatino Linotype" w:eastAsia="Palatino Linotype" w:hAnsi="Palatino Linotype" w:cs="Palatino Linotype"/>
          <w:b/>
          <w:bCs/>
          <w:sz w:val="22"/>
          <w:szCs w:val="22"/>
        </w:rPr>
        <w:t>,</w:t>
      </w:r>
      <w:r w:rsidRPr="00794DAB">
        <w:rPr>
          <w:rFonts w:ascii="Palatino Linotype" w:eastAsia="Palatino Linotype" w:hAnsi="Palatino Linotype" w:cs="Palatino Linotype"/>
          <w:b/>
          <w:sz w:val="22"/>
          <w:szCs w:val="22"/>
        </w:rPr>
        <w:t xml:space="preserve"> </w:t>
      </w:r>
      <w:r w:rsidRPr="00794DAB">
        <w:rPr>
          <w:rFonts w:ascii="Palatino Linotype" w:eastAsia="Palatino Linotype" w:hAnsi="Palatino Linotype" w:cs="Palatino Linotype"/>
          <w:sz w:val="22"/>
          <w:szCs w:val="22"/>
        </w:rPr>
        <w:t xml:space="preserve">en lo sucesivo el </w:t>
      </w:r>
      <w:r w:rsidRPr="00794DAB">
        <w:rPr>
          <w:rFonts w:ascii="Palatino Linotype" w:eastAsia="Palatino Linotype" w:hAnsi="Palatino Linotype" w:cs="Palatino Linotype"/>
          <w:b/>
          <w:sz w:val="22"/>
          <w:szCs w:val="22"/>
        </w:rPr>
        <w:t xml:space="preserve">Sujeto Obligado, </w:t>
      </w:r>
      <w:r w:rsidRPr="00794DAB">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794DAB" w:rsidRDefault="00D41CCE">
      <w:pPr>
        <w:spacing w:before="240" w:after="240" w:line="360" w:lineRule="auto"/>
        <w:jc w:val="center"/>
        <w:rPr>
          <w:rFonts w:ascii="Palatino Linotype" w:eastAsia="Palatino Linotype" w:hAnsi="Palatino Linotype" w:cs="Palatino Linotype"/>
          <w:b/>
          <w:sz w:val="22"/>
          <w:szCs w:val="22"/>
        </w:rPr>
      </w:pPr>
      <w:r w:rsidRPr="00794DAB">
        <w:rPr>
          <w:rFonts w:ascii="Palatino Linotype" w:eastAsia="Palatino Linotype" w:hAnsi="Palatino Linotype" w:cs="Palatino Linotype"/>
          <w:b/>
          <w:sz w:val="22"/>
          <w:szCs w:val="22"/>
        </w:rPr>
        <w:t>I. A N T E C E D E N T E S</w:t>
      </w:r>
    </w:p>
    <w:p w14:paraId="336C0FED" w14:textId="72EF9BB2" w:rsidR="00566EB9" w:rsidRPr="00794DAB" w:rsidRDefault="00D41CCE">
      <w:pPr>
        <w:spacing w:before="240" w:after="240" w:line="360" w:lineRule="auto"/>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b/>
          <w:sz w:val="22"/>
          <w:szCs w:val="22"/>
        </w:rPr>
        <w:t>1. Solicitud de acceso a la información.</w:t>
      </w:r>
      <w:r w:rsidRPr="00794DAB">
        <w:rPr>
          <w:rFonts w:ascii="Palatino Linotype" w:eastAsia="Palatino Linotype" w:hAnsi="Palatino Linotype" w:cs="Palatino Linotype"/>
          <w:sz w:val="22"/>
          <w:szCs w:val="22"/>
        </w:rPr>
        <w:t xml:space="preserve"> El</w:t>
      </w:r>
      <w:r w:rsidR="00B253BE" w:rsidRPr="00794DAB">
        <w:rPr>
          <w:rFonts w:ascii="Palatino Linotype" w:eastAsia="Palatino Linotype" w:hAnsi="Palatino Linotype" w:cs="Palatino Linotype"/>
          <w:sz w:val="22"/>
          <w:szCs w:val="22"/>
        </w:rPr>
        <w:t xml:space="preserve"> </w:t>
      </w:r>
      <w:r w:rsidR="00F561F5" w:rsidRPr="00794DAB">
        <w:rPr>
          <w:rFonts w:ascii="Palatino Linotype" w:eastAsia="Palatino Linotype" w:hAnsi="Palatino Linotype" w:cs="Palatino Linotype"/>
          <w:b/>
          <w:sz w:val="22"/>
          <w:szCs w:val="22"/>
        </w:rPr>
        <w:t>tres de septiembre</w:t>
      </w:r>
      <w:r w:rsidR="00B253BE" w:rsidRPr="00794DAB">
        <w:rPr>
          <w:rFonts w:ascii="Palatino Linotype" w:eastAsia="Palatino Linotype" w:hAnsi="Palatino Linotype" w:cs="Palatino Linotype"/>
          <w:b/>
          <w:sz w:val="22"/>
          <w:szCs w:val="22"/>
        </w:rPr>
        <w:t xml:space="preserve"> de dos mil veinticinco</w:t>
      </w:r>
      <w:r w:rsidRPr="00794DAB">
        <w:rPr>
          <w:rFonts w:ascii="Palatino Linotype" w:eastAsia="Palatino Linotype" w:hAnsi="Palatino Linotype" w:cs="Palatino Linotype"/>
          <w:b/>
          <w:sz w:val="22"/>
          <w:szCs w:val="22"/>
        </w:rPr>
        <w:t>,</w:t>
      </w:r>
      <w:r w:rsidRPr="00794DAB">
        <w:rPr>
          <w:rFonts w:ascii="Palatino Linotype" w:eastAsia="Palatino Linotype" w:hAnsi="Palatino Linotype" w:cs="Palatino Linotype"/>
          <w:sz w:val="22"/>
          <w:szCs w:val="22"/>
        </w:rPr>
        <w:t xml:space="preserve"> </w:t>
      </w:r>
      <w:r w:rsidRPr="00794DAB">
        <w:rPr>
          <w:rFonts w:ascii="Palatino Linotype" w:eastAsia="Palatino Linotype" w:hAnsi="Palatino Linotype" w:cs="Palatino Linotype"/>
          <w:b/>
          <w:sz w:val="22"/>
          <w:szCs w:val="22"/>
        </w:rPr>
        <w:t>la parte</w:t>
      </w:r>
      <w:r w:rsidRPr="00794DAB">
        <w:rPr>
          <w:rFonts w:ascii="Palatino Linotype" w:eastAsia="Palatino Linotype" w:hAnsi="Palatino Linotype" w:cs="Palatino Linotype"/>
          <w:sz w:val="22"/>
          <w:szCs w:val="22"/>
        </w:rPr>
        <w:t xml:space="preserve"> </w:t>
      </w:r>
      <w:r w:rsidRPr="00794DAB">
        <w:rPr>
          <w:rFonts w:ascii="Palatino Linotype" w:eastAsia="Palatino Linotype" w:hAnsi="Palatino Linotype" w:cs="Palatino Linotype"/>
          <w:b/>
          <w:sz w:val="22"/>
          <w:szCs w:val="22"/>
        </w:rPr>
        <w:t xml:space="preserve">Recurrente </w:t>
      </w:r>
      <w:r w:rsidRPr="00794DAB">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794DAB">
        <w:rPr>
          <w:rFonts w:ascii="Palatino Linotype" w:eastAsia="Palatino Linotype" w:hAnsi="Palatino Linotype" w:cs="Palatino Linotype"/>
          <w:b/>
          <w:sz w:val="22"/>
          <w:szCs w:val="22"/>
        </w:rPr>
        <w:t>Sujeto Obligado</w:t>
      </w:r>
      <w:r w:rsidRPr="00794DAB">
        <w:rPr>
          <w:rFonts w:ascii="Palatino Linotype" w:eastAsia="Palatino Linotype" w:hAnsi="Palatino Linotype" w:cs="Palatino Linotype"/>
          <w:sz w:val="22"/>
          <w:szCs w:val="22"/>
        </w:rPr>
        <w:t xml:space="preserve">, la solicitud de acceso a la información pública a la que se le asignó el </w:t>
      </w:r>
      <w:r w:rsidR="005D6FD9" w:rsidRPr="00794DAB">
        <w:rPr>
          <w:rFonts w:ascii="Palatino Linotype" w:eastAsia="Palatino Linotype" w:hAnsi="Palatino Linotype" w:cs="Palatino Linotype"/>
          <w:sz w:val="22"/>
          <w:szCs w:val="22"/>
        </w:rPr>
        <w:t>número</w:t>
      </w:r>
      <w:r w:rsidR="001226FF" w:rsidRPr="00794DAB">
        <w:rPr>
          <w:rFonts w:ascii="Palatino Linotype" w:eastAsia="Palatino Linotype" w:hAnsi="Palatino Linotype" w:cs="Palatino Linotype"/>
          <w:sz w:val="22"/>
          <w:szCs w:val="22"/>
        </w:rPr>
        <w:t xml:space="preserve"> </w:t>
      </w:r>
      <w:r w:rsidR="00F561F5" w:rsidRPr="00794DAB">
        <w:rPr>
          <w:rFonts w:ascii="Palatino Linotype" w:eastAsia="Palatino Linotype" w:hAnsi="Palatino Linotype" w:cs="Palatino Linotype"/>
          <w:b/>
          <w:bCs/>
          <w:sz w:val="22"/>
          <w:szCs w:val="22"/>
        </w:rPr>
        <w:t>04432/TOLUCA/IP/2025</w:t>
      </w:r>
      <w:r w:rsidR="00B253BE" w:rsidRPr="00794DAB">
        <w:rPr>
          <w:rFonts w:ascii="Palatino Linotype" w:eastAsia="Palatino Linotype" w:hAnsi="Palatino Linotype" w:cs="Palatino Linotype"/>
          <w:b/>
          <w:sz w:val="22"/>
          <w:szCs w:val="22"/>
        </w:rPr>
        <w:t>;</w:t>
      </w:r>
      <w:r w:rsidR="009E4671" w:rsidRPr="00794DAB">
        <w:rPr>
          <w:rFonts w:ascii="Palatino Linotype" w:eastAsia="Palatino Linotype" w:hAnsi="Palatino Linotype" w:cs="Palatino Linotype"/>
          <w:sz w:val="22"/>
          <w:szCs w:val="22"/>
        </w:rPr>
        <w:t xml:space="preserve"> </w:t>
      </w:r>
      <w:r w:rsidRPr="00794DAB">
        <w:rPr>
          <w:rFonts w:ascii="Palatino Linotype" w:eastAsia="Palatino Linotype" w:hAnsi="Palatino Linotype" w:cs="Palatino Linotype"/>
          <w:sz w:val="22"/>
          <w:szCs w:val="22"/>
        </w:rPr>
        <w:t xml:space="preserve">mediante la cual requirió la información siguiente: </w:t>
      </w:r>
    </w:p>
    <w:p w14:paraId="53ABC3AC" w14:textId="2B055EC2" w:rsidR="00566EB9" w:rsidRPr="00794DAB" w:rsidRDefault="008C4074" w:rsidP="008C4074">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794DAB">
        <w:rPr>
          <w:rFonts w:ascii="Palatino Linotype" w:eastAsia="Palatino Linotype" w:hAnsi="Palatino Linotype" w:cs="Palatino Linotype"/>
          <w:i/>
          <w:sz w:val="22"/>
          <w:szCs w:val="22"/>
        </w:rPr>
        <w:t>“</w:t>
      </w:r>
      <w:r w:rsidR="00F561F5" w:rsidRPr="00794DAB">
        <w:rPr>
          <w:rFonts w:ascii="Palatino Linotype" w:eastAsia="Palatino Linotype" w:hAnsi="Palatino Linotype" w:cs="Palatino Linotype"/>
          <w:i/>
          <w:sz w:val="22"/>
          <w:szCs w:val="22"/>
        </w:rPr>
        <w:t>Solicito el diagnóstico de movilidad para personas con Discapacidad en Toluca, o el documento que da soporte al cambio delos semáforos a semáforos inteligentes en el centro de toluca, así como el costo de cada uno de los cruces peatonales inteligentes del primer cuadro de la ciudad.</w:t>
      </w:r>
      <w:r w:rsidR="00C30DDF" w:rsidRPr="00794DAB">
        <w:rPr>
          <w:rFonts w:ascii="Palatino Linotype" w:eastAsia="Palatino Linotype" w:hAnsi="Palatino Linotype" w:cs="Palatino Linotype"/>
          <w:i/>
          <w:sz w:val="22"/>
          <w:szCs w:val="22"/>
        </w:rPr>
        <w:t>”</w:t>
      </w:r>
      <w:r w:rsidR="00D41CCE" w:rsidRPr="00794DAB">
        <w:rPr>
          <w:rFonts w:ascii="Palatino Linotype" w:eastAsia="Palatino Linotype" w:hAnsi="Palatino Linotype" w:cs="Palatino Linotype"/>
          <w:i/>
          <w:sz w:val="22"/>
          <w:szCs w:val="22"/>
        </w:rPr>
        <w:t xml:space="preserve"> (Sic) </w:t>
      </w:r>
    </w:p>
    <w:p w14:paraId="7F7E8FBF" w14:textId="77777777" w:rsidR="00566EB9" w:rsidRPr="00794DAB" w:rsidRDefault="00D41CCE">
      <w:pPr>
        <w:spacing w:before="240" w:after="240" w:line="360" w:lineRule="auto"/>
        <w:ind w:right="49"/>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b/>
          <w:sz w:val="22"/>
          <w:szCs w:val="22"/>
        </w:rPr>
        <w:t>Modalidad de Entrega:</w:t>
      </w:r>
      <w:r w:rsidRPr="00794DAB">
        <w:rPr>
          <w:rFonts w:ascii="Palatino Linotype" w:eastAsia="Palatino Linotype" w:hAnsi="Palatino Linotype" w:cs="Palatino Linotype"/>
          <w:sz w:val="22"/>
          <w:szCs w:val="22"/>
        </w:rPr>
        <w:t xml:space="preserve"> a través del Sistema de Acceso a la Información Mexiquense (SAIMEX).</w:t>
      </w:r>
    </w:p>
    <w:p w14:paraId="355D92AA" w14:textId="3D897228" w:rsidR="00566EB9" w:rsidRPr="00794DAB"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794DAB">
        <w:rPr>
          <w:rFonts w:ascii="Palatino Linotype" w:eastAsia="Palatino Linotype" w:hAnsi="Palatino Linotype" w:cs="Palatino Linotype"/>
          <w:b/>
          <w:sz w:val="22"/>
          <w:szCs w:val="22"/>
        </w:rPr>
        <w:lastRenderedPageBreak/>
        <w:t>2.</w:t>
      </w:r>
      <w:r w:rsidRPr="00794DAB">
        <w:t xml:space="preserve"> </w:t>
      </w:r>
      <w:r w:rsidR="0096349E" w:rsidRPr="00794DAB">
        <w:rPr>
          <w:rFonts w:ascii="Palatino Linotype" w:eastAsia="Palatino Linotype" w:hAnsi="Palatino Linotype" w:cs="Palatino Linotype"/>
          <w:b/>
          <w:sz w:val="22"/>
          <w:szCs w:val="22"/>
        </w:rPr>
        <w:t>Respuesta</w:t>
      </w:r>
      <w:r w:rsidRPr="00794DAB">
        <w:rPr>
          <w:rFonts w:ascii="Palatino Linotype" w:eastAsia="Palatino Linotype" w:hAnsi="Palatino Linotype" w:cs="Palatino Linotype"/>
          <w:b/>
          <w:sz w:val="22"/>
          <w:szCs w:val="22"/>
        </w:rPr>
        <w:t xml:space="preserve">. </w:t>
      </w:r>
      <w:r w:rsidRPr="00794DAB">
        <w:rPr>
          <w:rFonts w:ascii="Palatino Linotype" w:eastAsia="Palatino Linotype" w:hAnsi="Palatino Linotype" w:cs="Palatino Linotype"/>
          <w:sz w:val="22"/>
          <w:szCs w:val="22"/>
        </w:rPr>
        <w:t xml:space="preserve">El </w:t>
      </w:r>
      <w:r w:rsidR="00F561F5" w:rsidRPr="00794DAB">
        <w:rPr>
          <w:rFonts w:ascii="Palatino Linotype" w:eastAsia="Palatino Linotype" w:hAnsi="Palatino Linotype" w:cs="Palatino Linotype"/>
          <w:b/>
          <w:sz w:val="22"/>
          <w:szCs w:val="22"/>
        </w:rPr>
        <w:t>veintitrés de septiembre</w:t>
      </w:r>
      <w:r w:rsidR="005D6FD9" w:rsidRPr="00794DAB">
        <w:rPr>
          <w:rFonts w:ascii="Palatino Linotype" w:eastAsia="Palatino Linotype" w:hAnsi="Palatino Linotype" w:cs="Palatino Linotype"/>
          <w:b/>
          <w:sz w:val="22"/>
          <w:szCs w:val="22"/>
        </w:rPr>
        <w:t xml:space="preserve"> </w:t>
      </w:r>
      <w:r w:rsidR="0096349E" w:rsidRPr="00794DAB">
        <w:rPr>
          <w:rFonts w:ascii="Palatino Linotype" w:eastAsia="Palatino Linotype" w:hAnsi="Palatino Linotype" w:cs="Palatino Linotype"/>
          <w:b/>
          <w:sz w:val="22"/>
          <w:szCs w:val="22"/>
        </w:rPr>
        <w:t xml:space="preserve">de </w:t>
      </w:r>
      <w:r w:rsidRPr="00794DAB">
        <w:rPr>
          <w:rFonts w:ascii="Palatino Linotype" w:eastAsia="Palatino Linotype" w:hAnsi="Palatino Linotype" w:cs="Palatino Linotype"/>
          <w:b/>
          <w:sz w:val="22"/>
          <w:szCs w:val="22"/>
        </w:rPr>
        <w:t>dos mil veinticinco</w:t>
      </w:r>
      <w:r w:rsidRPr="00794DAB">
        <w:rPr>
          <w:rFonts w:ascii="Palatino Linotype" w:eastAsia="Palatino Linotype" w:hAnsi="Palatino Linotype" w:cs="Palatino Linotype"/>
          <w:sz w:val="22"/>
          <w:szCs w:val="22"/>
        </w:rPr>
        <w:t xml:space="preserve">, el </w:t>
      </w:r>
      <w:r w:rsidRPr="00794DAB">
        <w:rPr>
          <w:rFonts w:ascii="Palatino Linotype" w:eastAsia="Palatino Linotype" w:hAnsi="Palatino Linotype" w:cs="Palatino Linotype"/>
          <w:b/>
          <w:sz w:val="22"/>
          <w:szCs w:val="22"/>
        </w:rPr>
        <w:t xml:space="preserve">Sujeto Obligado </w:t>
      </w:r>
      <w:r w:rsidRPr="00794DAB">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13D61F5B" w:rsidR="00566EB9" w:rsidRPr="00794DAB" w:rsidRDefault="00D41CCE">
      <w:pPr>
        <w:spacing w:before="240" w:after="240"/>
        <w:ind w:left="567" w:right="902"/>
        <w:jc w:val="both"/>
        <w:rPr>
          <w:rFonts w:ascii="Palatino Linotype" w:eastAsia="Palatino Linotype" w:hAnsi="Palatino Linotype" w:cs="Palatino Linotype"/>
          <w:i/>
          <w:sz w:val="22"/>
          <w:szCs w:val="22"/>
        </w:rPr>
      </w:pPr>
      <w:r w:rsidRPr="00794DAB">
        <w:rPr>
          <w:rFonts w:ascii="Palatino Linotype" w:eastAsia="Palatino Linotype" w:hAnsi="Palatino Linotype" w:cs="Palatino Linotype"/>
          <w:i/>
          <w:sz w:val="22"/>
          <w:szCs w:val="22"/>
        </w:rPr>
        <w:t>“</w:t>
      </w:r>
      <w:r w:rsidR="00F561F5" w:rsidRPr="00794DAB">
        <w:rPr>
          <w:rFonts w:ascii="Palatino Linotype" w:eastAsia="Palatino Linotype" w:hAnsi="Palatino Linotype" w:cs="Palatino Linotype"/>
          <w:i/>
          <w:sz w:val="22"/>
          <w:szCs w:val="22"/>
        </w:rPr>
        <w:t>En atención a la solicitud con folio 04432/TOLUCA/IP/2025, me permito adjuntar al presente la respuesta correspondiente, Sin más por el momento, reciba un saludo.</w:t>
      </w:r>
      <w:r w:rsidRPr="00794DAB">
        <w:rPr>
          <w:rFonts w:ascii="Palatino Linotype" w:eastAsia="Palatino Linotype" w:hAnsi="Palatino Linotype" w:cs="Palatino Linotype"/>
          <w:i/>
          <w:sz w:val="22"/>
          <w:szCs w:val="22"/>
        </w:rPr>
        <w:t>” (Sic)</w:t>
      </w:r>
    </w:p>
    <w:p w14:paraId="11758A54" w14:textId="5E07B7F0" w:rsidR="00566EB9" w:rsidRPr="00794DAB"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sz w:val="22"/>
          <w:szCs w:val="22"/>
        </w:rPr>
        <w:t xml:space="preserve">Adjunto a la respuesta, el </w:t>
      </w:r>
      <w:r w:rsidRPr="00794DAB">
        <w:rPr>
          <w:rFonts w:ascii="Palatino Linotype" w:eastAsia="Palatino Linotype" w:hAnsi="Palatino Linotype" w:cs="Palatino Linotype"/>
          <w:b/>
          <w:sz w:val="22"/>
          <w:szCs w:val="22"/>
        </w:rPr>
        <w:t xml:space="preserve">Sujeto Obligado </w:t>
      </w:r>
      <w:r w:rsidRPr="00794DAB">
        <w:rPr>
          <w:rFonts w:ascii="Palatino Linotype" w:eastAsia="Palatino Linotype" w:hAnsi="Palatino Linotype" w:cs="Palatino Linotype"/>
          <w:sz w:val="22"/>
          <w:szCs w:val="22"/>
        </w:rPr>
        <w:t xml:space="preserve">hizo entrega </w:t>
      </w:r>
      <w:r w:rsidR="006C0C4B" w:rsidRPr="00794DAB">
        <w:rPr>
          <w:rFonts w:ascii="Palatino Linotype" w:eastAsia="Palatino Linotype" w:hAnsi="Palatino Linotype" w:cs="Palatino Linotype"/>
          <w:sz w:val="22"/>
          <w:szCs w:val="22"/>
        </w:rPr>
        <w:t xml:space="preserve">de </w:t>
      </w:r>
      <w:r w:rsidRPr="00794DAB">
        <w:rPr>
          <w:rFonts w:ascii="Palatino Linotype" w:eastAsia="Palatino Linotype" w:hAnsi="Palatino Linotype" w:cs="Palatino Linotype"/>
          <w:sz w:val="22"/>
          <w:szCs w:val="22"/>
        </w:rPr>
        <w:t>la siguiente información:</w:t>
      </w:r>
    </w:p>
    <w:p w14:paraId="5787ACDE" w14:textId="77777777" w:rsidR="00EC59B4" w:rsidRPr="00794DAB" w:rsidRDefault="00EC59B4">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0AFFA2A9" w14:textId="07A60CCA" w:rsidR="00EC59B4" w:rsidRPr="00794DAB" w:rsidRDefault="00EC59B4" w:rsidP="00A969A4">
      <w:pPr>
        <w:pStyle w:val="Prrafodelista"/>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sz w:val="22"/>
          <w:szCs w:val="22"/>
        </w:rPr>
        <w:t xml:space="preserve">Oficio del </w:t>
      </w:r>
      <w:r w:rsidR="00F561F5" w:rsidRPr="00794DAB">
        <w:rPr>
          <w:rFonts w:ascii="Palatino Linotype" w:eastAsia="Palatino Linotype" w:hAnsi="Palatino Linotype" w:cs="Palatino Linotype"/>
          <w:sz w:val="22"/>
          <w:szCs w:val="22"/>
        </w:rPr>
        <w:t>08 de septiembre</w:t>
      </w:r>
      <w:r w:rsidR="00C639A7" w:rsidRPr="00794DAB">
        <w:rPr>
          <w:rFonts w:ascii="Palatino Linotype" w:eastAsia="Palatino Linotype" w:hAnsi="Palatino Linotype" w:cs="Palatino Linotype"/>
          <w:sz w:val="22"/>
          <w:szCs w:val="22"/>
        </w:rPr>
        <w:t xml:space="preserve"> de 2025, a través del cual el </w:t>
      </w:r>
      <w:r w:rsidR="00F561F5" w:rsidRPr="00794DAB">
        <w:rPr>
          <w:rFonts w:ascii="Palatino Linotype" w:eastAsia="Palatino Linotype" w:hAnsi="Palatino Linotype" w:cs="Palatino Linotype"/>
          <w:sz w:val="22"/>
          <w:szCs w:val="22"/>
        </w:rPr>
        <w:t xml:space="preserve">Tesorero Municipal informó que </w:t>
      </w:r>
      <w:r w:rsidR="00F561F5" w:rsidRPr="00794DAB">
        <w:rPr>
          <w:rFonts w:ascii="Palatino Linotype" w:eastAsia="Palatino Linotype" w:hAnsi="Palatino Linotype" w:cs="Palatino Linotype"/>
          <w:sz w:val="22"/>
          <w:szCs w:val="22"/>
          <w:lang w:val="es-MX"/>
        </w:rPr>
        <w:t>una vez realizada una búsqueda exhaustiva en sus archivos, no se cuenta con registro financiero, documental, contable o presupuestal que ampare la información solicitada.</w:t>
      </w:r>
    </w:p>
    <w:p w14:paraId="61475590" w14:textId="77777777" w:rsidR="00C639A7" w:rsidRPr="00794DAB" w:rsidRDefault="00C639A7" w:rsidP="00C639A7">
      <w:pPr>
        <w:pStyle w:val="Prrafodelista"/>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rPr>
      </w:pPr>
    </w:p>
    <w:p w14:paraId="59BB4C5D" w14:textId="0B4A857A" w:rsidR="00C639A7" w:rsidRPr="00794DAB" w:rsidRDefault="00C639A7" w:rsidP="00A969A4">
      <w:pPr>
        <w:pStyle w:val="Prrafodelista"/>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sz w:val="22"/>
          <w:szCs w:val="22"/>
        </w:rPr>
        <w:t xml:space="preserve">Oficio del </w:t>
      </w:r>
      <w:r w:rsidR="005B2CCB" w:rsidRPr="00794DAB">
        <w:rPr>
          <w:rFonts w:ascii="Palatino Linotype" w:eastAsia="Palatino Linotype" w:hAnsi="Palatino Linotype" w:cs="Palatino Linotype"/>
          <w:sz w:val="22"/>
          <w:szCs w:val="22"/>
        </w:rPr>
        <w:t>08 de septiembre de 2025, a través del cual el Director General de Servicios Públicos señaló que esa Dirección no tiene atribuciones para poseer la información y documentación solicitada.</w:t>
      </w:r>
    </w:p>
    <w:p w14:paraId="5DA7B9B6" w14:textId="77777777" w:rsidR="00AA0C85" w:rsidRPr="00794DAB" w:rsidRDefault="00AA0C85" w:rsidP="00AA0C85">
      <w:pPr>
        <w:pStyle w:val="Prrafodelista"/>
        <w:rPr>
          <w:rFonts w:ascii="Palatino Linotype" w:eastAsia="Palatino Linotype" w:hAnsi="Palatino Linotype" w:cs="Palatino Linotype"/>
          <w:sz w:val="22"/>
          <w:szCs w:val="22"/>
        </w:rPr>
      </w:pPr>
    </w:p>
    <w:p w14:paraId="7EBED862" w14:textId="4D774B53" w:rsidR="0067755B" w:rsidRPr="00794DAB" w:rsidRDefault="00AA0C85" w:rsidP="00616B9F">
      <w:pPr>
        <w:pStyle w:val="Prrafodelista"/>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sz w:val="22"/>
          <w:szCs w:val="22"/>
        </w:rPr>
        <w:t xml:space="preserve">Oficio del </w:t>
      </w:r>
      <w:r w:rsidR="005B2CCB" w:rsidRPr="00794DAB">
        <w:rPr>
          <w:rFonts w:ascii="Palatino Linotype" w:eastAsia="Palatino Linotype" w:hAnsi="Palatino Linotype" w:cs="Palatino Linotype"/>
          <w:sz w:val="22"/>
          <w:szCs w:val="22"/>
        </w:rPr>
        <w:t>12 de septiembre de 2025, a través del cual el Director General de Obras Públicas señaló; en primer lugar, que sobre los requerimientos relativos a “.</w:t>
      </w:r>
      <w:r w:rsidR="005B2CCB" w:rsidRPr="00794DAB">
        <w:rPr>
          <w:rFonts w:ascii="Palatino Linotype" w:eastAsia="Palatino Linotype" w:hAnsi="Palatino Linotype" w:cs="Palatino Linotype"/>
          <w:i/>
          <w:sz w:val="22"/>
          <w:szCs w:val="22"/>
        </w:rPr>
        <w:t>.</w:t>
      </w:r>
      <w:r w:rsidR="005B2CCB" w:rsidRPr="00794DAB">
        <w:rPr>
          <w:rFonts w:ascii="Palatino Linotype" w:eastAsia="Palatino Linotype" w:hAnsi="Palatino Linotype" w:cs="Palatino Linotype"/>
          <w:i/>
          <w:sz w:val="22"/>
          <w:szCs w:val="22"/>
          <w:lang w:val="es-MX"/>
        </w:rPr>
        <w:t>.diagnóstico de movilidad para personas con discapacidad de toluca…</w:t>
      </w:r>
      <w:r w:rsidR="005B2CCB" w:rsidRPr="00794DAB">
        <w:rPr>
          <w:rFonts w:ascii="Palatino Linotype" w:eastAsia="Palatino Linotype" w:hAnsi="Palatino Linotype" w:cs="Palatino Linotype"/>
          <w:sz w:val="22"/>
          <w:szCs w:val="22"/>
        </w:rPr>
        <w:t xml:space="preserve">” y </w:t>
      </w:r>
      <w:r w:rsidR="005B2CCB" w:rsidRPr="00794DAB">
        <w:rPr>
          <w:rFonts w:ascii="Palatino Linotype" w:eastAsia="Palatino Linotype" w:hAnsi="Palatino Linotype" w:cs="Palatino Linotype"/>
          <w:i/>
          <w:sz w:val="22"/>
          <w:szCs w:val="22"/>
        </w:rPr>
        <w:t>“...documento que da soporte al cambio de los semáforos a semáforos inteligentes en el centro de toluca…</w:t>
      </w:r>
      <w:r w:rsidR="005B2CCB" w:rsidRPr="00794DAB">
        <w:rPr>
          <w:rFonts w:ascii="Palatino Linotype" w:eastAsia="Palatino Linotype" w:hAnsi="Palatino Linotype" w:cs="Palatino Linotype"/>
          <w:sz w:val="22"/>
          <w:szCs w:val="22"/>
        </w:rPr>
        <w:t xml:space="preserve">”, </w:t>
      </w:r>
      <w:r w:rsidR="005B2CCB" w:rsidRPr="00794DAB">
        <w:rPr>
          <w:rFonts w:ascii="Palatino Linotype" w:eastAsia="Palatino Linotype" w:hAnsi="Palatino Linotype" w:cs="Palatino Linotype"/>
          <w:sz w:val="22"/>
          <w:szCs w:val="22"/>
          <w:lang w:val="es-MX"/>
        </w:rPr>
        <w:t>no es competencia, ni atribución de esa Dirección General, generar ni administrar el diagnóstico solicitado ni la información relacionada con el cambio de semáforos requeridos, aunado a que de la búsqueda efectuada no se localizó expresión documental que dé cuenta de lo requerido; y, en segundo lugar, que en lo concerniente al “…</w:t>
      </w:r>
      <w:r w:rsidR="005B2CCB" w:rsidRPr="00794DAB">
        <w:rPr>
          <w:rFonts w:ascii="Palatino Linotype" w:eastAsia="Palatino Linotype" w:hAnsi="Palatino Linotype" w:cs="Palatino Linotype"/>
          <w:i/>
          <w:sz w:val="22"/>
          <w:szCs w:val="22"/>
          <w:lang w:val="es-MX"/>
        </w:rPr>
        <w:t>costo de cada uno de los cruces peatonales inteligentes del primer cuadro de la ciudad</w:t>
      </w:r>
      <w:r w:rsidR="005B2CCB" w:rsidRPr="00794DAB">
        <w:rPr>
          <w:rFonts w:ascii="Palatino Linotype" w:eastAsia="Palatino Linotype" w:hAnsi="Palatino Linotype" w:cs="Palatino Linotype"/>
          <w:sz w:val="22"/>
          <w:szCs w:val="22"/>
          <w:lang w:val="es-MX"/>
        </w:rPr>
        <w:t xml:space="preserve">…”, informa que la construcción de pasos peatonales inteligentes para el fortalecimiento de la seguridad vial en diversas </w:t>
      </w:r>
      <w:r w:rsidR="005B2CCB" w:rsidRPr="00794DAB">
        <w:rPr>
          <w:rFonts w:ascii="Palatino Linotype" w:eastAsia="Palatino Linotype" w:hAnsi="Palatino Linotype" w:cs="Palatino Linotype"/>
          <w:sz w:val="22"/>
          <w:szCs w:val="22"/>
          <w:lang w:val="es-MX"/>
        </w:rPr>
        <w:lastRenderedPageBreak/>
        <w:t>calles del centro histórico del municipio de Toluca, haciende a un monto contratado de $14,749,455.82 (catorce millones setecientos cuarenta y nueve mil cuatrocientos cincuenta y cinco pesos 82/100 m.n.).</w:t>
      </w:r>
    </w:p>
    <w:p w14:paraId="04BE23EC" w14:textId="77777777" w:rsidR="005B2CCB" w:rsidRPr="00794DAB" w:rsidRDefault="005B2CCB" w:rsidP="005B2CCB">
      <w:pPr>
        <w:pStyle w:val="Prrafodelista"/>
        <w:rPr>
          <w:rFonts w:ascii="Palatino Linotype" w:eastAsia="Palatino Linotype" w:hAnsi="Palatino Linotype" w:cs="Palatino Linotype"/>
          <w:sz w:val="22"/>
          <w:szCs w:val="22"/>
        </w:rPr>
      </w:pPr>
    </w:p>
    <w:p w14:paraId="1CA51909" w14:textId="45453F20" w:rsidR="005B2CCB" w:rsidRPr="00794DAB" w:rsidRDefault="00CC1934" w:rsidP="005B2CCB">
      <w:pPr>
        <w:pStyle w:val="Prrafodelista"/>
        <w:numPr>
          <w:ilvl w:val="0"/>
          <w:numId w:val="3"/>
        </w:num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sz w:val="22"/>
          <w:szCs w:val="22"/>
        </w:rPr>
        <w:t xml:space="preserve">Oficio del 17 de septiembre de 2025, a través del cual el Director General de Innovación, Planeación y Gestión Urbana, refirió que </w:t>
      </w:r>
      <w:r w:rsidRPr="00794DAB">
        <w:rPr>
          <w:rFonts w:ascii="Palatino Linotype" w:eastAsia="Palatino Linotype" w:hAnsi="Palatino Linotype" w:cs="Palatino Linotype"/>
          <w:sz w:val="22"/>
          <w:szCs w:val="22"/>
          <w:lang w:val="es-MX"/>
        </w:rPr>
        <w:t>se realizó una búsqueda exhaustiva y razonable de la información objeto de la solicitud en los archivos que se encuentran bajo resguardo y custodia de esa Dirección General y, como resultado de la búsqueda, se no se encontró expresión documental que dé cuenta de lo solicitado.</w:t>
      </w:r>
    </w:p>
    <w:p w14:paraId="2E292150" w14:textId="77777777" w:rsidR="005B2CCB" w:rsidRPr="00794DAB" w:rsidRDefault="005B2CCB" w:rsidP="005B2CCB">
      <w:pPr>
        <w:pStyle w:val="Prrafodelista"/>
        <w:rPr>
          <w:rFonts w:ascii="Palatino Linotype" w:eastAsia="Palatino Linotype" w:hAnsi="Palatino Linotype" w:cs="Palatino Linotype"/>
          <w:sz w:val="22"/>
          <w:szCs w:val="22"/>
        </w:rPr>
      </w:pPr>
    </w:p>
    <w:p w14:paraId="496F4330" w14:textId="5D3E0F61" w:rsidR="00566EB9" w:rsidRPr="00794DAB"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794DAB">
        <w:rPr>
          <w:rFonts w:ascii="Palatino Linotype" w:eastAsia="Palatino Linotype" w:hAnsi="Palatino Linotype" w:cs="Palatino Linotype"/>
          <w:b/>
          <w:sz w:val="22"/>
          <w:szCs w:val="22"/>
        </w:rPr>
        <w:t xml:space="preserve">3. Interposición del recurso de revisión. </w:t>
      </w:r>
      <w:r w:rsidRPr="00794DAB">
        <w:rPr>
          <w:rFonts w:ascii="Palatino Linotype" w:eastAsia="Palatino Linotype" w:hAnsi="Palatino Linotype" w:cs="Palatino Linotype"/>
          <w:sz w:val="22"/>
          <w:szCs w:val="22"/>
        </w:rPr>
        <w:t xml:space="preserve">Inconforme con los términos de la respuesta emitida por parte del </w:t>
      </w:r>
      <w:r w:rsidRPr="00794DAB">
        <w:rPr>
          <w:rFonts w:ascii="Palatino Linotype" w:eastAsia="Palatino Linotype" w:hAnsi="Palatino Linotype" w:cs="Palatino Linotype"/>
          <w:b/>
          <w:sz w:val="22"/>
          <w:szCs w:val="22"/>
        </w:rPr>
        <w:t>Sujeto Obligado</w:t>
      </w:r>
      <w:r w:rsidRPr="00794DAB">
        <w:rPr>
          <w:rFonts w:ascii="Palatino Linotype" w:eastAsia="Palatino Linotype" w:hAnsi="Palatino Linotype" w:cs="Palatino Linotype"/>
          <w:sz w:val="22"/>
          <w:szCs w:val="22"/>
        </w:rPr>
        <w:t>, el</w:t>
      </w:r>
      <w:r w:rsidRPr="00794DAB">
        <w:rPr>
          <w:rFonts w:ascii="Palatino Linotype" w:eastAsia="Palatino Linotype" w:hAnsi="Palatino Linotype" w:cs="Palatino Linotype"/>
          <w:b/>
          <w:sz w:val="22"/>
          <w:szCs w:val="22"/>
        </w:rPr>
        <w:t xml:space="preserve"> </w:t>
      </w:r>
      <w:r w:rsidR="00746C6D" w:rsidRPr="00794DAB">
        <w:rPr>
          <w:rFonts w:ascii="Palatino Linotype" w:eastAsia="Palatino Linotype" w:hAnsi="Palatino Linotype" w:cs="Palatino Linotype"/>
          <w:b/>
          <w:sz w:val="22"/>
          <w:szCs w:val="22"/>
        </w:rPr>
        <w:t>veinticuatro de septiembre</w:t>
      </w:r>
      <w:r w:rsidR="00E3409C" w:rsidRPr="00794DAB">
        <w:rPr>
          <w:rFonts w:ascii="Palatino Linotype" w:eastAsia="Palatino Linotype" w:hAnsi="Palatino Linotype" w:cs="Palatino Linotype"/>
          <w:b/>
          <w:sz w:val="22"/>
          <w:szCs w:val="22"/>
        </w:rPr>
        <w:t xml:space="preserve"> de dos mil veinticinco,</w:t>
      </w:r>
      <w:r w:rsidRPr="00794DAB">
        <w:rPr>
          <w:rFonts w:ascii="Palatino Linotype" w:eastAsia="Palatino Linotype" w:hAnsi="Palatino Linotype" w:cs="Palatino Linotype"/>
          <w:sz w:val="22"/>
          <w:szCs w:val="22"/>
        </w:rPr>
        <w:t xml:space="preserve"> </w:t>
      </w:r>
      <w:r w:rsidRPr="00794DAB">
        <w:rPr>
          <w:rFonts w:ascii="Palatino Linotype" w:eastAsia="Palatino Linotype" w:hAnsi="Palatino Linotype" w:cs="Palatino Linotype"/>
          <w:b/>
          <w:sz w:val="22"/>
          <w:szCs w:val="22"/>
        </w:rPr>
        <w:t>la parte</w:t>
      </w:r>
      <w:r w:rsidRPr="00794DAB">
        <w:rPr>
          <w:rFonts w:ascii="Palatino Linotype" w:eastAsia="Palatino Linotype" w:hAnsi="Palatino Linotype" w:cs="Palatino Linotype"/>
          <w:sz w:val="22"/>
          <w:szCs w:val="22"/>
        </w:rPr>
        <w:t xml:space="preserve"> </w:t>
      </w:r>
      <w:r w:rsidRPr="00794DAB">
        <w:rPr>
          <w:rFonts w:ascii="Palatino Linotype" w:eastAsia="Palatino Linotype" w:hAnsi="Palatino Linotype" w:cs="Palatino Linotype"/>
          <w:b/>
          <w:sz w:val="22"/>
          <w:szCs w:val="22"/>
        </w:rPr>
        <w:t>Recurrente</w:t>
      </w:r>
      <w:r w:rsidRPr="00794DAB">
        <w:rPr>
          <w:rFonts w:ascii="Palatino Linotype" w:eastAsia="Palatino Linotype" w:hAnsi="Palatino Linotype" w:cs="Palatino Linotype"/>
          <w:sz w:val="22"/>
          <w:szCs w:val="22"/>
        </w:rPr>
        <w:t xml:space="preserve"> interpuso el recurso de revisión a través de </w:t>
      </w:r>
      <w:r w:rsidR="00315AC1" w:rsidRPr="00794DAB">
        <w:rPr>
          <w:rFonts w:ascii="Palatino Linotype" w:eastAsia="Palatino Linotype" w:hAnsi="Palatino Linotype" w:cs="Palatino Linotype"/>
          <w:b/>
          <w:sz w:val="22"/>
          <w:szCs w:val="22"/>
        </w:rPr>
        <w:t>SAIMEX</w:t>
      </w:r>
      <w:r w:rsidR="00AA72A1" w:rsidRPr="00794DAB">
        <w:rPr>
          <w:rFonts w:ascii="Palatino Linotype" w:eastAsia="Palatino Linotype" w:hAnsi="Palatino Linotype" w:cs="Palatino Linotype"/>
          <w:b/>
          <w:sz w:val="22"/>
          <w:szCs w:val="22"/>
        </w:rPr>
        <w:t>,</w:t>
      </w:r>
      <w:r w:rsidRPr="00794DAB">
        <w:rPr>
          <w:rFonts w:ascii="Palatino Linotype" w:eastAsia="Palatino Linotype" w:hAnsi="Palatino Linotype" w:cs="Palatino Linotype"/>
          <w:b/>
          <w:sz w:val="22"/>
          <w:szCs w:val="22"/>
        </w:rPr>
        <w:t xml:space="preserve"> </w:t>
      </w:r>
      <w:r w:rsidRPr="00794DAB">
        <w:rPr>
          <w:rFonts w:ascii="Palatino Linotype" w:eastAsia="Palatino Linotype" w:hAnsi="Palatino Linotype" w:cs="Palatino Linotype"/>
          <w:sz w:val="22"/>
          <w:szCs w:val="22"/>
        </w:rPr>
        <w:t>en donde se manifestó de la siguiente manera:</w:t>
      </w:r>
    </w:p>
    <w:p w14:paraId="4C715CE2" w14:textId="602A8427" w:rsidR="00566EB9" w:rsidRPr="00794DAB"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794DAB">
        <w:rPr>
          <w:rFonts w:ascii="Palatino Linotype" w:eastAsia="Palatino Linotype" w:hAnsi="Palatino Linotype" w:cs="Palatino Linotype"/>
          <w:b/>
          <w:sz w:val="22"/>
          <w:szCs w:val="22"/>
        </w:rPr>
        <w:t xml:space="preserve">a) Acto impugnado: </w:t>
      </w:r>
      <w:r w:rsidRPr="00794DAB">
        <w:rPr>
          <w:rFonts w:ascii="Palatino Linotype" w:eastAsia="Palatino Linotype" w:hAnsi="Palatino Linotype" w:cs="Palatino Linotype"/>
          <w:i/>
          <w:sz w:val="22"/>
          <w:szCs w:val="22"/>
        </w:rPr>
        <w:t>“</w:t>
      </w:r>
      <w:r w:rsidR="00746C6D" w:rsidRPr="00794DAB">
        <w:rPr>
          <w:rFonts w:ascii="Palatino Linotype" w:eastAsia="Palatino Linotype" w:hAnsi="Palatino Linotype" w:cs="Palatino Linotype"/>
          <w:i/>
          <w:sz w:val="22"/>
          <w:szCs w:val="22"/>
        </w:rPr>
        <w:t>No entrega documentos probatorios (facturas) del costo de los semáforos (cruces inteligentes)</w:t>
      </w:r>
      <w:r w:rsidRPr="00794DAB">
        <w:rPr>
          <w:rFonts w:ascii="Palatino Linotype" w:eastAsia="Palatino Linotype" w:hAnsi="Palatino Linotype" w:cs="Palatino Linotype"/>
          <w:i/>
          <w:sz w:val="22"/>
          <w:szCs w:val="22"/>
        </w:rPr>
        <w:t>” (Sic)</w:t>
      </w:r>
    </w:p>
    <w:p w14:paraId="340518C7" w14:textId="3F85E12A" w:rsidR="00566EB9" w:rsidRPr="00794DAB" w:rsidRDefault="00D41CCE">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794DAB">
        <w:rPr>
          <w:rFonts w:ascii="Palatino Linotype" w:eastAsia="Palatino Linotype" w:hAnsi="Palatino Linotype" w:cs="Palatino Linotype"/>
          <w:b/>
          <w:sz w:val="22"/>
          <w:szCs w:val="22"/>
        </w:rPr>
        <w:t>b) Razones o motivos de inconformidad</w:t>
      </w:r>
      <w:r w:rsidRPr="00794DAB">
        <w:rPr>
          <w:rFonts w:ascii="Palatino Linotype" w:eastAsia="Palatino Linotype" w:hAnsi="Palatino Linotype" w:cs="Palatino Linotype"/>
          <w:sz w:val="22"/>
          <w:szCs w:val="22"/>
        </w:rPr>
        <w:t xml:space="preserve">: </w:t>
      </w:r>
      <w:r w:rsidRPr="00794DAB">
        <w:rPr>
          <w:rFonts w:ascii="Palatino Linotype" w:eastAsia="Palatino Linotype" w:hAnsi="Palatino Linotype" w:cs="Palatino Linotype"/>
          <w:i/>
          <w:sz w:val="22"/>
          <w:szCs w:val="22"/>
        </w:rPr>
        <w:t>“</w:t>
      </w:r>
      <w:r w:rsidR="00746C6D" w:rsidRPr="00794DAB">
        <w:rPr>
          <w:rFonts w:ascii="Palatino Linotype" w:eastAsia="Palatino Linotype" w:hAnsi="Palatino Linotype" w:cs="Palatino Linotype"/>
          <w:i/>
          <w:sz w:val="22"/>
          <w:szCs w:val="22"/>
        </w:rPr>
        <w:t>No entrega documentos probatorios (facturas) del costo de los semáforos (cruces inteligentes)</w:t>
      </w:r>
      <w:r w:rsidRPr="00794DAB">
        <w:rPr>
          <w:rFonts w:ascii="Palatino Linotype" w:eastAsia="Palatino Linotype" w:hAnsi="Palatino Linotype" w:cs="Palatino Linotype"/>
          <w:i/>
          <w:sz w:val="22"/>
          <w:szCs w:val="22"/>
        </w:rPr>
        <w:t>” (Sic)</w:t>
      </w:r>
    </w:p>
    <w:p w14:paraId="3F101E06" w14:textId="77777777" w:rsidR="00790EBB" w:rsidRPr="00794DAB" w:rsidRDefault="00790EBB">
      <w:pPr>
        <w:spacing w:line="276" w:lineRule="auto"/>
        <w:ind w:left="567" w:right="900"/>
        <w:jc w:val="both"/>
        <w:rPr>
          <w:rFonts w:ascii="Palatino Linotype" w:eastAsia="Palatino Linotype" w:hAnsi="Palatino Linotype" w:cs="Palatino Linotype"/>
          <w:i/>
          <w:sz w:val="22"/>
          <w:szCs w:val="22"/>
        </w:rPr>
      </w:pPr>
    </w:p>
    <w:p w14:paraId="503A1063" w14:textId="77777777" w:rsidR="00566EB9" w:rsidRPr="00794DAB" w:rsidRDefault="00D41CCE">
      <w:pPr>
        <w:spacing w:line="360" w:lineRule="auto"/>
        <w:ind w:right="51"/>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b/>
          <w:sz w:val="22"/>
          <w:szCs w:val="22"/>
        </w:rPr>
        <w:t xml:space="preserve">4. Turno. </w:t>
      </w:r>
      <w:r w:rsidRPr="00794DAB">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794DAB">
        <w:rPr>
          <w:rFonts w:ascii="Palatino Linotype" w:eastAsia="Palatino Linotype" w:hAnsi="Palatino Linotype" w:cs="Palatino Linotype"/>
          <w:b/>
          <w:sz w:val="22"/>
          <w:szCs w:val="22"/>
        </w:rPr>
        <w:t xml:space="preserve">Guadalupe Ramírez Peña, </w:t>
      </w:r>
      <w:r w:rsidRPr="00794DAB">
        <w:rPr>
          <w:rFonts w:ascii="Palatino Linotype" w:eastAsia="Palatino Linotype" w:hAnsi="Palatino Linotype" w:cs="Palatino Linotype"/>
          <w:sz w:val="22"/>
          <w:szCs w:val="22"/>
        </w:rPr>
        <w:t>a efecto de que analizara sobre su admisión o su desechamiento.</w:t>
      </w:r>
    </w:p>
    <w:p w14:paraId="5E938918" w14:textId="77777777" w:rsidR="00566EB9" w:rsidRPr="00794DAB" w:rsidRDefault="00566EB9">
      <w:pPr>
        <w:spacing w:line="360" w:lineRule="auto"/>
        <w:ind w:right="51"/>
        <w:jc w:val="both"/>
        <w:rPr>
          <w:rFonts w:ascii="Palatino Linotype" w:eastAsia="Palatino Linotype" w:hAnsi="Palatino Linotype" w:cs="Palatino Linotype"/>
          <w:sz w:val="22"/>
          <w:szCs w:val="22"/>
        </w:rPr>
      </w:pPr>
    </w:p>
    <w:p w14:paraId="5CFF4378" w14:textId="22C08BDA" w:rsidR="00566EB9" w:rsidRPr="00794DAB" w:rsidRDefault="00D41CCE">
      <w:pPr>
        <w:spacing w:line="360" w:lineRule="auto"/>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b/>
          <w:sz w:val="22"/>
          <w:szCs w:val="22"/>
        </w:rPr>
        <w:t>5. Admisión del Recurso de revisión.</w:t>
      </w:r>
      <w:r w:rsidRPr="00794DAB">
        <w:rPr>
          <w:rFonts w:ascii="Palatino Linotype" w:eastAsia="Palatino Linotype" w:hAnsi="Palatino Linotype" w:cs="Palatino Linotype"/>
          <w:sz w:val="22"/>
          <w:szCs w:val="22"/>
        </w:rPr>
        <w:t xml:space="preserve"> El </w:t>
      </w:r>
      <w:r w:rsidR="00DD34A3" w:rsidRPr="00794DAB">
        <w:rPr>
          <w:rFonts w:ascii="Palatino Linotype" w:eastAsia="Palatino Linotype" w:hAnsi="Palatino Linotype" w:cs="Palatino Linotype"/>
          <w:b/>
          <w:sz w:val="22"/>
          <w:szCs w:val="22"/>
        </w:rPr>
        <w:t>veinti</w:t>
      </w:r>
      <w:r w:rsidR="00746C6D" w:rsidRPr="00794DAB">
        <w:rPr>
          <w:rFonts w:ascii="Palatino Linotype" w:eastAsia="Palatino Linotype" w:hAnsi="Palatino Linotype" w:cs="Palatino Linotype"/>
          <w:b/>
          <w:sz w:val="22"/>
          <w:szCs w:val="22"/>
        </w:rPr>
        <w:t>nueve</w:t>
      </w:r>
      <w:r w:rsidR="00E3409C" w:rsidRPr="00794DAB">
        <w:rPr>
          <w:rFonts w:ascii="Palatino Linotype" w:eastAsia="Palatino Linotype" w:hAnsi="Palatino Linotype" w:cs="Palatino Linotype"/>
          <w:b/>
          <w:sz w:val="22"/>
          <w:szCs w:val="22"/>
        </w:rPr>
        <w:t xml:space="preserve"> de </w:t>
      </w:r>
      <w:r w:rsidR="00746C6D" w:rsidRPr="00794DAB">
        <w:rPr>
          <w:rFonts w:ascii="Palatino Linotype" w:eastAsia="Palatino Linotype" w:hAnsi="Palatino Linotype" w:cs="Palatino Linotype"/>
          <w:b/>
          <w:sz w:val="22"/>
          <w:szCs w:val="22"/>
        </w:rPr>
        <w:t>septiembre</w:t>
      </w:r>
      <w:r w:rsidRPr="00794DAB">
        <w:rPr>
          <w:rFonts w:ascii="Palatino Linotype" w:eastAsia="Palatino Linotype" w:hAnsi="Palatino Linotype" w:cs="Palatino Linotype"/>
          <w:b/>
          <w:sz w:val="22"/>
          <w:szCs w:val="22"/>
        </w:rPr>
        <w:t xml:space="preserve"> de dos mil veinticinco, </w:t>
      </w:r>
      <w:r w:rsidRPr="00794DAB">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794DAB">
        <w:rPr>
          <w:rFonts w:ascii="Palatino Linotype" w:eastAsia="Palatino Linotype" w:hAnsi="Palatino Linotype" w:cs="Palatino Linotype"/>
          <w:b/>
          <w:sz w:val="22"/>
          <w:szCs w:val="22"/>
        </w:rPr>
        <w:t xml:space="preserve">Sujeto Obligado </w:t>
      </w:r>
      <w:r w:rsidRPr="00794DAB">
        <w:rPr>
          <w:rFonts w:ascii="Palatino Linotype" w:eastAsia="Palatino Linotype" w:hAnsi="Palatino Linotype" w:cs="Palatino Linotype"/>
          <w:sz w:val="22"/>
          <w:szCs w:val="22"/>
        </w:rPr>
        <w:t>presentara su informe justificado.</w:t>
      </w:r>
    </w:p>
    <w:p w14:paraId="47CC460F" w14:textId="77777777" w:rsidR="00566EB9" w:rsidRPr="00794DAB" w:rsidRDefault="00566EB9">
      <w:pPr>
        <w:spacing w:line="360" w:lineRule="auto"/>
        <w:jc w:val="both"/>
        <w:rPr>
          <w:rFonts w:ascii="Palatino Linotype" w:eastAsia="Palatino Linotype" w:hAnsi="Palatino Linotype" w:cs="Palatino Linotype"/>
          <w:sz w:val="22"/>
          <w:szCs w:val="22"/>
        </w:rPr>
      </w:pPr>
    </w:p>
    <w:p w14:paraId="02A883C5" w14:textId="57CB135C" w:rsidR="00566EB9" w:rsidRPr="00794DAB" w:rsidRDefault="00D41CCE" w:rsidP="00CE386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794DAB">
        <w:rPr>
          <w:rFonts w:ascii="Palatino Linotype" w:eastAsia="Palatino Linotype" w:hAnsi="Palatino Linotype" w:cs="Palatino Linotype"/>
          <w:b/>
          <w:sz w:val="22"/>
          <w:szCs w:val="22"/>
        </w:rPr>
        <w:t>6. Manifestaciones</w:t>
      </w:r>
      <w:r w:rsidRPr="00794DAB">
        <w:rPr>
          <w:rFonts w:ascii="Palatino Linotype" w:eastAsia="Palatino Linotype" w:hAnsi="Palatino Linotype" w:cs="Palatino Linotype"/>
          <w:sz w:val="22"/>
          <w:szCs w:val="22"/>
        </w:rPr>
        <w:t xml:space="preserve">. De las constancias que integran el expediente en que se actúa se advierte que </w:t>
      </w:r>
      <w:r w:rsidR="00A968BE" w:rsidRPr="00794DAB">
        <w:rPr>
          <w:rFonts w:ascii="Palatino Linotype" w:eastAsia="Palatino Linotype" w:hAnsi="Palatino Linotype" w:cs="Palatino Linotype"/>
          <w:sz w:val="22"/>
          <w:szCs w:val="22"/>
        </w:rPr>
        <w:t xml:space="preserve">el </w:t>
      </w:r>
      <w:r w:rsidR="00A968BE" w:rsidRPr="00794DAB">
        <w:rPr>
          <w:rFonts w:ascii="Palatino Linotype" w:eastAsia="Palatino Linotype" w:hAnsi="Palatino Linotype" w:cs="Palatino Linotype"/>
          <w:b/>
          <w:sz w:val="22"/>
          <w:szCs w:val="22"/>
        </w:rPr>
        <w:t xml:space="preserve">Sujeto Obligado </w:t>
      </w:r>
      <w:r w:rsidR="00104391" w:rsidRPr="00794DAB">
        <w:rPr>
          <w:rFonts w:ascii="Palatino Linotype" w:eastAsia="Palatino Linotype" w:hAnsi="Palatino Linotype" w:cs="Palatino Linotype"/>
          <w:b/>
          <w:sz w:val="22"/>
          <w:szCs w:val="22"/>
        </w:rPr>
        <w:t xml:space="preserve">el </w:t>
      </w:r>
      <w:r w:rsidR="00DD34A3" w:rsidRPr="00794DAB">
        <w:rPr>
          <w:rFonts w:ascii="Palatino Linotype" w:eastAsia="Palatino Linotype" w:hAnsi="Palatino Linotype" w:cs="Palatino Linotype"/>
          <w:b/>
          <w:sz w:val="22"/>
          <w:szCs w:val="22"/>
        </w:rPr>
        <w:t>dos de septiembre</w:t>
      </w:r>
      <w:r w:rsidR="00104391" w:rsidRPr="00794DAB">
        <w:rPr>
          <w:rFonts w:ascii="Palatino Linotype" w:eastAsia="Palatino Linotype" w:hAnsi="Palatino Linotype" w:cs="Palatino Linotype"/>
          <w:b/>
          <w:sz w:val="22"/>
          <w:szCs w:val="22"/>
        </w:rPr>
        <w:t xml:space="preserve"> de dos mil veinticinco,</w:t>
      </w:r>
      <w:r w:rsidR="00104391" w:rsidRPr="00794DAB">
        <w:rPr>
          <w:rFonts w:ascii="Palatino Linotype" w:eastAsia="Palatino Linotype" w:hAnsi="Palatino Linotype" w:cs="Palatino Linotype"/>
          <w:sz w:val="22"/>
          <w:szCs w:val="22"/>
        </w:rPr>
        <w:t xml:space="preserve"> </w:t>
      </w:r>
      <w:r w:rsidR="00A968BE" w:rsidRPr="00794DAB">
        <w:rPr>
          <w:rFonts w:ascii="Palatino Linotype" w:eastAsia="Palatino Linotype" w:hAnsi="Palatino Linotype" w:cs="Palatino Linotype"/>
          <w:sz w:val="22"/>
          <w:szCs w:val="22"/>
        </w:rPr>
        <w:t>rindió su informe justificado a través de</w:t>
      </w:r>
      <w:r w:rsidR="00DD34A3" w:rsidRPr="00794DAB">
        <w:rPr>
          <w:rFonts w:ascii="Palatino Linotype" w:eastAsia="Palatino Linotype" w:hAnsi="Palatino Linotype" w:cs="Palatino Linotype"/>
          <w:sz w:val="22"/>
          <w:szCs w:val="22"/>
        </w:rPr>
        <w:t xml:space="preserve"> los</w:t>
      </w:r>
      <w:r w:rsidR="00A968BE" w:rsidRPr="00794DAB">
        <w:rPr>
          <w:rFonts w:ascii="Palatino Linotype" w:eastAsia="Palatino Linotype" w:hAnsi="Palatino Linotype" w:cs="Palatino Linotype"/>
          <w:sz w:val="22"/>
          <w:szCs w:val="22"/>
        </w:rPr>
        <w:t xml:space="preserve"> archivo</w:t>
      </w:r>
      <w:r w:rsidR="00DD34A3" w:rsidRPr="00794DAB">
        <w:rPr>
          <w:rFonts w:ascii="Palatino Linotype" w:eastAsia="Palatino Linotype" w:hAnsi="Palatino Linotype" w:cs="Palatino Linotype"/>
          <w:sz w:val="22"/>
          <w:szCs w:val="22"/>
        </w:rPr>
        <w:t>s</w:t>
      </w:r>
      <w:r w:rsidR="00A968BE" w:rsidRPr="00794DAB">
        <w:rPr>
          <w:rFonts w:ascii="Palatino Linotype" w:eastAsia="Palatino Linotype" w:hAnsi="Palatino Linotype" w:cs="Palatino Linotype"/>
          <w:sz w:val="22"/>
          <w:szCs w:val="22"/>
        </w:rPr>
        <w:t xml:space="preserve"> electrónico</w:t>
      </w:r>
      <w:r w:rsidR="00DD34A3" w:rsidRPr="00794DAB">
        <w:rPr>
          <w:rFonts w:ascii="Palatino Linotype" w:eastAsia="Palatino Linotype" w:hAnsi="Palatino Linotype" w:cs="Palatino Linotype"/>
          <w:sz w:val="22"/>
          <w:szCs w:val="22"/>
        </w:rPr>
        <w:t>s</w:t>
      </w:r>
      <w:r w:rsidR="00104391" w:rsidRPr="00794DAB">
        <w:rPr>
          <w:rFonts w:ascii="Palatino Linotype" w:eastAsia="Palatino Linotype" w:hAnsi="Palatino Linotype" w:cs="Palatino Linotype"/>
          <w:sz w:val="22"/>
          <w:szCs w:val="22"/>
        </w:rPr>
        <w:t xml:space="preserve"> denominado</w:t>
      </w:r>
      <w:r w:rsidR="00DD34A3" w:rsidRPr="00794DAB">
        <w:rPr>
          <w:rFonts w:ascii="Palatino Linotype" w:eastAsia="Palatino Linotype" w:hAnsi="Palatino Linotype" w:cs="Palatino Linotype"/>
          <w:sz w:val="22"/>
          <w:szCs w:val="22"/>
        </w:rPr>
        <w:t>s</w:t>
      </w:r>
      <w:r w:rsidR="00A968BE" w:rsidRPr="00794DAB">
        <w:rPr>
          <w:rFonts w:ascii="Palatino Linotype" w:eastAsia="Palatino Linotype" w:hAnsi="Palatino Linotype" w:cs="Palatino Linotype"/>
          <w:sz w:val="22"/>
          <w:szCs w:val="22"/>
        </w:rPr>
        <w:t xml:space="preserve"> “</w:t>
      </w:r>
      <w:r w:rsidR="00DD34A3" w:rsidRPr="00794DAB">
        <w:rPr>
          <w:rStyle w:val="Hipervnculo"/>
          <w:rFonts w:ascii="Palatino Linotype" w:eastAsia="Palatino Linotype" w:hAnsi="Palatino Linotype" w:cs="Palatino Linotype"/>
          <w:b/>
          <w:bCs/>
          <w:i/>
          <w:color w:val="auto"/>
          <w:sz w:val="22"/>
          <w:szCs w:val="22"/>
          <w:u w:val="none"/>
        </w:rPr>
        <w:t>ANEXOS</w:t>
      </w:r>
      <w:r w:rsidR="00746C6D" w:rsidRPr="00794DAB">
        <w:rPr>
          <w:rStyle w:val="Hipervnculo"/>
          <w:rFonts w:ascii="Palatino Linotype" w:eastAsia="Palatino Linotype" w:hAnsi="Palatino Linotype" w:cs="Palatino Linotype"/>
          <w:b/>
          <w:bCs/>
          <w:i/>
          <w:color w:val="auto"/>
          <w:sz w:val="22"/>
          <w:szCs w:val="22"/>
          <w:u w:val="none"/>
        </w:rPr>
        <w:t xml:space="preserve"> 10984-2025</w:t>
      </w:r>
      <w:r w:rsidR="00DD34A3" w:rsidRPr="00794DAB">
        <w:rPr>
          <w:rStyle w:val="Hipervnculo"/>
          <w:rFonts w:ascii="Palatino Linotype" w:eastAsia="Palatino Linotype" w:hAnsi="Palatino Linotype" w:cs="Palatino Linotype"/>
          <w:b/>
          <w:bCs/>
          <w:i/>
          <w:color w:val="auto"/>
          <w:sz w:val="22"/>
          <w:szCs w:val="22"/>
          <w:u w:val="none"/>
        </w:rPr>
        <w:t>.pdf</w:t>
      </w:r>
      <w:r w:rsidR="00A968BE" w:rsidRPr="00794DAB">
        <w:rPr>
          <w:rFonts w:ascii="Palatino Linotype" w:eastAsia="Palatino Linotype" w:hAnsi="Palatino Linotype" w:cs="Palatino Linotype"/>
          <w:sz w:val="22"/>
          <w:szCs w:val="22"/>
        </w:rPr>
        <w:t>”</w:t>
      </w:r>
      <w:r w:rsidR="00DD34A3" w:rsidRPr="00794DAB">
        <w:rPr>
          <w:rFonts w:ascii="Palatino Linotype" w:eastAsia="Palatino Linotype" w:hAnsi="Palatino Linotype" w:cs="Palatino Linotype"/>
          <w:sz w:val="22"/>
          <w:szCs w:val="22"/>
        </w:rPr>
        <w:t xml:space="preserve"> y “</w:t>
      </w:r>
      <w:r w:rsidR="00DD34A3" w:rsidRPr="00794DAB">
        <w:rPr>
          <w:rFonts w:ascii="Palatino Linotype" w:eastAsia="Palatino Linotype" w:hAnsi="Palatino Linotype" w:cs="Palatino Linotype"/>
          <w:b/>
          <w:i/>
          <w:sz w:val="22"/>
          <w:szCs w:val="22"/>
        </w:rPr>
        <w:t xml:space="preserve">Ratificación </w:t>
      </w:r>
      <w:r w:rsidR="00746C6D" w:rsidRPr="00794DAB">
        <w:rPr>
          <w:rFonts w:ascii="Palatino Linotype" w:eastAsia="Palatino Linotype" w:hAnsi="Palatino Linotype" w:cs="Palatino Linotype"/>
          <w:b/>
          <w:i/>
          <w:sz w:val="22"/>
          <w:szCs w:val="22"/>
        </w:rPr>
        <w:t>10984</w:t>
      </w:r>
      <w:r w:rsidR="00DD34A3" w:rsidRPr="00794DAB">
        <w:rPr>
          <w:rFonts w:ascii="Palatino Linotype" w:eastAsia="Palatino Linotype" w:hAnsi="Palatino Linotype" w:cs="Palatino Linotype"/>
          <w:b/>
          <w:i/>
          <w:sz w:val="22"/>
          <w:szCs w:val="22"/>
        </w:rPr>
        <w:t>.pdf</w:t>
      </w:r>
      <w:r w:rsidR="00DD34A3" w:rsidRPr="00794DAB">
        <w:rPr>
          <w:rFonts w:ascii="Palatino Linotype" w:eastAsia="Palatino Linotype" w:hAnsi="Palatino Linotype" w:cs="Palatino Linotype"/>
          <w:sz w:val="22"/>
          <w:szCs w:val="22"/>
        </w:rPr>
        <w:t>”</w:t>
      </w:r>
      <w:r w:rsidR="00A968BE" w:rsidRPr="00794DAB">
        <w:rPr>
          <w:rFonts w:ascii="Palatino Linotype" w:eastAsia="Palatino Linotype" w:hAnsi="Palatino Linotype" w:cs="Palatino Linotype"/>
          <w:sz w:val="22"/>
          <w:szCs w:val="22"/>
        </w:rPr>
        <w:t xml:space="preserve"> a través de</w:t>
      </w:r>
      <w:r w:rsidR="00DD34A3" w:rsidRPr="00794DAB">
        <w:rPr>
          <w:rFonts w:ascii="Palatino Linotype" w:eastAsia="Palatino Linotype" w:hAnsi="Palatino Linotype" w:cs="Palatino Linotype"/>
          <w:sz w:val="22"/>
          <w:szCs w:val="22"/>
        </w:rPr>
        <w:t xml:space="preserve"> </w:t>
      </w:r>
      <w:r w:rsidR="00104391" w:rsidRPr="00794DAB">
        <w:rPr>
          <w:rFonts w:ascii="Palatino Linotype" w:eastAsia="Palatino Linotype" w:hAnsi="Palatino Linotype" w:cs="Palatino Linotype"/>
          <w:sz w:val="22"/>
          <w:szCs w:val="22"/>
        </w:rPr>
        <w:t>l</w:t>
      </w:r>
      <w:r w:rsidR="00DD34A3" w:rsidRPr="00794DAB">
        <w:rPr>
          <w:rFonts w:ascii="Palatino Linotype" w:eastAsia="Palatino Linotype" w:hAnsi="Palatino Linotype" w:cs="Palatino Linotype"/>
          <w:sz w:val="22"/>
          <w:szCs w:val="22"/>
        </w:rPr>
        <w:t>os</w:t>
      </w:r>
      <w:r w:rsidR="00A968BE" w:rsidRPr="00794DAB">
        <w:rPr>
          <w:rFonts w:ascii="Palatino Linotype" w:eastAsia="Palatino Linotype" w:hAnsi="Palatino Linotype" w:cs="Palatino Linotype"/>
          <w:sz w:val="22"/>
          <w:szCs w:val="22"/>
        </w:rPr>
        <w:t xml:space="preserve"> cual</w:t>
      </w:r>
      <w:r w:rsidR="00DD34A3" w:rsidRPr="00794DAB">
        <w:rPr>
          <w:rFonts w:ascii="Palatino Linotype" w:eastAsia="Palatino Linotype" w:hAnsi="Palatino Linotype" w:cs="Palatino Linotype"/>
          <w:sz w:val="22"/>
          <w:szCs w:val="22"/>
        </w:rPr>
        <w:t>es</w:t>
      </w:r>
      <w:r w:rsidR="00A968BE" w:rsidRPr="00794DAB">
        <w:rPr>
          <w:rFonts w:ascii="Palatino Linotype" w:eastAsia="Palatino Linotype" w:hAnsi="Palatino Linotype" w:cs="Palatino Linotype"/>
          <w:sz w:val="22"/>
          <w:szCs w:val="22"/>
        </w:rPr>
        <w:t xml:space="preserve"> se ratificó en lo medular la respuesta inicial.</w:t>
      </w:r>
    </w:p>
    <w:p w14:paraId="29CB6ACE" w14:textId="77777777" w:rsidR="00CE3862" w:rsidRPr="00794DAB" w:rsidRDefault="00CE3862" w:rsidP="00CE386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7BCD320E" w14:textId="2B66A2FC" w:rsidR="00CE3862" w:rsidRPr="00794DAB" w:rsidRDefault="00A968BE" w:rsidP="00CE386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noProof/>
          <w:sz w:val="22"/>
          <w:szCs w:val="22"/>
        </w:rPr>
        <w:t>Documento</w:t>
      </w:r>
      <w:r w:rsidR="009634BD" w:rsidRPr="00794DAB">
        <w:rPr>
          <w:rFonts w:ascii="Palatino Linotype" w:eastAsia="Palatino Linotype" w:hAnsi="Palatino Linotype" w:cs="Palatino Linotype"/>
          <w:noProof/>
          <w:sz w:val="22"/>
          <w:szCs w:val="22"/>
        </w:rPr>
        <w:t>s los anteriores que fueron puestos a</w:t>
      </w:r>
      <w:r w:rsidRPr="00794DAB">
        <w:rPr>
          <w:rFonts w:ascii="Palatino Linotype" w:eastAsia="Palatino Linotype" w:hAnsi="Palatino Linotype" w:cs="Palatino Linotype"/>
          <w:noProof/>
          <w:sz w:val="22"/>
          <w:szCs w:val="22"/>
        </w:rPr>
        <w:t xml:space="preserve"> la vista de la parte </w:t>
      </w:r>
      <w:r w:rsidRPr="00794DAB">
        <w:rPr>
          <w:rFonts w:ascii="Palatino Linotype" w:eastAsia="Palatino Linotype" w:hAnsi="Palatino Linotype" w:cs="Palatino Linotype"/>
          <w:b/>
          <w:noProof/>
          <w:sz w:val="22"/>
          <w:szCs w:val="22"/>
        </w:rPr>
        <w:t xml:space="preserve">Recurrente </w:t>
      </w:r>
      <w:r w:rsidRPr="00794DAB">
        <w:rPr>
          <w:rFonts w:ascii="Palatino Linotype" w:eastAsia="Palatino Linotype" w:hAnsi="Palatino Linotype" w:cs="Palatino Linotype"/>
          <w:noProof/>
          <w:sz w:val="22"/>
          <w:szCs w:val="22"/>
        </w:rPr>
        <w:t xml:space="preserve"> a fin de que hiciera valer </w:t>
      </w:r>
      <w:r w:rsidR="00A957A4" w:rsidRPr="00794DAB">
        <w:rPr>
          <w:rFonts w:ascii="Palatino Linotype" w:eastAsia="Palatino Linotype" w:hAnsi="Palatino Linotype" w:cs="Palatino Linotype"/>
          <w:noProof/>
          <w:sz w:val="22"/>
          <w:szCs w:val="22"/>
        </w:rPr>
        <w:t>manifestaciones o rindiera alegatos que conforme a derecho resultaran procedentes; no obstante, fue omisa en ejercer dicha prerrogativa.</w:t>
      </w:r>
    </w:p>
    <w:p w14:paraId="6C250D84" w14:textId="7D277B4B" w:rsidR="00326383" w:rsidRPr="00794DAB" w:rsidRDefault="0032638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4847610" w14:textId="3060AC59" w:rsidR="00962787" w:rsidRPr="00794DAB" w:rsidRDefault="001C2F8A"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b/>
          <w:sz w:val="22"/>
          <w:szCs w:val="22"/>
        </w:rPr>
        <w:t>7</w:t>
      </w:r>
      <w:r w:rsidR="00D41CCE" w:rsidRPr="00794DAB">
        <w:rPr>
          <w:rFonts w:ascii="Palatino Linotype" w:eastAsia="Palatino Linotype" w:hAnsi="Palatino Linotype" w:cs="Palatino Linotype"/>
          <w:b/>
          <w:sz w:val="22"/>
          <w:szCs w:val="22"/>
        </w:rPr>
        <w:t xml:space="preserve">. </w:t>
      </w:r>
      <w:r w:rsidR="00962787" w:rsidRPr="00794DAB">
        <w:rPr>
          <w:rFonts w:ascii="Palatino Linotype" w:eastAsia="Palatino Linotype" w:hAnsi="Palatino Linotype" w:cs="Palatino Linotype"/>
          <w:b/>
          <w:sz w:val="22"/>
          <w:szCs w:val="22"/>
        </w:rPr>
        <w:t>Ampliación del término para resolver</w:t>
      </w:r>
      <w:r w:rsidR="00962787" w:rsidRPr="00794DAB">
        <w:rPr>
          <w:rFonts w:ascii="Palatino Linotype" w:eastAsia="Palatino Linotype" w:hAnsi="Palatino Linotype" w:cs="Palatino Linotype"/>
          <w:sz w:val="22"/>
          <w:szCs w:val="22"/>
        </w:rPr>
        <w:t xml:space="preserve">. Mediante acuerdo del </w:t>
      </w:r>
      <w:r w:rsidR="009634BD" w:rsidRPr="00794DAB">
        <w:rPr>
          <w:rFonts w:ascii="Palatino Linotype" w:eastAsia="Palatino Linotype" w:hAnsi="Palatino Linotype" w:cs="Palatino Linotype"/>
          <w:b/>
          <w:sz w:val="22"/>
          <w:szCs w:val="22"/>
        </w:rPr>
        <w:t>veinticuatro de marzo</w:t>
      </w:r>
      <w:r w:rsidR="00962787" w:rsidRPr="00794DAB">
        <w:rPr>
          <w:rFonts w:ascii="Palatino Linotype" w:eastAsia="Palatino Linotype" w:hAnsi="Palatino Linotype" w:cs="Palatino Linotype"/>
          <w:b/>
          <w:sz w:val="22"/>
          <w:szCs w:val="22"/>
        </w:rPr>
        <w:t xml:space="preserve"> de dos mil </w:t>
      </w:r>
      <w:r w:rsidR="00A957A4" w:rsidRPr="00794DAB">
        <w:rPr>
          <w:rFonts w:ascii="Palatino Linotype" w:eastAsia="Palatino Linotype" w:hAnsi="Palatino Linotype" w:cs="Palatino Linotype"/>
          <w:b/>
          <w:sz w:val="22"/>
          <w:szCs w:val="22"/>
        </w:rPr>
        <w:t>veintiséis</w:t>
      </w:r>
      <w:r w:rsidR="00962787" w:rsidRPr="00794DAB">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48B2406B" w14:textId="77777777" w:rsidR="00962787" w:rsidRPr="00794DAB" w:rsidRDefault="00962787" w:rsidP="00962787">
      <w:pPr>
        <w:spacing w:line="360" w:lineRule="auto"/>
        <w:jc w:val="both"/>
        <w:rPr>
          <w:rFonts w:ascii="Palatino Linotype" w:eastAsia="Palatino Linotype" w:hAnsi="Palatino Linotype" w:cs="Palatino Linotype"/>
          <w:sz w:val="22"/>
          <w:szCs w:val="22"/>
        </w:rPr>
      </w:pPr>
    </w:p>
    <w:p w14:paraId="5D6352E4" w14:textId="77777777" w:rsidR="003477DE" w:rsidRPr="00794DAB" w:rsidRDefault="003477DE" w:rsidP="003477DE">
      <w:pPr>
        <w:spacing w:line="360" w:lineRule="auto"/>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66FDD34" w14:textId="77777777" w:rsidR="003477DE" w:rsidRPr="00794DAB" w:rsidRDefault="003477DE" w:rsidP="003477DE">
      <w:pPr>
        <w:spacing w:line="360" w:lineRule="auto"/>
        <w:jc w:val="both"/>
        <w:rPr>
          <w:rFonts w:ascii="Palatino Linotype" w:eastAsia="Palatino Linotype" w:hAnsi="Palatino Linotype" w:cs="Palatino Linotype"/>
          <w:sz w:val="22"/>
          <w:szCs w:val="22"/>
        </w:rPr>
      </w:pPr>
    </w:p>
    <w:p w14:paraId="4C85EEB4" w14:textId="77777777" w:rsidR="003477DE" w:rsidRPr="00794DAB" w:rsidRDefault="003477DE" w:rsidP="003477DE">
      <w:pPr>
        <w:spacing w:line="360" w:lineRule="auto"/>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9234EED" w14:textId="77777777" w:rsidR="003477DE" w:rsidRPr="00794DAB" w:rsidRDefault="003477DE" w:rsidP="003477DE">
      <w:pPr>
        <w:spacing w:line="360" w:lineRule="auto"/>
        <w:jc w:val="both"/>
        <w:rPr>
          <w:rFonts w:ascii="Palatino Linotype" w:eastAsia="Palatino Linotype" w:hAnsi="Palatino Linotype" w:cs="Palatino Linotype"/>
          <w:sz w:val="22"/>
          <w:szCs w:val="22"/>
        </w:rPr>
      </w:pPr>
    </w:p>
    <w:p w14:paraId="6A97A446" w14:textId="77777777" w:rsidR="003477DE" w:rsidRPr="00794DAB" w:rsidRDefault="003477DE" w:rsidP="003477DE">
      <w:pPr>
        <w:spacing w:line="360" w:lineRule="auto"/>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6860AE3" w14:textId="77777777" w:rsidR="003477DE" w:rsidRPr="00794DAB" w:rsidRDefault="003477DE" w:rsidP="003477DE">
      <w:pPr>
        <w:spacing w:line="360" w:lineRule="auto"/>
        <w:jc w:val="both"/>
        <w:rPr>
          <w:rFonts w:ascii="Palatino Linotype" w:eastAsia="Palatino Linotype" w:hAnsi="Palatino Linotype" w:cs="Palatino Linotype"/>
          <w:sz w:val="22"/>
          <w:szCs w:val="22"/>
        </w:rPr>
      </w:pPr>
    </w:p>
    <w:p w14:paraId="6F5C9129" w14:textId="77777777" w:rsidR="003477DE" w:rsidRPr="00794DAB" w:rsidRDefault="003477DE" w:rsidP="003477DE">
      <w:pPr>
        <w:spacing w:line="360" w:lineRule="auto"/>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D39C4E9" w14:textId="77777777" w:rsidR="003477DE" w:rsidRPr="00794DAB" w:rsidRDefault="003477DE" w:rsidP="003477DE">
      <w:pPr>
        <w:spacing w:line="360" w:lineRule="auto"/>
        <w:jc w:val="both"/>
        <w:rPr>
          <w:rFonts w:ascii="Palatino Linotype" w:eastAsia="Palatino Linotype" w:hAnsi="Palatino Linotype" w:cs="Palatino Linotype"/>
          <w:sz w:val="22"/>
          <w:szCs w:val="22"/>
        </w:rPr>
      </w:pPr>
    </w:p>
    <w:p w14:paraId="3C43F197" w14:textId="77777777" w:rsidR="003477DE" w:rsidRPr="00794DAB" w:rsidRDefault="003477DE" w:rsidP="003477DE">
      <w:pPr>
        <w:spacing w:line="360" w:lineRule="auto"/>
        <w:jc w:val="both"/>
        <w:rPr>
          <w:rFonts w:ascii="Palatino Linotype" w:eastAsia="Palatino Linotype" w:hAnsi="Palatino Linotype" w:cs="Palatino Linotype"/>
          <w:strike/>
          <w:sz w:val="22"/>
          <w:szCs w:val="22"/>
        </w:rPr>
      </w:pPr>
      <w:r w:rsidRPr="00794DAB">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5980A9F" w14:textId="77777777" w:rsidR="003477DE" w:rsidRPr="00794DAB" w:rsidRDefault="003477DE" w:rsidP="003477DE">
      <w:pPr>
        <w:spacing w:line="360" w:lineRule="auto"/>
        <w:jc w:val="both"/>
        <w:rPr>
          <w:rFonts w:ascii="Palatino Linotype" w:eastAsia="Palatino Linotype" w:hAnsi="Palatino Linotype" w:cs="Palatino Linotype"/>
          <w:sz w:val="22"/>
          <w:szCs w:val="22"/>
        </w:rPr>
      </w:pPr>
    </w:p>
    <w:p w14:paraId="04DC244C" w14:textId="77777777" w:rsidR="003477DE" w:rsidRPr="00794DAB" w:rsidRDefault="003477DE" w:rsidP="00A969A4">
      <w:pPr>
        <w:numPr>
          <w:ilvl w:val="0"/>
          <w:numId w:val="2"/>
        </w:numPr>
        <w:spacing w:line="360" w:lineRule="auto"/>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b/>
          <w:sz w:val="22"/>
          <w:szCs w:val="22"/>
        </w:rPr>
        <w:t>Complejidad del Asunto:</w:t>
      </w:r>
      <w:r w:rsidRPr="00794DAB">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0C69235F" w14:textId="77777777" w:rsidR="003477DE" w:rsidRPr="00794DAB" w:rsidRDefault="003477DE" w:rsidP="003477DE">
      <w:pPr>
        <w:spacing w:line="360" w:lineRule="auto"/>
        <w:ind w:left="927"/>
        <w:jc w:val="both"/>
        <w:rPr>
          <w:rFonts w:ascii="Palatino Linotype" w:eastAsia="Palatino Linotype" w:hAnsi="Palatino Linotype" w:cs="Palatino Linotype"/>
          <w:sz w:val="22"/>
          <w:szCs w:val="22"/>
        </w:rPr>
      </w:pPr>
    </w:p>
    <w:p w14:paraId="387EA9FC" w14:textId="77777777" w:rsidR="003477DE" w:rsidRPr="00794DAB" w:rsidRDefault="003477DE" w:rsidP="00A969A4">
      <w:pPr>
        <w:numPr>
          <w:ilvl w:val="0"/>
          <w:numId w:val="2"/>
        </w:numPr>
        <w:spacing w:line="360" w:lineRule="auto"/>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b/>
          <w:sz w:val="22"/>
          <w:szCs w:val="22"/>
        </w:rPr>
        <w:t>Actividad Procesal del interesado.</w:t>
      </w:r>
      <w:r w:rsidRPr="00794DAB">
        <w:rPr>
          <w:rFonts w:ascii="Palatino Linotype" w:eastAsia="Palatino Linotype" w:hAnsi="Palatino Linotype" w:cs="Palatino Linotype"/>
          <w:sz w:val="22"/>
          <w:szCs w:val="22"/>
        </w:rPr>
        <w:t xml:space="preserve"> Acciones u omisiones del interesado.</w:t>
      </w:r>
    </w:p>
    <w:p w14:paraId="6E4C0468" w14:textId="77777777" w:rsidR="003477DE" w:rsidRPr="00794DAB" w:rsidRDefault="003477DE" w:rsidP="003477DE">
      <w:pPr>
        <w:spacing w:line="360" w:lineRule="auto"/>
        <w:ind w:left="927"/>
        <w:jc w:val="both"/>
        <w:rPr>
          <w:rFonts w:ascii="Palatino Linotype" w:eastAsia="Palatino Linotype" w:hAnsi="Palatino Linotype" w:cs="Palatino Linotype"/>
          <w:sz w:val="22"/>
          <w:szCs w:val="22"/>
        </w:rPr>
      </w:pPr>
    </w:p>
    <w:p w14:paraId="7551FE24" w14:textId="77777777" w:rsidR="003477DE" w:rsidRPr="00794DAB" w:rsidRDefault="003477DE" w:rsidP="00A969A4">
      <w:pPr>
        <w:numPr>
          <w:ilvl w:val="0"/>
          <w:numId w:val="2"/>
        </w:numPr>
        <w:spacing w:line="360" w:lineRule="auto"/>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b/>
          <w:sz w:val="22"/>
          <w:szCs w:val="22"/>
        </w:rPr>
        <w:t>Conducta de la Autoridad:</w:t>
      </w:r>
      <w:r w:rsidRPr="00794DAB">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658FAEBA" w14:textId="77777777" w:rsidR="003477DE" w:rsidRPr="00794DAB" w:rsidRDefault="003477DE" w:rsidP="003477DE">
      <w:pPr>
        <w:spacing w:line="360" w:lineRule="auto"/>
        <w:ind w:left="927"/>
        <w:jc w:val="both"/>
        <w:rPr>
          <w:rFonts w:ascii="Palatino Linotype" w:eastAsia="Palatino Linotype" w:hAnsi="Palatino Linotype" w:cs="Palatino Linotype"/>
          <w:sz w:val="22"/>
          <w:szCs w:val="22"/>
        </w:rPr>
      </w:pPr>
    </w:p>
    <w:p w14:paraId="542EF4F4" w14:textId="77777777" w:rsidR="003477DE" w:rsidRPr="00794DAB" w:rsidRDefault="003477DE" w:rsidP="00A969A4">
      <w:pPr>
        <w:numPr>
          <w:ilvl w:val="0"/>
          <w:numId w:val="2"/>
        </w:numPr>
        <w:spacing w:line="360" w:lineRule="auto"/>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sz w:val="22"/>
          <w:szCs w:val="22"/>
        </w:rPr>
        <w:t xml:space="preserve"> </w:t>
      </w:r>
      <w:r w:rsidRPr="00794DAB">
        <w:rPr>
          <w:rFonts w:ascii="Palatino Linotype" w:eastAsia="Palatino Linotype" w:hAnsi="Palatino Linotype" w:cs="Palatino Linotype"/>
          <w:b/>
          <w:sz w:val="22"/>
          <w:szCs w:val="22"/>
        </w:rPr>
        <w:t xml:space="preserve">La afectación generada en la situación jurídica de la persona involucrada en el proceso: </w:t>
      </w:r>
      <w:r w:rsidRPr="00794DAB">
        <w:rPr>
          <w:rFonts w:ascii="Palatino Linotype" w:eastAsia="Palatino Linotype" w:hAnsi="Palatino Linotype" w:cs="Palatino Linotype"/>
          <w:sz w:val="22"/>
          <w:szCs w:val="22"/>
        </w:rPr>
        <w:t>Violación a sus derechos humanos.</w:t>
      </w:r>
    </w:p>
    <w:p w14:paraId="2878173F" w14:textId="77777777" w:rsidR="003477DE" w:rsidRPr="00794DAB" w:rsidRDefault="003477DE" w:rsidP="003477DE">
      <w:pPr>
        <w:spacing w:line="360" w:lineRule="auto"/>
        <w:jc w:val="both"/>
        <w:rPr>
          <w:rFonts w:ascii="Palatino Linotype" w:eastAsia="Palatino Linotype" w:hAnsi="Palatino Linotype" w:cs="Palatino Linotype"/>
          <w:sz w:val="22"/>
          <w:szCs w:val="22"/>
        </w:rPr>
      </w:pPr>
    </w:p>
    <w:p w14:paraId="2220A73A" w14:textId="77777777" w:rsidR="003477DE" w:rsidRPr="00794DAB" w:rsidRDefault="003477DE" w:rsidP="003477DE">
      <w:pPr>
        <w:spacing w:line="360" w:lineRule="auto"/>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9BC1FA8" w14:textId="77777777" w:rsidR="003477DE" w:rsidRPr="00794DAB" w:rsidRDefault="003477DE" w:rsidP="003477DE">
      <w:pPr>
        <w:spacing w:line="360" w:lineRule="auto"/>
        <w:jc w:val="both"/>
        <w:rPr>
          <w:rFonts w:ascii="Palatino Linotype" w:eastAsia="Palatino Linotype" w:hAnsi="Palatino Linotype" w:cs="Palatino Linotype"/>
          <w:sz w:val="22"/>
          <w:szCs w:val="22"/>
        </w:rPr>
      </w:pPr>
    </w:p>
    <w:p w14:paraId="211743BA" w14:textId="77777777" w:rsidR="003477DE" w:rsidRPr="00794DAB" w:rsidRDefault="003477DE" w:rsidP="003477DE">
      <w:pPr>
        <w:spacing w:line="360" w:lineRule="auto"/>
        <w:jc w:val="both"/>
        <w:rPr>
          <w:rFonts w:ascii="Palatino Linotype" w:eastAsia="Palatino Linotype" w:hAnsi="Palatino Linotype" w:cs="Palatino Linotype"/>
          <w:b/>
          <w:sz w:val="22"/>
          <w:szCs w:val="22"/>
        </w:rPr>
      </w:pPr>
      <w:r w:rsidRPr="00794DAB">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794DAB">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794DAB">
        <w:rPr>
          <w:rFonts w:ascii="Palatino Linotype" w:eastAsia="Palatino Linotype" w:hAnsi="Palatino Linotype" w:cs="Palatino Linotype"/>
          <w:sz w:val="22"/>
          <w:szCs w:val="22"/>
        </w:rPr>
        <w:t>, visible en la Gaceta del Seminario Judicial de la Federación con el registro digital 205635.</w:t>
      </w:r>
    </w:p>
    <w:p w14:paraId="148E0C4B" w14:textId="77777777" w:rsidR="003477DE" w:rsidRPr="00794DAB" w:rsidRDefault="003477DE" w:rsidP="003477DE">
      <w:pPr>
        <w:spacing w:line="360" w:lineRule="auto"/>
        <w:jc w:val="both"/>
        <w:rPr>
          <w:rFonts w:ascii="Palatino Linotype" w:eastAsia="Palatino Linotype" w:hAnsi="Palatino Linotype" w:cs="Palatino Linotype"/>
          <w:sz w:val="22"/>
          <w:szCs w:val="22"/>
        </w:rPr>
      </w:pPr>
    </w:p>
    <w:p w14:paraId="287A44EE" w14:textId="77777777" w:rsidR="003477DE" w:rsidRPr="00794DAB" w:rsidRDefault="003477DE" w:rsidP="003477DE">
      <w:pPr>
        <w:spacing w:line="360" w:lineRule="auto"/>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B33453" w14:textId="77777777" w:rsidR="003477DE" w:rsidRPr="00794DAB" w:rsidRDefault="003477DE" w:rsidP="003477DE">
      <w:pPr>
        <w:spacing w:line="360" w:lineRule="auto"/>
        <w:jc w:val="both"/>
        <w:rPr>
          <w:rFonts w:ascii="Palatino Linotype" w:eastAsia="Palatino Linotype" w:hAnsi="Palatino Linotype" w:cs="Palatino Linotype"/>
          <w:sz w:val="22"/>
          <w:szCs w:val="22"/>
        </w:rPr>
      </w:pPr>
    </w:p>
    <w:p w14:paraId="76EB5A7F" w14:textId="77777777" w:rsidR="003477DE" w:rsidRPr="00794DAB" w:rsidRDefault="003477DE" w:rsidP="003477DE">
      <w:pPr>
        <w:spacing w:line="360" w:lineRule="auto"/>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3DFBAE33" w14:textId="77777777" w:rsidR="003477DE" w:rsidRPr="00794DAB" w:rsidRDefault="003477DE" w:rsidP="003477DE">
      <w:pPr>
        <w:spacing w:line="360" w:lineRule="auto"/>
        <w:jc w:val="both"/>
        <w:rPr>
          <w:rFonts w:ascii="Palatino Linotype" w:eastAsia="Palatino Linotype" w:hAnsi="Palatino Linotype" w:cs="Palatino Linotype"/>
          <w:sz w:val="22"/>
          <w:szCs w:val="22"/>
        </w:rPr>
      </w:pPr>
    </w:p>
    <w:p w14:paraId="7B56C24D" w14:textId="77777777" w:rsidR="003477DE" w:rsidRPr="00794DAB" w:rsidRDefault="003477DE" w:rsidP="003477DE">
      <w:pPr>
        <w:spacing w:line="360" w:lineRule="auto"/>
        <w:ind w:left="567" w:right="616"/>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sz w:val="22"/>
          <w:szCs w:val="22"/>
        </w:rPr>
        <w:t xml:space="preserve"> </w:t>
      </w:r>
      <w:r w:rsidRPr="00794DAB">
        <w:rPr>
          <w:rFonts w:ascii="Palatino Linotype" w:eastAsia="Palatino Linotype" w:hAnsi="Palatino Linotype" w:cs="Palatino Linotype"/>
          <w:i/>
          <w:sz w:val="22"/>
          <w:szCs w:val="22"/>
        </w:rPr>
        <w:t>“PLAZO RAZONABLE PARA RESOLVER. DIMENSIÓN Y EFECTOS DE ESTE CONCEPTO CUANDO SE ADUCE EXCESIVA CARGA DE TRABAJO.”</w:t>
      </w:r>
      <w:r w:rsidRPr="00794DAB">
        <w:rPr>
          <w:rFonts w:ascii="Palatino Linotype" w:eastAsia="Palatino Linotype" w:hAnsi="Palatino Linotype" w:cs="Palatino Linotype"/>
          <w:sz w:val="22"/>
          <w:szCs w:val="22"/>
        </w:rPr>
        <w:t xml:space="preserve"> consultable en el Seminario Judicial de la Federación y su gaceta, con el registro digital 2002351.</w:t>
      </w:r>
    </w:p>
    <w:p w14:paraId="4A68F3C4" w14:textId="77777777" w:rsidR="003477DE" w:rsidRPr="00794DAB" w:rsidRDefault="003477DE" w:rsidP="003477DE">
      <w:pPr>
        <w:spacing w:line="360" w:lineRule="auto"/>
        <w:ind w:left="567" w:right="616"/>
        <w:jc w:val="both"/>
        <w:rPr>
          <w:rFonts w:ascii="Palatino Linotype" w:eastAsia="Palatino Linotype" w:hAnsi="Palatino Linotype" w:cs="Palatino Linotype"/>
          <w:b/>
          <w:sz w:val="22"/>
          <w:szCs w:val="22"/>
        </w:rPr>
      </w:pPr>
    </w:p>
    <w:p w14:paraId="375C8058" w14:textId="77777777" w:rsidR="003477DE" w:rsidRPr="00794DAB" w:rsidRDefault="003477DE" w:rsidP="003477DE">
      <w:pPr>
        <w:spacing w:line="360" w:lineRule="auto"/>
        <w:ind w:left="567" w:right="616"/>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794DAB">
        <w:rPr>
          <w:rFonts w:ascii="Palatino Linotype" w:eastAsia="Palatino Linotype" w:hAnsi="Palatino Linotype" w:cs="Palatino Linotype"/>
          <w:sz w:val="22"/>
          <w:szCs w:val="22"/>
        </w:rPr>
        <w:t>, visible en el Seminario Judicial de la Federación y su gaceta, con el registro digital 2002350.</w:t>
      </w:r>
    </w:p>
    <w:p w14:paraId="72B47726" w14:textId="77777777" w:rsidR="003477DE" w:rsidRPr="00794DAB" w:rsidRDefault="003477DE" w:rsidP="003477DE">
      <w:pPr>
        <w:spacing w:line="360" w:lineRule="auto"/>
        <w:ind w:left="567" w:right="616"/>
        <w:jc w:val="both"/>
        <w:rPr>
          <w:rFonts w:ascii="Palatino Linotype" w:eastAsia="Palatino Linotype" w:hAnsi="Palatino Linotype" w:cs="Palatino Linotype"/>
          <w:sz w:val="22"/>
          <w:szCs w:val="22"/>
        </w:rPr>
      </w:pPr>
    </w:p>
    <w:p w14:paraId="104BDC14" w14:textId="77777777" w:rsidR="003477DE" w:rsidRPr="00794DAB" w:rsidRDefault="003477DE" w:rsidP="003477DE">
      <w:pPr>
        <w:spacing w:line="360" w:lineRule="auto"/>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5D533D4B" w14:textId="77777777" w:rsidR="003477DE" w:rsidRPr="00794DAB" w:rsidRDefault="003477DE" w:rsidP="00962787">
      <w:pPr>
        <w:spacing w:line="360" w:lineRule="auto"/>
        <w:jc w:val="both"/>
        <w:rPr>
          <w:rFonts w:ascii="Palatino Linotype" w:eastAsia="Palatino Linotype" w:hAnsi="Palatino Linotype" w:cs="Palatino Linotype"/>
          <w:sz w:val="22"/>
          <w:szCs w:val="22"/>
        </w:rPr>
      </w:pPr>
    </w:p>
    <w:p w14:paraId="59855FF2" w14:textId="6016F73D" w:rsidR="00D90F2D" w:rsidRPr="00794DAB" w:rsidRDefault="00D90F2D"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b/>
          <w:sz w:val="22"/>
          <w:szCs w:val="22"/>
        </w:rPr>
        <w:t xml:space="preserve">8. Cierre de instrucción. </w:t>
      </w:r>
      <w:r w:rsidRPr="00794DAB">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9634BD" w:rsidRPr="00794DAB">
        <w:rPr>
          <w:rFonts w:ascii="Palatino Linotype" w:eastAsia="Palatino Linotype" w:hAnsi="Palatino Linotype" w:cs="Palatino Linotype"/>
          <w:b/>
          <w:sz w:val="22"/>
          <w:szCs w:val="22"/>
        </w:rPr>
        <w:t>seis de abril</w:t>
      </w:r>
      <w:r w:rsidR="00A957A4" w:rsidRPr="00794DAB">
        <w:rPr>
          <w:rFonts w:ascii="Palatino Linotype" w:eastAsia="Palatino Linotype" w:hAnsi="Palatino Linotype" w:cs="Palatino Linotype"/>
          <w:b/>
          <w:sz w:val="22"/>
          <w:szCs w:val="22"/>
        </w:rPr>
        <w:t xml:space="preserve"> de dos mil </w:t>
      </w:r>
      <w:r w:rsidR="00104391" w:rsidRPr="00794DAB">
        <w:rPr>
          <w:rFonts w:ascii="Palatino Linotype" w:eastAsia="Palatino Linotype" w:hAnsi="Palatino Linotype" w:cs="Palatino Linotype"/>
          <w:b/>
          <w:sz w:val="22"/>
          <w:szCs w:val="22"/>
        </w:rPr>
        <w:t>veintiséis</w:t>
      </w:r>
      <w:r w:rsidRPr="00794DAB">
        <w:rPr>
          <w:rFonts w:ascii="Palatino Linotype" w:eastAsia="Palatino Linotype" w:hAnsi="Palatino Linotype" w:cs="Palatino Linotype"/>
          <w:b/>
          <w:sz w:val="22"/>
          <w:szCs w:val="22"/>
        </w:rPr>
        <w:t>,</w:t>
      </w:r>
      <w:r w:rsidRPr="00794DAB">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11392D23" w14:textId="77777777" w:rsidR="00D90F2D" w:rsidRPr="00794DAB" w:rsidRDefault="00D90F2D"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794DAB"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794DAB" w:rsidRDefault="00D41CCE">
      <w:pPr>
        <w:widowControl w:val="0"/>
        <w:spacing w:before="240" w:after="240" w:line="360" w:lineRule="auto"/>
        <w:jc w:val="center"/>
        <w:rPr>
          <w:rFonts w:ascii="Palatino Linotype" w:eastAsia="Palatino Linotype" w:hAnsi="Palatino Linotype" w:cs="Palatino Linotype"/>
          <w:b/>
          <w:sz w:val="22"/>
          <w:szCs w:val="22"/>
        </w:rPr>
      </w:pPr>
      <w:r w:rsidRPr="00794DAB">
        <w:rPr>
          <w:rFonts w:ascii="Palatino Linotype" w:eastAsia="Palatino Linotype" w:hAnsi="Palatino Linotype" w:cs="Palatino Linotype"/>
          <w:b/>
          <w:sz w:val="22"/>
          <w:szCs w:val="22"/>
        </w:rPr>
        <w:t>II. C O N S I D E R A N D O S</w:t>
      </w:r>
    </w:p>
    <w:p w14:paraId="26BE9313" w14:textId="77777777" w:rsidR="00CE3862" w:rsidRPr="00794DAB" w:rsidRDefault="00CE3862" w:rsidP="00CE3862">
      <w:pPr>
        <w:spacing w:line="360" w:lineRule="auto"/>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b/>
          <w:sz w:val="22"/>
          <w:szCs w:val="22"/>
        </w:rPr>
        <w:t>Primero. Competencia.</w:t>
      </w:r>
      <w:r w:rsidRPr="00794DAB">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794DAB"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794DAB" w:rsidRDefault="00D41CCE">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794DAB">
        <w:rPr>
          <w:rFonts w:ascii="Palatino Linotype" w:eastAsia="Palatino Linotype" w:hAnsi="Palatino Linotype" w:cs="Palatino Linotype"/>
          <w:b/>
          <w:sz w:val="22"/>
          <w:szCs w:val="22"/>
        </w:rPr>
        <w:t>Segundo. Oportunidad y Procedibilidad del Recurso de Revisión</w:t>
      </w:r>
      <w:r w:rsidRPr="00794DAB">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C665AE4" w14:textId="77777777" w:rsidR="00566EB9" w:rsidRPr="00794DAB" w:rsidRDefault="00566EB9">
      <w:pPr>
        <w:spacing w:line="360" w:lineRule="auto"/>
        <w:jc w:val="both"/>
        <w:rPr>
          <w:rFonts w:ascii="Palatino Linotype" w:eastAsia="Palatino Linotype" w:hAnsi="Palatino Linotype" w:cs="Palatino Linotype"/>
          <w:sz w:val="22"/>
          <w:szCs w:val="22"/>
        </w:rPr>
      </w:pPr>
    </w:p>
    <w:p w14:paraId="482B13A3" w14:textId="4218091D" w:rsidR="00A957A4" w:rsidRPr="00794DAB" w:rsidRDefault="00A957A4" w:rsidP="00A957A4">
      <w:pPr>
        <w:spacing w:line="360" w:lineRule="auto"/>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794DAB">
        <w:rPr>
          <w:rFonts w:ascii="Palatino Linotype" w:eastAsia="Palatino Linotype" w:hAnsi="Palatino Linotype" w:cs="Palatino Linotype"/>
          <w:b/>
          <w:sz w:val="22"/>
          <w:szCs w:val="22"/>
        </w:rPr>
        <w:t xml:space="preserve">Sujeto Obligado </w:t>
      </w:r>
      <w:r w:rsidRPr="00794DAB">
        <w:rPr>
          <w:rFonts w:ascii="Palatino Linotype" w:eastAsia="Palatino Linotype" w:hAnsi="Palatino Linotype" w:cs="Palatino Linotype"/>
          <w:sz w:val="22"/>
          <w:szCs w:val="22"/>
        </w:rPr>
        <w:t>remitió la respuesta a la solicitud de información el</w:t>
      </w:r>
      <w:r w:rsidRPr="00794DAB">
        <w:t xml:space="preserve"> </w:t>
      </w:r>
      <w:r w:rsidR="00746C6D" w:rsidRPr="00794DAB">
        <w:rPr>
          <w:rFonts w:ascii="Palatino Linotype" w:eastAsia="Palatino Linotype" w:hAnsi="Palatino Linotype" w:cs="Palatino Linotype"/>
          <w:b/>
          <w:sz w:val="22"/>
          <w:szCs w:val="22"/>
        </w:rPr>
        <w:t>veintitrés de septiembre de dos mil veinticinco</w:t>
      </w:r>
      <w:r w:rsidRPr="00794DAB">
        <w:rPr>
          <w:rFonts w:ascii="Palatino Linotype" w:eastAsia="Palatino Linotype" w:hAnsi="Palatino Linotype" w:cs="Palatino Linotype"/>
          <w:b/>
          <w:sz w:val="22"/>
          <w:szCs w:val="22"/>
        </w:rPr>
        <w:t xml:space="preserve">, </w:t>
      </w:r>
      <w:r w:rsidRPr="00794DAB">
        <w:rPr>
          <w:rFonts w:ascii="Palatino Linotype" w:eastAsia="Palatino Linotype" w:hAnsi="Palatino Linotype" w:cs="Palatino Linotype"/>
          <w:sz w:val="22"/>
          <w:szCs w:val="22"/>
        </w:rPr>
        <w:t xml:space="preserve">mientras que el recurso de revisión interpuesto por </w:t>
      </w:r>
      <w:r w:rsidRPr="00794DAB">
        <w:rPr>
          <w:rFonts w:ascii="Palatino Linotype" w:eastAsia="Palatino Linotype" w:hAnsi="Palatino Linotype" w:cs="Palatino Linotype"/>
          <w:b/>
          <w:sz w:val="22"/>
          <w:szCs w:val="22"/>
        </w:rPr>
        <w:t>la parte</w:t>
      </w:r>
      <w:r w:rsidRPr="00794DAB">
        <w:rPr>
          <w:rFonts w:ascii="Palatino Linotype" w:eastAsia="Palatino Linotype" w:hAnsi="Palatino Linotype" w:cs="Palatino Linotype"/>
          <w:sz w:val="22"/>
          <w:szCs w:val="22"/>
        </w:rPr>
        <w:t xml:space="preserve"> </w:t>
      </w:r>
      <w:r w:rsidRPr="00794DAB">
        <w:rPr>
          <w:rFonts w:ascii="Palatino Linotype" w:eastAsia="Palatino Linotype" w:hAnsi="Palatino Linotype" w:cs="Palatino Linotype"/>
          <w:b/>
          <w:sz w:val="22"/>
          <w:szCs w:val="22"/>
        </w:rPr>
        <w:t>Recurrente</w:t>
      </w:r>
      <w:r w:rsidRPr="00794DAB">
        <w:rPr>
          <w:rFonts w:ascii="Palatino Linotype" w:eastAsia="Palatino Linotype" w:hAnsi="Palatino Linotype" w:cs="Palatino Linotype"/>
          <w:sz w:val="22"/>
          <w:szCs w:val="22"/>
        </w:rPr>
        <w:t xml:space="preserve">, se tuvo por presentado el </w:t>
      </w:r>
      <w:r w:rsidR="00746C6D" w:rsidRPr="00794DAB">
        <w:rPr>
          <w:rFonts w:ascii="Palatino Linotype" w:eastAsia="Palatino Linotype" w:hAnsi="Palatino Linotype" w:cs="Palatino Linotype"/>
          <w:b/>
          <w:sz w:val="22"/>
          <w:szCs w:val="22"/>
        </w:rPr>
        <w:t>veinticuatro de septiembre de dos mil veinticinco</w:t>
      </w:r>
      <w:r w:rsidR="00746C6D" w:rsidRPr="00794DAB">
        <w:rPr>
          <w:rFonts w:ascii="Palatino Linotype" w:eastAsia="Palatino Linotype" w:hAnsi="Palatino Linotype" w:cs="Palatino Linotype"/>
          <w:sz w:val="22"/>
          <w:szCs w:val="22"/>
        </w:rPr>
        <w:t xml:space="preserve"> </w:t>
      </w:r>
      <w:r w:rsidRPr="00794DAB">
        <w:rPr>
          <w:rFonts w:ascii="Palatino Linotype" w:eastAsia="Palatino Linotype" w:hAnsi="Palatino Linotype" w:cs="Palatino Linotype"/>
          <w:sz w:val="22"/>
          <w:szCs w:val="22"/>
        </w:rPr>
        <w:t xml:space="preserve">esto es, </w:t>
      </w:r>
      <w:r w:rsidR="002C33E7" w:rsidRPr="00794DAB">
        <w:rPr>
          <w:rFonts w:ascii="Palatino Linotype" w:eastAsia="Palatino Linotype" w:hAnsi="Palatino Linotype" w:cs="Palatino Linotype"/>
          <w:sz w:val="22"/>
          <w:szCs w:val="22"/>
        </w:rPr>
        <w:t xml:space="preserve">al </w:t>
      </w:r>
      <w:r w:rsidR="00746C6D" w:rsidRPr="00794DAB">
        <w:rPr>
          <w:rFonts w:ascii="Palatino Linotype" w:eastAsia="Palatino Linotype" w:hAnsi="Palatino Linotype" w:cs="Palatino Linotype"/>
          <w:sz w:val="22"/>
          <w:szCs w:val="22"/>
        </w:rPr>
        <w:t>primer</w:t>
      </w:r>
      <w:r w:rsidR="002C33E7" w:rsidRPr="00794DAB">
        <w:rPr>
          <w:rFonts w:ascii="Palatino Linotype" w:eastAsia="Palatino Linotype" w:hAnsi="Palatino Linotype" w:cs="Palatino Linotype"/>
          <w:sz w:val="22"/>
          <w:szCs w:val="22"/>
        </w:rPr>
        <w:t xml:space="preserve"> día hábil siguiente a aquel</w:t>
      </w:r>
      <w:r w:rsidRPr="00794DAB">
        <w:rPr>
          <w:rFonts w:ascii="Palatino Linotype" w:eastAsia="Palatino Linotype" w:hAnsi="Palatino Linotype" w:cs="Palatino Linotype"/>
          <w:sz w:val="22"/>
          <w:szCs w:val="22"/>
        </w:rPr>
        <w:t xml:space="preserve"> </w:t>
      </w:r>
      <w:r w:rsidRPr="00794DAB">
        <w:rPr>
          <w:rFonts w:ascii="Palatino Linotype" w:eastAsia="Palatino Linotype" w:hAnsi="Palatino Linotype" w:cs="Palatino Linotype"/>
          <w:b/>
          <w:sz w:val="22"/>
          <w:szCs w:val="22"/>
        </w:rPr>
        <w:t>en que se tuvo conocimiento de la respuesta impugnada</w:t>
      </w:r>
      <w:r w:rsidRPr="00794DAB">
        <w:rPr>
          <w:rFonts w:ascii="Palatino Linotype" w:eastAsia="Palatino Linotype" w:hAnsi="Palatino Linotype" w:cs="Palatino Linotype"/>
          <w:sz w:val="22"/>
          <w:szCs w:val="22"/>
        </w:rPr>
        <w:t xml:space="preserve">. </w:t>
      </w:r>
    </w:p>
    <w:p w14:paraId="379D1D6C" w14:textId="77777777" w:rsidR="00A957A4" w:rsidRPr="00794DAB" w:rsidRDefault="00A957A4" w:rsidP="00A957A4">
      <w:pPr>
        <w:spacing w:line="360" w:lineRule="auto"/>
        <w:jc w:val="both"/>
        <w:rPr>
          <w:rFonts w:ascii="Palatino Linotype" w:eastAsia="Palatino Linotype" w:hAnsi="Palatino Linotype" w:cs="Palatino Linotype"/>
          <w:sz w:val="22"/>
          <w:szCs w:val="22"/>
        </w:rPr>
      </w:pPr>
    </w:p>
    <w:p w14:paraId="1881407C" w14:textId="15D60879" w:rsidR="00944282" w:rsidRPr="00794DAB" w:rsidRDefault="00A957A4" w:rsidP="002C33E7">
      <w:pPr>
        <w:spacing w:line="360" w:lineRule="auto"/>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4F0FD1E3" w14:textId="77777777" w:rsidR="002C33E7" w:rsidRPr="00794DAB" w:rsidRDefault="002C33E7" w:rsidP="002C33E7">
      <w:pPr>
        <w:spacing w:line="360" w:lineRule="auto"/>
        <w:jc w:val="both"/>
        <w:rPr>
          <w:rFonts w:ascii="Palatino Linotype" w:eastAsia="Palatino Linotype" w:hAnsi="Palatino Linotype" w:cs="Palatino Linotype"/>
          <w:sz w:val="22"/>
          <w:szCs w:val="22"/>
        </w:rPr>
      </w:pPr>
    </w:p>
    <w:p w14:paraId="4D7A08C3" w14:textId="77777777" w:rsidR="002C33E7" w:rsidRPr="00794DAB" w:rsidRDefault="002C33E7" w:rsidP="002C33E7">
      <w:pPr>
        <w:tabs>
          <w:tab w:val="left" w:pos="7938"/>
        </w:tabs>
        <w:spacing w:line="360" w:lineRule="auto"/>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5DAF0671" w14:textId="77777777" w:rsidR="002C33E7" w:rsidRPr="00794DAB" w:rsidRDefault="002C33E7" w:rsidP="002C33E7">
      <w:pPr>
        <w:tabs>
          <w:tab w:val="left" w:pos="7938"/>
        </w:tabs>
        <w:spacing w:line="360" w:lineRule="auto"/>
        <w:jc w:val="both"/>
        <w:rPr>
          <w:rFonts w:ascii="Palatino Linotype" w:eastAsia="Palatino Linotype" w:hAnsi="Palatino Linotype" w:cs="Palatino Linotype"/>
          <w:sz w:val="22"/>
          <w:szCs w:val="22"/>
        </w:rPr>
      </w:pPr>
    </w:p>
    <w:p w14:paraId="1E970295" w14:textId="77777777" w:rsidR="002C33E7" w:rsidRPr="00794DAB" w:rsidRDefault="002C33E7" w:rsidP="002C33E7">
      <w:pPr>
        <w:spacing w:line="360" w:lineRule="auto"/>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sz w:val="22"/>
          <w:szCs w:val="22"/>
        </w:rPr>
        <w:t>Por otro lado, es de suma importancia mencionar que, si bien la parte</w:t>
      </w:r>
      <w:r w:rsidRPr="00794DAB">
        <w:rPr>
          <w:rFonts w:ascii="Palatino Linotype" w:eastAsia="Palatino Linotype" w:hAnsi="Palatino Linotype" w:cs="Palatino Linotype"/>
          <w:b/>
          <w:sz w:val="22"/>
          <w:szCs w:val="22"/>
        </w:rPr>
        <w:t xml:space="preserve"> Recurrente</w:t>
      </w:r>
      <w:r w:rsidRPr="00794DAB">
        <w:rPr>
          <w:rFonts w:ascii="Palatino Linotype" w:eastAsia="Palatino Linotype" w:hAnsi="Palatino Linotype" w:cs="Palatino Linotype"/>
          <w:sz w:val="22"/>
          <w:szCs w:val="22"/>
        </w:rPr>
        <w:t xml:space="preserve"> </w:t>
      </w:r>
      <w:r w:rsidRPr="00794DAB">
        <w:rPr>
          <w:rFonts w:ascii="Palatino Linotype" w:eastAsia="Palatino Linotype" w:hAnsi="Palatino Linotype" w:cs="Palatino Linotype"/>
          <w:b/>
          <w:sz w:val="22"/>
          <w:szCs w:val="22"/>
        </w:rPr>
        <w:t>no</w:t>
      </w:r>
      <w:r w:rsidRPr="00794DAB">
        <w:rPr>
          <w:rFonts w:ascii="Palatino Linotype" w:eastAsia="Palatino Linotype" w:hAnsi="Palatino Linotype" w:cs="Palatino Linotype"/>
          <w:sz w:val="22"/>
          <w:szCs w:val="22"/>
        </w:rPr>
        <w:t xml:space="preserve"> </w:t>
      </w:r>
      <w:r w:rsidRPr="00794DAB">
        <w:rPr>
          <w:rFonts w:ascii="Palatino Linotype" w:eastAsia="Palatino Linotype" w:hAnsi="Palatino Linotype" w:cs="Palatino Linotype"/>
          <w:b/>
          <w:sz w:val="22"/>
          <w:szCs w:val="22"/>
        </w:rPr>
        <w:t>proporcionó nombre,</w:t>
      </w:r>
      <w:r w:rsidRPr="00794DAB">
        <w:rPr>
          <w:rFonts w:ascii="Palatino Linotype" w:eastAsia="Palatino Linotype" w:hAnsi="Palatino Linotype" w:cs="Palatino Linotype"/>
          <w:sz w:val="22"/>
          <w:szCs w:val="22"/>
        </w:rPr>
        <w:t xml:space="preserv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24AC654" w14:textId="77777777" w:rsidR="002C33E7" w:rsidRPr="00794DAB" w:rsidRDefault="002C33E7" w:rsidP="002C33E7">
      <w:pPr>
        <w:spacing w:line="360" w:lineRule="auto"/>
        <w:jc w:val="both"/>
        <w:rPr>
          <w:rFonts w:ascii="Palatino Linotype" w:eastAsia="Palatino Linotype" w:hAnsi="Palatino Linotype" w:cs="Palatino Linotype"/>
          <w:sz w:val="22"/>
          <w:szCs w:val="22"/>
        </w:rPr>
      </w:pPr>
    </w:p>
    <w:p w14:paraId="29A740D6" w14:textId="77777777" w:rsidR="002C33E7" w:rsidRPr="00794DAB" w:rsidRDefault="002C33E7" w:rsidP="002C33E7">
      <w:pPr>
        <w:spacing w:line="276" w:lineRule="auto"/>
        <w:ind w:left="851" w:right="902"/>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i/>
          <w:sz w:val="22"/>
          <w:szCs w:val="22"/>
        </w:rPr>
        <w:t>"</w:t>
      </w:r>
      <w:r w:rsidRPr="00794DAB">
        <w:rPr>
          <w:rFonts w:ascii="Palatino Linotype" w:eastAsia="Palatino Linotype" w:hAnsi="Palatino Linotype" w:cs="Palatino Linotype"/>
          <w:b/>
          <w:i/>
          <w:sz w:val="22"/>
          <w:szCs w:val="22"/>
        </w:rPr>
        <w:t xml:space="preserve">Las solicitudes </w:t>
      </w:r>
      <w:r w:rsidRPr="00794DAB">
        <w:rPr>
          <w:rFonts w:ascii="Palatino Linotype" w:eastAsia="Palatino Linotype" w:hAnsi="Palatino Linotype" w:cs="Palatino Linotype"/>
          <w:b/>
          <w:i/>
          <w:sz w:val="22"/>
          <w:szCs w:val="22"/>
          <w:u w:val="single"/>
        </w:rPr>
        <w:t>anónimas</w:t>
      </w:r>
      <w:r w:rsidRPr="00794DAB">
        <w:rPr>
          <w:rFonts w:ascii="Palatino Linotype" w:eastAsia="Palatino Linotype" w:hAnsi="Palatino Linotype" w:cs="Palatino Linotype"/>
          <w:i/>
          <w:sz w:val="22"/>
          <w:szCs w:val="22"/>
        </w:rPr>
        <w:t>, con nombre incompleto o seudónimo </w:t>
      </w:r>
      <w:r w:rsidRPr="00794DAB">
        <w:rPr>
          <w:rFonts w:ascii="Palatino Linotype" w:eastAsia="Palatino Linotype" w:hAnsi="Palatino Linotype" w:cs="Palatino Linotype"/>
          <w:b/>
          <w:i/>
          <w:sz w:val="22"/>
          <w:szCs w:val="22"/>
        </w:rPr>
        <w:t>serán procedentes para su trámite por parte del sujeto obligado ante quien se presente</w:t>
      </w:r>
      <w:r w:rsidRPr="00794DAB">
        <w:rPr>
          <w:rFonts w:ascii="Palatino Linotype" w:eastAsia="Palatino Linotype" w:hAnsi="Palatino Linotype" w:cs="Palatino Linotype"/>
          <w:i/>
          <w:sz w:val="22"/>
          <w:szCs w:val="22"/>
        </w:rPr>
        <w:t>. No podrá requerirse información adicional con motivo del nombre proporcionado por el solicitante."</w:t>
      </w:r>
    </w:p>
    <w:p w14:paraId="4EFFFC2C" w14:textId="77777777" w:rsidR="002C33E7" w:rsidRPr="00794DAB" w:rsidRDefault="002C33E7" w:rsidP="002C33E7">
      <w:pPr>
        <w:spacing w:line="360" w:lineRule="auto"/>
        <w:jc w:val="both"/>
        <w:rPr>
          <w:rFonts w:ascii="Palatino Linotype" w:eastAsia="Palatino Linotype" w:hAnsi="Palatino Linotype" w:cs="Palatino Linotype"/>
          <w:sz w:val="22"/>
          <w:szCs w:val="22"/>
        </w:rPr>
      </w:pPr>
    </w:p>
    <w:p w14:paraId="7B14A438" w14:textId="1DDDA5C0" w:rsidR="00566EB9" w:rsidRPr="00794DAB" w:rsidRDefault="00D41CCE">
      <w:pPr>
        <w:spacing w:line="360" w:lineRule="auto"/>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sz w:val="22"/>
          <w:szCs w:val="22"/>
        </w:rPr>
        <w:t xml:space="preserve">Finalmente, se advierte que resulta procedente la interposición del recurso, según lo manifestado por </w:t>
      </w:r>
      <w:r w:rsidRPr="00794DAB">
        <w:rPr>
          <w:rFonts w:ascii="Palatino Linotype" w:eastAsia="Palatino Linotype" w:hAnsi="Palatino Linotype" w:cs="Palatino Linotype"/>
          <w:b/>
          <w:sz w:val="22"/>
          <w:szCs w:val="22"/>
        </w:rPr>
        <w:t>la parte</w:t>
      </w:r>
      <w:r w:rsidRPr="00794DAB">
        <w:rPr>
          <w:rFonts w:ascii="Palatino Linotype" w:eastAsia="Palatino Linotype" w:hAnsi="Palatino Linotype" w:cs="Palatino Linotype"/>
          <w:sz w:val="22"/>
          <w:szCs w:val="22"/>
        </w:rPr>
        <w:t xml:space="preserve"> </w:t>
      </w:r>
      <w:r w:rsidRPr="00794DAB">
        <w:rPr>
          <w:rFonts w:ascii="Palatino Linotype" w:eastAsia="Palatino Linotype" w:hAnsi="Palatino Linotype" w:cs="Palatino Linotype"/>
          <w:b/>
          <w:sz w:val="22"/>
          <w:szCs w:val="22"/>
        </w:rPr>
        <w:t>Recurrente</w:t>
      </w:r>
      <w:r w:rsidRPr="00794DAB">
        <w:rPr>
          <w:rFonts w:ascii="Palatino Linotype" w:eastAsia="Palatino Linotype" w:hAnsi="Palatino Linotype" w:cs="Palatino Linotype"/>
          <w:sz w:val="22"/>
          <w:szCs w:val="22"/>
        </w:rPr>
        <w:t xml:space="preserve"> en sus motivos de inconformidad, de acuerdo </w:t>
      </w:r>
      <w:r w:rsidR="007F1130" w:rsidRPr="00794DAB">
        <w:rPr>
          <w:rFonts w:ascii="Palatino Linotype" w:eastAsia="Palatino Linotype" w:hAnsi="Palatino Linotype" w:cs="Palatino Linotype"/>
          <w:sz w:val="22"/>
          <w:szCs w:val="22"/>
        </w:rPr>
        <w:t xml:space="preserve">al artículo 179, </w:t>
      </w:r>
      <w:r w:rsidR="00366B0E" w:rsidRPr="00794DAB">
        <w:rPr>
          <w:rFonts w:ascii="Palatino Linotype" w:eastAsia="Palatino Linotype" w:hAnsi="Palatino Linotype" w:cs="Palatino Linotype"/>
          <w:sz w:val="22"/>
          <w:szCs w:val="22"/>
        </w:rPr>
        <w:t xml:space="preserve">fracción </w:t>
      </w:r>
      <w:r w:rsidR="00746C6D" w:rsidRPr="00794DAB">
        <w:rPr>
          <w:rFonts w:ascii="Palatino Linotype" w:eastAsia="Palatino Linotype" w:hAnsi="Palatino Linotype" w:cs="Palatino Linotype"/>
          <w:sz w:val="22"/>
          <w:szCs w:val="22"/>
        </w:rPr>
        <w:t>V</w:t>
      </w:r>
      <w:r w:rsidRPr="00794DAB">
        <w:rPr>
          <w:rFonts w:ascii="Palatino Linotype" w:eastAsia="Palatino Linotype" w:hAnsi="Palatino Linotype" w:cs="Palatino Linotype"/>
          <w:sz w:val="22"/>
          <w:szCs w:val="22"/>
        </w:rPr>
        <w:t xml:space="preserve"> del ordenamiento legal citado, que a la letra dice: </w:t>
      </w:r>
    </w:p>
    <w:p w14:paraId="61ECE404" w14:textId="77777777" w:rsidR="00566EB9" w:rsidRPr="00794DAB" w:rsidRDefault="00566EB9">
      <w:pPr>
        <w:spacing w:line="360" w:lineRule="auto"/>
        <w:jc w:val="both"/>
        <w:rPr>
          <w:rFonts w:ascii="Palatino Linotype" w:eastAsia="Palatino Linotype" w:hAnsi="Palatino Linotype" w:cs="Palatino Linotype"/>
          <w:sz w:val="22"/>
          <w:szCs w:val="22"/>
        </w:rPr>
      </w:pPr>
    </w:p>
    <w:p w14:paraId="57F4480A" w14:textId="77777777" w:rsidR="00566EB9" w:rsidRPr="00794DAB" w:rsidRDefault="00D41CCE">
      <w:pPr>
        <w:ind w:left="567" w:right="902"/>
        <w:jc w:val="both"/>
        <w:rPr>
          <w:rFonts w:ascii="Palatino Linotype" w:eastAsia="Palatino Linotype" w:hAnsi="Palatino Linotype" w:cs="Palatino Linotype"/>
          <w:i/>
          <w:sz w:val="22"/>
          <w:szCs w:val="22"/>
        </w:rPr>
      </w:pPr>
      <w:r w:rsidRPr="00794DAB">
        <w:rPr>
          <w:rFonts w:ascii="Palatino Linotype" w:eastAsia="Palatino Linotype" w:hAnsi="Palatino Linotype" w:cs="Palatino Linotype"/>
          <w:i/>
          <w:sz w:val="22"/>
          <w:szCs w:val="22"/>
        </w:rPr>
        <w:t>“</w:t>
      </w:r>
      <w:r w:rsidRPr="00794DAB">
        <w:rPr>
          <w:rFonts w:ascii="Palatino Linotype" w:eastAsia="Palatino Linotype" w:hAnsi="Palatino Linotype" w:cs="Palatino Linotype"/>
          <w:b/>
          <w:i/>
          <w:sz w:val="22"/>
          <w:szCs w:val="22"/>
        </w:rPr>
        <w:t>Artículo 179.</w:t>
      </w:r>
      <w:r w:rsidRPr="00794DAB">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F7E812E" w14:textId="4B512932" w:rsidR="00746C6D" w:rsidRPr="00794DAB" w:rsidRDefault="00746C6D">
      <w:pPr>
        <w:ind w:left="567" w:right="902"/>
        <w:jc w:val="both"/>
        <w:rPr>
          <w:rFonts w:ascii="Palatino Linotype" w:eastAsia="Palatino Linotype" w:hAnsi="Palatino Linotype" w:cs="Palatino Linotype"/>
          <w:i/>
          <w:sz w:val="22"/>
          <w:szCs w:val="22"/>
        </w:rPr>
      </w:pPr>
      <w:r w:rsidRPr="00794DAB">
        <w:rPr>
          <w:rFonts w:ascii="Palatino Linotype" w:eastAsia="Palatino Linotype" w:hAnsi="Palatino Linotype" w:cs="Palatino Linotype"/>
          <w:i/>
          <w:sz w:val="22"/>
          <w:szCs w:val="22"/>
        </w:rPr>
        <w:t>[…]</w:t>
      </w:r>
    </w:p>
    <w:p w14:paraId="33F808AB" w14:textId="4FBCF7E2" w:rsidR="00566EB9" w:rsidRPr="00794DAB" w:rsidRDefault="00746C6D" w:rsidP="00A5656A">
      <w:pPr>
        <w:ind w:left="567" w:right="902"/>
        <w:jc w:val="both"/>
        <w:rPr>
          <w:rFonts w:ascii="Palatino Linotype" w:eastAsia="Palatino Linotype" w:hAnsi="Palatino Linotype" w:cs="Palatino Linotype"/>
          <w:i/>
          <w:sz w:val="22"/>
          <w:szCs w:val="22"/>
        </w:rPr>
      </w:pPr>
      <w:r w:rsidRPr="00794DAB">
        <w:rPr>
          <w:rFonts w:ascii="Palatino Linotype" w:eastAsia="Palatino Linotype" w:hAnsi="Palatino Linotype" w:cs="Palatino Linotype"/>
          <w:b/>
          <w:i/>
          <w:sz w:val="22"/>
          <w:szCs w:val="22"/>
        </w:rPr>
        <w:t>V. La entrega de información incompleta;</w:t>
      </w:r>
      <w:r w:rsidRPr="00794DAB">
        <w:rPr>
          <w:rFonts w:ascii="Palatino Linotype" w:eastAsia="Palatino Linotype" w:hAnsi="Palatino Linotype" w:cs="Palatino Linotype"/>
          <w:b/>
          <w:i/>
          <w:sz w:val="22"/>
          <w:szCs w:val="22"/>
        </w:rPr>
        <w:cr/>
      </w:r>
      <w:r w:rsidR="00366B0E" w:rsidRPr="00794DAB">
        <w:rPr>
          <w:rFonts w:ascii="Palatino Linotype" w:eastAsia="Palatino Linotype" w:hAnsi="Palatino Linotype" w:cs="Palatino Linotype"/>
          <w:i/>
          <w:sz w:val="22"/>
          <w:szCs w:val="22"/>
        </w:rPr>
        <w:t xml:space="preserve"> </w:t>
      </w:r>
      <w:r w:rsidR="00D41CCE" w:rsidRPr="00794DAB">
        <w:rPr>
          <w:rFonts w:ascii="Palatino Linotype" w:eastAsia="Palatino Linotype" w:hAnsi="Palatino Linotype" w:cs="Palatino Linotype"/>
          <w:i/>
          <w:sz w:val="22"/>
          <w:szCs w:val="22"/>
        </w:rPr>
        <w:t>[…]”</w:t>
      </w:r>
    </w:p>
    <w:p w14:paraId="4D715A18" w14:textId="77777777" w:rsidR="00566EB9" w:rsidRPr="00794DAB" w:rsidRDefault="00566EB9">
      <w:pPr>
        <w:ind w:left="567"/>
        <w:rPr>
          <w:rFonts w:ascii="Palatino Linotype" w:eastAsia="Palatino Linotype" w:hAnsi="Palatino Linotype" w:cs="Palatino Linotype"/>
          <w:b/>
          <w:i/>
          <w:sz w:val="22"/>
          <w:szCs w:val="22"/>
        </w:rPr>
      </w:pPr>
    </w:p>
    <w:p w14:paraId="109A199F" w14:textId="77777777" w:rsidR="00566EB9" w:rsidRPr="00794DAB" w:rsidRDefault="00D41CCE">
      <w:pPr>
        <w:ind w:left="567" w:right="900"/>
        <w:jc w:val="right"/>
        <w:rPr>
          <w:rFonts w:ascii="Palatino Linotype" w:eastAsia="Palatino Linotype" w:hAnsi="Palatino Linotype" w:cs="Palatino Linotype"/>
          <w:i/>
          <w:sz w:val="22"/>
          <w:szCs w:val="22"/>
        </w:rPr>
      </w:pPr>
      <w:r w:rsidRPr="00794DAB">
        <w:rPr>
          <w:rFonts w:ascii="Palatino Linotype" w:eastAsia="Palatino Linotype" w:hAnsi="Palatino Linotype" w:cs="Palatino Linotype"/>
          <w:b/>
          <w:i/>
          <w:sz w:val="22"/>
          <w:szCs w:val="22"/>
        </w:rPr>
        <w:t xml:space="preserve"> </w:t>
      </w:r>
      <w:r w:rsidRPr="00794DAB">
        <w:rPr>
          <w:rFonts w:ascii="Palatino Linotype" w:eastAsia="Palatino Linotype" w:hAnsi="Palatino Linotype" w:cs="Palatino Linotype"/>
          <w:i/>
          <w:sz w:val="22"/>
          <w:szCs w:val="22"/>
        </w:rPr>
        <w:t>(Énfasis añadido)</w:t>
      </w:r>
    </w:p>
    <w:p w14:paraId="7E7E4929" w14:textId="77777777" w:rsidR="00527C07" w:rsidRPr="00794DAB" w:rsidRDefault="00527C07">
      <w:pPr>
        <w:ind w:left="567" w:right="900"/>
        <w:jc w:val="right"/>
        <w:rPr>
          <w:rFonts w:ascii="Palatino Linotype" w:eastAsia="Palatino Linotype" w:hAnsi="Palatino Linotype" w:cs="Palatino Linotype"/>
          <w:b/>
          <w:i/>
          <w:sz w:val="22"/>
          <w:szCs w:val="22"/>
        </w:rPr>
      </w:pPr>
    </w:p>
    <w:p w14:paraId="371AE1C8" w14:textId="77777777" w:rsidR="00746C6D" w:rsidRPr="00794DAB" w:rsidRDefault="00746C6D" w:rsidP="00746C6D">
      <w:pPr>
        <w:spacing w:line="360" w:lineRule="auto"/>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b/>
          <w:sz w:val="22"/>
          <w:szCs w:val="22"/>
        </w:rPr>
        <w:t>Tercero. Análisis de las causales de improcedencia y sobreseimiento del recurso de revisión.</w:t>
      </w:r>
      <w:r w:rsidRPr="00794DAB">
        <w:rPr>
          <w:sz w:val="22"/>
          <w:szCs w:val="22"/>
        </w:rPr>
        <w:t xml:space="preserve"> </w:t>
      </w:r>
      <w:r w:rsidRPr="00794DAB">
        <w:rPr>
          <w:rFonts w:ascii="Palatino Linotype" w:eastAsia="Palatino Linotype" w:hAnsi="Palatino Linotype" w:cs="Palatino Linotype"/>
          <w:sz w:val="22"/>
          <w:szCs w:val="22"/>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D54956B" w14:textId="77777777" w:rsidR="00746C6D" w:rsidRPr="00794DAB" w:rsidRDefault="00746C6D" w:rsidP="00746C6D">
      <w:pPr>
        <w:spacing w:line="360" w:lineRule="auto"/>
        <w:jc w:val="both"/>
        <w:rPr>
          <w:sz w:val="22"/>
          <w:szCs w:val="22"/>
        </w:rPr>
      </w:pPr>
    </w:p>
    <w:p w14:paraId="50F4E297" w14:textId="77777777" w:rsidR="00746C6D" w:rsidRPr="00794DAB" w:rsidRDefault="00746C6D" w:rsidP="00746C6D">
      <w:pPr>
        <w:spacing w:line="360" w:lineRule="auto"/>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5DA5A7F3" w14:textId="77777777" w:rsidR="00746C6D" w:rsidRPr="00794DAB" w:rsidRDefault="00746C6D" w:rsidP="00746C6D">
      <w:pPr>
        <w:spacing w:line="360" w:lineRule="auto"/>
        <w:jc w:val="both"/>
        <w:rPr>
          <w:sz w:val="22"/>
          <w:szCs w:val="22"/>
        </w:rPr>
      </w:pPr>
    </w:p>
    <w:p w14:paraId="3729011A" w14:textId="77777777" w:rsidR="00746C6D" w:rsidRPr="00794DAB" w:rsidRDefault="00746C6D" w:rsidP="00746C6D">
      <w:pPr>
        <w:spacing w:line="360" w:lineRule="auto"/>
        <w:ind w:right="51"/>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3B1C0488" w14:textId="77777777" w:rsidR="00746C6D" w:rsidRPr="00794DAB" w:rsidRDefault="00746C6D" w:rsidP="00746C6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3CE6B730" w14:textId="77777777" w:rsidR="00746C6D" w:rsidRPr="00794DAB" w:rsidRDefault="00746C6D" w:rsidP="00746C6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bookmarkStart w:id="7" w:name="_heading=h.1y810tw" w:colFirst="0" w:colLast="0"/>
      <w:bookmarkEnd w:id="7"/>
      <w:r w:rsidRPr="00794DAB">
        <w:rPr>
          <w:rFonts w:ascii="Palatino Linotype" w:eastAsia="Palatino Linotype" w:hAnsi="Palatino Linotype" w:cs="Palatino Linotype"/>
          <w:sz w:val="22"/>
          <w:szCs w:val="22"/>
        </w:rPr>
        <w:t xml:space="preserve">Conviene iniciar el presente estudio señalando que, del análisis a la solicitud de información se advierte que la persona solicitante requirió del </w:t>
      </w:r>
      <w:r w:rsidRPr="00794DAB">
        <w:rPr>
          <w:rFonts w:ascii="Palatino Linotype" w:eastAsia="Palatino Linotype" w:hAnsi="Palatino Linotype" w:cs="Palatino Linotype"/>
          <w:b/>
          <w:sz w:val="22"/>
          <w:szCs w:val="22"/>
        </w:rPr>
        <w:t>Sujeto Obligado</w:t>
      </w:r>
      <w:r w:rsidRPr="00794DAB">
        <w:rPr>
          <w:rFonts w:ascii="Palatino Linotype" w:eastAsia="Palatino Linotype" w:hAnsi="Palatino Linotype" w:cs="Palatino Linotype"/>
          <w:sz w:val="22"/>
          <w:szCs w:val="22"/>
        </w:rPr>
        <w:t>, lo siguiente:</w:t>
      </w:r>
    </w:p>
    <w:p w14:paraId="7A0E87D9" w14:textId="77777777" w:rsidR="00746C6D" w:rsidRPr="00794DAB" w:rsidRDefault="00746C6D" w:rsidP="00746C6D">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lang w:val="es-ES"/>
        </w:rPr>
      </w:pPr>
    </w:p>
    <w:p w14:paraId="2C0E944E" w14:textId="5AF52278" w:rsidR="00746C6D" w:rsidRPr="00794DAB" w:rsidRDefault="00247A9C" w:rsidP="00247A9C">
      <w:pPr>
        <w:pStyle w:val="Prrafodelista"/>
        <w:numPr>
          <w:ilvl w:val="0"/>
          <w:numId w:val="9"/>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b/>
          <w:sz w:val="22"/>
          <w:szCs w:val="22"/>
        </w:rPr>
        <w:t>Diagnóstico de movilidad para personas con discapacidad en el Municipio de Toluca, o bien, el documento que sustente el cambio de los semáforos a semáforos inteligentes en el Centro del Municipio de Toluca.</w:t>
      </w:r>
    </w:p>
    <w:p w14:paraId="7F49B5B6" w14:textId="77777777" w:rsidR="00247A9C" w:rsidRPr="00794DAB" w:rsidRDefault="00247A9C" w:rsidP="00247A9C">
      <w:pPr>
        <w:pStyle w:val="Prrafodelista"/>
        <w:pBdr>
          <w:top w:val="nil"/>
          <w:left w:val="nil"/>
          <w:bottom w:val="nil"/>
          <w:right w:val="nil"/>
          <w:between w:val="nil"/>
        </w:pBdr>
        <w:spacing w:line="360" w:lineRule="auto"/>
        <w:ind w:left="360" w:right="-150"/>
        <w:jc w:val="both"/>
        <w:rPr>
          <w:rFonts w:ascii="Palatino Linotype" w:eastAsia="Palatino Linotype" w:hAnsi="Palatino Linotype" w:cs="Palatino Linotype"/>
          <w:sz w:val="22"/>
          <w:szCs w:val="22"/>
        </w:rPr>
      </w:pPr>
    </w:p>
    <w:p w14:paraId="68FCA1FC" w14:textId="3D86B5AC" w:rsidR="00247A9C" w:rsidRPr="00794DAB" w:rsidRDefault="00247A9C" w:rsidP="00247A9C">
      <w:pPr>
        <w:pStyle w:val="Prrafodelista"/>
        <w:numPr>
          <w:ilvl w:val="0"/>
          <w:numId w:val="9"/>
        </w:num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b/>
          <w:sz w:val="22"/>
          <w:szCs w:val="22"/>
        </w:rPr>
        <w:t>Costo de cada uno de los cruces peatonales inteligentes del primer cuadro de la Ciudad de Toluca.</w:t>
      </w:r>
    </w:p>
    <w:p w14:paraId="73F4540F" w14:textId="77777777" w:rsidR="00247A9C" w:rsidRPr="00794DAB" w:rsidRDefault="00247A9C" w:rsidP="00247A9C">
      <w:pPr>
        <w:pStyle w:val="Prrafodelista"/>
        <w:pBdr>
          <w:top w:val="nil"/>
          <w:left w:val="nil"/>
          <w:bottom w:val="nil"/>
          <w:right w:val="nil"/>
          <w:between w:val="nil"/>
        </w:pBdr>
        <w:spacing w:line="360" w:lineRule="auto"/>
        <w:ind w:left="360" w:right="-150"/>
        <w:jc w:val="both"/>
        <w:rPr>
          <w:rFonts w:ascii="Palatino Linotype" w:eastAsia="Palatino Linotype" w:hAnsi="Palatino Linotype" w:cs="Palatino Linotype"/>
          <w:sz w:val="22"/>
          <w:szCs w:val="22"/>
        </w:rPr>
      </w:pPr>
    </w:p>
    <w:p w14:paraId="7D7478C2" w14:textId="7849A1D6" w:rsidR="00247A9C" w:rsidRPr="00794DAB" w:rsidRDefault="00746C6D" w:rsidP="00746C6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sz w:val="22"/>
          <w:szCs w:val="22"/>
        </w:rPr>
        <w:t xml:space="preserve">En respuesta, el </w:t>
      </w:r>
      <w:r w:rsidRPr="00794DAB">
        <w:rPr>
          <w:rFonts w:ascii="Palatino Linotype" w:eastAsia="Palatino Linotype" w:hAnsi="Palatino Linotype" w:cs="Palatino Linotype"/>
          <w:b/>
          <w:sz w:val="22"/>
          <w:szCs w:val="22"/>
        </w:rPr>
        <w:t>Sujeto Obligado</w:t>
      </w:r>
      <w:r w:rsidRPr="00794DAB">
        <w:rPr>
          <w:rFonts w:ascii="Palatino Linotype" w:eastAsia="Palatino Linotype" w:hAnsi="Palatino Linotype" w:cs="Palatino Linotype"/>
          <w:sz w:val="22"/>
          <w:szCs w:val="22"/>
        </w:rPr>
        <w:t xml:space="preserve"> por conducto de</w:t>
      </w:r>
      <w:r w:rsidR="00247A9C" w:rsidRPr="00794DAB">
        <w:rPr>
          <w:rFonts w:ascii="Palatino Linotype" w:eastAsia="Palatino Linotype" w:hAnsi="Palatino Linotype" w:cs="Palatino Linotype"/>
          <w:sz w:val="22"/>
          <w:szCs w:val="22"/>
        </w:rPr>
        <w:t xml:space="preserve"> los servidores públicos habilitados competentes de la Tesorería Municipal, la Dirección General de Servicios Públicos, Dirección General de Obras Públicas, y la Dirección General de Innovación, Planeación y Gestión Urbana, quienes proporcionaron la siguiente información:</w:t>
      </w:r>
    </w:p>
    <w:p w14:paraId="3BD27638" w14:textId="77777777" w:rsidR="00247A9C" w:rsidRPr="00794DAB" w:rsidRDefault="00247A9C" w:rsidP="00746C6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40E1657" w14:textId="4EA204A4" w:rsidR="00247A9C" w:rsidRPr="00794DAB" w:rsidRDefault="00247A9C" w:rsidP="00247A9C">
      <w:pPr>
        <w:pStyle w:val="Prrafodelista"/>
        <w:numPr>
          <w:ilvl w:val="0"/>
          <w:numId w:val="10"/>
        </w:numPr>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rPr>
      </w:pPr>
      <w:r w:rsidRPr="00794DAB">
        <w:t>E</w:t>
      </w:r>
      <w:r w:rsidRPr="00794DAB">
        <w:rPr>
          <w:rFonts w:ascii="Palatino Linotype" w:eastAsia="Palatino Linotype" w:hAnsi="Palatino Linotype" w:cs="Palatino Linotype"/>
          <w:sz w:val="22"/>
          <w:szCs w:val="22"/>
        </w:rPr>
        <w:t>l Tesorero Municipal informó que una vez realizada una búsqueda exhaustiva en sus archivos, no se cuenta con registro financiero, documental, contable o presupuestal que ampare la información solicitada.</w:t>
      </w:r>
    </w:p>
    <w:p w14:paraId="6DDB7A77" w14:textId="77777777" w:rsidR="00247A9C" w:rsidRPr="00794DAB" w:rsidRDefault="00247A9C" w:rsidP="00247A9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7F616F4" w14:textId="3898DB59" w:rsidR="00247A9C" w:rsidRPr="00794DAB" w:rsidRDefault="00247A9C" w:rsidP="00247A9C">
      <w:pPr>
        <w:pStyle w:val="Prrafodelista"/>
        <w:numPr>
          <w:ilvl w:val="0"/>
          <w:numId w:val="10"/>
        </w:numPr>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rPr>
      </w:pPr>
      <w:r w:rsidRPr="00794DAB">
        <w:t>E</w:t>
      </w:r>
      <w:r w:rsidRPr="00794DAB">
        <w:rPr>
          <w:rFonts w:ascii="Palatino Linotype" w:eastAsia="Palatino Linotype" w:hAnsi="Palatino Linotype" w:cs="Palatino Linotype"/>
          <w:sz w:val="22"/>
          <w:szCs w:val="22"/>
        </w:rPr>
        <w:t>l Director General de Servicios Públicos señaló que esa Dirección no tiene atribuciones para poseer la información y documentación solicitada.</w:t>
      </w:r>
    </w:p>
    <w:p w14:paraId="0E231A29" w14:textId="77777777" w:rsidR="00247A9C" w:rsidRPr="00794DAB" w:rsidRDefault="00247A9C" w:rsidP="00247A9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73AF60D9" w14:textId="5B23C204" w:rsidR="00247A9C" w:rsidRPr="00794DAB" w:rsidRDefault="00247A9C" w:rsidP="00247A9C">
      <w:pPr>
        <w:pStyle w:val="Prrafodelista"/>
        <w:numPr>
          <w:ilvl w:val="0"/>
          <w:numId w:val="10"/>
        </w:numPr>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sz w:val="22"/>
          <w:szCs w:val="22"/>
        </w:rPr>
        <w:t>El Director General de Obras Públicas señaló; en primer lugar, que sobre los requerimientos relativos a “.</w:t>
      </w:r>
      <w:r w:rsidRPr="00794DAB">
        <w:rPr>
          <w:rFonts w:ascii="Palatino Linotype" w:eastAsia="Palatino Linotype" w:hAnsi="Palatino Linotype" w:cs="Palatino Linotype"/>
          <w:i/>
          <w:sz w:val="22"/>
          <w:szCs w:val="22"/>
        </w:rPr>
        <w:t>..diagnóstico de movilidad para personas con discapacidad de toluca…</w:t>
      </w:r>
      <w:r w:rsidRPr="00794DAB">
        <w:rPr>
          <w:rFonts w:ascii="Palatino Linotype" w:eastAsia="Palatino Linotype" w:hAnsi="Palatino Linotype" w:cs="Palatino Linotype"/>
          <w:sz w:val="22"/>
          <w:szCs w:val="22"/>
        </w:rPr>
        <w:t xml:space="preserve">” y </w:t>
      </w:r>
      <w:r w:rsidRPr="00794DAB">
        <w:rPr>
          <w:rFonts w:ascii="Palatino Linotype" w:eastAsia="Palatino Linotype" w:hAnsi="Palatino Linotype" w:cs="Palatino Linotype"/>
          <w:i/>
          <w:sz w:val="22"/>
          <w:szCs w:val="22"/>
        </w:rPr>
        <w:t>“...documento que da soporte al cambio de los semáforos a semáforos inteligentes en el centro de toluca…</w:t>
      </w:r>
      <w:r w:rsidRPr="00794DAB">
        <w:rPr>
          <w:rFonts w:ascii="Palatino Linotype" w:eastAsia="Palatino Linotype" w:hAnsi="Palatino Linotype" w:cs="Palatino Linotype"/>
          <w:sz w:val="22"/>
          <w:szCs w:val="22"/>
        </w:rPr>
        <w:t>”, no es competencia, ni atribución de esa Dirección General, generar ni administrar el diagnóstico solicitado ni la información relacionada con el cambio de semáforos requeridos, aunado a que de la búsqueda efectuada no se localizó expresión documental que dé cuenta de lo requerido; y, en segundo lugar, que en lo concerniente al “…</w:t>
      </w:r>
      <w:r w:rsidRPr="00794DAB">
        <w:rPr>
          <w:rFonts w:ascii="Palatino Linotype" w:eastAsia="Palatino Linotype" w:hAnsi="Palatino Linotype" w:cs="Palatino Linotype"/>
          <w:i/>
          <w:sz w:val="22"/>
          <w:szCs w:val="22"/>
        </w:rPr>
        <w:t>costo de cada uno de los cruces peatonales inteligentes del primer cuadro de la ciudad</w:t>
      </w:r>
      <w:r w:rsidRPr="00794DAB">
        <w:rPr>
          <w:rFonts w:ascii="Palatino Linotype" w:eastAsia="Palatino Linotype" w:hAnsi="Palatino Linotype" w:cs="Palatino Linotype"/>
          <w:sz w:val="22"/>
          <w:szCs w:val="22"/>
        </w:rPr>
        <w:t>…”, informa que la construcción de pasos peatonales inteligentes para el fortalecimiento de la seguridad vial en diversas calles del centro histórico del municipio de Toluca, haciende a un monto contratado de $14,749,455.82 (catorce millones setecientos cuarenta y nueve mil cuatrocientos cincuenta y cinco pesos 82/100 m.n.).</w:t>
      </w:r>
    </w:p>
    <w:p w14:paraId="42E00498" w14:textId="77777777" w:rsidR="00247A9C" w:rsidRPr="00794DAB" w:rsidRDefault="00247A9C" w:rsidP="00247A9C">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71D22FF" w14:textId="05D707BF" w:rsidR="00247A9C" w:rsidRPr="00794DAB" w:rsidRDefault="00247A9C" w:rsidP="00247A9C">
      <w:pPr>
        <w:pStyle w:val="Prrafodelista"/>
        <w:numPr>
          <w:ilvl w:val="0"/>
          <w:numId w:val="10"/>
        </w:numPr>
        <w:pBdr>
          <w:top w:val="nil"/>
          <w:left w:val="nil"/>
          <w:bottom w:val="nil"/>
          <w:right w:val="nil"/>
          <w:between w:val="nil"/>
        </w:pBdr>
        <w:spacing w:line="360" w:lineRule="auto"/>
        <w:ind w:left="360" w:right="49"/>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sz w:val="22"/>
          <w:szCs w:val="22"/>
        </w:rPr>
        <w:t>El Director General de Innovación, Planeación y Gestión Urbana, refirió que se realizó una búsqueda exhaustiva y razonable de la información objeto de la solicitud en los archivos que se encuentran bajo resguardo y custodia de esa Dirección General y, como resultado de la búsqueda, se no se encontró expresión documental que dé cuenta de lo solicitado.</w:t>
      </w:r>
    </w:p>
    <w:p w14:paraId="5E01E816" w14:textId="77777777" w:rsidR="00746C6D" w:rsidRPr="00794DAB" w:rsidRDefault="00746C6D" w:rsidP="00746C6D">
      <w:pPr>
        <w:spacing w:line="360" w:lineRule="auto"/>
        <w:ind w:right="49"/>
        <w:jc w:val="both"/>
        <w:rPr>
          <w:rFonts w:ascii="Palatino Linotype" w:eastAsia="Palatino Linotype" w:hAnsi="Palatino Linotype" w:cs="Palatino Linotype"/>
          <w:sz w:val="22"/>
          <w:szCs w:val="22"/>
        </w:rPr>
      </w:pPr>
    </w:p>
    <w:p w14:paraId="0A3188F5" w14:textId="570BD327" w:rsidR="00746C6D" w:rsidRPr="00794DAB" w:rsidRDefault="00746C6D" w:rsidP="00746C6D">
      <w:pPr>
        <w:spacing w:line="360" w:lineRule="auto"/>
        <w:ind w:right="49"/>
        <w:jc w:val="both"/>
        <w:rPr>
          <w:rFonts w:ascii="Palatino Linotype" w:eastAsia="Palatino Linotype" w:hAnsi="Palatino Linotype" w:cs="Palatino Linotype"/>
          <w:b/>
          <w:sz w:val="22"/>
          <w:szCs w:val="22"/>
          <w:u w:val="single"/>
        </w:rPr>
      </w:pPr>
      <w:r w:rsidRPr="00794DAB">
        <w:rPr>
          <w:rFonts w:ascii="Palatino Linotype" w:eastAsia="Palatino Linotype" w:hAnsi="Palatino Linotype" w:cs="Palatino Linotype"/>
          <w:sz w:val="22"/>
          <w:szCs w:val="22"/>
        </w:rPr>
        <w:t xml:space="preserve">Inconforme con la respuesta, la parte </w:t>
      </w:r>
      <w:r w:rsidRPr="00794DAB">
        <w:rPr>
          <w:rFonts w:ascii="Palatino Linotype" w:eastAsia="Palatino Linotype" w:hAnsi="Palatino Linotype" w:cs="Palatino Linotype"/>
          <w:b/>
          <w:sz w:val="22"/>
          <w:szCs w:val="22"/>
        </w:rPr>
        <w:t xml:space="preserve">Recurrente </w:t>
      </w:r>
      <w:r w:rsidRPr="00794DAB">
        <w:rPr>
          <w:rFonts w:ascii="Palatino Linotype" w:eastAsia="Palatino Linotype" w:hAnsi="Palatino Linotype" w:cs="Palatino Linotype"/>
          <w:sz w:val="22"/>
          <w:szCs w:val="22"/>
        </w:rPr>
        <w:t xml:space="preserve">promovió el presente recurso de revisión en el que a manera de motivos de inconformidad </w:t>
      </w:r>
      <w:r w:rsidRPr="00794DAB">
        <w:rPr>
          <w:rFonts w:ascii="Palatino Linotype" w:eastAsia="Palatino Linotype" w:hAnsi="Palatino Linotype" w:cs="Palatino Linotype"/>
          <w:b/>
          <w:sz w:val="22"/>
          <w:szCs w:val="22"/>
        </w:rPr>
        <w:t xml:space="preserve">se adolece medularmente de </w:t>
      </w:r>
      <w:r w:rsidR="00247A9C" w:rsidRPr="00794DAB">
        <w:rPr>
          <w:rFonts w:ascii="Palatino Linotype" w:eastAsia="Palatino Linotype" w:hAnsi="Palatino Linotype" w:cs="Palatino Linotype"/>
          <w:b/>
          <w:sz w:val="22"/>
          <w:szCs w:val="22"/>
        </w:rPr>
        <w:t>que no se le proporcionaron los documentos probatorios -facturas- del costo de los semáforos (cruces inteligentes).</w:t>
      </w:r>
    </w:p>
    <w:p w14:paraId="295FE73D" w14:textId="77777777" w:rsidR="00746C6D" w:rsidRPr="00794DAB" w:rsidRDefault="00746C6D" w:rsidP="00746C6D">
      <w:pPr>
        <w:spacing w:line="360" w:lineRule="auto"/>
        <w:ind w:right="49"/>
        <w:jc w:val="both"/>
        <w:rPr>
          <w:rFonts w:ascii="Palatino Linotype" w:eastAsia="Palatino Linotype" w:hAnsi="Palatino Linotype" w:cs="Palatino Linotype"/>
          <w:sz w:val="22"/>
          <w:szCs w:val="22"/>
        </w:rPr>
      </w:pPr>
    </w:p>
    <w:p w14:paraId="5F36C688" w14:textId="77777777" w:rsidR="00746C6D" w:rsidRPr="00794DAB" w:rsidRDefault="00746C6D" w:rsidP="00746C6D">
      <w:pPr>
        <w:spacing w:line="360" w:lineRule="auto"/>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sz w:val="22"/>
          <w:szCs w:val="22"/>
        </w:rPr>
        <w:t>Admitido el presente recurso de revisión, en términos del artículo 185 fracción II</w:t>
      </w:r>
      <w:r w:rsidRPr="00794DAB">
        <w:rPr>
          <w:rFonts w:ascii="Palatino Linotype" w:eastAsia="Palatino Linotype" w:hAnsi="Palatino Linotype" w:cs="Palatino Linotype"/>
          <w:sz w:val="22"/>
          <w:szCs w:val="22"/>
          <w:vertAlign w:val="superscript"/>
        </w:rPr>
        <w:footnoteReference w:id="1"/>
      </w:r>
      <w:r w:rsidRPr="00794DAB">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536B3229" w14:textId="77777777" w:rsidR="00746C6D" w:rsidRPr="00794DAB" w:rsidRDefault="00746C6D" w:rsidP="00746C6D">
      <w:pPr>
        <w:spacing w:line="360" w:lineRule="auto"/>
        <w:jc w:val="both"/>
        <w:rPr>
          <w:rFonts w:ascii="Palatino Linotype" w:eastAsia="Palatino Linotype" w:hAnsi="Palatino Linotype" w:cs="Palatino Linotype"/>
          <w:sz w:val="22"/>
          <w:szCs w:val="22"/>
        </w:rPr>
      </w:pPr>
    </w:p>
    <w:p w14:paraId="7BB05C86" w14:textId="31A778CD" w:rsidR="00247A9C" w:rsidRPr="00794DAB" w:rsidRDefault="00746C6D" w:rsidP="00746C6D">
      <w:pPr>
        <w:spacing w:line="360" w:lineRule="auto"/>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sz w:val="22"/>
          <w:szCs w:val="22"/>
        </w:rPr>
        <w:t xml:space="preserve">Cabe resaltar que, de las constancias que obran en el expediente electrónico en que se actúa, se advierte que </w:t>
      </w:r>
      <w:r w:rsidR="00247A9C" w:rsidRPr="00794DAB">
        <w:rPr>
          <w:rFonts w:ascii="Palatino Linotype" w:eastAsia="Palatino Linotype" w:hAnsi="Palatino Linotype" w:cs="Palatino Linotype"/>
          <w:sz w:val="22"/>
          <w:szCs w:val="22"/>
        </w:rPr>
        <w:t xml:space="preserve">el </w:t>
      </w:r>
      <w:r w:rsidR="00247A9C" w:rsidRPr="00794DAB">
        <w:rPr>
          <w:rFonts w:ascii="Palatino Linotype" w:eastAsia="Palatino Linotype" w:hAnsi="Palatino Linotype" w:cs="Palatino Linotype"/>
          <w:b/>
          <w:sz w:val="22"/>
          <w:szCs w:val="22"/>
        </w:rPr>
        <w:t xml:space="preserve">Sujeto Obligado </w:t>
      </w:r>
      <w:r w:rsidR="00247A9C" w:rsidRPr="00794DAB">
        <w:rPr>
          <w:rFonts w:ascii="Palatino Linotype" w:eastAsia="Palatino Linotype" w:hAnsi="Palatino Linotype" w:cs="Palatino Linotype"/>
          <w:sz w:val="22"/>
          <w:szCs w:val="22"/>
        </w:rPr>
        <w:t>rindió su informe justificado, ratificando en lo medular su respuesta inicial.</w:t>
      </w:r>
    </w:p>
    <w:p w14:paraId="566C5A61" w14:textId="77777777" w:rsidR="00247A9C" w:rsidRPr="00794DAB" w:rsidRDefault="00247A9C" w:rsidP="00746C6D">
      <w:pPr>
        <w:spacing w:line="360" w:lineRule="auto"/>
        <w:jc w:val="both"/>
        <w:rPr>
          <w:rFonts w:ascii="Palatino Linotype" w:eastAsia="Palatino Linotype" w:hAnsi="Palatino Linotype" w:cs="Palatino Linotype"/>
          <w:sz w:val="22"/>
          <w:szCs w:val="22"/>
        </w:rPr>
      </w:pPr>
    </w:p>
    <w:p w14:paraId="5270382B" w14:textId="1F2CBF0C" w:rsidR="00746C6D" w:rsidRPr="00794DAB" w:rsidRDefault="00247A9C" w:rsidP="00746C6D">
      <w:pPr>
        <w:spacing w:line="360" w:lineRule="auto"/>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sz w:val="22"/>
          <w:szCs w:val="22"/>
        </w:rPr>
        <w:t xml:space="preserve">Por su lado, la </w:t>
      </w:r>
      <w:r w:rsidRPr="00794DAB">
        <w:rPr>
          <w:rFonts w:ascii="Palatino Linotype" w:eastAsia="Palatino Linotype" w:hAnsi="Palatino Linotype" w:cs="Palatino Linotype"/>
          <w:b/>
          <w:sz w:val="22"/>
          <w:szCs w:val="22"/>
        </w:rPr>
        <w:t>parte Recurrente</w:t>
      </w:r>
      <w:r w:rsidRPr="00794DAB">
        <w:rPr>
          <w:rFonts w:ascii="Palatino Linotype" w:eastAsia="Palatino Linotype" w:hAnsi="Palatino Linotype" w:cs="Palatino Linotype"/>
          <w:sz w:val="22"/>
          <w:szCs w:val="22"/>
        </w:rPr>
        <w:t xml:space="preserve"> fue omisa</w:t>
      </w:r>
      <w:r w:rsidR="00746C6D" w:rsidRPr="00794DAB">
        <w:rPr>
          <w:rFonts w:ascii="Palatino Linotype" w:eastAsia="Palatino Linotype" w:hAnsi="Palatino Linotype" w:cs="Palatino Linotype"/>
          <w:sz w:val="22"/>
          <w:szCs w:val="22"/>
        </w:rPr>
        <w:t xml:space="preserve"> en hacer valer manifestaciones o rendir alegatos que conforme a derecho resulten procedentes.</w:t>
      </w:r>
    </w:p>
    <w:p w14:paraId="3627AB54" w14:textId="77777777" w:rsidR="00746C6D" w:rsidRPr="00794DAB" w:rsidRDefault="00746C6D" w:rsidP="00746C6D">
      <w:pPr>
        <w:spacing w:line="360" w:lineRule="auto"/>
        <w:jc w:val="both"/>
        <w:rPr>
          <w:rFonts w:ascii="Palatino Linotype" w:eastAsia="Palatino Linotype" w:hAnsi="Palatino Linotype" w:cs="Palatino Linotype"/>
          <w:sz w:val="22"/>
          <w:szCs w:val="22"/>
        </w:rPr>
      </w:pPr>
    </w:p>
    <w:p w14:paraId="5685DA52" w14:textId="0586E7C5" w:rsidR="00A91F38" w:rsidRPr="00794DAB" w:rsidRDefault="00746C6D" w:rsidP="00746C6D">
      <w:pPr>
        <w:spacing w:line="360" w:lineRule="auto"/>
        <w:jc w:val="both"/>
        <w:rPr>
          <w:rFonts w:ascii="Palatino Linotype" w:eastAsia="Palatino Linotype" w:hAnsi="Palatino Linotype" w:cs="Palatino Linotype"/>
          <w:b/>
          <w:sz w:val="22"/>
          <w:szCs w:val="22"/>
        </w:rPr>
      </w:pPr>
      <w:r w:rsidRPr="00794DAB">
        <w:rPr>
          <w:rFonts w:ascii="Palatino Linotype" w:eastAsia="Palatino Linotype" w:hAnsi="Palatino Linotype" w:cs="Palatino Linotype"/>
          <w:sz w:val="22"/>
          <w:szCs w:val="22"/>
        </w:rPr>
        <w:t xml:space="preserve">Una vez establecidas las posturas de las partes, es de indicar que, en el caso </w:t>
      </w:r>
      <w:r w:rsidRPr="00794DAB">
        <w:rPr>
          <w:rFonts w:ascii="Palatino Linotype" w:eastAsia="Palatino Linotype" w:hAnsi="Palatino Linotype" w:cs="Palatino Linotype"/>
          <w:b/>
          <w:sz w:val="22"/>
          <w:szCs w:val="22"/>
        </w:rPr>
        <w:t xml:space="preserve">los motivos de inconformidad no versan sobre la información que fue requerida inicialmente y respecto de la cual se pronunció el ente obligado en respuesta, </w:t>
      </w:r>
      <w:r w:rsidR="00A91F38" w:rsidRPr="00794DAB">
        <w:rPr>
          <w:rFonts w:ascii="Palatino Linotype" w:eastAsia="Palatino Linotype" w:hAnsi="Palatino Linotype" w:cs="Palatino Linotype"/>
          <w:b/>
          <w:sz w:val="22"/>
          <w:szCs w:val="22"/>
        </w:rPr>
        <w:t>sino de que no se le proporcionaron los documentos probatorios -facturas- del costo de los semáforos (cruces inteligentes), que consiste en información que no fue requerida inicialmente.</w:t>
      </w:r>
    </w:p>
    <w:p w14:paraId="1C8D710B" w14:textId="77777777" w:rsidR="00746C6D" w:rsidRPr="00794DAB" w:rsidRDefault="00746C6D" w:rsidP="00746C6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9368231" w14:textId="77777777" w:rsidR="00746C6D" w:rsidRPr="00794DAB" w:rsidRDefault="00746C6D" w:rsidP="00746C6D">
      <w:pPr>
        <w:pBdr>
          <w:top w:val="nil"/>
          <w:left w:val="nil"/>
          <w:bottom w:val="nil"/>
          <w:right w:val="nil"/>
          <w:between w:val="nil"/>
        </w:pBdr>
        <w:spacing w:line="360" w:lineRule="auto"/>
        <w:jc w:val="both"/>
        <w:rPr>
          <w:sz w:val="22"/>
          <w:szCs w:val="22"/>
        </w:rPr>
      </w:pPr>
      <w:r w:rsidRPr="00794DAB">
        <w:rPr>
          <w:rFonts w:ascii="Palatino Linotype" w:eastAsia="Palatino Linotype" w:hAnsi="Palatino Linotype" w:cs="Palatino Linotype"/>
          <w:sz w:val="22"/>
          <w:szCs w:val="22"/>
        </w:rPr>
        <w:t xml:space="preserve">Al respecto, conviene citar el contenido del acto impugnado como los motivos de inconformidad, en los que </w:t>
      </w:r>
      <w:r w:rsidRPr="00794DAB">
        <w:rPr>
          <w:rFonts w:ascii="Palatino Linotype" w:eastAsia="Palatino Linotype" w:hAnsi="Palatino Linotype" w:cs="Palatino Linotype"/>
          <w:b/>
          <w:sz w:val="22"/>
          <w:szCs w:val="22"/>
        </w:rPr>
        <w:t>la parte</w:t>
      </w:r>
      <w:r w:rsidRPr="00794DAB">
        <w:rPr>
          <w:rFonts w:ascii="Palatino Linotype" w:eastAsia="Palatino Linotype" w:hAnsi="Palatino Linotype" w:cs="Palatino Linotype"/>
          <w:sz w:val="22"/>
          <w:szCs w:val="22"/>
        </w:rPr>
        <w:t xml:space="preserve"> </w:t>
      </w:r>
      <w:r w:rsidRPr="00794DAB">
        <w:rPr>
          <w:rFonts w:ascii="Palatino Linotype" w:eastAsia="Palatino Linotype" w:hAnsi="Palatino Linotype" w:cs="Palatino Linotype"/>
          <w:b/>
          <w:sz w:val="22"/>
          <w:szCs w:val="22"/>
        </w:rPr>
        <w:t>Recurrente</w:t>
      </w:r>
      <w:r w:rsidRPr="00794DAB">
        <w:rPr>
          <w:rFonts w:ascii="Palatino Linotype" w:eastAsia="Palatino Linotype" w:hAnsi="Palatino Linotype" w:cs="Palatino Linotype"/>
          <w:sz w:val="22"/>
          <w:szCs w:val="22"/>
        </w:rPr>
        <w:t>, señaló lo siguiente:</w:t>
      </w:r>
    </w:p>
    <w:p w14:paraId="1A52AEFD" w14:textId="24FA41D7" w:rsidR="00746C6D" w:rsidRPr="00794DAB" w:rsidRDefault="00746C6D" w:rsidP="00746C6D">
      <w:pPr>
        <w:spacing w:line="276" w:lineRule="auto"/>
        <w:ind w:left="567" w:right="900"/>
        <w:jc w:val="both"/>
        <w:rPr>
          <w:rFonts w:ascii="Palatino Linotype" w:eastAsia="Palatino Linotype" w:hAnsi="Palatino Linotype" w:cs="Palatino Linotype"/>
          <w:i/>
          <w:sz w:val="22"/>
          <w:szCs w:val="22"/>
        </w:rPr>
      </w:pPr>
    </w:p>
    <w:p w14:paraId="2FBC8A3B" w14:textId="6F0FCAF4" w:rsidR="00A91F38" w:rsidRPr="00794DAB" w:rsidRDefault="00A91F38" w:rsidP="00746C6D">
      <w:pPr>
        <w:spacing w:line="276" w:lineRule="auto"/>
        <w:ind w:left="567" w:right="900"/>
        <w:jc w:val="both"/>
        <w:rPr>
          <w:rFonts w:ascii="Palatino Linotype" w:eastAsia="Palatino Linotype" w:hAnsi="Palatino Linotype" w:cs="Palatino Linotype"/>
          <w:i/>
          <w:sz w:val="22"/>
          <w:szCs w:val="22"/>
        </w:rPr>
      </w:pPr>
      <w:r w:rsidRPr="00794DAB">
        <w:rPr>
          <w:rFonts w:ascii="Palatino Linotype" w:eastAsia="Palatino Linotype" w:hAnsi="Palatino Linotype" w:cs="Palatino Linotype"/>
          <w:i/>
          <w:sz w:val="22"/>
          <w:szCs w:val="22"/>
        </w:rPr>
        <w:t>“</w:t>
      </w:r>
      <w:r w:rsidRPr="00794DAB">
        <w:rPr>
          <w:rFonts w:ascii="Palatino Linotype" w:eastAsia="Palatino Linotype" w:hAnsi="Palatino Linotype" w:cs="Palatino Linotype"/>
          <w:b/>
          <w:i/>
          <w:sz w:val="22"/>
          <w:szCs w:val="22"/>
        </w:rPr>
        <w:t>No entrega documentos probatorios (facturas) del costo de los semáforos (cruces inteligentes)</w:t>
      </w:r>
      <w:r w:rsidRPr="00794DAB">
        <w:rPr>
          <w:rFonts w:ascii="Palatino Linotype" w:eastAsia="Palatino Linotype" w:hAnsi="Palatino Linotype" w:cs="Palatino Linotype"/>
          <w:i/>
          <w:sz w:val="22"/>
          <w:szCs w:val="22"/>
        </w:rPr>
        <w:t>” (Sic)</w:t>
      </w:r>
    </w:p>
    <w:p w14:paraId="710FED02" w14:textId="77777777" w:rsidR="00746C6D" w:rsidRPr="00794DAB" w:rsidRDefault="00746C6D" w:rsidP="00746C6D">
      <w:pPr>
        <w:spacing w:line="276" w:lineRule="auto"/>
        <w:ind w:left="567" w:right="900"/>
        <w:jc w:val="both"/>
        <w:rPr>
          <w:rFonts w:ascii="Palatino Linotype" w:eastAsia="Palatino Linotype" w:hAnsi="Palatino Linotype" w:cs="Palatino Linotype"/>
          <w:i/>
          <w:sz w:val="22"/>
          <w:szCs w:val="22"/>
        </w:rPr>
      </w:pPr>
    </w:p>
    <w:p w14:paraId="4BE9E475" w14:textId="1A864B75" w:rsidR="00A91F38" w:rsidRPr="00794DAB" w:rsidRDefault="00A91F38" w:rsidP="00746C6D">
      <w:pPr>
        <w:pBdr>
          <w:top w:val="nil"/>
          <w:left w:val="nil"/>
          <w:bottom w:val="nil"/>
          <w:right w:val="nil"/>
          <w:between w:val="nil"/>
        </w:pBdr>
        <w:spacing w:after="240" w:line="360" w:lineRule="auto"/>
        <w:ind w:right="49"/>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sz w:val="22"/>
          <w:szCs w:val="22"/>
        </w:rPr>
        <w:t>Sin embargo, es de recordar que en la solicitud primigeni</w:t>
      </w:r>
      <w:r w:rsidR="00371421" w:rsidRPr="00794DAB">
        <w:rPr>
          <w:rFonts w:ascii="Palatino Linotype" w:eastAsia="Palatino Linotype" w:hAnsi="Palatino Linotype" w:cs="Palatino Linotype"/>
          <w:sz w:val="22"/>
          <w:szCs w:val="22"/>
        </w:rPr>
        <w:t>a, el particular únicamente requirió el costo de cada uno de los cruces peatonales inteligentes del primer cuadro de la Ciudad de Toluca, más no así las facturas o documentos que demuestren ese costo.</w:t>
      </w:r>
    </w:p>
    <w:p w14:paraId="0B046269" w14:textId="797CBE18" w:rsidR="00746C6D" w:rsidRPr="00794DAB" w:rsidRDefault="00371421" w:rsidP="00746C6D">
      <w:pPr>
        <w:pBdr>
          <w:top w:val="nil"/>
          <w:left w:val="nil"/>
          <w:bottom w:val="nil"/>
          <w:right w:val="nil"/>
          <w:between w:val="nil"/>
        </w:pBdr>
        <w:spacing w:after="240" w:line="360" w:lineRule="auto"/>
        <w:ind w:right="49"/>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sz w:val="22"/>
          <w:szCs w:val="22"/>
        </w:rPr>
        <w:t>Por tanto, el requerir vía recurso de revisión los documentos probatorios -facturas- del costo de los semáforos (cruces inteligentes),</w:t>
      </w:r>
      <w:r w:rsidR="00746C6D" w:rsidRPr="00794DAB">
        <w:rPr>
          <w:rFonts w:ascii="Palatino Linotype" w:eastAsia="Palatino Linotype" w:hAnsi="Palatino Linotype" w:cs="Palatino Linotype"/>
          <w:sz w:val="22"/>
          <w:szCs w:val="22"/>
        </w:rPr>
        <w:t xml:space="preserve"> constituye para este Organismo Garante </w:t>
      </w:r>
      <w:r w:rsidRPr="00794DAB">
        <w:rPr>
          <w:rFonts w:ascii="Palatino Linotype" w:eastAsia="Palatino Linotype" w:hAnsi="Palatino Linotype" w:cs="Palatino Linotype"/>
          <w:sz w:val="22"/>
          <w:szCs w:val="22"/>
        </w:rPr>
        <w:t>un</w:t>
      </w:r>
      <w:r w:rsidR="00746C6D" w:rsidRPr="00794DAB">
        <w:rPr>
          <w:rFonts w:ascii="Palatino Linotype" w:eastAsia="Palatino Linotype" w:hAnsi="Palatino Linotype" w:cs="Palatino Linotype"/>
          <w:sz w:val="22"/>
          <w:szCs w:val="22"/>
        </w:rPr>
        <w:t xml:space="preserve"> </w:t>
      </w:r>
      <w:r w:rsidRPr="00794DAB">
        <w:rPr>
          <w:rFonts w:ascii="Palatino Linotype" w:eastAsia="Palatino Linotype" w:hAnsi="Palatino Linotype" w:cs="Palatino Linotype"/>
          <w:sz w:val="22"/>
          <w:szCs w:val="22"/>
        </w:rPr>
        <w:t xml:space="preserve">nuevo </w:t>
      </w:r>
      <w:r w:rsidR="00746C6D" w:rsidRPr="00794DAB">
        <w:rPr>
          <w:rFonts w:ascii="Palatino Linotype" w:eastAsia="Palatino Linotype" w:hAnsi="Palatino Linotype" w:cs="Palatino Linotype"/>
          <w:sz w:val="22"/>
          <w:szCs w:val="22"/>
        </w:rPr>
        <w:t>requerimiento de información.</w:t>
      </w:r>
    </w:p>
    <w:p w14:paraId="69E03C8B" w14:textId="1BDA06AB" w:rsidR="00746C6D" w:rsidRPr="00794DAB" w:rsidRDefault="00746C6D" w:rsidP="00746C6D">
      <w:pPr>
        <w:pBdr>
          <w:top w:val="nil"/>
          <w:left w:val="nil"/>
          <w:bottom w:val="nil"/>
          <w:right w:val="nil"/>
          <w:between w:val="nil"/>
        </w:pBdr>
        <w:spacing w:after="240" w:line="360" w:lineRule="auto"/>
        <w:ind w:right="49"/>
        <w:jc w:val="both"/>
        <w:rPr>
          <w:sz w:val="22"/>
          <w:szCs w:val="22"/>
        </w:rPr>
      </w:pPr>
      <w:r w:rsidRPr="00794DAB">
        <w:rPr>
          <w:rFonts w:ascii="Palatino Linotype" w:eastAsia="Palatino Linotype" w:hAnsi="Palatino Linotype" w:cs="Palatino Linotype"/>
          <w:sz w:val="22"/>
          <w:szCs w:val="22"/>
        </w:rPr>
        <w:t xml:space="preserve">De esta manera, se advierte que en el caso, el particular solicitó información novedosa a manera de agravios, configurándose así lo que se conoce como </w:t>
      </w:r>
      <w:r w:rsidRPr="00794DAB">
        <w:rPr>
          <w:rFonts w:ascii="Palatino Linotype" w:eastAsia="Palatino Linotype" w:hAnsi="Palatino Linotype" w:cs="Palatino Linotype"/>
          <w:i/>
          <w:sz w:val="22"/>
          <w:szCs w:val="22"/>
        </w:rPr>
        <w:t>plus petitio</w:t>
      </w:r>
      <w:r w:rsidRPr="00794DAB">
        <w:rPr>
          <w:rFonts w:ascii="Palatino Linotype" w:eastAsia="Palatino Linotype" w:hAnsi="Palatino Linotype" w:cs="Palatino Linotype"/>
          <w:b/>
          <w:i/>
          <w:sz w:val="22"/>
          <w:szCs w:val="22"/>
        </w:rPr>
        <w:t xml:space="preserve">, </w:t>
      </w:r>
      <w:r w:rsidRPr="00794DAB">
        <w:rPr>
          <w:rFonts w:ascii="Palatino Linotype" w:eastAsia="Palatino Linotype" w:hAnsi="Palatino Linotype" w:cs="Palatino Linotype"/>
          <w:sz w:val="22"/>
          <w:szCs w:val="22"/>
        </w:rPr>
        <w:t xml:space="preserve">que consiste en una ampliación a su requerimiento informativo, el cual no es susceptible de ser valorado en términos de la fracción VII del Artículo 191 de la Ley de Transparencia y Acceso a la Información Pública del Estado de México y Municipios, el cual señala la improcedencia cuando </w:t>
      </w:r>
      <w:r w:rsidRPr="00794DAB">
        <w:rPr>
          <w:rFonts w:ascii="Palatino Linotype" w:eastAsia="Palatino Linotype" w:hAnsi="Palatino Linotype" w:cs="Palatino Linotype"/>
          <w:b/>
          <w:sz w:val="22"/>
          <w:szCs w:val="22"/>
        </w:rPr>
        <w:t>la parte Recurrente</w:t>
      </w:r>
      <w:r w:rsidRPr="00794DAB">
        <w:rPr>
          <w:rFonts w:ascii="Palatino Linotype" w:eastAsia="Palatino Linotype" w:hAnsi="Palatino Linotype" w:cs="Palatino Linotype"/>
          <w:sz w:val="22"/>
          <w:szCs w:val="22"/>
        </w:rPr>
        <w:t xml:space="preserve"> amplíe su solicitud en el Recurso de Revisión, </w:t>
      </w:r>
      <w:r w:rsidRPr="00794DAB">
        <w:rPr>
          <w:rFonts w:ascii="Palatino Linotype" w:eastAsia="Palatino Linotype" w:hAnsi="Palatino Linotype" w:cs="Palatino Linotype"/>
          <w:b/>
          <w:sz w:val="22"/>
          <w:szCs w:val="22"/>
          <w:u w:val="single"/>
        </w:rPr>
        <w:t xml:space="preserve">únicamente respecto de los nuevos contenidos; </w:t>
      </w:r>
      <w:r w:rsidRPr="00794DAB">
        <w:rPr>
          <w:rFonts w:ascii="Palatino Linotype" w:eastAsia="Palatino Linotype" w:hAnsi="Palatino Linotype" w:cs="Palatino Linotype"/>
          <w:sz w:val="22"/>
          <w:szCs w:val="22"/>
        </w:rPr>
        <w:t xml:space="preserve">cuestión que tuvo lugar en el presente caso, pues </w:t>
      </w:r>
      <w:r w:rsidRPr="00794DAB">
        <w:rPr>
          <w:rFonts w:ascii="Palatino Linotype" w:eastAsia="Palatino Linotype" w:hAnsi="Palatino Linotype" w:cs="Palatino Linotype"/>
          <w:b/>
          <w:sz w:val="22"/>
          <w:szCs w:val="22"/>
        </w:rPr>
        <w:t>la parte</w:t>
      </w:r>
      <w:r w:rsidRPr="00794DAB">
        <w:rPr>
          <w:rFonts w:ascii="Palatino Linotype" w:eastAsia="Palatino Linotype" w:hAnsi="Palatino Linotype" w:cs="Palatino Linotype"/>
          <w:sz w:val="22"/>
          <w:szCs w:val="22"/>
        </w:rPr>
        <w:t xml:space="preserve"> </w:t>
      </w:r>
      <w:r w:rsidRPr="00794DAB">
        <w:rPr>
          <w:rFonts w:ascii="Palatino Linotype" w:eastAsia="Palatino Linotype" w:hAnsi="Palatino Linotype" w:cs="Palatino Linotype"/>
          <w:b/>
          <w:sz w:val="22"/>
          <w:szCs w:val="22"/>
        </w:rPr>
        <w:t>Recurrente</w:t>
      </w:r>
      <w:r w:rsidRPr="00794DAB">
        <w:rPr>
          <w:rFonts w:ascii="Palatino Linotype" w:eastAsia="Palatino Linotype" w:hAnsi="Palatino Linotype" w:cs="Palatino Linotype"/>
          <w:sz w:val="22"/>
          <w:szCs w:val="22"/>
        </w:rPr>
        <w:t xml:space="preserve"> formuló </w:t>
      </w:r>
      <w:r w:rsidR="00371421" w:rsidRPr="00794DAB">
        <w:rPr>
          <w:rFonts w:ascii="Palatino Linotype" w:eastAsia="Palatino Linotype" w:hAnsi="Palatino Linotype" w:cs="Palatino Linotype"/>
          <w:sz w:val="22"/>
          <w:szCs w:val="22"/>
        </w:rPr>
        <w:t xml:space="preserve">un </w:t>
      </w:r>
      <w:r w:rsidRPr="00794DAB">
        <w:rPr>
          <w:rFonts w:ascii="Palatino Linotype" w:eastAsia="Palatino Linotype" w:hAnsi="Palatino Linotype" w:cs="Palatino Linotype"/>
          <w:sz w:val="22"/>
          <w:szCs w:val="22"/>
        </w:rPr>
        <w:t xml:space="preserve">nuevo requerimiento, en </w:t>
      </w:r>
      <w:r w:rsidR="00371421" w:rsidRPr="00794DAB">
        <w:rPr>
          <w:rFonts w:ascii="Palatino Linotype" w:eastAsia="Palatino Linotype" w:hAnsi="Palatino Linotype" w:cs="Palatino Linotype"/>
          <w:sz w:val="22"/>
          <w:szCs w:val="22"/>
        </w:rPr>
        <w:t>el</w:t>
      </w:r>
      <w:r w:rsidRPr="00794DAB">
        <w:rPr>
          <w:rFonts w:ascii="Palatino Linotype" w:eastAsia="Palatino Linotype" w:hAnsi="Palatino Linotype" w:cs="Palatino Linotype"/>
          <w:sz w:val="22"/>
          <w:szCs w:val="22"/>
        </w:rPr>
        <w:t xml:space="preserve"> que solicitó información que no formó parte de su solicitud inicial y por lo tanto </w:t>
      </w:r>
      <w:r w:rsidR="00371421" w:rsidRPr="00794DAB">
        <w:rPr>
          <w:rFonts w:ascii="Palatino Linotype" w:eastAsia="Palatino Linotype" w:hAnsi="Palatino Linotype" w:cs="Palatino Linotype"/>
          <w:sz w:val="22"/>
          <w:szCs w:val="22"/>
        </w:rPr>
        <w:t>es</w:t>
      </w:r>
      <w:r w:rsidRPr="00794DAB">
        <w:rPr>
          <w:rFonts w:ascii="Palatino Linotype" w:eastAsia="Palatino Linotype" w:hAnsi="Palatino Linotype" w:cs="Palatino Linotype"/>
          <w:sz w:val="22"/>
          <w:szCs w:val="22"/>
        </w:rPr>
        <w:t xml:space="preserve"> inatendible a través del recurso de revisión.</w:t>
      </w:r>
    </w:p>
    <w:p w14:paraId="5A7F7E9B" w14:textId="77777777" w:rsidR="00746C6D" w:rsidRPr="00794DAB" w:rsidRDefault="00746C6D" w:rsidP="00746C6D">
      <w:p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794DAB">
        <w:rPr>
          <w:rFonts w:ascii="Palatino Linotype" w:eastAsia="Palatino Linotype" w:hAnsi="Palatino Linotype" w:cs="Palatino Linotype"/>
          <w:sz w:val="22"/>
          <w:szCs w:val="22"/>
        </w:rPr>
        <w:t>De esta manera, atendiendo que lo precisado en los motivos de inconformidad no fue requerido inicialmente,</w:t>
      </w:r>
      <w:r w:rsidRPr="00794DAB">
        <w:rPr>
          <w:rFonts w:ascii="Palatino Linotype" w:eastAsia="Palatino Linotype" w:hAnsi="Palatino Linotype" w:cs="Palatino Linotype"/>
          <w:b/>
          <w:sz w:val="22"/>
          <w:szCs w:val="22"/>
        </w:rPr>
        <w:t xml:space="preserve"> </w:t>
      </w:r>
      <w:r w:rsidRPr="00794DAB">
        <w:rPr>
          <w:rFonts w:ascii="Palatino Linotype" w:eastAsia="Palatino Linotype" w:hAnsi="Palatino Linotype" w:cs="Palatino Linotype"/>
          <w:sz w:val="22"/>
          <w:szCs w:val="22"/>
        </w:rPr>
        <w:t>es que se actualiza el supuesto de improcedencia previsto en el artículo 191 fracción VII de la Ley de Transparencia y Acceso a la Información Pública del Estado de México y Municipios; que prevé que son improcedentes los Recursos de Revisión en los que se plantean ampliaciones a las solicitudes iniciales.</w:t>
      </w:r>
    </w:p>
    <w:p w14:paraId="6828DF8A" w14:textId="77777777" w:rsidR="00746C6D" w:rsidRPr="00794DAB" w:rsidRDefault="00746C6D" w:rsidP="00746C6D">
      <w:pPr>
        <w:spacing w:line="360" w:lineRule="auto"/>
        <w:rPr>
          <w:sz w:val="22"/>
          <w:szCs w:val="22"/>
        </w:rPr>
      </w:pPr>
    </w:p>
    <w:p w14:paraId="0314AC2B" w14:textId="77777777" w:rsidR="00746C6D" w:rsidRPr="00794DAB" w:rsidRDefault="00746C6D" w:rsidP="00746C6D">
      <w:pPr>
        <w:pBdr>
          <w:top w:val="nil"/>
          <w:left w:val="nil"/>
          <w:bottom w:val="nil"/>
          <w:right w:val="nil"/>
          <w:between w:val="nil"/>
        </w:pBdr>
        <w:spacing w:after="240" w:line="360" w:lineRule="auto"/>
        <w:jc w:val="both"/>
        <w:rPr>
          <w:sz w:val="22"/>
          <w:szCs w:val="22"/>
        </w:rPr>
      </w:pPr>
      <w:r w:rsidRPr="00794DAB">
        <w:rPr>
          <w:rFonts w:ascii="Palatino Linotype" w:eastAsia="Palatino Linotype" w:hAnsi="Palatino Linotype" w:cs="Palatino Linotype"/>
          <w:sz w:val="22"/>
          <w:szCs w:val="22"/>
        </w:rPr>
        <w:t>En este orden de ideas, una vez formulada su solicitud inicial,</w:t>
      </w:r>
      <w:r w:rsidRPr="00794DAB">
        <w:rPr>
          <w:rFonts w:ascii="Palatino Linotype" w:eastAsia="Palatino Linotype" w:hAnsi="Palatino Linotype" w:cs="Palatino Linotype"/>
          <w:i/>
          <w:sz w:val="22"/>
          <w:szCs w:val="22"/>
        </w:rPr>
        <w:t xml:space="preserve"> </w:t>
      </w:r>
      <w:r w:rsidRPr="00794DAB">
        <w:rPr>
          <w:rFonts w:ascii="Palatino Linotype" w:eastAsia="Palatino Linotype" w:hAnsi="Palatino Linotype" w:cs="Palatino Linotype"/>
          <w:sz w:val="22"/>
          <w:szCs w:val="22"/>
        </w:rPr>
        <w:t>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4B1DAAD6" w14:textId="77777777" w:rsidR="00746C6D" w:rsidRPr="00794DAB" w:rsidRDefault="00746C6D" w:rsidP="00746C6D">
      <w:pPr>
        <w:pBdr>
          <w:top w:val="nil"/>
          <w:left w:val="nil"/>
          <w:bottom w:val="nil"/>
          <w:right w:val="nil"/>
          <w:between w:val="nil"/>
        </w:pBdr>
        <w:spacing w:before="240" w:after="240" w:line="360" w:lineRule="auto"/>
        <w:jc w:val="both"/>
        <w:rPr>
          <w:sz w:val="22"/>
          <w:szCs w:val="22"/>
        </w:rPr>
      </w:pPr>
      <w:r w:rsidRPr="00794DAB">
        <w:rPr>
          <w:rFonts w:ascii="Palatino Linotype" w:eastAsia="Palatino Linotype" w:hAnsi="Palatino Linotype" w:cs="Palatino Linotype"/>
          <w:sz w:val="22"/>
          <w:szCs w:val="22"/>
        </w:rPr>
        <w:t>Robustece lo anterior lo plasmado en el criterio orientador número 01/17 emitido por el entonces Instituto Nacional de Transparencia, Acceso a la Información y Protección de Datos Personales, INAI, que lleva por rubro y texto lo que a continuación se transcribe:</w:t>
      </w:r>
    </w:p>
    <w:p w14:paraId="4C2FBCF2" w14:textId="77777777" w:rsidR="00746C6D" w:rsidRPr="00794DAB" w:rsidRDefault="00746C6D" w:rsidP="00746C6D">
      <w:pPr>
        <w:pBdr>
          <w:top w:val="nil"/>
          <w:left w:val="nil"/>
          <w:bottom w:val="nil"/>
          <w:right w:val="nil"/>
          <w:between w:val="nil"/>
        </w:pBdr>
        <w:spacing w:before="240" w:after="240"/>
        <w:ind w:left="851" w:right="900"/>
        <w:jc w:val="both"/>
      </w:pPr>
      <w:r w:rsidRPr="00794DAB">
        <w:rPr>
          <w:rFonts w:ascii="Palatino Linotype" w:eastAsia="Palatino Linotype" w:hAnsi="Palatino Linotype" w:cs="Palatino Linotype"/>
          <w:i/>
          <w:sz w:val="22"/>
          <w:szCs w:val="22"/>
        </w:rPr>
        <w:t>“</w:t>
      </w:r>
      <w:r w:rsidRPr="00794DAB">
        <w:rPr>
          <w:rFonts w:ascii="Palatino Linotype" w:eastAsia="Palatino Linotype" w:hAnsi="Palatino Linotype" w:cs="Palatino Linotype"/>
          <w:b/>
          <w:i/>
          <w:sz w:val="22"/>
          <w:szCs w:val="22"/>
        </w:rPr>
        <w:t xml:space="preserve">Es improcedente ampliar las solicitudes de acceso a información, a través de la interposición del recurso de revisión. </w:t>
      </w:r>
      <w:r w:rsidRPr="00794DAB">
        <w:rPr>
          <w:rFonts w:ascii="Palatino Linotype" w:eastAsia="Palatino Linotype" w:hAnsi="Palatino Linotype" w:cs="Palatino Linotype"/>
          <w:i/>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sidRPr="00794DAB">
        <w:rPr>
          <w:rFonts w:ascii="Palatino Linotype" w:eastAsia="Palatino Linotype" w:hAnsi="Palatino Linotype" w:cs="Palatino Linotype"/>
          <w:b/>
          <w:i/>
          <w:sz w:val="22"/>
          <w:szCs w:val="22"/>
        </w:rPr>
        <w:t>.</w:t>
      </w:r>
      <w:r w:rsidRPr="00794DAB">
        <w:rPr>
          <w:rFonts w:ascii="Palatino Linotype" w:eastAsia="Palatino Linotype" w:hAnsi="Palatino Linotype" w:cs="Palatino Linotype"/>
          <w:i/>
          <w:sz w:val="22"/>
          <w:szCs w:val="22"/>
        </w:rPr>
        <w:t>”</w:t>
      </w:r>
    </w:p>
    <w:p w14:paraId="5E705B4A" w14:textId="77777777" w:rsidR="00746C6D" w:rsidRPr="00794DAB" w:rsidRDefault="00746C6D" w:rsidP="00746C6D">
      <w:pPr>
        <w:pBdr>
          <w:top w:val="nil"/>
          <w:left w:val="nil"/>
          <w:bottom w:val="nil"/>
          <w:right w:val="nil"/>
          <w:between w:val="nil"/>
        </w:pBdr>
        <w:spacing w:line="360" w:lineRule="auto"/>
        <w:ind w:right="49"/>
        <w:jc w:val="both"/>
        <w:rPr>
          <w:sz w:val="22"/>
          <w:szCs w:val="22"/>
        </w:rPr>
      </w:pPr>
      <w:r w:rsidRPr="00794DAB">
        <w:rPr>
          <w:rFonts w:ascii="Palatino Linotype" w:eastAsia="Palatino Linotype" w:hAnsi="Palatino Linotype" w:cs="Palatino Linotype"/>
          <w:sz w:val="22"/>
          <w:szCs w:val="22"/>
        </w:rPr>
        <w:t>Conforme a lo anteriormente expuesto, se actualiza lo dispuesto en el artículo 191 fracción VII de la Ley de Transparencia y Acceso a la Información Pública del Estado de México y Municipios, por al haber ampliado su requerimiento primigenio a través del recurso de revisión y no actualice algún supuesto de la ley de la Materia, las cuales disponen lo siguiente:</w:t>
      </w:r>
    </w:p>
    <w:p w14:paraId="176B1BBF" w14:textId="77777777" w:rsidR="00746C6D" w:rsidRPr="00794DAB" w:rsidRDefault="00746C6D" w:rsidP="00746C6D"/>
    <w:p w14:paraId="03143D84" w14:textId="77777777" w:rsidR="00746C6D" w:rsidRPr="00794DAB" w:rsidRDefault="00746C6D" w:rsidP="00746C6D">
      <w:pPr>
        <w:pBdr>
          <w:top w:val="nil"/>
          <w:left w:val="nil"/>
          <w:bottom w:val="nil"/>
          <w:right w:val="nil"/>
          <w:between w:val="nil"/>
        </w:pBdr>
        <w:ind w:left="851" w:right="822"/>
        <w:jc w:val="both"/>
      </w:pPr>
      <w:r w:rsidRPr="00794DAB">
        <w:rPr>
          <w:rFonts w:ascii="Palatino Linotype" w:eastAsia="Palatino Linotype" w:hAnsi="Palatino Linotype" w:cs="Palatino Linotype"/>
          <w:i/>
          <w:sz w:val="22"/>
          <w:szCs w:val="22"/>
        </w:rPr>
        <w:t>“Artículo 191. El recurso será desechado por improcedente cuando:</w:t>
      </w:r>
    </w:p>
    <w:p w14:paraId="3A889D3D" w14:textId="77777777" w:rsidR="00746C6D" w:rsidRPr="00794DAB" w:rsidRDefault="00746C6D" w:rsidP="00746C6D">
      <w:pPr>
        <w:pBdr>
          <w:top w:val="nil"/>
          <w:left w:val="nil"/>
          <w:bottom w:val="nil"/>
          <w:right w:val="nil"/>
          <w:between w:val="nil"/>
        </w:pBdr>
        <w:ind w:left="851" w:right="822"/>
        <w:jc w:val="both"/>
      </w:pPr>
      <w:r w:rsidRPr="00794DAB">
        <w:rPr>
          <w:rFonts w:ascii="Palatino Linotype" w:eastAsia="Palatino Linotype" w:hAnsi="Palatino Linotype" w:cs="Palatino Linotype"/>
          <w:i/>
          <w:sz w:val="22"/>
          <w:szCs w:val="22"/>
        </w:rPr>
        <w:t>I. Sea extemporáneo por haber transcurrido el plazo establecido en la presente Ley, a partir de la respuesta; </w:t>
      </w:r>
    </w:p>
    <w:p w14:paraId="2604EE0D" w14:textId="77777777" w:rsidR="00746C6D" w:rsidRPr="00794DAB" w:rsidRDefault="00746C6D" w:rsidP="00746C6D">
      <w:pPr>
        <w:pBdr>
          <w:top w:val="nil"/>
          <w:left w:val="nil"/>
          <w:bottom w:val="nil"/>
          <w:right w:val="nil"/>
          <w:between w:val="nil"/>
        </w:pBdr>
        <w:ind w:left="851" w:right="822"/>
        <w:jc w:val="both"/>
      </w:pPr>
      <w:r w:rsidRPr="00794DAB">
        <w:rPr>
          <w:rFonts w:ascii="Palatino Linotype" w:eastAsia="Palatino Linotype" w:hAnsi="Palatino Linotype" w:cs="Palatino Linotype"/>
          <w:i/>
          <w:sz w:val="22"/>
          <w:szCs w:val="22"/>
        </w:rPr>
        <w:t>II. Se esté tramitando ante el Poder Judicial de la Federación algún recurso o medio de defensa interpuesto por el recurrente; </w:t>
      </w:r>
    </w:p>
    <w:p w14:paraId="262D3EBE" w14:textId="77777777" w:rsidR="00746C6D" w:rsidRPr="00794DAB" w:rsidRDefault="00746C6D" w:rsidP="00746C6D">
      <w:pPr>
        <w:pBdr>
          <w:top w:val="nil"/>
          <w:left w:val="nil"/>
          <w:bottom w:val="nil"/>
          <w:right w:val="nil"/>
          <w:between w:val="nil"/>
        </w:pBdr>
        <w:ind w:left="851" w:right="822"/>
        <w:jc w:val="both"/>
      </w:pPr>
      <w:r w:rsidRPr="00794DAB">
        <w:rPr>
          <w:rFonts w:ascii="Palatino Linotype" w:eastAsia="Palatino Linotype" w:hAnsi="Palatino Linotype" w:cs="Palatino Linotype"/>
          <w:i/>
          <w:sz w:val="22"/>
          <w:szCs w:val="22"/>
        </w:rPr>
        <w:t>III. No actualice alguno de los supuestos previstos en la presente Ley; </w:t>
      </w:r>
    </w:p>
    <w:p w14:paraId="30CCC695" w14:textId="77777777" w:rsidR="00746C6D" w:rsidRPr="00794DAB" w:rsidRDefault="00746C6D" w:rsidP="00746C6D">
      <w:pPr>
        <w:pBdr>
          <w:top w:val="nil"/>
          <w:left w:val="nil"/>
          <w:bottom w:val="nil"/>
          <w:right w:val="nil"/>
          <w:between w:val="nil"/>
        </w:pBdr>
        <w:ind w:left="851" w:right="822"/>
        <w:jc w:val="both"/>
      </w:pPr>
      <w:r w:rsidRPr="00794DAB">
        <w:rPr>
          <w:rFonts w:ascii="Palatino Linotype" w:eastAsia="Palatino Linotype" w:hAnsi="Palatino Linotype" w:cs="Palatino Linotype"/>
          <w:i/>
          <w:sz w:val="22"/>
          <w:szCs w:val="22"/>
        </w:rPr>
        <w:t>IV. No se haya desahogado la prevención en los términos establecidos en la presente Ley; </w:t>
      </w:r>
    </w:p>
    <w:p w14:paraId="3AEB0783" w14:textId="77777777" w:rsidR="00746C6D" w:rsidRPr="00794DAB" w:rsidRDefault="00746C6D" w:rsidP="00746C6D">
      <w:pPr>
        <w:pBdr>
          <w:top w:val="nil"/>
          <w:left w:val="nil"/>
          <w:bottom w:val="nil"/>
          <w:right w:val="nil"/>
          <w:between w:val="nil"/>
        </w:pBdr>
        <w:ind w:left="851" w:right="822"/>
        <w:jc w:val="both"/>
      </w:pPr>
      <w:r w:rsidRPr="00794DAB">
        <w:rPr>
          <w:rFonts w:ascii="Palatino Linotype" w:eastAsia="Palatino Linotype" w:hAnsi="Palatino Linotype" w:cs="Palatino Linotype"/>
          <w:i/>
          <w:sz w:val="22"/>
          <w:szCs w:val="22"/>
        </w:rPr>
        <w:t>V. Se impugne la veracidad de la información proporcionada; </w:t>
      </w:r>
    </w:p>
    <w:p w14:paraId="658C0E12" w14:textId="77777777" w:rsidR="00746C6D" w:rsidRPr="00794DAB" w:rsidRDefault="00746C6D" w:rsidP="00746C6D">
      <w:pPr>
        <w:pBdr>
          <w:top w:val="nil"/>
          <w:left w:val="nil"/>
          <w:bottom w:val="nil"/>
          <w:right w:val="nil"/>
          <w:between w:val="nil"/>
        </w:pBdr>
        <w:ind w:left="851" w:right="822"/>
        <w:jc w:val="both"/>
      </w:pPr>
      <w:r w:rsidRPr="00794DAB">
        <w:rPr>
          <w:rFonts w:ascii="Palatino Linotype" w:eastAsia="Palatino Linotype" w:hAnsi="Palatino Linotype" w:cs="Palatino Linotype"/>
          <w:i/>
          <w:sz w:val="22"/>
          <w:szCs w:val="22"/>
        </w:rPr>
        <w:t>VI. Se trate de una consulta, o trámite en específico; y </w:t>
      </w:r>
    </w:p>
    <w:p w14:paraId="4904AE71" w14:textId="77777777" w:rsidR="00746C6D" w:rsidRPr="00794DAB" w:rsidRDefault="00746C6D" w:rsidP="00746C6D">
      <w:pPr>
        <w:pBdr>
          <w:top w:val="nil"/>
          <w:left w:val="nil"/>
          <w:bottom w:val="nil"/>
          <w:right w:val="nil"/>
          <w:between w:val="nil"/>
        </w:pBdr>
        <w:ind w:left="851" w:right="822"/>
        <w:jc w:val="both"/>
      </w:pPr>
      <w:r w:rsidRPr="00794DAB">
        <w:rPr>
          <w:rFonts w:ascii="Palatino Linotype" w:eastAsia="Palatino Linotype" w:hAnsi="Palatino Linotype" w:cs="Palatino Linotype"/>
          <w:b/>
          <w:i/>
          <w:sz w:val="22"/>
          <w:szCs w:val="22"/>
        </w:rPr>
        <w:t xml:space="preserve">VII. El recurrente amplíe su solicitud en el recurso de revisión, únicamente respecto de los nuevos contenidos.” </w:t>
      </w:r>
    </w:p>
    <w:p w14:paraId="53A50016" w14:textId="77777777" w:rsidR="00746C6D" w:rsidRPr="00794DAB" w:rsidRDefault="00746C6D" w:rsidP="00746C6D"/>
    <w:p w14:paraId="7C01406D" w14:textId="77777777" w:rsidR="00746C6D" w:rsidRPr="00794DAB" w:rsidRDefault="00746C6D" w:rsidP="00746C6D">
      <w:pPr>
        <w:pBdr>
          <w:top w:val="nil"/>
          <w:left w:val="nil"/>
          <w:bottom w:val="nil"/>
          <w:right w:val="nil"/>
          <w:between w:val="nil"/>
        </w:pBdr>
        <w:spacing w:line="360" w:lineRule="auto"/>
        <w:jc w:val="both"/>
        <w:rPr>
          <w:sz w:val="22"/>
          <w:szCs w:val="22"/>
        </w:rPr>
      </w:pPr>
      <w:r w:rsidRPr="00794DAB">
        <w:rPr>
          <w:rFonts w:ascii="Palatino Linotype" w:eastAsia="Palatino Linotype" w:hAnsi="Palatino Linotype" w:cs="Palatino Linotype"/>
          <w:sz w:val="22"/>
          <w:szCs w:val="22"/>
        </w:rPr>
        <w:t>La fracción VII del citado precepto legal, contempla la improcedencia del recurso cuando se amplíe la solicitud en el recurso de revisión.</w:t>
      </w:r>
    </w:p>
    <w:p w14:paraId="5711A024" w14:textId="77777777" w:rsidR="00746C6D" w:rsidRPr="00794DAB" w:rsidRDefault="00746C6D" w:rsidP="00746C6D">
      <w:pPr>
        <w:spacing w:line="360" w:lineRule="auto"/>
        <w:rPr>
          <w:sz w:val="22"/>
          <w:szCs w:val="22"/>
        </w:rPr>
      </w:pPr>
    </w:p>
    <w:p w14:paraId="5A39595F" w14:textId="77777777" w:rsidR="00746C6D" w:rsidRPr="00794DAB" w:rsidRDefault="00746C6D" w:rsidP="00746C6D">
      <w:pPr>
        <w:pBdr>
          <w:top w:val="nil"/>
          <w:left w:val="nil"/>
          <w:bottom w:val="nil"/>
          <w:right w:val="nil"/>
          <w:between w:val="nil"/>
        </w:pBdr>
        <w:spacing w:line="360" w:lineRule="auto"/>
        <w:jc w:val="both"/>
        <w:rPr>
          <w:sz w:val="22"/>
          <w:szCs w:val="22"/>
        </w:rPr>
      </w:pPr>
      <w:r w:rsidRPr="00794DAB">
        <w:rPr>
          <w:rFonts w:ascii="Palatino Linotype" w:eastAsia="Palatino Linotype" w:hAnsi="Palatino Linotype" w:cs="Palatino Linotype"/>
          <w:sz w:val="22"/>
          <w:szCs w:val="22"/>
        </w:rPr>
        <w:t>Sin embargo, al haber sido admitido el recurso de revisión, aún y cuando actualiza una causal de improcedencia, es necesario traer a contexto el artículo 192 fracción IV, de la multicitada Ley de Transparencia:</w:t>
      </w:r>
    </w:p>
    <w:p w14:paraId="6526789C" w14:textId="77777777" w:rsidR="00746C6D" w:rsidRPr="00794DAB" w:rsidRDefault="00746C6D" w:rsidP="00746C6D">
      <w:pPr>
        <w:rPr>
          <w:sz w:val="22"/>
          <w:szCs w:val="22"/>
        </w:rPr>
      </w:pPr>
    </w:p>
    <w:p w14:paraId="0FEDF67B" w14:textId="77777777" w:rsidR="00746C6D" w:rsidRPr="00794DAB" w:rsidRDefault="00746C6D" w:rsidP="00746C6D">
      <w:pPr>
        <w:pBdr>
          <w:top w:val="nil"/>
          <w:left w:val="nil"/>
          <w:bottom w:val="nil"/>
          <w:right w:val="nil"/>
          <w:between w:val="nil"/>
        </w:pBdr>
        <w:ind w:left="851" w:right="822"/>
        <w:jc w:val="both"/>
      </w:pPr>
      <w:r w:rsidRPr="00794DAB">
        <w:rPr>
          <w:rFonts w:ascii="Palatino Linotype" w:eastAsia="Palatino Linotype" w:hAnsi="Palatino Linotype" w:cs="Palatino Linotype"/>
          <w:i/>
          <w:sz w:val="22"/>
          <w:szCs w:val="22"/>
        </w:rPr>
        <w:t>“Artículo 192. El recurso será sobreseído, en todo o en parte, cuando una vez admitido, se actualicen alguno de los siguientes supuestos:</w:t>
      </w:r>
    </w:p>
    <w:p w14:paraId="37157F30" w14:textId="77777777" w:rsidR="00746C6D" w:rsidRPr="00794DAB" w:rsidRDefault="00746C6D" w:rsidP="00746C6D">
      <w:pPr>
        <w:pBdr>
          <w:top w:val="nil"/>
          <w:left w:val="nil"/>
          <w:bottom w:val="nil"/>
          <w:right w:val="nil"/>
          <w:between w:val="nil"/>
        </w:pBdr>
        <w:ind w:left="851" w:right="822"/>
        <w:jc w:val="both"/>
      </w:pPr>
      <w:r w:rsidRPr="00794DAB">
        <w:rPr>
          <w:rFonts w:ascii="Palatino Linotype" w:eastAsia="Palatino Linotype" w:hAnsi="Palatino Linotype" w:cs="Palatino Linotype"/>
          <w:i/>
          <w:sz w:val="22"/>
          <w:szCs w:val="22"/>
        </w:rPr>
        <w:t>I. El recurrente se desista expresamente del recurso; </w:t>
      </w:r>
    </w:p>
    <w:p w14:paraId="4EBD183F" w14:textId="77777777" w:rsidR="00746C6D" w:rsidRPr="00794DAB" w:rsidRDefault="00746C6D" w:rsidP="00746C6D">
      <w:pPr>
        <w:pBdr>
          <w:top w:val="nil"/>
          <w:left w:val="nil"/>
          <w:bottom w:val="nil"/>
          <w:right w:val="nil"/>
          <w:between w:val="nil"/>
        </w:pBdr>
        <w:ind w:left="851" w:right="822"/>
        <w:jc w:val="both"/>
      </w:pPr>
      <w:r w:rsidRPr="00794DAB">
        <w:rPr>
          <w:rFonts w:ascii="Palatino Linotype" w:eastAsia="Palatino Linotype" w:hAnsi="Palatino Linotype" w:cs="Palatino Linotype"/>
          <w:i/>
          <w:sz w:val="22"/>
          <w:szCs w:val="22"/>
        </w:rPr>
        <w:t>II. El recurrente fallezca o, tratándose de personas jurídicas colectivas, se disuelva; </w:t>
      </w:r>
    </w:p>
    <w:p w14:paraId="4758117D" w14:textId="77777777" w:rsidR="00746C6D" w:rsidRPr="00794DAB" w:rsidRDefault="00746C6D" w:rsidP="00746C6D">
      <w:pPr>
        <w:pBdr>
          <w:top w:val="nil"/>
          <w:left w:val="nil"/>
          <w:bottom w:val="nil"/>
          <w:right w:val="nil"/>
          <w:between w:val="nil"/>
        </w:pBdr>
        <w:ind w:left="851" w:right="822"/>
        <w:jc w:val="both"/>
      </w:pPr>
      <w:r w:rsidRPr="00794DAB">
        <w:rPr>
          <w:rFonts w:ascii="Palatino Linotype" w:eastAsia="Palatino Linotype" w:hAnsi="Palatino Linotype" w:cs="Palatino Linotype"/>
          <w:i/>
          <w:sz w:val="22"/>
          <w:szCs w:val="22"/>
        </w:rPr>
        <w:t>III. El sujeto obligado responsable del acto lo modifique o revoque de tal manera que el recurso de revisión quede sin materia; </w:t>
      </w:r>
    </w:p>
    <w:p w14:paraId="18A3B1C5" w14:textId="77777777" w:rsidR="00746C6D" w:rsidRPr="00794DAB" w:rsidRDefault="00746C6D" w:rsidP="00746C6D">
      <w:pPr>
        <w:pBdr>
          <w:top w:val="nil"/>
          <w:left w:val="nil"/>
          <w:bottom w:val="nil"/>
          <w:right w:val="nil"/>
          <w:between w:val="nil"/>
        </w:pBdr>
        <w:ind w:left="851" w:right="822"/>
        <w:jc w:val="both"/>
      </w:pPr>
      <w:r w:rsidRPr="00794DAB">
        <w:rPr>
          <w:rFonts w:ascii="Palatino Linotype" w:eastAsia="Palatino Linotype" w:hAnsi="Palatino Linotype" w:cs="Palatino Linotype"/>
          <w:b/>
          <w:i/>
          <w:sz w:val="22"/>
          <w:szCs w:val="22"/>
        </w:rPr>
        <w:t>IV. Admitido el recurso de revisión, aparezca alguna causal de improcedencia en los términos de la presente Ley; y </w:t>
      </w:r>
    </w:p>
    <w:p w14:paraId="5AE77F5F" w14:textId="77777777" w:rsidR="00746C6D" w:rsidRPr="00794DAB" w:rsidRDefault="00746C6D" w:rsidP="00746C6D">
      <w:pPr>
        <w:pBdr>
          <w:top w:val="nil"/>
          <w:left w:val="nil"/>
          <w:bottom w:val="nil"/>
          <w:right w:val="nil"/>
          <w:between w:val="nil"/>
        </w:pBdr>
        <w:ind w:left="851" w:right="822"/>
        <w:jc w:val="both"/>
      </w:pPr>
      <w:r w:rsidRPr="00794DAB">
        <w:rPr>
          <w:rFonts w:ascii="Palatino Linotype" w:eastAsia="Palatino Linotype" w:hAnsi="Palatino Linotype" w:cs="Palatino Linotype"/>
          <w:i/>
          <w:sz w:val="22"/>
          <w:szCs w:val="22"/>
        </w:rPr>
        <w:t xml:space="preserve">V. Cuando por cualquier motivo quede sin materia el recurso.” </w:t>
      </w:r>
    </w:p>
    <w:p w14:paraId="7E0E512D" w14:textId="77777777" w:rsidR="00746C6D" w:rsidRPr="00794DAB" w:rsidRDefault="00746C6D" w:rsidP="00746C6D"/>
    <w:p w14:paraId="064D1A3F" w14:textId="77777777" w:rsidR="00746C6D" w:rsidRPr="00794DAB" w:rsidRDefault="00746C6D" w:rsidP="00746C6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sz w:val="22"/>
          <w:szCs w:val="22"/>
        </w:rPr>
        <w:t>Es así que, el recurso de revisión actualiza la causal de sobreseimiento establecida en la fracción IV del artículo 192, en relación a la fracción VII del artículo 191, ambos de la Ley de Transparencia y Acceso a la Información Pública del Estado de México y Municipios.</w:t>
      </w:r>
    </w:p>
    <w:p w14:paraId="56F48FC5" w14:textId="77777777" w:rsidR="00746C6D" w:rsidRPr="00794DAB" w:rsidRDefault="00746C6D" w:rsidP="00746C6D">
      <w:pPr>
        <w:spacing w:line="360" w:lineRule="auto"/>
        <w:ind w:right="51"/>
        <w:jc w:val="both"/>
        <w:rPr>
          <w:rFonts w:ascii="Palatino Linotype" w:eastAsia="Palatino Linotype" w:hAnsi="Palatino Linotype" w:cs="Palatino Linotype"/>
          <w:sz w:val="22"/>
          <w:szCs w:val="22"/>
        </w:rPr>
      </w:pPr>
    </w:p>
    <w:p w14:paraId="7F3C4AD6" w14:textId="77777777" w:rsidR="00746C6D" w:rsidRPr="00794DAB" w:rsidRDefault="00746C6D" w:rsidP="00746C6D">
      <w:pPr>
        <w:spacing w:line="360" w:lineRule="auto"/>
        <w:ind w:right="51"/>
        <w:jc w:val="both"/>
        <w:rPr>
          <w:rFonts w:ascii="Palatino Linotype" w:eastAsia="Palatino Linotype" w:hAnsi="Palatino Linotype" w:cs="Palatino Linotype"/>
          <w:b/>
          <w:sz w:val="22"/>
          <w:szCs w:val="22"/>
        </w:rPr>
      </w:pPr>
      <w:r w:rsidRPr="00794DAB">
        <w:rPr>
          <w:rFonts w:ascii="Palatino Linotype" w:eastAsia="Palatino Linotype" w:hAnsi="Palatino Linotype" w:cs="Palatino Linotype"/>
          <w:sz w:val="22"/>
          <w:szCs w:val="22"/>
        </w:rPr>
        <w:t xml:space="preserve">No obstante, lo anterior, resulta necesario hacer del conocimiento del particular, que se procede a dejar a salvo sus derechos, para que mediante una nueva solicitud de información presentada ante el </w:t>
      </w:r>
      <w:r w:rsidRPr="00794DAB">
        <w:rPr>
          <w:rFonts w:ascii="Palatino Linotype" w:eastAsia="Palatino Linotype" w:hAnsi="Palatino Linotype" w:cs="Palatino Linotype"/>
          <w:b/>
          <w:sz w:val="22"/>
          <w:szCs w:val="22"/>
        </w:rPr>
        <w:t xml:space="preserve">Sujeto Obligado </w:t>
      </w:r>
      <w:r w:rsidRPr="00794DAB">
        <w:rPr>
          <w:rFonts w:ascii="Palatino Linotype" w:eastAsia="Palatino Linotype" w:hAnsi="Palatino Linotype" w:cs="Palatino Linotype"/>
          <w:sz w:val="22"/>
          <w:szCs w:val="22"/>
        </w:rPr>
        <w:t>requiera la información que es de su interés.</w:t>
      </w:r>
    </w:p>
    <w:p w14:paraId="470FDE84" w14:textId="77777777" w:rsidR="00746C6D" w:rsidRPr="00794DAB" w:rsidRDefault="00746C6D" w:rsidP="00746C6D">
      <w:pPr>
        <w:spacing w:line="360" w:lineRule="auto"/>
        <w:ind w:right="51"/>
        <w:jc w:val="both"/>
        <w:rPr>
          <w:rFonts w:ascii="Palatino Linotype" w:eastAsia="Palatino Linotype" w:hAnsi="Palatino Linotype" w:cs="Palatino Linotype"/>
          <w:sz w:val="22"/>
          <w:szCs w:val="22"/>
        </w:rPr>
      </w:pPr>
    </w:p>
    <w:p w14:paraId="46D841A6" w14:textId="77777777" w:rsidR="00746C6D" w:rsidRPr="00794DAB" w:rsidRDefault="00746C6D" w:rsidP="00746C6D">
      <w:pPr>
        <w:spacing w:line="360" w:lineRule="auto"/>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sz w:val="22"/>
          <w:szCs w:val="22"/>
        </w:rPr>
        <w:t>En consecuencia, como se indicó el recurso de revisión actualiza la causal de sobreseimiento establecida en la fracción IV del artículo 192, en relación a la fracción VII del artículo 191, ambos de la Ley de Transparencia y Acceso a la Información Pública del Estado de México y Municipios.</w:t>
      </w:r>
    </w:p>
    <w:p w14:paraId="715B5305" w14:textId="77777777" w:rsidR="00746C6D" w:rsidRPr="00794DAB" w:rsidRDefault="00746C6D" w:rsidP="00746C6D">
      <w:pPr>
        <w:pBdr>
          <w:top w:val="nil"/>
          <w:left w:val="nil"/>
          <w:bottom w:val="nil"/>
          <w:right w:val="nil"/>
          <w:between w:val="nil"/>
        </w:pBdr>
        <w:spacing w:line="360" w:lineRule="auto"/>
        <w:jc w:val="both"/>
        <w:rPr>
          <w:sz w:val="22"/>
          <w:szCs w:val="22"/>
        </w:rPr>
      </w:pPr>
    </w:p>
    <w:p w14:paraId="578CDF3A" w14:textId="77777777" w:rsidR="00746C6D" w:rsidRPr="00794DAB" w:rsidRDefault="00746C6D" w:rsidP="00746C6D">
      <w:pPr>
        <w:pBdr>
          <w:top w:val="nil"/>
          <w:left w:val="nil"/>
          <w:bottom w:val="nil"/>
          <w:right w:val="nil"/>
          <w:between w:val="nil"/>
        </w:pBdr>
        <w:spacing w:line="360" w:lineRule="auto"/>
        <w:jc w:val="both"/>
        <w:rPr>
          <w:sz w:val="22"/>
          <w:szCs w:val="22"/>
        </w:rPr>
      </w:pPr>
      <w:r w:rsidRPr="00794DAB">
        <w:rPr>
          <w:rFonts w:ascii="Palatino Linotype" w:eastAsia="Palatino Linotype" w:hAnsi="Palatino Linotype" w:cs="Palatino Linotype"/>
          <w:sz w:val="22"/>
          <w:szCs w:val="22"/>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14:paraId="525C8A03" w14:textId="77777777" w:rsidR="00746C6D" w:rsidRPr="00794DAB" w:rsidRDefault="00746C6D" w:rsidP="00746C6D"/>
    <w:p w14:paraId="43277C0B" w14:textId="77777777" w:rsidR="00746C6D" w:rsidRPr="00794DAB" w:rsidRDefault="00746C6D" w:rsidP="00746C6D">
      <w:pPr>
        <w:pBdr>
          <w:top w:val="nil"/>
          <w:left w:val="nil"/>
          <w:bottom w:val="nil"/>
          <w:right w:val="nil"/>
          <w:between w:val="nil"/>
        </w:pBdr>
        <w:ind w:left="567" w:right="567"/>
        <w:jc w:val="both"/>
      </w:pPr>
      <w:r w:rsidRPr="00794DAB">
        <w:rPr>
          <w:rFonts w:ascii="Palatino Linotype" w:eastAsia="Palatino Linotype" w:hAnsi="Palatino Linotype" w:cs="Palatino Linotype"/>
          <w:i/>
          <w:sz w:val="22"/>
          <w:szCs w:val="22"/>
        </w:rPr>
        <w:t>“</w:t>
      </w:r>
      <w:r w:rsidRPr="00794DAB">
        <w:rPr>
          <w:rFonts w:ascii="Palatino Linotype" w:eastAsia="Palatino Linotype" w:hAnsi="Palatino Linotype" w:cs="Palatino Linotype"/>
          <w:b/>
          <w:i/>
          <w:sz w:val="22"/>
          <w:szCs w:val="22"/>
        </w:rPr>
        <w:t>SOBRESEIMIENTO EN EL JUICIO DE AMPARO DIRECTO. IMPIDE EL ESTUDIO DE LAS VIOLACIONES PROCESALES PLANTEADAS EN LOS CONCEPTOS DE VIOLACIÓN.</w:t>
      </w:r>
      <w:r w:rsidRPr="00794DAB">
        <w:rPr>
          <w:rFonts w:ascii="Palatino Linotype" w:eastAsia="Palatino Linotype" w:hAnsi="Palatino Linotype" w:cs="Palatino Linotype"/>
          <w:i/>
          <w:sz w:val="22"/>
          <w:szCs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14:paraId="5CCE7B80" w14:textId="77777777" w:rsidR="00746C6D" w:rsidRPr="00794DAB" w:rsidRDefault="00746C6D" w:rsidP="00746C6D">
      <w:pPr>
        <w:pBdr>
          <w:top w:val="nil"/>
          <w:left w:val="nil"/>
          <w:bottom w:val="nil"/>
          <w:right w:val="nil"/>
          <w:between w:val="nil"/>
        </w:pBdr>
        <w:ind w:left="567" w:right="567"/>
        <w:jc w:val="both"/>
      </w:pPr>
      <w:r w:rsidRPr="00794DAB">
        <w:rPr>
          <w:rFonts w:ascii="Palatino Linotype" w:eastAsia="Palatino Linotype" w:hAnsi="Palatino Linotype" w:cs="Palatino Linotype"/>
          <w:i/>
          <w:sz w:val="22"/>
          <w:szCs w:val="22"/>
        </w:rPr>
        <w:t>SEPTIMO TRIBUNAL COLEGIADO EN MATERIA CIVIL DEL PRIMER CIRCUITO</w:t>
      </w:r>
    </w:p>
    <w:p w14:paraId="7864BE9B" w14:textId="77777777" w:rsidR="00746C6D" w:rsidRPr="00794DAB" w:rsidRDefault="00746C6D" w:rsidP="00746C6D">
      <w:pPr>
        <w:pBdr>
          <w:top w:val="nil"/>
          <w:left w:val="nil"/>
          <w:bottom w:val="nil"/>
          <w:right w:val="nil"/>
          <w:between w:val="nil"/>
        </w:pBdr>
        <w:ind w:left="567" w:right="567"/>
        <w:jc w:val="both"/>
      </w:pPr>
      <w:r w:rsidRPr="00794DAB">
        <w:rPr>
          <w:rFonts w:ascii="Palatino Linotype" w:eastAsia="Palatino Linotype" w:hAnsi="Palatino Linotype" w:cs="Palatino Linotype"/>
          <w:i/>
          <w:sz w:val="22"/>
          <w:szCs w:val="22"/>
        </w:rPr>
        <w:t>Amparo directo 699/2008. Mariana Leticia González Steele. 13 de noviembre de 2008. Unanimidad de votos. Ponente: Sara Judith Montalvo Trejo. Secretario: Arnulfo Mateos García.”</w:t>
      </w:r>
    </w:p>
    <w:p w14:paraId="4BF129BB" w14:textId="77777777" w:rsidR="00746C6D" w:rsidRPr="00794DAB" w:rsidRDefault="00746C6D" w:rsidP="00746C6D"/>
    <w:p w14:paraId="7DDADAA6" w14:textId="77777777" w:rsidR="00746C6D" w:rsidRPr="00794DAB" w:rsidRDefault="00746C6D" w:rsidP="00746C6D">
      <w:pPr>
        <w:pBdr>
          <w:top w:val="nil"/>
          <w:left w:val="nil"/>
          <w:bottom w:val="nil"/>
          <w:right w:val="nil"/>
          <w:between w:val="nil"/>
        </w:pBdr>
        <w:spacing w:line="360" w:lineRule="auto"/>
        <w:jc w:val="both"/>
        <w:rPr>
          <w:sz w:val="22"/>
          <w:szCs w:val="22"/>
        </w:rPr>
      </w:pPr>
      <w:r w:rsidRPr="00794DAB">
        <w:rPr>
          <w:rFonts w:ascii="Palatino Linotype" w:eastAsia="Palatino Linotype" w:hAnsi="Palatino Linotype" w:cs="Palatino Linotype"/>
          <w:sz w:val="22"/>
          <w:szCs w:val="22"/>
        </w:rPr>
        <w:t xml:space="preserve">Siendo el </w:t>
      </w:r>
      <w:r w:rsidRPr="00794DAB">
        <w:rPr>
          <w:rFonts w:ascii="Palatino Linotype" w:eastAsia="Palatino Linotype" w:hAnsi="Palatino Linotype" w:cs="Palatino Linotype"/>
          <w:i/>
          <w:sz w:val="22"/>
          <w:szCs w:val="22"/>
        </w:rPr>
        <w:t>sobreseimiento</w:t>
      </w:r>
      <w:r w:rsidRPr="00794DAB">
        <w:rPr>
          <w:rFonts w:ascii="Palatino Linotype" w:eastAsia="Palatino Linotype" w:hAnsi="Palatino Linotype" w:cs="Palatino Linotype"/>
          <w:sz w:val="22"/>
          <w:szCs w:val="22"/>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50030BD6" w14:textId="77777777" w:rsidR="00746C6D" w:rsidRPr="00794DAB" w:rsidRDefault="00746C6D" w:rsidP="00746C6D"/>
    <w:p w14:paraId="1FEA028F" w14:textId="77777777" w:rsidR="00746C6D" w:rsidRPr="00794DAB" w:rsidRDefault="00746C6D" w:rsidP="00746C6D">
      <w:pPr>
        <w:pBdr>
          <w:top w:val="nil"/>
          <w:left w:val="nil"/>
          <w:bottom w:val="nil"/>
          <w:right w:val="nil"/>
          <w:between w:val="nil"/>
        </w:pBdr>
        <w:spacing w:after="120"/>
        <w:ind w:left="851" w:right="902"/>
        <w:jc w:val="both"/>
      </w:pPr>
      <w:r w:rsidRPr="00794DAB">
        <w:rPr>
          <w:rFonts w:ascii="Palatino Linotype" w:eastAsia="Palatino Linotype" w:hAnsi="Palatino Linotype" w:cs="Palatino Linotype"/>
          <w:i/>
          <w:sz w:val="22"/>
          <w:szCs w:val="22"/>
        </w:rPr>
        <w:t>“</w:t>
      </w:r>
      <w:r w:rsidRPr="00794DAB">
        <w:rPr>
          <w:rFonts w:ascii="Palatino Linotype" w:eastAsia="Palatino Linotype" w:hAnsi="Palatino Linotype" w:cs="Palatino Linotype"/>
          <w:b/>
          <w:i/>
          <w:sz w:val="22"/>
          <w:szCs w:val="22"/>
        </w:rPr>
        <w:t>SOBRESEIMIENTO, NO PERMITE ENTRAR AL ESTUDIO DE LAS CUESTIONES DE FONDO</w:t>
      </w:r>
    </w:p>
    <w:p w14:paraId="6F70FE6A" w14:textId="77777777" w:rsidR="00746C6D" w:rsidRPr="00794DAB" w:rsidRDefault="00746C6D" w:rsidP="00746C6D">
      <w:pPr>
        <w:pBdr>
          <w:top w:val="nil"/>
          <w:left w:val="nil"/>
          <w:bottom w:val="nil"/>
          <w:right w:val="nil"/>
          <w:between w:val="nil"/>
        </w:pBdr>
        <w:spacing w:before="120" w:after="120"/>
        <w:ind w:left="851" w:right="902"/>
        <w:jc w:val="both"/>
      </w:pPr>
      <w:r w:rsidRPr="00794DAB">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14:paraId="5CDD19DF" w14:textId="77777777" w:rsidR="00746C6D" w:rsidRPr="00794DAB" w:rsidRDefault="00746C6D" w:rsidP="00746C6D">
      <w:pPr>
        <w:pBdr>
          <w:top w:val="nil"/>
          <w:left w:val="nil"/>
          <w:bottom w:val="nil"/>
          <w:right w:val="nil"/>
          <w:between w:val="nil"/>
        </w:pBdr>
        <w:spacing w:before="120" w:after="120"/>
        <w:ind w:left="851" w:right="902"/>
        <w:jc w:val="both"/>
      </w:pPr>
      <w:r w:rsidRPr="00794DAB">
        <w:rPr>
          <w:rFonts w:ascii="Palatino Linotype" w:eastAsia="Palatino Linotype" w:hAnsi="Palatino Linotype" w:cs="Palatino Linotype"/>
          <w:i/>
          <w:sz w:val="22"/>
          <w:szCs w:val="22"/>
        </w:rPr>
        <w:t xml:space="preserve">Cuerpo de tesis: No causa agravio la sentencia que no se ocupa de los razonamientos tendientes a demostrar la inconstitucionalidad de los actos reclamados de las autoridades responsables, que constituyen el problema de fondo, si se decreta el sobreseimiento del juicio.” </w:t>
      </w:r>
    </w:p>
    <w:p w14:paraId="29367979" w14:textId="77777777" w:rsidR="00746C6D" w:rsidRPr="00794DAB" w:rsidRDefault="00746C6D" w:rsidP="00746C6D">
      <w:pPr>
        <w:spacing w:line="360" w:lineRule="auto"/>
        <w:jc w:val="both"/>
        <w:rPr>
          <w:rFonts w:ascii="Palatino Linotype" w:eastAsia="Calibri" w:hAnsi="Palatino Linotype"/>
          <w:sz w:val="22"/>
          <w:szCs w:val="22"/>
          <w:lang w:val="es-ES_tradnl" w:eastAsia="en-US"/>
        </w:rPr>
      </w:pPr>
    </w:p>
    <w:p w14:paraId="29DEDB4B" w14:textId="77777777" w:rsidR="00746C6D" w:rsidRPr="00794DAB" w:rsidRDefault="00746C6D" w:rsidP="00746C6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sz w:val="22"/>
          <w:szCs w:val="22"/>
        </w:rPr>
        <w:t>Así, con fundamento en lo prescrito en los artículos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fracción I, así como 188 de la Ley de Transparencia y Acceso a la Información Pública del Estado de México y Municipios, este Pleno:</w:t>
      </w:r>
    </w:p>
    <w:p w14:paraId="658F98E5" w14:textId="77777777" w:rsidR="00746C6D" w:rsidRPr="00794DAB" w:rsidRDefault="00746C6D" w:rsidP="00746C6D">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8" w:name="_heading=h.ijv98pntcd5s" w:colFirst="0" w:colLast="0"/>
      <w:bookmarkEnd w:id="8"/>
      <w:r w:rsidRPr="00794DAB">
        <w:rPr>
          <w:rFonts w:ascii="Palatino Linotype" w:eastAsia="Palatino Linotype" w:hAnsi="Palatino Linotype" w:cs="Palatino Linotype"/>
          <w:b/>
          <w:sz w:val="22"/>
          <w:szCs w:val="22"/>
        </w:rPr>
        <w:t>III. R E S U E L V E</w:t>
      </w:r>
    </w:p>
    <w:p w14:paraId="50E9826D" w14:textId="77777777" w:rsidR="00746C6D" w:rsidRPr="00794DAB" w:rsidRDefault="00746C6D" w:rsidP="00746C6D">
      <w:pPr>
        <w:spacing w:line="360" w:lineRule="auto"/>
        <w:jc w:val="both"/>
        <w:rPr>
          <w:rFonts w:ascii="Palatino Linotype" w:eastAsia="Palatino Linotype" w:hAnsi="Palatino Linotype" w:cs="Palatino Linotype"/>
          <w:b/>
          <w:sz w:val="22"/>
          <w:szCs w:val="22"/>
        </w:rPr>
      </w:pPr>
      <w:bookmarkStart w:id="9" w:name="_heading=h.26in1rg" w:colFirst="0" w:colLast="0"/>
      <w:bookmarkEnd w:id="9"/>
    </w:p>
    <w:p w14:paraId="293D6564" w14:textId="3627228B" w:rsidR="00746C6D" w:rsidRPr="00794DAB" w:rsidRDefault="00746C6D" w:rsidP="00746C6D">
      <w:pPr>
        <w:pBdr>
          <w:top w:val="nil"/>
          <w:left w:val="nil"/>
          <w:bottom w:val="nil"/>
          <w:right w:val="nil"/>
          <w:between w:val="nil"/>
        </w:pBdr>
        <w:spacing w:line="360" w:lineRule="auto"/>
        <w:jc w:val="both"/>
        <w:rPr>
          <w:sz w:val="22"/>
          <w:szCs w:val="22"/>
        </w:rPr>
      </w:pPr>
      <w:bookmarkStart w:id="10" w:name="_heading=h.h7nzb79wlra" w:colFirst="0" w:colLast="0"/>
      <w:bookmarkEnd w:id="10"/>
      <w:r w:rsidRPr="00794DAB">
        <w:rPr>
          <w:rFonts w:ascii="Palatino Linotype" w:eastAsia="Palatino Linotype" w:hAnsi="Palatino Linotype" w:cs="Palatino Linotype"/>
          <w:b/>
          <w:sz w:val="22"/>
          <w:szCs w:val="22"/>
        </w:rPr>
        <w:t xml:space="preserve">Primero. </w:t>
      </w:r>
      <w:r w:rsidRPr="00794DAB">
        <w:rPr>
          <w:rFonts w:ascii="Palatino Linotype" w:eastAsia="Palatino Linotype" w:hAnsi="Palatino Linotype" w:cs="Palatino Linotype"/>
          <w:sz w:val="22"/>
          <w:szCs w:val="22"/>
        </w:rPr>
        <w:t>Se</w:t>
      </w:r>
      <w:r w:rsidRPr="00794DAB">
        <w:rPr>
          <w:rFonts w:ascii="Palatino Linotype" w:eastAsia="Palatino Linotype" w:hAnsi="Palatino Linotype" w:cs="Palatino Linotype"/>
          <w:b/>
          <w:sz w:val="22"/>
          <w:szCs w:val="22"/>
        </w:rPr>
        <w:t xml:space="preserve"> Sobresee </w:t>
      </w:r>
      <w:r w:rsidRPr="00794DAB">
        <w:rPr>
          <w:rFonts w:ascii="Palatino Linotype" w:eastAsia="Palatino Linotype" w:hAnsi="Palatino Linotype" w:cs="Palatino Linotype"/>
          <w:sz w:val="22"/>
          <w:szCs w:val="22"/>
        </w:rPr>
        <w:t xml:space="preserve">el recurso de revisión número </w:t>
      </w:r>
      <w:r w:rsidR="00247A9C" w:rsidRPr="00794DAB">
        <w:rPr>
          <w:rFonts w:ascii="Palatino Linotype" w:eastAsia="Palatino Linotype" w:hAnsi="Palatino Linotype" w:cs="Palatino Linotype"/>
          <w:b/>
          <w:sz w:val="22"/>
          <w:szCs w:val="22"/>
        </w:rPr>
        <w:t>10984</w:t>
      </w:r>
      <w:r w:rsidRPr="00794DAB">
        <w:rPr>
          <w:rFonts w:ascii="Palatino Linotype" w:eastAsia="Palatino Linotype" w:hAnsi="Palatino Linotype" w:cs="Palatino Linotype"/>
          <w:b/>
          <w:sz w:val="22"/>
          <w:szCs w:val="22"/>
        </w:rPr>
        <w:t>/INFOEM/IP/RR/202</w:t>
      </w:r>
      <w:r w:rsidR="00247A9C" w:rsidRPr="00794DAB">
        <w:rPr>
          <w:rFonts w:ascii="Palatino Linotype" w:eastAsia="Palatino Linotype" w:hAnsi="Palatino Linotype" w:cs="Palatino Linotype"/>
          <w:b/>
          <w:sz w:val="22"/>
          <w:szCs w:val="22"/>
        </w:rPr>
        <w:t>5</w:t>
      </w:r>
      <w:r w:rsidRPr="00794DAB">
        <w:rPr>
          <w:rFonts w:ascii="Palatino Linotype" w:eastAsia="Palatino Linotype" w:hAnsi="Palatino Linotype" w:cs="Palatino Linotype"/>
          <w:sz w:val="22"/>
          <w:szCs w:val="22"/>
        </w:rPr>
        <w:t xml:space="preserve">, porque una vez admitido se actualizó la causal de improcedencia prevista en artículo 192 fracción IV, en relación con la fracción VII del artículo 191, de la Ley de Transparencia y Acceso a la Información Pública del Estado de México y Municipios, que lo dejó sin materia en términos del </w:t>
      </w:r>
      <w:r w:rsidRPr="00794DAB">
        <w:rPr>
          <w:rFonts w:ascii="Palatino Linotype" w:eastAsia="Palatino Linotype" w:hAnsi="Palatino Linotype" w:cs="Palatino Linotype"/>
          <w:b/>
          <w:sz w:val="22"/>
          <w:szCs w:val="22"/>
        </w:rPr>
        <w:t xml:space="preserve">Considerando Tercero </w:t>
      </w:r>
      <w:r w:rsidRPr="00794DAB">
        <w:rPr>
          <w:rFonts w:ascii="Palatino Linotype" w:eastAsia="Palatino Linotype" w:hAnsi="Palatino Linotype" w:cs="Palatino Linotype"/>
          <w:sz w:val="22"/>
          <w:szCs w:val="22"/>
        </w:rPr>
        <w:t>de la presente resolución.</w:t>
      </w:r>
    </w:p>
    <w:p w14:paraId="33678658" w14:textId="77777777" w:rsidR="00746C6D" w:rsidRPr="00794DAB" w:rsidRDefault="00746C6D" w:rsidP="00746C6D">
      <w:pPr>
        <w:spacing w:line="360" w:lineRule="auto"/>
        <w:rPr>
          <w:sz w:val="22"/>
          <w:szCs w:val="22"/>
        </w:rPr>
      </w:pPr>
    </w:p>
    <w:p w14:paraId="2599AFB8" w14:textId="77777777" w:rsidR="00746C6D" w:rsidRPr="00794DAB" w:rsidRDefault="00746C6D" w:rsidP="00746C6D">
      <w:pPr>
        <w:pBdr>
          <w:top w:val="nil"/>
          <w:left w:val="nil"/>
          <w:bottom w:val="nil"/>
          <w:right w:val="nil"/>
          <w:between w:val="nil"/>
        </w:pBdr>
        <w:spacing w:line="360" w:lineRule="auto"/>
        <w:jc w:val="both"/>
        <w:rPr>
          <w:sz w:val="22"/>
          <w:szCs w:val="22"/>
        </w:rPr>
      </w:pPr>
      <w:r w:rsidRPr="00794DAB">
        <w:rPr>
          <w:rFonts w:ascii="Palatino Linotype" w:eastAsia="Palatino Linotype" w:hAnsi="Palatino Linotype" w:cs="Palatino Linotype"/>
          <w:b/>
          <w:sz w:val="22"/>
          <w:szCs w:val="22"/>
        </w:rPr>
        <w:t xml:space="preserve">Segundo. Notifíquese, </w:t>
      </w:r>
      <w:r w:rsidRPr="00794DAB">
        <w:rPr>
          <w:rFonts w:ascii="Palatino Linotype" w:eastAsia="Palatino Linotype" w:hAnsi="Palatino Linotype" w:cs="Palatino Linotype"/>
          <w:sz w:val="22"/>
          <w:szCs w:val="22"/>
        </w:rPr>
        <w:t>vía</w:t>
      </w:r>
      <w:r w:rsidRPr="00794DAB">
        <w:rPr>
          <w:rFonts w:ascii="Palatino Linotype" w:eastAsia="Palatino Linotype" w:hAnsi="Palatino Linotype" w:cs="Palatino Linotype"/>
          <w:b/>
          <w:sz w:val="22"/>
          <w:szCs w:val="22"/>
        </w:rPr>
        <w:t xml:space="preserve"> SAIMEX,</w:t>
      </w:r>
      <w:r w:rsidRPr="00794DAB">
        <w:rPr>
          <w:rFonts w:ascii="Palatino Linotype" w:eastAsia="Palatino Linotype" w:hAnsi="Palatino Linotype" w:cs="Palatino Linotype"/>
          <w:sz w:val="22"/>
          <w:szCs w:val="22"/>
        </w:rPr>
        <w:t xml:space="preserve"> al Titular de la Unidad de Transparencia del </w:t>
      </w:r>
      <w:r w:rsidRPr="00794DAB">
        <w:rPr>
          <w:rFonts w:ascii="Palatino Linotype" w:eastAsia="Palatino Linotype" w:hAnsi="Palatino Linotype" w:cs="Palatino Linotype"/>
          <w:b/>
          <w:sz w:val="22"/>
          <w:szCs w:val="22"/>
        </w:rPr>
        <w:t>Sujeto Obligado</w:t>
      </w:r>
      <w:r w:rsidRPr="00794DAB">
        <w:rPr>
          <w:rFonts w:ascii="Palatino Linotype" w:eastAsia="Palatino Linotype" w:hAnsi="Palatino Linotype" w:cs="Palatino Linotype"/>
          <w:sz w:val="22"/>
          <w:szCs w:val="22"/>
        </w:rPr>
        <w:t xml:space="preserve"> la presente resolución, para su conocimiento.</w:t>
      </w:r>
    </w:p>
    <w:p w14:paraId="13F6DFD7" w14:textId="77777777" w:rsidR="00746C6D" w:rsidRPr="00794DAB" w:rsidRDefault="00746C6D" w:rsidP="00746C6D">
      <w:pPr>
        <w:spacing w:line="360" w:lineRule="auto"/>
        <w:rPr>
          <w:sz w:val="22"/>
          <w:szCs w:val="22"/>
        </w:rPr>
      </w:pPr>
    </w:p>
    <w:p w14:paraId="00F60537" w14:textId="77777777" w:rsidR="00746C6D" w:rsidRPr="00794DAB" w:rsidRDefault="00746C6D" w:rsidP="00746C6D">
      <w:pPr>
        <w:pBdr>
          <w:top w:val="nil"/>
          <w:left w:val="nil"/>
          <w:bottom w:val="nil"/>
          <w:right w:val="nil"/>
          <w:between w:val="nil"/>
        </w:pBdr>
        <w:spacing w:line="360" w:lineRule="auto"/>
        <w:jc w:val="both"/>
        <w:rPr>
          <w:sz w:val="22"/>
          <w:szCs w:val="22"/>
        </w:rPr>
      </w:pPr>
      <w:r w:rsidRPr="00794DAB">
        <w:rPr>
          <w:rFonts w:ascii="Palatino Linotype" w:eastAsia="Palatino Linotype" w:hAnsi="Palatino Linotype" w:cs="Palatino Linotype"/>
          <w:b/>
          <w:sz w:val="22"/>
          <w:szCs w:val="22"/>
        </w:rPr>
        <w:t xml:space="preserve">Tercero. Notifíquese, </w:t>
      </w:r>
      <w:r w:rsidRPr="00794DAB">
        <w:rPr>
          <w:rFonts w:ascii="Palatino Linotype" w:eastAsia="Palatino Linotype" w:hAnsi="Palatino Linotype" w:cs="Palatino Linotype"/>
          <w:sz w:val="22"/>
          <w:szCs w:val="22"/>
        </w:rPr>
        <w:t>vía</w:t>
      </w:r>
      <w:r w:rsidRPr="00794DAB">
        <w:rPr>
          <w:rFonts w:ascii="Palatino Linotype" w:eastAsia="Palatino Linotype" w:hAnsi="Palatino Linotype" w:cs="Palatino Linotype"/>
          <w:b/>
          <w:sz w:val="22"/>
          <w:szCs w:val="22"/>
        </w:rPr>
        <w:t xml:space="preserve"> SAIMEX</w:t>
      </w:r>
      <w:r w:rsidRPr="00794DAB">
        <w:rPr>
          <w:rFonts w:ascii="Palatino Linotype" w:eastAsia="Palatino Linotype" w:hAnsi="Palatino Linotype" w:cs="Palatino Linotype"/>
          <w:sz w:val="22"/>
          <w:szCs w:val="22"/>
        </w:rPr>
        <w:t>, a</w:t>
      </w:r>
      <w:r w:rsidRPr="00794DAB">
        <w:rPr>
          <w:rFonts w:ascii="Palatino Linotype" w:eastAsia="Palatino Linotype" w:hAnsi="Palatino Linotype" w:cs="Palatino Linotype"/>
          <w:b/>
          <w:sz w:val="22"/>
          <w:szCs w:val="22"/>
        </w:rPr>
        <w:t xml:space="preserve"> la parte</w:t>
      </w:r>
      <w:r w:rsidRPr="00794DAB">
        <w:rPr>
          <w:rFonts w:ascii="Palatino Linotype" w:eastAsia="Palatino Linotype" w:hAnsi="Palatino Linotype" w:cs="Palatino Linotype"/>
          <w:sz w:val="22"/>
          <w:szCs w:val="22"/>
        </w:rPr>
        <w:t xml:space="preserve"> </w:t>
      </w:r>
      <w:r w:rsidRPr="00794DAB">
        <w:rPr>
          <w:rFonts w:ascii="Palatino Linotype" w:eastAsia="Palatino Linotype" w:hAnsi="Palatino Linotype" w:cs="Palatino Linotype"/>
          <w:b/>
          <w:sz w:val="22"/>
          <w:szCs w:val="22"/>
        </w:rPr>
        <w:t>Recurrente</w:t>
      </w:r>
      <w:r w:rsidRPr="00794DAB">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64087BBF" w14:textId="77777777" w:rsidR="007F34F0" w:rsidRPr="00794DAB" w:rsidRDefault="007F34F0" w:rsidP="007F34F0">
      <w:pPr>
        <w:spacing w:line="360" w:lineRule="auto"/>
        <w:ind w:right="49"/>
        <w:jc w:val="both"/>
        <w:rPr>
          <w:rFonts w:ascii="Palatino Linotype" w:eastAsia="Palatino Linotype" w:hAnsi="Palatino Linotype" w:cs="Palatino Linotype"/>
          <w:sz w:val="22"/>
        </w:rPr>
      </w:pPr>
    </w:p>
    <w:p w14:paraId="34802C6C" w14:textId="347297FF" w:rsidR="007F34F0" w:rsidRPr="004E0E9C" w:rsidRDefault="007F34F0" w:rsidP="007F34F0">
      <w:pPr>
        <w:spacing w:line="360" w:lineRule="auto"/>
        <w:jc w:val="both"/>
        <w:rPr>
          <w:rFonts w:ascii="Palatino Linotype" w:eastAsia="Palatino Linotype" w:hAnsi="Palatino Linotype" w:cs="Palatino Linotype"/>
          <w:sz w:val="22"/>
          <w:szCs w:val="22"/>
        </w:rPr>
      </w:pPr>
      <w:r w:rsidRPr="00794DAB">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B93E48" w:rsidRPr="00794DAB">
        <w:rPr>
          <w:rFonts w:ascii="Palatino Linotype" w:eastAsia="Palatino Linotype" w:hAnsi="Palatino Linotype" w:cs="Palatino Linotype"/>
          <w:sz w:val="22"/>
          <w:szCs w:val="22"/>
        </w:rPr>
        <w:t>SEGUNDA</w:t>
      </w:r>
      <w:r w:rsidRPr="00794DAB">
        <w:rPr>
          <w:rFonts w:ascii="Palatino Linotype" w:eastAsia="Palatino Linotype" w:hAnsi="Palatino Linotype" w:cs="Palatino Linotype"/>
          <w:sz w:val="22"/>
          <w:szCs w:val="22"/>
        </w:rPr>
        <w:t xml:space="preserve"> SESIÓN ORDINARIA, CELEBRADA EL </w:t>
      </w:r>
      <w:r w:rsidR="00B93E48" w:rsidRPr="00794DAB">
        <w:rPr>
          <w:rFonts w:ascii="Palatino Linotype" w:eastAsia="Palatino Linotype" w:hAnsi="Palatino Linotype" w:cs="Palatino Linotype"/>
          <w:sz w:val="22"/>
          <w:szCs w:val="22"/>
        </w:rPr>
        <w:t>OCHO DE ABRIL</w:t>
      </w:r>
      <w:r w:rsidRPr="00794DAB">
        <w:rPr>
          <w:rFonts w:ascii="Palatino Linotype" w:eastAsia="Palatino Linotype" w:hAnsi="Palatino Linotype" w:cs="Palatino Linotype"/>
          <w:sz w:val="22"/>
          <w:szCs w:val="22"/>
        </w:rPr>
        <w:t xml:space="preserve"> DE DOS MIL VEINTISEIS, ANTE EL SECRETARIO TÉCNICO DEL PLENO ALEXIS TAPIA RAMÍREZ.</w:t>
      </w:r>
      <w:r w:rsidRPr="004E0E9C">
        <w:rPr>
          <w:rFonts w:ascii="Palatino Linotype" w:eastAsia="Palatino Linotype" w:hAnsi="Palatino Linotype" w:cs="Palatino Linotype"/>
          <w:sz w:val="22"/>
          <w:szCs w:val="22"/>
        </w:rPr>
        <w:t xml:space="preserve"> </w:t>
      </w:r>
    </w:p>
    <w:p w14:paraId="71B96CD4" w14:textId="3D32F32B" w:rsidR="00566EB9" w:rsidRPr="004E0E9C" w:rsidRDefault="00566EB9">
      <w:pPr>
        <w:spacing w:line="360" w:lineRule="auto"/>
        <w:jc w:val="both"/>
        <w:rPr>
          <w:rFonts w:ascii="Palatino Linotype" w:eastAsia="Palatino Linotype" w:hAnsi="Palatino Linotype" w:cs="Palatino Linotype"/>
          <w:sz w:val="22"/>
          <w:szCs w:val="22"/>
        </w:rPr>
      </w:pPr>
    </w:p>
    <w:p w14:paraId="7190E2A5" w14:textId="77777777" w:rsidR="00566EB9" w:rsidRPr="004E0E9C" w:rsidRDefault="00566EB9">
      <w:pPr>
        <w:rPr>
          <w:rFonts w:ascii="Palatino Linotype" w:eastAsia="Palatino Linotype" w:hAnsi="Palatino Linotype" w:cs="Palatino Linotype"/>
          <w:sz w:val="22"/>
          <w:szCs w:val="22"/>
        </w:rPr>
      </w:pPr>
      <w:bookmarkStart w:id="11" w:name="_heading=h.17dp8vu" w:colFirst="0" w:colLast="0"/>
      <w:bookmarkEnd w:id="11"/>
    </w:p>
    <w:p w14:paraId="5E53C7DB" w14:textId="77777777" w:rsidR="00566EB9" w:rsidRPr="004E0E9C" w:rsidRDefault="00566EB9">
      <w:pPr>
        <w:rPr>
          <w:rFonts w:ascii="Palatino Linotype" w:eastAsia="Palatino Linotype" w:hAnsi="Palatino Linotype" w:cs="Palatino Linotype"/>
          <w:sz w:val="22"/>
          <w:szCs w:val="22"/>
        </w:rPr>
      </w:pPr>
      <w:bookmarkStart w:id="12" w:name="_GoBack"/>
      <w:bookmarkEnd w:id="12"/>
    </w:p>
    <w:p w14:paraId="4F26F666" w14:textId="77777777" w:rsidR="00566EB9" w:rsidRPr="004E0E9C" w:rsidRDefault="00566EB9">
      <w:pPr>
        <w:spacing w:line="360" w:lineRule="auto"/>
        <w:jc w:val="both"/>
        <w:rPr>
          <w:rFonts w:ascii="Palatino Linotype" w:eastAsia="Palatino Linotype" w:hAnsi="Palatino Linotype" w:cs="Palatino Linotype"/>
          <w:sz w:val="22"/>
          <w:szCs w:val="22"/>
        </w:rPr>
      </w:pPr>
      <w:bookmarkStart w:id="13" w:name="_heading=h.3rdcrjn" w:colFirst="0" w:colLast="0"/>
      <w:bookmarkEnd w:id="13"/>
    </w:p>
    <w:p w14:paraId="24C778BA" w14:textId="77777777" w:rsidR="00566EB9" w:rsidRPr="004E0E9C"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4E0E9C"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4E0E9C" w:rsidRDefault="00566EB9">
      <w:pPr>
        <w:spacing w:line="360" w:lineRule="auto"/>
        <w:jc w:val="both"/>
        <w:rPr>
          <w:rFonts w:ascii="Palatino Linotype" w:eastAsia="Palatino Linotype" w:hAnsi="Palatino Linotype" w:cs="Palatino Linotype"/>
          <w:sz w:val="22"/>
          <w:szCs w:val="22"/>
        </w:rPr>
      </w:pPr>
      <w:bookmarkStart w:id="14" w:name="_heading=h.1t3h5sf" w:colFirst="0" w:colLast="0"/>
      <w:bookmarkEnd w:id="14"/>
    </w:p>
    <w:p w14:paraId="20B4F970" w14:textId="77777777" w:rsidR="00566EB9" w:rsidRPr="004E0E9C"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4E0E9C"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4E0E9C"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4E0E9C"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4E0E9C"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4E0E9C"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4E0E9C"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4E0E9C"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4E0E9C"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4E0E9C"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4E0E9C"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4E0E9C"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4E0E9C"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4E0E9C"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4E0E9C"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4E0E9C"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4E0E9C"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4E0E9C"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4E0E9C"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4E0E9C" w:rsidRDefault="00566EB9">
      <w:pPr>
        <w:spacing w:line="360" w:lineRule="auto"/>
        <w:jc w:val="both"/>
        <w:rPr>
          <w:rFonts w:ascii="Palatino Linotype" w:eastAsia="Palatino Linotype" w:hAnsi="Palatino Linotype" w:cs="Palatino Linotype"/>
          <w:sz w:val="22"/>
          <w:szCs w:val="22"/>
        </w:rPr>
      </w:pPr>
    </w:p>
    <w:sectPr w:rsidR="00566EB9" w:rsidRPr="004E0E9C">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50E14" w14:textId="77777777" w:rsidR="003119CD" w:rsidRDefault="003119CD">
      <w:r>
        <w:separator/>
      </w:r>
    </w:p>
  </w:endnote>
  <w:endnote w:type="continuationSeparator" w:id="0">
    <w:p w14:paraId="005EC32A" w14:textId="77777777" w:rsidR="003119CD" w:rsidRDefault="00311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20FEE" w14:textId="779E2E95" w:rsidR="00247A9C" w:rsidRDefault="00247A9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52427">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52427">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p>
  <w:p w14:paraId="75EA14AB" w14:textId="77777777" w:rsidR="00247A9C" w:rsidRDefault="00247A9C">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4A6EB" w14:textId="3FF29C0C" w:rsidR="00247A9C" w:rsidRDefault="00247A9C">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52427">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52427">
      <w:rPr>
        <w:rFonts w:ascii="Palatino Linotype" w:eastAsia="Palatino Linotype" w:hAnsi="Palatino Linotype" w:cs="Palatino Linotype"/>
        <w:b/>
        <w:noProof/>
        <w:color w:val="000000"/>
        <w:sz w:val="20"/>
        <w:szCs w:val="20"/>
      </w:rPr>
      <w:t>19</w:t>
    </w:r>
    <w:r>
      <w:rPr>
        <w:rFonts w:ascii="Palatino Linotype" w:eastAsia="Palatino Linotype" w:hAnsi="Palatino Linotype" w:cs="Palatino Linotype"/>
        <w:b/>
        <w:color w:val="000000"/>
        <w:sz w:val="20"/>
        <w:szCs w:val="20"/>
      </w:rPr>
      <w:fldChar w:fldCharType="end"/>
    </w:r>
  </w:p>
  <w:p w14:paraId="78844A60" w14:textId="77777777" w:rsidR="00247A9C" w:rsidRDefault="00247A9C">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7303D" w14:textId="77777777" w:rsidR="003119CD" w:rsidRDefault="003119CD">
      <w:r>
        <w:separator/>
      </w:r>
    </w:p>
  </w:footnote>
  <w:footnote w:type="continuationSeparator" w:id="0">
    <w:p w14:paraId="658592BC" w14:textId="77777777" w:rsidR="003119CD" w:rsidRDefault="003119CD">
      <w:r>
        <w:continuationSeparator/>
      </w:r>
    </w:p>
  </w:footnote>
  <w:footnote w:id="1">
    <w:p w14:paraId="7932B4BE" w14:textId="77777777" w:rsidR="00247A9C" w:rsidRDefault="00247A9C" w:rsidP="00746C6D">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294CCBD8" w14:textId="77777777" w:rsidR="00247A9C" w:rsidRDefault="00247A9C" w:rsidP="00746C6D">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E653D" w14:textId="3D7A378C" w:rsidR="00247A9C" w:rsidRDefault="00247A9C">
    <w:pPr>
      <w:rPr>
        <w:rFonts w:ascii="Cambria" w:eastAsia="Cambria" w:hAnsi="Cambria" w:cs="Cambria"/>
        <w:color w:val="000000"/>
      </w:rPr>
    </w:pPr>
  </w:p>
  <w:tbl>
    <w:tblPr>
      <w:tblStyle w:val="a5"/>
      <w:tblW w:w="7087" w:type="dxa"/>
      <w:tblInd w:w="3261" w:type="dxa"/>
      <w:tblLayout w:type="fixed"/>
      <w:tblLook w:val="0400" w:firstRow="0" w:lastRow="0" w:firstColumn="0" w:lastColumn="0" w:noHBand="0" w:noVBand="1"/>
    </w:tblPr>
    <w:tblGrid>
      <w:gridCol w:w="2489"/>
      <w:gridCol w:w="4598"/>
    </w:tblGrid>
    <w:tr w:rsidR="00247A9C" w14:paraId="7556AAA7" w14:textId="77777777">
      <w:tc>
        <w:tcPr>
          <w:tcW w:w="2489" w:type="dxa"/>
          <w:shd w:val="clear" w:color="auto" w:fill="auto"/>
        </w:tcPr>
        <w:p w14:paraId="456E930D" w14:textId="77777777" w:rsidR="00247A9C" w:rsidRDefault="00247A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66AA5F48" w:rsidR="00247A9C" w:rsidRDefault="00247A9C" w:rsidP="00B653A7">
          <w:pPr>
            <w:ind w:right="175"/>
            <w:jc w:val="both"/>
            <w:rPr>
              <w:rFonts w:ascii="Palatino Linotype" w:eastAsia="Palatino Linotype" w:hAnsi="Palatino Linotype" w:cs="Palatino Linotype"/>
              <w:b/>
              <w:sz w:val="22"/>
              <w:szCs w:val="22"/>
            </w:rPr>
          </w:pPr>
          <w:r w:rsidRPr="00AD0BFE">
            <w:rPr>
              <w:noProof/>
              <w:color w:val="000000" w:themeColor="text1"/>
            </w:rPr>
            <w:drawing>
              <wp:anchor distT="0" distB="0" distL="0" distR="0" simplePos="0" relativeHeight="251658240" behindDoc="1" locked="0" layoutInCell="1" hidden="0" allowOverlap="1" wp14:anchorId="07C82F4A" wp14:editId="5FE03B55">
                <wp:simplePos x="0" y="0"/>
                <wp:positionH relativeFrom="column">
                  <wp:posOffset>-4305300</wp:posOffset>
                </wp:positionH>
                <wp:positionV relativeFrom="paragraph">
                  <wp:posOffset>-666115</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Pr>
              <w:rFonts w:ascii="Palatino Linotype" w:eastAsia="Palatino Linotype" w:hAnsi="Palatino Linotype" w:cs="Palatino Linotype"/>
              <w:b/>
              <w:color w:val="000000" w:themeColor="text1"/>
              <w:sz w:val="22"/>
              <w:szCs w:val="22"/>
            </w:rPr>
            <w:t>10984</w:t>
          </w:r>
          <w:r w:rsidRPr="00AD0BFE">
            <w:rPr>
              <w:rFonts w:ascii="Palatino Linotype" w:eastAsia="Palatino Linotype" w:hAnsi="Palatino Linotype" w:cs="Palatino Linotype"/>
              <w:b/>
              <w:color w:val="000000" w:themeColor="text1"/>
              <w:sz w:val="22"/>
              <w:szCs w:val="22"/>
            </w:rPr>
            <w:t>/INFOEM/IP/RR/2025</w:t>
          </w:r>
        </w:p>
      </w:tc>
    </w:tr>
    <w:tr w:rsidR="00247A9C" w14:paraId="625B5BC5" w14:textId="77777777">
      <w:trPr>
        <w:trHeight w:val="228"/>
      </w:trPr>
      <w:tc>
        <w:tcPr>
          <w:tcW w:w="2489" w:type="dxa"/>
          <w:shd w:val="clear" w:color="auto" w:fill="auto"/>
          <w:vAlign w:val="center"/>
        </w:tcPr>
        <w:p w14:paraId="18DDCAF9" w14:textId="77777777" w:rsidR="00247A9C" w:rsidRDefault="00247A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3981FD3E" w:rsidR="00247A9C" w:rsidRDefault="00247A9C" w:rsidP="008279BF">
          <w:pPr>
            <w:ind w:left="-45" w:right="1586"/>
            <w:jc w:val="both"/>
            <w:rPr>
              <w:rFonts w:ascii="Palatino Linotype" w:eastAsia="Palatino Linotype" w:hAnsi="Palatino Linotype" w:cs="Palatino Linotype"/>
              <w:b/>
              <w:sz w:val="22"/>
              <w:szCs w:val="22"/>
            </w:rPr>
          </w:pPr>
          <w:r w:rsidRPr="00B653A7">
            <w:rPr>
              <w:rFonts w:ascii="Palatino Linotype" w:eastAsia="Palatino Linotype" w:hAnsi="Palatino Linotype" w:cs="Palatino Linotype"/>
              <w:b/>
              <w:bCs/>
              <w:sz w:val="22"/>
              <w:szCs w:val="22"/>
            </w:rPr>
            <w:t>Ayuntamiento de Toluca</w:t>
          </w:r>
        </w:p>
      </w:tc>
    </w:tr>
    <w:tr w:rsidR="00247A9C" w14:paraId="5A94D834" w14:textId="77777777">
      <w:tc>
        <w:tcPr>
          <w:tcW w:w="2489" w:type="dxa"/>
          <w:shd w:val="clear" w:color="auto" w:fill="auto"/>
          <w:vAlign w:val="center"/>
        </w:tcPr>
        <w:p w14:paraId="65DC8F86" w14:textId="77777777" w:rsidR="00247A9C" w:rsidRDefault="00247A9C">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247A9C" w:rsidRDefault="00247A9C">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247A9C" w:rsidRDefault="00247A9C">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966C" w14:textId="77777777" w:rsidR="00247A9C" w:rsidRDefault="00247A9C">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247A9C" w14:paraId="626C0E2F" w14:textId="77777777">
      <w:tc>
        <w:tcPr>
          <w:tcW w:w="2551" w:type="dxa"/>
          <w:shd w:val="clear" w:color="auto" w:fill="auto"/>
          <w:vAlign w:val="center"/>
        </w:tcPr>
        <w:p w14:paraId="588E5159" w14:textId="77777777" w:rsidR="00247A9C" w:rsidRDefault="00247A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14136DDF" w:rsidR="00247A9C" w:rsidRDefault="00247A9C" w:rsidP="00F561F5">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10984/INFOEM/IP/RR/2025</w:t>
          </w:r>
        </w:p>
      </w:tc>
    </w:tr>
    <w:tr w:rsidR="00247A9C" w14:paraId="600191AD" w14:textId="77777777">
      <w:trPr>
        <w:trHeight w:val="130"/>
      </w:trPr>
      <w:tc>
        <w:tcPr>
          <w:tcW w:w="2551" w:type="dxa"/>
          <w:shd w:val="clear" w:color="auto" w:fill="auto"/>
          <w:vAlign w:val="center"/>
        </w:tcPr>
        <w:p w14:paraId="66691596" w14:textId="77777777" w:rsidR="00247A9C" w:rsidRDefault="00247A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24345975" w:rsidR="00247A9C" w:rsidRDefault="00247A9C">
          <w:pPr>
            <w:ind w:left="-45" w:right="1444"/>
            <w:jc w:val="both"/>
            <w:rPr>
              <w:rFonts w:ascii="Palatino Linotype" w:eastAsia="Palatino Linotype" w:hAnsi="Palatino Linotype" w:cs="Palatino Linotype"/>
              <w:b/>
              <w:sz w:val="22"/>
              <w:szCs w:val="22"/>
            </w:rPr>
          </w:pPr>
        </w:p>
      </w:tc>
    </w:tr>
    <w:tr w:rsidR="00247A9C" w14:paraId="68112254" w14:textId="77777777">
      <w:trPr>
        <w:trHeight w:val="228"/>
      </w:trPr>
      <w:tc>
        <w:tcPr>
          <w:tcW w:w="2551" w:type="dxa"/>
          <w:shd w:val="clear" w:color="auto" w:fill="auto"/>
          <w:vAlign w:val="center"/>
        </w:tcPr>
        <w:p w14:paraId="373E7A5B" w14:textId="77777777" w:rsidR="00247A9C" w:rsidRDefault="00247A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43CB2455" w:rsidR="00247A9C" w:rsidRDefault="00247A9C" w:rsidP="009E4671">
          <w:pPr>
            <w:ind w:left="-45" w:right="1586"/>
            <w:jc w:val="both"/>
            <w:rPr>
              <w:rFonts w:ascii="Palatino Linotype" w:eastAsia="Palatino Linotype" w:hAnsi="Palatino Linotype" w:cs="Palatino Linotype"/>
              <w:b/>
              <w:sz w:val="22"/>
              <w:szCs w:val="22"/>
            </w:rPr>
          </w:pPr>
          <w:r w:rsidRPr="00B653A7">
            <w:rPr>
              <w:rFonts w:ascii="Palatino Linotype" w:eastAsia="Palatino Linotype" w:hAnsi="Palatino Linotype" w:cs="Palatino Linotype"/>
              <w:b/>
              <w:bCs/>
              <w:sz w:val="22"/>
              <w:szCs w:val="22"/>
            </w:rPr>
            <w:t>Ayuntamiento de Toluca</w:t>
          </w:r>
        </w:p>
      </w:tc>
    </w:tr>
    <w:tr w:rsidR="00247A9C" w14:paraId="38DC658C" w14:textId="77777777">
      <w:tc>
        <w:tcPr>
          <w:tcW w:w="2551" w:type="dxa"/>
          <w:shd w:val="clear" w:color="auto" w:fill="auto"/>
          <w:vAlign w:val="center"/>
        </w:tcPr>
        <w:p w14:paraId="745EE03B" w14:textId="77777777" w:rsidR="00247A9C" w:rsidRDefault="00247A9C">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247A9C" w:rsidRDefault="00247A9C">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247A9C" w:rsidRDefault="00247A9C">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247A9C" w:rsidRDefault="00247A9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3920"/>
    <w:multiLevelType w:val="hybridMultilevel"/>
    <w:tmpl w:val="856281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C552F1"/>
    <w:multiLevelType w:val="hybridMultilevel"/>
    <w:tmpl w:val="8A64B0F6"/>
    <w:lvl w:ilvl="0" w:tplc="764CD6B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0F5E4EB8"/>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37464778"/>
    <w:multiLevelType w:val="hybridMultilevel"/>
    <w:tmpl w:val="02E0AA9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3E74372E"/>
    <w:multiLevelType w:val="hybridMultilevel"/>
    <w:tmpl w:val="12908C24"/>
    <w:lvl w:ilvl="0" w:tplc="DFA67864">
      <w:start w:val="1"/>
      <w:numFmt w:val="decimal"/>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49BA1D2C"/>
    <w:multiLevelType w:val="hybridMultilevel"/>
    <w:tmpl w:val="8C4CC2AC"/>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15:restartNumberingAfterBreak="0">
    <w:nsid w:val="4CAF0E3B"/>
    <w:multiLevelType w:val="hybridMultilevel"/>
    <w:tmpl w:val="10F4D80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15:restartNumberingAfterBreak="0">
    <w:nsid w:val="576A3C26"/>
    <w:multiLevelType w:val="hybridMultilevel"/>
    <w:tmpl w:val="8CFC49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0F12CF1"/>
    <w:multiLevelType w:val="hybridMultilevel"/>
    <w:tmpl w:val="95069A78"/>
    <w:lvl w:ilvl="0" w:tplc="764CD6B6">
      <w:start w:val="2"/>
      <w:numFmt w:val="bullet"/>
      <w:lvlText w:val=""/>
      <w:lvlJc w:val="left"/>
      <w:pPr>
        <w:ind w:left="720" w:hanging="360"/>
      </w:pPr>
      <w:rPr>
        <w:rFonts w:ascii="Symbol" w:eastAsia="Palatino Linotype" w:hAnsi="Symbol"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9"/>
  </w:num>
  <w:num w:numId="5">
    <w:abstractNumId w:val="5"/>
  </w:num>
  <w:num w:numId="6">
    <w:abstractNumId w:val="0"/>
  </w:num>
  <w:num w:numId="7">
    <w:abstractNumId w:val="4"/>
  </w:num>
  <w:num w:numId="8">
    <w:abstractNumId w:val="7"/>
  </w:num>
  <w:num w:numId="9">
    <w:abstractNumId w:val="6"/>
  </w:num>
  <w:num w:numId="10">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B9"/>
    <w:rsid w:val="00000847"/>
    <w:rsid w:val="000024AC"/>
    <w:rsid w:val="0001513E"/>
    <w:rsid w:val="00024AF6"/>
    <w:rsid w:val="0002687C"/>
    <w:rsid w:val="00030053"/>
    <w:rsid w:val="00031214"/>
    <w:rsid w:val="0003478F"/>
    <w:rsid w:val="00036313"/>
    <w:rsid w:val="000421B6"/>
    <w:rsid w:val="00045AA6"/>
    <w:rsid w:val="0005005A"/>
    <w:rsid w:val="0005165A"/>
    <w:rsid w:val="000550E5"/>
    <w:rsid w:val="0008100A"/>
    <w:rsid w:val="00083AB3"/>
    <w:rsid w:val="00086FD5"/>
    <w:rsid w:val="00097DB7"/>
    <w:rsid w:val="000A2FD6"/>
    <w:rsid w:val="000A3BFD"/>
    <w:rsid w:val="000A7763"/>
    <w:rsid w:val="000B0012"/>
    <w:rsid w:val="000C4823"/>
    <w:rsid w:val="000D7A87"/>
    <w:rsid w:val="000E5E7B"/>
    <w:rsid w:val="000F6EFA"/>
    <w:rsid w:val="001015A6"/>
    <w:rsid w:val="00102B0F"/>
    <w:rsid w:val="00104391"/>
    <w:rsid w:val="00113B92"/>
    <w:rsid w:val="0011437B"/>
    <w:rsid w:val="00117BD3"/>
    <w:rsid w:val="0012216B"/>
    <w:rsid w:val="001226FF"/>
    <w:rsid w:val="00123659"/>
    <w:rsid w:val="00124DCE"/>
    <w:rsid w:val="00131C5B"/>
    <w:rsid w:val="00142D48"/>
    <w:rsid w:val="001454E9"/>
    <w:rsid w:val="001528AE"/>
    <w:rsid w:val="00160785"/>
    <w:rsid w:val="0016332F"/>
    <w:rsid w:val="00164B97"/>
    <w:rsid w:val="0016688D"/>
    <w:rsid w:val="00167752"/>
    <w:rsid w:val="00172519"/>
    <w:rsid w:val="00190E87"/>
    <w:rsid w:val="00191006"/>
    <w:rsid w:val="001B4F9C"/>
    <w:rsid w:val="001B55EA"/>
    <w:rsid w:val="001B7703"/>
    <w:rsid w:val="001C0695"/>
    <w:rsid w:val="001C2F8A"/>
    <w:rsid w:val="001C3928"/>
    <w:rsid w:val="001D55E4"/>
    <w:rsid w:val="001E0B78"/>
    <w:rsid w:val="001E141A"/>
    <w:rsid w:val="001E1B7C"/>
    <w:rsid w:val="001E5BE2"/>
    <w:rsid w:val="001F5948"/>
    <w:rsid w:val="002033C3"/>
    <w:rsid w:val="00207F9D"/>
    <w:rsid w:val="0021100A"/>
    <w:rsid w:val="002129EF"/>
    <w:rsid w:val="002133D6"/>
    <w:rsid w:val="00222F00"/>
    <w:rsid w:val="002272D8"/>
    <w:rsid w:val="00232509"/>
    <w:rsid w:val="0023481C"/>
    <w:rsid w:val="00235555"/>
    <w:rsid w:val="002372DB"/>
    <w:rsid w:val="002425BC"/>
    <w:rsid w:val="0024281D"/>
    <w:rsid w:val="00243D88"/>
    <w:rsid w:val="0024432B"/>
    <w:rsid w:val="00245190"/>
    <w:rsid w:val="00247A9C"/>
    <w:rsid w:val="002500B2"/>
    <w:rsid w:val="00251B80"/>
    <w:rsid w:val="00254724"/>
    <w:rsid w:val="00271266"/>
    <w:rsid w:val="0028208A"/>
    <w:rsid w:val="0028295D"/>
    <w:rsid w:val="002840DC"/>
    <w:rsid w:val="00290585"/>
    <w:rsid w:val="002A2BA9"/>
    <w:rsid w:val="002B03D6"/>
    <w:rsid w:val="002B2287"/>
    <w:rsid w:val="002B5182"/>
    <w:rsid w:val="002B6843"/>
    <w:rsid w:val="002C33E7"/>
    <w:rsid w:val="002D03D2"/>
    <w:rsid w:val="002D13B6"/>
    <w:rsid w:val="002E02CC"/>
    <w:rsid w:val="002E6A40"/>
    <w:rsid w:val="003119CD"/>
    <w:rsid w:val="00315A9F"/>
    <w:rsid w:val="00315AC1"/>
    <w:rsid w:val="0031792E"/>
    <w:rsid w:val="00317A26"/>
    <w:rsid w:val="00320669"/>
    <w:rsid w:val="0032148E"/>
    <w:rsid w:val="003232E0"/>
    <w:rsid w:val="003234D3"/>
    <w:rsid w:val="00326383"/>
    <w:rsid w:val="00326509"/>
    <w:rsid w:val="00327EFF"/>
    <w:rsid w:val="00331E90"/>
    <w:rsid w:val="00333A75"/>
    <w:rsid w:val="00337C02"/>
    <w:rsid w:val="003477DE"/>
    <w:rsid w:val="003505C0"/>
    <w:rsid w:val="003525EB"/>
    <w:rsid w:val="00352E0E"/>
    <w:rsid w:val="00354BAE"/>
    <w:rsid w:val="0035797E"/>
    <w:rsid w:val="00365DC1"/>
    <w:rsid w:val="00366B0E"/>
    <w:rsid w:val="00371421"/>
    <w:rsid w:val="00371A65"/>
    <w:rsid w:val="00375373"/>
    <w:rsid w:val="00375A51"/>
    <w:rsid w:val="00376561"/>
    <w:rsid w:val="00386B51"/>
    <w:rsid w:val="00390D4B"/>
    <w:rsid w:val="003911E0"/>
    <w:rsid w:val="003926CA"/>
    <w:rsid w:val="00392E66"/>
    <w:rsid w:val="00395B88"/>
    <w:rsid w:val="00395E7A"/>
    <w:rsid w:val="003C3BA5"/>
    <w:rsid w:val="003C3D32"/>
    <w:rsid w:val="003C6BE6"/>
    <w:rsid w:val="003C77E9"/>
    <w:rsid w:val="003D413B"/>
    <w:rsid w:val="003D640F"/>
    <w:rsid w:val="003E6F40"/>
    <w:rsid w:val="003F0A9C"/>
    <w:rsid w:val="003F126A"/>
    <w:rsid w:val="003F70DC"/>
    <w:rsid w:val="00405D29"/>
    <w:rsid w:val="00415225"/>
    <w:rsid w:val="00417D71"/>
    <w:rsid w:val="00432A40"/>
    <w:rsid w:val="0044354A"/>
    <w:rsid w:val="00450912"/>
    <w:rsid w:val="00455765"/>
    <w:rsid w:val="004720EA"/>
    <w:rsid w:val="0049022B"/>
    <w:rsid w:val="004A3976"/>
    <w:rsid w:val="004A3E71"/>
    <w:rsid w:val="004A5568"/>
    <w:rsid w:val="004B63F5"/>
    <w:rsid w:val="004B6E8D"/>
    <w:rsid w:val="004C0BC8"/>
    <w:rsid w:val="004C4DBA"/>
    <w:rsid w:val="004C74A9"/>
    <w:rsid w:val="004D04CE"/>
    <w:rsid w:val="004D706F"/>
    <w:rsid w:val="004E0E9C"/>
    <w:rsid w:val="004E1B00"/>
    <w:rsid w:val="004E6B75"/>
    <w:rsid w:val="004F5310"/>
    <w:rsid w:val="00527C07"/>
    <w:rsid w:val="0053297C"/>
    <w:rsid w:val="00534223"/>
    <w:rsid w:val="00536E29"/>
    <w:rsid w:val="00546763"/>
    <w:rsid w:val="00551C8B"/>
    <w:rsid w:val="0056015E"/>
    <w:rsid w:val="00563CA3"/>
    <w:rsid w:val="00566025"/>
    <w:rsid w:val="005663DE"/>
    <w:rsid w:val="00566EB9"/>
    <w:rsid w:val="005676DB"/>
    <w:rsid w:val="00573E0B"/>
    <w:rsid w:val="00590C08"/>
    <w:rsid w:val="00594C6D"/>
    <w:rsid w:val="00594ECF"/>
    <w:rsid w:val="005A2975"/>
    <w:rsid w:val="005A3763"/>
    <w:rsid w:val="005B2CCB"/>
    <w:rsid w:val="005B6A93"/>
    <w:rsid w:val="005B7414"/>
    <w:rsid w:val="005C593F"/>
    <w:rsid w:val="005C5D8F"/>
    <w:rsid w:val="005C6922"/>
    <w:rsid w:val="005D2BC9"/>
    <w:rsid w:val="005D49DE"/>
    <w:rsid w:val="005D6FD9"/>
    <w:rsid w:val="005D7212"/>
    <w:rsid w:val="005D733D"/>
    <w:rsid w:val="005E5293"/>
    <w:rsid w:val="005E5CA3"/>
    <w:rsid w:val="005F4F85"/>
    <w:rsid w:val="00605D93"/>
    <w:rsid w:val="00605F57"/>
    <w:rsid w:val="0060718E"/>
    <w:rsid w:val="00613B10"/>
    <w:rsid w:val="00616B9F"/>
    <w:rsid w:val="00616C7F"/>
    <w:rsid w:val="00634BFC"/>
    <w:rsid w:val="00637A09"/>
    <w:rsid w:val="00646B8D"/>
    <w:rsid w:val="006507CF"/>
    <w:rsid w:val="006540B3"/>
    <w:rsid w:val="00656201"/>
    <w:rsid w:val="00656BFE"/>
    <w:rsid w:val="006575DA"/>
    <w:rsid w:val="00657A3C"/>
    <w:rsid w:val="00657E90"/>
    <w:rsid w:val="006624C9"/>
    <w:rsid w:val="00665AE4"/>
    <w:rsid w:val="0067075F"/>
    <w:rsid w:val="00672A19"/>
    <w:rsid w:val="006771CB"/>
    <w:rsid w:val="0067755B"/>
    <w:rsid w:val="00683D27"/>
    <w:rsid w:val="006910D6"/>
    <w:rsid w:val="0069230B"/>
    <w:rsid w:val="00695E2A"/>
    <w:rsid w:val="006A03C7"/>
    <w:rsid w:val="006A6A26"/>
    <w:rsid w:val="006B5FF8"/>
    <w:rsid w:val="006C0C4B"/>
    <w:rsid w:val="006C2BCC"/>
    <w:rsid w:val="006D06C4"/>
    <w:rsid w:val="006D36ED"/>
    <w:rsid w:val="006D463F"/>
    <w:rsid w:val="006D4B8E"/>
    <w:rsid w:val="006E2B68"/>
    <w:rsid w:val="006F22AE"/>
    <w:rsid w:val="006F6820"/>
    <w:rsid w:val="006F7A2A"/>
    <w:rsid w:val="00707279"/>
    <w:rsid w:val="00715193"/>
    <w:rsid w:val="007152F6"/>
    <w:rsid w:val="00721BBC"/>
    <w:rsid w:val="00725166"/>
    <w:rsid w:val="007274D4"/>
    <w:rsid w:val="00730AB5"/>
    <w:rsid w:val="00730B78"/>
    <w:rsid w:val="00731FE8"/>
    <w:rsid w:val="007334B0"/>
    <w:rsid w:val="00735FBC"/>
    <w:rsid w:val="00736C21"/>
    <w:rsid w:val="007371FE"/>
    <w:rsid w:val="00746C6D"/>
    <w:rsid w:val="00750102"/>
    <w:rsid w:val="007552ED"/>
    <w:rsid w:val="00790EBB"/>
    <w:rsid w:val="00794DAB"/>
    <w:rsid w:val="00796322"/>
    <w:rsid w:val="007A2EB2"/>
    <w:rsid w:val="007B451C"/>
    <w:rsid w:val="007B6593"/>
    <w:rsid w:val="007C42F7"/>
    <w:rsid w:val="007D1010"/>
    <w:rsid w:val="007E23D2"/>
    <w:rsid w:val="007E628C"/>
    <w:rsid w:val="007E739F"/>
    <w:rsid w:val="007F1130"/>
    <w:rsid w:val="007F34F0"/>
    <w:rsid w:val="007F60A0"/>
    <w:rsid w:val="00800D27"/>
    <w:rsid w:val="00802826"/>
    <w:rsid w:val="00803341"/>
    <w:rsid w:val="00820873"/>
    <w:rsid w:val="00820E6B"/>
    <w:rsid w:val="008218D8"/>
    <w:rsid w:val="00824BA5"/>
    <w:rsid w:val="0082575D"/>
    <w:rsid w:val="008268AF"/>
    <w:rsid w:val="008279BF"/>
    <w:rsid w:val="00835868"/>
    <w:rsid w:val="0083720C"/>
    <w:rsid w:val="0084450D"/>
    <w:rsid w:val="00845E7C"/>
    <w:rsid w:val="008476BD"/>
    <w:rsid w:val="008504EC"/>
    <w:rsid w:val="00851CF1"/>
    <w:rsid w:val="00855AB9"/>
    <w:rsid w:val="00863EFE"/>
    <w:rsid w:val="00865D38"/>
    <w:rsid w:val="008740C3"/>
    <w:rsid w:val="008757F2"/>
    <w:rsid w:val="008759A0"/>
    <w:rsid w:val="008823E6"/>
    <w:rsid w:val="00882BEE"/>
    <w:rsid w:val="00892371"/>
    <w:rsid w:val="00897647"/>
    <w:rsid w:val="008B099C"/>
    <w:rsid w:val="008B3920"/>
    <w:rsid w:val="008B6730"/>
    <w:rsid w:val="008C4074"/>
    <w:rsid w:val="008C4D5B"/>
    <w:rsid w:val="008C542E"/>
    <w:rsid w:val="008D206E"/>
    <w:rsid w:val="008D54FB"/>
    <w:rsid w:val="008E40E3"/>
    <w:rsid w:val="008F3BE3"/>
    <w:rsid w:val="00910D56"/>
    <w:rsid w:val="009136E3"/>
    <w:rsid w:val="009143AF"/>
    <w:rsid w:val="00921882"/>
    <w:rsid w:val="00924809"/>
    <w:rsid w:val="00924E17"/>
    <w:rsid w:val="0092541D"/>
    <w:rsid w:val="0093081E"/>
    <w:rsid w:val="00932A0B"/>
    <w:rsid w:val="00934360"/>
    <w:rsid w:val="00944282"/>
    <w:rsid w:val="00945284"/>
    <w:rsid w:val="00945AD9"/>
    <w:rsid w:val="00946911"/>
    <w:rsid w:val="00947CDB"/>
    <w:rsid w:val="00957EFF"/>
    <w:rsid w:val="00960EB2"/>
    <w:rsid w:val="0096110A"/>
    <w:rsid w:val="00962787"/>
    <w:rsid w:val="0096349E"/>
    <w:rsid w:val="009634BD"/>
    <w:rsid w:val="009752F5"/>
    <w:rsid w:val="00975927"/>
    <w:rsid w:val="00983228"/>
    <w:rsid w:val="0098416C"/>
    <w:rsid w:val="009878C8"/>
    <w:rsid w:val="00987E41"/>
    <w:rsid w:val="009938E3"/>
    <w:rsid w:val="009A087F"/>
    <w:rsid w:val="009A31B8"/>
    <w:rsid w:val="009B206F"/>
    <w:rsid w:val="009B2156"/>
    <w:rsid w:val="009C5EA5"/>
    <w:rsid w:val="009D3742"/>
    <w:rsid w:val="009D4840"/>
    <w:rsid w:val="009D48FB"/>
    <w:rsid w:val="009D6C2F"/>
    <w:rsid w:val="009E4671"/>
    <w:rsid w:val="009E53BF"/>
    <w:rsid w:val="009E5819"/>
    <w:rsid w:val="009F0A60"/>
    <w:rsid w:val="009F0B5F"/>
    <w:rsid w:val="009F43E4"/>
    <w:rsid w:val="009F69D4"/>
    <w:rsid w:val="009F6A7A"/>
    <w:rsid w:val="009F75C9"/>
    <w:rsid w:val="00A02F20"/>
    <w:rsid w:val="00A0679C"/>
    <w:rsid w:val="00A107AD"/>
    <w:rsid w:val="00A2626A"/>
    <w:rsid w:val="00A26EA7"/>
    <w:rsid w:val="00A45362"/>
    <w:rsid w:val="00A47D43"/>
    <w:rsid w:val="00A5656A"/>
    <w:rsid w:val="00A57E85"/>
    <w:rsid w:val="00A64138"/>
    <w:rsid w:val="00A65C1E"/>
    <w:rsid w:val="00A7414A"/>
    <w:rsid w:val="00A76DB3"/>
    <w:rsid w:val="00A80C4E"/>
    <w:rsid w:val="00A84BDD"/>
    <w:rsid w:val="00A91F38"/>
    <w:rsid w:val="00A957A4"/>
    <w:rsid w:val="00A968BE"/>
    <w:rsid w:val="00A969A4"/>
    <w:rsid w:val="00A97EE0"/>
    <w:rsid w:val="00AA0C85"/>
    <w:rsid w:val="00AA0DF6"/>
    <w:rsid w:val="00AA58D2"/>
    <w:rsid w:val="00AA72A1"/>
    <w:rsid w:val="00AB549A"/>
    <w:rsid w:val="00AB6BFB"/>
    <w:rsid w:val="00AB7D99"/>
    <w:rsid w:val="00AC0390"/>
    <w:rsid w:val="00AC0B07"/>
    <w:rsid w:val="00AC7527"/>
    <w:rsid w:val="00AD0BFE"/>
    <w:rsid w:val="00AE3979"/>
    <w:rsid w:val="00AE4B3A"/>
    <w:rsid w:val="00AF5C65"/>
    <w:rsid w:val="00B018E9"/>
    <w:rsid w:val="00B06031"/>
    <w:rsid w:val="00B06F4A"/>
    <w:rsid w:val="00B12565"/>
    <w:rsid w:val="00B20F68"/>
    <w:rsid w:val="00B253BE"/>
    <w:rsid w:val="00B36420"/>
    <w:rsid w:val="00B44821"/>
    <w:rsid w:val="00B54965"/>
    <w:rsid w:val="00B60ED0"/>
    <w:rsid w:val="00B64642"/>
    <w:rsid w:val="00B653A7"/>
    <w:rsid w:val="00B703F6"/>
    <w:rsid w:val="00B7138F"/>
    <w:rsid w:val="00B7233F"/>
    <w:rsid w:val="00B73893"/>
    <w:rsid w:val="00B87C9A"/>
    <w:rsid w:val="00B90A60"/>
    <w:rsid w:val="00B91B04"/>
    <w:rsid w:val="00B93E48"/>
    <w:rsid w:val="00BA6B91"/>
    <w:rsid w:val="00BA6CBC"/>
    <w:rsid w:val="00BB0D0D"/>
    <w:rsid w:val="00BC0D1A"/>
    <w:rsid w:val="00BC3742"/>
    <w:rsid w:val="00BC37C5"/>
    <w:rsid w:val="00BD0CA9"/>
    <w:rsid w:val="00BD277A"/>
    <w:rsid w:val="00BE044C"/>
    <w:rsid w:val="00BE5F29"/>
    <w:rsid w:val="00BF3089"/>
    <w:rsid w:val="00BF7ABA"/>
    <w:rsid w:val="00C11B14"/>
    <w:rsid w:val="00C16D27"/>
    <w:rsid w:val="00C17684"/>
    <w:rsid w:val="00C17968"/>
    <w:rsid w:val="00C23064"/>
    <w:rsid w:val="00C26437"/>
    <w:rsid w:val="00C30DDF"/>
    <w:rsid w:val="00C37545"/>
    <w:rsid w:val="00C43B5F"/>
    <w:rsid w:val="00C501F7"/>
    <w:rsid w:val="00C51E1C"/>
    <w:rsid w:val="00C52427"/>
    <w:rsid w:val="00C534A8"/>
    <w:rsid w:val="00C54363"/>
    <w:rsid w:val="00C62E60"/>
    <w:rsid w:val="00C639A7"/>
    <w:rsid w:val="00C64215"/>
    <w:rsid w:val="00C70954"/>
    <w:rsid w:val="00C72EBA"/>
    <w:rsid w:val="00C73E96"/>
    <w:rsid w:val="00C776AC"/>
    <w:rsid w:val="00C82B0D"/>
    <w:rsid w:val="00C86495"/>
    <w:rsid w:val="00C86837"/>
    <w:rsid w:val="00C97375"/>
    <w:rsid w:val="00CA72CB"/>
    <w:rsid w:val="00CB2CB6"/>
    <w:rsid w:val="00CC1934"/>
    <w:rsid w:val="00CC2930"/>
    <w:rsid w:val="00CC3F4A"/>
    <w:rsid w:val="00CD0D49"/>
    <w:rsid w:val="00CD118F"/>
    <w:rsid w:val="00CE0B11"/>
    <w:rsid w:val="00CE150D"/>
    <w:rsid w:val="00CE24FC"/>
    <w:rsid w:val="00CE3862"/>
    <w:rsid w:val="00CF3D24"/>
    <w:rsid w:val="00CF64D1"/>
    <w:rsid w:val="00CF6D16"/>
    <w:rsid w:val="00CF7C9E"/>
    <w:rsid w:val="00CF7F82"/>
    <w:rsid w:val="00D01C02"/>
    <w:rsid w:val="00D2404A"/>
    <w:rsid w:val="00D340AD"/>
    <w:rsid w:val="00D34850"/>
    <w:rsid w:val="00D41CCE"/>
    <w:rsid w:val="00D42F35"/>
    <w:rsid w:val="00D434B1"/>
    <w:rsid w:val="00D441A8"/>
    <w:rsid w:val="00D470D8"/>
    <w:rsid w:val="00D52C6F"/>
    <w:rsid w:val="00D571D8"/>
    <w:rsid w:val="00D62E1F"/>
    <w:rsid w:val="00D65BC2"/>
    <w:rsid w:val="00D6615E"/>
    <w:rsid w:val="00D75270"/>
    <w:rsid w:val="00D84445"/>
    <w:rsid w:val="00D84E0A"/>
    <w:rsid w:val="00D90F2D"/>
    <w:rsid w:val="00D936D3"/>
    <w:rsid w:val="00D94197"/>
    <w:rsid w:val="00DA3DE8"/>
    <w:rsid w:val="00DA59BA"/>
    <w:rsid w:val="00DB2665"/>
    <w:rsid w:val="00DB61F5"/>
    <w:rsid w:val="00DB7E9A"/>
    <w:rsid w:val="00DC52FD"/>
    <w:rsid w:val="00DD1B1D"/>
    <w:rsid w:val="00DD34A3"/>
    <w:rsid w:val="00DD485C"/>
    <w:rsid w:val="00DE7719"/>
    <w:rsid w:val="00DF27C3"/>
    <w:rsid w:val="00DF610F"/>
    <w:rsid w:val="00DF6AE8"/>
    <w:rsid w:val="00E05AA4"/>
    <w:rsid w:val="00E14A71"/>
    <w:rsid w:val="00E3409C"/>
    <w:rsid w:val="00E42C18"/>
    <w:rsid w:val="00E46813"/>
    <w:rsid w:val="00E65C37"/>
    <w:rsid w:val="00E663D1"/>
    <w:rsid w:val="00E665D3"/>
    <w:rsid w:val="00E67A6B"/>
    <w:rsid w:val="00E712CE"/>
    <w:rsid w:val="00E712F5"/>
    <w:rsid w:val="00E724AC"/>
    <w:rsid w:val="00E763EF"/>
    <w:rsid w:val="00EA2CA0"/>
    <w:rsid w:val="00EB04D8"/>
    <w:rsid w:val="00EB4FD6"/>
    <w:rsid w:val="00EC141E"/>
    <w:rsid w:val="00EC1A3E"/>
    <w:rsid w:val="00EC36DD"/>
    <w:rsid w:val="00EC59B4"/>
    <w:rsid w:val="00ED3457"/>
    <w:rsid w:val="00EE219C"/>
    <w:rsid w:val="00EE2908"/>
    <w:rsid w:val="00EE2D4F"/>
    <w:rsid w:val="00F03947"/>
    <w:rsid w:val="00F06EB8"/>
    <w:rsid w:val="00F1280C"/>
    <w:rsid w:val="00F25D48"/>
    <w:rsid w:val="00F2601E"/>
    <w:rsid w:val="00F30EA6"/>
    <w:rsid w:val="00F34A92"/>
    <w:rsid w:val="00F37DCE"/>
    <w:rsid w:val="00F41E34"/>
    <w:rsid w:val="00F561F5"/>
    <w:rsid w:val="00F569BD"/>
    <w:rsid w:val="00F6279D"/>
    <w:rsid w:val="00F64EE6"/>
    <w:rsid w:val="00F67B91"/>
    <w:rsid w:val="00F745FF"/>
    <w:rsid w:val="00F75C7A"/>
    <w:rsid w:val="00F823D1"/>
    <w:rsid w:val="00F832DD"/>
    <w:rsid w:val="00F84A44"/>
    <w:rsid w:val="00F91365"/>
    <w:rsid w:val="00F96D0C"/>
    <w:rsid w:val="00FA5277"/>
    <w:rsid w:val="00FB13C1"/>
    <w:rsid w:val="00FB1B38"/>
    <w:rsid w:val="00FB7F00"/>
    <w:rsid w:val="00FC1505"/>
    <w:rsid w:val="00FC2052"/>
    <w:rsid w:val="00FC73D6"/>
    <w:rsid w:val="00FD01DB"/>
    <w:rsid w:val="00FD093A"/>
    <w:rsid w:val="00FD572F"/>
    <w:rsid w:val="00FD58A8"/>
    <w:rsid w:val="00FF10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1"/>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2939773">
      <w:bodyDiv w:val="1"/>
      <w:marLeft w:val="0"/>
      <w:marRight w:val="0"/>
      <w:marTop w:val="0"/>
      <w:marBottom w:val="0"/>
      <w:divBdr>
        <w:top w:val="none" w:sz="0" w:space="0" w:color="auto"/>
        <w:left w:val="none" w:sz="0" w:space="0" w:color="auto"/>
        <w:bottom w:val="none" w:sz="0" w:space="0" w:color="auto"/>
        <w:right w:val="none" w:sz="0" w:space="0" w:color="auto"/>
      </w:divBdr>
    </w:div>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 w:id="2052144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2C9C5FF-EDB6-49E2-975D-703A4EA5D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4790</Words>
  <Characters>26351</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2026-04-10T18:51:00Z</cp:lastPrinted>
  <dcterms:created xsi:type="dcterms:W3CDTF">2026-04-25T02:47:00Z</dcterms:created>
  <dcterms:modified xsi:type="dcterms:W3CDTF">2026-04-25T02:47:00Z</dcterms:modified>
</cp:coreProperties>
</file>