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33FA5B" w14:textId="5EFF3FFB" w:rsidR="00F426DB" w:rsidRPr="0020472D" w:rsidRDefault="00661522">
      <w:pPr>
        <w:spacing w:line="360" w:lineRule="auto"/>
        <w:jc w:val="both"/>
        <w:rPr>
          <w:rFonts w:ascii="Palatino Linotype" w:eastAsia="Palatino Linotype" w:hAnsi="Palatino Linotype" w:cs="Palatino Linotype"/>
          <w:b/>
        </w:rPr>
      </w:pPr>
      <w:r w:rsidRPr="0020472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20472D">
        <w:rPr>
          <w:rFonts w:ascii="Palatino Linotype" w:eastAsia="Palatino Linotype" w:hAnsi="Palatino Linotype" w:cs="Palatino Linotype"/>
          <w:b/>
        </w:rPr>
        <w:t>de fecha diecinueve</w:t>
      </w:r>
      <w:r w:rsidR="0020472D" w:rsidRPr="0020472D">
        <w:rPr>
          <w:rFonts w:ascii="Palatino Linotype" w:eastAsia="Palatino Linotype" w:hAnsi="Palatino Linotype" w:cs="Palatino Linotype"/>
          <w:b/>
        </w:rPr>
        <w:t xml:space="preserve"> (19)</w:t>
      </w:r>
      <w:r w:rsidRPr="0020472D">
        <w:rPr>
          <w:rFonts w:ascii="Palatino Linotype" w:eastAsia="Palatino Linotype" w:hAnsi="Palatino Linotype" w:cs="Palatino Linotype"/>
          <w:b/>
        </w:rPr>
        <w:t xml:space="preserve"> de marzo de dos mil veintiséis.</w:t>
      </w:r>
    </w:p>
    <w:p w14:paraId="6B185258" w14:textId="77777777" w:rsidR="00F426DB" w:rsidRPr="0020472D" w:rsidRDefault="00F426DB">
      <w:pPr>
        <w:spacing w:line="360" w:lineRule="auto"/>
        <w:jc w:val="both"/>
        <w:rPr>
          <w:rFonts w:ascii="Palatino Linotype" w:eastAsia="Palatino Linotype" w:hAnsi="Palatino Linotype" w:cs="Palatino Linotype"/>
        </w:rPr>
      </w:pPr>
    </w:p>
    <w:p w14:paraId="1F1BD948" w14:textId="17CACD06" w:rsidR="00F426DB" w:rsidRPr="0020472D" w:rsidRDefault="00661522">
      <w:pPr>
        <w:spacing w:line="360" w:lineRule="auto"/>
        <w:jc w:val="both"/>
        <w:rPr>
          <w:rFonts w:ascii="Palatino Linotype" w:eastAsia="Palatino Linotype" w:hAnsi="Palatino Linotype" w:cs="Palatino Linotype"/>
        </w:rPr>
      </w:pPr>
      <w:r w:rsidRPr="0020472D">
        <w:rPr>
          <w:rFonts w:ascii="Palatino Linotype" w:eastAsia="Palatino Linotype" w:hAnsi="Palatino Linotype" w:cs="Palatino Linotype"/>
          <w:b/>
          <w:bCs/>
        </w:rPr>
        <w:t>VISTO</w:t>
      </w:r>
      <w:r w:rsidRPr="0020472D">
        <w:rPr>
          <w:rFonts w:ascii="Palatino Linotype" w:eastAsia="Palatino Linotype" w:hAnsi="Palatino Linotype" w:cs="Palatino Linotype"/>
        </w:rPr>
        <w:t xml:space="preserve"> el expediente electrónico formado con motivo del recurso de revisión </w:t>
      </w:r>
      <w:r w:rsidRPr="0020472D">
        <w:rPr>
          <w:rFonts w:ascii="Palatino Linotype" w:eastAsia="Palatino Linotype" w:hAnsi="Palatino Linotype" w:cs="Palatino Linotype"/>
          <w:b/>
          <w:bCs/>
        </w:rPr>
        <w:t xml:space="preserve">08118/INFOEM/IP/RR/2025, </w:t>
      </w:r>
      <w:r w:rsidRPr="0020472D">
        <w:rPr>
          <w:rFonts w:ascii="Palatino Linotype" w:eastAsia="Palatino Linotype" w:hAnsi="Palatino Linotype" w:cs="Palatino Linotype"/>
        </w:rPr>
        <w:t xml:space="preserve">promovido por </w:t>
      </w:r>
      <w:r w:rsidR="004631F2">
        <w:rPr>
          <w:rFonts w:ascii="Palatino Linotype" w:eastAsia="Palatino Linotype" w:hAnsi="Palatino Linotype" w:cs="Palatino Linotype"/>
          <w:b/>
          <w:bCs/>
        </w:rPr>
        <w:t>XXXX</w:t>
      </w:r>
      <w:bookmarkStart w:id="0" w:name="_GoBack"/>
      <w:bookmarkEnd w:id="0"/>
      <w:r w:rsidRPr="0020472D">
        <w:rPr>
          <w:rFonts w:ascii="Palatino Linotype" w:eastAsia="Palatino Linotype" w:hAnsi="Palatino Linotype" w:cs="Palatino Linotype"/>
          <w:b/>
          <w:bCs/>
        </w:rPr>
        <w:t>,</w:t>
      </w:r>
      <w:r w:rsidRPr="0020472D">
        <w:rPr>
          <w:rFonts w:ascii="Palatino Linotype" w:eastAsia="Palatino Linotype" w:hAnsi="Palatino Linotype" w:cs="Palatino Linotype"/>
        </w:rPr>
        <w:t xml:space="preserve"> </w:t>
      </w:r>
      <w:r w:rsidR="0020472D">
        <w:rPr>
          <w:rFonts w:ascii="Palatino Linotype" w:eastAsia="Palatino Linotype" w:hAnsi="Palatino Linotype" w:cs="Palatino Linotype"/>
        </w:rPr>
        <w:t xml:space="preserve">a </w:t>
      </w:r>
      <w:r w:rsidRPr="0020472D">
        <w:rPr>
          <w:rFonts w:ascii="Palatino Linotype" w:eastAsia="Palatino Linotype" w:hAnsi="Palatino Linotype" w:cs="Palatino Linotype"/>
        </w:rPr>
        <w:t xml:space="preserve">quien en lo sucesivo se identificará como </w:t>
      </w:r>
      <w:r w:rsidRPr="0020472D">
        <w:rPr>
          <w:rFonts w:ascii="Palatino Linotype" w:eastAsia="Palatino Linotype" w:hAnsi="Palatino Linotype" w:cs="Palatino Linotype"/>
          <w:b/>
          <w:bCs/>
        </w:rPr>
        <w:t>EL RECURRENTE</w:t>
      </w:r>
      <w:r w:rsidRPr="0020472D">
        <w:rPr>
          <w:rFonts w:ascii="Palatino Linotype" w:eastAsia="Palatino Linotype" w:hAnsi="Palatino Linotype" w:cs="Palatino Linotype"/>
        </w:rPr>
        <w:t xml:space="preserve">, en contra de la respuesta de la </w:t>
      </w:r>
      <w:r w:rsidRPr="0020472D">
        <w:rPr>
          <w:rFonts w:ascii="Palatino Linotype" w:eastAsia="Palatino Linotype" w:hAnsi="Palatino Linotype" w:cs="Palatino Linotype"/>
          <w:b/>
          <w:bCs/>
        </w:rPr>
        <w:t xml:space="preserve">Sindicato Único de Trabajadores de Los Poderes, Municipios E Instituciones Descentralizadas del Estado de México, </w:t>
      </w:r>
      <w:r w:rsidRPr="0020472D">
        <w:rPr>
          <w:rFonts w:ascii="Palatino Linotype" w:eastAsia="Palatino Linotype" w:hAnsi="Palatino Linotype" w:cs="Palatino Linotype"/>
        </w:rPr>
        <w:t>en adelante el</w:t>
      </w:r>
      <w:r w:rsidRPr="0020472D">
        <w:rPr>
          <w:rFonts w:ascii="Palatino Linotype" w:eastAsia="Palatino Linotype" w:hAnsi="Palatino Linotype" w:cs="Palatino Linotype"/>
          <w:b/>
          <w:bCs/>
        </w:rPr>
        <w:t xml:space="preserve"> SUJETO OBLIGADO</w:t>
      </w:r>
      <w:r w:rsidRPr="0020472D">
        <w:rPr>
          <w:rFonts w:ascii="Palatino Linotype" w:eastAsia="Palatino Linotype" w:hAnsi="Palatino Linotype" w:cs="Palatino Linotype"/>
        </w:rPr>
        <w:t>, por lo que se procede a dictar la presente resolución, con base en los siguientes:</w:t>
      </w:r>
    </w:p>
    <w:p w14:paraId="0A6B546F" w14:textId="77777777" w:rsidR="00F426DB" w:rsidRPr="0020472D" w:rsidRDefault="00F426DB">
      <w:pPr>
        <w:spacing w:line="360" w:lineRule="auto"/>
        <w:jc w:val="both"/>
        <w:rPr>
          <w:rFonts w:ascii="Palatino Linotype" w:eastAsia="Palatino Linotype" w:hAnsi="Palatino Linotype" w:cs="Palatino Linotype"/>
          <w:b/>
          <w:bCs/>
        </w:rPr>
      </w:pPr>
    </w:p>
    <w:p w14:paraId="5292DF6B" w14:textId="77777777" w:rsidR="00F426DB" w:rsidRPr="0020472D" w:rsidRDefault="00661522">
      <w:pPr>
        <w:keepNext/>
        <w:keepLines/>
        <w:spacing w:line="360" w:lineRule="auto"/>
        <w:jc w:val="center"/>
        <w:rPr>
          <w:rFonts w:ascii="Palatino Linotype" w:eastAsia="Palatino Linotype" w:hAnsi="Palatino Linotype" w:cs="Palatino Linotype"/>
          <w:b/>
          <w:bCs/>
        </w:rPr>
      </w:pPr>
      <w:bookmarkStart w:id="1" w:name="_heading=h.gjdgxs" w:colFirst="0" w:colLast="0"/>
      <w:bookmarkEnd w:id="1"/>
      <w:r w:rsidRPr="0020472D">
        <w:rPr>
          <w:rFonts w:ascii="Palatino Linotype" w:eastAsia="Palatino Linotype" w:hAnsi="Palatino Linotype" w:cs="Palatino Linotype"/>
          <w:b/>
          <w:bCs/>
        </w:rPr>
        <w:t>A N T E C E D E N T E S</w:t>
      </w:r>
    </w:p>
    <w:p w14:paraId="6791F571" w14:textId="77777777" w:rsidR="00F426DB" w:rsidRPr="0020472D" w:rsidRDefault="00F426DB">
      <w:pPr>
        <w:spacing w:line="360" w:lineRule="auto"/>
        <w:rPr>
          <w:rFonts w:ascii="Palatino Linotype" w:eastAsia="Palatino Linotype" w:hAnsi="Palatino Linotype" w:cs="Palatino Linotype"/>
        </w:rPr>
      </w:pPr>
    </w:p>
    <w:p w14:paraId="6581EDA1" w14:textId="77777777" w:rsidR="00F426DB" w:rsidRPr="0020472D" w:rsidRDefault="006615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 xml:space="preserve">El </w:t>
      </w:r>
      <w:r w:rsidRPr="0020472D">
        <w:rPr>
          <w:rFonts w:ascii="Palatino Linotype" w:eastAsia="Palatino Linotype" w:hAnsi="Palatino Linotype" w:cs="Palatino Linotype"/>
          <w:b/>
          <w:bCs/>
          <w:color w:val="000000"/>
        </w:rPr>
        <w:t>veintiséis de junio de dos mil veinticinco</w:t>
      </w:r>
      <w:r w:rsidRPr="0020472D">
        <w:rPr>
          <w:rFonts w:ascii="Palatino Linotype" w:eastAsia="Palatino Linotype" w:hAnsi="Palatino Linotype" w:cs="Palatino Linotype"/>
          <w:color w:val="000000"/>
        </w:rPr>
        <w:t xml:space="preserve">, </w:t>
      </w:r>
      <w:r w:rsidRPr="0020472D">
        <w:rPr>
          <w:rFonts w:ascii="Palatino Linotype" w:eastAsia="Palatino Linotype" w:hAnsi="Palatino Linotype" w:cs="Palatino Linotype"/>
          <w:b/>
          <w:bCs/>
          <w:color w:val="000000"/>
        </w:rPr>
        <w:t>EL RECURRENTE,</w:t>
      </w:r>
      <w:r w:rsidRPr="0020472D">
        <w:rPr>
          <w:rFonts w:ascii="Palatino Linotype" w:eastAsia="Palatino Linotype" w:hAnsi="Palatino Linotype" w:cs="Palatino Linotype"/>
          <w:color w:val="000000"/>
        </w:rPr>
        <w:t xml:space="preserve"> ante el </w:t>
      </w:r>
      <w:r w:rsidRPr="0020472D">
        <w:rPr>
          <w:rFonts w:ascii="Palatino Linotype" w:eastAsia="Palatino Linotype" w:hAnsi="Palatino Linotype" w:cs="Palatino Linotype"/>
          <w:b/>
          <w:bCs/>
          <w:color w:val="000000"/>
        </w:rPr>
        <w:t>SUJETO OBLIGADO</w:t>
      </w:r>
      <w:r w:rsidRPr="0020472D">
        <w:rPr>
          <w:rFonts w:ascii="Palatino Linotype" w:eastAsia="Palatino Linotype" w:hAnsi="Palatino Linotype" w:cs="Palatino Linotype"/>
          <w:color w:val="000000"/>
        </w:rPr>
        <w:t xml:space="preserve"> a través del Sistema de Acceso a la Información Mexiquense (SAIMEX), presentó una solicitud de información registrada con el número </w:t>
      </w:r>
      <w:r w:rsidRPr="0020472D">
        <w:rPr>
          <w:rFonts w:ascii="Palatino Linotype" w:eastAsia="Palatino Linotype" w:hAnsi="Palatino Linotype" w:cs="Palatino Linotype"/>
          <w:b/>
          <w:bCs/>
          <w:color w:val="000000"/>
        </w:rPr>
        <w:t xml:space="preserve"> 00080/SUTEYM/IP/2025, </w:t>
      </w:r>
      <w:r w:rsidRPr="0020472D">
        <w:rPr>
          <w:rFonts w:ascii="Palatino Linotype" w:eastAsia="Palatino Linotype" w:hAnsi="Palatino Linotype" w:cs="Palatino Linotype"/>
        </w:rPr>
        <w:t>en la que se</w:t>
      </w:r>
      <w:r w:rsidRPr="0020472D">
        <w:rPr>
          <w:rFonts w:ascii="Palatino Linotype" w:eastAsia="Palatino Linotype" w:hAnsi="Palatino Linotype" w:cs="Palatino Linotype"/>
          <w:color w:val="000000"/>
        </w:rPr>
        <w:t xml:space="preserve"> solicitó lo siguiente:</w:t>
      </w:r>
    </w:p>
    <w:p w14:paraId="448623D0" w14:textId="77777777" w:rsidR="00F426DB" w:rsidRPr="0020472D" w:rsidRDefault="00F426D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918B2BC" w14:textId="77777777" w:rsidR="00F426DB" w:rsidRPr="0020472D" w:rsidRDefault="00661522">
      <w:pPr>
        <w:pBdr>
          <w:top w:val="nil"/>
          <w:left w:val="nil"/>
          <w:bottom w:val="nil"/>
          <w:right w:val="nil"/>
          <w:between w:val="nil"/>
        </w:pBdr>
        <w:spacing w:line="360" w:lineRule="auto"/>
        <w:ind w:left="720" w:right="822"/>
        <w:jc w:val="both"/>
        <w:rPr>
          <w:rFonts w:ascii="Palatino Linotype" w:eastAsia="Palatino Linotype" w:hAnsi="Palatino Linotype" w:cs="Palatino Linotype"/>
          <w:i/>
          <w:iCs/>
          <w:color w:val="000000"/>
        </w:rPr>
      </w:pPr>
      <w:r w:rsidRPr="0020472D">
        <w:rPr>
          <w:rFonts w:ascii="Palatino Linotype" w:eastAsia="Palatino Linotype" w:hAnsi="Palatino Linotype" w:cs="Palatino Linotype"/>
          <w:i/>
          <w:iCs/>
          <w:color w:val="000000"/>
        </w:rPr>
        <w:t xml:space="preserve">“1. Solicito las convocatorias de las elecciones de Lerma y Chimalhuacán en junio de 2025 2. Requiero los fundamentos y motivos que sustentan las convocatorias solicitadas en el punto 1. 3. Cuáles son los medios de impugnación procedentes en contra de las convocatorias para la elección de dirigencias seccionales. 4. Cuál es el medio de impugnación en caso de no resultar electo. 5. Cuan es el plazo para presentar la </w:t>
      </w:r>
      <w:r w:rsidRPr="0020472D">
        <w:rPr>
          <w:rFonts w:ascii="Palatino Linotype" w:eastAsia="Palatino Linotype" w:hAnsi="Palatino Linotype" w:cs="Palatino Linotype"/>
          <w:i/>
          <w:iCs/>
          <w:color w:val="000000"/>
        </w:rPr>
        <w:lastRenderedPageBreak/>
        <w:t xml:space="preserve">impugnación de los resultados. 6. Cuando aplica el recuento de votos de la elección seccional. 7. Ante quien se interponen las impugnaciones de las elecciones seccionales o delegacionales.” (Sic) </w:t>
      </w:r>
    </w:p>
    <w:p w14:paraId="738DBDC5" w14:textId="77777777" w:rsidR="00F426DB" w:rsidRPr="0020472D" w:rsidRDefault="00F426D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FB628DA" w14:textId="77777777" w:rsidR="00F426DB" w:rsidRPr="0020472D" w:rsidRDefault="006615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 xml:space="preserve">Se señaló como modalidad de entrega a través de SAIMEX.  </w:t>
      </w:r>
    </w:p>
    <w:p w14:paraId="2A49F775" w14:textId="77777777" w:rsidR="00F426DB" w:rsidRPr="0020472D" w:rsidRDefault="00F426DB">
      <w:pPr>
        <w:rPr>
          <w:rFonts w:ascii="Palatino Linotype" w:eastAsia="Palatino Linotype" w:hAnsi="Palatino Linotype" w:cs="Palatino Linotype"/>
          <w:color w:val="000000"/>
        </w:rPr>
      </w:pPr>
    </w:p>
    <w:p w14:paraId="72A7092F" w14:textId="77777777" w:rsidR="00F426DB" w:rsidRPr="0020472D" w:rsidRDefault="006615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 xml:space="preserve">El </w:t>
      </w:r>
      <w:r w:rsidRPr="0020472D">
        <w:rPr>
          <w:rFonts w:ascii="Palatino Linotype" w:eastAsia="Palatino Linotype" w:hAnsi="Palatino Linotype" w:cs="Palatino Linotype"/>
          <w:b/>
          <w:bCs/>
          <w:color w:val="000000"/>
        </w:rPr>
        <w:t>treinta de junio de dos mil veinticinco</w:t>
      </w:r>
      <w:r w:rsidRPr="0020472D">
        <w:rPr>
          <w:rFonts w:ascii="Palatino Linotype" w:eastAsia="Palatino Linotype" w:hAnsi="Palatino Linotype" w:cs="Palatino Linotype"/>
          <w:color w:val="000000"/>
        </w:rPr>
        <w:t>, el Sujeto Obligado dio respuesta a la solicitud de información en los siguientes términos:</w:t>
      </w:r>
    </w:p>
    <w:tbl>
      <w:tblPr>
        <w:tblStyle w:val="a"/>
        <w:tblW w:w="7593" w:type="dxa"/>
        <w:jc w:val="center"/>
        <w:tblInd w:w="0" w:type="dxa"/>
        <w:tblLayout w:type="fixed"/>
        <w:tblLook w:val="0400" w:firstRow="0" w:lastRow="0" w:firstColumn="0" w:lastColumn="0" w:noHBand="0" w:noVBand="1"/>
      </w:tblPr>
      <w:tblGrid>
        <w:gridCol w:w="7593"/>
      </w:tblGrid>
      <w:tr w:rsidR="00F426DB" w:rsidRPr="0020472D" w14:paraId="785F4A73" w14:textId="77777777">
        <w:trPr>
          <w:trHeight w:val="286"/>
          <w:jc w:val="center"/>
        </w:trPr>
        <w:tc>
          <w:tcPr>
            <w:tcW w:w="7593" w:type="dxa"/>
            <w:vAlign w:val="center"/>
          </w:tcPr>
          <w:p w14:paraId="0D184D6F" w14:textId="77777777" w:rsidR="00F426DB" w:rsidRPr="0020472D" w:rsidRDefault="00661522">
            <w:pPr>
              <w:spacing w:line="276" w:lineRule="auto"/>
              <w:jc w:val="right"/>
              <w:rPr>
                <w:rFonts w:ascii="Palatino Linotype" w:eastAsia="Palatino Linotype" w:hAnsi="Palatino Linotype" w:cs="Palatino Linotype"/>
                <w:i/>
                <w:iCs/>
              </w:rPr>
            </w:pPr>
            <w:r w:rsidRPr="0020472D">
              <w:rPr>
                <w:rFonts w:ascii="Palatino Linotype" w:eastAsia="Palatino Linotype" w:hAnsi="Palatino Linotype" w:cs="Palatino Linotype"/>
                <w:i/>
                <w:iCs/>
              </w:rPr>
              <w:br/>
              <w:t>“Metepec, México a 30 de Junio de 2025</w:t>
            </w:r>
          </w:p>
        </w:tc>
      </w:tr>
      <w:tr w:rsidR="00F426DB" w:rsidRPr="0020472D" w14:paraId="05D5C72D" w14:textId="77777777">
        <w:trPr>
          <w:trHeight w:val="286"/>
          <w:jc w:val="center"/>
        </w:trPr>
        <w:tc>
          <w:tcPr>
            <w:tcW w:w="7593" w:type="dxa"/>
            <w:vAlign w:val="center"/>
          </w:tcPr>
          <w:p w14:paraId="7AB827A4" w14:textId="77777777" w:rsidR="00F426DB" w:rsidRPr="0020472D" w:rsidRDefault="00661522">
            <w:pPr>
              <w:spacing w:line="276" w:lineRule="auto"/>
              <w:jc w:val="right"/>
              <w:rPr>
                <w:rFonts w:ascii="Palatino Linotype" w:eastAsia="Palatino Linotype" w:hAnsi="Palatino Linotype" w:cs="Palatino Linotype"/>
                <w:i/>
                <w:iCs/>
              </w:rPr>
            </w:pPr>
            <w:r w:rsidRPr="0020472D">
              <w:rPr>
                <w:rFonts w:ascii="Palatino Linotype" w:eastAsia="Palatino Linotype" w:hAnsi="Palatino Linotype" w:cs="Palatino Linotype"/>
                <w:i/>
                <w:iCs/>
              </w:rPr>
              <w:t>Nombre del solicitante: C. Solicitante</w:t>
            </w:r>
          </w:p>
        </w:tc>
      </w:tr>
      <w:tr w:rsidR="00F426DB" w:rsidRPr="0020472D" w14:paraId="368A3388" w14:textId="77777777">
        <w:trPr>
          <w:trHeight w:val="286"/>
          <w:jc w:val="center"/>
        </w:trPr>
        <w:tc>
          <w:tcPr>
            <w:tcW w:w="7593" w:type="dxa"/>
            <w:vAlign w:val="center"/>
          </w:tcPr>
          <w:p w14:paraId="7546C1EA" w14:textId="77777777" w:rsidR="00F426DB" w:rsidRPr="0020472D" w:rsidRDefault="00661522">
            <w:pPr>
              <w:spacing w:line="276" w:lineRule="auto"/>
              <w:jc w:val="right"/>
              <w:rPr>
                <w:rFonts w:ascii="Palatino Linotype" w:eastAsia="Palatino Linotype" w:hAnsi="Palatino Linotype" w:cs="Palatino Linotype"/>
                <w:i/>
                <w:iCs/>
              </w:rPr>
            </w:pPr>
            <w:r w:rsidRPr="0020472D">
              <w:rPr>
                <w:rFonts w:ascii="Palatino Linotype" w:eastAsia="Palatino Linotype" w:hAnsi="Palatino Linotype" w:cs="Palatino Linotype"/>
                <w:i/>
                <w:iCs/>
              </w:rPr>
              <w:t>Folio de la solicitud: 00080/SUTEYM/IP/2025</w:t>
            </w:r>
          </w:p>
        </w:tc>
      </w:tr>
      <w:tr w:rsidR="00F426DB" w:rsidRPr="0020472D" w14:paraId="4A47D140" w14:textId="77777777">
        <w:trPr>
          <w:trHeight w:val="430"/>
          <w:jc w:val="center"/>
        </w:trPr>
        <w:tc>
          <w:tcPr>
            <w:tcW w:w="7593" w:type="dxa"/>
            <w:vAlign w:val="center"/>
          </w:tcPr>
          <w:p w14:paraId="6EE7B641" w14:textId="77777777" w:rsidR="00F426DB" w:rsidRPr="0020472D" w:rsidRDefault="00F426DB">
            <w:pPr>
              <w:spacing w:line="276" w:lineRule="auto"/>
              <w:jc w:val="right"/>
              <w:rPr>
                <w:rFonts w:ascii="Palatino Linotype" w:eastAsia="Palatino Linotype" w:hAnsi="Palatino Linotype" w:cs="Palatino Linotype"/>
                <w:i/>
                <w:iCs/>
              </w:rPr>
            </w:pPr>
          </w:p>
        </w:tc>
      </w:tr>
      <w:tr w:rsidR="00F426DB" w:rsidRPr="0020472D" w14:paraId="0EB5DE22" w14:textId="77777777">
        <w:trPr>
          <w:trHeight w:val="143"/>
          <w:jc w:val="center"/>
        </w:trPr>
        <w:tc>
          <w:tcPr>
            <w:tcW w:w="7593" w:type="dxa"/>
            <w:vAlign w:val="center"/>
          </w:tcPr>
          <w:p w14:paraId="403364FC" w14:textId="77777777" w:rsidR="00F426DB" w:rsidRPr="0020472D" w:rsidRDefault="00F426DB">
            <w:pPr>
              <w:spacing w:line="276" w:lineRule="auto"/>
              <w:jc w:val="center"/>
              <w:rPr>
                <w:rFonts w:ascii="Palatino Linotype" w:eastAsia="Palatino Linotype" w:hAnsi="Palatino Linotype" w:cs="Palatino Linotype"/>
                <w:i/>
                <w:iCs/>
              </w:rPr>
            </w:pPr>
          </w:p>
        </w:tc>
      </w:tr>
      <w:tr w:rsidR="00F426DB" w:rsidRPr="0020472D" w14:paraId="0911DCB5" w14:textId="77777777">
        <w:trPr>
          <w:trHeight w:val="358"/>
          <w:jc w:val="center"/>
        </w:trPr>
        <w:tc>
          <w:tcPr>
            <w:tcW w:w="7593" w:type="dxa"/>
            <w:vAlign w:val="center"/>
          </w:tcPr>
          <w:p w14:paraId="721775DF" w14:textId="77777777" w:rsidR="00F426DB" w:rsidRPr="0020472D" w:rsidRDefault="00F426DB">
            <w:pPr>
              <w:spacing w:line="276" w:lineRule="auto"/>
              <w:jc w:val="both"/>
              <w:rPr>
                <w:rFonts w:ascii="Palatino Linotype" w:eastAsia="Palatino Linotype" w:hAnsi="Palatino Linotype" w:cs="Palatino Linotype"/>
                <w:i/>
                <w:iCs/>
              </w:rPr>
            </w:pPr>
          </w:p>
        </w:tc>
      </w:tr>
      <w:tr w:rsidR="00F426DB" w:rsidRPr="0020472D" w14:paraId="5564FFB0" w14:textId="77777777">
        <w:trPr>
          <w:trHeight w:val="143"/>
          <w:jc w:val="center"/>
        </w:trPr>
        <w:tc>
          <w:tcPr>
            <w:tcW w:w="7593" w:type="dxa"/>
            <w:vAlign w:val="center"/>
          </w:tcPr>
          <w:p w14:paraId="0D4CC66D" w14:textId="77777777" w:rsidR="00F426DB" w:rsidRPr="0020472D" w:rsidRDefault="00661522">
            <w:pPr>
              <w:spacing w:line="276" w:lineRule="auto"/>
              <w:jc w:val="both"/>
              <w:rPr>
                <w:rFonts w:ascii="Palatino Linotype" w:eastAsia="Palatino Linotype" w:hAnsi="Palatino Linotype" w:cs="Palatino Linotype"/>
                <w:i/>
                <w:iCs/>
              </w:rPr>
            </w:pPr>
            <w:r w:rsidRPr="0020472D">
              <w:rPr>
                <w:rFonts w:ascii="Palatino Linotype" w:eastAsia="Palatino Linotype" w:hAnsi="Palatino Linotype" w:cs="Palatino Linotype"/>
                <w:i/>
                <w:iCs/>
              </w:rPr>
              <w:t>Por este medio me permito dar respuesta a su solicitud de información número 00080/SUTEYM/IP/2025 de fecha 26 de junio del 2025, con fundamento en los artículos 1, 2, 3 fracción XLIV, 4, 12, 16, 23 fracción IX, 24 fracción XI y último párrafo, 50, 51, y 53 fracciones II, IV, V y VI de la Ley de Transparencia y Acceso a la Información Pública del Estado de México y Municipios.</w:t>
            </w:r>
          </w:p>
        </w:tc>
      </w:tr>
      <w:tr w:rsidR="00F426DB" w:rsidRPr="0020472D" w14:paraId="2C522338" w14:textId="77777777">
        <w:trPr>
          <w:trHeight w:val="358"/>
          <w:jc w:val="center"/>
        </w:trPr>
        <w:tc>
          <w:tcPr>
            <w:tcW w:w="7593" w:type="dxa"/>
            <w:vAlign w:val="center"/>
          </w:tcPr>
          <w:p w14:paraId="1EB1F6B4" w14:textId="77777777" w:rsidR="00F426DB" w:rsidRPr="0020472D" w:rsidRDefault="00F426DB">
            <w:pPr>
              <w:spacing w:line="276" w:lineRule="auto"/>
              <w:rPr>
                <w:rFonts w:ascii="Palatino Linotype" w:eastAsia="Palatino Linotype" w:hAnsi="Palatino Linotype" w:cs="Palatino Linotype"/>
                <w:i/>
                <w:iCs/>
              </w:rPr>
            </w:pPr>
          </w:p>
        </w:tc>
      </w:tr>
      <w:tr w:rsidR="00F426DB" w:rsidRPr="0020472D" w14:paraId="254B69A5" w14:textId="77777777">
        <w:trPr>
          <w:trHeight w:val="143"/>
          <w:jc w:val="center"/>
        </w:trPr>
        <w:tc>
          <w:tcPr>
            <w:tcW w:w="7593" w:type="dxa"/>
            <w:vAlign w:val="center"/>
          </w:tcPr>
          <w:p w14:paraId="661DEE4A" w14:textId="77777777" w:rsidR="00F426DB" w:rsidRPr="0020472D" w:rsidRDefault="00F426DB">
            <w:pPr>
              <w:spacing w:line="276" w:lineRule="auto"/>
              <w:jc w:val="center"/>
              <w:rPr>
                <w:rFonts w:ascii="Palatino Linotype" w:eastAsia="Palatino Linotype" w:hAnsi="Palatino Linotype" w:cs="Palatino Linotype"/>
                <w:i/>
                <w:iCs/>
              </w:rPr>
            </w:pPr>
          </w:p>
        </w:tc>
      </w:tr>
      <w:tr w:rsidR="00F426DB" w:rsidRPr="0020472D" w14:paraId="569FEADD" w14:textId="77777777">
        <w:trPr>
          <w:trHeight w:val="143"/>
          <w:jc w:val="center"/>
        </w:trPr>
        <w:tc>
          <w:tcPr>
            <w:tcW w:w="7593" w:type="dxa"/>
            <w:vAlign w:val="center"/>
          </w:tcPr>
          <w:p w14:paraId="5920B3D5" w14:textId="77777777" w:rsidR="00F426DB" w:rsidRPr="0020472D" w:rsidRDefault="00F426DB">
            <w:pPr>
              <w:spacing w:line="276" w:lineRule="auto"/>
              <w:rPr>
                <w:rFonts w:ascii="Palatino Linotype" w:eastAsia="Palatino Linotype" w:hAnsi="Palatino Linotype" w:cs="Palatino Linotype"/>
                <w:i/>
                <w:iCs/>
              </w:rPr>
            </w:pPr>
          </w:p>
        </w:tc>
      </w:tr>
      <w:tr w:rsidR="00F426DB" w:rsidRPr="0020472D" w14:paraId="77586A1F" w14:textId="77777777">
        <w:trPr>
          <w:trHeight w:val="143"/>
          <w:jc w:val="center"/>
        </w:trPr>
        <w:tc>
          <w:tcPr>
            <w:tcW w:w="7593" w:type="dxa"/>
            <w:vAlign w:val="center"/>
          </w:tcPr>
          <w:p w14:paraId="5001FD1F" w14:textId="77777777" w:rsidR="00F426DB" w:rsidRPr="0020472D" w:rsidRDefault="00661522">
            <w:pPr>
              <w:spacing w:line="276" w:lineRule="auto"/>
              <w:rPr>
                <w:rFonts w:ascii="Palatino Linotype" w:eastAsia="Palatino Linotype" w:hAnsi="Palatino Linotype" w:cs="Palatino Linotype"/>
                <w:i/>
                <w:iCs/>
              </w:rPr>
            </w:pPr>
            <w:r w:rsidRPr="0020472D">
              <w:rPr>
                <w:rFonts w:ascii="Palatino Linotype" w:eastAsia="Palatino Linotype" w:hAnsi="Palatino Linotype" w:cs="Palatino Linotype"/>
                <w:i/>
                <w:iCs/>
              </w:rPr>
              <w:t>ATENTAMENTE</w:t>
            </w:r>
          </w:p>
        </w:tc>
      </w:tr>
      <w:tr w:rsidR="00F426DB" w:rsidRPr="0020472D" w14:paraId="1DECA66A" w14:textId="77777777">
        <w:trPr>
          <w:trHeight w:val="215"/>
          <w:jc w:val="center"/>
        </w:trPr>
        <w:tc>
          <w:tcPr>
            <w:tcW w:w="7593" w:type="dxa"/>
            <w:vAlign w:val="center"/>
          </w:tcPr>
          <w:p w14:paraId="15EC1BA1" w14:textId="77777777" w:rsidR="00F426DB" w:rsidRPr="0020472D" w:rsidRDefault="00F426DB">
            <w:pPr>
              <w:spacing w:line="276" w:lineRule="auto"/>
              <w:rPr>
                <w:rFonts w:ascii="Palatino Linotype" w:eastAsia="Palatino Linotype" w:hAnsi="Palatino Linotype" w:cs="Palatino Linotype"/>
                <w:i/>
                <w:iCs/>
              </w:rPr>
            </w:pPr>
          </w:p>
        </w:tc>
      </w:tr>
      <w:tr w:rsidR="00F426DB" w:rsidRPr="0020472D" w14:paraId="42E0E2C7" w14:textId="77777777">
        <w:trPr>
          <w:trHeight w:val="143"/>
          <w:jc w:val="center"/>
        </w:trPr>
        <w:tc>
          <w:tcPr>
            <w:tcW w:w="7593" w:type="dxa"/>
            <w:vAlign w:val="center"/>
          </w:tcPr>
          <w:p w14:paraId="1AB8E975" w14:textId="77777777" w:rsidR="00F426DB" w:rsidRPr="0020472D" w:rsidRDefault="00661522">
            <w:pPr>
              <w:spacing w:line="276" w:lineRule="auto"/>
              <w:rPr>
                <w:rFonts w:ascii="Palatino Linotype" w:eastAsia="Palatino Linotype" w:hAnsi="Palatino Linotype" w:cs="Palatino Linotype"/>
                <w:i/>
                <w:iCs/>
              </w:rPr>
            </w:pPr>
            <w:r w:rsidRPr="0020472D">
              <w:rPr>
                <w:rFonts w:ascii="Palatino Linotype" w:eastAsia="Palatino Linotype" w:hAnsi="Palatino Linotype" w:cs="Palatino Linotype"/>
                <w:i/>
                <w:iCs/>
              </w:rPr>
              <w:t>L.A.E. JORGE ARMANDO CERDA CUENCA”</w:t>
            </w:r>
          </w:p>
        </w:tc>
      </w:tr>
    </w:tbl>
    <w:p w14:paraId="4868CBC0" w14:textId="77777777" w:rsidR="00F426DB" w:rsidRPr="0020472D" w:rsidRDefault="00F426D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75D6E52" w14:textId="77777777" w:rsidR="00F426DB" w:rsidRPr="0020472D" w:rsidRDefault="0066152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lastRenderedPageBreak/>
        <w:t xml:space="preserve">A la respuesta se adjuntó el archivo electrónico </w:t>
      </w:r>
      <w:hyperlink r:id="rId8">
        <w:r w:rsidRPr="0020472D">
          <w:rPr>
            <w:rFonts w:ascii="Palatino Linotype" w:eastAsia="Palatino Linotype" w:hAnsi="Palatino Linotype" w:cs="Palatino Linotype"/>
            <w:b/>
            <w:bCs/>
            <w:color w:val="0563C1"/>
            <w:u w:val="single"/>
          </w:rPr>
          <w:t>RESPUESTA 80.pdf</w:t>
        </w:r>
      </w:hyperlink>
      <w:r w:rsidRPr="0020472D">
        <w:rPr>
          <w:rFonts w:ascii="Palatino Linotype" w:eastAsia="Palatino Linotype" w:hAnsi="Palatino Linotype" w:cs="Palatino Linotype"/>
          <w:color w:val="000000"/>
        </w:rPr>
        <w:t xml:space="preserve">, en el que se adjuntó un documento de fecha treinta de junio de dos mil veinticinco, suscrito por el Titular de la Unidad de Transparencia, quien señaló de forma medular que, no puede emitir respuesta dado que se trata de un proceso interno y no es información de interés público. </w:t>
      </w:r>
    </w:p>
    <w:p w14:paraId="565E3D5E" w14:textId="77777777" w:rsidR="00F426DB" w:rsidRPr="0020472D" w:rsidRDefault="00F426DB">
      <w:pPr>
        <w:pBdr>
          <w:top w:val="nil"/>
          <w:left w:val="nil"/>
          <w:bottom w:val="nil"/>
          <w:right w:val="nil"/>
          <w:between w:val="nil"/>
        </w:pBdr>
        <w:spacing w:line="360" w:lineRule="auto"/>
        <w:jc w:val="both"/>
        <w:rPr>
          <w:rFonts w:ascii="Palatino Linotype" w:eastAsia="Palatino Linotype" w:hAnsi="Palatino Linotype" w:cs="Palatino Linotype"/>
        </w:rPr>
      </w:pPr>
    </w:p>
    <w:p w14:paraId="78652978" w14:textId="77777777" w:rsidR="00F426DB" w:rsidRPr="0020472D" w:rsidRDefault="006615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 xml:space="preserve">El </w:t>
      </w:r>
      <w:r w:rsidRPr="0020472D">
        <w:rPr>
          <w:rFonts w:ascii="Palatino Linotype" w:eastAsia="Palatino Linotype" w:hAnsi="Palatino Linotype" w:cs="Palatino Linotype"/>
          <w:b/>
          <w:bCs/>
          <w:color w:val="000000"/>
        </w:rPr>
        <w:t>tres de julio de dos mil veinticinco</w:t>
      </w:r>
      <w:r w:rsidRPr="0020472D">
        <w:rPr>
          <w:rFonts w:ascii="Palatino Linotype" w:eastAsia="Palatino Linotype" w:hAnsi="Palatino Linotype" w:cs="Palatino Linotype"/>
          <w:color w:val="000000"/>
        </w:rPr>
        <w:t xml:space="preserve">, </w:t>
      </w:r>
      <w:r w:rsidRPr="0020472D">
        <w:rPr>
          <w:rFonts w:ascii="Palatino Linotype" w:eastAsia="Palatino Linotype" w:hAnsi="Palatino Linotype" w:cs="Palatino Linotype"/>
          <w:b/>
          <w:bCs/>
          <w:color w:val="000000"/>
        </w:rPr>
        <w:t>El Recurrente</w:t>
      </w:r>
      <w:r w:rsidRPr="0020472D">
        <w:rPr>
          <w:rFonts w:ascii="Palatino Linotype" w:eastAsia="Palatino Linotype" w:hAnsi="Palatino Linotype" w:cs="Palatino Linotype"/>
          <w:color w:val="000000"/>
        </w:rPr>
        <w:t xml:space="preserve"> interpuso el recurso de revisión, en contra de la respuesta, señalando como:</w:t>
      </w:r>
    </w:p>
    <w:p w14:paraId="5BF4D721" w14:textId="77777777" w:rsidR="00F426DB" w:rsidRPr="0020472D" w:rsidRDefault="00F426D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AEDF49D" w14:textId="481A4142" w:rsidR="00F426DB" w:rsidRPr="0020472D" w:rsidRDefault="0020472D">
      <w:pPr>
        <w:numPr>
          <w:ilvl w:val="0"/>
          <w:numId w:val="1"/>
        </w:numPr>
        <w:spacing w:line="360" w:lineRule="auto"/>
        <w:ind w:left="851" w:right="822" w:firstLine="0"/>
        <w:jc w:val="both"/>
        <w:rPr>
          <w:rFonts w:ascii="Palatino Linotype" w:eastAsia="Palatino Linotype" w:hAnsi="Palatino Linotype" w:cs="Palatino Linotype"/>
        </w:rPr>
      </w:pPr>
      <w:r w:rsidRPr="0020472D">
        <w:rPr>
          <w:rFonts w:ascii="Palatino Linotype" w:eastAsia="Palatino Linotype" w:hAnsi="Palatino Linotype" w:cs="Palatino Linotype"/>
          <w:b/>
          <w:bCs/>
        </w:rPr>
        <w:t>ACTO IMPUGNADO</w:t>
      </w:r>
      <w:r w:rsidRPr="0020472D">
        <w:rPr>
          <w:rFonts w:ascii="Palatino Linotype" w:eastAsia="Palatino Linotype" w:hAnsi="Palatino Linotype" w:cs="Palatino Linotype"/>
          <w:b/>
          <w:bCs/>
          <w:i/>
          <w:iCs/>
        </w:rPr>
        <w:t>:</w:t>
      </w:r>
      <w:r w:rsidRPr="0020472D">
        <w:rPr>
          <w:rFonts w:ascii="Palatino Linotype" w:eastAsia="Palatino Linotype" w:hAnsi="Palatino Linotype" w:cs="Palatino Linotype"/>
          <w:i/>
          <w:iCs/>
          <w:color w:val="000000"/>
        </w:rPr>
        <w:t xml:space="preserve"> </w:t>
      </w:r>
      <w:r w:rsidR="00661522" w:rsidRPr="0020472D">
        <w:rPr>
          <w:rFonts w:ascii="Palatino Linotype" w:eastAsia="Palatino Linotype" w:hAnsi="Palatino Linotype" w:cs="Palatino Linotype"/>
          <w:i/>
          <w:iCs/>
          <w:color w:val="000000"/>
        </w:rPr>
        <w:t>“La negativa de entrega de las documentales." (Sic)</w:t>
      </w:r>
    </w:p>
    <w:p w14:paraId="75CE0CE3" w14:textId="77777777" w:rsidR="00F426DB" w:rsidRPr="0020472D" w:rsidRDefault="00F426DB">
      <w:pPr>
        <w:spacing w:line="360" w:lineRule="auto"/>
        <w:ind w:left="851" w:right="822"/>
        <w:jc w:val="both"/>
        <w:rPr>
          <w:rFonts w:ascii="Palatino Linotype" w:eastAsia="Palatino Linotype" w:hAnsi="Palatino Linotype" w:cs="Palatino Linotype"/>
        </w:rPr>
      </w:pPr>
    </w:p>
    <w:p w14:paraId="7CD16935" w14:textId="4E7BC817" w:rsidR="00F426DB" w:rsidRPr="0020472D" w:rsidRDefault="0020472D">
      <w:pPr>
        <w:numPr>
          <w:ilvl w:val="0"/>
          <w:numId w:val="1"/>
        </w:numPr>
        <w:spacing w:line="360" w:lineRule="auto"/>
        <w:ind w:left="851" w:right="822" w:firstLine="0"/>
        <w:jc w:val="both"/>
        <w:rPr>
          <w:rFonts w:ascii="Palatino Linotype" w:eastAsia="Palatino Linotype" w:hAnsi="Palatino Linotype" w:cs="Palatino Linotype"/>
        </w:rPr>
      </w:pPr>
      <w:r w:rsidRPr="0020472D">
        <w:rPr>
          <w:rFonts w:ascii="Palatino Linotype" w:eastAsia="Palatino Linotype" w:hAnsi="Palatino Linotype" w:cs="Palatino Linotype"/>
          <w:b/>
          <w:bCs/>
        </w:rPr>
        <w:t>RAZONES O MOTIVOS DE INCONFORMIDAD</w:t>
      </w:r>
      <w:r w:rsidR="00661522" w:rsidRPr="0020472D">
        <w:rPr>
          <w:rFonts w:ascii="Palatino Linotype" w:eastAsia="Palatino Linotype" w:hAnsi="Palatino Linotype" w:cs="Palatino Linotype"/>
          <w:b/>
          <w:bCs/>
        </w:rPr>
        <w:t xml:space="preserve">: </w:t>
      </w:r>
      <w:r w:rsidR="00661522" w:rsidRPr="0020472D">
        <w:rPr>
          <w:rFonts w:ascii="Palatino Linotype" w:eastAsia="Palatino Linotype" w:hAnsi="Palatino Linotype" w:cs="Palatino Linotype"/>
          <w:i/>
          <w:iCs/>
        </w:rPr>
        <w:t>"La negativa de entrega de las documentales solicitadas, ello atendiendo a qué el habilitado omite que no es un sindicato privado, es decir, este es un sindicato que recibe recurso público, lo cual lo hace un sujeto obligado y debe entregar la información solicitada" (Sic)</w:t>
      </w:r>
    </w:p>
    <w:p w14:paraId="08BE0321" w14:textId="77777777" w:rsidR="00F426DB" w:rsidRPr="0020472D" w:rsidRDefault="00661522" w:rsidP="0020472D">
      <w:pPr>
        <w:numPr>
          <w:ilvl w:val="0"/>
          <w:numId w:val="3"/>
        </w:numPr>
        <w:spacing w:before="280" w:after="280" w:line="360" w:lineRule="auto"/>
        <w:ind w:left="0" w:firstLine="0"/>
        <w:jc w:val="both"/>
        <w:rPr>
          <w:rFonts w:ascii="Palatino Linotype" w:eastAsia="Palatino Linotype" w:hAnsi="Palatino Linotype" w:cs="Palatino Linotype"/>
        </w:rPr>
      </w:pPr>
      <w:r w:rsidRPr="0020472D">
        <w:rPr>
          <w:rFonts w:ascii="Palatino Linotype" w:eastAsia="Palatino Linotype" w:hAnsi="Palatino Linotype" w:cs="Palatino Linotype"/>
        </w:rPr>
        <w:t xml:space="preserve">A la inconformidad se adjuntó el archivo electrónico </w:t>
      </w:r>
      <w:hyperlink r:id="rId9">
        <w:r w:rsidRPr="0020472D">
          <w:rPr>
            <w:rFonts w:ascii="Palatino Linotype" w:eastAsia="Palatino Linotype" w:hAnsi="Palatino Linotype" w:cs="Palatino Linotype"/>
            <w:b/>
            <w:bCs/>
            <w:color w:val="000000"/>
            <w:u w:val="single"/>
          </w:rPr>
          <w:t>160.page.pdf</w:t>
        </w:r>
      </w:hyperlink>
      <w:r w:rsidRPr="0020472D">
        <w:rPr>
          <w:rFonts w:ascii="Palatino Linotype" w:eastAsia="Palatino Linotype" w:hAnsi="Palatino Linotype" w:cs="Palatino Linotype"/>
        </w:rPr>
        <w:t xml:space="preserve">, en el que se advierte la respuesta del Sujeto Obligado. </w:t>
      </w:r>
    </w:p>
    <w:p w14:paraId="7C8AB99D" w14:textId="77777777" w:rsidR="00F426DB" w:rsidRPr="0020472D" w:rsidRDefault="006615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 xml:space="preserve">Se registró el recurso de revisión bajo el número de expediente al rubro indicado, asimismo con fundamento en lo dispuesto por el artículo 185 fracción I de la </w:t>
      </w:r>
      <w:r w:rsidRPr="0020472D">
        <w:rPr>
          <w:rFonts w:ascii="Palatino Linotype" w:eastAsia="Palatino Linotype" w:hAnsi="Palatino Linotype" w:cs="Palatino Linotype"/>
          <w:b/>
          <w:bCs/>
          <w:color w:val="000000"/>
        </w:rPr>
        <w:t xml:space="preserve">Ley de Transparencia y Acceso a la Información Pública del Estado de México y Municipios </w:t>
      </w:r>
      <w:r w:rsidRPr="0020472D">
        <w:rPr>
          <w:rFonts w:ascii="Palatino Linotype" w:eastAsia="Palatino Linotype" w:hAnsi="Palatino Linotype" w:cs="Palatino Linotype"/>
          <w:color w:val="000000"/>
        </w:rPr>
        <w:t xml:space="preserve">se </w:t>
      </w:r>
      <w:r w:rsidRPr="0020472D">
        <w:rPr>
          <w:rFonts w:ascii="Palatino Linotype" w:eastAsia="Palatino Linotype" w:hAnsi="Palatino Linotype" w:cs="Palatino Linotype"/>
        </w:rPr>
        <w:t>turna</w:t>
      </w:r>
      <w:r w:rsidRPr="0020472D">
        <w:rPr>
          <w:rFonts w:ascii="Palatino Linotype" w:eastAsia="Palatino Linotype" w:hAnsi="Palatino Linotype" w:cs="Palatino Linotype"/>
          <w:color w:val="000000"/>
        </w:rPr>
        <w:t xml:space="preserve"> a la </w:t>
      </w:r>
      <w:r w:rsidRPr="0020472D">
        <w:rPr>
          <w:rFonts w:ascii="Palatino Linotype" w:eastAsia="Palatino Linotype" w:hAnsi="Palatino Linotype" w:cs="Palatino Linotype"/>
          <w:b/>
          <w:bCs/>
          <w:color w:val="000000"/>
        </w:rPr>
        <w:t xml:space="preserve">Comisionada María del Rosario Mejía Ayala, </w:t>
      </w:r>
      <w:r w:rsidRPr="0020472D">
        <w:rPr>
          <w:rFonts w:ascii="Palatino Linotype" w:eastAsia="Palatino Linotype" w:hAnsi="Palatino Linotype" w:cs="Palatino Linotype"/>
        </w:rPr>
        <w:t xml:space="preserve">para </w:t>
      </w:r>
      <w:r w:rsidRPr="0020472D">
        <w:rPr>
          <w:rFonts w:ascii="Palatino Linotype" w:eastAsia="Palatino Linotype" w:hAnsi="Palatino Linotype" w:cs="Palatino Linotype"/>
          <w:color w:val="000000"/>
        </w:rPr>
        <w:t xml:space="preserve">su análisis. </w:t>
      </w:r>
    </w:p>
    <w:p w14:paraId="70FFB7D0" w14:textId="77777777" w:rsidR="00F426DB" w:rsidRPr="0020472D" w:rsidRDefault="00F426D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D3BA977" w14:textId="60D5DF97" w:rsidR="00F426DB" w:rsidRPr="0020472D" w:rsidRDefault="006615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rPr>
        <w:lastRenderedPageBreak/>
        <w:t>La</w:t>
      </w:r>
      <w:r w:rsidRPr="0020472D">
        <w:rPr>
          <w:rFonts w:ascii="Palatino Linotype" w:eastAsia="Palatino Linotype" w:hAnsi="Palatino Linotype" w:cs="Palatino Linotype"/>
          <w:color w:val="000000"/>
        </w:rPr>
        <w:t xml:space="preserve"> Comisionad</w:t>
      </w:r>
      <w:r w:rsidRPr="0020472D">
        <w:rPr>
          <w:rFonts w:ascii="Palatino Linotype" w:eastAsia="Palatino Linotype" w:hAnsi="Palatino Linotype" w:cs="Palatino Linotype"/>
        </w:rPr>
        <w:t>a</w:t>
      </w:r>
      <w:r w:rsidR="0020472D">
        <w:rPr>
          <w:rFonts w:ascii="Palatino Linotype" w:eastAsia="Palatino Linotype" w:hAnsi="Palatino Linotype" w:cs="Palatino Linotype"/>
          <w:color w:val="000000"/>
        </w:rPr>
        <w:t xml:space="preserve"> p</w:t>
      </w:r>
      <w:r w:rsidRPr="0020472D">
        <w:rPr>
          <w:rFonts w:ascii="Palatino Linotype" w:eastAsia="Palatino Linotype" w:hAnsi="Palatino Linotype" w:cs="Palatino Linotype"/>
          <w:color w:val="000000"/>
        </w:rPr>
        <w:t xml:space="preserve">onente con fundamento en lo dispuesto por el artículo 185 fracción II de la ley de la materia, a través del acuerdo de admisión del </w:t>
      </w:r>
      <w:r w:rsidRPr="0020472D">
        <w:rPr>
          <w:rFonts w:ascii="Palatino Linotype" w:eastAsia="Palatino Linotype" w:hAnsi="Palatino Linotype" w:cs="Palatino Linotype"/>
          <w:b/>
          <w:bCs/>
          <w:color w:val="000000"/>
        </w:rPr>
        <w:t>siete de julio de dos mil veinticinco</w:t>
      </w:r>
      <w:r w:rsidRPr="0020472D">
        <w:rPr>
          <w:rFonts w:ascii="Palatino Linotype" w:eastAsia="Palatino Linotype" w:hAnsi="Palatino Linotype" w:cs="Palatino Linotype"/>
          <w:color w:val="000000"/>
        </w:rPr>
        <w:t xml:space="preserve">, puso a disposición de las partes el expediente electrónico vía </w:t>
      </w:r>
      <w:r w:rsidRPr="0020472D">
        <w:rPr>
          <w:rFonts w:ascii="Palatino Linotype" w:eastAsia="Palatino Linotype" w:hAnsi="Palatino Linotype" w:cs="Palatino Linotype"/>
          <w:b/>
          <w:bCs/>
          <w:color w:val="000000"/>
        </w:rPr>
        <w:t xml:space="preserve">SAIMEX </w:t>
      </w:r>
      <w:r w:rsidRPr="0020472D">
        <w:rPr>
          <w:rFonts w:ascii="Palatino Linotype" w:eastAsia="Palatino Linotype" w:hAnsi="Palatino Linotype" w:cs="Palatino Linotype"/>
          <w:color w:val="000000"/>
        </w:rPr>
        <w:t xml:space="preserve">a efecto de que en un plazo máximo de siete días </w:t>
      </w:r>
      <w:r w:rsidRPr="0020472D">
        <w:rPr>
          <w:rFonts w:ascii="Palatino Linotype" w:eastAsia="Palatino Linotype" w:hAnsi="Palatino Linotype" w:cs="Palatino Linotype"/>
        </w:rPr>
        <w:t>manifestara</w:t>
      </w:r>
      <w:r w:rsidRPr="0020472D">
        <w:rPr>
          <w:rFonts w:ascii="Palatino Linotype" w:eastAsia="Palatino Linotype" w:hAnsi="Palatino Linotype" w:cs="Palatino Linotype"/>
          <w:color w:val="000000"/>
        </w:rPr>
        <w:t xml:space="preserve"> lo que a derecho </w:t>
      </w:r>
      <w:r w:rsidRPr="0020472D">
        <w:rPr>
          <w:rFonts w:ascii="Palatino Linotype" w:eastAsia="Palatino Linotype" w:hAnsi="Palatino Linotype" w:cs="Palatino Linotype"/>
        </w:rPr>
        <w:t>conviniera</w:t>
      </w:r>
      <w:r w:rsidRPr="0020472D">
        <w:rPr>
          <w:rFonts w:ascii="Palatino Linotype" w:eastAsia="Palatino Linotype" w:hAnsi="Palatino Linotype" w:cs="Palatino Linotype"/>
          <w:color w:val="000000"/>
        </w:rPr>
        <w:t xml:space="preserve">, </w:t>
      </w:r>
      <w:r w:rsidRPr="0020472D">
        <w:rPr>
          <w:rFonts w:ascii="Palatino Linotype" w:eastAsia="Palatino Linotype" w:hAnsi="Palatino Linotype" w:cs="Palatino Linotype"/>
        </w:rPr>
        <w:t>ofreciera</w:t>
      </w:r>
      <w:r w:rsidRPr="0020472D">
        <w:rPr>
          <w:rFonts w:ascii="Palatino Linotype" w:eastAsia="Palatino Linotype" w:hAnsi="Palatino Linotype" w:cs="Palatino Linotype"/>
          <w:color w:val="000000"/>
        </w:rPr>
        <w:t xml:space="preserve"> pruebas y alegatos según corresponda al caso concreto, de esta forma para que el </w:t>
      </w:r>
      <w:r w:rsidRPr="0020472D">
        <w:rPr>
          <w:rFonts w:ascii="Palatino Linotype" w:eastAsia="Palatino Linotype" w:hAnsi="Palatino Linotype" w:cs="Palatino Linotype"/>
          <w:b/>
          <w:bCs/>
          <w:color w:val="000000"/>
        </w:rPr>
        <w:t>SUJETO OBLIGADO</w:t>
      </w:r>
      <w:r w:rsidRPr="0020472D">
        <w:rPr>
          <w:rFonts w:ascii="Palatino Linotype" w:eastAsia="Palatino Linotype" w:hAnsi="Palatino Linotype" w:cs="Palatino Linotype"/>
          <w:color w:val="000000"/>
        </w:rPr>
        <w:t xml:space="preserve"> </w:t>
      </w:r>
      <w:r w:rsidRPr="0020472D">
        <w:rPr>
          <w:rFonts w:ascii="Palatino Linotype" w:eastAsia="Palatino Linotype" w:hAnsi="Palatino Linotype" w:cs="Palatino Linotype"/>
        </w:rPr>
        <w:t>presentará</w:t>
      </w:r>
      <w:r w:rsidRPr="0020472D">
        <w:rPr>
          <w:rFonts w:ascii="Palatino Linotype" w:eastAsia="Palatino Linotype" w:hAnsi="Palatino Linotype" w:cs="Palatino Linotype"/>
          <w:color w:val="000000"/>
        </w:rPr>
        <w:t xml:space="preserve"> el informe justificado procedente. </w:t>
      </w:r>
    </w:p>
    <w:p w14:paraId="14E0FA4C" w14:textId="77777777" w:rsidR="00F426DB" w:rsidRPr="0020472D" w:rsidRDefault="00F426DB">
      <w:pPr>
        <w:pBdr>
          <w:top w:val="nil"/>
          <w:left w:val="nil"/>
          <w:bottom w:val="nil"/>
          <w:right w:val="nil"/>
          <w:between w:val="nil"/>
        </w:pBdr>
        <w:ind w:left="720"/>
        <w:rPr>
          <w:rFonts w:ascii="Palatino Linotype" w:eastAsia="Palatino Linotype" w:hAnsi="Palatino Linotype" w:cs="Palatino Linotype"/>
          <w:color w:val="000000"/>
        </w:rPr>
      </w:pPr>
    </w:p>
    <w:p w14:paraId="15EEF4B4" w14:textId="77777777" w:rsidR="00F426DB" w:rsidRPr="0020472D" w:rsidRDefault="006615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i/>
          <w:iCs/>
          <w:color w:val="000000"/>
        </w:rPr>
      </w:pPr>
      <w:r w:rsidRPr="0020472D">
        <w:rPr>
          <w:rFonts w:ascii="Palatino Linotype" w:eastAsia="Palatino Linotype" w:hAnsi="Palatino Linotype" w:cs="Palatino Linotype"/>
          <w:color w:val="000000"/>
        </w:rPr>
        <w:t xml:space="preserve">De las constancias del expediente electrónico SAIMEX se advierte que el Recurrente no realizó manifestaciones; por su parte, el Sujeto Obligado entregó informe justificado el ocho de julio de dos mil veinticinco, mismo que se puso a la vista del Recurrente del nueve de marzo de dos mil veintiséis, a través de los archivos denominados  </w:t>
      </w:r>
      <w:hyperlink r:id="rId10">
        <w:r w:rsidRPr="0020472D">
          <w:rPr>
            <w:rFonts w:ascii="Palatino Linotype" w:eastAsia="Palatino Linotype" w:hAnsi="Palatino Linotype" w:cs="Palatino Linotype"/>
            <w:b/>
            <w:bCs/>
            <w:color w:val="0563C1"/>
            <w:u w:val="single"/>
          </w:rPr>
          <w:t>INFORME DE JUSTIFICACION 80.pdf</w:t>
        </w:r>
      </w:hyperlink>
      <w:r w:rsidRPr="0020472D">
        <w:rPr>
          <w:rFonts w:ascii="Palatino Linotype" w:eastAsia="Palatino Linotype" w:hAnsi="Palatino Linotype" w:cs="Palatino Linotype"/>
          <w:color w:val="000000"/>
        </w:rPr>
        <w:t xml:space="preserve">, </w:t>
      </w:r>
      <w:hyperlink r:id="rId11">
        <w:r w:rsidRPr="0020472D">
          <w:rPr>
            <w:rFonts w:ascii="Palatino Linotype" w:eastAsia="Palatino Linotype" w:hAnsi="Palatino Linotype" w:cs="Palatino Linotype"/>
            <w:b/>
            <w:bCs/>
            <w:color w:val="0563C1"/>
            <w:u w:val="single"/>
          </w:rPr>
          <w:t>ESTATUTO SINDICATO ÚNICO DE TRABAJADORES DE LOS PODERES 2023.pdf</w:t>
        </w:r>
      </w:hyperlink>
      <w:r w:rsidRPr="0020472D">
        <w:rPr>
          <w:rFonts w:ascii="Palatino Linotype" w:eastAsia="Palatino Linotype" w:hAnsi="Palatino Linotype" w:cs="Palatino Linotype"/>
          <w:color w:val="000000"/>
        </w:rPr>
        <w:t xml:space="preserve">, </w:t>
      </w:r>
      <w:hyperlink r:id="rId12">
        <w:r w:rsidRPr="0020472D">
          <w:rPr>
            <w:rFonts w:ascii="Palatino Linotype" w:eastAsia="Palatino Linotype" w:hAnsi="Palatino Linotype" w:cs="Palatino Linotype"/>
            <w:b/>
            <w:bCs/>
            <w:color w:val="0563C1"/>
            <w:u w:val="single"/>
          </w:rPr>
          <w:t>LERMA 2023.pdf</w:t>
        </w:r>
      </w:hyperlink>
      <w:r w:rsidRPr="0020472D">
        <w:rPr>
          <w:rFonts w:ascii="Palatino Linotype" w:eastAsia="Palatino Linotype" w:hAnsi="Palatino Linotype" w:cs="Palatino Linotype"/>
          <w:color w:val="000000"/>
        </w:rPr>
        <w:t xml:space="preserve"> y </w:t>
      </w:r>
      <w:hyperlink r:id="rId13">
        <w:r w:rsidRPr="0020472D">
          <w:rPr>
            <w:rFonts w:ascii="Palatino Linotype" w:eastAsia="Palatino Linotype" w:hAnsi="Palatino Linotype" w:cs="Palatino Linotype"/>
            <w:b/>
            <w:bCs/>
            <w:color w:val="0563C1"/>
            <w:u w:val="single"/>
          </w:rPr>
          <w:t>CHIMALHUACÁN 2021.pdf</w:t>
        </w:r>
      </w:hyperlink>
      <w:r w:rsidRPr="0020472D">
        <w:rPr>
          <w:rFonts w:ascii="Palatino Linotype" w:eastAsia="Palatino Linotype" w:hAnsi="Palatino Linotype" w:cs="Palatino Linotype"/>
          <w:color w:val="000000"/>
        </w:rPr>
        <w:t xml:space="preserve">, con los que ratificó su respuesta. </w:t>
      </w:r>
    </w:p>
    <w:p w14:paraId="0B2E4E9F" w14:textId="77777777" w:rsidR="00F426DB" w:rsidRPr="0020472D" w:rsidRDefault="00F426DB">
      <w:pPr>
        <w:rPr>
          <w:rFonts w:ascii="Palatino Linotype" w:eastAsia="Palatino Linotype" w:hAnsi="Palatino Linotype" w:cs="Palatino Linotype"/>
          <w:color w:val="000000"/>
        </w:rPr>
      </w:pPr>
    </w:p>
    <w:p w14:paraId="0A8AEA34" w14:textId="77777777" w:rsidR="00F426DB" w:rsidRPr="0020472D" w:rsidRDefault="006615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 xml:space="preserve">El </w:t>
      </w:r>
      <w:r w:rsidRPr="0020472D">
        <w:rPr>
          <w:rFonts w:ascii="Palatino Linotype" w:eastAsia="Palatino Linotype" w:hAnsi="Palatino Linotype" w:cs="Palatino Linotype"/>
          <w:b/>
          <w:bCs/>
          <w:color w:val="000000"/>
        </w:rPr>
        <w:t>diecinueve de enero de dos mil veintiséis</w:t>
      </w:r>
      <w:r w:rsidRPr="0020472D">
        <w:rPr>
          <w:rFonts w:ascii="Palatino Linotype" w:eastAsia="Palatino Linotype" w:hAnsi="Palatino Linotype" w:cs="Palatino Linotype"/>
          <w:color w:val="000000"/>
        </w:rPr>
        <w:t>, se notificó el acuerdo mediante el cual se aprobó la ampliación de plazo para emitir resolución.</w:t>
      </w:r>
    </w:p>
    <w:p w14:paraId="0E478876" w14:textId="77777777" w:rsidR="00F426DB" w:rsidRPr="0020472D" w:rsidRDefault="00F426DB">
      <w:pPr>
        <w:pBdr>
          <w:top w:val="nil"/>
          <w:left w:val="nil"/>
          <w:bottom w:val="nil"/>
          <w:right w:val="nil"/>
          <w:between w:val="nil"/>
        </w:pBdr>
        <w:ind w:left="720"/>
        <w:rPr>
          <w:rFonts w:ascii="Palatino Linotype" w:eastAsia="Palatino Linotype" w:hAnsi="Palatino Linotype" w:cs="Palatino Linotype"/>
          <w:color w:val="000000"/>
        </w:rPr>
      </w:pPr>
    </w:p>
    <w:p w14:paraId="694AD9DA" w14:textId="53D4D52A" w:rsidR="00F426DB" w:rsidRDefault="006615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 xml:space="preserve">El </w:t>
      </w:r>
      <w:r w:rsidRPr="0020472D">
        <w:rPr>
          <w:rFonts w:ascii="Palatino Linotype" w:eastAsia="Palatino Linotype" w:hAnsi="Palatino Linotype" w:cs="Palatino Linotype"/>
          <w:b/>
          <w:bCs/>
          <w:color w:val="000000"/>
        </w:rPr>
        <w:t>trece de marzo de dos mil veintiséis</w:t>
      </w:r>
      <w:r w:rsidRPr="0020472D">
        <w:rPr>
          <w:rFonts w:ascii="Palatino Linotype" w:eastAsia="Palatino Linotype" w:hAnsi="Palatino Linotype" w:cs="Palatino Linotype"/>
          <w:color w:val="000000"/>
        </w:rPr>
        <w:t xml:space="preserve">, se notificó el acuerdo mediante el cual se decretó el cierre de instrucción. </w:t>
      </w:r>
      <w:r w:rsidR="0020472D">
        <w:rPr>
          <w:rFonts w:ascii="Palatino Linotype" w:eastAsia="Palatino Linotype" w:hAnsi="Palatino Linotype" w:cs="Palatino Linotype"/>
          <w:color w:val="000000"/>
        </w:rPr>
        <w:t>----------------------------------------------------------------------------------------------</w:t>
      </w:r>
    </w:p>
    <w:p w14:paraId="2A8574B9" w14:textId="77777777" w:rsidR="0020472D" w:rsidRDefault="0020472D" w:rsidP="0020472D">
      <w:pPr>
        <w:pStyle w:val="Prrafodelista"/>
        <w:rPr>
          <w:rFonts w:ascii="Palatino Linotype" w:eastAsia="Palatino Linotype" w:hAnsi="Palatino Linotype" w:cs="Palatino Linotype"/>
          <w:color w:val="000000"/>
        </w:rPr>
      </w:pPr>
    </w:p>
    <w:p w14:paraId="27029E73" w14:textId="77777777" w:rsidR="0020472D" w:rsidRDefault="0020472D" w:rsidP="0020472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CDBB9F8" w14:textId="77777777" w:rsidR="0020472D" w:rsidRDefault="0020472D" w:rsidP="0020472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47A33FC" w14:textId="77777777" w:rsidR="0020472D" w:rsidRDefault="0020472D" w:rsidP="0020472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F294309" w14:textId="77777777" w:rsidR="0020472D" w:rsidRPr="0020472D" w:rsidRDefault="0020472D" w:rsidP="0020472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79468DE" w14:textId="77777777" w:rsidR="00F426DB" w:rsidRPr="0020472D" w:rsidRDefault="00F426DB">
      <w:pPr>
        <w:spacing w:line="360" w:lineRule="auto"/>
        <w:rPr>
          <w:rFonts w:ascii="Palatino Linotype" w:eastAsia="Palatino Linotype" w:hAnsi="Palatino Linotype" w:cs="Palatino Linotype"/>
        </w:rPr>
      </w:pPr>
    </w:p>
    <w:p w14:paraId="13880356" w14:textId="77777777" w:rsidR="00F426DB" w:rsidRPr="0020472D" w:rsidRDefault="00661522">
      <w:pPr>
        <w:spacing w:line="360" w:lineRule="auto"/>
        <w:jc w:val="center"/>
        <w:rPr>
          <w:rFonts w:ascii="Palatino Linotype" w:eastAsia="Palatino Linotype" w:hAnsi="Palatino Linotype" w:cs="Palatino Linotype"/>
        </w:rPr>
      </w:pPr>
      <w:bookmarkStart w:id="2" w:name="_heading=h.1fob9te" w:colFirst="0" w:colLast="0"/>
      <w:bookmarkEnd w:id="2"/>
      <w:r w:rsidRPr="0020472D">
        <w:rPr>
          <w:rFonts w:ascii="Palatino Linotype" w:eastAsia="Palatino Linotype" w:hAnsi="Palatino Linotype" w:cs="Palatino Linotype"/>
          <w:b/>
          <w:bCs/>
        </w:rPr>
        <w:lastRenderedPageBreak/>
        <w:t>C O N S I D E R A N D O</w:t>
      </w:r>
    </w:p>
    <w:p w14:paraId="63F4C94A" w14:textId="77777777" w:rsidR="00F426DB" w:rsidRPr="0020472D" w:rsidRDefault="00F426DB">
      <w:pPr>
        <w:spacing w:line="360" w:lineRule="auto"/>
        <w:jc w:val="center"/>
        <w:rPr>
          <w:rFonts w:ascii="Palatino Linotype" w:eastAsia="Palatino Linotype" w:hAnsi="Palatino Linotype" w:cs="Palatino Linotype"/>
        </w:rPr>
      </w:pPr>
    </w:p>
    <w:p w14:paraId="40DB0DED" w14:textId="77777777" w:rsidR="00F426DB" w:rsidRPr="0020472D" w:rsidRDefault="00661522">
      <w:pPr>
        <w:spacing w:line="360" w:lineRule="auto"/>
        <w:jc w:val="both"/>
        <w:rPr>
          <w:rFonts w:ascii="Palatino Linotype" w:eastAsia="Palatino Linotype" w:hAnsi="Palatino Linotype" w:cs="Palatino Linotype"/>
          <w:b/>
          <w:bCs/>
        </w:rPr>
      </w:pPr>
      <w:bookmarkStart w:id="3" w:name="_heading=h.3znysh7" w:colFirst="0" w:colLast="0"/>
      <w:bookmarkEnd w:id="3"/>
      <w:r w:rsidRPr="0020472D">
        <w:rPr>
          <w:rFonts w:ascii="Palatino Linotype" w:eastAsia="Palatino Linotype" w:hAnsi="Palatino Linotype" w:cs="Palatino Linotype"/>
          <w:b/>
          <w:bCs/>
        </w:rPr>
        <w:t>PRIMERO. De la competencia</w:t>
      </w:r>
    </w:p>
    <w:p w14:paraId="2EB2021C" w14:textId="77777777" w:rsidR="00F426DB" w:rsidRPr="0020472D" w:rsidRDefault="00661522">
      <w:pPr>
        <w:numPr>
          <w:ilvl w:val="0"/>
          <w:numId w:val="2"/>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noveno, cuadragésimo y cuadragésimo primero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7E07AACF" w14:textId="77777777" w:rsidR="00F426DB" w:rsidRPr="0020472D" w:rsidRDefault="00F426DB">
      <w:pPr>
        <w:keepNext/>
        <w:keepLines/>
        <w:spacing w:line="360" w:lineRule="auto"/>
        <w:rPr>
          <w:rFonts w:ascii="Palatino Linotype" w:eastAsia="Palatino Linotype" w:hAnsi="Palatino Linotype" w:cs="Palatino Linotype"/>
          <w:color w:val="000000"/>
        </w:rPr>
      </w:pPr>
      <w:bookmarkStart w:id="4" w:name="_heading=h.2et92p0" w:colFirst="0" w:colLast="0"/>
      <w:bookmarkEnd w:id="4"/>
    </w:p>
    <w:p w14:paraId="0730C1B6" w14:textId="77777777" w:rsidR="00F426DB" w:rsidRPr="0020472D" w:rsidRDefault="00661522">
      <w:pPr>
        <w:keepNext/>
        <w:keepLines/>
        <w:spacing w:line="360" w:lineRule="auto"/>
        <w:rPr>
          <w:rFonts w:ascii="Palatino Linotype" w:eastAsia="Palatino Linotype" w:hAnsi="Palatino Linotype" w:cs="Palatino Linotype"/>
          <w:b/>
          <w:bCs/>
        </w:rPr>
      </w:pPr>
      <w:r w:rsidRPr="0020472D">
        <w:rPr>
          <w:rFonts w:ascii="Palatino Linotype" w:eastAsia="Palatino Linotype" w:hAnsi="Palatino Linotype" w:cs="Palatino Linotype"/>
          <w:b/>
          <w:bCs/>
        </w:rPr>
        <w:t>SEGUNDO. De la oportunidad y procedencia.</w:t>
      </w:r>
    </w:p>
    <w:p w14:paraId="0A4C97EE" w14:textId="77777777" w:rsidR="00F426DB" w:rsidRPr="0020472D" w:rsidRDefault="006615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 xml:space="preserve">El medio de impugnación fue presentado a través del </w:t>
      </w:r>
      <w:r w:rsidRPr="0020472D">
        <w:rPr>
          <w:rFonts w:ascii="Palatino Linotype" w:eastAsia="Palatino Linotype" w:hAnsi="Palatino Linotype" w:cs="Palatino Linotype"/>
          <w:b/>
          <w:bCs/>
          <w:color w:val="000000"/>
        </w:rPr>
        <w:t>SAIMEX,</w:t>
      </w:r>
      <w:r w:rsidRPr="0020472D">
        <w:rPr>
          <w:rFonts w:ascii="Palatino Linotype" w:eastAsia="Palatino Linotype" w:hAnsi="Palatino Linotype" w:cs="Palatino Linotype"/>
          <w:color w:val="000000"/>
        </w:rPr>
        <w:t xml:space="preserve"> en el formato previamente aprobado para tal efecto y dentro del plazo legal de quince días hábiles otorgados; siendo así que el </w:t>
      </w:r>
      <w:r w:rsidRPr="0020472D">
        <w:rPr>
          <w:rFonts w:ascii="Palatino Linotype" w:eastAsia="Palatino Linotype" w:hAnsi="Palatino Linotype" w:cs="Palatino Linotype"/>
          <w:b/>
          <w:bCs/>
          <w:color w:val="000000"/>
        </w:rPr>
        <w:t>SUJETO OBLIGADO</w:t>
      </w:r>
      <w:r w:rsidRPr="0020472D">
        <w:rPr>
          <w:rFonts w:ascii="Palatino Linotype" w:eastAsia="Palatino Linotype" w:hAnsi="Palatino Linotype" w:cs="Palatino Linotype"/>
          <w:color w:val="000000"/>
        </w:rPr>
        <w:t xml:space="preserve"> entregó respuesta a la solicitud el día</w:t>
      </w:r>
      <w:r w:rsidRPr="0020472D">
        <w:rPr>
          <w:rFonts w:ascii="Palatino Linotype" w:eastAsia="Palatino Linotype" w:hAnsi="Palatino Linotype" w:cs="Palatino Linotype"/>
          <w:b/>
          <w:bCs/>
          <w:color w:val="000000"/>
        </w:rPr>
        <w:t xml:space="preserve"> treinta de junio de dos mil veinticinco</w:t>
      </w:r>
      <w:r w:rsidRPr="0020472D">
        <w:rPr>
          <w:rFonts w:ascii="Palatino Linotype" w:eastAsia="Palatino Linotype" w:hAnsi="Palatino Linotype" w:cs="Palatino Linotype"/>
          <w:color w:val="000000"/>
        </w:rPr>
        <w:t>, de tal forma que el plazo para interponer el recurso de revisión transcurrió del</w:t>
      </w:r>
      <w:r w:rsidRPr="0020472D">
        <w:rPr>
          <w:rFonts w:ascii="Palatino Linotype" w:eastAsia="Palatino Linotype" w:hAnsi="Palatino Linotype" w:cs="Palatino Linotype"/>
          <w:b/>
          <w:bCs/>
          <w:color w:val="000000"/>
        </w:rPr>
        <w:t xml:space="preserve"> primero de julio al primero de agosto de dos mil veinticinco</w:t>
      </w:r>
      <w:r w:rsidRPr="0020472D">
        <w:rPr>
          <w:rFonts w:ascii="Palatino Linotype" w:eastAsia="Palatino Linotype" w:hAnsi="Palatino Linotype" w:cs="Palatino Linotype"/>
          <w:color w:val="000000"/>
        </w:rPr>
        <w:t xml:space="preserve">; en consecuencia, presentó su inconformidad el día </w:t>
      </w:r>
      <w:r w:rsidRPr="0020472D">
        <w:rPr>
          <w:rFonts w:ascii="Palatino Linotype" w:eastAsia="Palatino Linotype" w:hAnsi="Palatino Linotype" w:cs="Palatino Linotype"/>
          <w:b/>
          <w:bCs/>
          <w:color w:val="000000"/>
        </w:rPr>
        <w:t>tres de julio de dos mil veinticinco</w:t>
      </w:r>
      <w:r w:rsidRPr="0020472D">
        <w:rPr>
          <w:rFonts w:ascii="Palatino Linotype" w:eastAsia="Palatino Linotype" w:hAnsi="Palatino Linotype" w:cs="Palatino Linotype"/>
          <w:color w:val="000000"/>
        </w:rPr>
        <w:t xml:space="preserve">, por lo que se encuentra dentro de los márgenes temporales previstos en el artículo 178 de la </w:t>
      </w:r>
      <w:r w:rsidRPr="0020472D">
        <w:rPr>
          <w:rFonts w:ascii="Palatino Linotype" w:eastAsia="Palatino Linotype" w:hAnsi="Palatino Linotype" w:cs="Palatino Linotype"/>
          <w:b/>
          <w:bCs/>
          <w:color w:val="000000"/>
        </w:rPr>
        <w:t xml:space="preserve">Ley de Transparencia y Acceso a la Información Pública del Estado de México y Municipios </w:t>
      </w:r>
      <w:r w:rsidRPr="0020472D">
        <w:rPr>
          <w:rFonts w:ascii="Palatino Linotype" w:eastAsia="Palatino Linotype" w:hAnsi="Palatino Linotype" w:cs="Palatino Linotype"/>
          <w:color w:val="000000"/>
        </w:rPr>
        <w:t>vigente.</w:t>
      </w:r>
    </w:p>
    <w:p w14:paraId="7353AAAF" w14:textId="77777777" w:rsidR="00F426DB" w:rsidRPr="0020472D" w:rsidRDefault="006615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lastRenderedPageBreak/>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BC8019E" w14:textId="77777777" w:rsidR="00F426DB" w:rsidRPr="0020472D" w:rsidRDefault="00661522">
      <w:pPr>
        <w:pStyle w:val="Ttulo1"/>
        <w:rPr>
          <w:rFonts w:ascii="Palatino Linotype" w:eastAsia="Palatino Linotype" w:hAnsi="Palatino Linotype" w:cs="Palatino Linotype"/>
          <w:b/>
          <w:bCs/>
          <w:color w:val="000000"/>
          <w:sz w:val="24"/>
          <w:szCs w:val="24"/>
        </w:rPr>
      </w:pPr>
      <w:r w:rsidRPr="0020472D">
        <w:rPr>
          <w:rFonts w:ascii="Palatino Linotype" w:eastAsia="Palatino Linotype" w:hAnsi="Palatino Linotype" w:cs="Palatino Linotype"/>
          <w:b/>
          <w:bCs/>
          <w:color w:val="000000"/>
          <w:sz w:val="24"/>
          <w:szCs w:val="24"/>
        </w:rPr>
        <w:t xml:space="preserve">TERCERO. Planteamiento de la Litis </w:t>
      </w:r>
    </w:p>
    <w:p w14:paraId="72F308F3" w14:textId="77777777" w:rsidR="00F426DB" w:rsidRPr="0020472D" w:rsidRDefault="00661522">
      <w:pPr>
        <w:numPr>
          <w:ilvl w:val="0"/>
          <w:numId w:val="2"/>
        </w:numPr>
        <w:pBdr>
          <w:top w:val="nil"/>
          <w:left w:val="nil"/>
          <w:bottom w:val="nil"/>
          <w:right w:val="nil"/>
          <w:between w:val="nil"/>
        </w:pBdr>
        <w:spacing w:before="240" w:line="360" w:lineRule="auto"/>
        <w:ind w:left="0" w:right="49" w:firstLine="0"/>
        <w:jc w:val="both"/>
        <w:rPr>
          <w:rFonts w:ascii="Palatino Linotype" w:eastAsia="Palatino Linotype" w:hAnsi="Palatino Linotype" w:cs="Palatino Linotype"/>
          <w:i/>
          <w:iCs/>
          <w:color w:val="000000"/>
        </w:rPr>
      </w:pPr>
      <w:r w:rsidRPr="0020472D">
        <w:rPr>
          <w:rFonts w:ascii="Palatino Linotype" w:eastAsia="Palatino Linotype" w:hAnsi="Palatino Linotype" w:cs="Palatino Linotype"/>
          <w:color w:val="000000"/>
        </w:rPr>
        <w:t>El recurrente solicitó las convocatorias de las elecciones de Lerma y Chimalhuacán en junio de 2025, los fundamentos y motivos que sustentan las convocatorias solicitadas en el punto, los medios de impugnación procedentes en contra de las convocatorias para la elección de dirigencias seccionales, el medio de impugnación en caso de no resultar electo, el plazo para presentar la impugnación de los resultados, conocer cuando aplica el recuento de votos de la elección seccional, ante quien se interponen las impugnaciones de las elecciones seccionales o delegacionales.</w:t>
      </w:r>
    </w:p>
    <w:p w14:paraId="70AB4A89" w14:textId="77777777" w:rsidR="00F426DB" w:rsidRPr="0020472D" w:rsidRDefault="00F426DB">
      <w:pPr>
        <w:pBdr>
          <w:top w:val="nil"/>
          <w:left w:val="nil"/>
          <w:bottom w:val="nil"/>
          <w:right w:val="nil"/>
          <w:between w:val="nil"/>
        </w:pBdr>
        <w:spacing w:line="360" w:lineRule="auto"/>
        <w:ind w:right="49"/>
        <w:jc w:val="both"/>
        <w:rPr>
          <w:rFonts w:ascii="Palatino Linotype" w:eastAsia="Palatino Linotype" w:hAnsi="Palatino Linotype" w:cs="Palatino Linotype"/>
          <w:i/>
          <w:iCs/>
          <w:color w:val="000000"/>
        </w:rPr>
      </w:pPr>
    </w:p>
    <w:p w14:paraId="76575823" w14:textId="77777777" w:rsidR="00F426DB" w:rsidRPr="0020472D" w:rsidRDefault="00661522">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iCs/>
          <w:color w:val="000000"/>
        </w:rPr>
      </w:pPr>
      <w:r w:rsidRPr="0020472D">
        <w:rPr>
          <w:rFonts w:ascii="Palatino Linotype" w:eastAsia="Palatino Linotype" w:hAnsi="Palatino Linotype" w:cs="Palatino Linotype"/>
          <w:color w:val="000000"/>
        </w:rPr>
        <w:t xml:space="preserve">En respuesta, el Sujeto Obligado señaló que no puede emitir respuesta dado que se refiere a un proceso interno y que los procesos de elección no son información de interés público.  </w:t>
      </w:r>
    </w:p>
    <w:p w14:paraId="0FDD25FD" w14:textId="77777777" w:rsidR="00F426DB" w:rsidRPr="0020472D" w:rsidRDefault="00F426DB">
      <w:pPr>
        <w:pBdr>
          <w:top w:val="nil"/>
          <w:left w:val="nil"/>
          <w:bottom w:val="nil"/>
          <w:right w:val="nil"/>
          <w:between w:val="nil"/>
        </w:pBdr>
        <w:spacing w:line="360" w:lineRule="auto"/>
        <w:ind w:right="49"/>
        <w:jc w:val="both"/>
        <w:rPr>
          <w:rFonts w:ascii="Palatino Linotype" w:eastAsia="Palatino Linotype" w:hAnsi="Palatino Linotype" w:cs="Palatino Linotype"/>
          <w:i/>
          <w:iCs/>
          <w:color w:val="000000"/>
        </w:rPr>
      </w:pPr>
    </w:p>
    <w:p w14:paraId="32070459" w14:textId="77777777" w:rsidR="00F426DB" w:rsidRPr="0020472D" w:rsidRDefault="00661522">
      <w:pPr>
        <w:numPr>
          <w:ilvl w:val="0"/>
          <w:numId w:val="2"/>
        </w:numPr>
        <w:pBdr>
          <w:top w:val="nil"/>
          <w:left w:val="nil"/>
          <w:bottom w:val="nil"/>
          <w:right w:val="nil"/>
          <w:between w:val="nil"/>
        </w:pBdr>
        <w:spacing w:after="240" w:line="360" w:lineRule="auto"/>
        <w:ind w:left="0" w:right="49" w:firstLine="0"/>
        <w:jc w:val="both"/>
        <w:rPr>
          <w:rFonts w:ascii="Palatino Linotype" w:eastAsia="Palatino Linotype" w:hAnsi="Palatino Linotype" w:cs="Palatino Linotype"/>
          <w:i/>
          <w:iCs/>
          <w:color w:val="000000"/>
        </w:rPr>
      </w:pPr>
      <w:r w:rsidRPr="0020472D">
        <w:rPr>
          <w:rFonts w:ascii="Palatino Linotype" w:eastAsia="Palatino Linotype" w:hAnsi="Palatino Linotype" w:cs="Palatino Linotype"/>
          <w:color w:val="000000"/>
        </w:rPr>
        <w:t>Por lo tanto, el presente recurso de revisión se circunscribe en determinar si se actualiza la causal de procedencia</w:t>
      </w:r>
      <w:r w:rsidRPr="0020472D">
        <w:rPr>
          <w:rFonts w:ascii="Palatino Linotype" w:eastAsia="Palatino Linotype" w:hAnsi="Palatino Linotype" w:cs="Palatino Linotype"/>
          <w:b/>
          <w:bCs/>
          <w:color w:val="000000"/>
        </w:rPr>
        <w:t xml:space="preserve"> </w:t>
      </w:r>
      <w:r w:rsidRPr="0020472D">
        <w:rPr>
          <w:rFonts w:ascii="Palatino Linotype" w:eastAsia="Palatino Linotype" w:hAnsi="Palatino Linotype" w:cs="Palatino Linotype"/>
          <w:color w:val="000000"/>
        </w:rPr>
        <w:t xml:space="preserve">contenida en el artículo 179 fracción I, de la </w:t>
      </w:r>
      <w:r w:rsidRPr="0020472D">
        <w:rPr>
          <w:rFonts w:ascii="Palatino Linotype" w:eastAsia="Palatino Linotype" w:hAnsi="Palatino Linotype" w:cs="Palatino Linotype"/>
          <w:b/>
          <w:bCs/>
          <w:color w:val="000000"/>
        </w:rPr>
        <w:t>Ley de Transparencia y Acceso a la Información Pública del Estado de México y Municipios</w:t>
      </w:r>
      <w:r w:rsidRPr="0020472D">
        <w:rPr>
          <w:rFonts w:ascii="Palatino Linotype" w:eastAsia="Palatino Linotype" w:hAnsi="Palatino Linotype" w:cs="Palatino Linotype"/>
          <w:color w:val="000000"/>
        </w:rPr>
        <w:t>, relativo a la negativa de la información.</w:t>
      </w:r>
    </w:p>
    <w:p w14:paraId="523E8EF7" w14:textId="77777777" w:rsidR="00F426DB" w:rsidRPr="0020472D" w:rsidRDefault="00661522">
      <w:pPr>
        <w:pStyle w:val="Ttulo2"/>
        <w:tabs>
          <w:tab w:val="left" w:pos="426"/>
        </w:tabs>
        <w:rPr>
          <w:rFonts w:ascii="Palatino Linotype" w:eastAsia="Palatino Linotype" w:hAnsi="Palatino Linotype" w:cs="Palatino Linotype"/>
          <w:b/>
          <w:bCs/>
          <w:color w:val="000000"/>
          <w:sz w:val="24"/>
          <w:szCs w:val="24"/>
        </w:rPr>
      </w:pPr>
      <w:bookmarkStart w:id="5" w:name="_heading=h.eel1axueexfk" w:colFirst="0" w:colLast="0"/>
      <w:bookmarkEnd w:id="5"/>
      <w:r w:rsidRPr="0020472D">
        <w:rPr>
          <w:rFonts w:ascii="Palatino Linotype" w:eastAsia="Palatino Linotype" w:hAnsi="Palatino Linotype" w:cs="Palatino Linotype"/>
          <w:b/>
          <w:bCs/>
          <w:color w:val="000000"/>
          <w:sz w:val="24"/>
          <w:szCs w:val="24"/>
        </w:rPr>
        <w:lastRenderedPageBreak/>
        <w:t>CUARTO. Estudio y Resolución del asunto.</w:t>
      </w:r>
    </w:p>
    <w:p w14:paraId="1934E05E" w14:textId="77777777" w:rsidR="00F426DB" w:rsidRPr="0020472D" w:rsidRDefault="006615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1C902714" w14:textId="77777777" w:rsidR="00F426DB" w:rsidRPr="0020472D" w:rsidRDefault="00F426D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137F531" w14:textId="77777777" w:rsidR="00F426DB" w:rsidRPr="0020472D" w:rsidRDefault="00661522">
      <w:pPr>
        <w:numPr>
          <w:ilvl w:val="0"/>
          <w:numId w:val="2"/>
        </w:numPr>
        <w:pBdr>
          <w:top w:val="nil"/>
          <w:left w:val="nil"/>
          <w:bottom w:val="nil"/>
          <w:right w:val="nil"/>
          <w:between w:val="nil"/>
        </w:pBdr>
        <w:spacing w:after="240" w:line="360" w:lineRule="auto"/>
        <w:ind w:left="0" w:right="49" w:firstLine="0"/>
        <w:jc w:val="both"/>
        <w:rPr>
          <w:rFonts w:ascii="Palatino Linotype" w:eastAsia="Palatino Linotype" w:hAnsi="Palatino Linotype" w:cs="Palatino Linotype"/>
          <w:i/>
          <w:iCs/>
          <w:color w:val="000000"/>
        </w:rPr>
      </w:pPr>
      <w:r w:rsidRPr="0020472D">
        <w:rPr>
          <w:rFonts w:ascii="Palatino Linotype" w:eastAsia="Palatino Linotype" w:hAnsi="Palatino Linotype" w:cs="Palatino Linotype"/>
          <w:color w:val="000000"/>
        </w:rPr>
        <w:t>En ese contexto, recordemos que el Recurrente solicitó las convocatorias de las elecciones de Lerma y Chimalhuacán en junio de 2025, los fundamentos y motivos que sustentan las convocatorias solicitadas en el punto, los medios de impugnación procedentes en contra de las convocatorias para la elección de dirigencias seccionales, el medio de impugnación en caso de no resultar electo, el plazo para presentar la impugnación de los resultados, conocer cuando aplica el recuento de votos de la elección seccional, ante quien se interponen las impugnaciones de las elecciones seccionales o delegacionales.</w:t>
      </w:r>
    </w:p>
    <w:p w14:paraId="3AC64B38" w14:textId="77777777" w:rsidR="00F426DB" w:rsidRPr="0020472D" w:rsidRDefault="00661522">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En ese orden de ideas, conforme a los artículos 356 de la Ley Federal del Trabajo y 138 de la Ley de Trabajo de los Servidores Públicos del Estado de México y Municipios, un</w:t>
      </w:r>
      <w:r w:rsidRPr="0020472D">
        <w:t xml:space="preserve"> </w:t>
      </w:r>
      <w:r w:rsidRPr="0020472D">
        <w:rPr>
          <w:rFonts w:ascii="Palatino Linotype" w:eastAsia="Palatino Linotype" w:hAnsi="Palatino Linotype" w:cs="Palatino Linotype"/>
          <w:color w:val="000000"/>
        </w:rPr>
        <w:t>Sindicato es una asociación de servidores públicos generales, constituida para el estudio, mejoramiento y defensa de sus intereses comunes. En ese orden de ideas, los Sindicatos son personas jurídico colectivas, de derecho social, que no se constituyen mediante actos públicos, ni con fe notarial, sino que se crean, en ejercicio del derecho de asociación, que es libre y voluntaria</w:t>
      </w:r>
    </w:p>
    <w:p w14:paraId="644064D4" w14:textId="77777777" w:rsidR="00F426DB" w:rsidRPr="0020472D" w:rsidRDefault="00F426DB">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15690FC8" w14:textId="77777777" w:rsidR="00F426DB" w:rsidRPr="0020472D" w:rsidRDefault="00661522">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lastRenderedPageBreak/>
        <w:t>Ahora bien, cabe señalar que el siete de febrero de dos mil catorce, se publicó en el Diario Oficial de la Federación, el Decreto por el que se reforman y adicional diversas disposiciones de la Constitución Política de los Estados Unidos Mexicanos en Materia de Transparencia, en el cual se modificó el artículo 6° de la Carta Magna, mismo que quedó de la siguiente manera:</w:t>
      </w:r>
    </w:p>
    <w:p w14:paraId="5F17939E" w14:textId="77777777" w:rsidR="00F426DB" w:rsidRPr="0020472D" w:rsidRDefault="00661522">
      <w:pPr>
        <w:pBdr>
          <w:top w:val="nil"/>
          <w:left w:val="nil"/>
          <w:bottom w:val="nil"/>
          <w:right w:val="nil"/>
          <w:between w:val="nil"/>
        </w:pBdr>
        <w:tabs>
          <w:tab w:val="left" w:pos="426"/>
          <w:tab w:val="left" w:pos="567"/>
        </w:tabs>
        <w:spacing w:line="360" w:lineRule="auto"/>
        <w:ind w:left="851" w:right="822"/>
        <w:jc w:val="both"/>
        <w:rPr>
          <w:rFonts w:ascii="Palatino Linotype" w:eastAsia="Palatino Linotype" w:hAnsi="Palatino Linotype" w:cs="Palatino Linotype"/>
          <w:i/>
          <w:iCs/>
          <w:color w:val="000000"/>
        </w:rPr>
      </w:pPr>
      <w:r w:rsidRPr="0020472D">
        <w:rPr>
          <w:rFonts w:ascii="Palatino Linotype" w:eastAsia="Palatino Linotype" w:hAnsi="Palatino Linotype" w:cs="Palatino Linotype"/>
          <w:i/>
          <w:iCs/>
        </w:rPr>
        <w:t>“Artículo 6o.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 Para efectos de lo dispuesto en el presente artículo se observará lo siguiente: A. Para el ejercicio del derecho de acceso a la información, la Federación y las entidades federativas, en el ámbito de sus respectivas competencias, se regirán por los siguientes principios y bases: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w:t>
      </w:r>
      <w:r w:rsidRPr="0020472D">
        <w:t xml:space="preserve"> </w:t>
      </w:r>
      <w:r w:rsidRPr="0020472D">
        <w:rPr>
          <w:rFonts w:ascii="Palatino Linotype" w:eastAsia="Palatino Linotype" w:hAnsi="Palatino Linotype" w:cs="Palatino Linotype"/>
          <w:i/>
          <w:iCs/>
        </w:rPr>
        <w:t>que derive del ejercicio de sus facultades, competencias o funciones, la ley determinará los supuestos específicos bajo los cuales procederá la declaración de inexistencia de la información. …”</w:t>
      </w:r>
    </w:p>
    <w:p w14:paraId="26870039" w14:textId="77777777" w:rsidR="00F426DB" w:rsidRPr="0020472D" w:rsidRDefault="00F426DB">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24204CCC" w14:textId="77777777" w:rsidR="00F426DB" w:rsidRPr="0020472D" w:rsidRDefault="00661522">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lastRenderedPageBreak/>
        <w:t xml:space="preserve">Asimismo, el artículo 23 de la Ley General de Transparencia y Acceso a la Información Pública, establece que son sujetos obligados a transparentar y permitir el acceso a su información, así como a proteger los datos personales que obren en su poder, además de las instituciones públicas, cualquier persona física, moral o sindicato que reciba y ejerza recursos públicos o realice actos de autoridad en los ámbitos federal, estatal y municipal. </w:t>
      </w:r>
    </w:p>
    <w:p w14:paraId="062EE988" w14:textId="77777777" w:rsidR="00F426DB" w:rsidRPr="0020472D" w:rsidRDefault="00F426DB">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50C1BB74" w14:textId="77777777" w:rsidR="00F426DB" w:rsidRPr="0020472D" w:rsidRDefault="00661522">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 xml:space="preserve">Por su parte, Ley de Transparencia y Acceso a la Información Pública del Estado de México y Municipios, en el artículo 4, fracción XLI, establece lo siguiente: </w:t>
      </w:r>
    </w:p>
    <w:p w14:paraId="69900905" w14:textId="77777777" w:rsidR="00F426DB" w:rsidRPr="0020472D" w:rsidRDefault="00661522">
      <w:pPr>
        <w:pBdr>
          <w:top w:val="nil"/>
          <w:left w:val="nil"/>
          <w:bottom w:val="nil"/>
          <w:right w:val="nil"/>
          <w:between w:val="nil"/>
        </w:pBdr>
        <w:tabs>
          <w:tab w:val="left" w:pos="426"/>
          <w:tab w:val="left" w:pos="567"/>
        </w:tabs>
        <w:spacing w:line="360" w:lineRule="auto"/>
        <w:ind w:left="720" w:right="822"/>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i/>
          <w:iCs/>
          <w:color w:val="000000"/>
        </w:rPr>
        <w:t xml:space="preserve">“Artículo 3. Para los efectos de la presente Ley se entenderá por: … XLI. Sujetos obligados: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 …” </w:t>
      </w:r>
      <w:r w:rsidRPr="0020472D">
        <w:rPr>
          <w:rFonts w:ascii="Palatino Linotype" w:eastAsia="Palatino Linotype" w:hAnsi="Palatino Linotype" w:cs="Palatino Linotype"/>
          <w:color w:val="000000"/>
        </w:rPr>
        <w:t xml:space="preserve">(Énfasis añadido) </w:t>
      </w:r>
    </w:p>
    <w:p w14:paraId="55B70145" w14:textId="77777777" w:rsidR="00F426DB" w:rsidRPr="0020472D" w:rsidRDefault="00F426DB">
      <w:pPr>
        <w:pBdr>
          <w:top w:val="nil"/>
          <w:left w:val="nil"/>
          <w:bottom w:val="nil"/>
          <w:right w:val="nil"/>
          <w:between w:val="nil"/>
        </w:pBdr>
        <w:ind w:left="720"/>
        <w:rPr>
          <w:rFonts w:ascii="Palatino Linotype" w:eastAsia="Palatino Linotype" w:hAnsi="Palatino Linotype" w:cs="Palatino Linotype"/>
          <w:color w:val="000000"/>
        </w:rPr>
      </w:pPr>
    </w:p>
    <w:p w14:paraId="68B8A8F4" w14:textId="77777777" w:rsidR="00F426DB" w:rsidRPr="0020472D" w:rsidRDefault="00661522">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 xml:space="preserve">De las disposiciones previamente referidas, se desprende que los Sujetos Obligados de las Leyes de Transparencia, son instituciones públicas, partidos políticos, fideicomisos y fondos públicos, o bien cualquier persona física, moral o sindicato que reciba y ejerza recursos públicos o realice actos de autoridad en los ámbitos federal, estatal y municipal. </w:t>
      </w:r>
    </w:p>
    <w:p w14:paraId="0F368045" w14:textId="77777777" w:rsidR="00F426DB" w:rsidRPr="0020472D" w:rsidRDefault="00F426DB">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38E3928F" w14:textId="77777777" w:rsidR="00F426DB" w:rsidRPr="0020472D" w:rsidRDefault="00661522">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 xml:space="preserve">En ese contexto, según Islas, Jorge (2016), en la “Ley General de Transparencia y Acceso a la Información Pública Comentada” (p. 107 y 108), refirió la nueva ley estableció dos tipos de </w:t>
      </w:r>
      <w:r w:rsidRPr="0020472D">
        <w:rPr>
          <w:rFonts w:ascii="Palatino Linotype" w:eastAsia="Palatino Linotype" w:hAnsi="Palatino Linotype" w:cs="Palatino Linotype"/>
          <w:color w:val="000000"/>
        </w:rPr>
        <w:lastRenderedPageBreak/>
        <w:t>entes sujetos a las Leyes de Transparencia, en los cuales impera el espíritu de que por el hecho de recibir o ejercer recursos públicos tienen la obligación de hacer dicho ejercicio una práctica transparente, cada uno de estos con ciertas particularidades, a saber:</w:t>
      </w:r>
    </w:p>
    <w:p w14:paraId="29E83550" w14:textId="77777777" w:rsidR="00F426DB" w:rsidRPr="0020472D" w:rsidRDefault="00661522">
      <w:pPr>
        <w:pBdr>
          <w:top w:val="nil"/>
          <w:left w:val="nil"/>
          <w:bottom w:val="nil"/>
          <w:right w:val="nil"/>
          <w:between w:val="nil"/>
        </w:pBdr>
        <w:tabs>
          <w:tab w:val="left" w:pos="426"/>
          <w:tab w:val="left" w:pos="567"/>
        </w:tabs>
        <w:spacing w:line="360" w:lineRule="auto"/>
        <w:ind w:left="851" w:right="822"/>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b/>
          <w:bCs/>
          <w:color w:val="000000"/>
        </w:rPr>
        <w:t>1. Los Sujetos Obligados:</w:t>
      </w:r>
      <w:r w:rsidRPr="0020472D">
        <w:rPr>
          <w:rFonts w:ascii="Palatino Linotype" w:eastAsia="Palatino Linotype" w:hAnsi="Palatino Linotype" w:cs="Palatino Linotype"/>
          <w:color w:val="000000"/>
        </w:rPr>
        <w:t xml:space="preserve"> Son los que tienen de manera imperativa el ejercicio de la transparencia, como las instituciones públicas de los tres niveles de gobierno, Federal, estatal y municipal; por lo que tienen que generar toda una estructura de las Unidades de Transparencia establecidas en la normatividad aplicable. </w:t>
      </w:r>
    </w:p>
    <w:p w14:paraId="02F05BAA" w14:textId="77777777" w:rsidR="00F426DB" w:rsidRPr="0020472D" w:rsidRDefault="00661522">
      <w:pPr>
        <w:pBdr>
          <w:top w:val="nil"/>
          <w:left w:val="nil"/>
          <w:bottom w:val="nil"/>
          <w:right w:val="nil"/>
          <w:between w:val="nil"/>
        </w:pBdr>
        <w:tabs>
          <w:tab w:val="left" w:pos="426"/>
          <w:tab w:val="left" w:pos="567"/>
        </w:tabs>
        <w:spacing w:line="360" w:lineRule="auto"/>
        <w:ind w:left="851" w:right="822"/>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b/>
          <w:bCs/>
          <w:color w:val="000000"/>
        </w:rPr>
        <w:t>2. Los Sujetos Regulados:</w:t>
      </w:r>
      <w:r w:rsidRPr="0020472D">
        <w:rPr>
          <w:rFonts w:ascii="Palatino Linotype" w:eastAsia="Palatino Linotype" w:hAnsi="Palatino Linotype" w:cs="Palatino Linotype"/>
          <w:color w:val="000000"/>
        </w:rPr>
        <w:t xml:space="preserve"> Son aquellos que deben permitir el acceso a parte de su información; esto es, que su obligación implica permitir el acceso a la documentación que generen y que tenga el carácter de ser pública, entre los que destacan los sindicatos, los partidos políticos e incluso las personas físicas y jurídico colectivas.</w:t>
      </w:r>
    </w:p>
    <w:p w14:paraId="59F942AD" w14:textId="77777777" w:rsidR="00F426DB" w:rsidRPr="0020472D" w:rsidRDefault="00F426DB">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4A7FD059" w14:textId="77777777" w:rsidR="00F426DB" w:rsidRPr="0020472D" w:rsidRDefault="00661522">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 xml:space="preserve">Conforme a lo anterior, se puede concluir que los Sindicatos al ser sujetos regulados de las Leyes de Transparencia, son Sujetos Obligados especiales que únicamente se encuentran constreñidos a transparentar la información que tenga el carácter de pública; es decir, que sea de escrutinio público, como puede ser, aquella que dé cuenta del ejercicio de recursos públicos o la realización de actos de autoridad. </w:t>
      </w:r>
    </w:p>
    <w:p w14:paraId="2468CD96" w14:textId="77777777" w:rsidR="00F426DB" w:rsidRPr="0020472D" w:rsidRDefault="00F426DB">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63A3B281" w14:textId="77777777" w:rsidR="00F426DB" w:rsidRPr="0020472D" w:rsidRDefault="00661522">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 xml:space="preserve">En ese contexto, el artículo 4 de la Ley General de Transparencia y Acceso a la Información Pública y de la Ley de Transparencia y Acceso a la Información Pública del Estado de México y Municipios), establece lo siguiente: </w:t>
      </w:r>
    </w:p>
    <w:p w14:paraId="1A03F5DA" w14:textId="77777777" w:rsidR="00F426DB" w:rsidRPr="0020472D" w:rsidRDefault="00F426DB">
      <w:pPr>
        <w:pBdr>
          <w:top w:val="nil"/>
          <w:left w:val="nil"/>
          <w:bottom w:val="nil"/>
          <w:right w:val="nil"/>
          <w:between w:val="nil"/>
        </w:pBdr>
        <w:ind w:left="720"/>
        <w:rPr>
          <w:rFonts w:ascii="Palatino Linotype" w:eastAsia="Palatino Linotype" w:hAnsi="Palatino Linotype" w:cs="Palatino Linotype"/>
          <w:color w:val="000000"/>
        </w:rPr>
      </w:pPr>
    </w:p>
    <w:p w14:paraId="24FB70C2" w14:textId="77777777" w:rsidR="00F426DB" w:rsidRPr="0020472D" w:rsidRDefault="00661522">
      <w:pPr>
        <w:pBdr>
          <w:top w:val="nil"/>
          <w:left w:val="nil"/>
          <w:bottom w:val="nil"/>
          <w:right w:val="nil"/>
          <w:between w:val="nil"/>
        </w:pBdr>
        <w:tabs>
          <w:tab w:val="left" w:pos="426"/>
          <w:tab w:val="left" w:pos="567"/>
        </w:tabs>
        <w:spacing w:line="276" w:lineRule="auto"/>
        <w:ind w:left="851" w:right="822"/>
        <w:jc w:val="both"/>
        <w:rPr>
          <w:rFonts w:ascii="Palatino Linotype" w:eastAsia="Palatino Linotype" w:hAnsi="Palatino Linotype" w:cs="Palatino Linotype"/>
          <w:i/>
          <w:iCs/>
          <w:color w:val="000000"/>
        </w:rPr>
      </w:pPr>
      <w:r w:rsidRPr="0020472D">
        <w:rPr>
          <w:rFonts w:ascii="Palatino Linotype" w:eastAsia="Palatino Linotype" w:hAnsi="Palatino Linotype" w:cs="Palatino Linotype"/>
          <w:i/>
          <w:iCs/>
          <w:color w:val="000000"/>
        </w:rPr>
        <w:lastRenderedPageBreak/>
        <w:t xml:space="preserve">“Artículo 4… Toda la información generada, obtenida, adquirida, transformada o en posesión de los sujetos obligados es pública y accesible a cualquier persona en los términos y condiciones que se establezcan en la presente Ley, en los tratados internacionales de los que el Estado mexicano sea parte, la Ley Federal, las leyes de las Entidades Federativas y la normatividad aplicable en sus respectivas competencias; sólo podrá ser clasificada excepcionalmente como reservada temporalmente por razones de interés público y seguridad nacional, en los términos dispuestos por esta Ley. …” (Énfasis añadido) </w:t>
      </w:r>
    </w:p>
    <w:p w14:paraId="5D217DAB" w14:textId="77777777" w:rsidR="00F426DB" w:rsidRPr="0020472D" w:rsidRDefault="00F426DB">
      <w:pPr>
        <w:pBdr>
          <w:top w:val="nil"/>
          <w:left w:val="nil"/>
          <w:bottom w:val="nil"/>
          <w:right w:val="nil"/>
          <w:between w:val="nil"/>
        </w:pBdr>
        <w:ind w:left="720"/>
        <w:rPr>
          <w:rFonts w:ascii="Palatino Linotype" w:eastAsia="Palatino Linotype" w:hAnsi="Palatino Linotype" w:cs="Palatino Linotype"/>
          <w:color w:val="000000"/>
        </w:rPr>
      </w:pPr>
    </w:p>
    <w:p w14:paraId="68DEF5FD" w14:textId="77777777" w:rsidR="00F426DB" w:rsidRDefault="00661522">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De la citada disposición normativa, se desprende que toda la información generada, obtenida, adquirida, transformada o en posesión de los sujetos obligados, es pública y accesible a cualquier persona, en los términos y condiciones que se establezcan dichos instrumentos regulatorios.</w:t>
      </w:r>
    </w:p>
    <w:p w14:paraId="3CFD66BE" w14:textId="77777777" w:rsidR="0020472D" w:rsidRPr="0020472D" w:rsidRDefault="0020472D" w:rsidP="0020472D">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4C8FE831" w14:textId="77777777" w:rsidR="00F426DB" w:rsidRPr="0020472D" w:rsidRDefault="00661522">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 xml:space="preserve">En ese orden de ideas, es necesario precisar que los Sindicatos, </w:t>
      </w:r>
      <w:r w:rsidRPr="0020472D">
        <w:rPr>
          <w:rFonts w:ascii="Palatino Linotype" w:eastAsia="Palatino Linotype" w:hAnsi="Palatino Linotype" w:cs="Palatino Linotype"/>
          <w:i/>
          <w:iCs/>
          <w:color w:val="000000"/>
        </w:rPr>
        <w:t>per se</w:t>
      </w:r>
      <w:r w:rsidRPr="0020472D">
        <w:rPr>
          <w:rFonts w:ascii="Palatino Linotype" w:eastAsia="Palatino Linotype" w:hAnsi="Palatino Linotype" w:cs="Palatino Linotype"/>
          <w:color w:val="000000"/>
        </w:rPr>
        <w:t xml:space="preserve">, no desempeñan actividades en alguno de los tres órdenes de gobierno, por lo que, no pueden, por definición realizar actos que puedan reputarse como públicos y oficiales, al guardar la característica de ser privados; no obstante, en el caso de que hayan sido realizados o bien, la actividad haya sido cubierta con recursos públicos, generan una responsabilidad de rendición de cuentas y por lo tanto, el acto debe ser considerado de escrutinio público, al involucrar ejercicio de recursos públicos, situación que sí es de interés público y general. </w:t>
      </w:r>
    </w:p>
    <w:p w14:paraId="47CB6E40" w14:textId="77777777" w:rsidR="00F426DB" w:rsidRPr="0020472D" w:rsidRDefault="00F426DB">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62516DE8" w14:textId="77777777" w:rsidR="00F426DB" w:rsidRPr="0020472D" w:rsidRDefault="00661522">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 xml:space="preserve">Por otra parte, según Otero, Filiberto (2017), en la “Teoría General del Derecho de la Información y el nuevo modelo en México” (p. 37 y 38), precisó que el acto de autoridad, es la acción u omisión unilateral, imperativa y coercible, como consecuencia de una relación de supra-subordinación, susceptible de afectar la esfera jurídica de los administrados. </w:t>
      </w:r>
    </w:p>
    <w:p w14:paraId="310B1CFC" w14:textId="77777777" w:rsidR="00F426DB" w:rsidRPr="0020472D" w:rsidRDefault="00661522">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lastRenderedPageBreak/>
        <w:t xml:space="preserve">De la misma manera, García, Adriana (2019), en el “Diccionario de Transparencia y Acceso a la Información Pública” (p. 50 y 51), refiere que el acto de autoridad que realicen las personas físicas, morales o sindicatos, debe contar necesariamente de una relación de supra a subordinación, cuyas características son la unilateralidad, la imperatividad y la coercitividad. </w:t>
      </w:r>
    </w:p>
    <w:p w14:paraId="1263B981" w14:textId="77777777" w:rsidR="00F426DB" w:rsidRPr="0020472D" w:rsidRDefault="00F426DB">
      <w:pPr>
        <w:pBdr>
          <w:top w:val="nil"/>
          <w:left w:val="nil"/>
          <w:bottom w:val="nil"/>
          <w:right w:val="nil"/>
          <w:between w:val="nil"/>
        </w:pBdr>
        <w:ind w:left="720"/>
        <w:rPr>
          <w:rFonts w:ascii="Palatino Linotype" w:eastAsia="Palatino Linotype" w:hAnsi="Palatino Linotype" w:cs="Palatino Linotype"/>
          <w:color w:val="000000"/>
        </w:rPr>
      </w:pPr>
    </w:p>
    <w:p w14:paraId="16D0480E" w14:textId="77777777" w:rsidR="00F426DB" w:rsidRPr="0020472D" w:rsidRDefault="00661522">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Así, el acto de autoridad, se entiende cualquier hecho negativo o positivo realizado por un ente, consistente en una decisión, ejecución o ambas, que produzcan una afectación</w:t>
      </w:r>
      <w:r w:rsidRPr="0020472D">
        <w:t xml:space="preserve"> </w:t>
      </w:r>
      <w:r w:rsidRPr="0020472D">
        <w:rPr>
          <w:rFonts w:ascii="Palatino Linotype" w:eastAsia="Palatino Linotype" w:hAnsi="Palatino Linotype" w:cs="Palatino Linotype"/>
          <w:color w:val="000000"/>
        </w:rPr>
        <w:t xml:space="preserve">en situaciones jurídicas o fácticas dadas y que se impongan de manera imperativa; por lo que, los sindicatos, si bien, en principio no pueden realizar ese tipo de actos, también lo es, que alguno de sus agremiados puede participar en una Comisión Mixta y que las decisiones tomadas en dicho órgano sean actos de autoridad, por lo que se volverá información susceptible a transparentarse, dado que su participación trasciende en la determinación tomada en dicha comisión. </w:t>
      </w:r>
    </w:p>
    <w:p w14:paraId="4F6911C8" w14:textId="77777777" w:rsidR="00F426DB" w:rsidRPr="0020472D" w:rsidRDefault="00F426DB">
      <w:pPr>
        <w:pBdr>
          <w:top w:val="nil"/>
          <w:left w:val="nil"/>
          <w:bottom w:val="nil"/>
          <w:right w:val="nil"/>
          <w:between w:val="nil"/>
        </w:pBdr>
        <w:ind w:left="720"/>
        <w:rPr>
          <w:rFonts w:ascii="Palatino Linotype" w:eastAsia="Palatino Linotype" w:hAnsi="Palatino Linotype" w:cs="Palatino Linotype"/>
          <w:color w:val="000000"/>
        </w:rPr>
      </w:pPr>
    </w:p>
    <w:p w14:paraId="0CDC178D" w14:textId="77777777" w:rsidR="00F426DB" w:rsidRPr="0020472D" w:rsidRDefault="00661522">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 xml:space="preserve">Así, se puede concluir que los documentos que den cuenta de la recepción y ejercicio de recursos públicos o bien de la realización de actos de autoridad, en posesión de los sindicatos, es pública; en razón de ello, la información que tenga el Sindicato Único de Trabajadores de los Poderes, Municipios e Instituciones Descentralizadas del Estado de México, que contengan esta característica es materia de las Leyes de transparencia; sin embargo, aquella que obre en poder de dicha organización, la cual provenga de recursos privados y se destine a la vida interna de la misma, no está sujeta al escrutinio público en términos de la Ley de Transparencia, al no existir interés público de acceder a la misma, ya que no tiene una afectación fuera de sus agremiados. </w:t>
      </w:r>
    </w:p>
    <w:p w14:paraId="7280334B" w14:textId="77777777" w:rsidR="00F426DB" w:rsidRPr="0020472D" w:rsidRDefault="00F426DB">
      <w:pPr>
        <w:pBdr>
          <w:top w:val="nil"/>
          <w:left w:val="nil"/>
          <w:bottom w:val="nil"/>
          <w:right w:val="nil"/>
          <w:between w:val="nil"/>
        </w:pBdr>
        <w:ind w:left="720"/>
        <w:rPr>
          <w:rFonts w:ascii="Palatino Linotype" w:eastAsia="Palatino Linotype" w:hAnsi="Palatino Linotype" w:cs="Palatino Linotype"/>
          <w:color w:val="000000"/>
        </w:rPr>
      </w:pPr>
    </w:p>
    <w:p w14:paraId="3B3CB17E" w14:textId="77777777" w:rsidR="00F426DB" w:rsidRPr="0020472D" w:rsidRDefault="00661522">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lastRenderedPageBreak/>
        <w:t>Lo anterior, toma sustento con el Convenio Internacional del Trabajo Número 87, relativo a la libertad sindical y a la protección del derecho de sindicación, que en sus artículos 3° y 8°, establece lo siguiente:</w:t>
      </w:r>
    </w:p>
    <w:p w14:paraId="0ACFCB93" w14:textId="77777777" w:rsidR="00F426DB" w:rsidRPr="0020472D" w:rsidRDefault="00661522">
      <w:pPr>
        <w:pBdr>
          <w:top w:val="nil"/>
          <w:left w:val="nil"/>
          <w:bottom w:val="nil"/>
          <w:right w:val="nil"/>
          <w:between w:val="nil"/>
        </w:pBdr>
        <w:tabs>
          <w:tab w:val="left" w:pos="426"/>
          <w:tab w:val="left" w:pos="567"/>
        </w:tabs>
        <w:spacing w:line="360" w:lineRule="auto"/>
        <w:ind w:left="851" w:right="822"/>
        <w:jc w:val="both"/>
        <w:rPr>
          <w:rFonts w:ascii="Palatino Linotype" w:eastAsia="Palatino Linotype" w:hAnsi="Palatino Linotype" w:cs="Palatino Linotype"/>
          <w:i/>
          <w:iCs/>
          <w:color w:val="000000"/>
        </w:rPr>
      </w:pPr>
      <w:r w:rsidRPr="0020472D">
        <w:rPr>
          <w:rFonts w:ascii="Palatino Linotype" w:eastAsia="Palatino Linotype" w:hAnsi="Palatino Linotype" w:cs="Palatino Linotype"/>
          <w:i/>
          <w:iCs/>
          <w:color w:val="000000"/>
        </w:rPr>
        <w:t>“Artículo 3 1. Las organizaciones de trabajadores y de empleadores tienen el derecho de redactar sus estatutos y reglamentos administrativos, el de elegir libremente sus</w:t>
      </w:r>
      <w:r w:rsidRPr="0020472D">
        <w:rPr>
          <w:i/>
          <w:iCs/>
        </w:rPr>
        <w:t xml:space="preserve"> </w:t>
      </w:r>
      <w:r w:rsidRPr="0020472D">
        <w:rPr>
          <w:rFonts w:ascii="Palatino Linotype" w:eastAsia="Palatino Linotype" w:hAnsi="Palatino Linotype" w:cs="Palatino Linotype"/>
          <w:i/>
          <w:iCs/>
          <w:color w:val="000000"/>
        </w:rPr>
        <w:t>representantes, el de organizar su administración y sus actividades y el de formular su programa de acción. 2. Las autoridades públicas deberán abstenerse de toda intervención que tienda a limitar este derecho o a entorpecer su ejercicio legal. … Artículo 8 1. Al ejercer los derechos que se le reconocer en el presente Convenio, los trabajadores, los empleadores y sus organizaciones respectivas están obligados, lo mismo que las demás personas o las colectividades organizadas, a respetar la legalidad. 2. La legislación nacional no menoscabará, ni será aplicada de suerte que menoscabe las garantías previstas por el presente Convenio. …”</w:t>
      </w:r>
    </w:p>
    <w:p w14:paraId="60C17A53" w14:textId="77777777" w:rsidR="00F426DB" w:rsidRPr="0020472D" w:rsidRDefault="00F426DB">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797EBDA2" w14:textId="77777777" w:rsidR="00F426DB" w:rsidRPr="0020472D" w:rsidRDefault="00661522">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Dichas disposiciones, contienen la obligación de las autoridades públicas de abstenerse de realizar alguna intervención, que limite o entorpezca el ejercicio de su asociación sindical, por lo que, la legislación nacional no podrá menoscabar las garantías previstas por el Convenio. Además, resulta necesario, traer a colación la Jurisprudencia número PC.I.A. J/2 A (10a.), publicada en el Semanario Judicial de la Federación y su Gaceta, en el Libro 21, Tomo II, en agosto de dos mil quince, que establece lo siguiente:</w:t>
      </w:r>
    </w:p>
    <w:p w14:paraId="75694649" w14:textId="77777777" w:rsidR="00F426DB" w:rsidRPr="0020472D" w:rsidRDefault="00661522">
      <w:pPr>
        <w:pBdr>
          <w:top w:val="nil"/>
          <w:left w:val="nil"/>
          <w:bottom w:val="nil"/>
          <w:right w:val="nil"/>
          <w:between w:val="nil"/>
        </w:pBdr>
        <w:tabs>
          <w:tab w:val="left" w:pos="426"/>
          <w:tab w:val="left" w:pos="567"/>
        </w:tabs>
        <w:spacing w:line="360" w:lineRule="auto"/>
        <w:ind w:left="851" w:right="822"/>
        <w:jc w:val="both"/>
        <w:rPr>
          <w:rFonts w:ascii="Palatino Linotype" w:eastAsia="Palatino Linotype" w:hAnsi="Palatino Linotype" w:cs="Palatino Linotype"/>
          <w:i/>
          <w:iCs/>
          <w:color w:val="000000"/>
        </w:rPr>
      </w:pPr>
      <w:r w:rsidRPr="0020472D">
        <w:rPr>
          <w:rFonts w:ascii="Palatino Linotype" w:eastAsia="Palatino Linotype" w:hAnsi="Palatino Linotype" w:cs="Palatino Linotype"/>
          <w:i/>
          <w:iCs/>
          <w:color w:val="000000"/>
        </w:rPr>
        <w:t xml:space="preserve">“INFORMACIÓN PÚBLICA. TIENE ESE CARÁCTER LA QUE SE ENCUENTRA EN POSESIÓN DE PETRÓLEOS MEXICANOS Y SUS ORGANISMOS SUBSIDIARIOS RELATIVA A LOS RECURSOS PÚBLICOS ENTREGADOS AL SINDICATO DE TRABAJADORES PETROLEROS DE LA REPÚBLICA </w:t>
      </w:r>
      <w:r w:rsidRPr="0020472D">
        <w:rPr>
          <w:rFonts w:ascii="Palatino Linotype" w:eastAsia="Palatino Linotype" w:hAnsi="Palatino Linotype" w:cs="Palatino Linotype"/>
          <w:i/>
          <w:iCs/>
          <w:color w:val="000000"/>
        </w:rPr>
        <w:lastRenderedPageBreak/>
        <w:t>MEXICANA POR CONCEPTO DE PRESTACIONES LABORALES CONTRACTUALES A FAVOR DE SUS TRABAJADORES. Petróleos Mexicanos y sus organismos subsidiarios (PemexExploración y Producción; Pemex-Refinación; Pemex-Gas y Petroquímica Básica; y Pemex-Petroquímica), constituyen entidades que, conforme a la Ley Federal de Transparencia y Acceso a la Información Pública Gubernamental, están obligadas a proporcionar a los terceros que lo soliciten aquella información que sea pública y de</w:t>
      </w:r>
      <w:r w:rsidRPr="0020472D">
        <w:rPr>
          <w:i/>
          <w:iCs/>
        </w:rPr>
        <w:t xml:space="preserve"> </w:t>
      </w:r>
      <w:r w:rsidRPr="0020472D">
        <w:rPr>
          <w:rFonts w:ascii="Palatino Linotype" w:eastAsia="Palatino Linotype" w:hAnsi="Palatino Linotype" w:cs="Palatino Linotype"/>
          <w:i/>
          <w:iCs/>
          <w:color w:val="000000"/>
        </w:rPr>
        <w:t>interés general, como es la relativa a los montos y las personas a quienes entreguen, por cualquier motivo, recursos públicos, pues implica la ejecución del presupuesto que les haya sido asignado, respecto del cual, el Director General de ese organismo descentralizado debe rendir cuentas, así como los informes que dichas personas les entreguen sobre el uso y destino de aquéllos; así, los recursos públicos que esos entes entregan al Sindicato de Trabajadores Petroleros de la República Mexicana por concepto de prestaciones laborales contractuales a favor de sus trabajadores, constituyen información pública que puede darse a conocer a los terceros que la soliciten, habida cuenta de que se encuentra directamente vinculada con el patrimonio de los trabajadores aludidos, relativa al pago de prestaciones de índole laboral con recursos públicos presupuestados, respecto de los cuales existe la obligación de rendir cuentas, y no se refiere a datos propios del sindicato o de sus agremiados cuya difusión pudiera afectar su libertad y privacidad como persona jurídica de derecho social, en la medida en que no se refiere a su administración y actividades, o a las cuotas que sus trabajadores afiliados le aportan para el logro de los intereses gremiales.”</w:t>
      </w:r>
    </w:p>
    <w:p w14:paraId="62BA4279" w14:textId="77777777" w:rsidR="00F426DB" w:rsidRPr="0020472D" w:rsidRDefault="00F426DB">
      <w:pPr>
        <w:pBdr>
          <w:top w:val="nil"/>
          <w:left w:val="nil"/>
          <w:bottom w:val="nil"/>
          <w:right w:val="nil"/>
          <w:between w:val="nil"/>
        </w:pBdr>
        <w:tabs>
          <w:tab w:val="left" w:pos="426"/>
          <w:tab w:val="left" w:pos="567"/>
        </w:tabs>
        <w:spacing w:line="360" w:lineRule="auto"/>
        <w:ind w:right="822"/>
        <w:jc w:val="both"/>
        <w:rPr>
          <w:rFonts w:ascii="Palatino Linotype" w:eastAsia="Palatino Linotype" w:hAnsi="Palatino Linotype" w:cs="Palatino Linotype"/>
          <w:i/>
          <w:iCs/>
          <w:color w:val="000000"/>
        </w:rPr>
      </w:pPr>
    </w:p>
    <w:p w14:paraId="1E9501C9" w14:textId="77777777" w:rsidR="00F426DB" w:rsidRPr="0020472D" w:rsidRDefault="00661522">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 xml:space="preserve">Conforme a la citada Jurisprudencia, se desprende que la información que está sujeta a rendición de cuentas, es aquella que dé cuenta del ejercicio y uso de recursos públicos </w:t>
      </w:r>
      <w:r w:rsidRPr="0020472D">
        <w:rPr>
          <w:rFonts w:ascii="Palatino Linotype" w:eastAsia="Palatino Linotype" w:hAnsi="Palatino Linotype" w:cs="Palatino Linotype"/>
          <w:color w:val="000000"/>
        </w:rPr>
        <w:lastRenderedPageBreak/>
        <w:t xml:space="preserve">presupuestados y hayan sido entregados a algún Sindicato y, por lo tanto, no será de escrutinio, aquella que refiera datos propios del sindicato o de sus agremiados, cuya difusión pudiera afectar su libertad sindical y privacidad, como persona jurídica de derecho social, así como de aquella que refiera a su administración y actividades o bien las cuotas sindicales. </w:t>
      </w:r>
    </w:p>
    <w:p w14:paraId="55725017" w14:textId="77777777" w:rsidR="00F426DB" w:rsidRPr="0020472D" w:rsidRDefault="00F426DB">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1D77548E" w14:textId="77777777" w:rsidR="00F426DB" w:rsidRPr="0020472D" w:rsidRDefault="00661522">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Así, se puede concluir que la única información de los sindicatos, que es materia de acceso a información pública, es aquella que documente la recepción, uso y ejercicio de recursos públicos o bien, la realización de actos en su calidad de autoridades y no la que provenga de capital privado y se destine a su vida interna.</w:t>
      </w:r>
    </w:p>
    <w:p w14:paraId="05F38908" w14:textId="77777777" w:rsidR="00F426DB" w:rsidRPr="0020472D" w:rsidRDefault="00F426DB">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6ADCA948" w14:textId="77777777" w:rsidR="00F426DB" w:rsidRPr="0020472D" w:rsidRDefault="00661522">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 xml:space="preserve">En ese contexto, si bien constitucionalmente, se le otorga la calidad de sujetos obligados a los sindicatos que reciben y ejercen recursos públicos o realizan actos de autoridad, como el Sindicato Único de Trabajadores de los Poderes, Municipios e Instituciones Descentralizadas del Estado de México, también lo es que, en atención a la naturaleza jurídica de este tipo de entes, dichas disposiciones deben interpretarse de manera armónica con lo establecido en el Convenio 87 de la Organización Internacional del Trabajo, mismo que es de observancia obligatoria para el Estado Mexicano. </w:t>
      </w:r>
    </w:p>
    <w:p w14:paraId="2E5723E5" w14:textId="77777777" w:rsidR="00F426DB" w:rsidRPr="0020472D" w:rsidRDefault="00F426DB">
      <w:pPr>
        <w:pBdr>
          <w:top w:val="nil"/>
          <w:left w:val="nil"/>
          <w:bottom w:val="nil"/>
          <w:right w:val="nil"/>
          <w:between w:val="nil"/>
        </w:pBdr>
        <w:ind w:left="720"/>
        <w:rPr>
          <w:rFonts w:ascii="Palatino Linotype" w:eastAsia="Palatino Linotype" w:hAnsi="Palatino Linotype" w:cs="Palatino Linotype"/>
          <w:color w:val="000000"/>
        </w:rPr>
      </w:pPr>
    </w:p>
    <w:p w14:paraId="6008E207" w14:textId="77777777" w:rsidR="00F426DB" w:rsidRPr="0020472D" w:rsidRDefault="00661522">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 xml:space="preserve">Al respecto, según Delgado, Eduardo (2016), “Transparencia Sindical en la Ley Federal del Trabajo y en la Ley General de Transparencia y Acceso a la Información Pública”3 , los sindicatos cuentan con dos tipos de tipos de transparencia, conforme a lo siguiente: </w:t>
      </w:r>
    </w:p>
    <w:p w14:paraId="17A5ED28" w14:textId="77777777" w:rsidR="00F426DB" w:rsidRPr="0020472D" w:rsidRDefault="00661522">
      <w:pPr>
        <w:pBdr>
          <w:top w:val="nil"/>
          <w:left w:val="nil"/>
          <w:bottom w:val="nil"/>
          <w:right w:val="nil"/>
          <w:between w:val="nil"/>
        </w:pBdr>
        <w:tabs>
          <w:tab w:val="left" w:pos="426"/>
          <w:tab w:val="left" w:pos="567"/>
        </w:tabs>
        <w:spacing w:line="360" w:lineRule="auto"/>
        <w:ind w:left="851" w:right="822"/>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b/>
          <w:bCs/>
          <w:color w:val="000000"/>
        </w:rPr>
        <w:t>• Externa:</w:t>
      </w:r>
      <w:r w:rsidRPr="0020472D">
        <w:rPr>
          <w:rFonts w:ascii="Palatino Linotype" w:eastAsia="Palatino Linotype" w:hAnsi="Palatino Linotype" w:cs="Palatino Linotype"/>
          <w:color w:val="000000"/>
        </w:rPr>
        <w:t xml:space="preserve"> Corresponde aquella información dirigida al público, en general, sin necesidad de ser afiliado al sindicato, la cual se conforma de dos formas: </w:t>
      </w:r>
    </w:p>
    <w:p w14:paraId="5387E5C1" w14:textId="77777777" w:rsidR="00F426DB" w:rsidRPr="0020472D" w:rsidRDefault="00661522">
      <w:pPr>
        <w:pBdr>
          <w:top w:val="nil"/>
          <w:left w:val="nil"/>
          <w:bottom w:val="nil"/>
          <w:right w:val="nil"/>
          <w:between w:val="nil"/>
        </w:pBdr>
        <w:tabs>
          <w:tab w:val="left" w:pos="426"/>
          <w:tab w:val="left" w:pos="567"/>
        </w:tabs>
        <w:spacing w:line="360" w:lineRule="auto"/>
        <w:ind w:left="851" w:right="822"/>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b/>
          <w:bCs/>
          <w:color w:val="000000"/>
        </w:rPr>
        <w:lastRenderedPageBreak/>
        <w:t>a) La establecida en la Ley Federal de Trabajo:</w:t>
      </w:r>
      <w:r w:rsidRPr="0020472D">
        <w:rPr>
          <w:rFonts w:ascii="Palatino Linotype" w:eastAsia="Palatino Linotype" w:hAnsi="Palatino Linotype" w:cs="Palatino Linotype"/>
          <w:color w:val="000000"/>
        </w:rPr>
        <w:t xml:space="preserve"> Que corresponde a la información que dé cuenta del correcto registro sindical ante las autoridades laborales, así como la información sobre dichos registros, entre la cual, se encuentra la siguiente:</w:t>
      </w:r>
    </w:p>
    <w:p w14:paraId="1F860F3B" w14:textId="77777777" w:rsidR="00F426DB" w:rsidRPr="0020472D" w:rsidRDefault="00661522">
      <w:pPr>
        <w:pBdr>
          <w:top w:val="nil"/>
          <w:left w:val="nil"/>
          <w:bottom w:val="nil"/>
          <w:right w:val="nil"/>
          <w:between w:val="nil"/>
        </w:pBdr>
        <w:tabs>
          <w:tab w:val="left" w:pos="426"/>
          <w:tab w:val="left" w:pos="567"/>
        </w:tabs>
        <w:spacing w:line="360" w:lineRule="auto"/>
        <w:ind w:left="851" w:right="822"/>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 xml:space="preserve">− La versión pública de los expedientes de registros sindicales; así como de los Estatutos. </w:t>
      </w:r>
    </w:p>
    <w:p w14:paraId="75031668" w14:textId="77777777" w:rsidR="00F426DB" w:rsidRPr="0020472D" w:rsidRDefault="00661522">
      <w:pPr>
        <w:pBdr>
          <w:top w:val="nil"/>
          <w:left w:val="nil"/>
          <w:bottom w:val="nil"/>
          <w:right w:val="nil"/>
          <w:between w:val="nil"/>
        </w:pBdr>
        <w:tabs>
          <w:tab w:val="left" w:pos="426"/>
          <w:tab w:val="left" w:pos="567"/>
        </w:tabs>
        <w:spacing w:line="360" w:lineRule="auto"/>
        <w:ind w:left="851" w:right="822"/>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 Información del gremio, como lo es su domicilio, número de registro, nombre, integrantes del Comité Ejecutivo, fecha de vigencia del Comité Ejecutivo, número de socios, central obrera a la que pertenecen.</w:t>
      </w:r>
    </w:p>
    <w:p w14:paraId="127F9B08" w14:textId="77777777" w:rsidR="00F426DB" w:rsidRPr="0020472D" w:rsidRDefault="00661522">
      <w:pPr>
        <w:pBdr>
          <w:top w:val="nil"/>
          <w:left w:val="nil"/>
          <w:bottom w:val="nil"/>
          <w:right w:val="nil"/>
          <w:between w:val="nil"/>
        </w:pBdr>
        <w:tabs>
          <w:tab w:val="left" w:pos="426"/>
          <w:tab w:val="left" w:pos="567"/>
        </w:tabs>
        <w:spacing w:line="360" w:lineRule="auto"/>
        <w:ind w:left="851" w:right="822"/>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b/>
          <w:bCs/>
          <w:color w:val="000000"/>
        </w:rPr>
        <w:t>b) La establecida en la Ley General de Transparencia y Acceso a la Información Pública:</w:t>
      </w:r>
      <w:r w:rsidRPr="0020472D">
        <w:rPr>
          <w:rFonts w:ascii="Palatino Linotype" w:eastAsia="Palatino Linotype" w:hAnsi="Palatino Linotype" w:cs="Palatino Linotype"/>
          <w:color w:val="000000"/>
        </w:rPr>
        <w:t xml:space="preserve"> Las obligaciones de transparencia, establecidas en el artículo 78 y 79 de dicho ordenamiento jurídico, así como, de aquella que dé cuenta de la recepción y ejercicio de recursos públicos o bien, de actos de autoridad. </w:t>
      </w:r>
    </w:p>
    <w:p w14:paraId="446B3023" w14:textId="77777777" w:rsidR="00F426DB" w:rsidRPr="0020472D" w:rsidRDefault="00F426DB">
      <w:pPr>
        <w:pBdr>
          <w:top w:val="nil"/>
          <w:left w:val="nil"/>
          <w:bottom w:val="nil"/>
          <w:right w:val="nil"/>
          <w:between w:val="nil"/>
        </w:pBdr>
        <w:tabs>
          <w:tab w:val="left" w:pos="426"/>
          <w:tab w:val="left" w:pos="567"/>
        </w:tabs>
        <w:spacing w:line="360" w:lineRule="auto"/>
        <w:ind w:left="851" w:right="822"/>
        <w:jc w:val="both"/>
        <w:rPr>
          <w:rFonts w:ascii="Palatino Linotype" w:eastAsia="Palatino Linotype" w:hAnsi="Palatino Linotype" w:cs="Palatino Linotype"/>
          <w:color w:val="000000"/>
        </w:rPr>
      </w:pPr>
    </w:p>
    <w:p w14:paraId="5F228B53" w14:textId="77777777" w:rsidR="00F426DB" w:rsidRPr="0020472D" w:rsidRDefault="00661522">
      <w:pPr>
        <w:pBdr>
          <w:top w:val="nil"/>
          <w:left w:val="nil"/>
          <w:bottom w:val="nil"/>
          <w:right w:val="nil"/>
          <w:between w:val="nil"/>
        </w:pBdr>
        <w:tabs>
          <w:tab w:val="left" w:pos="426"/>
          <w:tab w:val="left" w:pos="567"/>
        </w:tabs>
        <w:spacing w:line="360" w:lineRule="auto"/>
        <w:ind w:left="851" w:right="822"/>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b/>
          <w:bCs/>
          <w:color w:val="000000"/>
        </w:rPr>
        <w:t>• Interna:</w:t>
      </w:r>
      <w:r w:rsidRPr="0020472D">
        <w:rPr>
          <w:rFonts w:ascii="Palatino Linotype" w:eastAsia="Palatino Linotype" w:hAnsi="Palatino Linotype" w:cs="Palatino Linotype"/>
          <w:color w:val="000000"/>
        </w:rPr>
        <w:t xml:space="preserve"> Es la transparencia que el sindicato debe de rendir a sus afiliados, esto es, respecto a los ingresos por cuotas sindicales y los bienes que conforme el patrimonio del gremio, así como el destino que se le brinda a estos, así como, de la administración de la persona jurídico colectiva de derecho social. </w:t>
      </w:r>
    </w:p>
    <w:p w14:paraId="4B47DC79" w14:textId="77777777" w:rsidR="00F426DB" w:rsidRPr="0020472D" w:rsidRDefault="00F426DB">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1EE1E853" w14:textId="77777777" w:rsidR="00F426DB" w:rsidRPr="0020472D" w:rsidRDefault="00661522">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 xml:space="preserve">Por lo anterior, se puede concluir que hay dos tipos de transparencia sindical: </w:t>
      </w:r>
    </w:p>
    <w:p w14:paraId="4E760D48" w14:textId="77777777" w:rsidR="00F426DB" w:rsidRPr="0020472D" w:rsidRDefault="00661522">
      <w:pPr>
        <w:pBdr>
          <w:top w:val="nil"/>
          <w:left w:val="nil"/>
          <w:bottom w:val="nil"/>
          <w:right w:val="nil"/>
          <w:between w:val="nil"/>
        </w:pBdr>
        <w:tabs>
          <w:tab w:val="left" w:pos="426"/>
          <w:tab w:val="left" w:pos="567"/>
        </w:tabs>
        <w:spacing w:line="360" w:lineRule="auto"/>
        <w:ind w:left="851" w:right="822"/>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b/>
          <w:bCs/>
          <w:color w:val="000000"/>
        </w:rPr>
        <w:t>1. Externa:</w:t>
      </w:r>
      <w:r w:rsidRPr="0020472D">
        <w:rPr>
          <w:rFonts w:ascii="Palatino Linotype" w:eastAsia="Palatino Linotype" w:hAnsi="Palatino Linotype" w:cs="Palatino Linotype"/>
          <w:color w:val="000000"/>
        </w:rPr>
        <w:t xml:space="preserve"> aquella que esté sujeta a las Leyes de Transparencia y por lo tanto es de escrutinio público; esto es, la recepción y ejercicio de recursos públicos, la</w:t>
      </w:r>
      <w:r w:rsidRPr="0020472D">
        <w:rPr>
          <w:color w:val="000000"/>
        </w:rPr>
        <w:t xml:space="preserve"> </w:t>
      </w:r>
      <w:r w:rsidRPr="0020472D">
        <w:rPr>
          <w:rFonts w:ascii="Palatino Linotype" w:eastAsia="Palatino Linotype" w:hAnsi="Palatino Linotype" w:cs="Palatino Linotype"/>
          <w:color w:val="000000"/>
        </w:rPr>
        <w:lastRenderedPageBreak/>
        <w:t xml:space="preserve">realización de actos de autoridad o las obligaciones de transparencia establecidas en la normatividad aplicable. </w:t>
      </w:r>
    </w:p>
    <w:p w14:paraId="21E85402" w14:textId="77777777" w:rsidR="00F426DB" w:rsidRPr="0020472D" w:rsidRDefault="00661522">
      <w:pPr>
        <w:pBdr>
          <w:top w:val="nil"/>
          <w:left w:val="nil"/>
          <w:bottom w:val="nil"/>
          <w:right w:val="nil"/>
          <w:between w:val="nil"/>
        </w:pBdr>
        <w:tabs>
          <w:tab w:val="left" w:pos="426"/>
          <w:tab w:val="left" w:pos="567"/>
        </w:tabs>
        <w:spacing w:line="360" w:lineRule="auto"/>
        <w:ind w:left="851" w:right="822"/>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b/>
          <w:bCs/>
          <w:color w:val="000000"/>
        </w:rPr>
        <w:t>2. Interna:</w:t>
      </w:r>
      <w:r w:rsidRPr="0020472D">
        <w:rPr>
          <w:rFonts w:ascii="Palatino Linotype" w:eastAsia="Palatino Linotype" w:hAnsi="Palatino Linotype" w:cs="Palatino Linotype"/>
          <w:color w:val="000000"/>
        </w:rPr>
        <w:t xml:space="preserve"> corresponde a aquella información que el Sindicato debe rendir únicamente a sus agremiados; por ejemplo, el ingreso y ejercicio de los recursos obtenidos de cuotas sindicales, bienes de su patrimonio, incluso la entrada y salida de afiliados o bien la administración del mismo</w:t>
      </w:r>
    </w:p>
    <w:p w14:paraId="68EB83D3" w14:textId="77777777" w:rsidR="00F426DB" w:rsidRPr="0020472D" w:rsidRDefault="00F426DB">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2E2D3136" w14:textId="77777777" w:rsidR="00F426DB" w:rsidRPr="0020472D" w:rsidRDefault="00661522">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 xml:space="preserve">  Así, la única información que es susceptible a escrutinio público, es aquella que corresponde a la transparencia sindical externa; así, para determinar si la información que obra en los archivos de los Sindicatos, está sujeta a transparencia, primero se deberá analizar la naturaleza de la misma, con la finalidad de garantizar el derecho de acceso a la información, sin que ello implique trastocar la libertad y autonomía sindical.</w:t>
      </w:r>
    </w:p>
    <w:p w14:paraId="16C5AC40" w14:textId="77777777" w:rsidR="00F426DB" w:rsidRPr="0020472D" w:rsidRDefault="00F426DB">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386DDF9A" w14:textId="77777777" w:rsidR="00F426DB" w:rsidRPr="0020472D" w:rsidRDefault="00661522">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Una vez precisado lo anterior, recordemos que el Recurrente solicitó las convocatorias de las elecciones de Lerma y Chimalhuacán en junio de 2025, los fundamentos y motivos que sustentan las convocatorias solicitadas en el punto, los medios de impugnación procedentes en contra de las convocatorias para la elección de dirigencias seccionales, el medio de impugnación en caso de no resultar electo, el plazo para presentar la impugnación de los resultados, conocer cuando aplica el recuento de votos de la elección seccional, ante quien se interponen las impugnaciones de las elecciones seccionales o delegacionales.</w:t>
      </w:r>
    </w:p>
    <w:p w14:paraId="6A27F44E" w14:textId="77777777" w:rsidR="00F426DB" w:rsidRPr="0020472D" w:rsidRDefault="00F426DB">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19D43A9E" w14:textId="77777777" w:rsidR="00F426DB" w:rsidRPr="0020472D" w:rsidRDefault="00661522">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 xml:space="preserve">Al respecto, el Sujeto Obligado señaló que no puede emitir respuesta dado que se refiere a un proceso interno que no son información de interés público y que cualquier punto relacionado </w:t>
      </w:r>
      <w:r w:rsidRPr="0020472D">
        <w:rPr>
          <w:rFonts w:ascii="Palatino Linotype" w:eastAsia="Palatino Linotype" w:hAnsi="Palatino Linotype" w:cs="Palatino Linotype"/>
          <w:color w:val="000000"/>
        </w:rPr>
        <w:lastRenderedPageBreak/>
        <w:t xml:space="preserve">con el proceso de elección debe tratarse de forma directa con el Comité de Vigilancia e Investigación de su Organización Sindical. </w:t>
      </w:r>
    </w:p>
    <w:p w14:paraId="7DD9708C" w14:textId="77777777" w:rsidR="00F426DB" w:rsidRPr="0020472D" w:rsidRDefault="00F426DB">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19BFB10F" w14:textId="77777777" w:rsidR="00F426DB" w:rsidRPr="0020472D" w:rsidRDefault="00661522">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 xml:space="preserve">En ese contexto, la información solicitada corresponde a la organización interna del Sujeto Obligado, es decir, no deberá estar sujeta al escrutinio público, pues implicaría una intromisión y vulneración a su derecho de vida sindical, por lo tanto, con la respuesta emitida se tiene por colmado el derecho de acceso a la información del Recurrente. </w:t>
      </w:r>
    </w:p>
    <w:p w14:paraId="69F84C36" w14:textId="77777777" w:rsidR="00F426DB" w:rsidRPr="0020472D" w:rsidRDefault="00F426DB">
      <w:p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color w:val="000000"/>
        </w:rPr>
      </w:pPr>
    </w:p>
    <w:p w14:paraId="7590A38F" w14:textId="77777777" w:rsidR="00F426DB" w:rsidRPr="0020472D" w:rsidRDefault="00661522">
      <w:pPr>
        <w:numPr>
          <w:ilvl w:val="0"/>
          <w:numId w:val="2"/>
        </w:numPr>
        <w:pBdr>
          <w:top w:val="nil"/>
          <w:left w:val="nil"/>
          <w:bottom w:val="nil"/>
          <w:right w:val="nil"/>
          <w:between w:val="nil"/>
        </w:pBdr>
        <w:tabs>
          <w:tab w:val="left" w:pos="0"/>
        </w:tabs>
        <w:spacing w:line="360" w:lineRule="auto"/>
        <w:ind w:left="0" w:right="51"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000000"/>
        </w:rPr>
        <w:t xml:space="preserve">En conclusión, el </w:t>
      </w:r>
      <w:r w:rsidRPr="0020472D">
        <w:rPr>
          <w:rFonts w:ascii="Palatino Linotype" w:eastAsia="Palatino Linotype" w:hAnsi="Palatino Linotype" w:cs="Palatino Linotype"/>
          <w:b/>
          <w:bCs/>
          <w:color w:val="000000"/>
        </w:rPr>
        <w:t xml:space="preserve">SUJETO OBLIGADO </w:t>
      </w:r>
      <w:r w:rsidRPr="0020472D">
        <w:rPr>
          <w:rFonts w:ascii="Palatino Linotype" w:eastAsia="Palatino Linotype" w:hAnsi="Palatino Linotype" w:cs="Palatino Linotype"/>
          <w:color w:val="000000"/>
        </w:rPr>
        <w:t>emitió</w:t>
      </w:r>
      <w:r w:rsidRPr="0020472D">
        <w:rPr>
          <w:rFonts w:ascii="Palatino Linotype" w:eastAsia="Palatino Linotype" w:hAnsi="Palatino Linotype" w:cs="Palatino Linotype"/>
          <w:b/>
          <w:bCs/>
          <w:color w:val="000000"/>
        </w:rPr>
        <w:t xml:space="preserve"> </w:t>
      </w:r>
      <w:r w:rsidRPr="0020472D">
        <w:rPr>
          <w:rFonts w:ascii="Palatino Linotype" w:eastAsia="Palatino Linotype" w:hAnsi="Palatino Linotype" w:cs="Palatino Linotype"/>
          <w:color w:val="000000"/>
        </w:rPr>
        <w:t xml:space="preserve">la respuesta correspondiente en tiempo y forma, por lo que la información remitida satisface el derecho de acceso a la información pública y lo procedente es </w:t>
      </w:r>
      <w:r w:rsidRPr="0020472D">
        <w:rPr>
          <w:rFonts w:ascii="Palatino Linotype" w:eastAsia="Palatino Linotype" w:hAnsi="Palatino Linotype" w:cs="Palatino Linotype"/>
          <w:b/>
          <w:bCs/>
          <w:color w:val="000000"/>
        </w:rPr>
        <w:t xml:space="preserve">CONFIRMAR </w:t>
      </w:r>
      <w:r w:rsidRPr="0020472D">
        <w:rPr>
          <w:rFonts w:ascii="Palatino Linotype" w:eastAsia="Palatino Linotype" w:hAnsi="Palatino Linotype" w:cs="Palatino Linotype"/>
          <w:color w:val="000000"/>
        </w:rPr>
        <w:t>la respuesta.</w:t>
      </w:r>
    </w:p>
    <w:p w14:paraId="48DF8D06" w14:textId="77777777" w:rsidR="00F426DB" w:rsidRPr="0020472D" w:rsidRDefault="00F426DB">
      <w:pPr>
        <w:pBdr>
          <w:top w:val="nil"/>
          <w:left w:val="nil"/>
          <w:bottom w:val="nil"/>
          <w:right w:val="nil"/>
          <w:between w:val="nil"/>
        </w:pBdr>
        <w:ind w:left="720"/>
        <w:rPr>
          <w:rFonts w:ascii="Palatino Linotype" w:eastAsia="Palatino Linotype" w:hAnsi="Palatino Linotype" w:cs="Palatino Linotype"/>
          <w:color w:val="222222"/>
        </w:rPr>
      </w:pPr>
    </w:p>
    <w:p w14:paraId="4332048F" w14:textId="77777777" w:rsidR="00F426DB" w:rsidRPr="0020472D" w:rsidRDefault="00661522">
      <w:pPr>
        <w:numPr>
          <w:ilvl w:val="0"/>
          <w:numId w:val="2"/>
        </w:numPr>
        <w:pBdr>
          <w:top w:val="nil"/>
          <w:left w:val="nil"/>
          <w:bottom w:val="nil"/>
          <w:right w:val="nil"/>
          <w:between w:val="nil"/>
        </w:pBdr>
        <w:tabs>
          <w:tab w:val="left" w:pos="0"/>
        </w:tabs>
        <w:spacing w:line="360" w:lineRule="auto"/>
        <w:ind w:left="0" w:right="51" w:firstLine="0"/>
        <w:jc w:val="both"/>
        <w:rPr>
          <w:rFonts w:ascii="Palatino Linotype" w:eastAsia="Palatino Linotype" w:hAnsi="Palatino Linotype" w:cs="Palatino Linotype"/>
          <w:color w:val="000000"/>
        </w:rPr>
      </w:pPr>
      <w:r w:rsidRPr="0020472D">
        <w:rPr>
          <w:rFonts w:ascii="Palatino Linotype" w:eastAsia="Palatino Linotype" w:hAnsi="Palatino Linotype" w:cs="Palatino Linotype"/>
          <w:color w:val="222222"/>
        </w:rPr>
        <w:t xml:space="preserve">Por lo anteriormente expuesto y fundado, este </w:t>
      </w:r>
      <w:r w:rsidRPr="0020472D">
        <w:rPr>
          <w:rFonts w:ascii="Palatino Linotype" w:eastAsia="Palatino Linotype" w:hAnsi="Palatino Linotype" w:cs="Palatino Linotype"/>
          <w:b/>
          <w:bCs/>
          <w:color w:val="222222"/>
        </w:rPr>
        <w:t>ÓRGANO GARANTE</w:t>
      </w:r>
      <w:r w:rsidRPr="0020472D">
        <w:rPr>
          <w:rFonts w:ascii="Palatino Linotype" w:eastAsia="Palatino Linotype" w:hAnsi="Palatino Linotype" w:cs="Palatino Linotype"/>
          <w:color w:val="222222"/>
        </w:rPr>
        <w:t xml:space="preserve"> emite los siguientes:</w:t>
      </w:r>
    </w:p>
    <w:p w14:paraId="70E5B292" w14:textId="77777777" w:rsidR="00F426DB" w:rsidRPr="0020472D" w:rsidRDefault="00661522">
      <w:pPr>
        <w:pStyle w:val="Ttulo1"/>
        <w:jc w:val="center"/>
        <w:rPr>
          <w:rFonts w:ascii="Palatino Linotype" w:eastAsia="Palatino Linotype" w:hAnsi="Palatino Linotype" w:cs="Palatino Linotype"/>
          <w:b/>
          <w:bCs/>
          <w:color w:val="000000"/>
          <w:sz w:val="24"/>
          <w:szCs w:val="24"/>
        </w:rPr>
      </w:pPr>
      <w:bookmarkStart w:id="6" w:name="_heading=h.3xoaqth21433" w:colFirst="0" w:colLast="0"/>
      <w:bookmarkEnd w:id="6"/>
      <w:r w:rsidRPr="0020472D">
        <w:rPr>
          <w:rFonts w:ascii="Palatino Linotype" w:eastAsia="Palatino Linotype" w:hAnsi="Palatino Linotype" w:cs="Palatino Linotype"/>
          <w:b/>
          <w:bCs/>
          <w:color w:val="000000"/>
          <w:sz w:val="24"/>
          <w:szCs w:val="24"/>
        </w:rPr>
        <w:t>R E S O L U T I V O S</w:t>
      </w:r>
    </w:p>
    <w:p w14:paraId="370075F6" w14:textId="77777777" w:rsidR="00F426DB" w:rsidRPr="0020472D" w:rsidRDefault="00F426DB">
      <w:pPr>
        <w:keepNext/>
        <w:keepLines/>
        <w:spacing w:line="360" w:lineRule="auto"/>
        <w:jc w:val="center"/>
        <w:rPr>
          <w:rFonts w:ascii="Palatino Linotype" w:eastAsia="Palatino Linotype" w:hAnsi="Palatino Linotype" w:cs="Palatino Linotype"/>
          <w:b/>
          <w:bCs/>
        </w:rPr>
      </w:pPr>
    </w:p>
    <w:p w14:paraId="27BA4000" w14:textId="77777777" w:rsidR="00F426DB" w:rsidRPr="0020472D" w:rsidRDefault="00661522">
      <w:pPr>
        <w:spacing w:line="360" w:lineRule="auto"/>
        <w:jc w:val="both"/>
        <w:rPr>
          <w:rFonts w:ascii="Palatino Linotype" w:eastAsia="Palatino Linotype" w:hAnsi="Palatino Linotype" w:cs="Palatino Linotype"/>
        </w:rPr>
      </w:pPr>
      <w:r w:rsidRPr="0020472D">
        <w:rPr>
          <w:rFonts w:ascii="Palatino Linotype" w:eastAsia="Palatino Linotype" w:hAnsi="Palatino Linotype" w:cs="Palatino Linotype"/>
          <w:b/>
          <w:bCs/>
        </w:rPr>
        <w:t xml:space="preserve">PRIMERO. </w:t>
      </w:r>
      <w:r w:rsidRPr="0020472D">
        <w:rPr>
          <w:rFonts w:ascii="Palatino Linotype" w:eastAsia="Palatino Linotype" w:hAnsi="Palatino Linotype" w:cs="Palatino Linotype"/>
        </w:rPr>
        <w:t>Resultan infundadas las</w:t>
      </w:r>
      <w:r w:rsidRPr="0020472D">
        <w:rPr>
          <w:rFonts w:ascii="Palatino Linotype" w:eastAsia="Palatino Linotype" w:hAnsi="Palatino Linotype" w:cs="Palatino Linotype"/>
          <w:b/>
          <w:bCs/>
        </w:rPr>
        <w:t xml:space="preserve"> </w:t>
      </w:r>
      <w:r w:rsidRPr="0020472D">
        <w:rPr>
          <w:rFonts w:ascii="Palatino Linotype" w:eastAsia="Palatino Linotype" w:hAnsi="Palatino Linotype" w:cs="Palatino Linotype"/>
        </w:rPr>
        <w:t xml:space="preserve">razones o motivos de inconformidad hechos valer en el recurso de revisión </w:t>
      </w:r>
      <w:r w:rsidRPr="0020472D">
        <w:rPr>
          <w:rFonts w:ascii="Palatino Linotype" w:eastAsia="Palatino Linotype" w:hAnsi="Palatino Linotype" w:cs="Palatino Linotype"/>
          <w:b/>
          <w:bCs/>
        </w:rPr>
        <w:t xml:space="preserve">08118/INFOEM/IP/RR/2025 </w:t>
      </w:r>
      <w:r w:rsidRPr="0020472D">
        <w:rPr>
          <w:rFonts w:ascii="Palatino Linotype" w:eastAsia="Palatino Linotype" w:hAnsi="Palatino Linotype" w:cs="Palatino Linotype"/>
        </w:rPr>
        <w:t>en términos del</w:t>
      </w:r>
      <w:r w:rsidRPr="0020472D">
        <w:rPr>
          <w:rFonts w:ascii="Palatino Linotype" w:eastAsia="Palatino Linotype" w:hAnsi="Palatino Linotype" w:cs="Palatino Linotype"/>
          <w:b/>
          <w:bCs/>
        </w:rPr>
        <w:t xml:space="preserve"> Considerando</w:t>
      </w:r>
      <w:r w:rsidRPr="0020472D">
        <w:rPr>
          <w:rFonts w:ascii="Palatino Linotype" w:eastAsia="Palatino Linotype" w:hAnsi="Palatino Linotype" w:cs="Palatino Linotype"/>
        </w:rPr>
        <w:t xml:space="preserve"> </w:t>
      </w:r>
      <w:r w:rsidRPr="0020472D">
        <w:rPr>
          <w:rFonts w:ascii="Palatino Linotype" w:eastAsia="Palatino Linotype" w:hAnsi="Palatino Linotype" w:cs="Palatino Linotype"/>
          <w:b/>
          <w:bCs/>
        </w:rPr>
        <w:t>CUARTO</w:t>
      </w:r>
      <w:r w:rsidRPr="0020472D">
        <w:rPr>
          <w:rFonts w:ascii="Palatino Linotype" w:eastAsia="Palatino Linotype" w:hAnsi="Palatino Linotype" w:cs="Palatino Linotype"/>
        </w:rPr>
        <w:t xml:space="preserve"> de la presente resolución.</w:t>
      </w:r>
    </w:p>
    <w:p w14:paraId="2F360D7A" w14:textId="77777777" w:rsidR="00F426DB" w:rsidRPr="0020472D" w:rsidRDefault="00F426DB">
      <w:pPr>
        <w:spacing w:line="360" w:lineRule="auto"/>
        <w:jc w:val="both"/>
        <w:rPr>
          <w:rFonts w:ascii="Palatino Linotype" w:eastAsia="Palatino Linotype" w:hAnsi="Palatino Linotype" w:cs="Palatino Linotype"/>
          <w:b/>
          <w:bCs/>
        </w:rPr>
      </w:pPr>
    </w:p>
    <w:p w14:paraId="47AFD41E" w14:textId="77777777" w:rsidR="00F426DB" w:rsidRPr="0020472D" w:rsidRDefault="00661522" w:rsidP="0042131C">
      <w:pPr>
        <w:spacing w:line="360" w:lineRule="auto"/>
        <w:jc w:val="both"/>
        <w:rPr>
          <w:rFonts w:ascii="Palatino Linotype" w:eastAsia="Palatino Linotype" w:hAnsi="Palatino Linotype" w:cs="Palatino Linotype"/>
          <w:b/>
          <w:bCs/>
        </w:rPr>
      </w:pPr>
      <w:bookmarkStart w:id="7" w:name="_heading=h.p4dftvz0ho8w" w:colFirst="0" w:colLast="0"/>
      <w:bookmarkEnd w:id="7"/>
      <w:r w:rsidRPr="0020472D">
        <w:rPr>
          <w:rFonts w:ascii="Palatino Linotype" w:eastAsia="Palatino Linotype" w:hAnsi="Palatino Linotype" w:cs="Palatino Linotype"/>
          <w:b/>
          <w:bCs/>
        </w:rPr>
        <w:t xml:space="preserve">SEGUNDO. </w:t>
      </w:r>
      <w:r w:rsidRPr="0020472D">
        <w:rPr>
          <w:rFonts w:ascii="Palatino Linotype" w:eastAsia="Palatino Linotype" w:hAnsi="Palatino Linotype" w:cs="Palatino Linotype"/>
        </w:rPr>
        <w:t xml:space="preserve">Se </w:t>
      </w:r>
      <w:r w:rsidRPr="0020472D">
        <w:rPr>
          <w:rFonts w:ascii="Palatino Linotype" w:eastAsia="Palatino Linotype" w:hAnsi="Palatino Linotype" w:cs="Palatino Linotype"/>
          <w:b/>
          <w:bCs/>
        </w:rPr>
        <w:t>CONFIRMA</w:t>
      </w:r>
      <w:r w:rsidRPr="0020472D">
        <w:rPr>
          <w:rFonts w:ascii="Palatino Linotype" w:eastAsia="Palatino Linotype" w:hAnsi="Palatino Linotype" w:cs="Palatino Linotype"/>
        </w:rPr>
        <w:t xml:space="preserve"> la respuesta emitida por el</w:t>
      </w:r>
      <w:r w:rsidRPr="0020472D">
        <w:rPr>
          <w:rFonts w:ascii="Palatino Linotype" w:eastAsia="Palatino Linotype" w:hAnsi="Palatino Linotype" w:cs="Palatino Linotype"/>
          <w:b/>
          <w:bCs/>
        </w:rPr>
        <w:t xml:space="preserve"> </w:t>
      </w:r>
      <w:r w:rsidR="0042131C" w:rsidRPr="0020472D">
        <w:rPr>
          <w:rFonts w:ascii="Palatino Linotype" w:eastAsia="Palatino Linotype" w:hAnsi="Palatino Linotype" w:cs="Palatino Linotype"/>
          <w:b/>
          <w:bCs/>
        </w:rPr>
        <w:t>Sindicato Único de Trabajadores de Los Poderes, Municipios E Instituciones Descentralizadas del Estado de México</w:t>
      </w:r>
      <w:r w:rsidRPr="0020472D">
        <w:rPr>
          <w:rFonts w:ascii="Palatino Linotype" w:eastAsia="Palatino Linotype" w:hAnsi="Palatino Linotype" w:cs="Palatino Linotype"/>
          <w:b/>
          <w:bCs/>
        </w:rPr>
        <w:t xml:space="preserve"> </w:t>
      </w:r>
      <w:r w:rsidRPr="0020472D">
        <w:rPr>
          <w:rFonts w:ascii="Palatino Linotype" w:eastAsia="Palatino Linotype" w:hAnsi="Palatino Linotype" w:cs="Palatino Linotype"/>
        </w:rPr>
        <w:t xml:space="preserve">a la solicitud </w:t>
      </w:r>
      <w:r w:rsidRPr="0020472D">
        <w:rPr>
          <w:rFonts w:ascii="Palatino Linotype" w:eastAsia="Palatino Linotype" w:hAnsi="Palatino Linotype" w:cs="Palatino Linotype"/>
          <w:b/>
          <w:bCs/>
        </w:rPr>
        <w:t>00080/SUTEYM/IP/2025</w:t>
      </w:r>
      <w:r w:rsidRPr="0020472D">
        <w:rPr>
          <w:rFonts w:ascii="Palatino Linotype" w:eastAsia="Palatino Linotype" w:hAnsi="Palatino Linotype" w:cs="Palatino Linotype"/>
        </w:rPr>
        <w:t>.</w:t>
      </w:r>
    </w:p>
    <w:p w14:paraId="3F6951B9" w14:textId="77777777" w:rsidR="00F426DB" w:rsidRPr="0020472D" w:rsidRDefault="00F426DB">
      <w:pPr>
        <w:tabs>
          <w:tab w:val="left" w:pos="993"/>
        </w:tabs>
        <w:spacing w:line="360" w:lineRule="auto"/>
        <w:ind w:right="567"/>
        <w:jc w:val="both"/>
        <w:rPr>
          <w:rFonts w:ascii="Palatino Linotype" w:eastAsia="Palatino Linotype" w:hAnsi="Palatino Linotype" w:cs="Palatino Linotype"/>
        </w:rPr>
      </w:pPr>
    </w:p>
    <w:p w14:paraId="46710358" w14:textId="77777777" w:rsidR="00F426DB" w:rsidRPr="0020472D" w:rsidRDefault="00661522">
      <w:pPr>
        <w:tabs>
          <w:tab w:val="left" w:pos="8080"/>
        </w:tabs>
        <w:spacing w:line="360" w:lineRule="auto"/>
        <w:ind w:right="49"/>
        <w:jc w:val="both"/>
        <w:rPr>
          <w:rFonts w:ascii="Palatino Linotype" w:eastAsia="Palatino Linotype" w:hAnsi="Palatino Linotype" w:cs="Palatino Linotype"/>
          <w:b/>
          <w:bCs/>
        </w:rPr>
      </w:pPr>
      <w:r w:rsidRPr="0020472D">
        <w:rPr>
          <w:rFonts w:ascii="Palatino Linotype" w:eastAsia="Palatino Linotype" w:hAnsi="Palatino Linotype" w:cs="Palatino Linotype"/>
          <w:b/>
          <w:bCs/>
          <w:color w:val="000000"/>
        </w:rPr>
        <w:lastRenderedPageBreak/>
        <w:t>TERCERO.</w:t>
      </w:r>
      <w:r w:rsidRPr="0020472D">
        <w:rPr>
          <w:rFonts w:ascii="Palatino Linotype" w:eastAsia="Palatino Linotype" w:hAnsi="Palatino Linotype" w:cs="Palatino Linotype"/>
          <w:color w:val="000000"/>
        </w:rPr>
        <w:t xml:space="preserve"> </w:t>
      </w:r>
      <w:r w:rsidRPr="0020472D">
        <w:rPr>
          <w:rFonts w:ascii="Palatino Linotype" w:eastAsia="Palatino Linotype" w:hAnsi="Palatino Linotype" w:cs="Palatino Linotype"/>
          <w:b/>
          <w:bCs/>
        </w:rPr>
        <w:t xml:space="preserve">Notifíquese, </w:t>
      </w:r>
      <w:r w:rsidRPr="0020472D">
        <w:rPr>
          <w:rFonts w:ascii="Palatino Linotype" w:eastAsia="Palatino Linotype" w:hAnsi="Palatino Linotype" w:cs="Palatino Linotype"/>
        </w:rPr>
        <w:t xml:space="preserve">vía Sistema de Acceso a la Información Mexiquense (SAIMEX), la presente resolución a la Titular de la Unidad de Transparencia del </w:t>
      </w:r>
      <w:r w:rsidRPr="0020472D">
        <w:rPr>
          <w:rFonts w:ascii="Palatino Linotype" w:eastAsia="Palatino Linotype" w:hAnsi="Palatino Linotype" w:cs="Palatino Linotype"/>
          <w:b/>
          <w:bCs/>
        </w:rPr>
        <w:t>SUJETO OBLIGADO.</w:t>
      </w:r>
    </w:p>
    <w:p w14:paraId="789A1856" w14:textId="77777777" w:rsidR="00F426DB" w:rsidRPr="0020472D" w:rsidRDefault="00F426DB">
      <w:pPr>
        <w:tabs>
          <w:tab w:val="left" w:pos="8080"/>
        </w:tabs>
        <w:spacing w:line="360" w:lineRule="auto"/>
        <w:ind w:right="49"/>
        <w:jc w:val="both"/>
        <w:rPr>
          <w:rFonts w:ascii="Palatino Linotype" w:eastAsia="Palatino Linotype" w:hAnsi="Palatino Linotype" w:cs="Palatino Linotype"/>
          <w:b/>
          <w:bCs/>
        </w:rPr>
      </w:pPr>
    </w:p>
    <w:p w14:paraId="4AA4A57C" w14:textId="77777777" w:rsidR="00F426DB" w:rsidRPr="0020472D" w:rsidRDefault="00661522">
      <w:pPr>
        <w:shd w:val="clear" w:color="auto" w:fill="FFFFFF"/>
        <w:spacing w:line="360" w:lineRule="auto"/>
        <w:jc w:val="both"/>
        <w:rPr>
          <w:rFonts w:ascii="Palatino Linotype" w:eastAsia="Palatino Linotype" w:hAnsi="Palatino Linotype" w:cs="Palatino Linotype"/>
        </w:rPr>
      </w:pPr>
      <w:r w:rsidRPr="0020472D">
        <w:rPr>
          <w:rFonts w:ascii="Palatino Linotype" w:eastAsia="Palatino Linotype" w:hAnsi="Palatino Linotype" w:cs="Palatino Linotype"/>
          <w:b/>
          <w:bCs/>
        </w:rPr>
        <w:t xml:space="preserve">CUARTO. </w:t>
      </w:r>
      <w:r w:rsidRPr="0020472D">
        <w:rPr>
          <w:rFonts w:ascii="Palatino Linotype" w:eastAsia="Palatino Linotype" w:hAnsi="Palatino Linotype" w:cs="Palatino Linotype"/>
          <w:b/>
          <w:bCs/>
          <w:color w:val="222222"/>
        </w:rPr>
        <w:t>Notifíquese al</w:t>
      </w:r>
      <w:r w:rsidRPr="0020472D">
        <w:rPr>
          <w:rFonts w:ascii="Palatino Linotype" w:eastAsia="Palatino Linotype" w:hAnsi="Palatino Linotype" w:cs="Palatino Linotype"/>
          <w:b/>
          <w:bCs/>
        </w:rPr>
        <w:t xml:space="preserve"> RECURRENTE</w:t>
      </w:r>
      <w:r w:rsidRPr="0020472D">
        <w:rPr>
          <w:rFonts w:ascii="Palatino Linotype" w:eastAsia="Palatino Linotype" w:hAnsi="Palatino Linotype" w:cs="Palatino Linotype"/>
        </w:rPr>
        <w:t xml:space="preserve"> la presente resolución, vía Sistema de Acceso a la Información Mexiquense (SAIMEX).</w:t>
      </w:r>
    </w:p>
    <w:p w14:paraId="296D64D5" w14:textId="77777777" w:rsidR="00F426DB" w:rsidRPr="0020472D" w:rsidRDefault="00F426DB">
      <w:pPr>
        <w:shd w:val="clear" w:color="auto" w:fill="FFFFFF"/>
        <w:spacing w:line="360" w:lineRule="auto"/>
        <w:jc w:val="both"/>
        <w:rPr>
          <w:rFonts w:ascii="Palatino Linotype" w:eastAsia="Palatino Linotype" w:hAnsi="Palatino Linotype" w:cs="Palatino Linotype"/>
        </w:rPr>
      </w:pPr>
    </w:p>
    <w:p w14:paraId="64C21099" w14:textId="77777777" w:rsidR="00F426DB" w:rsidRPr="0020472D" w:rsidRDefault="00661522">
      <w:pPr>
        <w:spacing w:line="360" w:lineRule="auto"/>
        <w:jc w:val="both"/>
        <w:rPr>
          <w:rFonts w:ascii="Palatino Linotype" w:eastAsia="Palatino Linotype" w:hAnsi="Palatino Linotype" w:cs="Palatino Linotype"/>
        </w:rPr>
      </w:pPr>
      <w:r w:rsidRPr="0020472D">
        <w:rPr>
          <w:rFonts w:ascii="Palatino Linotype" w:eastAsia="Palatino Linotype" w:hAnsi="Palatino Linotype" w:cs="Palatino Linotype"/>
          <w:b/>
          <w:bCs/>
        </w:rPr>
        <w:t>QUINTO.</w:t>
      </w:r>
      <w:r w:rsidRPr="0020472D">
        <w:rPr>
          <w:rFonts w:ascii="Palatino Linotype" w:eastAsia="Palatino Linotype" w:hAnsi="Palatino Linotype" w:cs="Palatino Linotype"/>
        </w:rPr>
        <w:t xml:space="preserve"> Se hace del conocimiento del </w:t>
      </w:r>
      <w:r w:rsidRPr="0020472D">
        <w:rPr>
          <w:rFonts w:ascii="Palatino Linotype" w:eastAsia="Palatino Linotype" w:hAnsi="Palatino Linotype" w:cs="Palatino Linotype"/>
          <w:b/>
          <w:bCs/>
        </w:rPr>
        <w:t>RECURRENTE</w:t>
      </w:r>
      <w:r w:rsidRPr="0020472D">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5399F5B7" w14:textId="77777777" w:rsidR="00AE7032" w:rsidRPr="0020472D" w:rsidRDefault="00AE7032">
      <w:pPr>
        <w:spacing w:line="360" w:lineRule="auto"/>
        <w:jc w:val="both"/>
        <w:rPr>
          <w:rFonts w:ascii="Palatino Linotype" w:eastAsia="Palatino Linotype" w:hAnsi="Palatino Linotype" w:cs="Palatino Linotype"/>
        </w:rPr>
      </w:pPr>
    </w:p>
    <w:p w14:paraId="40CB5573" w14:textId="77777777" w:rsidR="00AE7032" w:rsidRPr="0020472D" w:rsidRDefault="00AE7032" w:rsidP="00AE7032">
      <w:pPr>
        <w:spacing w:before="240" w:after="240" w:line="360" w:lineRule="auto"/>
        <w:ind w:firstLine="1"/>
        <w:jc w:val="both"/>
        <w:rPr>
          <w:rFonts w:ascii="Palatino Linotype" w:hAnsi="Palatino Linotype"/>
        </w:rPr>
      </w:pPr>
      <w:bookmarkStart w:id="8" w:name="_Hlk99014733"/>
      <w:r w:rsidRPr="0020472D">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DIECINUEVE (19) DE MARZO DE DOS MIL VEINTISÉIS, ANTE EL SECRETARIO TÉCNICO DEL PLENO </w:t>
      </w:r>
      <w:r w:rsidRPr="0020472D">
        <w:rPr>
          <w:rFonts w:ascii="Palatino Linotype" w:hAnsi="Palatino Linotype" w:cs="Palatino Linotype"/>
          <w:color w:val="000000" w:themeColor="text1"/>
        </w:rPr>
        <w:t>ALEXIS TAPIA RAMÍREZ.</w:t>
      </w:r>
    </w:p>
    <w:bookmarkEnd w:id="8"/>
    <w:p w14:paraId="270AACF4" w14:textId="77777777" w:rsidR="00F426DB" w:rsidRPr="0020472D" w:rsidRDefault="00F426DB">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5F99D8D7" w14:textId="77777777" w:rsidR="00F426DB" w:rsidRPr="0020472D" w:rsidRDefault="00F426DB">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2C20A5E5" w14:textId="77777777" w:rsidR="00F426DB" w:rsidRPr="0020472D" w:rsidRDefault="00F426DB">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7B890A58" w14:textId="77777777" w:rsidR="00F426DB" w:rsidRPr="0020472D" w:rsidRDefault="00F426DB">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535ECF19" w14:textId="77777777" w:rsidR="00F426DB" w:rsidRPr="0020472D" w:rsidRDefault="00F426D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73BD91B" w14:textId="77777777" w:rsidR="00F426DB" w:rsidRPr="0020472D" w:rsidRDefault="00F426DB">
      <w:pPr>
        <w:pBdr>
          <w:top w:val="nil"/>
          <w:left w:val="nil"/>
          <w:bottom w:val="nil"/>
          <w:right w:val="nil"/>
          <w:between w:val="nil"/>
        </w:pBdr>
        <w:ind w:left="720"/>
        <w:rPr>
          <w:rFonts w:ascii="Palatino Linotype" w:eastAsia="Palatino Linotype" w:hAnsi="Palatino Linotype" w:cs="Palatino Linotype"/>
          <w:color w:val="000000"/>
        </w:rPr>
      </w:pPr>
    </w:p>
    <w:p w14:paraId="4E04D7A5" w14:textId="77777777" w:rsidR="00F426DB" w:rsidRPr="0020472D" w:rsidRDefault="00F426D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AD1B214" w14:textId="77777777" w:rsidR="00F426DB" w:rsidRPr="0020472D" w:rsidRDefault="00F426DB">
      <w:pPr>
        <w:rPr>
          <w:rFonts w:ascii="Palatino Linotype" w:eastAsia="Palatino Linotype" w:hAnsi="Palatino Linotype" w:cs="Palatino Linotype"/>
        </w:rPr>
      </w:pPr>
    </w:p>
    <w:p w14:paraId="49A97AA3" w14:textId="77777777" w:rsidR="00F426DB" w:rsidRPr="0020472D" w:rsidRDefault="00F426DB">
      <w:pPr>
        <w:rPr>
          <w:rFonts w:ascii="Palatino Linotype" w:eastAsia="Palatino Linotype" w:hAnsi="Palatino Linotype" w:cs="Palatino Linotype"/>
        </w:rPr>
      </w:pPr>
    </w:p>
    <w:p w14:paraId="05D2A319" w14:textId="77777777" w:rsidR="00F426DB" w:rsidRPr="0020472D" w:rsidRDefault="00F426DB">
      <w:pPr>
        <w:rPr>
          <w:rFonts w:ascii="Palatino Linotype" w:eastAsia="Palatino Linotype" w:hAnsi="Palatino Linotype" w:cs="Palatino Linotype"/>
        </w:rPr>
      </w:pPr>
    </w:p>
    <w:p w14:paraId="7CC7AE6D" w14:textId="77777777" w:rsidR="00F426DB" w:rsidRPr="0020472D" w:rsidRDefault="00F426DB">
      <w:pPr>
        <w:rPr>
          <w:rFonts w:ascii="Palatino Linotype" w:eastAsia="Palatino Linotype" w:hAnsi="Palatino Linotype" w:cs="Palatino Linotype"/>
        </w:rPr>
      </w:pPr>
    </w:p>
    <w:p w14:paraId="137B7C38" w14:textId="77777777" w:rsidR="00F426DB" w:rsidRPr="0020472D" w:rsidRDefault="00F426DB">
      <w:pPr>
        <w:rPr>
          <w:rFonts w:ascii="Palatino Linotype" w:eastAsia="Palatino Linotype" w:hAnsi="Palatino Linotype" w:cs="Palatino Linotype"/>
        </w:rPr>
      </w:pPr>
    </w:p>
    <w:p w14:paraId="03592420" w14:textId="77777777" w:rsidR="00F426DB" w:rsidRPr="0020472D" w:rsidRDefault="00F426DB">
      <w:pPr>
        <w:rPr>
          <w:rFonts w:ascii="Palatino Linotype" w:eastAsia="Palatino Linotype" w:hAnsi="Palatino Linotype" w:cs="Palatino Linotype"/>
        </w:rPr>
      </w:pPr>
    </w:p>
    <w:p w14:paraId="0DCB8072" w14:textId="77777777" w:rsidR="00F426DB" w:rsidRPr="0020472D" w:rsidRDefault="00F426DB">
      <w:pPr>
        <w:rPr>
          <w:rFonts w:ascii="Palatino Linotype" w:eastAsia="Palatino Linotype" w:hAnsi="Palatino Linotype" w:cs="Palatino Linotype"/>
        </w:rPr>
      </w:pPr>
    </w:p>
    <w:p w14:paraId="530B5E52" w14:textId="77777777" w:rsidR="00F426DB" w:rsidRPr="0020472D" w:rsidRDefault="00F426DB">
      <w:pPr>
        <w:rPr>
          <w:rFonts w:ascii="Palatino Linotype" w:eastAsia="Palatino Linotype" w:hAnsi="Palatino Linotype" w:cs="Palatino Linotype"/>
        </w:rPr>
      </w:pPr>
    </w:p>
    <w:p w14:paraId="762E3F83" w14:textId="77777777" w:rsidR="00F426DB" w:rsidRPr="0020472D" w:rsidRDefault="00F426DB"/>
    <w:p w14:paraId="6747689E" w14:textId="77777777" w:rsidR="00F426DB" w:rsidRPr="0020472D" w:rsidRDefault="00F426DB"/>
    <w:sectPr w:rsidR="00F426DB" w:rsidRPr="0020472D" w:rsidSect="0020472D">
      <w:headerReference w:type="even" r:id="rId14"/>
      <w:headerReference w:type="default" r:id="rId15"/>
      <w:footerReference w:type="default" r:id="rId16"/>
      <w:headerReference w:type="first" r:id="rId17"/>
      <w:footerReference w:type="first" r:id="rId18"/>
      <w:pgSz w:w="12240" w:h="15840"/>
      <w:pgMar w:top="80" w:right="616"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9F4DB2" w14:textId="77777777" w:rsidR="00EE6E42" w:rsidRDefault="00EE6E42">
      <w:r>
        <w:separator/>
      </w:r>
    </w:p>
  </w:endnote>
  <w:endnote w:type="continuationSeparator" w:id="0">
    <w:p w14:paraId="6971D35D" w14:textId="77777777" w:rsidR="00EE6E42" w:rsidRDefault="00EE6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2FC8C208-AD7B-4A1C-97F6-4AF9EC75F68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4855AEF-006D-41F2-9961-18CD6ED99864}"/>
  </w:font>
  <w:font w:name="Calibri Light">
    <w:panose1 w:val="020F0302020204030204"/>
    <w:charset w:val="00"/>
    <w:family w:val="swiss"/>
    <w:pitch w:val="variable"/>
    <w:sig w:usb0="E4002EFF" w:usb1="C200247B" w:usb2="00000009" w:usb3="00000000" w:csb0="000001FF" w:csb1="00000000"/>
    <w:embedRegular r:id="rId3" w:fontKey="{C6A10369-2A12-4B48-952B-C6D778A86A40}"/>
  </w:font>
  <w:font w:name="Georgia">
    <w:panose1 w:val="02040502050405020303"/>
    <w:charset w:val="00"/>
    <w:family w:val="roman"/>
    <w:pitch w:val="variable"/>
    <w:sig w:usb0="00000287" w:usb1="00000000" w:usb2="00000000" w:usb3="00000000" w:csb0="0000009F" w:csb1="00000000"/>
    <w:embedItalic r:id="rId4" w:fontKey="{16F589D1-400B-4DD8-82DD-9E8D6F8E1A92}"/>
  </w:font>
  <w:font w:name="Palatino Linotype">
    <w:panose1 w:val="02040502050505030304"/>
    <w:charset w:val="00"/>
    <w:family w:val="roman"/>
    <w:pitch w:val="variable"/>
    <w:sig w:usb0="E0000287" w:usb1="40000013" w:usb2="00000000" w:usb3="00000000" w:csb0="0000019F" w:csb1="00000000"/>
    <w:embedRegular r:id="rId5" w:fontKey="{9DB6FC9A-EBBD-403E-91D5-522137D20839}"/>
    <w:embedBold r:id="rId6" w:fontKey="{1D5EC3F3-A8B6-4CC6-8A53-E5EE89B6ADB5}"/>
    <w:embedItalic r:id="rId7" w:fontKey="{E06CA5AA-5D50-4D1F-AEDC-73F525FD7A48}"/>
    <w:embedBoldItalic r:id="rId8" w:fontKey="{FB44238D-C32A-429C-815A-CBA4E5A3AF78}"/>
  </w:font>
  <w:font w:name="Garamond">
    <w:panose1 w:val="02020404030301010803"/>
    <w:charset w:val="00"/>
    <w:family w:val="roman"/>
    <w:pitch w:val="variable"/>
    <w:sig w:usb0="00000287" w:usb1="00000000" w:usb2="00000000" w:usb3="00000000" w:csb0="0000009F" w:csb1="00000000"/>
    <w:embedRegular r:id="rId9" w:fontKey="{F5973B51-2AE1-4911-BF56-658149E8BB7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BF83F" w14:textId="77777777" w:rsidR="00F426DB" w:rsidRDefault="00661522">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4631F2">
      <w:rPr>
        <w:b/>
        <w:bCs/>
        <w:noProof/>
        <w:color w:val="000000"/>
      </w:rPr>
      <w:t>20</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4631F2">
      <w:rPr>
        <w:b/>
        <w:bCs/>
        <w:noProof/>
        <w:color w:val="000000"/>
      </w:rPr>
      <w:t>20</w:t>
    </w:r>
    <w:r>
      <w:rPr>
        <w:b/>
        <w:bCs/>
        <w:color w:val="000000"/>
      </w:rPr>
      <w:fldChar w:fldCharType="end"/>
    </w:r>
  </w:p>
  <w:p w14:paraId="1CCF2F1A" w14:textId="77777777" w:rsidR="00F426DB" w:rsidRDefault="00F426D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EB045" w14:textId="77777777" w:rsidR="00F426DB" w:rsidRPr="0020472D" w:rsidRDefault="00661522">
    <w:pPr>
      <w:pBdr>
        <w:top w:val="nil"/>
        <w:left w:val="nil"/>
        <w:bottom w:val="nil"/>
        <w:right w:val="nil"/>
        <w:between w:val="nil"/>
      </w:pBdr>
      <w:tabs>
        <w:tab w:val="center" w:pos="4419"/>
        <w:tab w:val="right" w:pos="8838"/>
      </w:tabs>
      <w:jc w:val="right"/>
      <w:rPr>
        <w:rFonts w:ascii="Palatino Linotype" w:hAnsi="Palatino Linotype"/>
        <w:color w:val="000000"/>
      </w:rPr>
    </w:pPr>
    <w:r w:rsidRPr="0020472D">
      <w:rPr>
        <w:rFonts w:ascii="Palatino Linotype" w:hAnsi="Palatino Linotype"/>
        <w:color w:val="000000"/>
        <w:sz w:val="22"/>
      </w:rPr>
      <w:t xml:space="preserve">Página </w:t>
    </w:r>
    <w:r w:rsidRPr="0020472D">
      <w:rPr>
        <w:rFonts w:ascii="Palatino Linotype" w:hAnsi="Palatino Linotype"/>
        <w:b/>
        <w:bCs/>
        <w:color w:val="000000"/>
        <w:sz w:val="22"/>
      </w:rPr>
      <w:fldChar w:fldCharType="begin"/>
    </w:r>
    <w:r w:rsidRPr="0020472D">
      <w:rPr>
        <w:rFonts w:ascii="Palatino Linotype" w:hAnsi="Palatino Linotype"/>
        <w:b/>
        <w:bCs/>
        <w:color w:val="000000"/>
        <w:sz w:val="22"/>
      </w:rPr>
      <w:instrText>PAGE</w:instrText>
    </w:r>
    <w:r w:rsidRPr="0020472D">
      <w:rPr>
        <w:rFonts w:ascii="Palatino Linotype" w:hAnsi="Palatino Linotype"/>
        <w:b/>
        <w:bCs/>
        <w:color w:val="000000"/>
        <w:sz w:val="22"/>
      </w:rPr>
      <w:fldChar w:fldCharType="separate"/>
    </w:r>
    <w:r w:rsidR="004631F2">
      <w:rPr>
        <w:rFonts w:ascii="Palatino Linotype" w:hAnsi="Palatino Linotype"/>
        <w:b/>
        <w:bCs/>
        <w:noProof/>
        <w:color w:val="000000"/>
        <w:sz w:val="22"/>
      </w:rPr>
      <w:t>1</w:t>
    </w:r>
    <w:r w:rsidRPr="0020472D">
      <w:rPr>
        <w:rFonts w:ascii="Palatino Linotype" w:hAnsi="Palatino Linotype"/>
        <w:b/>
        <w:bCs/>
        <w:color w:val="000000"/>
        <w:sz w:val="22"/>
      </w:rPr>
      <w:fldChar w:fldCharType="end"/>
    </w:r>
    <w:r w:rsidRPr="0020472D">
      <w:rPr>
        <w:rFonts w:ascii="Palatino Linotype" w:hAnsi="Palatino Linotype"/>
        <w:color w:val="000000"/>
        <w:sz w:val="22"/>
      </w:rPr>
      <w:t xml:space="preserve"> de </w:t>
    </w:r>
    <w:r w:rsidRPr="0020472D">
      <w:rPr>
        <w:rFonts w:ascii="Palatino Linotype" w:hAnsi="Palatino Linotype"/>
        <w:b/>
        <w:bCs/>
        <w:color w:val="000000"/>
        <w:sz w:val="22"/>
      </w:rPr>
      <w:fldChar w:fldCharType="begin"/>
    </w:r>
    <w:r w:rsidRPr="0020472D">
      <w:rPr>
        <w:rFonts w:ascii="Palatino Linotype" w:hAnsi="Palatino Linotype"/>
        <w:b/>
        <w:bCs/>
        <w:color w:val="000000"/>
        <w:sz w:val="22"/>
      </w:rPr>
      <w:instrText>NUMPAGES</w:instrText>
    </w:r>
    <w:r w:rsidRPr="0020472D">
      <w:rPr>
        <w:rFonts w:ascii="Palatino Linotype" w:hAnsi="Palatino Linotype"/>
        <w:b/>
        <w:bCs/>
        <w:color w:val="000000"/>
        <w:sz w:val="22"/>
      </w:rPr>
      <w:fldChar w:fldCharType="separate"/>
    </w:r>
    <w:r w:rsidR="004631F2">
      <w:rPr>
        <w:rFonts w:ascii="Palatino Linotype" w:hAnsi="Palatino Linotype"/>
        <w:b/>
        <w:bCs/>
        <w:noProof/>
        <w:color w:val="000000"/>
        <w:sz w:val="22"/>
      </w:rPr>
      <w:t>20</w:t>
    </w:r>
    <w:r w:rsidRPr="0020472D">
      <w:rPr>
        <w:rFonts w:ascii="Palatino Linotype" w:hAnsi="Palatino Linotype"/>
        <w:b/>
        <w:bCs/>
        <w:color w:val="000000"/>
        <w:sz w:val="22"/>
      </w:rPr>
      <w:fldChar w:fldCharType="end"/>
    </w:r>
  </w:p>
  <w:p w14:paraId="1D3D0DBA" w14:textId="77777777" w:rsidR="00F426DB" w:rsidRDefault="00F426D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BDB298" w14:textId="77777777" w:rsidR="00EE6E42" w:rsidRDefault="00EE6E42">
      <w:r>
        <w:separator/>
      </w:r>
    </w:p>
  </w:footnote>
  <w:footnote w:type="continuationSeparator" w:id="0">
    <w:p w14:paraId="05A362BF" w14:textId="77777777" w:rsidR="00EE6E42" w:rsidRDefault="00EE6E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725BF" w14:textId="77777777" w:rsidR="00F426DB" w:rsidRDefault="00EE6E42">
    <w:pPr>
      <w:pBdr>
        <w:top w:val="nil"/>
        <w:left w:val="nil"/>
        <w:bottom w:val="nil"/>
        <w:right w:val="nil"/>
        <w:between w:val="nil"/>
      </w:pBdr>
      <w:tabs>
        <w:tab w:val="center" w:pos="4419"/>
        <w:tab w:val="right" w:pos="8838"/>
      </w:tabs>
      <w:rPr>
        <w:color w:val="000000"/>
      </w:rPr>
    </w:pPr>
    <w:r>
      <w:rPr>
        <w:color w:val="000000"/>
      </w:rPr>
      <w:pict w14:anchorId="5CFBEC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10632" w:type="dxa"/>
      <w:tblInd w:w="0" w:type="dxa"/>
      <w:tblLayout w:type="fixed"/>
      <w:tblLook w:val="0400" w:firstRow="0" w:lastRow="0" w:firstColumn="0" w:lastColumn="0" w:noHBand="0" w:noVBand="1"/>
    </w:tblPr>
    <w:tblGrid>
      <w:gridCol w:w="2268"/>
      <w:gridCol w:w="8364"/>
    </w:tblGrid>
    <w:tr w:rsidR="00F426DB" w14:paraId="503A090E" w14:textId="77777777" w:rsidTr="0020472D">
      <w:trPr>
        <w:trHeight w:val="1435"/>
      </w:trPr>
      <w:tc>
        <w:tcPr>
          <w:tcW w:w="2268" w:type="dxa"/>
          <w:shd w:val="clear" w:color="auto" w:fill="auto"/>
        </w:tcPr>
        <w:p w14:paraId="0430DA3D" w14:textId="77777777" w:rsidR="00F426DB" w:rsidRDefault="00F426DB">
          <w:pPr>
            <w:tabs>
              <w:tab w:val="right" w:pos="4273"/>
            </w:tabs>
            <w:rPr>
              <w:rFonts w:ascii="Garamond" w:eastAsia="Garamond" w:hAnsi="Garamond" w:cs="Garamond"/>
              <w:sz w:val="16"/>
              <w:szCs w:val="16"/>
            </w:rPr>
          </w:pPr>
        </w:p>
      </w:tc>
      <w:tc>
        <w:tcPr>
          <w:tcW w:w="8364" w:type="dxa"/>
          <w:shd w:val="clear" w:color="auto" w:fill="auto"/>
        </w:tcPr>
        <w:tbl>
          <w:tblPr>
            <w:tblStyle w:val="a1"/>
            <w:tblW w:w="8067" w:type="dxa"/>
            <w:tblInd w:w="0" w:type="dxa"/>
            <w:tblLayout w:type="fixed"/>
            <w:tblLook w:val="0400" w:firstRow="0" w:lastRow="0" w:firstColumn="0" w:lastColumn="0" w:noHBand="0" w:noVBand="1"/>
          </w:tblPr>
          <w:tblGrid>
            <w:gridCol w:w="2680"/>
            <w:gridCol w:w="5387"/>
          </w:tblGrid>
          <w:tr w:rsidR="00F426DB" w14:paraId="531BAEBB" w14:textId="77777777" w:rsidTr="0020472D">
            <w:trPr>
              <w:trHeight w:val="150"/>
            </w:trPr>
            <w:tc>
              <w:tcPr>
                <w:tcW w:w="2680" w:type="dxa"/>
                <w:shd w:val="clear" w:color="auto" w:fill="auto"/>
              </w:tcPr>
              <w:p w14:paraId="31E6BCE7" w14:textId="77777777" w:rsidR="00F426DB" w:rsidRPr="0020472D" w:rsidRDefault="00661522">
                <w:pPr>
                  <w:tabs>
                    <w:tab w:val="right" w:pos="8838"/>
                  </w:tabs>
                  <w:ind w:right="-105"/>
                  <w:rPr>
                    <w:rFonts w:ascii="Palatino Linotype" w:eastAsia="Palatino Linotype" w:hAnsi="Palatino Linotype" w:cs="Palatino Linotype"/>
                    <w:b/>
                    <w:bCs/>
                    <w:szCs w:val="22"/>
                  </w:rPr>
                </w:pPr>
                <w:r w:rsidRPr="0020472D">
                  <w:rPr>
                    <w:rFonts w:ascii="Palatino Linotype" w:eastAsia="Palatino Linotype" w:hAnsi="Palatino Linotype" w:cs="Palatino Linotype"/>
                    <w:b/>
                    <w:bCs/>
                    <w:szCs w:val="22"/>
                  </w:rPr>
                  <w:t>Recurso de Revisión:</w:t>
                </w:r>
              </w:p>
            </w:tc>
            <w:tc>
              <w:tcPr>
                <w:tcW w:w="5387" w:type="dxa"/>
                <w:shd w:val="clear" w:color="auto" w:fill="auto"/>
              </w:tcPr>
              <w:p w14:paraId="7BE9CAF2" w14:textId="77777777" w:rsidR="00F426DB" w:rsidRPr="0020472D" w:rsidRDefault="00661522" w:rsidP="0020472D">
                <w:pPr>
                  <w:tabs>
                    <w:tab w:val="right" w:pos="8838"/>
                  </w:tabs>
                  <w:ind w:left="27" w:right="-1090"/>
                  <w:rPr>
                    <w:rFonts w:ascii="Palatino Linotype" w:eastAsia="Palatino Linotype" w:hAnsi="Palatino Linotype" w:cs="Palatino Linotype"/>
                    <w:szCs w:val="22"/>
                  </w:rPr>
                </w:pPr>
                <w:r w:rsidRPr="0020472D">
                  <w:rPr>
                    <w:rFonts w:ascii="Palatino Linotype" w:eastAsia="Palatino Linotype" w:hAnsi="Palatino Linotype" w:cs="Palatino Linotype"/>
                    <w:szCs w:val="22"/>
                  </w:rPr>
                  <w:t>08118/INFOEM/IP/RR/2025</w:t>
                </w:r>
                <w:r w:rsidRPr="0020472D">
                  <w:rPr>
                    <w:rFonts w:ascii="Palatino Linotype" w:eastAsia="Palatino Linotype" w:hAnsi="Palatino Linotype" w:cs="Palatino Linotype"/>
                    <w:b/>
                    <w:bCs/>
                    <w:szCs w:val="22"/>
                  </w:rPr>
                  <w:t xml:space="preserve"> </w:t>
                </w:r>
              </w:p>
            </w:tc>
          </w:tr>
          <w:tr w:rsidR="00F426DB" w14:paraId="358883C2" w14:textId="77777777" w:rsidTr="0020472D">
            <w:trPr>
              <w:trHeight w:val="295"/>
            </w:trPr>
            <w:tc>
              <w:tcPr>
                <w:tcW w:w="2680" w:type="dxa"/>
                <w:shd w:val="clear" w:color="auto" w:fill="auto"/>
              </w:tcPr>
              <w:p w14:paraId="680B2FD8" w14:textId="77777777" w:rsidR="00F426DB" w:rsidRPr="0020472D" w:rsidRDefault="00661522">
                <w:pPr>
                  <w:tabs>
                    <w:tab w:val="right" w:pos="8838"/>
                  </w:tabs>
                  <w:ind w:right="-105"/>
                  <w:rPr>
                    <w:rFonts w:ascii="Palatino Linotype" w:eastAsia="Palatino Linotype" w:hAnsi="Palatino Linotype" w:cs="Palatino Linotype"/>
                    <w:b/>
                    <w:bCs/>
                    <w:szCs w:val="22"/>
                  </w:rPr>
                </w:pPr>
                <w:r w:rsidRPr="0020472D">
                  <w:rPr>
                    <w:rFonts w:ascii="Palatino Linotype" w:eastAsia="Palatino Linotype" w:hAnsi="Palatino Linotype" w:cs="Palatino Linotype"/>
                    <w:b/>
                    <w:bCs/>
                    <w:szCs w:val="22"/>
                  </w:rPr>
                  <w:t>Sujeto Obligado:</w:t>
                </w:r>
              </w:p>
            </w:tc>
            <w:tc>
              <w:tcPr>
                <w:tcW w:w="5387" w:type="dxa"/>
                <w:shd w:val="clear" w:color="auto" w:fill="auto"/>
              </w:tcPr>
              <w:p w14:paraId="3D565F08" w14:textId="4E414859" w:rsidR="00F426DB" w:rsidRPr="0020472D" w:rsidRDefault="00661522" w:rsidP="0020472D">
                <w:pPr>
                  <w:tabs>
                    <w:tab w:val="left" w:pos="2834"/>
                    <w:tab w:val="right" w:pos="8838"/>
                  </w:tabs>
                  <w:ind w:left="27" w:right="-257"/>
                  <w:rPr>
                    <w:rFonts w:ascii="Palatino Linotype" w:eastAsia="Palatino Linotype" w:hAnsi="Palatino Linotype" w:cs="Palatino Linotype"/>
                    <w:szCs w:val="22"/>
                  </w:rPr>
                </w:pPr>
                <w:r w:rsidRPr="0020472D">
                  <w:rPr>
                    <w:rFonts w:ascii="Palatino Linotype" w:eastAsia="Palatino Linotype" w:hAnsi="Palatino Linotype" w:cs="Palatino Linotype"/>
                    <w:szCs w:val="22"/>
                  </w:rPr>
                  <w:t>Sindicato Único de Trabajadores de Los</w:t>
                </w:r>
                <w:r w:rsidR="0020472D">
                  <w:rPr>
                    <w:rFonts w:ascii="Palatino Linotype" w:eastAsia="Palatino Linotype" w:hAnsi="Palatino Linotype" w:cs="Palatino Linotype"/>
                    <w:szCs w:val="22"/>
                  </w:rPr>
                  <w:t xml:space="preserve"> </w:t>
                </w:r>
                <w:r w:rsidRPr="0020472D">
                  <w:rPr>
                    <w:rFonts w:ascii="Palatino Linotype" w:eastAsia="Palatino Linotype" w:hAnsi="Palatino Linotype" w:cs="Palatino Linotype"/>
                    <w:szCs w:val="22"/>
                  </w:rPr>
                  <w:t>Poderes, Municipios E Instituciones Descentralizadas del Estado de México</w:t>
                </w:r>
              </w:p>
            </w:tc>
          </w:tr>
          <w:tr w:rsidR="00F426DB" w14:paraId="6180E797" w14:textId="77777777" w:rsidTr="0020472D">
            <w:trPr>
              <w:trHeight w:val="295"/>
            </w:trPr>
            <w:tc>
              <w:tcPr>
                <w:tcW w:w="2680" w:type="dxa"/>
                <w:shd w:val="clear" w:color="auto" w:fill="auto"/>
              </w:tcPr>
              <w:p w14:paraId="513378C0" w14:textId="77777777" w:rsidR="00F426DB" w:rsidRPr="0020472D" w:rsidRDefault="00661522">
                <w:pPr>
                  <w:tabs>
                    <w:tab w:val="right" w:pos="8838"/>
                  </w:tabs>
                  <w:ind w:right="-105"/>
                  <w:rPr>
                    <w:rFonts w:ascii="Palatino Linotype" w:eastAsia="Palatino Linotype" w:hAnsi="Palatino Linotype" w:cs="Palatino Linotype"/>
                    <w:b/>
                    <w:bCs/>
                    <w:szCs w:val="22"/>
                  </w:rPr>
                </w:pPr>
                <w:r w:rsidRPr="0020472D">
                  <w:rPr>
                    <w:rFonts w:ascii="Palatino Linotype" w:eastAsia="Palatino Linotype" w:hAnsi="Palatino Linotype" w:cs="Palatino Linotype"/>
                    <w:b/>
                    <w:bCs/>
                    <w:szCs w:val="22"/>
                  </w:rPr>
                  <w:t>Comisionado ponente:</w:t>
                </w:r>
              </w:p>
            </w:tc>
            <w:tc>
              <w:tcPr>
                <w:tcW w:w="5387" w:type="dxa"/>
                <w:shd w:val="clear" w:color="auto" w:fill="auto"/>
              </w:tcPr>
              <w:p w14:paraId="3EAC3E55" w14:textId="77777777" w:rsidR="00F426DB" w:rsidRPr="0020472D" w:rsidRDefault="00661522" w:rsidP="0020472D">
                <w:pPr>
                  <w:tabs>
                    <w:tab w:val="right" w:pos="8838"/>
                  </w:tabs>
                  <w:ind w:left="27" w:right="-1090"/>
                  <w:rPr>
                    <w:rFonts w:ascii="Palatino Linotype" w:eastAsia="Palatino Linotype" w:hAnsi="Palatino Linotype" w:cs="Palatino Linotype"/>
                    <w:szCs w:val="22"/>
                  </w:rPr>
                </w:pPr>
                <w:r w:rsidRPr="0020472D">
                  <w:rPr>
                    <w:rFonts w:ascii="Palatino Linotype" w:eastAsia="Palatino Linotype" w:hAnsi="Palatino Linotype" w:cs="Palatino Linotype"/>
                    <w:szCs w:val="22"/>
                  </w:rPr>
                  <w:t>María del Rosario Mejía Ayala</w:t>
                </w:r>
              </w:p>
              <w:p w14:paraId="70E021E3" w14:textId="77777777" w:rsidR="00F426DB" w:rsidRPr="0020472D" w:rsidRDefault="00F426DB" w:rsidP="0020472D">
                <w:pPr>
                  <w:tabs>
                    <w:tab w:val="right" w:pos="8838"/>
                  </w:tabs>
                  <w:ind w:left="27" w:right="-1090"/>
                  <w:rPr>
                    <w:rFonts w:ascii="Palatino Linotype" w:eastAsia="Palatino Linotype" w:hAnsi="Palatino Linotype" w:cs="Palatino Linotype"/>
                    <w:b/>
                    <w:bCs/>
                    <w:szCs w:val="22"/>
                  </w:rPr>
                </w:pPr>
              </w:p>
            </w:tc>
          </w:tr>
        </w:tbl>
        <w:p w14:paraId="29417BE0" w14:textId="77777777" w:rsidR="00F426DB" w:rsidRDefault="00F426DB">
          <w:pPr>
            <w:tabs>
              <w:tab w:val="right" w:pos="8838"/>
            </w:tabs>
            <w:ind w:left="-28"/>
            <w:jc w:val="both"/>
            <w:rPr>
              <w:rFonts w:ascii="Arial" w:eastAsia="Arial" w:hAnsi="Arial" w:cs="Arial"/>
              <w:b/>
              <w:bCs/>
              <w:sz w:val="22"/>
              <w:szCs w:val="22"/>
            </w:rPr>
          </w:pPr>
        </w:p>
      </w:tc>
    </w:tr>
  </w:tbl>
  <w:p w14:paraId="5D7A3F44" w14:textId="77777777" w:rsidR="00F426DB" w:rsidRDefault="00EE6E42">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47A22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91.25pt;margin-top:-141.55pt;width:589.8pt;height:768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10490" w:type="dxa"/>
      <w:tblInd w:w="0" w:type="dxa"/>
      <w:tblLayout w:type="fixed"/>
      <w:tblLook w:val="0400" w:firstRow="0" w:lastRow="0" w:firstColumn="0" w:lastColumn="0" w:noHBand="0" w:noVBand="1"/>
    </w:tblPr>
    <w:tblGrid>
      <w:gridCol w:w="2265"/>
      <w:gridCol w:w="8225"/>
    </w:tblGrid>
    <w:tr w:rsidR="00F426DB" w14:paraId="06B79CCD" w14:textId="77777777" w:rsidTr="0020472D">
      <w:trPr>
        <w:trHeight w:val="1435"/>
      </w:trPr>
      <w:tc>
        <w:tcPr>
          <w:tcW w:w="2265" w:type="dxa"/>
          <w:shd w:val="clear" w:color="auto" w:fill="auto"/>
        </w:tcPr>
        <w:p w14:paraId="22459D87" w14:textId="77777777" w:rsidR="00F426DB" w:rsidRDefault="00F426DB">
          <w:pPr>
            <w:tabs>
              <w:tab w:val="right" w:pos="4273"/>
            </w:tabs>
            <w:rPr>
              <w:rFonts w:ascii="Garamond" w:eastAsia="Garamond" w:hAnsi="Garamond" w:cs="Garamond"/>
              <w:sz w:val="22"/>
              <w:szCs w:val="22"/>
            </w:rPr>
          </w:pPr>
        </w:p>
      </w:tc>
      <w:tc>
        <w:tcPr>
          <w:tcW w:w="8225" w:type="dxa"/>
          <w:shd w:val="clear" w:color="auto" w:fill="auto"/>
        </w:tcPr>
        <w:tbl>
          <w:tblPr>
            <w:tblStyle w:val="a3"/>
            <w:tblW w:w="8212" w:type="dxa"/>
            <w:tblInd w:w="40" w:type="dxa"/>
            <w:tblLayout w:type="fixed"/>
            <w:tblLook w:val="0400" w:firstRow="0" w:lastRow="0" w:firstColumn="0" w:lastColumn="0" w:noHBand="0" w:noVBand="1"/>
          </w:tblPr>
          <w:tblGrid>
            <w:gridCol w:w="2683"/>
            <w:gridCol w:w="5529"/>
          </w:tblGrid>
          <w:tr w:rsidR="00F426DB" w14:paraId="583A44A5" w14:textId="77777777" w:rsidTr="0020472D">
            <w:trPr>
              <w:trHeight w:val="144"/>
            </w:trPr>
            <w:tc>
              <w:tcPr>
                <w:tcW w:w="2683" w:type="dxa"/>
                <w:shd w:val="clear" w:color="auto" w:fill="auto"/>
              </w:tcPr>
              <w:p w14:paraId="4F0CE0A9" w14:textId="77777777" w:rsidR="00F426DB" w:rsidRPr="0020472D" w:rsidRDefault="00661522">
                <w:pPr>
                  <w:tabs>
                    <w:tab w:val="right" w:pos="8838"/>
                  </w:tabs>
                  <w:ind w:left="-264" w:right="-105" w:firstLine="195"/>
                  <w:rPr>
                    <w:rFonts w:ascii="Palatino Linotype" w:eastAsia="Palatino Linotype" w:hAnsi="Palatino Linotype" w:cs="Palatino Linotype"/>
                    <w:b/>
                    <w:bCs/>
                    <w:szCs w:val="22"/>
                  </w:rPr>
                </w:pPr>
                <w:r w:rsidRPr="0020472D">
                  <w:rPr>
                    <w:rFonts w:ascii="Palatino Linotype" w:eastAsia="Palatino Linotype" w:hAnsi="Palatino Linotype" w:cs="Palatino Linotype"/>
                    <w:b/>
                    <w:bCs/>
                    <w:szCs w:val="22"/>
                  </w:rPr>
                  <w:t>Recurso de Revisión:</w:t>
                </w:r>
              </w:p>
            </w:tc>
            <w:tc>
              <w:tcPr>
                <w:tcW w:w="5529" w:type="dxa"/>
                <w:shd w:val="clear" w:color="auto" w:fill="auto"/>
              </w:tcPr>
              <w:p w14:paraId="3C13A1FD" w14:textId="77777777" w:rsidR="00F426DB" w:rsidRPr="0020472D" w:rsidRDefault="00661522">
                <w:pPr>
                  <w:tabs>
                    <w:tab w:val="right" w:pos="8838"/>
                  </w:tabs>
                  <w:ind w:left="-74" w:right="-1269"/>
                  <w:rPr>
                    <w:rFonts w:ascii="Palatino Linotype" w:eastAsia="Palatino Linotype" w:hAnsi="Palatino Linotype" w:cs="Palatino Linotype"/>
                    <w:szCs w:val="22"/>
                  </w:rPr>
                </w:pPr>
                <w:r w:rsidRPr="0020472D">
                  <w:rPr>
                    <w:rFonts w:ascii="Palatino Linotype" w:eastAsia="Palatino Linotype" w:hAnsi="Palatino Linotype" w:cs="Palatino Linotype"/>
                    <w:szCs w:val="22"/>
                  </w:rPr>
                  <w:t>08118/INFOEM/IP/RR/2025</w:t>
                </w:r>
              </w:p>
            </w:tc>
          </w:tr>
          <w:tr w:rsidR="00F426DB" w14:paraId="1BA6C9E6" w14:textId="77777777" w:rsidTr="0020472D">
            <w:trPr>
              <w:trHeight w:val="144"/>
            </w:trPr>
            <w:tc>
              <w:tcPr>
                <w:tcW w:w="2683" w:type="dxa"/>
                <w:shd w:val="clear" w:color="auto" w:fill="auto"/>
              </w:tcPr>
              <w:p w14:paraId="4E6850B2" w14:textId="77777777" w:rsidR="00F426DB" w:rsidRPr="0020472D" w:rsidRDefault="00661522">
                <w:pPr>
                  <w:tabs>
                    <w:tab w:val="right" w:pos="8838"/>
                  </w:tabs>
                  <w:ind w:left="-74" w:right="-105"/>
                  <w:rPr>
                    <w:rFonts w:ascii="Palatino Linotype" w:eastAsia="Palatino Linotype" w:hAnsi="Palatino Linotype" w:cs="Palatino Linotype"/>
                    <w:b/>
                    <w:bCs/>
                    <w:szCs w:val="22"/>
                  </w:rPr>
                </w:pPr>
                <w:r w:rsidRPr="0020472D">
                  <w:rPr>
                    <w:rFonts w:ascii="Palatino Linotype" w:eastAsia="Palatino Linotype" w:hAnsi="Palatino Linotype" w:cs="Palatino Linotype"/>
                    <w:b/>
                    <w:bCs/>
                    <w:szCs w:val="22"/>
                  </w:rPr>
                  <w:t>Recurrente:</w:t>
                </w:r>
              </w:p>
            </w:tc>
            <w:tc>
              <w:tcPr>
                <w:tcW w:w="5529" w:type="dxa"/>
                <w:shd w:val="clear" w:color="auto" w:fill="auto"/>
              </w:tcPr>
              <w:p w14:paraId="12ECA5F1" w14:textId="27675C30" w:rsidR="00F426DB" w:rsidRPr="0020472D" w:rsidRDefault="004631F2">
                <w:pPr>
                  <w:tabs>
                    <w:tab w:val="left" w:pos="3122"/>
                    <w:tab w:val="right" w:pos="8838"/>
                  </w:tabs>
                  <w:ind w:left="-74" w:right="-1269"/>
                  <w:rPr>
                    <w:rFonts w:ascii="Palatino Linotype" w:eastAsia="Palatino Linotype" w:hAnsi="Palatino Linotype" w:cs="Palatino Linotype"/>
                    <w:szCs w:val="22"/>
                  </w:rPr>
                </w:pPr>
                <w:r>
                  <w:rPr>
                    <w:rFonts w:ascii="Palatino Linotype" w:eastAsia="Palatino Linotype" w:hAnsi="Palatino Linotype" w:cs="Palatino Linotype"/>
                    <w:szCs w:val="22"/>
                  </w:rPr>
                  <w:t>XXXX</w:t>
                </w:r>
              </w:p>
            </w:tc>
          </w:tr>
          <w:tr w:rsidR="00F426DB" w14:paraId="46EE2AA9" w14:textId="77777777" w:rsidTr="0020472D">
            <w:trPr>
              <w:trHeight w:val="283"/>
            </w:trPr>
            <w:tc>
              <w:tcPr>
                <w:tcW w:w="2683" w:type="dxa"/>
                <w:shd w:val="clear" w:color="auto" w:fill="auto"/>
              </w:tcPr>
              <w:p w14:paraId="689C2AA2" w14:textId="77777777" w:rsidR="00F426DB" w:rsidRPr="0020472D" w:rsidRDefault="00661522">
                <w:pPr>
                  <w:tabs>
                    <w:tab w:val="right" w:pos="8838"/>
                  </w:tabs>
                  <w:ind w:left="-74" w:right="-105"/>
                  <w:rPr>
                    <w:rFonts w:ascii="Palatino Linotype" w:eastAsia="Palatino Linotype" w:hAnsi="Palatino Linotype" w:cs="Palatino Linotype"/>
                    <w:b/>
                    <w:bCs/>
                    <w:szCs w:val="22"/>
                  </w:rPr>
                </w:pPr>
                <w:r w:rsidRPr="0020472D">
                  <w:rPr>
                    <w:rFonts w:ascii="Palatino Linotype" w:eastAsia="Palatino Linotype" w:hAnsi="Palatino Linotype" w:cs="Palatino Linotype"/>
                    <w:b/>
                    <w:bCs/>
                    <w:szCs w:val="22"/>
                  </w:rPr>
                  <w:t>Sujeto Obligado:</w:t>
                </w:r>
              </w:p>
            </w:tc>
            <w:tc>
              <w:tcPr>
                <w:tcW w:w="5529" w:type="dxa"/>
                <w:shd w:val="clear" w:color="auto" w:fill="auto"/>
              </w:tcPr>
              <w:p w14:paraId="4A1C7DE4" w14:textId="77777777" w:rsidR="00F426DB" w:rsidRPr="0020472D" w:rsidRDefault="00661522">
                <w:pPr>
                  <w:tabs>
                    <w:tab w:val="left" w:pos="2834"/>
                    <w:tab w:val="right" w:pos="8838"/>
                  </w:tabs>
                  <w:ind w:left="-74" w:right="-1269"/>
                  <w:rPr>
                    <w:rFonts w:ascii="Palatino Linotype" w:eastAsia="Palatino Linotype" w:hAnsi="Palatino Linotype" w:cs="Palatino Linotype"/>
                    <w:szCs w:val="22"/>
                  </w:rPr>
                </w:pPr>
                <w:r w:rsidRPr="0020472D">
                  <w:rPr>
                    <w:rFonts w:ascii="Palatino Linotype" w:eastAsia="Palatino Linotype" w:hAnsi="Palatino Linotype" w:cs="Palatino Linotype"/>
                    <w:szCs w:val="22"/>
                  </w:rPr>
                  <w:t xml:space="preserve">Sindicato Único de Trabajadores de Los Poderes, </w:t>
                </w:r>
              </w:p>
              <w:p w14:paraId="42166307" w14:textId="77777777" w:rsidR="00F426DB" w:rsidRPr="0020472D" w:rsidRDefault="00661522">
                <w:pPr>
                  <w:tabs>
                    <w:tab w:val="left" w:pos="2834"/>
                    <w:tab w:val="right" w:pos="8838"/>
                  </w:tabs>
                  <w:ind w:left="-74" w:right="-1269"/>
                  <w:rPr>
                    <w:rFonts w:ascii="Palatino Linotype" w:eastAsia="Palatino Linotype" w:hAnsi="Palatino Linotype" w:cs="Palatino Linotype"/>
                    <w:szCs w:val="22"/>
                  </w:rPr>
                </w:pPr>
                <w:r w:rsidRPr="0020472D">
                  <w:rPr>
                    <w:rFonts w:ascii="Palatino Linotype" w:eastAsia="Palatino Linotype" w:hAnsi="Palatino Linotype" w:cs="Palatino Linotype"/>
                    <w:szCs w:val="22"/>
                  </w:rPr>
                  <w:t xml:space="preserve">Municipios E Instituciones Descentralizadas del </w:t>
                </w:r>
              </w:p>
              <w:p w14:paraId="6FE1DD28" w14:textId="77777777" w:rsidR="00F426DB" w:rsidRPr="0020472D" w:rsidRDefault="00661522">
                <w:pPr>
                  <w:tabs>
                    <w:tab w:val="left" w:pos="2834"/>
                    <w:tab w:val="right" w:pos="8838"/>
                  </w:tabs>
                  <w:ind w:left="-74" w:right="-1269"/>
                  <w:rPr>
                    <w:rFonts w:ascii="Palatino Linotype" w:eastAsia="Palatino Linotype" w:hAnsi="Palatino Linotype" w:cs="Palatino Linotype"/>
                    <w:szCs w:val="22"/>
                  </w:rPr>
                </w:pPr>
                <w:r w:rsidRPr="0020472D">
                  <w:rPr>
                    <w:rFonts w:ascii="Palatino Linotype" w:eastAsia="Palatino Linotype" w:hAnsi="Palatino Linotype" w:cs="Palatino Linotype"/>
                    <w:szCs w:val="22"/>
                  </w:rPr>
                  <w:t>Estado de México</w:t>
                </w:r>
              </w:p>
            </w:tc>
          </w:tr>
          <w:tr w:rsidR="00F426DB" w14:paraId="54BF6837" w14:textId="77777777" w:rsidTr="0020472D">
            <w:trPr>
              <w:trHeight w:val="283"/>
            </w:trPr>
            <w:tc>
              <w:tcPr>
                <w:tcW w:w="2683" w:type="dxa"/>
                <w:shd w:val="clear" w:color="auto" w:fill="auto"/>
              </w:tcPr>
              <w:p w14:paraId="39E77B39" w14:textId="77777777" w:rsidR="00F426DB" w:rsidRPr="0020472D" w:rsidRDefault="00661522">
                <w:pPr>
                  <w:tabs>
                    <w:tab w:val="right" w:pos="8838"/>
                  </w:tabs>
                  <w:ind w:left="-74" w:right="-105"/>
                  <w:rPr>
                    <w:rFonts w:ascii="Palatino Linotype" w:eastAsia="Palatino Linotype" w:hAnsi="Palatino Linotype" w:cs="Palatino Linotype"/>
                    <w:b/>
                    <w:bCs/>
                    <w:szCs w:val="22"/>
                  </w:rPr>
                </w:pPr>
                <w:r w:rsidRPr="0020472D">
                  <w:rPr>
                    <w:rFonts w:ascii="Palatino Linotype" w:eastAsia="Palatino Linotype" w:hAnsi="Palatino Linotype" w:cs="Palatino Linotype"/>
                    <w:b/>
                    <w:bCs/>
                    <w:szCs w:val="22"/>
                  </w:rPr>
                  <w:t>Comisionado ponente:</w:t>
                </w:r>
              </w:p>
            </w:tc>
            <w:tc>
              <w:tcPr>
                <w:tcW w:w="5529" w:type="dxa"/>
                <w:shd w:val="clear" w:color="auto" w:fill="auto"/>
              </w:tcPr>
              <w:p w14:paraId="006F0DC8" w14:textId="77777777" w:rsidR="00F426DB" w:rsidRPr="0020472D" w:rsidRDefault="00661522">
                <w:pPr>
                  <w:tabs>
                    <w:tab w:val="right" w:pos="8838"/>
                  </w:tabs>
                  <w:ind w:left="-74" w:right="-1269"/>
                  <w:rPr>
                    <w:rFonts w:ascii="Palatino Linotype" w:eastAsia="Palatino Linotype" w:hAnsi="Palatino Linotype" w:cs="Palatino Linotype"/>
                    <w:szCs w:val="22"/>
                  </w:rPr>
                </w:pPr>
                <w:r w:rsidRPr="0020472D">
                  <w:rPr>
                    <w:rFonts w:ascii="Palatino Linotype" w:eastAsia="Palatino Linotype" w:hAnsi="Palatino Linotype" w:cs="Palatino Linotype"/>
                    <w:szCs w:val="22"/>
                  </w:rPr>
                  <w:t>María del Rosario Mejía Ayala</w:t>
                </w:r>
              </w:p>
              <w:p w14:paraId="3F705D7D" w14:textId="77777777" w:rsidR="00F426DB" w:rsidRPr="0020472D" w:rsidRDefault="00F426DB">
                <w:pPr>
                  <w:tabs>
                    <w:tab w:val="right" w:pos="8838"/>
                  </w:tabs>
                  <w:ind w:left="-74" w:right="-1269"/>
                  <w:rPr>
                    <w:rFonts w:ascii="Palatino Linotype" w:eastAsia="Palatino Linotype" w:hAnsi="Palatino Linotype" w:cs="Palatino Linotype"/>
                    <w:b/>
                    <w:bCs/>
                    <w:szCs w:val="22"/>
                  </w:rPr>
                </w:pPr>
              </w:p>
            </w:tc>
          </w:tr>
        </w:tbl>
        <w:p w14:paraId="4E0DE92F" w14:textId="77777777" w:rsidR="00F426DB" w:rsidRDefault="00F426DB">
          <w:pPr>
            <w:tabs>
              <w:tab w:val="right" w:pos="8838"/>
            </w:tabs>
            <w:ind w:left="-28"/>
            <w:jc w:val="both"/>
            <w:rPr>
              <w:rFonts w:ascii="Arial" w:eastAsia="Arial" w:hAnsi="Arial" w:cs="Arial"/>
              <w:b/>
              <w:bCs/>
              <w:sz w:val="22"/>
              <w:szCs w:val="22"/>
            </w:rPr>
          </w:pPr>
        </w:p>
      </w:tc>
    </w:tr>
  </w:tbl>
  <w:p w14:paraId="4D070717" w14:textId="77777777" w:rsidR="00F426DB" w:rsidRDefault="00EE6E42">
    <w:pPr>
      <w:pBdr>
        <w:top w:val="nil"/>
        <w:left w:val="nil"/>
        <w:bottom w:val="nil"/>
        <w:right w:val="nil"/>
        <w:between w:val="nil"/>
      </w:pBdr>
      <w:tabs>
        <w:tab w:val="center" w:pos="4419"/>
        <w:tab w:val="right" w:pos="8838"/>
      </w:tabs>
      <w:rPr>
        <w:color w:val="000000"/>
        <w:sz w:val="2"/>
        <w:szCs w:val="2"/>
      </w:rPr>
    </w:pPr>
    <w:r>
      <w:rPr>
        <w:color w:val="000000"/>
        <w:sz w:val="2"/>
        <w:szCs w:val="2"/>
      </w:rPr>
      <w:pict w14:anchorId="328AE3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72.85pt;margin-top:-150.9pt;width:589.8pt;height:768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87C6C"/>
    <w:multiLevelType w:val="multilevel"/>
    <w:tmpl w:val="0F941742"/>
    <w:lvl w:ilvl="0">
      <w:start w:val="1"/>
      <w:numFmt w:val="decimal"/>
      <w:lvlText w:val="%1."/>
      <w:lvlJc w:val="left"/>
      <w:pPr>
        <w:ind w:left="360" w:hanging="360"/>
      </w:pPr>
      <w:rPr>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5778BE"/>
    <w:multiLevelType w:val="multilevel"/>
    <w:tmpl w:val="A1666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DBE3717"/>
    <w:multiLevelType w:val="multilevel"/>
    <w:tmpl w:val="78B8BE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6DB"/>
    <w:rsid w:val="0020472D"/>
    <w:rsid w:val="0042131C"/>
    <w:rsid w:val="004631F2"/>
    <w:rsid w:val="004F49CA"/>
    <w:rsid w:val="005A0BCA"/>
    <w:rsid w:val="00661522"/>
    <w:rsid w:val="00943E1A"/>
    <w:rsid w:val="00AE7032"/>
    <w:rsid w:val="00AF5110"/>
    <w:rsid w:val="00DB07EE"/>
    <w:rsid w:val="00EE6E42"/>
    <w:rsid w:val="00F426DB"/>
    <w:rsid w:val="00F8142D"/>
    <w:rsid w:val="00F97B1D"/>
    <w:rsid w:val="00FD43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6E8C20"/>
  <w15:docId w15:val="{590017C5-93F1-4331-8B30-4E62FB3E0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173EEB"/>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uiPriority w:val="9"/>
    <w:rsid w:val="00173EEB"/>
    <w:rPr>
      <w:rFonts w:asciiTheme="majorHAnsi" w:eastAsiaTheme="majorEastAsia" w:hAnsiTheme="majorHAnsi" w:cstheme="majorBidi"/>
      <w:color w:val="2E74B5" w:themeColor="accent1" w:themeShade="BF"/>
      <w:sz w:val="26"/>
      <w:szCs w:val="26"/>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173EEB"/>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3EE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73EEB"/>
    <w:rPr>
      <w:rFonts w:ascii="Times New Roman" w:eastAsia="Times New Roman" w:hAnsi="Times New Roman" w:cs="Times New Roman"/>
      <w:sz w:val="24"/>
      <w:szCs w:val="24"/>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73EEB"/>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73EEB"/>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173EEB"/>
    <w:rPr>
      <w:vertAlign w:val="superscript"/>
    </w:rPr>
  </w:style>
  <w:style w:type="paragraph" w:styleId="Piedepgina">
    <w:name w:val="footer"/>
    <w:basedOn w:val="Normal"/>
    <w:link w:val="PiedepginaCar"/>
    <w:uiPriority w:val="99"/>
    <w:unhideWhenUsed/>
    <w:rsid w:val="00173EEB"/>
    <w:pPr>
      <w:tabs>
        <w:tab w:val="center" w:pos="4419"/>
        <w:tab w:val="right" w:pos="8838"/>
      </w:tabs>
    </w:pPr>
  </w:style>
  <w:style w:type="character" w:customStyle="1" w:styleId="PiedepginaCar">
    <w:name w:val="Pie de página Car"/>
    <w:basedOn w:val="Fuentedeprrafopredeter"/>
    <w:link w:val="Piedepgina"/>
    <w:uiPriority w:val="99"/>
    <w:rsid w:val="00173EEB"/>
    <w:rPr>
      <w:rFonts w:ascii="Times New Roman" w:eastAsia="Times New Roman" w:hAnsi="Times New Roman" w:cs="Times New Roman"/>
      <w:sz w:val="24"/>
      <w:szCs w:val="24"/>
      <w:lang w:eastAsia="es-MX"/>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491680.page" TargetMode="External"/><Relationship Id="rId13" Type="http://schemas.openxmlformats.org/officeDocument/2006/relationships/hyperlink" Target="https://saimex.org.mx/saimex/solicitud/downloadAttach/2501740.page"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aimex.org.mx/saimex/solicitud/downloadAttach/2501739.pag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501736.pag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saimex.org.mx/saimex/solicitud/downloadAttach/2501735.pa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2635494.page"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CbyaH355uplaUrYKCbd20kzS5g==">CgMxLjAyCGguZ2pkZ3hzMgloLjFmb2I5dGUyCWguM3pueXNoNzIJaC4yZXQ5MnAwMg5oLmVlbDFheHVlZXhmazIOaC4zeG9hcXRoMjE0MzMyDmgucDRkZnR2ejBobzh3OAByITFKQURXUHdLanhZOWZpY2lMR0FSM0JnZjBZTE9feFlobw==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20</Pages>
  <Words>4625</Words>
  <Characters>25443</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30008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Cuenta Microsoft</cp:lastModifiedBy>
  <cp:revision>9</cp:revision>
  <cp:lastPrinted>2026-03-23T16:14:00Z</cp:lastPrinted>
  <dcterms:created xsi:type="dcterms:W3CDTF">2026-03-17T22:31:00Z</dcterms:created>
  <dcterms:modified xsi:type="dcterms:W3CDTF">2026-04-07T23:10:00Z</dcterms:modified>
</cp:coreProperties>
</file>