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AFED42" w14:textId="445E317A"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0" w:name="_heading=h.3rdcrjn" w:colFirst="0" w:colLast="0"/>
      <w:bookmarkEnd w:id="0"/>
      <w:r w:rsidRPr="005D7B1F">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a</w:t>
      </w:r>
      <w:r w:rsidR="006F4E99" w:rsidRPr="005D7B1F">
        <w:rPr>
          <w:rFonts w:ascii="Palatino Linotype" w:eastAsia="Palatino Linotype" w:hAnsi="Palatino Linotype" w:cs="Palatino Linotype"/>
          <w:sz w:val="22"/>
          <w:szCs w:val="22"/>
        </w:rPr>
        <w:t xml:space="preserve"> cinco</w:t>
      </w:r>
      <w:r w:rsidRPr="005D7B1F">
        <w:rPr>
          <w:rFonts w:ascii="Palatino Linotype" w:eastAsia="Palatino Linotype" w:hAnsi="Palatino Linotype" w:cs="Palatino Linotype"/>
          <w:sz w:val="22"/>
          <w:szCs w:val="22"/>
        </w:rPr>
        <w:t xml:space="preserve"> de febrero de dos mil veintiséis. </w:t>
      </w:r>
    </w:p>
    <w:p w14:paraId="132DF41E" w14:textId="2385902B" w:rsidR="006C2841" w:rsidRPr="005D7B1F" w:rsidRDefault="00D06478">
      <w:pPr>
        <w:tabs>
          <w:tab w:val="left" w:pos="5812"/>
        </w:tabs>
        <w:spacing w:before="240" w:after="240" w:line="360" w:lineRule="auto"/>
        <w:jc w:val="both"/>
        <w:rPr>
          <w:rFonts w:ascii="Palatino Linotype" w:eastAsia="Palatino Linotype" w:hAnsi="Palatino Linotype" w:cs="Palatino Linotype"/>
          <w:sz w:val="22"/>
          <w:szCs w:val="22"/>
        </w:rPr>
      </w:pPr>
      <w:bookmarkStart w:id="1" w:name="_heading=h.daj3j2xo6q66" w:colFirst="0" w:colLast="0"/>
      <w:bookmarkEnd w:id="1"/>
      <w:r w:rsidRPr="005D7B1F">
        <w:rPr>
          <w:rFonts w:ascii="Palatino Linotype" w:eastAsia="Palatino Linotype" w:hAnsi="Palatino Linotype" w:cs="Palatino Linotype"/>
          <w:b/>
          <w:bCs/>
          <w:sz w:val="22"/>
          <w:szCs w:val="22"/>
        </w:rPr>
        <w:t>VISTO</w:t>
      </w:r>
      <w:r w:rsidRPr="005D7B1F">
        <w:rPr>
          <w:rFonts w:ascii="Palatino Linotype" w:eastAsia="Palatino Linotype" w:hAnsi="Palatino Linotype" w:cs="Palatino Linotype"/>
          <w:sz w:val="22"/>
          <w:szCs w:val="22"/>
        </w:rPr>
        <w:t xml:space="preserve"> el expediente formado con motivo del recurso de revisión </w:t>
      </w:r>
      <w:r w:rsidRPr="005D7B1F">
        <w:rPr>
          <w:rFonts w:ascii="Palatino Linotype" w:eastAsia="Palatino Linotype" w:hAnsi="Palatino Linotype" w:cs="Palatino Linotype"/>
          <w:b/>
          <w:bCs/>
          <w:sz w:val="22"/>
          <w:szCs w:val="22"/>
        </w:rPr>
        <w:t>14679/INFOEM/IP/RR/2025</w:t>
      </w:r>
      <w:r w:rsidRPr="005D7B1F">
        <w:rPr>
          <w:rFonts w:ascii="Palatino Linotype" w:eastAsia="Palatino Linotype" w:hAnsi="Palatino Linotype" w:cs="Palatino Linotype"/>
          <w:sz w:val="22"/>
          <w:szCs w:val="22"/>
        </w:rPr>
        <w:t>, interpuesto por</w:t>
      </w:r>
      <w:r w:rsidRPr="005D7B1F">
        <w:rPr>
          <w:rFonts w:ascii="Palatino Linotype" w:eastAsia="Palatino Linotype" w:hAnsi="Palatino Linotype" w:cs="Palatino Linotype"/>
          <w:b/>
          <w:bCs/>
          <w:sz w:val="22"/>
          <w:szCs w:val="22"/>
        </w:rPr>
        <w:t xml:space="preserve"> </w:t>
      </w:r>
      <w:r w:rsidR="00A64C29" w:rsidRPr="00A64C29">
        <w:rPr>
          <w:rFonts w:ascii="Palatino Linotype" w:eastAsia="Palatino Linotype" w:hAnsi="Palatino Linotype" w:cs="Palatino Linotype"/>
          <w:b/>
          <w:bCs/>
          <w:sz w:val="22"/>
          <w:szCs w:val="22"/>
        </w:rPr>
        <w:t>XXXXX XXXXXX XXXXXXX</w:t>
      </w:r>
      <w:r w:rsidRPr="00A64C29">
        <w:rPr>
          <w:rFonts w:ascii="Palatino Linotype" w:eastAsia="Palatino Linotype" w:hAnsi="Palatino Linotype" w:cs="Palatino Linotype"/>
          <w:b/>
          <w:bCs/>
          <w:sz w:val="22"/>
          <w:szCs w:val="22"/>
        </w:rPr>
        <w:t>,</w:t>
      </w:r>
      <w:r w:rsidRPr="005D7B1F">
        <w:rPr>
          <w:rFonts w:ascii="Palatino Linotype" w:eastAsia="Palatino Linotype" w:hAnsi="Palatino Linotype" w:cs="Palatino Linotype"/>
          <w:sz w:val="22"/>
          <w:szCs w:val="22"/>
        </w:rPr>
        <w:t xml:space="preserve"> en lo sucesivo</w:t>
      </w:r>
      <w:r w:rsidRPr="005D7B1F">
        <w:rPr>
          <w:rFonts w:ascii="Palatino Linotype" w:eastAsia="Palatino Linotype" w:hAnsi="Palatino Linotype" w:cs="Palatino Linotype"/>
          <w:b/>
          <w:bCs/>
          <w:sz w:val="22"/>
          <w:szCs w:val="22"/>
        </w:rPr>
        <w:t xml:space="preserve"> </w:t>
      </w:r>
      <w:r w:rsidRPr="005D7B1F">
        <w:rPr>
          <w:rFonts w:ascii="Palatino Linotype" w:eastAsia="Palatino Linotype" w:hAnsi="Palatino Linotype" w:cs="Palatino Linotype"/>
          <w:sz w:val="22"/>
          <w:szCs w:val="22"/>
        </w:rPr>
        <w:t xml:space="preserve">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xml:space="preserve"> en contra de la respuesta a la solicitud de información con número de folio</w:t>
      </w:r>
      <w:r w:rsidRPr="005D7B1F">
        <w:rPr>
          <w:rFonts w:ascii="Palatino Linotype" w:eastAsia="Palatino Linotype" w:hAnsi="Palatino Linotype" w:cs="Palatino Linotype"/>
          <w:b/>
          <w:bCs/>
          <w:sz w:val="22"/>
          <w:szCs w:val="22"/>
        </w:rPr>
        <w:t xml:space="preserve"> 00445/SECOGEM/IP/2025, </w:t>
      </w:r>
      <w:r w:rsidRPr="005D7B1F">
        <w:rPr>
          <w:rFonts w:ascii="Palatino Linotype" w:eastAsia="Palatino Linotype" w:hAnsi="Palatino Linotype" w:cs="Palatino Linotype"/>
          <w:sz w:val="22"/>
          <w:szCs w:val="22"/>
        </w:rPr>
        <w:t xml:space="preserve">por parte de la </w:t>
      </w:r>
      <w:r w:rsidRPr="005D7B1F">
        <w:rPr>
          <w:rFonts w:ascii="Palatino Linotype" w:eastAsia="Palatino Linotype" w:hAnsi="Palatino Linotype" w:cs="Palatino Linotype"/>
          <w:b/>
          <w:bCs/>
          <w:sz w:val="22"/>
          <w:szCs w:val="22"/>
        </w:rPr>
        <w:t xml:space="preserve">Secretaría de la Contraloría, </w:t>
      </w:r>
      <w:r w:rsidRPr="005D7B1F">
        <w:rPr>
          <w:rFonts w:ascii="Palatino Linotype" w:eastAsia="Palatino Linotype" w:hAnsi="Palatino Linotype" w:cs="Palatino Linotype"/>
          <w:sz w:val="22"/>
          <w:szCs w:val="22"/>
        </w:rPr>
        <w:t xml:space="preserve">en lo sucesivo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se procede a dictar la presente resolución con base en los siguientes: </w:t>
      </w:r>
    </w:p>
    <w:p w14:paraId="64FACF07" w14:textId="77777777" w:rsidR="006C2841" w:rsidRPr="005D7B1F" w:rsidRDefault="00D06478">
      <w:pPr>
        <w:spacing w:before="240" w:after="240" w:line="360" w:lineRule="auto"/>
        <w:jc w:val="center"/>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b/>
          <w:bCs/>
          <w:sz w:val="22"/>
          <w:szCs w:val="22"/>
        </w:rPr>
        <w:t>I. A N T E C E D E N T E S</w:t>
      </w:r>
    </w:p>
    <w:p w14:paraId="04E53F3A"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2" w:name="_heading=h.gjdgxs" w:colFirst="0" w:colLast="0"/>
      <w:bookmarkEnd w:id="2"/>
      <w:r w:rsidRPr="005D7B1F">
        <w:rPr>
          <w:rFonts w:ascii="Palatino Linotype" w:eastAsia="Palatino Linotype" w:hAnsi="Palatino Linotype" w:cs="Palatino Linotype"/>
          <w:b/>
          <w:bCs/>
          <w:sz w:val="22"/>
          <w:szCs w:val="22"/>
        </w:rPr>
        <w:t>1. Solicitud de acceso a la información.</w:t>
      </w:r>
      <w:r w:rsidRPr="005D7B1F">
        <w:rPr>
          <w:rFonts w:ascii="Palatino Linotype" w:eastAsia="Palatino Linotype" w:hAnsi="Palatino Linotype" w:cs="Palatino Linotype"/>
          <w:sz w:val="22"/>
          <w:szCs w:val="22"/>
        </w:rPr>
        <w:t xml:space="preserve"> El </w:t>
      </w:r>
      <w:r w:rsidRPr="005D7B1F">
        <w:rPr>
          <w:rFonts w:ascii="Palatino Linotype" w:eastAsia="Palatino Linotype" w:hAnsi="Palatino Linotype" w:cs="Palatino Linotype"/>
          <w:b/>
          <w:bCs/>
          <w:sz w:val="22"/>
          <w:szCs w:val="22"/>
        </w:rPr>
        <w:t>cuatro de diciembre de dos mil veinticinco,</w:t>
      </w:r>
      <w:r w:rsidRPr="005D7B1F">
        <w:rPr>
          <w:rFonts w:ascii="Palatino Linotype" w:eastAsia="Palatino Linotype" w:hAnsi="Palatino Linotype" w:cs="Palatino Linotype"/>
          <w:sz w:val="22"/>
          <w:szCs w:val="22"/>
        </w:rPr>
        <w:t xml:space="preserve">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 xml:space="preserve">presentó la solicitud de acceso a la información pública ante 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a través del Sistema de Acceso a la Información Mexiquense, en lo subsecuente el </w:t>
      </w:r>
      <w:r w:rsidRPr="005D7B1F">
        <w:rPr>
          <w:rFonts w:ascii="Palatino Linotype" w:eastAsia="Palatino Linotype" w:hAnsi="Palatino Linotype" w:cs="Palatino Linotype"/>
          <w:b/>
          <w:bCs/>
          <w:sz w:val="22"/>
          <w:szCs w:val="22"/>
        </w:rPr>
        <w:t>SAIMEX,</w:t>
      </w:r>
      <w:r w:rsidRPr="005D7B1F">
        <w:rPr>
          <w:rFonts w:ascii="Palatino Linotype" w:eastAsia="Palatino Linotype" w:hAnsi="Palatino Linotype" w:cs="Palatino Linotype"/>
          <w:sz w:val="22"/>
          <w:szCs w:val="22"/>
        </w:rPr>
        <w:t xml:space="preserve"> mediante la cual requirió lo siguiente:</w:t>
      </w:r>
    </w:p>
    <w:p w14:paraId="69B734F6" w14:textId="6C9CF6A6"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 “Respecto de la respuesta emitida en la solicitud 00428/SECOGEM/IP/2025, solicito una aclaración detallada sobre las razones por las cuales no se proporcionaron los nombres de las 39 personas servidoras públicas del Ayuntamiento de Tepotzotlán que fueron identificadas como omisas. Solicito se me indique: 1. Si existe alguna clasificación de información que impida proporcionar los nombres de servidores públicos omisos. 2. En caso afirmativo, la resolución, acta o acuerdo del Comité de Transparencia donde se haya determinado dicha clasificación. 3. Fundamento exacto (artículos y fracciones) que justifique negar el nombre de servidores públicos que incumplieron una obligación legal de transparencia. De no existir clasificación vigente</w:t>
      </w:r>
      <w:r w:rsidRPr="005D7B1F">
        <w:rPr>
          <w:rFonts w:ascii="Palatino Linotype" w:eastAsia="Palatino Linotype" w:hAnsi="Palatino Linotype" w:cs="Palatino Linotype"/>
          <w:b/>
          <w:bCs/>
          <w:i/>
          <w:iCs/>
          <w:sz w:val="22"/>
          <w:szCs w:val="22"/>
        </w:rPr>
        <w:t xml:space="preserve">, </w:t>
      </w:r>
      <w:r w:rsidRPr="005D7B1F">
        <w:rPr>
          <w:rFonts w:ascii="Palatino Linotype" w:eastAsia="Palatino Linotype" w:hAnsi="Palatino Linotype" w:cs="Palatino Linotype"/>
          <w:b/>
          <w:bCs/>
          <w:i/>
          <w:iCs/>
          <w:sz w:val="22"/>
          <w:szCs w:val="22"/>
          <w:u w:val="single"/>
        </w:rPr>
        <w:t>solicito que se me entregue la lista completa de los 39 servidores públicos omisos.</w:t>
      </w:r>
      <w:r w:rsidRPr="005D7B1F">
        <w:rPr>
          <w:rFonts w:ascii="Palatino Linotype" w:eastAsia="Palatino Linotype" w:hAnsi="Palatino Linotype" w:cs="Palatino Linotype"/>
          <w:b/>
          <w:bCs/>
          <w:i/>
          <w:iCs/>
          <w:sz w:val="22"/>
          <w:szCs w:val="22"/>
        </w:rPr>
        <w:t>”</w:t>
      </w:r>
      <w:r w:rsidRPr="005D7B1F">
        <w:rPr>
          <w:rFonts w:ascii="Palatino Linotype" w:eastAsia="Palatino Linotype" w:hAnsi="Palatino Linotype" w:cs="Palatino Linotype"/>
          <w:i/>
          <w:iCs/>
          <w:sz w:val="22"/>
          <w:szCs w:val="22"/>
        </w:rPr>
        <w:t xml:space="preserve"> (sic) </w:t>
      </w:r>
    </w:p>
    <w:p w14:paraId="5CAF3CA2" w14:textId="77777777" w:rsidR="006F4E99" w:rsidRPr="005D7B1F" w:rsidRDefault="006F4E99">
      <w:pPr>
        <w:spacing w:before="120" w:after="120"/>
        <w:ind w:left="851" w:right="902"/>
        <w:jc w:val="both"/>
        <w:rPr>
          <w:rFonts w:ascii="Palatino Linotype" w:eastAsia="Palatino Linotype" w:hAnsi="Palatino Linotype" w:cs="Palatino Linotype"/>
          <w:b/>
          <w:bCs/>
          <w:i/>
          <w:iCs/>
          <w:sz w:val="22"/>
          <w:szCs w:val="22"/>
        </w:rPr>
      </w:pPr>
    </w:p>
    <w:p w14:paraId="3477B79B" w14:textId="77777777" w:rsidR="006C2841" w:rsidRPr="005D7B1F" w:rsidRDefault="00D06478">
      <w:pPr>
        <w:spacing w:line="360" w:lineRule="auto"/>
        <w:jc w:val="both"/>
        <w:rPr>
          <w:rFonts w:ascii="Palatino Linotype" w:eastAsia="Palatino Linotype" w:hAnsi="Palatino Linotype" w:cs="Palatino Linotype"/>
          <w:sz w:val="22"/>
          <w:szCs w:val="22"/>
        </w:rPr>
      </w:pPr>
      <w:bookmarkStart w:id="3" w:name="_heading=h.3dy6vkm" w:colFirst="0" w:colLast="0"/>
      <w:bookmarkEnd w:id="3"/>
      <w:r w:rsidRPr="005D7B1F">
        <w:rPr>
          <w:rFonts w:ascii="Palatino Linotype" w:eastAsia="Palatino Linotype" w:hAnsi="Palatino Linotype" w:cs="Palatino Linotype"/>
          <w:b/>
          <w:bCs/>
          <w:sz w:val="22"/>
          <w:szCs w:val="22"/>
        </w:rPr>
        <w:t xml:space="preserve">Modalidad elegida para la entrega de la información: </w:t>
      </w:r>
      <w:r w:rsidRPr="005D7B1F">
        <w:rPr>
          <w:rFonts w:ascii="Palatino Linotype" w:eastAsia="Palatino Linotype" w:hAnsi="Palatino Linotype" w:cs="Palatino Linotype"/>
          <w:sz w:val="22"/>
          <w:szCs w:val="22"/>
        </w:rPr>
        <w:t>a través del SAIMEX.</w:t>
      </w:r>
    </w:p>
    <w:p w14:paraId="6FCB80E9"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b/>
          <w:bCs/>
          <w:sz w:val="22"/>
          <w:szCs w:val="22"/>
        </w:rPr>
        <w:lastRenderedPageBreak/>
        <w:t xml:space="preserve">2. Respuesta. </w:t>
      </w:r>
      <w:r w:rsidRPr="005D7B1F">
        <w:rPr>
          <w:rFonts w:ascii="Palatino Linotype" w:eastAsia="Palatino Linotype" w:hAnsi="Palatino Linotype" w:cs="Palatino Linotype"/>
          <w:sz w:val="22"/>
          <w:szCs w:val="22"/>
        </w:rPr>
        <w:t xml:space="preserve">El </w:t>
      </w:r>
      <w:r w:rsidRPr="005D7B1F">
        <w:rPr>
          <w:rFonts w:ascii="Palatino Linotype" w:eastAsia="Palatino Linotype" w:hAnsi="Palatino Linotype" w:cs="Palatino Linotype"/>
          <w:b/>
          <w:bCs/>
          <w:sz w:val="22"/>
          <w:szCs w:val="22"/>
        </w:rPr>
        <w:t>diecinueve de junio de dos mil veinticinco,</w:t>
      </w:r>
      <w:r w:rsidRPr="005D7B1F">
        <w:rPr>
          <w:rFonts w:ascii="Palatino Linotype" w:eastAsia="Palatino Linotype" w:hAnsi="Palatino Linotype" w:cs="Palatino Linotype"/>
          <w:sz w:val="22"/>
          <w:szCs w:val="22"/>
        </w:rPr>
        <w:t xml:space="preserve">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envió su respuesta a la solicitud de acceso a la información a través del SAIMEX, sustancialmente en los términos siguientes:   </w:t>
      </w:r>
    </w:p>
    <w:p w14:paraId="6D1D4F0C" w14:textId="37905B5C" w:rsidR="006C2841" w:rsidRPr="005D7B1F" w:rsidRDefault="00D06478">
      <w:pPr>
        <w:spacing w:before="240" w:after="24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“…Estimado </w:t>
      </w:r>
      <w:r w:rsidR="00A64C29">
        <w:rPr>
          <w:rFonts w:ascii="Palatino Linotype" w:eastAsia="Palatino Linotype" w:hAnsi="Palatino Linotype" w:cs="Palatino Linotype"/>
          <w:i/>
          <w:iCs/>
          <w:sz w:val="22"/>
          <w:szCs w:val="22"/>
        </w:rPr>
        <w:t>XXXXXXXXXXX</w:t>
      </w:r>
      <w:bookmarkStart w:id="4" w:name="_GoBack"/>
      <w:bookmarkEnd w:id="4"/>
      <w:r w:rsidRPr="005D7B1F">
        <w:rPr>
          <w:rFonts w:ascii="Palatino Linotype" w:eastAsia="Palatino Linotype" w:hAnsi="Palatino Linotype" w:cs="Palatino Linotype"/>
          <w:i/>
          <w:iCs/>
          <w:sz w:val="22"/>
          <w:szCs w:val="22"/>
        </w:rPr>
        <w:t>, se informa que en archivo adjunto encontrará el oficio de respuesta firmado por el Titular y Responsable de la Unidad de Transparencia de la Secretaría de la Contraloría, así como el anexo correspondiente. ¡Que tenga una linda tarde!...” (sic)</w:t>
      </w:r>
    </w:p>
    <w:p w14:paraId="186E687D" w14:textId="77777777" w:rsidR="006C2841" w:rsidRPr="005D7B1F" w:rsidRDefault="00D06478">
      <w:pPr>
        <w:spacing w:before="240" w:after="240" w:line="360" w:lineRule="auto"/>
        <w:ind w:right="4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adjuntó los archivos: </w:t>
      </w:r>
      <w:r w:rsidRPr="005D7B1F">
        <w:rPr>
          <w:rFonts w:ascii="Palatino Linotype" w:eastAsia="Palatino Linotype" w:hAnsi="Palatino Linotype" w:cs="Palatino Linotype"/>
          <w:i/>
          <w:iCs/>
          <w:sz w:val="22"/>
          <w:szCs w:val="22"/>
        </w:rPr>
        <w:t xml:space="preserve">“00445-SECOGEM-IP-2025.pdf” </w:t>
      </w:r>
      <w:r w:rsidRPr="005D7B1F">
        <w:rPr>
          <w:rFonts w:ascii="Palatino Linotype" w:eastAsia="Palatino Linotype" w:hAnsi="Palatino Linotype" w:cs="Palatino Linotype"/>
          <w:sz w:val="22"/>
          <w:szCs w:val="22"/>
        </w:rPr>
        <w:t>y</w:t>
      </w:r>
      <w:r w:rsidRPr="005D7B1F">
        <w:rPr>
          <w:rFonts w:ascii="Palatino Linotype" w:eastAsia="Palatino Linotype" w:hAnsi="Palatino Linotype" w:cs="Palatino Linotype"/>
          <w:i/>
          <w:iCs/>
          <w:sz w:val="22"/>
          <w:szCs w:val="22"/>
        </w:rPr>
        <w:t xml:space="preserve"> “0445-SECOGEM-IP-2025_0001.pdf”, </w:t>
      </w:r>
      <w:r w:rsidRPr="005D7B1F">
        <w:rPr>
          <w:rFonts w:ascii="Palatino Linotype" w:eastAsia="Palatino Linotype" w:hAnsi="Palatino Linotype" w:cs="Palatino Linotype"/>
          <w:sz w:val="22"/>
          <w:szCs w:val="22"/>
        </w:rPr>
        <w:t>cuyo contenido no se describe al ser del conocimiento de las partes.</w:t>
      </w:r>
    </w:p>
    <w:p w14:paraId="5EAB30E4" w14:textId="77777777" w:rsidR="006C2841" w:rsidRPr="005D7B1F" w:rsidRDefault="00D06478">
      <w:pPr>
        <w:spacing w:before="240" w:after="240" w:line="360" w:lineRule="auto"/>
        <w:ind w:right="4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b/>
          <w:bCs/>
          <w:sz w:val="22"/>
          <w:szCs w:val="22"/>
        </w:rPr>
        <w:t xml:space="preserve">3. Interposición del recurso de revisión. </w:t>
      </w:r>
      <w:r w:rsidRPr="005D7B1F">
        <w:rPr>
          <w:rFonts w:ascii="Palatino Linotype" w:eastAsia="Palatino Linotype" w:hAnsi="Palatino Linotype" w:cs="Palatino Linotype"/>
          <w:sz w:val="22"/>
          <w:szCs w:val="22"/>
        </w:rPr>
        <w:t xml:space="preserve">Inconforme con los términos de la respuesta emitida por parte del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el </w:t>
      </w:r>
      <w:r w:rsidRPr="005D7B1F">
        <w:rPr>
          <w:rFonts w:ascii="Palatino Linotype" w:eastAsia="Palatino Linotype" w:hAnsi="Palatino Linotype" w:cs="Palatino Linotype"/>
          <w:b/>
          <w:bCs/>
          <w:sz w:val="22"/>
          <w:szCs w:val="22"/>
        </w:rPr>
        <w:t>diecinueve de diciembre de dos mil veinticinco,</w:t>
      </w:r>
      <w:r w:rsidRPr="005D7B1F">
        <w:rPr>
          <w:rFonts w:ascii="Palatino Linotype" w:eastAsia="Palatino Linotype" w:hAnsi="Palatino Linotype" w:cs="Palatino Linotype"/>
          <w:sz w:val="22"/>
          <w:szCs w:val="22"/>
        </w:rPr>
        <w:t xml:space="preserve"> 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xml:space="preserve"> interpuso el recurso de revisión a través de </w:t>
      </w:r>
      <w:r w:rsidRPr="005D7B1F">
        <w:rPr>
          <w:rFonts w:ascii="Palatino Linotype" w:eastAsia="Palatino Linotype" w:hAnsi="Palatino Linotype" w:cs="Palatino Linotype"/>
          <w:b/>
          <w:bCs/>
          <w:sz w:val="22"/>
          <w:szCs w:val="22"/>
        </w:rPr>
        <w:t xml:space="preserve">SAIMEX, </w:t>
      </w:r>
      <w:r w:rsidRPr="005D7B1F">
        <w:rPr>
          <w:rFonts w:ascii="Palatino Linotype" w:eastAsia="Palatino Linotype" w:hAnsi="Palatino Linotype" w:cs="Palatino Linotype"/>
          <w:sz w:val="22"/>
          <w:szCs w:val="22"/>
        </w:rPr>
        <w:t>en donde se manifestó de la siguiente manera:</w:t>
      </w:r>
    </w:p>
    <w:p w14:paraId="687F7E7B" w14:textId="77777777" w:rsidR="006C2841" w:rsidRPr="005D7B1F" w:rsidRDefault="00D06478">
      <w:pPr>
        <w:spacing w:before="240" w:after="240" w:line="360" w:lineRule="auto"/>
        <w:ind w:right="49"/>
        <w:jc w:val="both"/>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b/>
          <w:bCs/>
          <w:sz w:val="22"/>
          <w:szCs w:val="22"/>
        </w:rPr>
        <w:t xml:space="preserve">Acto impugnado: </w:t>
      </w:r>
    </w:p>
    <w:p w14:paraId="7E2424D9" w14:textId="77777777" w:rsidR="006C2841" w:rsidRPr="005D7B1F" w:rsidRDefault="00D06478">
      <w:pPr>
        <w:ind w:left="851" w:right="900"/>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“Respecto de la respuesta emitida en la solicitud 00428/SECOGEM/IP/2025, solicito una aclaración detallada sobre las </w:t>
      </w:r>
      <w:r w:rsidRPr="005D7B1F">
        <w:rPr>
          <w:rFonts w:ascii="Palatino Linotype" w:eastAsia="Palatino Linotype" w:hAnsi="Palatino Linotype" w:cs="Palatino Linotype"/>
          <w:b/>
          <w:bCs/>
          <w:i/>
          <w:iCs/>
          <w:sz w:val="22"/>
          <w:szCs w:val="22"/>
          <w:u w:val="single"/>
        </w:rPr>
        <w:t>razones por las cuales no se proporcionaron los nombres de las 39 personas servidoras públicas del Ayuntamiento de Tepotzotlán que fueron identificadas como omisas</w:t>
      </w:r>
      <w:r w:rsidRPr="005D7B1F">
        <w:rPr>
          <w:rFonts w:ascii="Palatino Linotype" w:eastAsia="Palatino Linotype" w:hAnsi="Palatino Linotype" w:cs="Palatino Linotype"/>
          <w:i/>
          <w:iCs/>
          <w:sz w:val="22"/>
          <w:szCs w:val="22"/>
        </w:rPr>
        <w:t xml:space="preserve">. Solicito se me indique: 1. Si existe alguna clasificación de información que impida proporcionar los nombres de servidores públicos omisos. 2. En caso afirmativo, la resolución, acta o acuerdo del Comité de Transparencia donde se haya determinado dicha clasificación. 3. Fundamento exacto (artículos y fracciones) que justifique negar el nombre de servidores públicos que incumplieron una obligación legal de transparencia. De no existir clasificación vigente, </w:t>
      </w:r>
      <w:r w:rsidRPr="005D7B1F">
        <w:rPr>
          <w:rFonts w:ascii="Palatino Linotype" w:eastAsia="Palatino Linotype" w:hAnsi="Palatino Linotype" w:cs="Palatino Linotype"/>
          <w:b/>
          <w:bCs/>
          <w:i/>
          <w:iCs/>
          <w:sz w:val="22"/>
          <w:szCs w:val="22"/>
          <w:u w:val="single"/>
        </w:rPr>
        <w:t>solicito que se me entregue la lista completa de los 39 servidores públicos omisos</w:t>
      </w:r>
      <w:r w:rsidRPr="005D7B1F">
        <w:rPr>
          <w:rFonts w:ascii="Palatino Linotype" w:eastAsia="Palatino Linotype" w:hAnsi="Palatino Linotype" w:cs="Palatino Linotype"/>
          <w:i/>
          <w:iCs/>
          <w:sz w:val="22"/>
          <w:szCs w:val="22"/>
        </w:rPr>
        <w:t xml:space="preserve">. La respuesta emitida por la Secretaría de la Contraloría del Gobierno del Estado de México, mediante la cual se evade nuevamente la entrega de información pública, se restringe ilegalmente el derecho de acceso a la información y se simula </w:t>
      </w:r>
      <w:r w:rsidRPr="005D7B1F">
        <w:rPr>
          <w:rFonts w:ascii="Palatino Linotype" w:eastAsia="Palatino Linotype" w:hAnsi="Palatino Linotype" w:cs="Palatino Linotype"/>
          <w:i/>
          <w:iCs/>
          <w:sz w:val="22"/>
          <w:szCs w:val="22"/>
        </w:rPr>
        <w:lastRenderedPageBreak/>
        <w:t>el cumplimiento de obligaciones de transparencia, sin realizar búsqueda exhaustiva ni emitir resolución debidamente fundada y motivada.” (sic)</w:t>
      </w:r>
    </w:p>
    <w:p w14:paraId="4BA695D0" w14:textId="77777777" w:rsidR="006C2841" w:rsidRPr="005D7B1F" w:rsidRDefault="006C2841">
      <w:pPr>
        <w:spacing w:line="360" w:lineRule="auto"/>
        <w:jc w:val="both"/>
        <w:rPr>
          <w:rFonts w:ascii="Palatino Linotype" w:eastAsia="Palatino Linotype" w:hAnsi="Palatino Linotype" w:cs="Palatino Linotype"/>
          <w:b/>
          <w:bCs/>
          <w:sz w:val="22"/>
          <w:szCs w:val="22"/>
        </w:rPr>
      </w:pPr>
      <w:bookmarkStart w:id="5" w:name="_heading=h.30j0zll" w:colFirst="0" w:colLast="0"/>
      <w:bookmarkEnd w:id="5"/>
    </w:p>
    <w:p w14:paraId="50CE2580" w14:textId="77777777" w:rsidR="006C2841" w:rsidRPr="005D7B1F" w:rsidRDefault="00D06478">
      <w:pPr>
        <w:spacing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b/>
          <w:bCs/>
          <w:sz w:val="22"/>
          <w:szCs w:val="22"/>
        </w:rPr>
        <w:t>Y, Razones o motivos de inconformidad</w:t>
      </w:r>
      <w:r w:rsidRPr="005D7B1F">
        <w:rPr>
          <w:rFonts w:ascii="Palatino Linotype" w:eastAsia="Palatino Linotype" w:hAnsi="Palatino Linotype" w:cs="Palatino Linotype"/>
          <w:sz w:val="22"/>
          <w:szCs w:val="22"/>
        </w:rPr>
        <w:t>:</w:t>
      </w:r>
    </w:p>
    <w:p w14:paraId="0F8190A5" w14:textId="77777777" w:rsidR="006C2841" w:rsidRPr="005D7B1F" w:rsidRDefault="00D06478">
      <w:pPr>
        <w:tabs>
          <w:tab w:val="left" w:pos="2745"/>
        </w:tabs>
        <w:spacing w:before="240" w:after="240"/>
        <w:ind w:left="851" w:right="900"/>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“AGRAVIOS **PRIMER AGRAVIO Reconocimiento expreso de la información y negativa ilegal a entregarla** La autoridad reconoce expresamente que existen 39 personas servidoras públicas del Ayuntamiento de Tepotzotlán que incurrieron en omisión en la presentación de su Declaración de Situación Patrimonial y de Intereses. No obstante dicho reconocimiento, se niega a proporcionar los nombres, cargos y demás datos solicitados, lo cual constituye una contradicción jurídica grave, ya que: Reconoce la existencia del hecho Reconoce la cantidad exacta de personas omisas Reconoce que deriva en responsabilidad administrativa </w:t>
      </w:r>
      <w:r w:rsidRPr="005D7B1F">
        <w:rPr>
          <w:rFonts w:ascii="Quattrocento Sans" w:eastAsia="Quattrocento Sans" w:hAnsi="Quattrocento Sans" w:cs="Quattrocento Sans"/>
          <w:i/>
          <w:iCs/>
          <w:sz w:val="22"/>
          <w:szCs w:val="22"/>
        </w:rPr>
        <w:t>📌</w:t>
      </w:r>
      <w:r w:rsidRPr="005D7B1F">
        <w:rPr>
          <w:rFonts w:ascii="Palatino Linotype" w:eastAsia="Palatino Linotype" w:hAnsi="Palatino Linotype" w:cs="Palatino Linotype"/>
          <w:i/>
          <w:iCs/>
          <w:sz w:val="22"/>
          <w:szCs w:val="22"/>
        </w:rPr>
        <w:t xml:space="preserve"> No puede reconocerse la existencia de servidores públicos omisos y, al mismo tiempo, negar la información que los identifica. Esto viola frontalmente el principio de congruencia y exhaustividad. **SEGUNDO AGRAVIO Clasificación implícita e ilegal de la información** La autoridad omite deliberadamente clasificar la información, pero en los hechos actúa como si se tratara de información reservada o confidencial, sin: Emitir acuerdo de clasificación Invocar fundamento legal Realizar prueba de daño Determinar temporalidad </w:t>
      </w:r>
      <w:r w:rsidRPr="005D7B1F">
        <w:rPr>
          <w:rFonts w:ascii="Quattrocento Sans" w:eastAsia="Quattrocento Sans" w:hAnsi="Quattrocento Sans" w:cs="Quattrocento Sans"/>
          <w:i/>
          <w:iCs/>
          <w:sz w:val="22"/>
          <w:szCs w:val="22"/>
        </w:rPr>
        <w:t>📌</w:t>
      </w:r>
      <w:r w:rsidRPr="005D7B1F">
        <w:rPr>
          <w:rFonts w:ascii="Palatino Linotype" w:eastAsia="Palatino Linotype" w:hAnsi="Palatino Linotype" w:cs="Palatino Linotype"/>
          <w:i/>
          <w:iCs/>
          <w:sz w:val="22"/>
          <w:szCs w:val="22"/>
        </w:rPr>
        <w:t xml:space="preserve"> Esta práctica ha sido calificada reiteradamente por el INFOEM como negativa encubierta, violatoria del artículo 173 de la Ley de Transparencia. **TERCER AGRAVIO Violación al principio de máxima publicidad** Los nombres de personas servidoras públicas que incumplen obligaciones legales: NO son datos confidenciales NO están protegidos por secreto alguno NO admiten reserva Por el contrario, existe un interés público reforzado en conocer esta información, ya que se trata de posibles responsabilidades administrativas. </w:t>
      </w:r>
      <w:r w:rsidRPr="005D7B1F">
        <w:rPr>
          <w:rFonts w:ascii="Quattrocento Sans" w:eastAsia="Quattrocento Sans" w:hAnsi="Quattrocento Sans" w:cs="Quattrocento Sans"/>
          <w:i/>
          <w:iCs/>
          <w:sz w:val="22"/>
          <w:szCs w:val="22"/>
        </w:rPr>
        <w:t>📌</w:t>
      </w:r>
      <w:r w:rsidRPr="005D7B1F">
        <w:rPr>
          <w:rFonts w:ascii="Palatino Linotype" w:eastAsia="Palatino Linotype" w:hAnsi="Palatino Linotype" w:cs="Palatino Linotype"/>
          <w:i/>
          <w:iCs/>
          <w:sz w:val="22"/>
          <w:szCs w:val="22"/>
        </w:rPr>
        <w:t xml:space="preserve"> La autoridad privilegió indebidamente la opacidad, vulnerando el artículo 6º constitucional. **CUARTO AGRAVIO Simulación de cumplimiento y respuesta evasiva reiterada** La respuesta impugnada no atiende el objeto de la solicitud, ya que: Reitera argumentos ya utilizados en respuestas anteriores Describe consecuencias jurídicas Describe atribuciones generales Pero no entrega información concreta Esto configura una conducta sistemática de simulación, prohibida por los criterios del INFOEM y contraria a la buena fe que debe regir el procedimiento de acceso a la información. **QUINTO AGRAVIO Inexistencia jurídicamente imposible** Resulta jurídicamente imposible que: Existan 39 personas omisas Se reconozca responsabilidad administrativa Exista obligación de vigilancia Y simultáneamente no existan nombres, cargos ni registros </w:t>
      </w:r>
      <w:r w:rsidRPr="005D7B1F">
        <w:rPr>
          <w:rFonts w:ascii="Quattrocento Sans" w:eastAsia="Quattrocento Sans" w:hAnsi="Quattrocento Sans" w:cs="Quattrocento Sans"/>
          <w:i/>
          <w:iCs/>
          <w:sz w:val="22"/>
          <w:szCs w:val="22"/>
        </w:rPr>
        <w:t>📌</w:t>
      </w:r>
      <w:r w:rsidRPr="005D7B1F">
        <w:rPr>
          <w:rFonts w:ascii="Palatino Linotype" w:eastAsia="Palatino Linotype" w:hAnsi="Palatino Linotype" w:cs="Palatino Linotype"/>
          <w:i/>
          <w:iCs/>
          <w:sz w:val="22"/>
          <w:szCs w:val="22"/>
        </w:rPr>
        <w:t xml:space="preserve"> La inexistencia alegada es inverosímil, pues la información deriva directamente del ejercicio de atribuciones legales obligatorias. **SEXTO AGRAVIO Falta de búsqueda exhaustiva** La autoridad no acredita haber realizado búsqueda exhaustiva, ya que no señala: Unidades administrativas consultadas Sistemas de información revisados Periodos de búsqueda Actas circunstanciadas Violando de manera directa el artículo 167 de la Ley de Transparencia. PETICIONES AL INFOEM Se solicita respetuosamente que este Instituto: REVOQUE TOTALMENTE la respuesta impugnada. ORDENE la entrega de los nombres completos, cargos y áreas de adscripción de las 39 personas servidoras públicas omisas. Subsidiariamente, ordene emitir acuerdo formal de clasificación o inexistencia, debidamente fundado y motivado. DÉ VISTA al Órgano Interno de Control por la emisión de respuestas evasivas y contradictorias. Establezca medidas de apremio en caso de incumplimiento.” (sic)</w:t>
      </w:r>
    </w:p>
    <w:p w14:paraId="7896C80E"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adjuntó el archivo “</w:t>
      </w:r>
      <w:r w:rsidRPr="005D7B1F">
        <w:rPr>
          <w:rFonts w:ascii="Palatino Linotype" w:eastAsia="Palatino Linotype" w:hAnsi="Palatino Linotype" w:cs="Palatino Linotype"/>
          <w:i/>
          <w:iCs/>
          <w:sz w:val="22"/>
          <w:szCs w:val="22"/>
        </w:rPr>
        <w:t xml:space="preserve">00445-SECOGEM-IP-2025.pdf”. </w:t>
      </w:r>
      <w:r w:rsidRPr="005D7B1F">
        <w:rPr>
          <w:rFonts w:ascii="Palatino Linotype" w:eastAsia="Palatino Linotype" w:hAnsi="Palatino Linotype" w:cs="Palatino Linotype"/>
          <w:sz w:val="22"/>
          <w:szCs w:val="22"/>
        </w:rPr>
        <w:t xml:space="preserve">proporcionado por 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en respuesta a la solicitud.</w:t>
      </w:r>
    </w:p>
    <w:p w14:paraId="4B85B12E"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b/>
          <w:bCs/>
          <w:sz w:val="22"/>
          <w:szCs w:val="22"/>
        </w:rPr>
        <w:t xml:space="preserve">4. Turno. </w:t>
      </w:r>
      <w:r w:rsidRPr="005D7B1F">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D7B1F">
        <w:rPr>
          <w:rFonts w:ascii="Palatino Linotype" w:eastAsia="Palatino Linotype" w:hAnsi="Palatino Linotype" w:cs="Palatino Linotype"/>
          <w:b/>
          <w:bCs/>
          <w:sz w:val="22"/>
          <w:szCs w:val="22"/>
        </w:rPr>
        <w:t xml:space="preserve">Guadalupe Ramírez Peña, </w:t>
      </w:r>
      <w:r w:rsidRPr="005D7B1F">
        <w:rPr>
          <w:rFonts w:ascii="Palatino Linotype" w:eastAsia="Palatino Linotype" w:hAnsi="Palatino Linotype" w:cs="Palatino Linotype"/>
          <w:sz w:val="22"/>
          <w:szCs w:val="22"/>
        </w:rPr>
        <w:t>a efecto de que analizara sobre su admisión o su desechamiento.</w:t>
      </w:r>
    </w:p>
    <w:p w14:paraId="62EB015C" w14:textId="77777777" w:rsidR="006C2841" w:rsidRPr="005D7B1F" w:rsidRDefault="00D06478">
      <w:pPr>
        <w:spacing w:before="240" w:after="240" w:line="360" w:lineRule="auto"/>
        <w:jc w:val="both"/>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b/>
          <w:bCs/>
          <w:sz w:val="22"/>
          <w:szCs w:val="22"/>
        </w:rPr>
        <w:t>5. Admisión del Recurso de revisión.</w:t>
      </w:r>
      <w:r w:rsidRPr="005D7B1F">
        <w:rPr>
          <w:rFonts w:ascii="Palatino Linotype" w:eastAsia="Palatino Linotype" w:hAnsi="Palatino Linotype" w:cs="Palatino Linotype"/>
          <w:sz w:val="22"/>
          <w:szCs w:val="22"/>
        </w:rPr>
        <w:t xml:space="preserve"> El</w:t>
      </w:r>
      <w:r w:rsidRPr="005D7B1F">
        <w:rPr>
          <w:rFonts w:ascii="Palatino Linotype" w:eastAsia="Palatino Linotype" w:hAnsi="Palatino Linotype" w:cs="Palatino Linotype"/>
          <w:b/>
          <w:bCs/>
          <w:sz w:val="22"/>
          <w:szCs w:val="22"/>
        </w:rPr>
        <w:t xml:space="preserve"> quince de enero de dos mil veinticinco, </w:t>
      </w:r>
      <w:r w:rsidRPr="005D7B1F">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presentara su informe justificado.</w:t>
      </w:r>
    </w:p>
    <w:p w14:paraId="6CA0037B" w14:textId="77777777" w:rsidR="006C2841" w:rsidRPr="005D7B1F" w:rsidRDefault="00D06478">
      <w:pPr>
        <w:spacing w:before="240" w:after="240" w:line="360" w:lineRule="auto"/>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sz w:val="22"/>
          <w:szCs w:val="22"/>
        </w:rPr>
        <w:t>6. Manifestaciones</w:t>
      </w:r>
      <w:r w:rsidRPr="005D7B1F">
        <w:rPr>
          <w:rFonts w:ascii="Palatino Linotype" w:eastAsia="Palatino Linotype" w:hAnsi="Palatino Linotype" w:cs="Palatino Linotype"/>
          <w:sz w:val="22"/>
          <w:szCs w:val="22"/>
        </w:rPr>
        <w:t xml:space="preserve">. El </w:t>
      </w:r>
      <w:r w:rsidRPr="005D7B1F">
        <w:rPr>
          <w:rFonts w:ascii="Palatino Linotype" w:eastAsia="Palatino Linotype" w:hAnsi="Palatino Linotype" w:cs="Palatino Linotype"/>
          <w:b/>
          <w:bCs/>
          <w:sz w:val="22"/>
          <w:szCs w:val="22"/>
        </w:rPr>
        <w:t>veintitrés de enero de</w:t>
      </w:r>
      <w:r w:rsidRPr="005D7B1F">
        <w:rPr>
          <w:rFonts w:ascii="Palatino Linotype" w:eastAsia="Palatino Linotype" w:hAnsi="Palatino Linotype" w:cs="Palatino Linotype"/>
          <w:sz w:val="22"/>
          <w:szCs w:val="22"/>
        </w:rPr>
        <w:t xml:space="preserve"> </w:t>
      </w:r>
      <w:r w:rsidRPr="005D7B1F">
        <w:rPr>
          <w:rFonts w:ascii="Palatino Linotype" w:eastAsia="Palatino Linotype" w:hAnsi="Palatino Linotype" w:cs="Palatino Linotype"/>
          <w:b/>
          <w:bCs/>
          <w:sz w:val="22"/>
          <w:szCs w:val="22"/>
        </w:rPr>
        <w:t>dos mil veintiséis</w:t>
      </w:r>
      <w:r w:rsidRPr="005D7B1F">
        <w:rPr>
          <w:rFonts w:ascii="Palatino Linotype" w:eastAsia="Palatino Linotype" w:hAnsi="Palatino Linotype" w:cs="Palatino Linotype"/>
          <w:sz w:val="22"/>
          <w:szCs w:val="22"/>
        </w:rPr>
        <w:t xml:space="preserve">, 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remitió, a través del SAIMEX su informe justificado, el cual, una vez analizado, se hizo del conocimiento de la persona solicitante a efecto de que manifestara lo que a su derecho estimara conveniente, siendo omisa en ejercer dicha prerrogativa.</w:t>
      </w:r>
    </w:p>
    <w:p w14:paraId="51B27673"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b/>
          <w:bCs/>
          <w:sz w:val="22"/>
          <w:szCs w:val="22"/>
        </w:rPr>
        <w:t xml:space="preserve">7. Cierre de instrucción. </w:t>
      </w:r>
      <w:r w:rsidRPr="005D7B1F">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5D7B1F">
        <w:rPr>
          <w:rFonts w:ascii="Palatino Linotype" w:eastAsia="Palatino Linotype" w:hAnsi="Palatino Linotype" w:cs="Palatino Linotype"/>
          <w:b/>
          <w:bCs/>
          <w:sz w:val="22"/>
          <w:szCs w:val="22"/>
        </w:rPr>
        <w:t>treinta de enero de dos mil veintiséis</w:t>
      </w:r>
      <w:r w:rsidRPr="005D7B1F">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67701DA"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5E8EED7F" w14:textId="77777777" w:rsidR="006C2841" w:rsidRPr="005D7B1F" w:rsidRDefault="00D06478">
      <w:pPr>
        <w:widowControl w:val="0"/>
        <w:spacing w:before="240" w:after="240" w:line="360" w:lineRule="auto"/>
        <w:jc w:val="center"/>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b/>
          <w:bCs/>
          <w:sz w:val="22"/>
          <w:szCs w:val="22"/>
        </w:rPr>
        <w:t>II. C O N S I D E R A N D O S</w:t>
      </w:r>
    </w:p>
    <w:p w14:paraId="2C3A1128"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6" w:name="_heading=h.9hvwel199kxp" w:colFirst="0" w:colLast="0"/>
      <w:bookmarkEnd w:id="6"/>
      <w:r w:rsidRPr="005D7B1F">
        <w:rPr>
          <w:rFonts w:ascii="Palatino Linotype" w:eastAsia="Palatino Linotype" w:hAnsi="Palatino Linotype" w:cs="Palatino Linotype"/>
          <w:b/>
          <w:bCs/>
          <w:sz w:val="22"/>
          <w:szCs w:val="22"/>
        </w:rPr>
        <w:t>Primero. Competencia.</w:t>
      </w:r>
      <w:r w:rsidRPr="005D7B1F">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4AB0F436"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7" w:name="_heading=h.tyjcwt" w:colFirst="0" w:colLast="0"/>
      <w:bookmarkEnd w:id="7"/>
      <w:r w:rsidRPr="005D7B1F">
        <w:rPr>
          <w:rFonts w:ascii="Palatino Linotype" w:eastAsia="Palatino Linotype" w:hAnsi="Palatino Linotype" w:cs="Palatino Linotype"/>
          <w:b/>
          <w:bCs/>
          <w:sz w:val="22"/>
          <w:szCs w:val="22"/>
        </w:rPr>
        <w:t>Segundo. Oportunidad y Procedibilidad del Recurso de Revisión</w:t>
      </w:r>
      <w:r w:rsidRPr="005D7B1F">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1959CCE"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remitió la respuesta a la solicitud de información el día </w:t>
      </w:r>
      <w:r w:rsidRPr="005D7B1F">
        <w:rPr>
          <w:rFonts w:ascii="Palatino Linotype" w:eastAsia="Palatino Linotype" w:hAnsi="Palatino Linotype" w:cs="Palatino Linotype"/>
          <w:b/>
          <w:bCs/>
          <w:sz w:val="22"/>
          <w:szCs w:val="22"/>
        </w:rPr>
        <w:t xml:space="preserve">diecinueve de diciembre de dos mil veinticinco, </w:t>
      </w:r>
      <w:r w:rsidRPr="005D7B1F">
        <w:rPr>
          <w:rFonts w:ascii="Palatino Linotype" w:eastAsia="Palatino Linotype" w:hAnsi="Palatino Linotype" w:cs="Palatino Linotype"/>
          <w:sz w:val="22"/>
          <w:szCs w:val="22"/>
        </w:rPr>
        <w:t xml:space="preserve">mientras que el recurso de revisión interpuesto por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se tuvo por presentado el día</w:t>
      </w:r>
      <w:r w:rsidRPr="005D7B1F">
        <w:rPr>
          <w:rFonts w:ascii="Palatino Linotype" w:eastAsia="Palatino Linotype" w:hAnsi="Palatino Linotype" w:cs="Palatino Linotype"/>
          <w:b/>
          <w:bCs/>
          <w:sz w:val="22"/>
          <w:szCs w:val="22"/>
        </w:rPr>
        <w:t xml:space="preserve"> diecinueve de diciembre de dos mil veinticinco, </w:t>
      </w:r>
      <w:r w:rsidRPr="005D7B1F">
        <w:rPr>
          <w:rFonts w:ascii="Palatino Linotype" w:eastAsia="Palatino Linotype" w:hAnsi="Palatino Linotype" w:cs="Palatino Linotype"/>
          <w:sz w:val="22"/>
          <w:szCs w:val="22"/>
        </w:rPr>
        <w:t>esto es, el mismo día en el que tuvo conocimiento de la respuesta impugnada. En este sentido, se concluye que el presente recurso de revisión se encuentra dentro de los márgenes temporales previstos en las disposiciones legales referidas.</w:t>
      </w:r>
    </w:p>
    <w:p w14:paraId="63AD2E80"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5DDD007"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“RECURSO DE RECLAMACIÓN. SU INTERPOSICIÓN NO ES EXTEMPORÁNEA SI SE REALIZA ANTES DE QUE INICIE EL PLAZO PARA HACERLO</w:t>
      </w:r>
      <w:r w:rsidRPr="005D7B1F">
        <w:rPr>
          <w:rFonts w:ascii="Palatino Linotype" w:eastAsia="Palatino Linotype" w:hAnsi="Palatino Linotype" w:cs="Palatino Linotype"/>
          <w:i/>
          <w:iCs/>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9824E39"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Al mismo tiempo, por cuanto hace a la procedibilidad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14:paraId="06FFA499"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Finalmente, se advierte que resulta procedente la interposición del recurso, según lo manifestado por 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xml:space="preserve"> en sus motivos de inconformidad, de acuerdo al artículo 179, fracción I del ordenamiento legal citado, que a la letra dice: </w:t>
      </w:r>
    </w:p>
    <w:p w14:paraId="185A246D" w14:textId="77777777" w:rsidR="006C2841" w:rsidRPr="005D7B1F" w:rsidRDefault="00D06478">
      <w:pPr>
        <w:tabs>
          <w:tab w:val="left" w:pos="7938"/>
        </w:tabs>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w:t>
      </w:r>
      <w:r w:rsidRPr="005D7B1F">
        <w:rPr>
          <w:rFonts w:ascii="Palatino Linotype" w:eastAsia="Palatino Linotype" w:hAnsi="Palatino Linotype" w:cs="Palatino Linotype"/>
          <w:b/>
          <w:bCs/>
          <w:i/>
          <w:iCs/>
          <w:sz w:val="22"/>
          <w:szCs w:val="22"/>
        </w:rPr>
        <w:t>Artículo 179.</w:t>
      </w:r>
      <w:r w:rsidRPr="005D7B1F">
        <w:rPr>
          <w:rFonts w:ascii="Palatino Linotype" w:eastAsia="Palatino Linotype" w:hAnsi="Palatino Linotype" w:cs="Palatino Linotype"/>
          <w:i/>
          <w:iCs/>
          <w:sz w:val="22"/>
          <w:szCs w:val="22"/>
        </w:rPr>
        <w:t xml:space="preserve"> El recurso de revisión es un medio de protección que la Ley otorga a los particulares, para hacer valer su derecho de acceso a la información pública, y procederá en contra de las siguientes causas:</w:t>
      </w:r>
    </w:p>
    <w:p w14:paraId="55342ED5" w14:textId="77777777" w:rsidR="006C2841" w:rsidRPr="005D7B1F" w:rsidRDefault="00D06478">
      <w:pPr>
        <w:tabs>
          <w:tab w:val="left" w:pos="7938"/>
        </w:tabs>
        <w:spacing w:before="120" w:after="120"/>
        <w:ind w:left="851" w:right="900"/>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w:t>
      </w:r>
      <w:r w:rsidRPr="005D7B1F">
        <w:rPr>
          <w:rFonts w:ascii="Palatino Linotype" w:eastAsia="Palatino Linotype" w:hAnsi="Palatino Linotype" w:cs="Palatino Linotype"/>
          <w:i/>
          <w:iCs/>
          <w:sz w:val="22"/>
          <w:szCs w:val="22"/>
        </w:rPr>
        <w:t xml:space="preserve"> La negativa a la información solicitada;”</w:t>
      </w:r>
    </w:p>
    <w:p w14:paraId="4DF574EC" w14:textId="77777777" w:rsidR="006C2841" w:rsidRPr="005D7B1F" w:rsidRDefault="00D06478">
      <w:pPr>
        <w:spacing w:before="240" w:after="240" w:line="360" w:lineRule="auto"/>
        <w:jc w:val="both"/>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b/>
          <w:bCs/>
          <w:sz w:val="22"/>
          <w:szCs w:val="22"/>
        </w:rPr>
        <w:t xml:space="preserve">Tercero. Materia de la revisión. </w:t>
      </w:r>
      <w:r w:rsidRPr="005D7B1F">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D7B1F">
        <w:rPr>
          <w:rFonts w:ascii="Palatino Linotype" w:eastAsia="Palatino Linotype" w:hAnsi="Palatino Linotype" w:cs="Palatino Linotype"/>
          <w:b/>
          <w:bCs/>
          <w:sz w:val="22"/>
          <w:szCs w:val="22"/>
        </w:rPr>
        <w:t xml:space="preserve">verificar si la información proporcionada por el Sujeto Obligado es adecuada y suficiente para satisfacer el derecho de acceso a la información pública </w:t>
      </w:r>
      <w:r w:rsidRPr="005D7B1F">
        <w:rPr>
          <w:rFonts w:ascii="Palatino Linotype" w:eastAsia="Palatino Linotype" w:hAnsi="Palatino Linotype" w:cs="Palatino Linotype"/>
          <w:sz w:val="22"/>
          <w:szCs w:val="22"/>
        </w:rPr>
        <w:t xml:space="preserve">de 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o en su defecto, en caso de ser procedente, ordenar la entrega de información.</w:t>
      </w:r>
    </w:p>
    <w:p w14:paraId="5C936FE1"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8" w:name="_heading=h.2et92p0" w:colFirst="0" w:colLast="0"/>
      <w:bookmarkEnd w:id="8"/>
      <w:r w:rsidRPr="005D7B1F">
        <w:rPr>
          <w:rFonts w:ascii="Palatino Linotype" w:eastAsia="Palatino Linotype" w:hAnsi="Palatino Linotype" w:cs="Palatino Linotype"/>
          <w:b/>
          <w:bCs/>
          <w:sz w:val="22"/>
          <w:szCs w:val="22"/>
        </w:rPr>
        <w:t xml:space="preserve">Cuarto. Estudio del asunto. </w:t>
      </w:r>
      <w:r w:rsidRPr="005D7B1F">
        <w:rPr>
          <w:rFonts w:ascii="Palatino Linotype" w:eastAsia="Palatino Linotype" w:hAnsi="Palatino Linotype" w:cs="Palatino Linotype"/>
          <w:sz w:val="22"/>
          <w:szCs w:val="22"/>
        </w:rPr>
        <w:t>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1F37E507"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w:t>
      </w:r>
      <w:r w:rsidRPr="005D7B1F">
        <w:rPr>
          <w:rFonts w:ascii="Palatino Linotype" w:eastAsia="Palatino Linotype" w:hAnsi="Palatino Linotype" w:cs="Palatino Linotype"/>
          <w:b/>
          <w:bCs/>
          <w:i/>
          <w:iCs/>
          <w:sz w:val="22"/>
          <w:szCs w:val="22"/>
        </w:rPr>
        <w:t>Artículo 4</w:t>
      </w:r>
      <w:r w:rsidRPr="005D7B1F">
        <w:rPr>
          <w:rFonts w:ascii="Palatino Linotype" w:eastAsia="Palatino Linotype" w:hAnsi="Palatino Linotype" w:cs="Palatino Linotype"/>
          <w:i/>
          <w:iCs/>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3E5A12A9"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Toda la información generada, obtenida, adquirida, transformada, administrada o en posesión de los sujetos obligados es pública y accesible de manera permanente a cualquier persona</w:t>
      </w:r>
      <w:r w:rsidRPr="005D7B1F">
        <w:rPr>
          <w:rFonts w:ascii="Palatino Linotype" w:eastAsia="Palatino Linotype" w:hAnsi="Palatino Linotype" w:cs="Palatino Linotype"/>
          <w:i/>
          <w:iCs/>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08AC46C"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Los sujetos obligados deben poner en práctica, políticas y programas de acceso a la información que se apeguen a criterios de publicidad, veracidad, oportunidad, precisión y suficiencia en beneficio de los solicitantes</w:t>
      </w:r>
      <w:r w:rsidRPr="005D7B1F">
        <w:rPr>
          <w:rFonts w:ascii="Palatino Linotype" w:eastAsia="Palatino Linotype" w:hAnsi="Palatino Linotype" w:cs="Palatino Linotype"/>
          <w:i/>
          <w:iCs/>
          <w:sz w:val="22"/>
          <w:szCs w:val="22"/>
        </w:rPr>
        <w:t>.”</w:t>
      </w:r>
    </w:p>
    <w:p w14:paraId="069E33B6"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7E3283BD"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“Artículo 12.-</w:t>
      </w:r>
      <w:r w:rsidRPr="005D7B1F">
        <w:rPr>
          <w:rFonts w:ascii="Palatino Linotype" w:eastAsia="Palatino Linotype" w:hAnsi="Palatino Linotype" w:cs="Palatino Linotype"/>
          <w:i/>
          <w:iCs/>
          <w:sz w:val="22"/>
          <w:szCs w:val="22"/>
        </w:rPr>
        <w:t xml:space="preserve"> Quienes generen, recopilen, administren, manejen, procesen, archiven o conserven información pública serán responsables de la misma en los términos de las disposiciones jurídicas aplicables. </w:t>
      </w:r>
    </w:p>
    <w:p w14:paraId="72F4D375"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Los sujetos obligados sólo proporcionarán la información pública que se les requiera y que obre en sus archivos y en el estado en que ésta se encuentre</w:t>
      </w:r>
      <w:r w:rsidRPr="005D7B1F">
        <w:rPr>
          <w:rFonts w:ascii="Palatino Linotype" w:eastAsia="Palatino Linotype" w:hAnsi="Palatino Linotype" w:cs="Palatino Linotype"/>
          <w:i/>
          <w:iCs/>
          <w:sz w:val="22"/>
          <w:szCs w:val="22"/>
        </w:rPr>
        <w:t xml:space="preserve">. </w:t>
      </w:r>
      <w:r w:rsidRPr="005D7B1F">
        <w:rPr>
          <w:rFonts w:ascii="Palatino Linotype" w:eastAsia="Palatino Linotype" w:hAnsi="Palatino Linotype" w:cs="Palatino Linotype"/>
          <w:b/>
          <w:bCs/>
          <w:i/>
          <w:iCs/>
          <w:sz w:val="22"/>
          <w:szCs w:val="22"/>
        </w:rPr>
        <w:t>La obligación de proporcionar información no comprende el procesamiento de la misma, ni el presentarla conforme al interés del solicitante; no estarán obligados a generarla, resumirla, efectuar cálculos o practicar investigaciones.”</w:t>
      </w:r>
    </w:p>
    <w:p w14:paraId="35611BA0" w14:textId="77777777" w:rsidR="006C2841" w:rsidRPr="005D7B1F" w:rsidRDefault="00D06478">
      <w:pPr>
        <w:spacing w:before="240" w:after="240" w:line="360" w:lineRule="auto"/>
        <w:ind w:right="-93"/>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696DA728" w14:textId="77777777" w:rsidR="006C2841" w:rsidRPr="005D7B1F" w:rsidRDefault="00D06478">
      <w:pPr>
        <w:spacing w:before="240" w:after="240" w:line="360" w:lineRule="auto"/>
        <w:jc w:val="both"/>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sz w:val="22"/>
          <w:szCs w:val="22"/>
        </w:rPr>
        <w:t>Sirve de apoyo a lo anterior, el criterio orientador con clave de control SO/003/2017, emitido por el entonces Instituto Nacional de Transparencia, Acceso a la Información y Protección de Datos Personales, que por rubro y texto, dispone lo siguiente:</w:t>
      </w:r>
      <w:r w:rsidRPr="005D7B1F">
        <w:rPr>
          <w:rFonts w:ascii="Palatino Linotype" w:eastAsia="Palatino Linotype" w:hAnsi="Palatino Linotype" w:cs="Palatino Linotype"/>
          <w:b/>
          <w:bCs/>
          <w:sz w:val="22"/>
          <w:szCs w:val="22"/>
        </w:rPr>
        <w:t xml:space="preserve"> </w:t>
      </w:r>
    </w:p>
    <w:p w14:paraId="2EB2A829" w14:textId="77777777" w:rsidR="006C2841" w:rsidRPr="005D7B1F" w:rsidRDefault="00D06478">
      <w:pPr>
        <w:spacing w:before="120" w:after="120"/>
        <w:ind w:left="1134"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 “</w:t>
      </w:r>
      <w:r w:rsidRPr="005D7B1F">
        <w:rPr>
          <w:rFonts w:ascii="Palatino Linotype" w:eastAsia="Palatino Linotype" w:hAnsi="Palatino Linotype" w:cs="Palatino Linotype"/>
          <w:b/>
          <w:bCs/>
          <w:i/>
          <w:iCs/>
          <w:sz w:val="22"/>
          <w:szCs w:val="22"/>
        </w:rPr>
        <w:t>No existe obligación de elaborar documentos ad hoc para atender las solicitudes de acceso a la información.</w:t>
      </w:r>
      <w:r w:rsidRPr="005D7B1F">
        <w:rPr>
          <w:rFonts w:ascii="Palatino Linotype" w:eastAsia="Palatino Linotype" w:hAnsi="Palatino Linotype" w:cs="Palatino Linotype"/>
          <w:i/>
          <w:iCs/>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16EA05B0" w14:textId="77777777" w:rsidR="006C2841" w:rsidRPr="005D7B1F" w:rsidRDefault="00D06478">
      <w:pPr>
        <w:spacing w:before="120" w:after="12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AE8EDC8" w14:textId="77777777" w:rsidR="006C2841" w:rsidRPr="005D7B1F" w:rsidRDefault="00D06478">
      <w:pPr>
        <w:spacing w:before="120" w:after="12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F6D804" w14:textId="77777777" w:rsidR="006C2841" w:rsidRPr="005D7B1F" w:rsidRDefault="00D06478">
      <w:pPr>
        <w:tabs>
          <w:tab w:val="left" w:pos="993"/>
        </w:tabs>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w:t>
      </w:r>
      <w:r w:rsidRPr="005D7B1F">
        <w:rPr>
          <w:rFonts w:ascii="Palatino Linotype" w:eastAsia="Palatino Linotype" w:hAnsi="Palatino Linotype" w:cs="Palatino Linotype"/>
          <w:b/>
          <w:bCs/>
          <w:i/>
          <w:iCs/>
          <w:sz w:val="22"/>
          <w:szCs w:val="22"/>
        </w:rPr>
        <w:t xml:space="preserve">Artículo 3. </w:t>
      </w:r>
      <w:r w:rsidRPr="005D7B1F">
        <w:rPr>
          <w:rFonts w:ascii="Palatino Linotype" w:eastAsia="Palatino Linotype" w:hAnsi="Palatino Linotype" w:cs="Palatino Linotype"/>
          <w:i/>
          <w:iCs/>
          <w:sz w:val="22"/>
          <w:szCs w:val="22"/>
        </w:rPr>
        <w:t>Para los efectos de la presente Ley se entenderá por:</w:t>
      </w:r>
    </w:p>
    <w:p w14:paraId="4CC9DA6F" w14:textId="77777777" w:rsidR="006C2841" w:rsidRPr="005D7B1F" w:rsidRDefault="00D06478">
      <w:pPr>
        <w:tabs>
          <w:tab w:val="left" w:pos="993"/>
        </w:tabs>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w:t>
      </w:r>
    </w:p>
    <w:p w14:paraId="76CDAB03" w14:textId="77777777" w:rsidR="006C2841" w:rsidRPr="005D7B1F" w:rsidRDefault="00D06478">
      <w:pPr>
        <w:tabs>
          <w:tab w:val="left" w:pos="993"/>
        </w:tabs>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XI. Documento:</w:t>
      </w:r>
      <w:r w:rsidRPr="005D7B1F">
        <w:rPr>
          <w:rFonts w:ascii="Palatino Linotype" w:eastAsia="Palatino Linotype" w:hAnsi="Palatino Linotype" w:cs="Palatino Linotype"/>
          <w:i/>
          <w:iCs/>
          <w:sz w:val="22"/>
          <w:szCs w:val="22"/>
        </w:rPr>
        <w:t xml:space="preserve"> Los expedientes, reportes, estudios, actas</w:t>
      </w:r>
      <w:r w:rsidRPr="005D7B1F">
        <w:rPr>
          <w:rFonts w:ascii="Palatino Linotype" w:eastAsia="Palatino Linotype" w:hAnsi="Palatino Linotype" w:cs="Palatino Linotype"/>
          <w:b/>
          <w:bCs/>
          <w:i/>
          <w:iCs/>
          <w:sz w:val="22"/>
          <w:szCs w:val="22"/>
        </w:rPr>
        <w:t>,</w:t>
      </w:r>
      <w:r w:rsidRPr="005D7B1F">
        <w:rPr>
          <w:rFonts w:ascii="Palatino Linotype" w:eastAsia="Palatino Linotype" w:hAnsi="Palatino Linotype" w:cs="Palatino Linotype"/>
          <w:i/>
          <w:iCs/>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4B26985C"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Es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2AFEE72"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sz w:val="22"/>
          <w:szCs w:val="22"/>
        </w:rPr>
        <w:t>“</w:t>
      </w:r>
      <w:r w:rsidRPr="005D7B1F">
        <w:rPr>
          <w:rFonts w:ascii="Palatino Linotype" w:eastAsia="Palatino Linotype" w:hAnsi="Palatino Linotype" w:cs="Palatino Linotype"/>
          <w:b/>
          <w:bCs/>
          <w:i/>
          <w:iCs/>
          <w:sz w:val="22"/>
          <w:szCs w:val="22"/>
        </w:rPr>
        <w:t>INFORMACIÓN PÚBLICA, CONCEPTO DE, EN MATERIA DE TRANSPARENCIA. INTERPRETACIÓN SISTEMÁTICA DE LOS ARTÍCULOS 2°, FRACCIÓN V, XV, Y XVI, 3°, 4°, 11 Y 41.</w:t>
      </w:r>
      <w:r w:rsidRPr="005D7B1F">
        <w:rPr>
          <w:rFonts w:ascii="Palatino Linotype" w:eastAsia="Palatino Linotype" w:hAnsi="Palatino Linotype" w:cs="Palatino Linotype"/>
          <w:i/>
          <w:iCs/>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25B49E7"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En consecuencia el acceso a la información se refiere a que se cumplan cualquiera de los siguientes tres supuestos:</w:t>
      </w:r>
    </w:p>
    <w:p w14:paraId="132F0F7E"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1) Que se trate de información registrada en cualquier soporte documental, que en ejercicio de las atribuciones conferidas, sea generada por los Sujetos Obligados;</w:t>
      </w:r>
    </w:p>
    <w:p w14:paraId="0F720FD2"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2) Que se trate de información registrada en cualquier soporte documental, que en ejercicio de las atribuciones conferidas, sea administrada por los Sujetos Obligados, y</w:t>
      </w:r>
    </w:p>
    <w:p w14:paraId="25D5A3DD"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3) Que se trate de información registrada en cualquier soporte documental, que en ejercicio de las atribuciones conferidas, se encuentre en posesión de los Sujetos Obligados.”</w:t>
      </w:r>
    </w:p>
    <w:p w14:paraId="0FFC0E16" w14:textId="77777777" w:rsidR="006C2841" w:rsidRPr="005D7B1F" w:rsidRDefault="00D06478">
      <w:pPr>
        <w:spacing w:before="240" w:after="240" w:line="360" w:lineRule="auto"/>
        <w:ind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3B50954"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el mismo tenor, los artículos 6, apartado A, fracción I, de la Constitución Política de los Estados Unidos Mexicanos y 5, párrafo cuadragésimo sexto,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6333C337" w14:textId="77777777" w:rsidR="006C2841" w:rsidRPr="005D7B1F" w:rsidRDefault="00D06478">
      <w:pPr>
        <w:spacing w:before="240" w:after="240" w:line="360" w:lineRule="auto"/>
        <w:ind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xml:space="preserve"> requirió al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le proporcione, información consistente en lo siguiente:</w:t>
      </w:r>
    </w:p>
    <w:p w14:paraId="53D4FDCE" w14:textId="77777777" w:rsidR="006C2841" w:rsidRPr="005D7B1F" w:rsidRDefault="00D06478">
      <w:pPr>
        <w:spacing w:before="240" w:after="240" w:line="360" w:lineRule="auto"/>
        <w:ind w:left="284"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1. Respecto de la respuesta emitida en la solicitud 00428/SECOGEM/IP/2025, solicito una aclaración detallada sobre las razones por las cuales no se proporcionaron los nombres de las 39 personas servidoras públicas del Ayuntamiento de Tepotzotlán que fueron identificadas como omisas. </w:t>
      </w:r>
    </w:p>
    <w:p w14:paraId="2D19A619" w14:textId="77777777" w:rsidR="006C2841" w:rsidRPr="005D7B1F" w:rsidRDefault="00D06478">
      <w:pPr>
        <w:spacing w:before="240" w:after="240" w:line="360" w:lineRule="auto"/>
        <w:ind w:left="284"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2. Se indique: </w:t>
      </w:r>
    </w:p>
    <w:p w14:paraId="4C05D3E4" w14:textId="77777777" w:rsidR="006C2841" w:rsidRPr="005D7B1F" w:rsidRDefault="00D06478">
      <w:pPr>
        <w:spacing w:before="240" w:after="240" w:line="276" w:lineRule="auto"/>
        <w:ind w:left="567"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2. 1 Si existe alguna clasificación de información que impida proporcionar los nombres de servidores públicos omisos. </w:t>
      </w:r>
    </w:p>
    <w:p w14:paraId="169E9E42" w14:textId="77777777" w:rsidR="006C2841" w:rsidRPr="005D7B1F" w:rsidRDefault="00D06478">
      <w:pPr>
        <w:spacing w:before="240" w:after="240" w:line="276" w:lineRule="auto"/>
        <w:ind w:left="567"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2.2  En caso afirmativo, la resolución, acta o acuerdo del Comité de Transparencia donde se haya determinado dicha clasificación. </w:t>
      </w:r>
    </w:p>
    <w:p w14:paraId="5E2A07F1" w14:textId="77777777" w:rsidR="006C2841" w:rsidRPr="005D7B1F" w:rsidRDefault="00D06478">
      <w:pPr>
        <w:spacing w:before="240" w:after="240" w:line="276" w:lineRule="auto"/>
        <w:ind w:left="567"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2.3 Fundamento exacto (artículos y fracciones) que justifique negar el nombre de servidores públicos que incumplieron una obligación legal de transparencia. </w:t>
      </w:r>
    </w:p>
    <w:p w14:paraId="0D7F8AB6" w14:textId="77777777" w:rsidR="006C2841" w:rsidRPr="005D7B1F" w:rsidRDefault="00D06478">
      <w:pPr>
        <w:spacing w:before="240" w:after="240" w:line="360" w:lineRule="auto"/>
        <w:ind w:left="284" w:right="51"/>
        <w:jc w:val="both"/>
        <w:rPr>
          <w:rFonts w:ascii="Palatino Linotype" w:eastAsia="Palatino Linotype" w:hAnsi="Palatino Linotype" w:cs="Palatino Linotype"/>
          <w:b/>
          <w:bCs/>
          <w:sz w:val="22"/>
          <w:szCs w:val="22"/>
          <w:u w:val="single"/>
        </w:rPr>
      </w:pPr>
      <w:r w:rsidRPr="005D7B1F">
        <w:rPr>
          <w:rFonts w:ascii="Palatino Linotype" w:eastAsia="Palatino Linotype" w:hAnsi="Palatino Linotype" w:cs="Palatino Linotype"/>
          <w:sz w:val="22"/>
          <w:szCs w:val="22"/>
        </w:rPr>
        <w:t xml:space="preserve">3. De no existir clasificación vigente, </w:t>
      </w:r>
      <w:r w:rsidRPr="005D7B1F">
        <w:rPr>
          <w:rFonts w:ascii="Palatino Linotype" w:eastAsia="Palatino Linotype" w:hAnsi="Palatino Linotype" w:cs="Palatino Linotype"/>
          <w:b/>
          <w:bCs/>
          <w:sz w:val="22"/>
          <w:szCs w:val="22"/>
          <w:u w:val="single"/>
        </w:rPr>
        <w:t>se entregue la lista completa de los 39 servidores públicos omisos.</w:t>
      </w:r>
    </w:p>
    <w:p w14:paraId="70F919A4" w14:textId="77777777" w:rsidR="006C2841" w:rsidRPr="005D7B1F" w:rsidRDefault="00D06478">
      <w:pPr>
        <w:tabs>
          <w:tab w:val="left" w:pos="3828"/>
        </w:tabs>
        <w:spacing w:before="240" w:after="240" w:line="360" w:lineRule="auto"/>
        <w:ind w:right="4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respuesta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 por conducto de la Subsecretaría de Responsabilidades Administrativas y la Dirección de Registro de Declaraciones y de Sanciones a su cargo, señaló que no se proporcionaron los nombres de las personas servidoras públicas adscritas al Ayuntamiento de Tepotzotlán, Estado de México, que fueron omisas en la presentación de su Declaración de Situación Patrimonial y de Intereses, toda vez que no fue información que haya sido requerida dentro de la solicitud de información número 00428/SECOGEM/IP/2025, asimismo indicó que derivado de la omisión de la presentación de la Declaración Situación Patrimonial y de Intereses, por parte de las 39 personas servidoras públicas, las mismas son sujetas a procedimiento administrativo iniciado, tal como lo establece el artículo 34, párrafo cuarto de la Ley de Responsabilidades Administrativas del Estado de México y Municipios, publicada en el Periódico Oficial "Gaceta del Gobierno" el 30 de mayo 2017.</w:t>
      </w:r>
    </w:p>
    <w:p w14:paraId="1F59AB41" w14:textId="77777777" w:rsidR="006C2841" w:rsidRPr="005D7B1F" w:rsidRDefault="00D06478">
      <w:pPr>
        <w:spacing w:before="240" w:after="240" w:line="360" w:lineRule="auto"/>
        <w:ind w:right="4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Sin embargo, al no estar conforme con los términos de la respuesta proporcionada en primera instancia,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 xml:space="preserve">interpuso el recurso de revisión que nos ocupa, en el que manifestó en lo medular, que a pesar de que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reconoció expresamente la existencia de la información, se negó a proporcionar los nombres, cargos y demás datos solicitados de los 39 personas servidoras públicas que incurrieron en omisión en la presentación de su declaración de situación patrimonial y de intereses, así como tampoco se hizo entrega del acuerdo mediante el cual se clasificara la información ni se realizó la prueba de daño correspondiente, además de que se viola el principio de máxima publicidad, ya que a su consideración, el nombre de las personas servidoras públicas que incumplen con obligaciones legales no son datos confidenciales, ni están protegidos por secreto alguno, ya que existe un interés público reforzado en conocer dicha información, al tratarse de posibles responsabilidades administrativas.</w:t>
      </w:r>
    </w:p>
    <w:p w14:paraId="4E0BAE0F"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la etapa de manifestaciones, atendiendo a los motivos de inconformidad alegados por la persona solicitante,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reiteró la respuesta proporcionada en primera instancia por la Subsecretaría de Responsabilidades Administrativas, a través de la Dirección de Registro de Declaraciones y Sanciones, argumentando que emitió una respuesta con una motivación suficiente, al explicar las razones jurídicas y competenciales que impiden entregar la información solicitada, en virtud de que los nombres, cargos y demás, no fue información requerida dentro de la solicitud de información número 00428/SECOGEM/IP/2025, ya que el reconocimiento de un dato cuantitativo no implica material ni jurídicamente la existencia de un listado, ni mucho menos la obligación de elaborarlo pues conforme a la Ley de Transparencia el derecho de acceso a la información no obliga a crear información nueva.</w:t>
      </w:r>
    </w:p>
    <w:p w14:paraId="3121604C"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los mismos términos indicó que no se realizó una clasificación de los nombres de las personas servidoras públicas adscritas al H. Ayuntamiento de Tepotzotlán que fueron omisas en la Declaración de Situación Patrimonial y de Intereses, porque no fueron solicitados.</w:t>
      </w:r>
    </w:p>
    <w:p w14:paraId="68781E32"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Finalmente, respecto de la simulación de cumplimiento y respuesta evasiva reiterada, la inexistencia jurídicamente imposible y falta de búsqueda exhaustiva, alegada por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 xml:space="preserve">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refirió que dichos agravios son infundados ya que el Sujeto Obligado sí realizo una búsqueda razonable y acorde a la naturaleza de la solicitud por lo que en ningún momento evadió o trató de evadir su obligación para con el solicitante ahora recurrente, ya que, en el momento oportuno, se entregó la información que fue requerida, existiendo siempre una relación lógica de la información otorgada, con lo solicitado, por lo que se garantizó el principio de exhaustividad.</w:t>
      </w:r>
    </w:p>
    <w:p w14:paraId="632B5527" w14:textId="77777777" w:rsidR="006C2841" w:rsidRPr="005D7B1F" w:rsidRDefault="00D06478">
      <w:pPr>
        <w:spacing w:before="240" w:after="240" w:line="360" w:lineRule="auto"/>
        <w:ind w:right="4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Dicha información se hizo del conocimiento de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sin embargo</w:t>
      </w:r>
      <w:r w:rsidRPr="005D7B1F">
        <w:rPr>
          <w:rFonts w:ascii="Palatino Linotype" w:eastAsia="Palatino Linotype" w:hAnsi="Palatino Linotype" w:cs="Palatino Linotype"/>
          <w:b/>
          <w:bCs/>
          <w:sz w:val="22"/>
          <w:szCs w:val="22"/>
        </w:rPr>
        <w:t xml:space="preserve">, </w:t>
      </w:r>
      <w:r w:rsidRPr="005D7B1F">
        <w:rPr>
          <w:rFonts w:ascii="Palatino Linotype" w:eastAsia="Palatino Linotype" w:hAnsi="Palatino Linotype" w:cs="Palatino Linotype"/>
          <w:sz w:val="22"/>
          <w:szCs w:val="22"/>
        </w:rPr>
        <w:t>fue omisa en hacer valer manifestaciones o rendir alegatos que conforme a derecho resultaran procedentes, por lo tanto, se tiene por precluido su derecho.</w:t>
      </w:r>
    </w:p>
    <w:p w14:paraId="106EB614"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Una vez establecidas las posturas de las partes, se procede al análisis de los requerimientos de información, así como la información proporcionada por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en contraposición con el motivo de inconformidad alegado por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con la finalidad de determinar si el Derecho de acceso de esta se satisfizo, o en su defecto, señalar los documentos que en el ejercicio de sus atribuciones pudo haber generado, y que, de manera enunciativa más no limitativa, pudieran colmar dicho derecho, en caso de ser procedente.</w:t>
      </w:r>
    </w:p>
    <w:p w14:paraId="024BC8E1" w14:textId="77777777" w:rsidR="006C2841" w:rsidRPr="005D7B1F" w:rsidRDefault="00D06478">
      <w:pPr>
        <w:spacing w:before="240" w:after="240" w:line="360" w:lineRule="auto"/>
        <w:jc w:val="both"/>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sz w:val="22"/>
          <w:szCs w:val="22"/>
        </w:rPr>
        <w:t>En este tenor, por lo que se refiere a la primera parte de la solicitud, relativa a la “</w:t>
      </w:r>
      <w:r w:rsidRPr="005D7B1F">
        <w:rPr>
          <w:rFonts w:ascii="Palatino Linotype" w:eastAsia="Palatino Linotype" w:hAnsi="Palatino Linotype" w:cs="Palatino Linotype"/>
          <w:i/>
          <w:iCs/>
          <w:sz w:val="22"/>
          <w:szCs w:val="22"/>
        </w:rPr>
        <w:t>aclaración detallada sobre las razones por las cuales no se proporcionaron los nombres de las 39 personas servidoras públicas del Ayuntamiento de Tepotzotlán que fueron identificadas como omisas</w:t>
      </w:r>
      <w:r w:rsidRPr="005D7B1F">
        <w:rPr>
          <w:rFonts w:ascii="Palatino Linotype" w:eastAsia="Palatino Linotype" w:hAnsi="Palatino Linotype" w:cs="Palatino Linotype"/>
          <w:sz w:val="22"/>
          <w:szCs w:val="22"/>
        </w:rPr>
        <w:t xml:space="preserve">” (sic) debe decirse que </w:t>
      </w:r>
      <w:r w:rsidRPr="005D7B1F">
        <w:rPr>
          <w:rFonts w:ascii="Palatino Linotype" w:eastAsia="Palatino Linotype" w:hAnsi="Palatino Linotype" w:cs="Palatino Linotype"/>
          <w:b/>
          <w:bCs/>
          <w:sz w:val="22"/>
          <w:szCs w:val="22"/>
          <w:u w:val="single"/>
        </w:rPr>
        <w:t>NO constituye un Derecho de acceso a la información</w:t>
      </w:r>
      <w:r w:rsidRPr="005D7B1F">
        <w:rPr>
          <w:rFonts w:ascii="Palatino Linotype" w:eastAsia="Palatino Linotype" w:hAnsi="Palatino Linotype" w:cs="Palatino Linotype"/>
          <w:b/>
          <w:bCs/>
          <w:sz w:val="22"/>
          <w:szCs w:val="22"/>
        </w:rPr>
        <w:t xml:space="preserve"> y por lo tanto no es atendible mediante una solicitud de acceso a la información pública,</w:t>
      </w:r>
      <w:r w:rsidRPr="005D7B1F">
        <w:rPr>
          <w:rFonts w:ascii="Palatino Linotype" w:eastAsia="Palatino Linotype" w:hAnsi="Palatino Linotype" w:cs="Palatino Linotype"/>
          <w:sz w:val="22"/>
          <w:szCs w:val="22"/>
        </w:rPr>
        <w:t xml:space="preserve"> porque se trata de planteamientos, interrogantes, declaraciones, solicitud de acciones, vertidos por la persona solicitante, lo cual conlleva a afirmar que </w:t>
      </w:r>
      <w:r w:rsidRPr="005D7B1F">
        <w:rPr>
          <w:rFonts w:ascii="Palatino Linotype" w:eastAsia="Palatino Linotype" w:hAnsi="Palatino Linotype" w:cs="Palatino Linotype"/>
          <w:b/>
          <w:bCs/>
          <w:sz w:val="22"/>
          <w:szCs w:val="22"/>
        </w:rPr>
        <w:t xml:space="preserve">se está en presencia del ejercicio del Derecho a la libre expresión y en todo caso a un Derecho de petición. </w:t>
      </w:r>
    </w:p>
    <w:p w14:paraId="30660847" w14:textId="77777777" w:rsidR="006C2841" w:rsidRPr="005D7B1F" w:rsidRDefault="00D06478">
      <w:pPr>
        <w:spacing w:before="240" w:after="240" w:line="360" w:lineRule="auto"/>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sz w:val="22"/>
          <w:szCs w:val="22"/>
        </w:rPr>
        <w:t xml:space="preserve">A efecto de sustentar lo anterior, es preciso mencionar que David Cienfuegos Salgado, concibe al derecho de petición como </w:t>
      </w:r>
      <w:r w:rsidRPr="005D7B1F">
        <w:rPr>
          <w:rFonts w:ascii="Palatino Linotype" w:eastAsia="Palatino Linotype" w:hAnsi="Palatino Linotype" w:cs="Palatino Linotype"/>
          <w:i/>
          <w:iCs/>
          <w:sz w:val="22"/>
          <w:szCs w:val="22"/>
        </w:rPr>
        <w:t>“</w:t>
      </w:r>
      <w:r w:rsidRPr="005D7B1F">
        <w:rPr>
          <w:rFonts w:ascii="Palatino Linotype" w:eastAsia="Palatino Linotype" w:hAnsi="Palatino Linotype" w:cs="Palatino Linotype"/>
          <w:b/>
          <w:bCs/>
          <w:i/>
          <w:iCs/>
          <w:sz w:val="22"/>
          <w:szCs w:val="22"/>
          <w:u w:val="single"/>
        </w:rPr>
        <w:t>el derecho de toda persona a ser escuchado por quienes ejercen el poder públic</w:t>
      </w:r>
      <w:r w:rsidRPr="005D7B1F">
        <w:rPr>
          <w:rFonts w:ascii="Palatino Linotype" w:eastAsia="Palatino Linotype" w:hAnsi="Palatino Linotype" w:cs="Palatino Linotype"/>
          <w:i/>
          <w:iCs/>
          <w:sz w:val="22"/>
          <w:szCs w:val="22"/>
        </w:rPr>
        <w:t>o.</w:t>
      </w:r>
      <w:r w:rsidRPr="005D7B1F">
        <w:rPr>
          <w:rFonts w:ascii="Palatino Linotype" w:eastAsia="Palatino Linotype" w:hAnsi="Palatino Linotype" w:cs="Palatino Linotype"/>
          <w:i/>
          <w:iCs/>
          <w:sz w:val="22"/>
          <w:szCs w:val="22"/>
          <w:vertAlign w:val="superscript"/>
        </w:rPr>
        <w:t xml:space="preserve"> </w:t>
      </w:r>
      <w:r w:rsidRPr="005D7B1F">
        <w:rPr>
          <w:rFonts w:ascii="Palatino Linotype" w:eastAsia="Palatino Linotype" w:hAnsi="Palatino Linotype" w:cs="Palatino Linotype"/>
          <w:i/>
          <w:iCs/>
          <w:sz w:val="22"/>
          <w:szCs w:val="22"/>
          <w:vertAlign w:val="superscript"/>
        </w:rPr>
        <w:footnoteReference w:id="1"/>
      </w:r>
      <w:r w:rsidRPr="005D7B1F">
        <w:rPr>
          <w:rFonts w:ascii="Palatino Linotype" w:eastAsia="Palatino Linotype" w:hAnsi="Palatino Linotype" w:cs="Palatino Linotype"/>
          <w:i/>
          <w:iCs/>
          <w:sz w:val="22"/>
          <w:szCs w:val="22"/>
        </w:rPr>
        <w:t xml:space="preserve">” (Sic) </w:t>
      </w:r>
    </w:p>
    <w:p w14:paraId="55584989"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De la misma manera, Miguel Carbonell en su libro “Los derechos fundamentales” refiere que el </w:t>
      </w:r>
      <w:r w:rsidRPr="005D7B1F">
        <w:rPr>
          <w:rFonts w:ascii="Palatino Linotype" w:eastAsia="Palatino Linotype" w:hAnsi="Palatino Linotype" w:cs="Palatino Linotype"/>
          <w:sz w:val="22"/>
          <w:szCs w:val="22"/>
          <w:u w:val="single"/>
        </w:rPr>
        <w:t>derecho de petición se ha entendido de dos distintitas maneras</w:t>
      </w:r>
      <w:r w:rsidRPr="005D7B1F">
        <w:rPr>
          <w:rFonts w:ascii="Palatino Linotype" w:eastAsia="Palatino Linotype" w:hAnsi="Palatino Linotype" w:cs="Palatino Linotype"/>
          <w:sz w:val="22"/>
          <w:szCs w:val="22"/>
        </w:rPr>
        <w:t xml:space="preserve">, a saber: como un derecho fundamental de participación política ya que </w:t>
      </w:r>
      <w:r w:rsidRPr="005D7B1F">
        <w:rPr>
          <w:rFonts w:ascii="Palatino Linotype" w:eastAsia="Palatino Linotype" w:hAnsi="Palatino Linotype" w:cs="Palatino Linotype"/>
          <w:sz w:val="22"/>
          <w:szCs w:val="22"/>
          <w:u w:val="single"/>
        </w:rPr>
        <w:t xml:space="preserve">permite a los particulares trasladar a las autoridades sus </w:t>
      </w:r>
      <w:r w:rsidRPr="005D7B1F">
        <w:rPr>
          <w:rFonts w:ascii="Palatino Linotype" w:eastAsia="Palatino Linotype" w:hAnsi="Palatino Linotype" w:cs="Palatino Linotype"/>
          <w:b/>
          <w:bCs/>
          <w:sz w:val="22"/>
          <w:szCs w:val="22"/>
          <w:u w:val="single"/>
        </w:rPr>
        <w:t>inquietudes, quejas</w:t>
      </w:r>
      <w:r w:rsidRPr="005D7B1F">
        <w:rPr>
          <w:rFonts w:ascii="Palatino Linotype" w:eastAsia="Palatino Linotype" w:hAnsi="Palatino Linotype" w:cs="Palatino Linotype"/>
          <w:sz w:val="22"/>
          <w:szCs w:val="22"/>
          <w:u w:val="single"/>
        </w:rPr>
        <w:t>, sugerencias</w:t>
      </w:r>
      <w:r w:rsidRPr="005D7B1F">
        <w:rPr>
          <w:rFonts w:ascii="Palatino Linotype" w:eastAsia="Palatino Linotype" w:hAnsi="Palatino Linotype" w:cs="Palatino Linotype"/>
          <w:sz w:val="22"/>
          <w:szCs w:val="22"/>
        </w:rPr>
        <w:t xml:space="preserve"> y requerimientos en cualquier materia o asunto; y como una </w:t>
      </w:r>
      <w:r w:rsidRPr="005D7B1F">
        <w:rPr>
          <w:rFonts w:ascii="Palatino Linotype" w:eastAsia="Palatino Linotype" w:hAnsi="Palatino Linotype" w:cs="Palatino Linotype"/>
          <w:b/>
          <w:bCs/>
          <w:sz w:val="22"/>
          <w:szCs w:val="22"/>
        </w:rPr>
        <w:t>forma específica de la libertad de expresión</w:t>
      </w:r>
      <w:r w:rsidRPr="005D7B1F">
        <w:rPr>
          <w:rFonts w:ascii="Palatino Linotype" w:eastAsia="Palatino Linotype" w:hAnsi="Palatino Linotype" w:cs="Palatino Linotype"/>
          <w:sz w:val="22"/>
          <w:szCs w:val="22"/>
        </w:rPr>
        <w:t>, en tanto que permite expresarse frente a las autoridades. De igual manera que el derecho de petición se traduce en la obligación de todos los funcionarios y autoridades de permitir a los ciudadanos de dirigirse a ellos en demanda de lo que deseen expresar o solicitar y responder de dicha demanda por escrito, de forma congruente y en un plazo breve.</w:t>
      </w:r>
      <w:r w:rsidRPr="005D7B1F">
        <w:rPr>
          <w:rFonts w:ascii="Palatino Linotype" w:eastAsia="Palatino Linotype" w:hAnsi="Palatino Linotype" w:cs="Palatino Linotype"/>
          <w:sz w:val="22"/>
          <w:szCs w:val="22"/>
          <w:vertAlign w:val="superscript"/>
        </w:rPr>
        <w:footnoteReference w:id="2"/>
      </w:r>
    </w:p>
    <w:p w14:paraId="3709F106" w14:textId="77777777" w:rsidR="006C2841" w:rsidRPr="005D7B1F" w:rsidRDefault="00D0647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b/>
          <w:bCs/>
          <w:sz w:val="22"/>
          <w:szCs w:val="22"/>
          <w:u w:val="single"/>
        </w:rPr>
      </w:pPr>
      <w:r w:rsidRPr="005D7B1F">
        <w:rPr>
          <w:rFonts w:ascii="Palatino Linotype" w:eastAsia="Palatino Linotype" w:hAnsi="Palatino Linotype" w:cs="Palatino Linotype"/>
          <w:sz w:val="22"/>
          <w:szCs w:val="22"/>
        </w:rPr>
        <w:t xml:space="preserve">Por otro lado, el autor anteriormente citado, indica que el </w:t>
      </w:r>
      <w:r w:rsidRPr="005D7B1F">
        <w:rPr>
          <w:rFonts w:ascii="Palatino Linotype" w:eastAsia="Palatino Linotype" w:hAnsi="Palatino Linotype" w:cs="Palatino Linotype"/>
          <w:b/>
          <w:bCs/>
          <w:sz w:val="22"/>
          <w:szCs w:val="22"/>
          <w:u w:val="single"/>
        </w:rPr>
        <w:t>Derecho de acceso a la información pública</w:t>
      </w:r>
      <w:r w:rsidRPr="005D7B1F">
        <w:rPr>
          <w:rFonts w:ascii="Palatino Linotype" w:eastAsia="Palatino Linotype" w:hAnsi="Palatino Linotype" w:cs="Palatino Linotype"/>
          <w:sz w:val="22"/>
          <w:szCs w:val="22"/>
        </w:rPr>
        <w:t xml:space="preserve"> es el Derecho de conocer la </w:t>
      </w:r>
      <w:r w:rsidRPr="005D7B1F">
        <w:rPr>
          <w:rFonts w:ascii="Palatino Linotype" w:eastAsia="Palatino Linotype" w:hAnsi="Palatino Linotype" w:cs="Palatino Linotype"/>
          <w:b/>
          <w:bCs/>
          <w:sz w:val="22"/>
          <w:szCs w:val="22"/>
          <w:u w:val="single"/>
        </w:rPr>
        <w:t>información de carácter público que se genera o está en posesión de los órganos del poder público</w:t>
      </w:r>
      <w:r w:rsidRPr="005D7B1F">
        <w:rPr>
          <w:rFonts w:ascii="Palatino Linotype" w:eastAsia="Palatino Linotype" w:hAnsi="Palatino Linotype" w:cs="Palatino Linotype"/>
          <w:sz w:val="22"/>
          <w:szCs w:val="22"/>
        </w:rPr>
        <w:t xml:space="preserve"> o de los sujetos que utilizan o se benefician con recursos provenientes del Estado, es el derecho que tienen los ciudadanos </w:t>
      </w:r>
      <w:r w:rsidRPr="005D7B1F">
        <w:rPr>
          <w:rFonts w:ascii="Palatino Linotype" w:eastAsia="Palatino Linotype" w:hAnsi="Palatino Linotype" w:cs="Palatino Linotype"/>
          <w:b/>
          <w:bCs/>
          <w:sz w:val="22"/>
          <w:szCs w:val="22"/>
          <w:u w:val="single"/>
        </w:rPr>
        <w:t>para acceder a documentos y datos que obren en el poder del gobierno.</w:t>
      </w:r>
    </w:p>
    <w:p w14:paraId="13704E5F" w14:textId="77777777" w:rsidR="006C2841" w:rsidRPr="005D7B1F" w:rsidRDefault="00D0647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Por su parte, Ernesto Villanueva define al </w:t>
      </w:r>
      <w:r w:rsidRPr="005D7B1F">
        <w:rPr>
          <w:rFonts w:ascii="Palatino Linotype" w:eastAsia="Palatino Linotype" w:hAnsi="Palatino Linotype" w:cs="Palatino Linotype"/>
          <w:b/>
          <w:bCs/>
          <w:sz w:val="22"/>
          <w:szCs w:val="22"/>
        </w:rPr>
        <w:t>Derecho de acceso a la información</w:t>
      </w:r>
      <w:r w:rsidRPr="005D7B1F">
        <w:rPr>
          <w:rFonts w:ascii="Palatino Linotype" w:eastAsia="Palatino Linotype" w:hAnsi="Palatino Linotype" w:cs="Palatino Linotype"/>
          <w:sz w:val="22"/>
          <w:szCs w:val="22"/>
        </w:rPr>
        <w:t xml:space="preserve"> pública como </w:t>
      </w:r>
      <w:r w:rsidRPr="005D7B1F">
        <w:rPr>
          <w:rFonts w:ascii="Palatino Linotype" w:eastAsia="Palatino Linotype" w:hAnsi="Palatino Linotype" w:cs="Palatino Linotype"/>
          <w:b/>
          <w:bCs/>
          <w:sz w:val="22"/>
          <w:szCs w:val="22"/>
          <w:u w:val="single"/>
        </w:rPr>
        <w:t>la prerrogativa de la persona para acceder a datos, registros y todo tipo de informaciones en poder de las entidades públicas</w:t>
      </w:r>
      <w:r w:rsidRPr="005D7B1F">
        <w:rPr>
          <w:rFonts w:ascii="Palatino Linotype" w:eastAsia="Palatino Linotype" w:hAnsi="Palatino Linotype" w:cs="Palatino Linotype"/>
          <w:sz w:val="22"/>
          <w:szCs w:val="22"/>
        </w:rPr>
        <w:t xml:space="preserve"> y empresas privadas que ejercen gasto público o cumplen funciones de autoridad, con las excepciones taxativas que establezca la ley en una sociedad democrática.</w:t>
      </w:r>
      <w:r w:rsidRPr="005D7B1F">
        <w:rPr>
          <w:rFonts w:ascii="Palatino Linotype" w:eastAsia="Palatino Linotype" w:hAnsi="Palatino Linotype" w:cs="Palatino Linotype"/>
          <w:sz w:val="22"/>
          <w:szCs w:val="22"/>
          <w:vertAlign w:val="superscript"/>
        </w:rPr>
        <w:footnoteReference w:id="3"/>
      </w:r>
    </w:p>
    <w:p w14:paraId="567B4829" w14:textId="77777777" w:rsidR="006C2841" w:rsidRPr="005D7B1F" w:rsidRDefault="00D0647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De lo anterior se puede concluir que la distinción entre el </w:t>
      </w:r>
      <w:r w:rsidRPr="005D7B1F">
        <w:rPr>
          <w:rFonts w:ascii="Palatino Linotype" w:eastAsia="Palatino Linotype" w:hAnsi="Palatino Linotype" w:cs="Palatino Linotype"/>
          <w:b/>
          <w:bCs/>
          <w:sz w:val="22"/>
          <w:szCs w:val="22"/>
          <w:u w:val="single"/>
        </w:rPr>
        <w:t>Derecho de petición</w:t>
      </w:r>
      <w:r w:rsidRPr="005D7B1F">
        <w:rPr>
          <w:rFonts w:ascii="Palatino Linotype" w:eastAsia="Palatino Linotype" w:hAnsi="Palatino Linotype" w:cs="Palatino Linotype"/>
          <w:sz w:val="22"/>
          <w:szCs w:val="22"/>
        </w:rPr>
        <w:t xml:space="preserve"> y el Derecho de acceso a la información descansa principalmente, en que </w:t>
      </w:r>
      <w:r w:rsidRPr="005D7B1F">
        <w:rPr>
          <w:rFonts w:ascii="Palatino Linotype" w:eastAsia="Palatino Linotype" w:hAnsi="Palatino Linotype" w:cs="Palatino Linotype"/>
          <w:b/>
          <w:bCs/>
          <w:sz w:val="22"/>
          <w:szCs w:val="22"/>
        </w:rPr>
        <w:t>la pretensión del peticionario consiste generalmente en obligar a la autoridad responsable a que actúe</w:t>
      </w:r>
      <w:r w:rsidRPr="005D7B1F">
        <w:rPr>
          <w:rFonts w:ascii="Palatino Linotype" w:eastAsia="Palatino Linotype" w:hAnsi="Palatino Linotype" w:cs="Palatino Linotype"/>
          <w:sz w:val="22"/>
          <w:szCs w:val="22"/>
        </w:rPr>
        <w:t xml:space="preserve"> </w:t>
      </w:r>
      <w:r w:rsidRPr="005D7B1F">
        <w:rPr>
          <w:rFonts w:ascii="Palatino Linotype" w:eastAsia="Palatino Linotype" w:hAnsi="Palatino Linotype" w:cs="Palatino Linotype"/>
          <w:b/>
          <w:bCs/>
          <w:sz w:val="22"/>
          <w:szCs w:val="22"/>
        </w:rPr>
        <w:t>en el sentido de contestar lo solicitado</w:t>
      </w:r>
      <w:r w:rsidRPr="005D7B1F">
        <w:rPr>
          <w:rFonts w:ascii="Palatino Linotype" w:eastAsia="Palatino Linotype" w:hAnsi="Palatino Linotype" w:cs="Palatino Linotype"/>
          <w:sz w:val="22"/>
          <w:szCs w:val="22"/>
        </w:rPr>
        <w:t xml:space="preserve">, mientras que </w:t>
      </w:r>
      <w:r w:rsidRPr="005D7B1F">
        <w:rPr>
          <w:rFonts w:ascii="Palatino Linotype" w:eastAsia="Palatino Linotype" w:hAnsi="Palatino Linotype" w:cs="Palatino Linotype"/>
          <w:b/>
          <w:bCs/>
          <w:sz w:val="22"/>
          <w:szCs w:val="22"/>
          <w:u w:val="single"/>
        </w:rPr>
        <w:t>en el derecho de acceso a la información pública,</w:t>
      </w:r>
      <w:r w:rsidRPr="005D7B1F">
        <w:rPr>
          <w:rFonts w:ascii="Palatino Linotype" w:eastAsia="Palatino Linotype" w:hAnsi="Palatino Linotype" w:cs="Palatino Linotype"/>
          <w:b/>
          <w:bCs/>
          <w:sz w:val="22"/>
          <w:szCs w:val="22"/>
        </w:rPr>
        <w:t xml:space="preserve"> la pretensión radica en que se permita el acceso a datos y todo tipo de documentación que tenga el carácter de información pública, que sea generada, administrada o se encuentre en posesión de los</w:t>
      </w:r>
      <w:r w:rsidRPr="005D7B1F">
        <w:rPr>
          <w:rFonts w:ascii="Palatino Linotype" w:eastAsia="Palatino Linotype" w:hAnsi="Palatino Linotype" w:cs="Palatino Linotype"/>
          <w:sz w:val="22"/>
          <w:szCs w:val="22"/>
        </w:rPr>
        <w:t xml:space="preserve"> considerados </w:t>
      </w:r>
      <w:r w:rsidRPr="005D7B1F">
        <w:rPr>
          <w:rFonts w:ascii="Palatino Linotype" w:eastAsia="Palatino Linotype" w:hAnsi="Palatino Linotype" w:cs="Palatino Linotype"/>
          <w:b/>
          <w:bCs/>
          <w:sz w:val="22"/>
          <w:szCs w:val="22"/>
        </w:rPr>
        <w:t>Sujetos Obligados</w:t>
      </w:r>
      <w:r w:rsidRPr="005D7B1F">
        <w:rPr>
          <w:rFonts w:ascii="Palatino Linotype" w:eastAsia="Palatino Linotype" w:hAnsi="Palatino Linotype" w:cs="Palatino Linotype"/>
          <w:sz w:val="22"/>
          <w:szCs w:val="22"/>
        </w:rPr>
        <w:t xml:space="preserve"> por la Ley de la Materia.</w:t>
      </w:r>
    </w:p>
    <w:p w14:paraId="528C28D5" w14:textId="684E0B2E" w:rsidR="006C2841" w:rsidRPr="005D7B1F" w:rsidRDefault="00D06478">
      <w:pPr>
        <w:pBdr>
          <w:top w:val="nil"/>
          <w:left w:val="nil"/>
          <w:bottom w:val="nil"/>
          <w:right w:val="nil"/>
          <w:between w:val="nil"/>
        </w:pBdr>
        <w:spacing w:before="240" w:after="240" w:line="360" w:lineRule="auto"/>
        <w:ind w:right="99"/>
        <w:jc w:val="both"/>
        <w:rPr>
          <w:rFonts w:ascii="Palatino Linotype" w:eastAsia="Palatino Linotype" w:hAnsi="Palatino Linotype" w:cs="Palatino Linotype"/>
          <w:b/>
          <w:bCs/>
          <w:strike/>
          <w:sz w:val="22"/>
          <w:szCs w:val="22"/>
          <w:u w:val="single"/>
        </w:rPr>
      </w:pPr>
      <w:r w:rsidRPr="005D7B1F">
        <w:rPr>
          <w:rFonts w:ascii="Palatino Linotype" w:eastAsia="Palatino Linotype" w:hAnsi="Palatino Linotype" w:cs="Palatino Linotype"/>
          <w:sz w:val="22"/>
          <w:szCs w:val="22"/>
        </w:rPr>
        <w:t xml:space="preserve">Con base a lo anterior, se insiste que de la lectura de los requerimientos de información  y los motivos de inconformidad alegados, </w:t>
      </w:r>
      <w:r w:rsidRPr="005D7B1F">
        <w:rPr>
          <w:rFonts w:ascii="Palatino Linotype" w:eastAsia="Palatino Linotype" w:hAnsi="Palatino Linotype" w:cs="Palatino Linotype"/>
          <w:b/>
          <w:bCs/>
          <w:sz w:val="22"/>
          <w:szCs w:val="22"/>
          <w:u w:val="single"/>
        </w:rPr>
        <w:t>no se advierte que la persona solicitante pretenda el acceso a documentos previamente generados</w:t>
      </w:r>
      <w:r w:rsidRPr="005D7B1F">
        <w:rPr>
          <w:rFonts w:ascii="Palatino Linotype" w:eastAsia="Palatino Linotype" w:hAnsi="Palatino Linotype" w:cs="Palatino Linotype"/>
          <w:b/>
          <w:bCs/>
          <w:sz w:val="22"/>
          <w:szCs w:val="22"/>
        </w:rPr>
        <w:t>, s</w:t>
      </w:r>
      <w:r w:rsidRPr="005D7B1F">
        <w:rPr>
          <w:rFonts w:ascii="Palatino Linotype" w:eastAsia="Palatino Linotype" w:hAnsi="Palatino Linotype" w:cs="Palatino Linotype"/>
          <w:sz w:val="22"/>
          <w:szCs w:val="22"/>
        </w:rPr>
        <w:t xml:space="preserve">ino más bien, </w:t>
      </w:r>
      <w:r w:rsidRPr="005D7B1F">
        <w:rPr>
          <w:rFonts w:ascii="Palatino Linotype" w:eastAsia="Palatino Linotype" w:hAnsi="Palatino Linotype" w:cs="Palatino Linotype"/>
          <w:b/>
          <w:bCs/>
          <w:sz w:val="22"/>
          <w:szCs w:val="22"/>
          <w:u w:val="single"/>
        </w:rPr>
        <w:t>requiere un pronunciamiento y que se lleven a cabo acciones específicas por parte del Sujeto Obligado que dé respuesta a la situación que plantea,</w:t>
      </w:r>
      <w:r w:rsidRPr="005D7B1F">
        <w:rPr>
          <w:rFonts w:ascii="Palatino Linotype" w:eastAsia="Palatino Linotype" w:hAnsi="Palatino Linotype" w:cs="Palatino Linotype"/>
          <w:sz w:val="22"/>
          <w:szCs w:val="22"/>
        </w:rPr>
        <w:t xml:space="preserve"> toda vez que </w:t>
      </w:r>
      <w:r w:rsidRPr="005D7B1F">
        <w:rPr>
          <w:rFonts w:ascii="Palatino Linotype" w:eastAsia="Palatino Linotype" w:hAnsi="Palatino Linotype" w:cs="Palatino Linotype"/>
          <w:b/>
          <w:bCs/>
          <w:sz w:val="22"/>
          <w:szCs w:val="22"/>
        </w:rPr>
        <w:t xml:space="preserve">lo que cuestiona es </w:t>
      </w:r>
      <w:r w:rsidR="00CC503F" w:rsidRPr="005D7B1F">
        <w:rPr>
          <w:rFonts w:ascii="Palatino Linotype" w:eastAsia="Palatino Linotype" w:hAnsi="Palatino Linotype" w:cs="Palatino Linotype"/>
          <w:b/>
          <w:bCs/>
          <w:sz w:val="22"/>
          <w:szCs w:val="22"/>
        </w:rPr>
        <w:t>la razón por la cual no le fue entregado el nombre de los 39 servidores públicos adscritos al ayuntamiento de Tepotzotlán, que omitieron presentar su declaración de situación patrimonial y de intereses</w:t>
      </w:r>
      <w:r w:rsidR="009D60E9" w:rsidRPr="005D7B1F">
        <w:rPr>
          <w:rFonts w:ascii="Palatino Linotype" w:eastAsia="Palatino Linotype" w:hAnsi="Palatino Linotype" w:cs="Palatino Linotype"/>
          <w:b/>
          <w:bCs/>
          <w:sz w:val="22"/>
          <w:szCs w:val="22"/>
        </w:rPr>
        <w:t>.</w:t>
      </w:r>
    </w:p>
    <w:p w14:paraId="66074858"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No obstante, bajo el principio de máxima publicidad, la Unidad de Transparencia turnó la solicitud a la Subsecretaría de Responsabilidades Administrativas, la cual a través de la Dirección de Registro de Declaraciones y de Sanciones, es competente para  conocer de la información que es del interés de la persona solicitante. </w:t>
      </w:r>
    </w:p>
    <w:p w14:paraId="406F576C"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Lo anterior de conformidad con el código estructural 21803000030000L del Manual General de Organización de la Secretaría de la Contraloría, donde se establece que la Dirección de Registro de Declaraciones y de Sanciones tiene como objetivo administrar y coordinar la recepción, registro y resguardo de las declaraciones de situación patrimonial y de intereses, así como el acuse de presentación de la declaración fiscal de las personas servidoras públicas de las Administraciones Públicas Estatal y Municipal; administrar el registro, de las sanciones impuestas a las personas servidoras públicas y/o particulares, impuestas durante los procedimientos de responsabilidad administrativa correspondiente, entre cuyas atribuciones se encuentran las siguientes:</w:t>
      </w:r>
    </w:p>
    <w:p w14:paraId="0A79A2F4"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Dirigir la integración del padrón de las personas servidoras públicas obligadas a la presentación de las declaraciones de situación patrimonial, de intereses y, en su caso, el acuse de presentación de declaración fiscal, conforme a lo dispuesto en la Ley de Responsabilidades Administrativas del Estado de México y Municipios.</w:t>
      </w:r>
    </w:p>
    <w:p w14:paraId="776D2083" w14:textId="77777777" w:rsidR="006C2841" w:rsidRPr="005D7B1F" w:rsidRDefault="00D06478">
      <w:pPr>
        <w:spacing w:before="280" w:after="280" w:line="360" w:lineRule="auto"/>
        <w:ind w:left="284"/>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Dirigir las acciones para que la presentación de la declaración de situación patrimonial, de intereses y en su caso, el acuse de la presentación de la declaración fiscal de las personas servidoras públicas de la Administración Pública Estatal y Municipal, se realice conforme a las normas y los formatos electrónicos, así como a los manuales e instructivos emitidos por el Comité Coordinador del Sistema Nacional Anticorrupción.</w:t>
      </w:r>
    </w:p>
    <w:p w14:paraId="3085326F" w14:textId="77777777" w:rsidR="006C2841" w:rsidRPr="005D7B1F" w:rsidRDefault="00D06478">
      <w:pPr>
        <w:spacing w:before="280" w:after="280" w:line="360" w:lineRule="auto"/>
        <w:ind w:left="284"/>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Supervisar las acciones para la detección de quienes omitieron o presentaron extemporáneamente la declaración de situación patrimonial, de intereses y el acuse de la presentación de la declaración fiscal.</w:t>
      </w:r>
    </w:p>
    <w:p w14:paraId="00EC9515" w14:textId="77777777" w:rsidR="006C2841" w:rsidRPr="005D7B1F" w:rsidRDefault="00D06478">
      <w:pPr>
        <w:spacing w:before="280" w:after="280" w:line="360" w:lineRule="auto"/>
        <w:ind w:left="284"/>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Turnar a los Órganos Internos de Control, o en su caso, a la Dirección de Investigación de la Secretaría de la Contraloría, el listado de aquellas personas servidoras públicas que presuntamente fueron omisos o presentaron de manera extemporánea la declaración de situación patrimonial, de intereses y, en su caso, el acuse de la presentación de la declaración fiscal.</w:t>
      </w:r>
    </w:p>
    <w:p w14:paraId="0F20086B"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tal contexto, la persona servidora pública, aún sin tener obligación de ello, informó que la razón por la cual no fue proporcionado el nombre de las 30 personas servidoras públicas adscritas al Ayuntamiento de Tepotzotlán, Estado de México, que fueron omisas en la presentación de su Declaración de Situación Patrimonial y de Intereses, en respuesta a la solicitud 00428/SECOGEM/IP/2025, en virtud de que dicha información no fue requerida en dicha solicitud.</w:t>
      </w:r>
    </w:p>
    <w:p w14:paraId="5AEFB6C7"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Para mejor referencia, a continuación se cita el contenido de la solicitud 00428/SECOGEM/IP/2025 referida por la persona solicitante: </w:t>
      </w:r>
    </w:p>
    <w:p w14:paraId="3943E7B1" w14:textId="77777777" w:rsidR="006C2841" w:rsidRPr="005D7B1F" w:rsidRDefault="00D06478">
      <w:pPr>
        <w:spacing w:before="280" w:after="280"/>
        <w:ind w:left="851" w:right="900"/>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“Solicito copia en versión pública de todas las declaraciones patrimoniales y de intereses correspondientes al ejercicio 2025 de los servidores públicos del H. Ayuntamiento de Tepotzotlán, Estado de México, que obren en los archivos de esa Secretaría de la Contraloría, independientemente del nivel jerárquico, puesto o área de adscripción. Requiero versión pública conforme a lo establecido en los Lineamientos Técnicos Generales en materia de declaraciones patrimoniales y a la Ley de Transparencia y Acceso a la Información Pública del Estado de México. En caso de que existan versiones públicas previamente generadas en el SEVAC, solicito que se me proporcionen. </w:t>
      </w:r>
      <w:r w:rsidRPr="005D7B1F">
        <w:rPr>
          <w:rFonts w:ascii="Palatino Linotype" w:eastAsia="Palatino Linotype" w:hAnsi="Palatino Linotype" w:cs="Palatino Linotype"/>
          <w:b/>
          <w:bCs/>
          <w:i/>
          <w:iCs/>
          <w:sz w:val="22"/>
          <w:szCs w:val="22"/>
        </w:rPr>
        <w:t xml:space="preserve">En caso de que existan servidores públicos de Tepotzotlán obligados a declarar y que no hayan cumplido, solicito que se me informe el </w:t>
      </w:r>
      <w:r w:rsidRPr="005D7B1F">
        <w:rPr>
          <w:rFonts w:ascii="Palatino Linotype" w:eastAsia="Palatino Linotype" w:hAnsi="Palatino Linotype" w:cs="Palatino Linotype"/>
          <w:b/>
          <w:bCs/>
          <w:i/>
          <w:iCs/>
          <w:sz w:val="22"/>
          <w:szCs w:val="22"/>
          <w:u w:val="single"/>
        </w:rPr>
        <w:t>número de omisos</w:t>
      </w:r>
      <w:r w:rsidRPr="005D7B1F">
        <w:rPr>
          <w:rFonts w:ascii="Palatino Linotype" w:eastAsia="Palatino Linotype" w:hAnsi="Palatino Linotype" w:cs="Palatino Linotype"/>
          <w:b/>
          <w:bCs/>
          <w:i/>
          <w:iCs/>
          <w:sz w:val="22"/>
          <w:szCs w:val="22"/>
        </w:rPr>
        <w:t xml:space="preserve"> y el área responsable de vigilar el cumplimiento</w:t>
      </w:r>
      <w:r w:rsidRPr="005D7B1F">
        <w:rPr>
          <w:rFonts w:ascii="Palatino Linotype" w:eastAsia="Palatino Linotype" w:hAnsi="Palatino Linotype" w:cs="Palatino Linotype"/>
          <w:i/>
          <w:iCs/>
          <w:sz w:val="22"/>
          <w:szCs w:val="22"/>
        </w:rPr>
        <w:t>. Favor de precisar el medio de entrega.” (sic)</w:t>
      </w:r>
    </w:p>
    <w:p w14:paraId="7D1C48F7" w14:textId="77777777" w:rsidR="006C2841" w:rsidRPr="005D7B1F" w:rsidRDefault="00D06478">
      <w:pPr>
        <w:spacing w:before="280" w:after="280" w:line="360" w:lineRule="auto"/>
        <w:jc w:val="both"/>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sz w:val="22"/>
          <w:szCs w:val="22"/>
        </w:rPr>
        <w:t xml:space="preserve">Como se logra vislumbrar, respecto de las personas servidoras públicas obligadas a presentar declaración de situación patrimonial y de intereses, y que no cumplieron con dicha obligación, la persona solicitante se limitó a requerir el número de casos presentados, esto es, únicamente información estadística, misma que fue proporcionada por el </w:t>
      </w:r>
      <w:r w:rsidRPr="005D7B1F">
        <w:rPr>
          <w:rFonts w:ascii="Palatino Linotype" w:eastAsia="Palatino Linotype" w:hAnsi="Palatino Linotype" w:cs="Palatino Linotype"/>
          <w:b/>
          <w:bCs/>
          <w:sz w:val="22"/>
          <w:szCs w:val="22"/>
        </w:rPr>
        <w:t>Sujeto Obligado.</w:t>
      </w:r>
    </w:p>
    <w:p w14:paraId="41281980" w14:textId="5111FB6E"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Por consiguiente, dado que no fue solicitado el nombre de los servidores públicos adscritos al Ayuntamiento de Tepotzotlán que omitieron presentar su declaración de situación patrimonial y de intereses,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no se encontraba constreñido a proporcionar dicha información, ni mucho menos pronunciarse sobre su clasificación como información confidencial o reservada, o emitir un acuerdo por medio de su Comité de Transparencia, </w:t>
      </w:r>
      <w:r w:rsidR="009D60E9" w:rsidRPr="005D7B1F">
        <w:rPr>
          <w:rFonts w:ascii="Palatino Linotype" w:eastAsia="Palatino Linotype" w:hAnsi="Palatino Linotype" w:cs="Palatino Linotype"/>
          <w:sz w:val="22"/>
          <w:szCs w:val="22"/>
        </w:rPr>
        <w:t>mediante el cual, de manera fundada y motivada</w:t>
      </w:r>
      <w:r w:rsidRPr="005D7B1F">
        <w:rPr>
          <w:rFonts w:ascii="Palatino Linotype" w:eastAsia="Palatino Linotype" w:hAnsi="Palatino Linotype" w:cs="Palatino Linotype"/>
          <w:sz w:val="22"/>
          <w:szCs w:val="22"/>
        </w:rPr>
        <w:t xml:space="preserve"> justificara dicha clasificación.</w:t>
      </w:r>
    </w:p>
    <w:p w14:paraId="3A672163"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Bajo esta línea de pensamiento, se colige que le asiste la razón al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sobre las razones por las cuales no fue proporcionó el nombre de las 39 personas servidoras públicas del ayuntamiento de Tepotzotlán que omitieron presentar su declaración de situación patrimonial y de intereses, y en su caso, la clasificación de dicha información por medio del acuerdo del Comité de Transparencia.</w:t>
      </w:r>
    </w:p>
    <w:p w14:paraId="21789D4C"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No obstante, no pasa desapercibido para este Organismo Garante que, por medio de la solicitud que dio origen al recurso de revisión que ahora se resuelve,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requirió la lista completa de los 39 servidores públicos del ayuntamiento de Tepotzotlán que omitieron presentar su declaración de situación patrimonial y de intereses, ante lo cual la persona servidora pública habilitada señaló que estas se encontraban sujetas a un procedimiento administrativo iniciado  en términos del artículo 34, párrafo cuarto de la Ley de Responsabilidades Administrativas del Estado de México y Municipios, publicada en el Periódico Oficial "Gaceta del Gobierno" el 30 de mayo 2017, lo cual se traduce en la negativa de la información.</w:t>
      </w:r>
    </w:p>
    <w:p w14:paraId="2B372748"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este contexto, debe decirse que por regla general, toda la información que generen, administren y/o posean los Sujetos Obligados, es considerada información pública, pues al ser entes que ejercen recursos públicos tienen la obligación de rendir cuentas y asumir responsabilidades ante los ciudadanos derivado del ejercicio de sus atribuciones, garantizando así el Derecho humano de acceso a la información pública, sin embargo, dicho derecho puede ser restringido de manera excepcional por razones de interés público, en los términos de las causas legítimas y estrictamente necesarias previstas por la Ley, como se desprende del artículo 91 de la Ley de la Materia que es del tenor literal siguiente:</w:t>
      </w:r>
    </w:p>
    <w:p w14:paraId="7DEAB13F" w14:textId="77777777" w:rsidR="006C2841" w:rsidRPr="005D7B1F" w:rsidRDefault="00D06478">
      <w:pPr>
        <w:ind w:left="851" w:right="900"/>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 xml:space="preserve">“Artículo 91. </w:t>
      </w:r>
      <w:r w:rsidRPr="005D7B1F">
        <w:rPr>
          <w:rFonts w:ascii="Palatino Linotype" w:eastAsia="Palatino Linotype" w:hAnsi="Palatino Linotype" w:cs="Palatino Linotype"/>
          <w:i/>
          <w:iCs/>
          <w:sz w:val="22"/>
          <w:szCs w:val="22"/>
        </w:rPr>
        <w:t>El acceso a la información pública será restringido  excepcionalmente, cuando ésta sea clasificada como reservada o confidencial.”</w:t>
      </w:r>
    </w:p>
    <w:p w14:paraId="2F9EB1A7"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Es importante mencionar que </w:t>
      </w:r>
      <w:r w:rsidRPr="005D7B1F">
        <w:rPr>
          <w:rFonts w:ascii="Palatino Linotype" w:eastAsia="Palatino Linotype" w:hAnsi="Palatino Linotype" w:cs="Palatino Linotype"/>
          <w:b/>
          <w:bCs/>
          <w:sz w:val="22"/>
          <w:szCs w:val="22"/>
        </w:rPr>
        <w:t xml:space="preserve">la restricción al derecho de acceso a la información </w:t>
      </w:r>
      <w:r w:rsidRPr="005D7B1F">
        <w:rPr>
          <w:rFonts w:ascii="Palatino Linotype" w:eastAsia="Palatino Linotype" w:hAnsi="Palatino Linotype" w:cs="Palatino Linotype"/>
          <w:b/>
          <w:bCs/>
          <w:sz w:val="22"/>
          <w:szCs w:val="22"/>
          <w:u w:val="single"/>
        </w:rPr>
        <w:t>implica necesariamente una clasificación</w:t>
      </w:r>
      <w:r w:rsidRPr="005D7B1F">
        <w:rPr>
          <w:rFonts w:ascii="Palatino Linotype" w:eastAsia="Palatino Linotype" w:hAnsi="Palatino Linotype" w:cs="Palatino Linotype"/>
          <w:sz w:val="22"/>
          <w:szCs w:val="22"/>
        </w:rPr>
        <w:t xml:space="preserve"> la cual debe entenderse como el proceso mediante el cual el Sujeto Obligado determina que la información en su poder, actualiza alguno de los supuestos de reserva o confidencialidad, de conformidad con las normas aplicables.</w:t>
      </w:r>
    </w:p>
    <w:p w14:paraId="76121F91"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La Ley de Transparencia y Acceso a la Información Pública del Estado de México y Municipios, define como </w:t>
      </w:r>
      <w:r w:rsidRPr="005D7B1F">
        <w:rPr>
          <w:rFonts w:ascii="Palatino Linotype" w:eastAsia="Palatino Linotype" w:hAnsi="Palatino Linotype" w:cs="Palatino Linotype"/>
          <w:b/>
          <w:bCs/>
          <w:sz w:val="22"/>
          <w:szCs w:val="22"/>
        </w:rPr>
        <w:t xml:space="preserve">información reservada </w:t>
      </w:r>
      <w:r w:rsidRPr="005D7B1F">
        <w:rPr>
          <w:rFonts w:ascii="Palatino Linotype" w:eastAsia="Palatino Linotype" w:hAnsi="Palatino Linotype" w:cs="Palatino Linotype"/>
          <w:sz w:val="22"/>
          <w:szCs w:val="22"/>
        </w:rPr>
        <w:t xml:space="preserve">a la información pública clasificada con este carácter de manera temporal por las disposiciones de la Ley de la Materia, cuya divulgación puede causar daños a las  seguridad pública, y como </w:t>
      </w:r>
      <w:r w:rsidRPr="005D7B1F">
        <w:rPr>
          <w:rFonts w:ascii="Palatino Linotype" w:eastAsia="Palatino Linotype" w:hAnsi="Palatino Linotype" w:cs="Palatino Linotype"/>
          <w:b/>
          <w:bCs/>
          <w:sz w:val="22"/>
          <w:szCs w:val="22"/>
        </w:rPr>
        <w:t>información confidencial</w:t>
      </w:r>
      <w:r w:rsidRPr="005D7B1F">
        <w:rPr>
          <w:rFonts w:ascii="Palatino Linotype" w:eastAsia="Palatino Linotype" w:hAnsi="Palatino Linotype" w:cs="Palatino Linotype"/>
          <w:sz w:val="22"/>
          <w:szCs w:val="22"/>
        </w:rPr>
        <w:t xml:space="preserve">, la relacionada con los secretos bancario, fiduciario, industrial, comercial, fiscal, bursátil y postal, cuya titularidad corresponda a particulares, sujetos de derecho internacional o sujetos obligados cuando no involucren el ejercicio de recursos públicos, así como la información privada contenida en documentos públicos o privados que refiera a la vida privada y/o los datos personales, que no son de acceso público. </w:t>
      </w:r>
    </w:p>
    <w:p w14:paraId="3051FDF4"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Por lo que se refiere a la información clasificada como reservada, para que el acceso a la información pública pueda ser restringido, se deben actualizar los supuestos establecidos en el artículo 140 de la Ley de Transparencia y Acceso a la Información Pública del Estado de México y Municipios, que a la letra señala lo siguiente:</w:t>
      </w:r>
    </w:p>
    <w:p w14:paraId="54885248"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Artículo 140</w:t>
      </w:r>
      <w:r w:rsidRPr="005D7B1F">
        <w:rPr>
          <w:rFonts w:ascii="Palatino Linotype" w:eastAsia="Palatino Linotype" w:hAnsi="Palatino Linotype" w:cs="Palatino Linotype"/>
          <w:i/>
          <w:iCs/>
          <w:sz w:val="22"/>
          <w:szCs w:val="22"/>
        </w:rPr>
        <w:t xml:space="preserve">. El acceso a la información pública será restringido excepcionalmente, cuando por razones de interés público, ésta sea clasificada como reservada, conforme a los criterios siguientes: </w:t>
      </w:r>
    </w:p>
    <w:p w14:paraId="0CC9696E"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w:t>
      </w:r>
      <w:r w:rsidRPr="005D7B1F">
        <w:rPr>
          <w:rFonts w:ascii="Palatino Linotype" w:eastAsia="Palatino Linotype" w:hAnsi="Palatino Linotype" w:cs="Palatino Linotype"/>
          <w:i/>
          <w:iCs/>
          <w:sz w:val="22"/>
          <w:szCs w:val="22"/>
        </w:rPr>
        <w:t xml:space="preserve">. Comprometa la seguridad pública y cuente con un propósito genuino y un efecto demostrable; </w:t>
      </w:r>
    </w:p>
    <w:p w14:paraId="25DE4933"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II.</w:t>
      </w:r>
      <w:r w:rsidRPr="005D7B1F">
        <w:rPr>
          <w:rFonts w:ascii="Palatino Linotype" w:eastAsia="Palatino Linotype" w:hAnsi="Palatino Linotype" w:cs="Palatino Linotype"/>
          <w:i/>
          <w:iCs/>
          <w:sz w:val="22"/>
          <w:szCs w:val="22"/>
        </w:rPr>
        <w:t xml:space="preserve"> Pueda menoscabar la conducción de las negociaciones y relaciones internacionales; </w:t>
      </w:r>
    </w:p>
    <w:p w14:paraId="5BAAF1C2"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III.</w:t>
      </w:r>
      <w:r w:rsidRPr="005D7B1F">
        <w:rPr>
          <w:rFonts w:ascii="Palatino Linotype" w:eastAsia="Palatino Linotype" w:hAnsi="Palatino Linotype" w:cs="Palatino Linotype"/>
          <w:i/>
          <w:iCs/>
          <w:sz w:val="22"/>
          <w:szCs w:val="22"/>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48097D36"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IV.</w:t>
      </w:r>
      <w:r w:rsidRPr="005D7B1F">
        <w:rPr>
          <w:rFonts w:ascii="Palatino Linotype" w:eastAsia="Palatino Linotype" w:hAnsi="Palatino Linotype" w:cs="Palatino Linotype"/>
          <w:i/>
          <w:iCs/>
          <w:sz w:val="22"/>
          <w:szCs w:val="22"/>
        </w:rPr>
        <w:t xml:space="preserve"> Ponga en riesgo la vida, la seguridad o la salud de una persona física; </w:t>
      </w:r>
    </w:p>
    <w:p w14:paraId="2F156360"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V</w:t>
      </w:r>
      <w:r w:rsidRPr="005D7B1F">
        <w:rPr>
          <w:rFonts w:ascii="Palatino Linotype" w:eastAsia="Palatino Linotype" w:hAnsi="Palatino Linotype" w:cs="Palatino Linotype"/>
          <w:i/>
          <w:iCs/>
          <w:sz w:val="22"/>
          <w:szCs w:val="22"/>
        </w:rPr>
        <w:t xml:space="preserve">. Aquella cuya divulgación obstruya o pueda causar un serio perjuicio a: </w:t>
      </w:r>
    </w:p>
    <w:p w14:paraId="62921CC9"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1. Las actividades de fiscalización, verificación, inspección, comprobación y auditoría sobre el cumplimiento de las Leyes; o </w:t>
      </w:r>
    </w:p>
    <w:p w14:paraId="1A672CBB"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2. La recaudación de las contribuciones. </w:t>
      </w:r>
    </w:p>
    <w:p w14:paraId="032BB005"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VI</w:t>
      </w:r>
      <w:r w:rsidRPr="005D7B1F">
        <w:rPr>
          <w:rFonts w:ascii="Palatino Linotype" w:eastAsia="Palatino Linotype" w:hAnsi="Palatino Linotype" w:cs="Palatino Linotype"/>
          <w:i/>
          <w:iCs/>
          <w:sz w:val="22"/>
          <w:szCs w:val="22"/>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3E0C5821"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VII.</w:t>
      </w:r>
      <w:r w:rsidRPr="005D7B1F">
        <w:rPr>
          <w:rFonts w:ascii="Palatino Linotype" w:eastAsia="Palatino Linotype" w:hAnsi="Palatino Linotype" w:cs="Palatino Linotype"/>
          <w:i/>
          <w:iCs/>
          <w:sz w:val="22"/>
          <w:szCs w:val="22"/>
        </w:rPr>
        <w:t xml:space="preserve"> La que contengan las opiniones, recomendaciones o puntos de vista que formen parte del proceso deliberativo de los servidores públicos, hasta en tanto sea adoptada la decisión definitiva, la cual deberá estar documentada; </w:t>
      </w:r>
    </w:p>
    <w:p w14:paraId="7A9DB930"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VIII.</w:t>
      </w:r>
      <w:r w:rsidRPr="005D7B1F">
        <w:rPr>
          <w:rFonts w:ascii="Palatino Linotype" w:eastAsia="Palatino Linotype" w:hAnsi="Palatino Linotype" w:cs="Palatino Linotype"/>
          <w:i/>
          <w:iCs/>
          <w:sz w:val="22"/>
          <w:szCs w:val="22"/>
        </w:rPr>
        <w:t xml:space="preserve"> Vulnere la conducción de los expedientes judiciales o de los procedimientos administrativos seguidos en forma de juicio, en tanto no hayan quedado firmes; </w:t>
      </w:r>
    </w:p>
    <w:p w14:paraId="0FD6570F"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IX</w:t>
      </w:r>
      <w:r w:rsidRPr="005D7B1F">
        <w:rPr>
          <w:rFonts w:ascii="Palatino Linotype" w:eastAsia="Palatino Linotype" w:hAnsi="Palatino Linotype" w:cs="Palatino Linotype"/>
          <w:i/>
          <w:iCs/>
          <w:sz w:val="22"/>
          <w:szCs w:val="22"/>
        </w:rPr>
        <w:t xml:space="preserve">. Se encuentre contenida dentro de las investigaciones de hechos que la Ley señale como delitos y se tramiten ante el Ministerio Público; </w:t>
      </w:r>
    </w:p>
    <w:p w14:paraId="2CD68E3A"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X.</w:t>
      </w:r>
      <w:r w:rsidRPr="005D7B1F">
        <w:rPr>
          <w:rFonts w:ascii="Palatino Linotype" w:eastAsia="Palatino Linotype" w:hAnsi="Palatino Linotype" w:cs="Palatino Linotype"/>
          <w:i/>
          <w:iCs/>
          <w:sz w:val="22"/>
          <w:szCs w:val="22"/>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E1B0E41"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2EFE9C85" w14:textId="77777777" w:rsidR="006C2841" w:rsidRPr="005D7B1F" w:rsidRDefault="00D06478">
      <w:pPr>
        <w:spacing w:before="120" w:after="120"/>
        <w:ind w:left="851" w:right="851"/>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XI.</w:t>
      </w:r>
      <w:r w:rsidRPr="005D7B1F">
        <w:rPr>
          <w:rFonts w:ascii="Palatino Linotype" w:eastAsia="Palatino Linotype" w:hAnsi="Palatino Linotype" w:cs="Palatino Linotype"/>
          <w:i/>
          <w:iCs/>
          <w:sz w:val="22"/>
          <w:szCs w:val="22"/>
        </w:rPr>
        <w:t xml:space="preserve"> Las que por disposición expresa de una ley tengan tal carácter, siempre que sean acordes con las bases, principios y disposiciones establecidos en esta Ley y no la contravengan; así como las previstas en tratados internacionales.”</w:t>
      </w:r>
    </w:p>
    <w:p w14:paraId="78C76A09"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Y, en lo que concierne a la información clasificada como confidencial, para que el acceso a la información pública pueda ser restringido, se deben actualizar los supuestos establecidos en el artículo143 de la Ley de Transparencia y Acceso a la Información Pública del Estado de México y Municipios, que a la letra señala lo siguiente:</w:t>
      </w:r>
    </w:p>
    <w:p w14:paraId="153BE5AA"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w:t>
      </w:r>
      <w:r w:rsidRPr="005D7B1F">
        <w:rPr>
          <w:rFonts w:ascii="Palatino Linotype" w:eastAsia="Palatino Linotype" w:hAnsi="Palatino Linotype" w:cs="Palatino Linotype"/>
          <w:b/>
          <w:bCs/>
          <w:i/>
          <w:iCs/>
          <w:sz w:val="22"/>
          <w:szCs w:val="22"/>
        </w:rPr>
        <w:t>Artículo 143.</w:t>
      </w:r>
      <w:r w:rsidRPr="005D7B1F">
        <w:rPr>
          <w:rFonts w:ascii="Palatino Linotype" w:eastAsia="Palatino Linotype" w:hAnsi="Palatino Linotype" w:cs="Palatino Linotype"/>
          <w:i/>
          <w:iCs/>
          <w:sz w:val="22"/>
          <w:szCs w:val="22"/>
        </w:rPr>
        <w:t xml:space="preserve"> Para los efectos de esta Ley se considera información confidencial, la clasificada como tal, de manera permanente, por su naturaleza, cuando: </w:t>
      </w:r>
    </w:p>
    <w:p w14:paraId="35E6711E"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w:t>
      </w:r>
      <w:r w:rsidRPr="005D7B1F">
        <w:rPr>
          <w:rFonts w:ascii="Palatino Linotype" w:eastAsia="Palatino Linotype" w:hAnsi="Palatino Linotype" w:cs="Palatino Linotype"/>
          <w:i/>
          <w:iCs/>
          <w:sz w:val="22"/>
          <w:szCs w:val="22"/>
        </w:rPr>
        <w:t xml:space="preserve">. Se refiera a la información privada y los datos personales concernientes a una persona física o jurídico colectiva identificada o identificable; </w:t>
      </w:r>
    </w:p>
    <w:p w14:paraId="648E54E0"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II.</w:t>
      </w:r>
      <w:r w:rsidRPr="005D7B1F">
        <w:rPr>
          <w:rFonts w:ascii="Palatino Linotype" w:eastAsia="Palatino Linotype" w:hAnsi="Palatino Linotype" w:cs="Palatino Linotype"/>
          <w:i/>
          <w:iCs/>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 </w:t>
      </w:r>
    </w:p>
    <w:p w14:paraId="435B126E"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III.</w:t>
      </w:r>
      <w:r w:rsidRPr="005D7B1F">
        <w:rPr>
          <w:rFonts w:ascii="Palatino Linotype" w:eastAsia="Palatino Linotype" w:hAnsi="Palatino Linotype" w:cs="Palatino Linotype"/>
          <w:i/>
          <w:iCs/>
          <w:sz w:val="22"/>
          <w:szCs w:val="22"/>
        </w:rPr>
        <w:t xml:space="preserve"> La que presenten los particulares a los sujetos obligados, de conformidad con lo dispuesto por las leyes o los tratados internacionales. </w:t>
      </w:r>
    </w:p>
    <w:p w14:paraId="17DEE5DF"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La información confidencial no estará sujeta a temporalidad alguna y sólo podrán tener acceso a ella los titulares de la misma, sus representantes y los servidores públicos facultados para ello. </w:t>
      </w:r>
    </w:p>
    <w:p w14:paraId="5D2562AB"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No se considerará confidencial la información que se encuentre en los registros públicos o en fuentes de acceso público, ni tampoco la que sea considerada por la presente ley como información pública.”</w:t>
      </w:r>
    </w:p>
    <w:p w14:paraId="7E471EF9" w14:textId="77777777" w:rsidR="006C2841" w:rsidRPr="005D7B1F" w:rsidRDefault="00D06478">
      <w:pPr>
        <w:spacing w:before="280" w:after="28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097C2308" w14:textId="77777777" w:rsidR="006C2841" w:rsidRPr="005D7B1F" w:rsidRDefault="00D06478">
      <w:pPr>
        <w:numPr>
          <w:ilvl w:val="0"/>
          <w:numId w:val="1"/>
        </w:numPr>
        <w:tabs>
          <w:tab w:val="left" w:pos="851"/>
        </w:tabs>
        <w:spacing w:before="280" w:line="360" w:lineRule="auto"/>
        <w:ind w:left="567" w:firstLine="0"/>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Se reciba una solicitud de acceso a la información;</w:t>
      </w:r>
    </w:p>
    <w:p w14:paraId="7A58A505" w14:textId="77777777" w:rsidR="006C2841" w:rsidRPr="005D7B1F" w:rsidRDefault="00D06478">
      <w:pPr>
        <w:numPr>
          <w:ilvl w:val="0"/>
          <w:numId w:val="1"/>
        </w:numPr>
        <w:tabs>
          <w:tab w:val="left" w:pos="851"/>
        </w:tabs>
        <w:spacing w:line="360" w:lineRule="auto"/>
        <w:ind w:left="567" w:firstLine="0"/>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Se determine mediante resolución de autoridad competente; y/o</w:t>
      </w:r>
    </w:p>
    <w:p w14:paraId="35BFBD15" w14:textId="77777777" w:rsidR="006C2841" w:rsidRPr="005D7B1F" w:rsidRDefault="00D06478">
      <w:pPr>
        <w:numPr>
          <w:ilvl w:val="0"/>
          <w:numId w:val="1"/>
        </w:numPr>
        <w:tabs>
          <w:tab w:val="left" w:pos="851"/>
        </w:tabs>
        <w:spacing w:after="280" w:line="360" w:lineRule="auto"/>
        <w:ind w:left="567" w:firstLine="0"/>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Se generen versiones públicas para dar cumplimiento a las obligaciones de transparencia previstas en la Ley.</w:t>
      </w:r>
    </w:p>
    <w:p w14:paraId="17C5A9AB" w14:textId="77777777" w:rsidR="006C2841" w:rsidRPr="005D7B1F" w:rsidRDefault="00D06478">
      <w:pPr>
        <w:spacing w:before="240" w:after="240" w:line="360" w:lineRule="auto"/>
        <w:ind w:right="13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Asimismo, los Sujetos Obligados deben observar, además, lo dispuesto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50AD333" w14:textId="77777777" w:rsidR="006C2841" w:rsidRPr="005D7B1F" w:rsidRDefault="00D06478">
      <w:pPr>
        <w:spacing w:before="240" w:after="240" w:line="360" w:lineRule="auto"/>
        <w:ind w:right="139"/>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relación con las implicaciones anteriores, es de precisar que la clasificación de la información no se da por el simple mandato de la Ley, sino que es necesario que los Sujetos Obligados, cuando clasifiquen algún documento o información, ya sea todo o en parte, atiendan lo dispuesto por la Ley de la materia, siendo los titulares de las áreas los responsables de clasificar la información </w:t>
      </w:r>
      <w:r w:rsidRPr="005D7B1F">
        <w:rPr>
          <w:rFonts w:ascii="Palatino Linotype" w:eastAsia="Palatino Linotype" w:hAnsi="Palatino Linotype" w:cs="Palatino Linotype"/>
          <w:b/>
          <w:bCs/>
          <w:sz w:val="22"/>
          <w:szCs w:val="22"/>
        </w:rPr>
        <w:t>mediante el Comité de Transparencia</w:t>
      </w:r>
      <w:r w:rsidRPr="005D7B1F">
        <w:rPr>
          <w:rFonts w:ascii="Palatino Linotype" w:eastAsia="Palatino Linotype" w:hAnsi="Palatino Linotype" w:cs="Palatino Linotype"/>
          <w:sz w:val="22"/>
          <w:szCs w:val="22"/>
        </w:rPr>
        <w:t xml:space="preserve"> por ser la autoridad máxima al interior de los Sujetos Obligados, al ser éste un Cuerpo Colegiado que se integra para resolver sobre la información que debe clasificarse, así como para atender y resolver los requerimientos de las Unidades de Transparencia y del Instituto.</w:t>
      </w:r>
    </w:p>
    <w:p w14:paraId="5B550958"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otras palabras, la clasificación es un trabajo en conjunto tanto de los Servidores Públicos Habilitados, de las Unidades de Transparencia y del Comité de Transparencia de los Sujetos Obligados, teniendo el deber los primeros de ellos de presentar ante la Unidad de Transparencia la propuesta de la clasificación de la información, para que luego, de así resultar procedente el proyecto de clasificación de la información se presente ante al Comité de Transparencia, y que finalmente, sea este último quien apruebe, modifique o revoque la misma, como se desprende de los artículos 49 fracciones II y VIII, 53 fracción X, y 59 fracción V, de la Ley de Transparencia y Acceso a la Información Pública del Estado de México y Municipios.</w:t>
      </w:r>
    </w:p>
    <w:p w14:paraId="68544930" w14:textId="77777777" w:rsidR="006C2841" w:rsidRPr="005D7B1F" w:rsidRDefault="00D0647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Por lo tanto, la restricción al Derecho de acceso a la información debe sustentarse </w:t>
      </w:r>
      <w:r w:rsidRPr="005D7B1F">
        <w:rPr>
          <w:rFonts w:ascii="Palatino Linotype" w:eastAsia="Palatino Linotype" w:hAnsi="Palatino Linotype" w:cs="Palatino Linotype"/>
          <w:b/>
          <w:bCs/>
          <w:sz w:val="22"/>
          <w:szCs w:val="22"/>
          <w:u w:val="single"/>
        </w:rPr>
        <w:t>necesariamente del Acuerdo del Comité de Transparencia</w:t>
      </w:r>
      <w:r w:rsidRPr="005D7B1F">
        <w:rPr>
          <w:rFonts w:ascii="Palatino Linotype" w:eastAsia="Palatino Linotype" w:hAnsi="Palatino Linotype" w:cs="Palatino Linotype"/>
          <w:b/>
          <w:bCs/>
          <w:sz w:val="22"/>
          <w:szCs w:val="22"/>
        </w:rPr>
        <w:t xml:space="preserve"> </w:t>
      </w:r>
      <w:r w:rsidRPr="005D7B1F">
        <w:rPr>
          <w:rFonts w:ascii="Palatino Linotype" w:eastAsia="Palatino Linotype" w:hAnsi="Palatino Linotype" w:cs="Palatino Linotype"/>
          <w:sz w:val="22"/>
          <w:szCs w:val="22"/>
        </w:rPr>
        <w:t>mediante el cual se expongan  de manera fundada y motivada, los fundamentos y razonamientos que llevaron al Sujeto Obligado a restringir el acceso a la información, ya sea en su totalidad o de forma parcial, ya que de no hacerlo, se deja a la persona solicitante en estado de incertidumbre al no conocer o comprender la razón por la cual no se le permitió el acceso a la información, o por qué no se aprecian determinados datos en la documentación respectiva.</w:t>
      </w:r>
    </w:p>
    <w:p w14:paraId="04889693" w14:textId="77777777" w:rsidR="006C2841" w:rsidRPr="005D7B1F" w:rsidRDefault="00D06478">
      <w:pPr>
        <w:tabs>
          <w:tab w:val="left" w:pos="1140"/>
        </w:tabs>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Por otro lado, por lo que se refiere a la materia del requerimiento en análisis, debe mencionarse que con motivo de la entrada en vigor de la Ley del Sistema Anticorrupción del Estado de México y Municipios publicada en el periódico oficial "Gaceta del Gobierno" el treinta de mayo de 2017, que establece que </w:t>
      </w:r>
      <w:r w:rsidRPr="005D7B1F">
        <w:rPr>
          <w:rFonts w:ascii="Palatino Linotype" w:eastAsia="Palatino Linotype" w:hAnsi="Palatino Linotype" w:cs="Palatino Linotype"/>
          <w:b/>
          <w:bCs/>
          <w:sz w:val="22"/>
          <w:szCs w:val="22"/>
          <w:u w:val="single"/>
        </w:rPr>
        <w:t>las sanciones no graves no serán públicas</w:t>
      </w:r>
      <w:r w:rsidRPr="005D7B1F">
        <w:rPr>
          <w:rFonts w:ascii="Palatino Linotype" w:eastAsia="Palatino Linotype" w:hAnsi="Palatino Linotype" w:cs="Palatino Linotype"/>
          <w:sz w:val="22"/>
          <w:szCs w:val="22"/>
        </w:rPr>
        <w:t>, toda vez que dicha información únicamente es de interés para los Poderes Ejecutivo, Legislativo y Judicial, los Ayuntamiento, Organismos Auxiliares, Fideicomisos Públicos y los Órganos Constitucionalmente Autónomos, en virtud de que exclusivamente se deriva de la relación entre autoridades administrativas y el dueño de los datos personales, para acatar las disposiciones contenidas en el artículo 53 de la citada Ley Anticorrupción y que son de la literalidad siguiente:</w:t>
      </w:r>
    </w:p>
    <w:p w14:paraId="07053A9B"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 xml:space="preserve">“Artículo 53. Las sanciones impuestas por faltas administrativas graves serán del conocimiento público </w:t>
      </w:r>
      <w:r w:rsidRPr="005D7B1F">
        <w:rPr>
          <w:rFonts w:ascii="Palatino Linotype" w:eastAsia="Palatino Linotype" w:hAnsi="Palatino Linotype" w:cs="Palatino Linotype"/>
          <w:b/>
          <w:bCs/>
          <w:i/>
          <w:iCs/>
          <w:sz w:val="22"/>
          <w:szCs w:val="22"/>
          <w:u w:val="single"/>
        </w:rPr>
        <w:t>cuando éstas contengan impedimentos o inhabilitaciones</w:t>
      </w:r>
      <w:r w:rsidRPr="005D7B1F">
        <w:rPr>
          <w:rFonts w:ascii="Palatino Linotype" w:eastAsia="Palatino Linotype" w:hAnsi="Palatino Linotype" w:cs="Palatino Linotype"/>
          <w:i/>
          <w:iCs/>
          <w:sz w:val="22"/>
          <w:szCs w:val="22"/>
        </w:rPr>
        <w:t xml:space="preserve"> para ser contratados como servidores públicos o como prestadores de servicios o contratistas del sector público, en términos de la Ley de Responsabilidades Administrativas del Estado de México y Municipios.</w:t>
      </w:r>
    </w:p>
    <w:p w14:paraId="6EA5FE6F"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 xml:space="preserve">Los registros de </w:t>
      </w:r>
      <w:r w:rsidRPr="005D7B1F">
        <w:rPr>
          <w:rFonts w:ascii="Palatino Linotype" w:eastAsia="Palatino Linotype" w:hAnsi="Palatino Linotype" w:cs="Palatino Linotype"/>
          <w:b/>
          <w:bCs/>
          <w:i/>
          <w:iCs/>
          <w:sz w:val="22"/>
          <w:szCs w:val="22"/>
          <w:u w:val="single"/>
        </w:rPr>
        <w:t>las sanciones relativas a responsabilidades administrativas no graves, quedarán registradas para efectos de eventual reincidencia, pero no serán públicas.</w:t>
      </w:r>
      <w:r w:rsidRPr="005D7B1F">
        <w:rPr>
          <w:rFonts w:ascii="Palatino Linotype" w:eastAsia="Palatino Linotype" w:hAnsi="Palatino Linotype" w:cs="Palatino Linotype"/>
          <w:i/>
          <w:iCs/>
          <w:sz w:val="22"/>
          <w:szCs w:val="22"/>
        </w:rPr>
        <w:t>”</w:t>
      </w:r>
    </w:p>
    <w:p w14:paraId="711ED604" w14:textId="77777777" w:rsidR="006C2841" w:rsidRPr="005D7B1F" w:rsidRDefault="00D06478">
      <w:pPr>
        <w:spacing w:before="240" w:after="240" w:line="360" w:lineRule="auto"/>
        <w:ind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ese sentido es importante, referir que la Ley de Responsabilidades Administrativas del Estado de México y Municipios, vigente, señala como faltas administrativas graves y no graves, lo siguiente:</w:t>
      </w:r>
    </w:p>
    <w:p w14:paraId="470554A8" w14:textId="77777777" w:rsidR="006C2841" w:rsidRPr="005D7B1F" w:rsidRDefault="00D06478">
      <w:pPr>
        <w:spacing w:before="120" w:after="120"/>
        <w:ind w:left="851"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i/>
          <w:iCs/>
          <w:sz w:val="22"/>
          <w:szCs w:val="22"/>
        </w:rPr>
        <w:t>“</w:t>
      </w:r>
      <w:r w:rsidRPr="005D7B1F">
        <w:rPr>
          <w:rFonts w:ascii="Palatino Linotype" w:eastAsia="Palatino Linotype" w:hAnsi="Palatino Linotype" w:cs="Palatino Linotype"/>
          <w:b/>
          <w:bCs/>
          <w:i/>
          <w:iCs/>
          <w:sz w:val="22"/>
          <w:szCs w:val="22"/>
        </w:rPr>
        <w:t>Artículo 3</w:t>
      </w:r>
      <w:r w:rsidRPr="005D7B1F">
        <w:rPr>
          <w:rFonts w:ascii="Palatino Linotype" w:eastAsia="Palatino Linotype" w:hAnsi="Palatino Linotype" w:cs="Palatino Linotype"/>
          <w:i/>
          <w:iCs/>
          <w:sz w:val="22"/>
          <w:szCs w:val="22"/>
        </w:rPr>
        <w:t>. Para los efectos de la presente Ley, se entenderá por:</w:t>
      </w:r>
      <w:r w:rsidRPr="005D7B1F">
        <w:rPr>
          <w:rFonts w:ascii="Palatino Linotype" w:eastAsia="Palatino Linotype" w:hAnsi="Palatino Linotype" w:cs="Palatino Linotype"/>
          <w:i/>
          <w:iCs/>
          <w:sz w:val="22"/>
          <w:szCs w:val="22"/>
        </w:rPr>
        <w:br/>
        <w:t>...</w:t>
      </w:r>
    </w:p>
    <w:p w14:paraId="328D9EF4" w14:textId="77777777" w:rsidR="006C2841" w:rsidRPr="005D7B1F" w:rsidRDefault="00D06478">
      <w:pPr>
        <w:spacing w:before="120" w:after="120"/>
        <w:ind w:left="1134"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XIII.</w:t>
      </w:r>
      <w:r w:rsidRPr="005D7B1F">
        <w:rPr>
          <w:rFonts w:ascii="Palatino Linotype" w:eastAsia="Palatino Linotype" w:hAnsi="Palatino Linotype" w:cs="Palatino Linotype"/>
          <w:i/>
          <w:iCs/>
          <w:sz w:val="22"/>
          <w:szCs w:val="22"/>
        </w:rPr>
        <w:t xml:space="preserve"> </w:t>
      </w:r>
      <w:r w:rsidRPr="005D7B1F">
        <w:rPr>
          <w:rFonts w:ascii="Palatino Linotype" w:eastAsia="Palatino Linotype" w:hAnsi="Palatino Linotype" w:cs="Palatino Linotype"/>
          <w:b/>
          <w:bCs/>
          <w:i/>
          <w:iCs/>
          <w:sz w:val="22"/>
          <w:szCs w:val="22"/>
        </w:rPr>
        <w:t>Falta administrativa no grave</w:t>
      </w:r>
      <w:r w:rsidRPr="005D7B1F">
        <w:rPr>
          <w:rFonts w:ascii="Palatino Linotype" w:eastAsia="Palatino Linotype" w:hAnsi="Palatino Linotype" w:cs="Palatino Linotype"/>
          <w:i/>
          <w:iCs/>
          <w:sz w:val="22"/>
          <w:szCs w:val="22"/>
        </w:rPr>
        <w:t>: A las faltas administrativas de los servidores públicos en los términos de la presente Ley, cuya imposición de la sanción corresponde a la Secretaría de la Contraloría del Estado de México y a los órganos internos de control.</w:t>
      </w:r>
    </w:p>
    <w:p w14:paraId="7E17BC05" w14:textId="77777777" w:rsidR="006C2841" w:rsidRPr="005D7B1F" w:rsidRDefault="00D06478">
      <w:pPr>
        <w:spacing w:before="120" w:after="120"/>
        <w:ind w:left="1134" w:right="902"/>
        <w:jc w:val="both"/>
        <w:rPr>
          <w:rFonts w:ascii="Palatino Linotype" w:eastAsia="Palatino Linotype" w:hAnsi="Palatino Linotype" w:cs="Palatino Linotype"/>
          <w:i/>
          <w:iCs/>
          <w:sz w:val="22"/>
          <w:szCs w:val="22"/>
        </w:rPr>
      </w:pPr>
      <w:r w:rsidRPr="005D7B1F">
        <w:rPr>
          <w:rFonts w:ascii="Palatino Linotype" w:eastAsia="Palatino Linotype" w:hAnsi="Palatino Linotype" w:cs="Palatino Linotype"/>
          <w:b/>
          <w:bCs/>
          <w:i/>
          <w:iCs/>
          <w:sz w:val="22"/>
          <w:szCs w:val="22"/>
        </w:rPr>
        <w:t>XIV</w:t>
      </w:r>
      <w:r w:rsidRPr="005D7B1F">
        <w:rPr>
          <w:rFonts w:ascii="Palatino Linotype" w:eastAsia="Palatino Linotype" w:hAnsi="Palatino Linotype" w:cs="Palatino Linotype"/>
          <w:i/>
          <w:iCs/>
          <w:sz w:val="22"/>
          <w:szCs w:val="22"/>
        </w:rPr>
        <w:t xml:space="preserve">. </w:t>
      </w:r>
      <w:r w:rsidRPr="005D7B1F">
        <w:rPr>
          <w:rFonts w:ascii="Palatino Linotype" w:eastAsia="Palatino Linotype" w:hAnsi="Palatino Linotype" w:cs="Palatino Linotype"/>
          <w:b/>
          <w:bCs/>
          <w:i/>
          <w:iCs/>
          <w:sz w:val="22"/>
          <w:szCs w:val="22"/>
        </w:rPr>
        <w:t>Falta administrativa grave</w:t>
      </w:r>
      <w:r w:rsidRPr="005D7B1F">
        <w:rPr>
          <w:rFonts w:ascii="Palatino Linotype" w:eastAsia="Palatino Linotype" w:hAnsi="Palatino Linotype" w:cs="Palatino Linotype"/>
          <w:i/>
          <w:iCs/>
          <w:sz w:val="22"/>
          <w:szCs w:val="22"/>
        </w:rPr>
        <w:t>: A las faltas administrativas de los servidores públicos catalogadas como graves en los términos de la presente Ley, cuya sanción corresponde al Tribunal de Justicia Administrativa del Estado de México..."</w:t>
      </w:r>
    </w:p>
    <w:p w14:paraId="6F9513A9" w14:textId="77777777" w:rsidR="006C2841" w:rsidRPr="005D7B1F" w:rsidRDefault="00D06478">
      <w:p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La Ley de Responsabilidades Administrativas vigente, contempla como </w:t>
      </w:r>
      <w:r w:rsidRPr="005D7B1F">
        <w:rPr>
          <w:rFonts w:ascii="Palatino Linotype" w:eastAsia="Palatino Linotype" w:hAnsi="Palatino Linotype" w:cs="Palatino Linotype"/>
          <w:b/>
          <w:bCs/>
          <w:sz w:val="22"/>
          <w:szCs w:val="22"/>
          <w:u w:val="single"/>
        </w:rPr>
        <w:t>faltas administrativas no graves,</w:t>
      </w:r>
      <w:r w:rsidRPr="005D7B1F">
        <w:rPr>
          <w:rFonts w:ascii="Palatino Linotype" w:eastAsia="Palatino Linotype" w:hAnsi="Palatino Linotype" w:cs="Palatino Linotype"/>
          <w:sz w:val="22"/>
          <w:szCs w:val="22"/>
        </w:rPr>
        <w:t xml:space="preserve"> las cometidas por el servidor público que, </w:t>
      </w:r>
      <w:r w:rsidRPr="005D7B1F">
        <w:rPr>
          <w:rFonts w:ascii="Palatino Linotype" w:eastAsia="Palatino Linotype" w:hAnsi="Palatino Linotype" w:cs="Palatino Linotype"/>
          <w:b/>
          <w:bCs/>
          <w:sz w:val="22"/>
          <w:szCs w:val="22"/>
          <w:u w:val="single"/>
        </w:rPr>
        <w:t>con sus actos u omisiones, incumpla o transgreda sus obligaciones,</w:t>
      </w:r>
      <w:r w:rsidRPr="005D7B1F">
        <w:rPr>
          <w:rFonts w:ascii="Palatino Linotype" w:eastAsia="Palatino Linotype" w:hAnsi="Palatino Linotype" w:cs="Palatino Linotype"/>
          <w:sz w:val="22"/>
          <w:szCs w:val="22"/>
        </w:rPr>
        <w:t xml:space="preserve"> entre las que se pueden englobar las establecidas en el artículo 50 de la Ley de Responsabilidades en mérito, siendo de interés para el tema que nos ocupa la siguiente:</w:t>
      </w:r>
    </w:p>
    <w:p w14:paraId="4520205F" w14:textId="77777777" w:rsidR="006C2841" w:rsidRPr="005D7B1F" w:rsidRDefault="00D06478">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5D7B1F">
        <w:rPr>
          <w:rFonts w:ascii="Palatino Linotype" w:eastAsia="Palatino Linotype" w:hAnsi="Palatino Linotype" w:cs="Palatino Linotype"/>
          <w:b/>
          <w:bCs/>
          <w:i/>
          <w:iCs/>
          <w:sz w:val="22"/>
          <w:szCs w:val="22"/>
        </w:rPr>
        <w:t xml:space="preserve">“Artículo 50. Incurre en </w:t>
      </w:r>
      <w:r w:rsidRPr="005D7B1F">
        <w:rPr>
          <w:rFonts w:ascii="Palatino Linotype" w:eastAsia="Palatino Linotype" w:hAnsi="Palatino Linotype" w:cs="Palatino Linotype"/>
          <w:b/>
          <w:bCs/>
          <w:i/>
          <w:iCs/>
          <w:sz w:val="22"/>
          <w:szCs w:val="22"/>
          <w:u w:val="single"/>
        </w:rPr>
        <w:t>falta administrativa no grave</w:t>
      </w:r>
      <w:r w:rsidRPr="005D7B1F">
        <w:rPr>
          <w:rFonts w:ascii="Palatino Linotype" w:eastAsia="Palatino Linotype" w:hAnsi="Palatino Linotype" w:cs="Palatino Linotype"/>
          <w:b/>
          <w:bCs/>
          <w:i/>
          <w:iCs/>
          <w:sz w:val="22"/>
          <w:szCs w:val="22"/>
        </w:rPr>
        <w:t>, el servidor público que con sus actos u omisiones, incumpla o transgreda las obligaciones siguientes:</w:t>
      </w:r>
    </w:p>
    <w:p w14:paraId="7C86BE97" w14:textId="77777777" w:rsidR="006C2841" w:rsidRPr="005D7B1F" w:rsidRDefault="00D06478">
      <w:pPr>
        <w:pBdr>
          <w:top w:val="nil"/>
          <w:left w:val="nil"/>
          <w:bottom w:val="nil"/>
          <w:right w:val="nil"/>
          <w:between w:val="nil"/>
        </w:pBdr>
        <w:spacing w:before="120" w:after="120"/>
        <w:ind w:left="851" w:right="900"/>
        <w:jc w:val="both"/>
        <w:rPr>
          <w:rFonts w:ascii="Palatino Linotype" w:eastAsia="Palatino Linotype" w:hAnsi="Palatino Linotype" w:cs="Palatino Linotype"/>
          <w:b/>
          <w:bCs/>
          <w:i/>
          <w:iCs/>
          <w:sz w:val="22"/>
          <w:szCs w:val="22"/>
        </w:rPr>
      </w:pPr>
      <w:r w:rsidRPr="005D7B1F">
        <w:rPr>
          <w:rFonts w:ascii="Palatino Linotype" w:eastAsia="Palatino Linotype" w:hAnsi="Palatino Linotype" w:cs="Palatino Linotype"/>
          <w:b/>
          <w:bCs/>
          <w:i/>
          <w:iCs/>
          <w:sz w:val="22"/>
          <w:szCs w:val="22"/>
        </w:rPr>
        <w:t>IV</w:t>
      </w:r>
      <w:r w:rsidRPr="005D7B1F">
        <w:rPr>
          <w:rFonts w:ascii="Palatino Linotype" w:eastAsia="Palatino Linotype" w:hAnsi="Palatino Linotype" w:cs="Palatino Linotype"/>
          <w:i/>
          <w:iCs/>
          <w:sz w:val="22"/>
          <w:szCs w:val="22"/>
        </w:rPr>
        <w:t xml:space="preserve">. </w:t>
      </w:r>
      <w:r w:rsidRPr="005D7B1F">
        <w:rPr>
          <w:rFonts w:ascii="Palatino Linotype" w:eastAsia="Palatino Linotype" w:hAnsi="Palatino Linotype" w:cs="Palatino Linotype"/>
          <w:b/>
          <w:bCs/>
          <w:i/>
          <w:iCs/>
          <w:sz w:val="22"/>
          <w:szCs w:val="22"/>
          <w:u w:val="single"/>
        </w:rPr>
        <w:t>Presentar en tiempo y forma la declaración de situación patrimonial y la de intereses</w:t>
      </w:r>
      <w:r w:rsidRPr="005D7B1F">
        <w:rPr>
          <w:rFonts w:ascii="Palatino Linotype" w:eastAsia="Palatino Linotype" w:hAnsi="Palatino Linotype" w:cs="Palatino Linotype"/>
          <w:i/>
          <w:iCs/>
          <w:sz w:val="22"/>
          <w:szCs w:val="22"/>
        </w:rPr>
        <w:t xml:space="preserve"> que, en su caso, considere se actualice, en los términos establecidos por esta Ley.”</w:t>
      </w:r>
    </w:p>
    <w:p w14:paraId="584A9E24" w14:textId="49B5F648"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referencia a lo anterior, de la naturaleza específica de lo solicitado, que consiste en el listado de las 39 personas servidoras públicas del ayuntamiento de Tepotzotlán que omitieron presentar su declaración de situación patrimonial y la de intereses, se advierte que consiste en información confidencial, en términos del artículo 143, fracción I de la Ley de Transparencia y Acceso a la Información Pública del Estado de México y Municipios, al tratarse de una falta no grave, en el entendido de que </w:t>
      </w:r>
      <w:r w:rsidRPr="005D7B1F">
        <w:rPr>
          <w:rFonts w:ascii="Palatino Linotype" w:eastAsia="Palatino Linotype" w:hAnsi="Palatino Linotype" w:cs="Palatino Linotype"/>
          <w:b/>
          <w:bCs/>
          <w:sz w:val="22"/>
          <w:szCs w:val="22"/>
        </w:rPr>
        <w:t xml:space="preserve">sólo pueden ser dadas a conocer las sanciones por </w:t>
      </w:r>
      <w:r w:rsidRPr="005D7B1F">
        <w:rPr>
          <w:rFonts w:ascii="Palatino Linotype" w:eastAsia="Palatino Linotype" w:hAnsi="Palatino Linotype" w:cs="Palatino Linotype"/>
          <w:b/>
          <w:bCs/>
          <w:sz w:val="22"/>
          <w:szCs w:val="22"/>
          <w:u w:val="single"/>
        </w:rPr>
        <w:t>faltas administrativas graves condenatorias</w:t>
      </w:r>
      <w:r w:rsidRPr="005D7B1F">
        <w:rPr>
          <w:rFonts w:ascii="Palatino Linotype" w:eastAsia="Palatino Linotype" w:hAnsi="Palatino Linotype" w:cs="Palatino Linotype"/>
          <w:sz w:val="22"/>
          <w:szCs w:val="22"/>
        </w:rPr>
        <w:t xml:space="preserve">, de conformidad con la Ley del Sistema Anticorrupción del Estado de México y Municipios que establece que </w:t>
      </w:r>
      <w:r w:rsidRPr="005D7B1F">
        <w:rPr>
          <w:rFonts w:ascii="Palatino Linotype" w:eastAsia="Palatino Linotype" w:hAnsi="Palatino Linotype" w:cs="Palatino Linotype"/>
          <w:b/>
          <w:bCs/>
          <w:sz w:val="22"/>
          <w:szCs w:val="22"/>
          <w:u w:val="single"/>
        </w:rPr>
        <w:t>las sanciones no graves no serán públicas</w:t>
      </w:r>
      <w:r w:rsidRPr="005D7B1F">
        <w:rPr>
          <w:rFonts w:ascii="Palatino Linotype" w:eastAsia="Palatino Linotype" w:hAnsi="Palatino Linotype" w:cs="Palatino Linotype"/>
          <w:sz w:val="22"/>
          <w:szCs w:val="22"/>
        </w:rPr>
        <w:t>.</w:t>
      </w:r>
    </w:p>
    <w:p w14:paraId="41A1AB83"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Para sustentar lo anterior, se reitera que las faltas no graves, son aquellas que cometen los servidores públicos por incumplimiento a sus funciones, o bien, a sus obligaciones y, por lo tanto, las consecuencias recaen directamente en contra de este, al no haber una afectación a terceros (personas físicas, morales, instituciones públicas u otros trabajadores), ni haber un detrimento en el erario.</w:t>
      </w:r>
    </w:p>
    <w:p w14:paraId="723D91A9"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Así, se puede advertir que dichas faltas, no tienen una trascendencia social, pues no existe un daño externo, sino que únicamente le atañe al servidor público en cuestión.</w:t>
      </w:r>
    </w:p>
    <w:p w14:paraId="3F09EEC4"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Por lo expuesto, se desprende que dar a conocer el nombre de servidores públicos de un procedimiento de responsabilidad administrativa no grave, constituye información confidencial que afecta su esfera privada, puesto que podría generar una percepción negativa de estos, ocasionando un perjuicio en su honor, intimidad y buena imagen, pues como se precisó la afectación es para el propio servidor público, situación que no afecta a terceros.</w:t>
      </w:r>
    </w:p>
    <w:p w14:paraId="7B199E1B"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En consecuencia, el dar a conocer el nombre y cargo del servidor público, podría generar un juicio a priori por parte de la sociedad, afectando su prestigio y su buen nombre, pues esto podría causar una mala percepción del servidor público frente a la sociedad, lo cual daña su vida privada y profesional, mismas que forman parte de su intimidad; por lo que se concluye que dicha información, así como cualquier dato que haga identificable al servidor público involucrado tiene el carácter de confidencial.</w:t>
      </w:r>
    </w:p>
    <w:p w14:paraId="20D367E6" w14:textId="6FB03D02" w:rsidR="006C2841" w:rsidRPr="005D7B1F" w:rsidRDefault="00D06478">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En este orden de ideas, se estima que para tener por satisfecho el derecho de acceso de la persona solicitante,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 xml:space="preserve">deberá hacer entrega del acuerdo del Comité de Transparencia mediante el cual, de manera fundada y motivada, clasifique el nombre </w:t>
      </w:r>
      <w:r w:rsidR="006F4E99" w:rsidRPr="005D7B1F">
        <w:rPr>
          <w:rFonts w:ascii="Palatino Linotype" w:eastAsia="Palatino Linotype" w:hAnsi="Palatino Linotype" w:cs="Palatino Linotype"/>
          <w:sz w:val="22"/>
          <w:szCs w:val="22"/>
        </w:rPr>
        <w:t>de</w:t>
      </w:r>
      <w:r w:rsidRPr="005D7B1F">
        <w:rPr>
          <w:rFonts w:ascii="Palatino Linotype" w:eastAsia="Palatino Linotype" w:hAnsi="Palatino Linotype" w:cs="Palatino Linotype"/>
          <w:sz w:val="22"/>
          <w:szCs w:val="22"/>
        </w:rPr>
        <w:t xml:space="preserve"> las 39 personas servidoras públicas del ayuntamiento de Tepotzotlán que omitieron presentar su declaración de situación patrimonial y la de intereses, como información confidencial.</w:t>
      </w:r>
    </w:p>
    <w:p w14:paraId="6945A038" w14:textId="77777777" w:rsidR="006C2841" w:rsidRPr="005D7B1F" w:rsidRDefault="00D06478">
      <w:pPr>
        <w:spacing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Finalmente, respecto de las manifestaciones realizadas por 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xml:space="preserve"> como razones o motivos de inconformidad, consistentes en “</w:t>
      </w:r>
      <w:r w:rsidRPr="005D7B1F">
        <w:rPr>
          <w:rFonts w:ascii="Palatino Linotype" w:eastAsia="Palatino Linotype" w:hAnsi="Palatino Linotype" w:cs="Palatino Linotype"/>
          <w:i/>
          <w:iCs/>
          <w:sz w:val="22"/>
          <w:szCs w:val="22"/>
        </w:rPr>
        <w:t>DÉ VISTA al Órgano Interno de Control por la emisión de respuestas evasivas y contradictorias. Establezca medidas de apremio en caso de incumplimiento.” (sic)</w:t>
      </w:r>
      <w:r w:rsidRPr="005D7B1F">
        <w:rPr>
          <w:rFonts w:ascii="Palatino Linotype" w:eastAsia="Palatino Linotype" w:hAnsi="Palatino Linotype" w:cs="Palatino Linotype"/>
          <w:sz w:val="22"/>
          <w:szCs w:val="22"/>
        </w:rPr>
        <w:t xml:space="preserve"> y derivado que el Recurso de Revisión no es el medio para sancionar, este Organismo Garante sugiere a la persona solicitante, interponer su queja o denuncia ante la autoridad competente.</w:t>
      </w:r>
    </w:p>
    <w:p w14:paraId="2F2070FE" w14:textId="77777777" w:rsidR="006C2841" w:rsidRPr="005D7B1F" w:rsidRDefault="00D06478">
      <w:pPr>
        <w:tabs>
          <w:tab w:val="left" w:pos="975"/>
        </w:tabs>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De lo hasta aquí expuesto, se concluye que los motivos de inconformidad de la parte </w:t>
      </w:r>
      <w:r w:rsidRPr="005D7B1F">
        <w:rPr>
          <w:rFonts w:ascii="Palatino Linotype" w:eastAsia="Palatino Linotype" w:hAnsi="Palatino Linotype" w:cs="Palatino Linotype"/>
          <w:b/>
          <w:bCs/>
          <w:sz w:val="22"/>
          <w:szCs w:val="22"/>
        </w:rPr>
        <w:t xml:space="preserve">Recurrente </w:t>
      </w:r>
      <w:r w:rsidRPr="005D7B1F">
        <w:rPr>
          <w:rFonts w:ascii="Palatino Linotype" w:eastAsia="Palatino Linotype" w:hAnsi="Palatino Linotype" w:cs="Palatino Linotype"/>
          <w:sz w:val="22"/>
          <w:szCs w:val="22"/>
        </w:rPr>
        <w:t xml:space="preserve">devienen parcialmente fundados, siendo procedente </w:t>
      </w:r>
      <w:r w:rsidRPr="005D7B1F">
        <w:rPr>
          <w:rFonts w:ascii="Palatino Linotype" w:eastAsia="Palatino Linotype" w:hAnsi="Palatino Linotype" w:cs="Palatino Linotype"/>
          <w:i/>
          <w:iCs/>
          <w:sz w:val="22"/>
          <w:szCs w:val="22"/>
        </w:rPr>
        <w:t xml:space="preserve">Modificar </w:t>
      </w:r>
      <w:r w:rsidRPr="005D7B1F">
        <w:rPr>
          <w:rFonts w:ascii="Palatino Linotype" w:eastAsia="Palatino Linotype" w:hAnsi="Palatino Linotype" w:cs="Palatino Linotype"/>
          <w:sz w:val="22"/>
          <w:szCs w:val="22"/>
        </w:rPr>
        <w:t xml:space="preserve">la respuesta proporcionada por el </w:t>
      </w:r>
      <w:r w:rsidRPr="005D7B1F">
        <w:rPr>
          <w:rFonts w:ascii="Palatino Linotype" w:eastAsia="Palatino Linotype" w:hAnsi="Palatino Linotype" w:cs="Palatino Linotype"/>
          <w:b/>
          <w:bCs/>
          <w:sz w:val="22"/>
          <w:szCs w:val="22"/>
        </w:rPr>
        <w:t xml:space="preserve">Sujeto Obligado </w:t>
      </w:r>
      <w:r w:rsidRPr="005D7B1F">
        <w:rPr>
          <w:rFonts w:ascii="Palatino Linotype" w:eastAsia="Palatino Linotype" w:hAnsi="Palatino Linotype" w:cs="Palatino Linotype"/>
          <w:sz w:val="22"/>
          <w:szCs w:val="22"/>
        </w:rPr>
        <w:t>en términos del artículo 186 fracción III de la Ley de Transparencia y Acceso a la Información Pública del Estado de México y Municipios.</w:t>
      </w:r>
    </w:p>
    <w:p w14:paraId="0A9B824A"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Así, con fundamento en lo prescrito en los artículos 5 párrafos cuadragésimo cuarto, cuadragésimo quinto cuadragésimo sexto,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0AE20556" w14:textId="77777777" w:rsidR="006C2841" w:rsidRPr="005D7B1F" w:rsidRDefault="00D06478">
      <w:pPr>
        <w:pBdr>
          <w:top w:val="nil"/>
          <w:left w:val="nil"/>
          <w:bottom w:val="nil"/>
          <w:right w:val="nil"/>
          <w:between w:val="nil"/>
        </w:pBdr>
        <w:spacing w:before="240" w:after="240" w:line="360" w:lineRule="auto"/>
        <w:jc w:val="center"/>
        <w:rPr>
          <w:rFonts w:ascii="Palatino Linotype" w:eastAsia="Palatino Linotype" w:hAnsi="Palatino Linotype" w:cs="Palatino Linotype"/>
          <w:b/>
          <w:bCs/>
          <w:sz w:val="22"/>
          <w:szCs w:val="22"/>
        </w:rPr>
      </w:pPr>
      <w:r w:rsidRPr="005D7B1F">
        <w:rPr>
          <w:rFonts w:ascii="Palatino Linotype" w:eastAsia="Palatino Linotype" w:hAnsi="Palatino Linotype" w:cs="Palatino Linotype"/>
          <w:b/>
          <w:bCs/>
          <w:sz w:val="22"/>
          <w:szCs w:val="22"/>
        </w:rPr>
        <w:t>III. R E S U E L V E</w:t>
      </w:r>
    </w:p>
    <w:p w14:paraId="1BF36D6A"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9" w:name="_heading=h.26in1rg" w:colFirst="0" w:colLast="0"/>
      <w:bookmarkEnd w:id="9"/>
      <w:r w:rsidRPr="005D7B1F">
        <w:rPr>
          <w:rFonts w:ascii="Palatino Linotype" w:eastAsia="Palatino Linotype" w:hAnsi="Palatino Linotype" w:cs="Palatino Linotype"/>
          <w:b/>
          <w:bCs/>
          <w:sz w:val="22"/>
          <w:szCs w:val="22"/>
        </w:rPr>
        <w:t xml:space="preserve">Primero. </w:t>
      </w:r>
      <w:r w:rsidRPr="005D7B1F">
        <w:rPr>
          <w:rFonts w:ascii="Palatino Linotype" w:eastAsia="Palatino Linotype" w:hAnsi="Palatino Linotype" w:cs="Palatino Linotype"/>
          <w:sz w:val="22"/>
          <w:szCs w:val="22"/>
        </w:rPr>
        <w:t>Resultan</w:t>
      </w:r>
      <w:r w:rsidRPr="005D7B1F">
        <w:rPr>
          <w:rFonts w:ascii="Palatino Linotype" w:eastAsia="Palatino Linotype" w:hAnsi="Palatino Linotype" w:cs="Palatino Linotype"/>
          <w:b/>
          <w:bCs/>
          <w:sz w:val="22"/>
          <w:szCs w:val="22"/>
        </w:rPr>
        <w:t xml:space="preserve"> parcialmente fundadas</w:t>
      </w:r>
      <w:r w:rsidRPr="005D7B1F">
        <w:rPr>
          <w:rFonts w:ascii="Palatino Linotype" w:eastAsia="Palatino Linotype" w:hAnsi="Palatino Linotype" w:cs="Palatino Linotype"/>
          <w:sz w:val="22"/>
          <w:szCs w:val="22"/>
        </w:rPr>
        <w:t xml:space="preserve"> las razones o motivos de inconformidad hechos valer por la parte</w:t>
      </w:r>
      <w:r w:rsidRPr="005D7B1F">
        <w:rPr>
          <w:rFonts w:ascii="Palatino Linotype" w:eastAsia="Palatino Linotype" w:hAnsi="Palatino Linotype" w:cs="Palatino Linotype"/>
          <w:b/>
          <w:bCs/>
          <w:sz w:val="22"/>
          <w:szCs w:val="22"/>
        </w:rPr>
        <w:t xml:space="preserve"> Recurrente</w:t>
      </w:r>
      <w:r w:rsidRPr="005D7B1F">
        <w:rPr>
          <w:rFonts w:ascii="Palatino Linotype" w:eastAsia="Palatino Linotype" w:hAnsi="Palatino Linotype" w:cs="Palatino Linotype"/>
          <w:sz w:val="22"/>
          <w:szCs w:val="22"/>
        </w:rPr>
        <w:t xml:space="preserve"> en el recurso de revisión </w:t>
      </w:r>
      <w:r w:rsidRPr="005D7B1F">
        <w:rPr>
          <w:rFonts w:ascii="Palatino Linotype" w:eastAsia="Palatino Linotype" w:hAnsi="Palatino Linotype" w:cs="Palatino Linotype"/>
          <w:b/>
          <w:bCs/>
          <w:sz w:val="22"/>
          <w:szCs w:val="22"/>
        </w:rPr>
        <w:t>14679/INFOEM/IP/RR/2025</w:t>
      </w:r>
      <w:r w:rsidRPr="005D7B1F">
        <w:rPr>
          <w:rFonts w:ascii="Palatino Linotype" w:eastAsia="Palatino Linotype" w:hAnsi="Palatino Linotype" w:cs="Palatino Linotype"/>
          <w:sz w:val="22"/>
          <w:szCs w:val="22"/>
        </w:rPr>
        <w:t xml:space="preserve">; por lo que, en términos del </w:t>
      </w:r>
      <w:r w:rsidRPr="005D7B1F">
        <w:rPr>
          <w:rFonts w:ascii="Palatino Linotype" w:eastAsia="Palatino Linotype" w:hAnsi="Palatino Linotype" w:cs="Palatino Linotype"/>
          <w:b/>
          <w:bCs/>
          <w:sz w:val="22"/>
          <w:szCs w:val="22"/>
        </w:rPr>
        <w:t>Considerando</w:t>
      </w:r>
      <w:r w:rsidRPr="005D7B1F">
        <w:rPr>
          <w:rFonts w:ascii="Palatino Linotype" w:eastAsia="Palatino Linotype" w:hAnsi="Palatino Linotype" w:cs="Palatino Linotype"/>
          <w:sz w:val="22"/>
          <w:szCs w:val="22"/>
        </w:rPr>
        <w:t xml:space="preserve"> </w:t>
      </w:r>
      <w:r w:rsidRPr="005D7B1F">
        <w:rPr>
          <w:rFonts w:ascii="Palatino Linotype" w:eastAsia="Palatino Linotype" w:hAnsi="Palatino Linotype" w:cs="Palatino Linotype"/>
          <w:b/>
          <w:bCs/>
          <w:sz w:val="22"/>
          <w:szCs w:val="22"/>
        </w:rPr>
        <w:t xml:space="preserve">Cuarto </w:t>
      </w:r>
      <w:r w:rsidRPr="005D7B1F">
        <w:rPr>
          <w:rFonts w:ascii="Palatino Linotype" w:eastAsia="Palatino Linotype" w:hAnsi="Palatino Linotype" w:cs="Palatino Linotype"/>
          <w:sz w:val="22"/>
          <w:szCs w:val="22"/>
        </w:rPr>
        <w:t xml:space="preserve">de esta resolución, se </w:t>
      </w:r>
      <w:r w:rsidRPr="005D7B1F">
        <w:rPr>
          <w:rFonts w:ascii="Palatino Linotype" w:eastAsia="Palatino Linotype" w:hAnsi="Palatino Linotype" w:cs="Palatino Linotype"/>
          <w:b/>
          <w:bCs/>
          <w:sz w:val="22"/>
          <w:szCs w:val="22"/>
        </w:rPr>
        <w:t xml:space="preserve">Modifica </w:t>
      </w:r>
      <w:r w:rsidRPr="005D7B1F">
        <w:rPr>
          <w:rFonts w:ascii="Palatino Linotype" w:eastAsia="Palatino Linotype" w:hAnsi="Palatino Linotype" w:cs="Palatino Linotype"/>
          <w:sz w:val="22"/>
          <w:szCs w:val="22"/>
        </w:rPr>
        <w:t xml:space="preserve">la respuesta emitida por el </w:t>
      </w:r>
      <w:r w:rsidRPr="005D7B1F">
        <w:rPr>
          <w:rFonts w:ascii="Palatino Linotype" w:eastAsia="Palatino Linotype" w:hAnsi="Palatino Linotype" w:cs="Palatino Linotype"/>
          <w:b/>
          <w:bCs/>
          <w:sz w:val="22"/>
          <w:szCs w:val="22"/>
        </w:rPr>
        <w:t xml:space="preserve">Sujeto Obligado. </w:t>
      </w:r>
    </w:p>
    <w:p w14:paraId="64B945AF" w14:textId="77777777" w:rsidR="006C2841" w:rsidRPr="005D7B1F" w:rsidRDefault="00D06478">
      <w:pPr>
        <w:spacing w:before="240" w:after="240" w:line="336"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b/>
          <w:bCs/>
          <w:sz w:val="22"/>
          <w:szCs w:val="22"/>
        </w:rPr>
        <w:t xml:space="preserve">Segundo. </w:t>
      </w:r>
      <w:r w:rsidRPr="005D7B1F">
        <w:rPr>
          <w:rFonts w:ascii="Palatino Linotype" w:eastAsia="Palatino Linotype" w:hAnsi="Palatino Linotype" w:cs="Palatino Linotype"/>
          <w:sz w:val="22"/>
          <w:szCs w:val="22"/>
        </w:rPr>
        <w:t xml:space="preserve">Se </w:t>
      </w:r>
      <w:r w:rsidRPr="005D7B1F">
        <w:rPr>
          <w:rFonts w:ascii="Palatino Linotype" w:eastAsia="Palatino Linotype" w:hAnsi="Palatino Linotype" w:cs="Palatino Linotype"/>
          <w:b/>
          <w:bCs/>
          <w:sz w:val="22"/>
          <w:szCs w:val="22"/>
        </w:rPr>
        <w:t>Ordena</w:t>
      </w:r>
      <w:r w:rsidRPr="005D7B1F">
        <w:rPr>
          <w:rFonts w:ascii="Palatino Linotype" w:eastAsia="Palatino Linotype" w:hAnsi="Palatino Linotype" w:cs="Palatino Linotype"/>
          <w:sz w:val="22"/>
          <w:szCs w:val="22"/>
        </w:rPr>
        <w:t xml:space="preserve"> al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en términos del Considerando </w:t>
      </w:r>
      <w:r w:rsidRPr="005D7B1F">
        <w:rPr>
          <w:rFonts w:ascii="Palatino Linotype" w:eastAsia="Palatino Linotype" w:hAnsi="Palatino Linotype" w:cs="Palatino Linotype"/>
          <w:b/>
          <w:bCs/>
          <w:sz w:val="22"/>
          <w:szCs w:val="22"/>
        </w:rPr>
        <w:t xml:space="preserve">Cuarto </w:t>
      </w:r>
      <w:r w:rsidRPr="005D7B1F">
        <w:rPr>
          <w:rFonts w:ascii="Palatino Linotype" w:eastAsia="Palatino Linotype" w:hAnsi="Palatino Linotype" w:cs="Palatino Linotype"/>
          <w:sz w:val="22"/>
          <w:szCs w:val="22"/>
        </w:rPr>
        <w:t xml:space="preserve">de esta resolución, haga entrega, vía </w:t>
      </w:r>
      <w:r w:rsidRPr="005D7B1F">
        <w:rPr>
          <w:rFonts w:ascii="Palatino Linotype" w:eastAsia="Palatino Linotype" w:hAnsi="Palatino Linotype" w:cs="Palatino Linotype"/>
          <w:b/>
          <w:bCs/>
          <w:sz w:val="22"/>
          <w:szCs w:val="22"/>
        </w:rPr>
        <w:t>SAIMEX</w:t>
      </w:r>
      <w:r w:rsidRPr="005D7B1F">
        <w:rPr>
          <w:rFonts w:ascii="Palatino Linotype" w:eastAsia="Palatino Linotype" w:hAnsi="Palatino Linotype" w:cs="Palatino Linotype"/>
          <w:sz w:val="22"/>
          <w:szCs w:val="22"/>
        </w:rPr>
        <w:t>, de lo siguiente:</w:t>
      </w:r>
    </w:p>
    <w:p w14:paraId="32B34409" w14:textId="318416F9" w:rsidR="006C2841" w:rsidRPr="005D7B1F" w:rsidRDefault="00D06478">
      <w:pPr>
        <w:pBdr>
          <w:top w:val="nil"/>
          <w:left w:val="nil"/>
          <w:bottom w:val="nil"/>
          <w:right w:val="nil"/>
          <w:between w:val="nil"/>
        </w:pBdr>
        <w:tabs>
          <w:tab w:val="left" w:pos="567"/>
        </w:tabs>
        <w:spacing w:before="240" w:after="240" w:line="360" w:lineRule="auto"/>
        <w:ind w:left="284" w:right="51"/>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1. Acuerdo del Comité de Transparencia en donde de manera fundada y motivada, confirme la clasificación del nombre </w:t>
      </w:r>
      <w:r w:rsidR="006F4E99" w:rsidRPr="005D7B1F">
        <w:rPr>
          <w:rFonts w:ascii="Palatino Linotype" w:eastAsia="Palatino Linotype" w:hAnsi="Palatino Linotype" w:cs="Palatino Linotype"/>
          <w:sz w:val="22"/>
          <w:szCs w:val="22"/>
        </w:rPr>
        <w:t>de</w:t>
      </w:r>
      <w:r w:rsidRPr="005D7B1F">
        <w:rPr>
          <w:rFonts w:ascii="Palatino Linotype" w:eastAsia="Palatino Linotype" w:hAnsi="Palatino Linotype" w:cs="Palatino Linotype"/>
          <w:sz w:val="22"/>
          <w:szCs w:val="22"/>
        </w:rPr>
        <w:t xml:space="preserve"> las 39 personas servidoras públicas del ayuntamiento de Tepotzotlán que omitieron presentar su declaración de situación patrimonial y la de intereses, como información confidencial.</w:t>
      </w:r>
    </w:p>
    <w:p w14:paraId="2245D19B"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10" w:name="_heading=h.4cxau4am0rpd" w:colFirst="0" w:colLast="0"/>
      <w:bookmarkEnd w:id="10"/>
      <w:r w:rsidRPr="005D7B1F">
        <w:rPr>
          <w:rFonts w:ascii="Palatino Linotype" w:eastAsia="Palatino Linotype" w:hAnsi="Palatino Linotype" w:cs="Palatino Linotype"/>
          <w:b/>
          <w:bCs/>
          <w:sz w:val="22"/>
          <w:szCs w:val="22"/>
        </w:rPr>
        <w:t xml:space="preserve">Tercero. Notifíquese, </w:t>
      </w:r>
      <w:r w:rsidRPr="005D7B1F">
        <w:rPr>
          <w:rFonts w:ascii="Palatino Linotype" w:eastAsia="Palatino Linotype" w:hAnsi="Palatino Linotype" w:cs="Palatino Linotype"/>
          <w:sz w:val="22"/>
          <w:szCs w:val="22"/>
        </w:rPr>
        <w:t xml:space="preserve">vía </w:t>
      </w:r>
      <w:r w:rsidRPr="005D7B1F">
        <w:rPr>
          <w:rFonts w:ascii="Palatino Linotype" w:eastAsia="Palatino Linotype" w:hAnsi="Palatino Linotype" w:cs="Palatino Linotype"/>
          <w:b/>
          <w:bCs/>
          <w:sz w:val="22"/>
          <w:szCs w:val="22"/>
        </w:rPr>
        <w:t>SAIMEX</w:t>
      </w:r>
      <w:r w:rsidRPr="005D7B1F">
        <w:rPr>
          <w:rFonts w:ascii="Palatino Linotype" w:eastAsia="Palatino Linotype" w:hAnsi="Palatino Linotype" w:cs="Palatino Linotype"/>
          <w:sz w:val="22"/>
          <w:szCs w:val="22"/>
        </w:rPr>
        <w:t xml:space="preserve">, al Titular de la Unidad de Transparencia del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B86F3F5"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r w:rsidRPr="005D7B1F">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D7B1F">
        <w:rPr>
          <w:rFonts w:ascii="Palatino Linotype" w:eastAsia="Palatino Linotype" w:hAnsi="Palatino Linotype" w:cs="Palatino Linotype"/>
          <w:b/>
          <w:bCs/>
          <w:sz w:val="22"/>
          <w:szCs w:val="22"/>
        </w:rPr>
        <w:t>Sujeto Obligado</w:t>
      </w:r>
      <w:r w:rsidRPr="005D7B1F">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349F73D" w14:textId="77777777" w:rsidR="006C2841" w:rsidRPr="005D7B1F" w:rsidRDefault="00D06478">
      <w:pPr>
        <w:spacing w:before="240" w:after="240" w:line="360" w:lineRule="auto"/>
        <w:jc w:val="both"/>
        <w:rPr>
          <w:rFonts w:ascii="Palatino Linotype" w:eastAsia="Palatino Linotype" w:hAnsi="Palatino Linotype" w:cs="Palatino Linotype"/>
          <w:sz w:val="22"/>
          <w:szCs w:val="22"/>
        </w:rPr>
      </w:pPr>
      <w:bookmarkStart w:id="11" w:name="_heading=h.17dp8vu" w:colFirst="0" w:colLast="0"/>
      <w:bookmarkEnd w:id="11"/>
      <w:r w:rsidRPr="005D7B1F">
        <w:rPr>
          <w:rFonts w:ascii="Palatino Linotype" w:eastAsia="Palatino Linotype" w:hAnsi="Palatino Linotype" w:cs="Palatino Linotype"/>
          <w:b/>
          <w:bCs/>
          <w:sz w:val="22"/>
          <w:szCs w:val="22"/>
        </w:rPr>
        <w:t xml:space="preserve">Cuarto.  Notifíquese, </w:t>
      </w:r>
      <w:r w:rsidRPr="005D7B1F">
        <w:rPr>
          <w:rFonts w:ascii="Palatino Linotype" w:eastAsia="Palatino Linotype" w:hAnsi="Palatino Linotype" w:cs="Palatino Linotype"/>
          <w:sz w:val="22"/>
          <w:szCs w:val="22"/>
        </w:rPr>
        <w:t xml:space="preserve">vía </w:t>
      </w:r>
      <w:r w:rsidRPr="005D7B1F">
        <w:rPr>
          <w:rFonts w:ascii="Palatino Linotype" w:eastAsia="Palatino Linotype" w:hAnsi="Palatino Linotype" w:cs="Palatino Linotype"/>
          <w:b/>
          <w:bCs/>
          <w:sz w:val="22"/>
          <w:szCs w:val="22"/>
        </w:rPr>
        <w:t>SAIMEX</w:t>
      </w:r>
      <w:r w:rsidRPr="005D7B1F">
        <w:rPr>
          <w:rFonts w:ascii="Palatino Linotype" w:eastAsia="Palatino Linotype" w:hAnsi="Palatino Linotype" w:cs="Palatino Linotype"/>
          <w:sz w:val="22"/>
          <w:szCs w:val="22"/>
        </w:rPr>
        <w:t xml:space="preserve">, a la parte </w:t>
      </w:r>
      <w:r w:rsidRPr="005D7B1F">
        <w:rPr>
          <w:rFonts w:ascii="Palatino Linotype" w:eastAsia="Palatino Linotype" w:hAnsi="Palatino Linotype" w:cs="Palatino Linotype"/>
          <w:b/>
          <w:bCs/>
          <w:sz w:val="22"/>
          <w:szCs w:val="22"/>
        </w:rPr>
        <w:t>Recurrente</w:t>
      </w:r>
      <w:r w:rsidRPr="005D7B1F">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79EB51B" w14:textId="1CDC3B0F" w:rsidR="006C2841" w:rsidRPr="008F1F68" w:rsidRDefault="00D06478">
      <w:pPr>
        <w:tabs>
          <w:tab w:val="left" w:pos="8647"/>
        </w:tabs>
        <w:spacing w:before="240" w:after="240" w:line="360" w:lineRule="auto"/>
        <w:ind w:right="51"/>
        <w:jc w:val="both"/>
        <w:rPr>
          <w:rFonts w:ascii="Palatino Linotype" w:eastAsia="Palatino Linotype" w:hAnsi="Palatino Linotype" w:cs="Palatino Linotype"/>
          <w:sz w:val="22"/>
          <w:szCs w:val="22"/>
        </w:rPr>
      </w:pPr>
      <w:bookmarkStart w:id="12" w:name="_heading=h.lnxbz9" w:colFirst="0" w:colLast="0"/>
      <w:bookmarkEnd w:id="12"/>
      <w:r w:rsidRPr="005D7B1F">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w:t>
      </w:r>
      <w:r w:rsidR="00460534" w:rsidRPr="005D7B1F">
        <w:rPr>
          <w:rFonts w:ascii="Palatino Linotype" w:eastAsia="Palatino Linotype" w:hAnsi="Palatino Linotype" w:cs="Palatino Linotype"/>
          <w:sz w:val="22"/>
          <w:szCs w:val="22"/>
        </w:rPr>
        <w:t xml:space="preserve"> CINCO</w:t>
      </w:r>
      <w:r w:rsidRPr="005D7B1F">
        <w:rPr>
          <w:rFonts w:ascii="Palatino Linotype" w:eastAsia="Palatino Linotype" w:hAnsi="Palatino Linotype" w:cs="Palatino Linotype"/>
          <w:sz w:val="22"/>
          <w:szCs w:val="22"/>
        </w:rPr>
        <w:t xml:space="preserve"> DE FEBRERO DE DOS MIL VEINTISÉIS, ANTE EL SECRETARIO TÉCNICO DEL PLENO ALEXIS TAPIA RAMÍREZ.</w:t>
      </w:r>
    </w:p>
    <w:p w14:paraId="5E968D65"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50BB4B8F" w14:textId="77777777" w:rsidR="006C2841" w:rsidRPr="008F1F68" w:rsidRDefault="006C2841">
      <w:pPr>
        <w:spacing w:line="360" w:lineRule="auto"/>
        <w:jc w:val="center"/>
        <w:rPr>
          <w:rFonts w:ascii="Palatino Linotype" w:eastAsia="Palatino Linotype" w:hAnsi="Palatino Linotype" w:cs="Palatino Linotype"/>
          <w:sz w:val="22"/>
          <w:szCs w:val="22"/>
        </w:rPr>
      </w:pPr>
    </w:p>
    <w:p w14:paraId="3C4E8E0F"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2CAC9883"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7463A2DE"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2D6C1137"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25DD3A7B"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33194FCF"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6D178AD8"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3B3667B8"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3135E35F"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7B609211"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42D09F38"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587909B9"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3676EB01"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0B225551"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3F2FB0A2"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23981723"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1CBC5CDA"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0142E773"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7EB5C87E"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1ED97FF0" w14:textId="77777777" w:rsidR="006C2841" w:rsidRPr="008F1F68" w:rsidRDefault="006C2841">
      <w:pPr>
        <w:spacing w:line="360" w:lineRule="auto"/>
        <w:jc w:val="both"/>
        <w:rPr>
          <w:rFonts w:ascii="Palatino Linotype" w:eastAsia="Palatino Linotype" w:hAnsi="Palatino Linotype" w:cs="Palatino Linotype"/>
          <w:sz w:val="22"/>
          <w:szCs w:val="22"/>
        </w:rPr>
      </w:pPr>
    </w:p>
    <w:p w14:paraId="190DEA70" w14:textId="77777777" w:rsidR="006C2841" w:rsidRPr="008F1F68" w:rsidRDefault="006C2841">
      <w:pPr>
        <w:spacing w:line="360" w:lineRule="auto"/>
        <w:jc w:val="both"/>
        <w:rPr>
          <w:rFonts w:ascii="Palatino Linotype" w:eastAsia="Palatino Linotype" w:hAnsi="Palatino Linotype" w:cs="Palatino Linotype"/>
          <w:sz w:val="22"/>
          <w:szCs w:val="22"/>
        </w:rPr>
      </w:pPr>
    </w:p>
    <w:sectPr w:rsidR="006C2841" w:rsidRPr="008F1F68">
      <w:headerReference w:type="default" r:id="rId8"/>
      <w:footerReference w:type="default" r:id="rId9"/>
      <w:headerReference w:type="first" r:id="rId10"/>
      <w:footerReference w:type="first" r:id="rId11"/>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C495E9" w14:textId="77777777" w:rsidR="004A040F" w:rsidRDefault="004A040F">
      <w:r>
        <w:separator/>
      </w:r>
    </w:p>
  </w:endnote>
  <w:endnote w:type="continuationSeparator" w:id="0">
    <w:p w14:paraId="6F04460F" w14:textId="77777777" w:rsidR="004A040F" w:rsidRDefault="004A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7690AC3-AE9E-4C44-863F-E06D1A929E09}"/>
    <w:embedBold r:id="rId2" w:fontKey="{1D5AD349-BA9A-42F4-AC5B-48C5C34547B5}"/>
  </w:font>
  <w:font w:name="Cambria">
    <w:panose1 w:val="02040503050406030204"/>
    <w:charset w:val="00"/>
    <w:family w:val="roman"/>
    <w:pitch w:val="variable"/>
    <w:sig w:usb0="E00006FF" w:usb1="420024FF" w:usb2="02000000" w:usb3="00000000" w:csb0="0000019F" w:csb1="00000000"/>
    <w:embedRegular r:id="rId3" w:fontKey="{FFCA8AC6-A951-412E-AD95-93D2563EDC23}"/>
    <w:embedBold r:id="rId4" w:fontKey="{E4511FAB-DB2E-4638-A151-C9A4E44467F2}"/>
    <w:embedBoldItalic r:id="rId5" w:fontKey="{A8200928-0FB2-46A0-A212-9CAD80F95408}"/>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3254021A-C43C-436D-9B0A-C1000862F970}"/>
  </w:font>
  <w:font w:name="Georgia">
    <w:panose1 w:val="02040502050405020303"/>
    <w:charset w:val="00"/>
    <w:family w:val="roman"/>
    <w:pitch w:val="variable"/>
    <w:sig w:usb0="00000287" w:usb1="00000000" w:usb2="00000000" w:usb3="00000000" w:csb0="0000009F" w:csb1="00000000"/>
    <w:embedItalic r:id="rId7" w:fontKey="{72FF4B13-E4DE-41BC-B3DD-28717FDA6F9F}"/>
  </w:font>
  <w:font w:name="Palatino Linotype">
    <w:panose1 w:val="02040502050505030304"/>
    <w:charset w:val="00"/>
    <w:family w:val="roman"/>
    <w:pitch w:val="variable"/>
    <w:sig w:usb0="E0000287" w:usb1="40000013" w:usb2="00000000" w:usb3="00000000" w:csb0="0000019F" w:csb1="00000000"/>
    <w:embedRegular r:id="rId8" w:fontKey="{4148C8EA-6A18-46E0-8004-33618C345304}"/>
    <w:embedBold r:id="rId9" w:fontKey="{AE58512E-F8FA-47C2-9B62-7A6D43A2F391}"/>
    <w:embedItalic r:id="rId10" w:fontKey="{86DAD800-563A-49A1-ADBB-000CBEB0F704}"/>
    <w:embedBoldItalic r:id="rId11" w:fontKey="{9EB3B7E0-F9A6-4D8A-8C24-0AC76541190C}"/>
  </w:font>
  <w:font w:name="Quattrocento Sans">
    <w:altName w:val="Times New Roman"/>
    <w:charset w:val="00"/>
    <w:family w:val="auto"/>
    <w:pitch w:val="default"/>
    <w:embedItalic r:id="rId12" w:fontKey="{EA80711C-1F1A-4D85-AD21-DA14DA805EC5}"/>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816D2" w14:textId="2175416E" w:rsidR="006C2841" w:rsidRDefault="00D0647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9873F8">
      <w:rPr>
        <w:rFonts w:ascii="Palatino Linotype" w:eastAsia="Palatino Linotype" w:hAnsi="Palatino Linotype" w:cs="Palatino Linotype"/>
        <w:b/>
        <w:bCs/>
        <w:noProof/>
        <w:color w:val="000000"/>
        <w:sz w:val="20"/>
        <w:szCs w:val="20"/>
      </w:rPr>
      <w:t>26</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9873F8">
      <w:rPr>
        <w:rFonts w:ascii="Palatino Linotype" w:eastAsia="Palatino Linotype" w:hAnsi="Palatino Linotype" w:cs="Palatino Linotype"/>
        <w:b/>
        <w:bCs/>
        <w:noProof/>
        <w:color w:val="000000"/>
        <w:sz w:val="20"/>
        <w:szCs w:val="20"/>
      </w:rPr>
      <w:t>30</w:t>
    </w:r>
    <w:r>
      <w:rPr>
        <w:rFonts w:ascii="Palatino Linotype" w:eastAsia="Palatino Linotype" w:hAnsi="Palatino Linotype" w:cs="Palatino Linotype"/>
        <w:b/>
        <w:bCs/>
        <w:color w:val="000000"/>
        <w:sz w:val="20"/>
        <w:szCs w:val="20"/>
      </w:rPr>
      <w:fldChar w:fldCharType="end"/>
    </w:r>
  </w:p>
  <w:p w14:paraId="01F04B30" w14:textId="77777777" w:rsidR="006C2841" w:rsidRDefault="006C2841">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7EB4E" w14:textId="1D080BC9" w:rsidR="006C2841" w:rsidRDefault="00D06478">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bCs/>
        <w:color w:val="000000"/>
        <w:sz w:val="20"/>
        <w:szCs w:val="20"/>
      </w:rPr>
      <w:t xml:space="preserve">Página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PAGE</w:instrText>
    </w:r>
    <w:r>
      <w:rPr>
        <w:rFonts w:ascii="Palatino Linotype" w:eastAsia="Palatino Linotype" w:hAnsi="Palatino Linotype" w:cs="Palatino Linotype"/>
        <w:b/>
        <w:bCs/>
        <w:color w:val="000000"/>
        <w:sz w:val="20"/>
        <w:szCs w:val="20"/>
      </w:rPr>
      <w:fldChar w:fldCharType="separate"/>
    </w:r>
    <w:r w:rsidR="00A64C29">
      <w:rPr>
        <w:rFonts w:ascii="Palatino Linotype" w:eastAsia="Palatino Linotype" w:hAnsi="Palatino Linotype" w:cs="Palatino Linotype"/>
        <w:b/>
        <w:bCs/>
        <w:noProof/>
        <w:color w:val="000000"/>
        <w:sz w:val="20"/>
        <w:szCs w:val="20"/>
      </w:rPr>
      <w:t>1</w:t>
    </w:r>
    <w:r>
      <w:rPr>
        <w:rFonts w:ascii="Palatino Linotype" w:eastAsia="Palatino Linotype" w:hAnsi="Palatino Linotype" w:cs="Palatino Linotype"/>
        <w:b/>
        <w:bCs/>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bCs/>
        <w:color w:val="000000"/>
        <w:sz w:val="20"/>
        <w:szCs w:val="20"/>
      </w:rPr>
      <w:fldChar w:fldCharType="begin"/>
    </w:r>
    <w:r>
      <w:rPr>
        <w:rFonts w:ascii="Palatino Linotype" w:eastAsia="Palatino Linotype" w:hAnsi="Palatino Linotype" w:cs="Palatino Linotype"/>
        <w:b/>
        <w:bCs/>
        <w:color w:val="000000"/>
        <w:sz w:val="20"/>
        <w:szCs w:val="20"/>
      </w:rPr>
      <w:instrText>NUMPAGES</w:instrText>
    </w:r>
    <w:r>
      <w:rPr>
        <w:rFonts w:ascii="Palatino Linotype" w:eastAsia="Palatino Linotype" w:hAnsi="Palatino Linotype" w:cs="Palatino Linotype"/>
        <w:b/>
        <w:bCs/>
        <w:color w:val="000000"/>
        <w:sz w:val="20"/>
        <w:szCs w:val="20"/>
      </w:rPr>
      <w:fldChar w:fldCharType="separate"/>
    </w:r>
    <w:r w:rsidR="00A64C29">
      <w:rPr>
        <w:rFonts w:ascii="Palatino Linotype" w:eastAsia="Palatino Linotype" w:hAnsi="Palatino Linotype" w:cs="Palatino Linotype"/>
        <w:b/>
        <w:bCs/>
        <w:noProof/>
        <w:color w:val="000000"/>
        <w:sz w:val="20"/>
        <w:szCs w:val="20"/>
      </w:rPr>
      <w:t>30</w:t>
    </w:r>
    <w:r>
      <w:rPr>
        <w:rFonts w:ascii="Palatino Linotype" w:eastAsia="Palatino Linotype" w:hAnsi="Palatino Linotype" w:cs="Palatino Linotype"/>
        <w:b/>
        <w:bCs/>
        <w:color w:val="000000"/>
        <w:sz w:val="20"/>
        <w:szCs w:val="20"/>
      </w:rPr>
      <w:fldChar w:fldCharType="end"/>
    </w:r>
  </w:p>
  <w:p w14:paraId="2D6AC822" w14:textId="77777777" w:rsidR="006C2841" w:rsidRDefault="006C2841">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61F4EE" w14:textId="77777777" w:rsidR="004A040F" w:rsidRDefault="004A040F">
      <w:r>
        <w:separator/>
      </w:r>
    </w:p>
  </w:footnote>
  <w:footnote w:type="continuationSeparator" w:id="0">
    <w:p w14:paraId="05BE73BE" w14:textId="77777777" w:rsidR="004A040F" w:rsidRDefault="004A040F">
      <w:r>
        <w:continuationSeparator/>
      </w:r>
    </w:p>
  </w:footnote>
  <w:footnote w:id="1">
    <w:p w14:paraId="0F294E03" w14:textId="77777777" w:rsidR="006C2841" w:rsidRDefault="00D0647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CIENFUEGOS SALGADO David. El Derecho de Petición en México. Ed. Instituto de Investigaciones Jurídica UNAM. México 2004. p. 31</w:t>
      </w:r>
    </w:p>
  </w:footnote>
  <w:footnote w:id="2">
    <w:p w14:paraId="3EA284F5" w14:textId="77777777" w:rsidR="006C2841" w:rsidRDefault="00D06478">
      <w:pPr>
        <w:jc w:val="both"/>
        <w:rPr>
          <w:rFonts w:ascii="Palatino Linotype" w:eastAsia="Palatino Linotype" w:hAnsi="Palatino Linotype" w:cs="Palatino Linotype"/>
          <w:sz w:val="16"/>
          <w:szCs w:val="16"/>
        </w:rPr>
      </w:pPr>
      <w:r>
        <w:rPr>
          <w:vertAlign w:val="superscript"/>
        </w:rPr>
        <w:footnoteRef/>
      </w:r>
      <w:r>
        <w:rPr>
          <w:rFonts w:ascii="Palatino Linotype" w:eastAsia="Palatino Linotype" w:hAnsi="Palatino Linotype" w:cs="Palatino Linotype"/>
          <w:sz w:val="16"/>
          <w:szCs w:val="16"/>
        </w:rPr>
        <w:t xml:space="preserve"> Carbonell, M. (2004). Los Derechos Fundamentales (Primera Edición ed.), México: Instituto de investigaciones Jurídicas.</w:t>
      </w:r>
    </w:p>
  </w:footnote>
  <w:footnote w:id="3">
    <w:p w14:paraId="7BD389DC" w14:textId="77777777" w:rsidR="006C2841" w:rsidRDefault="00D06478">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VILLANUEVA VILLANUEVA Ernesto, Derecho de la Información, Ed, Porrúa S.A., México. 2006, pág.270.</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9673E" w14:textId="77777777" w:rsidR="006C2841" w:rsidRDefault="00D06478">
    <w:pPr>
      <w:rPr>
        <w:rFonts w:ascii="Cambria" w:eastAsia="Cambria" w:hAnsi="Cambria" w:cs="Cambria"/>
        <w:color w:val="000000"/>
      </w:rPr>
    </w:pPr>
    <w:r>
      <w:rPr>
        <w:noProof/>
      </w:rPr>
      <w:drawing>
        <wp:anchor distT="0" distB="0" distL="0" distR="0" simplePos="0" relativeHeight="251658240" behindDoc="1" locked="0" layoutInCell="1" hidden="0" allowOverlap="1" wp14:anchorId="5D0FC80F" wp14:editId="417AC5B6">
          <wp:simplePos x="0" y="0"/>
          <wp:positionH relativeFrom="column">
            <wp:posOffset>-1080089</wp:posOffset>
          </wp:positionH>
          <wp:positionV relativeFrom="paragraph">
            <wp:posOffset>-488259</wp:posOffset>
          </wp:positionV>
          <wp:extent cx="7809865" cy="10165715"/>
          <wp:effectExtent l="0" t="0" r="0" b="0"/>
          <wp:wrapNone/>
          <wp:docPr id="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e"/>
      <w:tblW w:w="5953" w:type="dxa"/>
      <w:tblInd w:w="3261" w:type="dxa"/>
      <w:tblLayout w:type="fixed"/>
      <w:tblLook w:val="0400" w:firstRow="0" w:lastRow="0" w:firstColumn="0" w:lastColumn="0" w:noHBand="0" w:noVBand="1"/>
    </w:tblPr>
    <w:tblGrid>
      <w:gridCol w:w="2489"/>
      <w:gridCol w:w="3464"/>
    </w:tblGrid>
    <w:tr w:rsidR="006C2841" w14:paraId="642E7B73" w14:textId="77777777">
      <w:tc>
        <w:tcPr>
          <w:tcW w:w="2489" w:type="dxa"/>
        </w:tcPr>
        <w:p w14:paraId="2D7A8613" w14:textId="77777777" w:rsidR="006C2841" w:rsidRDefault="00D0647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5076447E" w14:textId="77777777" w:rsidR="006C2841" w:rsidRDefault="00D0647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14679/INFOEM/IP/RR/2025</w:t>
          </w:r>
        </w:p>
      </w:tc>
    </w:tr>
    <w:tr w:rsidR="006C2841" w14:paraId="75C891B3" w14:textId="77777777">
      <w:trPr>
        <w:trHeight w:val="228"/>
      </w:trPr>
      <w:tc>
        <w:tcPr>
          <w:tcW w:w="2489" w:type="dxa"/>
          <w:vAlign w:val="center"/>
        </w:tcPr>
        <w:p w14:paraId="6642D746" w14:textId="77777777" w:rsidR="006C2841" w:rsidRDefault="00D0647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2D4972DF" w14:textId="77777777" w:rsidR="006C2841" w:rsidRDefault="00D06478">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la Contraloría</w:t>
          </w:r>
        </w:p>
      </w:tc>
    </w:tr>
    <w:tr w:rsidR="006C2841" w14:paraId="3E6DF6DA" w14:textId="77777777">
      <w:tc>
        <w:tcPr>
          <w:tcW w:w="2489" w:type="dxa"/>
          <w:vAlign w:val="center"/>
        </w:tcPr>
        <w:p w14:paraId="2A8A852D" w14:textId="77777777" w:rsidR="006C2841" w:rsidRDefault="00D06478">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1F23E0A6" w14:textId="77777777" w:rsidR="006C2841" w:rsidRDefault="00D0647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1BA3EC07" w14:textId="77777777" w:rsidR="006C2841" w:rsidRDefault="00D06478">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38701" w14:textId="77777777" w:rsidR="006C2841" w:rsidRDefault="00D06478">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1DFF9DED" wp14:editId="725A5986">
          <wp:simplePos x="0" y="0"/>
          <wp:positionH relativeFrom="column">
            <wp:posOffset>-1080131</wp:posOffset>
          </wp:positionH>
          <wp:positionV relativeFrom="paragraph">
            <wp:posOffset>-369890</wp:posOffset>
          </wp:positionV>
          <wp:extent cx="7809865" cy="1016571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f"/>
      <w:tblW w:w="5953" w:type="dxa"/>
      <w:tblInd w:w="3261" w:type="dxa"/>
      <w:tblLayout w:type="fixed"/>
      <w:tblLook w:val="0400" w:firstRow="0" w:lastRow="0" w:firstColumn="0" w:lastColumn="0" w:noHBand="0" w:noVBand="1"/>
    </w:tblPr>
    <w:tblGrid>
      <w:gridCol w:w="2489"/>
      <w:gridCol w:w="3464"/>
    </w:tblGrid>
    <w:tr w:rsidR="006C2841" w14:paraId="0F301C2B" w14:textId="77777777">
      <w:tc>
        <w:tcPr>
          <w:tcW w:w="2489" w:type="dxa"/>
        </w:tcPr>
        <w:p w14:paraId="5BFEFDDD" w14:textId="77777777" w:rsidR="006C2841" w:rsidRDefault="00D0647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3464" w:type="dxa"/>
          <w:vAlign w:val="center"/>
        </w:tcPr>
        <w:p w14:paraId="605DF295" w14:textId="77777777" w:rsidR="006C2841" w:rsidRDefault="00D0647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14679/INFOEM/IP/RR/2025</w:t>
          </w:r>
        </w:p>
      </w:tc>
    </w:tr>
    <w:tr w:rsidR="006C2841" w14:paraId="4EF0FECC" w14:textId="77777777">
      <w:tc>
        <w:tcPr>
          <w:tcW w:w="2489" w:type="dxa"/>
        </w:tcPr>
        <w:p w14:paraId="43B54F86" w14:textId="77777777" w:rsidR="006C2841" w:rsidRDefault="00D0647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Recurrente</w:t>
          </w:r>
        </w:p>
      </w:tc>
      <w:tc>
        <w:tcPr>
          <w:tcW w:w="3464" w:type="dxa"/>
          <w:vAlign w:val="center"/>
        </w:tcPr>
        <w:p w14:paraId="1DB8A079" w14:textId="4EB73A16" w:rsidR="006C2841" w:rsidRDefault="00A64C29" w:rsidP="00A64C29">
          <w:pPr>
            <w:ind w:right="175"/>
            <w:jc w:val="both"/>
            <w:rPr>
              <w:rFonts w:ascii="Palatino Linotype" w:eastAsia="Palatino Linotype" w:hAnsi="Palatino Linotype" w:cs="Palatino Linotype"/>
              <w:b/>
              <w:bCs/>
              <w:sz w:val="22"/>
              <w:szCs w:val="22"/>
              <w:highlight w:val="yellow"/>
            </w:rPr>
          </w:pPr>
          <w:r>
            <w:rPr>
              <w:rFonts w:ascii="Palatino Linotype" w:eastAsia="Palatino Linotype" w:hAnsi="Palatino Linotype" w:cs="Palatino Linotype"/>
              <w:b/>
              <w:bCs/>
              <w:sz w:val="22"/>
              <w:szCs w:val="22"/>
            </w:rPr>
            <w:t xml:space="preserve">XXXXX XXXXXX XXXXXXX </w:t>
          </w:r>
        </w:p>
      </w:tc>
    </w:tr>
    <w:tr w:rsidR="006C2841" w14:paraId="3B60E81D" w14:textId="77777777">
      <w:trPr>
        <w:trHeight w:val="228"/>
      </w:trPr>
      <w:tc>
        <w:tcPr>
          <w:tcW w:w="2489" w:type="dxa"/>
          <w:vAlign w:val="center"/>
        </w:tcPr>
        <w:p w14:paraId="0E6BC4D5" w14:textId="77777777" w:rsidR="006C2841" w:rsidRDefault="00D06478">
          <w:pPr>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3464" w:type="dxa"/>
          <w:vAlign w:val="center"/>
        </w:tcPr>
        <w:p w14:paraId="576AE85C" w14:textId="77777777" w:rsidR="006C2841" w:rsidRDefault="00D06478">
          <w:pPr>
            <w:ind w:left="-45" w:right="176"/>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Secretaría de la Contraloría</w:t>
          </w:r>
        </w:p>
      </w:tc>
    </w:tr>
    <w:tr w:rsidR="006C2841" w14:paraId="38920365" w14:textId="77777777">
      <w:tc>
        <w:tcPr>
          <w:tcW w:w="2489" w:type="dxa"/>
          <w:vAlign w:val="center"/>
        </w:tcPr>
        <w:p w14:paraId="0FB58072" w14:textId="77777777" w:rsidR="006C2841" w:rsidRDefault="00D06478">
          <w:pPr>
            <w:ind w:right="-108"/>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Comisionada ponente:</w:t>
          </w:r>
        </w:p>
      </w:tc>
      <w:tc>
        <w:tcPr>
          <w:tcW w:w="3464" w:type="dxa"/>
          <w:vAlign w:val="center"/>
        </w:tcPr>
        <w:p w14:paraId="410D5C12" w14:textId="77777777" w:rsidR="006C2841" w:rsidRDefault="00D06478">
          <w:pPr>
            <w:ind w:right="175"/>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Guadalupe Ramírez Peña</w:t>
          </w:r>
        </w:p>
      </w:tc>
    </w:tr>
  </w:tbl>
  <w:p w14:paraId="5498FFE6" w14:textId="77777777" w:rsidR="006C2841" w:rsidRDefault="006C284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7C3ACF"/>
    <w:multiLevelType w:val="multilevel"/>
    <w:tmpl w:val="D3C2437A"/>
    <w:lvl w:ilvl="0">
      <w:start w:val="1"/>
      <w:numFmt w:val="decimal"/>
      <w:pStyle w:val="Listaconvieta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69F5480"/>
    <w:multiLevelType w:val="multilevel"/>
    <w:tmpl w:val="149E3BF8"/>
    <w:lvl w:ilvl="0">
      <w:start w:val="1"/>
      <w:numFmt w:val="decimal"/>
      <w:pStyle w:val="Listaconvietas3"/>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2841"/>
    <w:rsid w:val="001735FE"/>
    <w:rsid w:val="00395BD8"/>
    <w:rsid w:val="00460534"/>
    <w:rsid w:val="004A040F"/>
    <w:rsid w:val="005D7B1F"/>
    <w:rsid w:val="006C2841"/>
    <w:rsid w:val="006F4E99"/>
    <w:rsid w:val="008F1F68"/>
    <w:rsid w:val="009873F8"/>
    <w:rsid w:val="009D60E9"/>
    <w:rsid w:val="00A64C29"/>
    <w:rsid w:val="00CC503F"/>
    <w:rsid w:val="00D0647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7159"/>
  <w15:docId w15:val="{226AEDDE-E89A-419F-8D24-26C1DE866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bCs/>
      <w:sz w:val="26"/>
      <w:szCs w:val="26"/>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bCs/>
      <w:sz w:val="28"/>
      <w:szCs w:val="28"/>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bCs/>
      <w:i/>
      <w:iCs/>
      <w:sz w:val="26"/>
      <w:szCs w:val="26"/>
    </w:rPr>
  </w:style>
  <w:style w:type="paragraph" w:styleId="Ttulo6">
    <w:name w:val="heading 6"/>
    <w:basedOn w:val="Normal"/>
    <w:next w:val="Normal"/>
    <w:uiPriority w:val="9"/>
    <w:semiHidden/>
    <w:unhideWhenUsed/>
    <w:qFormat/>
    <w:pPr>
      <w:spacing w:before="240" w:after="60"/>
      <w:ind w:left="4320" w:hanging="720"/>
      <w:outlineLvl w:val="5"/>
    </w:pPr>
    <w:rPr>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table" w:customStyle="1" w:styleId="TableNormalf2">
    <w:name w:val="Table Normal"/>
    <w:tblPr>
      <w:tblCellMar>
        <w:top w:w="0" w:type="dxa"/>
        <w:left w:w="0" w:type="dxa"/>
        <w:bottom w:w="0" w:type="dxa"/>
        <w:right w:w="0" w:type="dxa"/>
      </w:tblCellMar>
    </w:tblPr>
  </w:style>
  <w:style w:type="table" w:customStyle="1" w:styleId="TableNormalf3">
    <w:name w:val="Table Normal"/>
    <w:tblPr>
      <w:tblCellMar>
        <w:top w:w="0" w:type="dxa"/>
        <w:left w:w="0" w:type="dxa"/>
        <w:bottom w:w="0" w:type="dxa"/>
        <w:right w:w="0" w:type="dxa"/>
      </w:tblCellMar>
    </w:tblPr>
  </w:style>
  <w:style w:type="table" w:customStyle="1" w:styleId="a">
    <w:basedOn w:val="TableNormalf3"/>
    <w:tblPr>
      <w:tblStyleRowBandSize w:val="1"/>
      <w:tblStyleColBandSize w:val="1"/>
      <w:tblCellMar>
        <w:left w:w="115" w:type="dxa"/>
        <w:right w:w="115" w:type="dxa"/>
      </w:tblCellMar>
    </w:tblPr>
  </w:style>
  <w:style w:type="table" w:customStyle="1" w:styleId="a0">
    <w:basedOn w:val="TableNormalf3"/>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0D197B"/>
    <w:pPr>
      <w:tabs>
        <w:tab w:val="center" w:pos="4419"/>
        <w:tab w:val="right" w:pos="8838"/>
      </w:tabs>
    </w:pPr>
  </w:style>
  <w:style w:type="character" w:customStyle="1" w:styleId="EncabezadoCar">
    <w:name w:val="Encabezado Car"/>
    <w:basedOn w:val="Fuentedeprrafopredeter"/>
    <w:link w:val="Encabezado"/>
    <w:uiPriority w:val="99"/>
    <w:rsid w:val="000D197B"/>
  </w:style>
  <w:style w:type="paragraph" w:styleId="Piedepgina">
    <w:name w:val="footer"/>
    <w:basedOn w:val="Normal"/>
    <w:link w:val="PiedepginaCar"/>
    <w:uiPriority w:val="99"/>
    <w:unhideWhenUsed/>
    <w:rsid w:val="000D197B"/>
    <w:pPr>
      <w:tabs>
        <w:tab w:val="center" w:pos="4419"/>
        <w:tab w:val="right" w:pos="8838"/>
      </w:tabs>
    </w:pPr>
  </w:style>
  <w:style w:type="character" w:customStyle="1" w:styleId="PiedepginaCar">
    <w:name w:val="Pie de página Car"/>
    <w:basedOn w:val="Fuentedeprrafopredeter"/>
    <w:link w:val="Piedepgina"/>
    <w:uiPriority w:val="99"/>
    <w:rsid w:val="000D197B"/>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43334"/>
    <w:pPr>
      <w:ind w:left="720"/>
      <w:contextualSpacing/>
    </w:pPr>
  </w:style>
  <w:style w:type="paragraph" w:styleId="NormalWeb">
    <w:name w:val="Normal (Web)"/>
    <w:basedOn w:val="Normal"/>
    <w:uiPriority w:val="99"/>
    <w:unhideWhenUsed/>
    <w:rsid w:val="00476335"/>
    <w:pPr>
      <w:spacing w:before="100" w:beforeAutospacing="1" w:after="100" w:afterAutospacing="1"/>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06B5C"/>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806B5C"/>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806B5C"/>
    <w:rPr>
      <w:vertAlign w:val="superscript"/>
    </w:rPr>
  </w:style>
  <w:style w:type="table" w:customStyle="1" w:styleId="a1">
    <w:basedOn w:val="TableNormalf3"/>
    <w:tblPr>
      <w:tblStyleRowBandSize w:val="1"/>
      <w:tblStyleColBandSize w:val="1"/>
      <w:tblCellMar>
        <w:left w:w="115" w:type="dxa"/>
        <w:right w:w="115" w:type="dxa"/>
      </w:tblCellMar>
    </w:tblPr>
  </w:style>
  <w:style w:type="table" w:customStyle="1" w:styleId="a2">
    <w:basedOn w:val="TableNormalf3"/>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504D6C"/>
    <w:rPr>
      <w:color w:val="0000FF" w:themeColor="hyperlink"/>
      <w:u w:val="single"/>
    </w:rPr>
  </w:style>
  <w:style w:type="character" w:styleId="Hipervnculovisitado">
    <w:name w:val="FollowedHyperlink"/>
    <w:basedOn w:val="Fuentedeprrafopredeter"/>
    <w:uiPriority w:val="99"/>
    <w:semiHidden/>
    <w:unhideWhenUsed/>
    <w:rsid w:val="00504D6C"/>
    <w:rPr>
      <w:color w:val="800080" w:themeColor="followedHyperlink"/>
      <w:u w:val="single"/>
    </w:rPr>
  </w:style>
  <w:style w:type="table" w:styleId="Tablaconcuadrcula">
    <w:name w:val="Table Grid"/>
    <w:basedOn w:val="Tablanormal"/>
    <w:uiPriority w:val="39"/>
    <w:rsid w:val="00134A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3">
    <w:basedOn w:val="TableNormalf2"/>
    <w:tblPr>
      <w:tblStyleRowBandSize w:val="1"/>
      <w:tblStyleColBandSize w:val="1"/>
      <w:tblCellMar>
        <w:left w:w="115" w:type="dxa"/>
        <w:right w:w="115" w:type="dxa"/>
      </w:tblCellMar>
    </w:tblPr>
  </w:style>
  <w:style w:type="table" w:customStyle="1" w:styleId="a4">
    <w:basedOn w:val="TableNormalf2"/>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5E017B"/>
    <w:pPr>
      <w:numPr>
        <w:numId w:val="1"/>
      </w:numPr>
      <w:contextualSpacing/>
    </w:pPr>
  </w:style>
  <w:style w:type="character" w:customStyle="1" w:styleId="yt-core-attributed-string--link-inherit-color">
    <w:name w:val="yt-core-attributed-string--link-inherit-color"/>
    <w:basedOn w:val="Fuentedeprrafopredeter"/>
    <w:rsid w:val="00EA0BEF"/>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72"/>
    <w:qFormat/>
    <w:locked/>
    <w:rsid w:val="00452086"/>
  </w:style>
  <w:style w:type="character" w:customStyle="1" w:styleId="Mencinsinresolver1">
    <w:name w:val="Mención sin resolver1"/>
    <w:basedOn w:val="Fuentedeprrafopredeter"/>
    <w:uiPriority w:val="99"/>
    <w:semiHidden/>
    <w:unhideWhenUsed/>
    <w:rsid w:val="00C64B15"/>
    <w:rPr>
      <w:color w:val="605E5C"/>
      <w:shd w:val="clear" w:color="auto" w:fill="E1DFDD"/>
    </w:rPr>
  </w:style>
  <w:style w:type="paragraph" w:customStyle="1" w:styleId="Default">
    <w:name w:val="Default"/>
    <w:rsid w:val="00B92077"/>
    <w:pPr>
      <w:autoSpaceDE w:val="0"/>
      <w:autoSpaceDN w:val="0"/>
      <w:adjustRightInd w:val="0"/>
    </w:pPr>
    <w:rPr>
      <w:rFonts w:ascii="Arial" w:hAnsi="Arial" w:cs="Arial"/>
      <w:color w:val="000000"/>
    </w:rPr>
  </w:style>
  <w:style w:type="character" w:customStyle="1" w:styleId="Mencinsinresolver2">
    <w:name w:val="Mención sin resolver2"/>
    <w:basedOn w:val="Fuentedeprrafopredeter"/>
    <w:uiPriority w:val="99"/>
    <w:semiHidden/>
    <w:unhideWhenUsed/>
    <w:rsid w:val="00251B93"/>
    <w:rPr>
      <w:color w:val="605E5C"/>
      <w:shd w:val="clear" w:color="auto" w:fill="E1DFDD"/>
    </w:rPr>
  </w:style>
  <w:style w:type="paragraph" w:styleId="Textodeglobo">
    <w:name w:val="Balloon Text"/>
    <w:basedOn w:val="Normal"/>
    <w:link w:val="TextodegloboCar"/>
    <w:uiPriority w:val="99"/>
    <w:semiHidden/>
    <w:unhideWhenUsed/>
    <w:rsid w:val="00DD0D6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D0D64"/>
    <w:rPr>
      <w:rFonts w:ascii="Segoe UI" w:hAnsi="Segoe UI" w:cs="Segoe UI"/>
      <w:sz w:val="18"/>
      <w:szCs w:val="18"/>
    </w:rPr>
  </w:style>
  <w:style w:type="paragraph" w:styleId="Sinespaciado">
    <w:name w:val="No Spacing"/>
    <w:aliases w:val="Francesa"/>
    <w:link w:val="SinespaciadoCar"/>
    <w:uiPriority w:val="1"/>
    <w:qFormat/>
    <w:rsid w:val="000D0148"/>
    <w:rPr>
      <w:rFonts w:asciiTheme="minorHAnsi" w:eastAsiaTheme="minorHAnsi" w:hAnsiTheme="minorHAnsi" w:cstheme="minorBidi"/>
      <w:sz w:val="22"/>
      <w:szCs w:val="22"/>
      <w:lang w:eastAsia="en-US"/>
    </w:rPr>
  </w:style>
  <w:style w:type="character" w:customStyle="1" w:styleId="SinespaciadoCar">
    <w:name w:val="Sin espaciado Car"/>
    <w:aliases w:val="Francesa Car"/>
    <w:link w:val="Sinespaciado"/>
    <w:uiPriority w:val="1"/>
    <w:locked/>
    <w:rsid w:val="000D0148"/>
    <w:rPr>
      <w:rFonts w:asciiTheme="minorHAnsi" w:eastAsiaTheme="minorHAnsi" w:hAnsiTheme="minorHAnsi" w:cstheme="minorBidi"/>
      <w:sz w:val="22"/>
      <w:szCs w:val="22"/>
      <w:lang w:eastAsia="en-US"/>
    </w:rPr>
  </w:style>
  <w:style w:type="paragraph" w:customStyle="1" w:styleId="rtejustify">
    <w:name w:val="rtejustify"/>
    <w:basedOn w:val="Normal"/>
    <w:rsid w:val="00876EB7"/>
    <w:pPr>
      <w:spacing w:before="100" w:beforeAutospacing="1" w:after="100" w:afterAutospacing="1"/>
    </w:pPr>
  </w:style>
  <w:style w:type="table" w:customStyle="1" w:styleId="a5">
    <w:basedOn w:val="TableNormalf1"/>
    <w:tblPr>
      <w:tblStyleRowBandSize w:val="1"/>
      <w:tblStyleColBandSize w:val="1"/>
      <w:tblCellMar>
        <w:left w:w="108" w:type="dxa"/>
        <w:right w:w="108" w:type="dxa"/>
      </w:tblCellMar>
    </w:tblPr>
  </w:style>
  <w:style w:type="table" w:customStyle="1" w:styleId="a6">
    <w:basedOn w:val="TableNormalf1"/>
    <w:tblPr>
      <w:tblStyleRowBandSize w:val="1"/>
      <w:tblStyleColBandSize w:val="1"/>
      <w:tblCellMar>
        <w:left w:w="108" w:type="dxa"/>
        <w:right w:w="108" w:type="dxa"/>
      </w:tblCellMar>
    </w:tblPr>
  </w:style>
  <w:style w:type="table" w:customStyle="1" w:styleId="a7">
    <w:basedOn w:val="TableNormalf1"/>
    <w:tblPr>
      <w:tblStyleRowBandSize w:val="1"/>
      <w:tblStyleColBandSize w:val="1"/>
      <w:tblCellMar>
        <w:left w:w="108" w:type="dxa"/>
        <w:right w:w="108" w:type="dxa"/>
      </w:tblCellMar>
    </w:tblPr>
  </w:style>
  <w:style w:type="table" w:customStyle="1" w:styleId="a8">
    <w:basedOn w:val="TableNormalf1"/>
    <w:tblPr>
      <w:tblStyleRowBandSize w:val="1"/>
      <w:tblStyleColBandSize w:val="1"/>
      <w:tblCellMar>
        <w:left w:w="108" w:type="dxa"/>
        <w:right w:w="108" w:type="dxa"/>
      </w:tblCellMar>
    </w:tblPr>
  </w:style>
  <w:style w:type="table" w:customStyle="1" w:styleId="a9">
    <w:basedOn w:val="TableNormalf1"/>
    <w:tblPr>
      <w:tblStyleRowBandSize w:val="1"/>
      <w:tblStyleColBandSize w:val="1"/>
      <w:tblCellMar>
        <w:left w:w="108" w:type="dxa"/>
        <w:right w:w="108" w:type="dxa"/>
      </w:tblCellMar>
    </w:tblPr>
  </w:style>
  <w:style w:type="table" w:customStyle="1" w:styleId="aa">
    <w:basedOn w:val="TableNormalf1"/>
    <w:tblPr>
      <w:tblStyleRowBandSize w:val="1"/>
      <w:tblStyleColBandSize w:val="1"/>
      <w:tblCellMar>
        <w:left w:w="115" w:type="dxa"/>
        <w:right w:w="115" w:type="dxa"/>
      </w:tblCellMar>
    </w:tblPr>
  </w:style>
  <w:style w:type="table" w:customStyle="1" w:styleId="ab">
    <w:basedOn w:val="TableNormalf1"/>
    <w:tblPr>
      <w:tblStyleRowBandSize w:val="1"/>
      <w:tblStyleColBandSize w:val="1"/>
      <w:tblCellMar>
        <w:left w:w="115" w:type="dxa"/>
        <w:right w:w="115" w:type="dxa"/>
      </w:tblCellMar>
    </w:tblPr>
  </w:style>
  <w:style w:type="table" w:customStyle="1" w:styleId="ac">
    <w:basedOn w:val="TableNormalf0"/>
    <w:tblPr>
      <w:tblStyleRowBandSize w:val="1"/>
      <w:tblStyleColBandSize w:val="1"/>
      <w:tblCellMar>
        <w:left w:w="108" w:type="dxa"/>
        <w:right w:w="108" w:type="dxa"/>
      </w:tblCellMar>
    </w:tblPr>
  </w:style>
  <w:style w:type="table" w:customStyle="1" w:styleId="ad">
    <w:basedOn w:val="TableNormalf0"/>
    <w:tblPr>
      <w:tblStyleRowBandSize w:val="1"/>
      <w:tblStyleColBandSize w:val="1"/>
      <w:tblCellMar>
        <w:left w:w="115" w:type="dxa"/>
        <w:right w:w="115" w:type="dxa"/>
      </w:tblCellMar>
    </w:tblPr>
  </w:style>
  <w:style w:type="table" w:customStyle="1" w:styleId="ae">
    <w:basedOn w:val="TableNormalf0"/>
    <w:tblPr>
      <w:tblStyleRowBandSize w:val="1"/>
      <w:tblStyleColBandSize w:val="1"/>
      <w:tblCellMar>
        <w:left w:w="115" w:type="dxa"/>
        <w:right w:w="115" w:type="dxa"/>
      </w:tblCellMar>
    </w:tblPr>
  </w:style>
  <w:style w:type="table" w:customStyle="1" w:styleId="af">
    <w:basedOn w:val="TableNormalf"/>
    <w:tblPr>
      <w:tblStyleRowBandSize w:val="1"/>
      <w:tblStyleColBandSize w:val="1"/>
      <w:tblCellMar>
        <w:left w:w="115" w:type="dxa"/>
        <w:right w:w="115" w:type="dxa"/>
      </w:tblCellMar>
    </w:tblPr>
  </w:style>
  <w:style w:type="table" w:customStyle="1" w:styleId="af0">
    <w:basedOn w:val="TableNormalf"/>
    <w:tblPr>
      <w:tblStyleRowBandSize w:val="1"/>
      <w:tblStyleColBandSize w:val="1"/>
      <w:tblCellMar>
        <w:left w:w="115" w:type="dxa"/>
        <w:right w:w="115" w:type="dxa"/>
      </w:tblCellMar>
    </w:tblPr>
  </w:style>
  <w:style w:type="table" w:customStyle="1" w:styleId="af1">
    <w:basedOn w:val="TableNormalf"/>
    <w:tblPr>
      <w:tblStyleRowBandSize w:val="1"/>
      <w:tblStyleColBandSize w:val="1"/>
      <w:tblCellMar>
        <w:left w:w="115" w:type="dxa"/>
        <w:right w:w="115" w:type="dxa"/>
      </w:tblCellMar>
    </w:tblPr>
  </w:style>
  <w:style w:type="table" w:customStyle="1" w:styleId="af2">
    <w:basedOn w:val="TableNormale"/>
    <w:tblPr>
      <w:tblStyleRowBandSize w:val="1"/>
      <w:tblStyleColBandSize w:val="1"/>
      <w:tblCellMar>
        <w:left w:w="115" w:type="dxa"/>
        <w:right w:w="115" w:type="dxa"/>
      </w:tblCellMar>
    </w:tblPr>
  </w:style>
  <w:style w:type="table" w:customStyle="1" w:styleId="af3">
    <w:basedOn w:val="TableNormale"/>
    <w:tblPr>
      <w:tblStyleRowBandSize w:val="1"/>
      <w:tblStyleColBandSize w:val="1"/>
      <w:tblCellMar>
        <w:left w:w="115" w:type="dxa"/>
        <w:right w:w="115" w:type="dxa"/>
      </w:tblCellMar>
    </w:tblPr>
  </w:style>
  <w:style w:type="table" w:customStyle="1" w:styleId="af4">
    <w:basedOn w:val="TableNormald"/>
    <w:tblPr>
      <w:tblStyleRowBandSize w:val="1"/>
      <w:tblStyleColBandSize w:val="1"/>
      <w:tblCellMar>
        <w:left w:w="115" w:type="dxa"/>
        <w:right w:w="115" w:type="dxa"/>
      </w:tblCellMar>
    </w:tblPr>
  </w:style>
  <w:style w:type="table" w:customStyle="1" w:styleId="af5">
    <w:basedOn w:val="TableNormald"/>
    <w:tblPr>
      <w:tblStyleRowBandSize w:val="1"/>
      <w:tblStyleColBandSize w:val="1"/>
      <w:tblCellMar>
        <w:left w:w="115" w:type="dxa"/>
        <w:right w:w="115" w:type="dxa"/>
      </w:tblCellMar>
    </w:tblPr>
  </w:style>
  <w:style w:type="table" w:customStyle="1" w:styleId="af6">
    <w:basedOn w:val="TableNormalc"/>
    <w:tblPr>
      <w:tblStyleRowBandSize w:val="1"/>
      <w:tblStyleColBandSize w:val="1"/>
      <w:tblCellMar>
        <w:left w:w="115" w:type="dxa"/>
        <w:right w:w="115" w:type="dxa"/>
      </w:tblCellMar>
    </w:tblPr>
  </w:style>
  <w:style w:type="table" w:customStyle="1" w:styleId="af7">
    <w:basedOn w:val="TableNormalc"/>
    <w:tblPr>
      <w:tblStyleRowBandSize w:val="1"/>
      <w:tblStyleColBandSize w:val="1"/>
      <w:tblCellMar>
        <w:left w:w="115" w:type="dxa"/>
        <w:right w:w="115" w:type="dxa"/>
      </w:tblCellMar>
    </w:tblPr>
  </w:style>
  <w:style w:type="character" w:styleId="Textoennegrita">
    <w:name w:val="Strong"/>
    <w:basedOn w:val="Fuentedeprrafopredeter"/>
    <w:uiPriority w:val="22"/>
    <w:qFormat/>
    <w:rsid w:val="002C02D7"/>
    <w:rPr>
      <w:b/>
      <w:bCs/>
    </w:rPr>
  </w:style>
  <w:style w:type="character" w:customStyle="1" w:styleId="object">
    <w:name w:val="object"/>
    <w:basedOn w:val="Fuentedeprrafopredeter"/>
    <w:rsid w:val="002C02D7"/>
  </w:style>
  <w:style w:type="table" w:customStyle="1" w:styleId="af8">
    <w:basedOn w:val="TableNormalb"/>
    <w:tblPr>
      <w:tblStyleRowBandSize w:val="1"/>
      <w:tblStyleColBandSize w:val="1"/>
      <w:tblCellMar>
        <w:left w:w="115" w:type="dxa"/>
        <w:right w:w="115" w:type="dxa"/>
      </w:tblCellMar>
    </w:tblPr>
  </w:style>
  <w:style w:type="table" w:customStyle="1" w:styleId="af9">
    <w:basedOn w:val="TableNormalb"/>
    <w:tblPr>
      <w:tblStyleRowBandSize w:val="1"/>
      <w:tblStyleColBandSize w:val="1"/>
      <w:tblCellMar>
        <w:left w:w="115" w:type="dxa"/>
        <w:right w:w="115" w:type="dxa"/>
      </w:tblCellMar>
    </w:tblPr>
  </w:style>
  <w:style w:type="table" w:customStyle="1" w:styleId="afa">
    <w:basedOn w:val="TableNormala"/>
    <w:tblPr>
      <w:tblStyleRowBandSize w:val="1"/>
      <w:tblStyleColBandSize w:val="1"/>
      <w:tblCellMar>
        <w:left w:w="115" w:type="dxa"/>
        <w:right w:w="115" w:type="dxa"/>
      </w:tblCellMar>
    </w:tblPr>
  </w:style>
  <w:style w:type="table" w:customStyle="1" w:styleId="afb">
    <w:basedOn w:val="TableNormala"/>
    <w:tblPr>
      <w:tblStyleRowBandSize w:val="1"/>
      <w:tblStyleColBandSize w:val="1"/>
      <w:tblCellMar>
        <w:left w:w="115" w:type="dxa"/>
        <w:right w:w="115" w:type="dxa"/>
      </w:tblCellMar>
    </w:tblPr>
  </w:style>
  <w:style w:type="table" w:customStyle="1" w:styleId="afc">
    <w:basedOn w:val="TableNormal9"/>
    <w:tblPr>
      <w:tblStyleRowBandSize w:val="1"/>
      <w:tblStyleColBandSize w:val="1"/>
      <w:tblCellMar>
        <w:left w:w="115" w:type="dxa"/>
        <w:right w:w="115" w:type="dxa"/>
      </w:tblCellMar>
    </w:tblPr>
  </w:style>
  <w:style w:type="table" w:customStyle="1" w:styleId="afd">
    <w:basedOn w:val="TableNormal9"/>
    <w:tblPr>
      <w:tblStyleRowBandSize w:val="1"/>
      <w:tblStyleColBandSize w:val="1"/>
      <w:tblCellMar>
        <w:left w:w="115" w:type="dxa"/>
        <w:right w:w="115" w:type="dxa"/>
      </w:tblCellMar>
    </w:tblPr>
  </w:style>
  <w:style w:type="table" w:customStyle="1" w:styleId="afe">
    <w:basedOn w:val="TableNormal8"/>
    <w:tblPr>
      <w:tblStyleRowBandSize w:val="1"/>
      <w:tblStyleColBandSize w:val="1"/>
      <w:tblCellMar>
        <w:left w:w="115" w:type="dxa"/>
        <w:right w:w="115" w:type="dxa"/>
      </w:tblCellMar>
    </w:tblPr>
  </w:style>
  <w:style w:type="table" w:customStyle="1" w:styleId="aff">
    <w:basedOn w:val="TableNormal8"/>
    <w:tblPr>
      <w:tblStyleRowBandSize w:val="1"/>
      <w:tblStyleColBandSize w:val="1"/>
      <w:tblCellMar>
        <w:left w:w="115" w:type="dxa"/>
        <w:right w:w="115" w:type="dxa"/>
      </w:tblCellMar>
    </w:tblPr>
  </w:style>
  <w:style w:type="table" w:customStyle="1" w:styleId="aff0">
    <w:basedOn w:val="TableNormal7"/>
    <w:tblPr>
      <w:tblStyleRowBandSize w:val="1"/>
      <w:tblStyleColBandSize w:val="1"/>
      <w:tblCellMar>
        <w:left w:w="115" w:type="dxa"/>
        <w:right w:w="115" w:type="dxa"/>
      </w:tblCellMar>
    </w:tblPr>
  </w:style>
  <w:style w:type="table" w:customStyle="1" w:styleId="aff1">
    <w:basedOn w:val="TableNormal7"/>
    <w:tblPr>
      <w:tblStyleRowBandSize w:val="1"/>
      <w:tblStyleColBandSize w:val="1"/>
      <w:tblCellMar>
        <w:left w:w="115" w:type="dxa"/>
        <w:right w:w="115" w:type="dxa"/>
      </w:tblCellMar>
    </w:tblPr>
  </w:style>
  <w:style w:type="table" w:customStyle="1" w:styleId="aff2">
    <w:basedOn w:val="TableNormal6"/>
    <w:tblPr>
      <w:tblStyleRowBandSize w:val="1"/>
      <w:tblStyleColBandSize w:val="1"/>
      <w:tblCellMar>
        <w:left w:w="115" w:type="dxa"/>
        <w:right w:w="115" w:type="dxa"/>
      </w:tblCellMar>
    </w:tblPr>
  </w:style>
  <w:style w:type="table" w:customStyle="1" w:styleId="aff3">
    <w:basedOn w:val="TableNormal6"/>
    <w:tblPr>
      <w:tblStyleRowBandSize w:val="1"/>
      <w:tblStyleColBandSize w:val="1"/>
      <w:tblCellMar>
        <w:left w:w="115" w:type="dxa"/>
        <w:right w:w="115" w:type="dxa"/>
      </w:tblCellMar>
    </w:tblPr>
  </w:style>
  <w:style w:type="table" w:customStyle="1" w:styleId="aff4">
    <w:basedOn w:val="TableNormal5"/>
    <w:tblPr>
      <w:tblStyleRowBandSize w:val="1"/>
      <w:tblStyleColBandSize w:val="1"/>
      <w:tblCellMar>
        <w:left w:w="115" w:type="dxa"/>
        <w:right w:w="115" w:type="dxa"/>
      </w:tblCellMar>
    </w:tblPr>
  </w:style>
  <w:style w:type="table" w:customStyle="1" w:styleId="aff5">
    <w:basedOn w:val="TableNormal5"/>
    <w:tblPr>
      <w:tblStyleRowBandSize w:val="1"/>
      <w:tblStyleColBandSize w:val="1"/>
      <w:tblCellMar>
        <w:left w:w="115" w:type="dxa"/>
        <w:right w:w="115" w:type="dxa"/>
      </w:tblCellMar>
    </w:tblPr>
  </w:style>
  <w:style w:type="table" w:customStyle="1" w:styleId="aff6">
    <w:basedOn w:val="TableNormal4"/>
    <w:tblPr>
      <w:tblStyleRowBandSize w:val="1"/>
      <w:tblStyleColBandSize w:val="1"/>
      <w:tblCellMar>
        <w:left w:w="115" w:type="dxa"/>
        <w:right w:w="115" w:type="dxa"/>
      </w:tblCellMar>
    </w:tblPr>
  </w:style>
  <w:style w:type="table" w:customStyle="1" w:styleId="aff7">
    <w:basedOn w:val="TableNormal4"/>
    <w:tblPr>
      <w:tblStyleRowBandSize w:val="1"/>
      <w:tblStyleColBandSize w:val="1"/>
      <w:tblCellMar>
        <w:left w:w="115" w:type="dxa"/>
        <w:right w:w="115" w:type="dxa"/>
      </w:tblCellMar>
    </w:tblPr>
  </w:style>
  <w:style w:type="table" w:customStyle="1" w:styleId="aff8">
    <w:basedOn w:val="TableNormal3"/>
    <w:tblPr>
      <w:tblStyleRowBandSize w:val="1"/>
      <w:tblStyleColBandSize w:val="1"/>
      <w:tblCellMar>
        <w:left w:w="115" w:type="dxa"/>
        <w:right w:w="115" w:type="dxa"/>
      </w:tblCellMar>
    </w:tblPr>
  </w:style>
  <w:style w:type="table" w:customStyle="1" w:styleId="aff9">
    <w:basedOn w:val="TableNormal3"/>
    <w:tblPr>
      <w:tblStyleRowBandSize w:val="1"/>
      <w:tblStyleColBandSize w:val="1"/>
      <w:tblCellMar>
        <w:left w:w="115" w:type="dxa"/>
        <w:right w:w="115" w:type="dxa"/>
      </w:tblCellMar>
    </w:tblPr>
  </w:style>
  <w:style w:type="table" w:customStyle="1" w:styleId="affa">
    <w:basedOn w:val="TableNormal2"/>
    <w:tblPr>
      <w:tblStyleRowBandSize w:val="1"/>
      <w:tblStyleColBandSize w:val="1"/>
      <w:tblCellMar>
        <w:left w:w="115" w:type="dxa"/>
        <w:right w:w="115" w:type="dxa"/>
      </w:tblCellMar>
    </w:tblPr>
  </w:style>
  <w:style w:type="table" w:customStyle="1" w:styleId="affb">
    <w:basedOn w:val="TableNormal2"/>
    <w:tblPr>
      <w:tblStyleRowBandSize w:val="1"/>
      <w:tblStyleColBandSize w:val="1"/>
      <w:tblCellMar>
        <w:left w:w="115" w:type="dxa"/>
        <w:right w:w="115" w:type="dxa"/>
      </w:tblCellMar>
    </w:tblPr>
  </w:style>
  <w:style w:type="paragraph" w:styleId="Lista">
    <w:name w:val="List"/>
    <w:basedOn w:val="Normal"/>
    <w:uiPriority w:val="99"/>
    <w:unhideWhenUsed/>
    <w:rsid w:val="00AD21B4"/>
    <w:pPr>
      <w:ind w:left="283" w:hanging="283"/>
      <w:contextualSpacing/>
    </w:pPr>
  </w:style>
  <w:style w:type="paragraph" w:styleId="Lista2">
    <w:name w:val="List 2"/>
    <w:basedOn w:val="Normal"/>
    <w:uiPriority w:val="99"/>
    <w:unhideWhenUsed/>
    <w:rsid w:val="00AD21B4"/>
    <w:pPr>
      <w:ind w:left="566" w:hanging="283"/>
      <w:contextualSpacing/>
    </w:pPr>
  </w:style>
  <w:style w:type="paragraph" w:styleId="Lista3">
    <w:name w:val="List 3"/>
    <w:basedOn w:val="Normal"/>
    <w:uiPriority w:val="99"/>
    <w:unhideWhenUsed/>
    <w:rsid w:val="00AD21B4"/>
    <w:pPr>
      <w:ind w:left="849" w:hanging="283"/>
      <w:contextualSpacing/>
    </w:pPr>
  </w:style>
  <w:style w:type="paragraph" w:styleId="Lista4">
    <w:name w:val="List 4"/>
    <w:basedOn w:val="Normal"/>
    <w:uiPriority w:val="99"/>
    <w:unhideWhenUsed/>
    <w:rsid w:val="00AD21B4"/>
    <w:pPr>
      <w:ind w:left="1132" w:hanging="283"/>
      <w:contextualSpacing/>
    </w:pPr>
  </w:style>
  <w:style w:type="paragraph" w:styleId="Lista5">
    <w:name w:val="List 5"/>
    <w:basedOn w:val="Normal"/>
    <w:uiPriority w:val="99"/>
    <w:unhideWhenUsed/>
    <w:rsid w:val="00AD21B4"/>
    <w:pPr>
      <w:ind w:left="1415" w:hanging="283"/>
      <w:contextualSpacing/>
    </w:pPr>
  </w:style>
  <w:style w:type="paragraph" w:styleId="Listaconvietas">
    <w:name w:val="List Bullet"/>
    <w:basedOn w:val="Normal"/>
    <w:uiPriority w:val="99"/>
    <w:unhideWhenUsed/>
    <w:rsid w:val="00AD21B4"/>
    <w:pPr>
      <w:numPr>
        <w:numId w:val="2"/>
      </w:numPr>
      <w:contextualSpacing/>
    </w:pPr>
  </w:style>
  <w:style w:type="paragraph" w:styleId="Listaconvietas2">
    <w:name w:val="List Bullet 2"/>
    <w:basedOn w:val="Normal"/>
    <w:uiPriority w:val="99"/>
    <w:unhideWhenUsed/>
    <w:rsid w:val="00AD21B4"/>
    <w:pPr>
      <w:tabs>
        <w:tab w:val="num" w:pos="720"/>
      </w:tabs>
      <w:ind w:left="720" w:hanging="720"/>
      <w:contextualSpacing/>
    </w:pPr>
  </w:style>
  <w:style w:type="paragraph" w:styleId="Textoindependiente">
    <w:name w:val="Body Text"/>
    <w:basedOn w:val="Normal"/>
    <w:link w:val="TextoindependienteCar"/>
    <w:uiPriority w:val="99"/>
    <w:unhideWhenUsed/>
    <w:rsid w:val="00AD21B4"/>
    <w:pPr>
      <w:spacing w:after="120"/>
    </w:pPr>
  </w:style>
  <w:style w:type="character" w:customStyle="1" w:styleId="TextoindependienteCar">
    <w:name w:val="Texto independiente Car"/>
    <w:basedOn w:val="Fuentedeprrafopredeter"/>
    <w:link w:val="Textoindependiente"/>
    <w:uiPriority w:val="99"/>
    <w:rsid w:val="00AD21B4"/>
  </w:style>
  <w:style w:type="paragraph" w:styleId="Sangradetextonormal">
    <w:name w:val="Body Text Indent"/>
    <w:basedOn w:val="Normal"/>
    <w:link w:val="SangradetextonormalCar"/>
    <w:uiPriority w:val="99"/>
    <w:unhideWhenUsed/>
    <w:rsid w:val="00AD21B4"/>
    <w:pPr>
      <w:spacing w:after="120"/>
      <w:ind w:left="283"/>
    </w:pPr>
  </w:style>
  <w:style w:type="character" w:customStyle="1" w:styleId="SangradetextonormalCar">
    <w:name w:val="Sangría de texto normal Car"/>
    <w:basedOn w:val="Fuentedeprrafopredeter"/>
    <w:link w:val="Sangradetextonormal"/>
    <w:uiPriority w:val="99"/>
    <w:rsid w:val="00AD21B4"/>
  </w:style>
  <w:style w:type="paragraph" w:styleId="Textoindependienteprimerasangra2">
    <w:name w:val="Body Text First Indent 2"/>
    <w:basedOn w:val="Sangradetextonormal"/>
    <w:link w:val="Textoindependienteprimerasangra2Car"/>
    <w:uiPriority w:val="99"/>
    <w:unhideWhenUsed/>
    <w:rsid w:val="00AD21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D21B4"/>
  </w:style>
  <w:style w:type="table" w:customStyle="1" w:styleId="affc">
    <w:basedOn w:val="TableNormal1"/>
    <w:tblPr>
      <w:tblStyleRowBandSize w:val="1"/>
      <w:tblStyleColBandSize w:val="1"/>
      <w:tblCellMar>
        <w:left w:w="115" w:type="dxa"/>
        <w:right w:w="115" w:type="dxa"/>
      </w:tblCellMar>
    </w:tblPr>
  </w:style>
  <w:style w:type="table" w:customStyle="1" w:styleId="affd">
    <w:basedOn w:val="TableNormal1"/>
    <w:tblPr>
      <w:tblStyleRowBandSize w:val="1"/>
      <w:tblStyleColBandSize w:val="1"/>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e">
    <w:basedOn w:val="TableNormal0"/>
    <w:tblPr>
      <w:tblStyleRowBandSize w:val="1"/>
      <w:tblStyleColBandSize w:val="1"/>
      <w:tblCellMar>
        <w:top w:w="0" w:type="dxa"/>
        <w:left w:w="115" w:type="dxa"/>
        <w:bottom w:w="0" w:type="dxa"/>
        <w:right w:w="115" w:type="dxa"/>
      </w:tblCellMar>
    </w:tblPr>
  </w:style>
  <w:style w:type="table" w:customStyle="1" w:styleId="afff">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vHqCJNaLOqPgUEWf31ZglzVOyA==">CgMxLjAyCWguM3JkY3JqbjIOaC5kYWozajJ4bzZxNjYyCGguZ2pkZ3hzMgloLjNkeTZ2a20yCWguMzBqMHpsbDIOaC45aHZ3ZWwxOTlreHAyCGgudHlqY3d0MgloLjJldDkycDAyCWguMjZpbjFyZzIOaC40Y3hhdTRhbTBycGQyCWguMTdkcDh2dTIIaC5sbnhiejk4AHIhMXl4MC1pTWQ3QmRhNWc1Ty1TckhGaGVRR0ROYVVWaG9t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9069</Words>
  <Characters>49880</Characters>
  <Application>Microsoft Office Word</Application>
  <DocSecurity>0</DocSecurity>
  <Lines>415</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2026-02-09T16:48:00Z</cp:lastPrinted>
  <dcterms:created xsi:type="dcterms:W3CDTF">2026-03-24T18:36:00Z</dcterms:created>
  <dcterms:modified xsi:type="dcterms:W3CDTF">2026-03-24T18:36:00Z</dcterms:modified>
</cp:coreProperties>
</file>