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A550CA" w:rsidRDefault="009D3673" w:rsidP="00A550CA">
      <w:pPr>
        <w:tabs>
          <w:tab w:val="left" w:pos="3465"/>
        </w:tabs>
        <w:spacing w:line="360" w:lineRule="auto"/>
        <w:ind w:right="49"/>
        <w:jc w:val="both"/>
        <w:rPr>
          <w:rFonts w:ascii="Palatino Linotype" w:eastAsia="Palatino Linotype" w:hAnsi="Palatino Linotype" w:cs="Palatino Linotype"/>
        </w:rPr>
      </w:pPr>
      <w:bookmarkStart w:id="0" w:name="_GoBack"/>
      <w:bookmarkEnd w:id="0"/>
      <w:r w:rsidRPr="00A550C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A550CA">
        <w:rPr>
          <w:rFonts w:ascii="Palatino Linotype" w:eastAsia="Palatino Linotype" w:hAnsi="Palatino Linotype" w:cs="Palatino Linotype"/>
        </w:rPr>
        <w:t xml:space="preserve">tado de México; de fecha </w:t>
      </w:r>
      <w:r w:rsidR="0088435F" w:rsidRPr="00A550CA">
        <w:rPr>
          <w:rFonts w:ascii="Palatino Linotype" w:eastAsia="Palatino Linotype" w:hAnsi="Palatino Linotype" w:cs="Palatino Linotype"/>
        </w:rPr>
        <w:t>veinticinco</w:t>
      </w:r>
      <w:r w:rsidR="00FD076D" w:rsidRPr="00A550CA">
        <w:rPr>
          <w:rFonts w:ascii="Palatino Linotype" w:eastAsia="Palatino Linotype" w:hAnsi="Palatino Linotype" w:cs="Palatino Linotype"/>
        </w:rPr>
        <w:t xml:space="preserve"> de marz</w:t>
      </w:r>
      <w:r w:rsidR="00493D61" w:rsidRPr="00A550CA">
        <w:rPr>
          <w:rFonts w:ascii="Palatino Linotype" w:eastAsia="Palatino Linotype" w:hAnsi="Palatino Linotype" w:cs="Palatino Linotype"/>
        </w:rPr>
        <w:t>o de dos mil veintiséis</w:t>
      </w:r>
      <w:r w:rsidRPr="00A550CA">
        <w:rPr>
          <w:rFonts w:ascii="Palatino Linotype" w:eastAsia="Palatino Linotype" w:hAnsi="Palatino Linotype" w:cs="Palatino Linotype"/>
        </w:rPr>
        <w:t>.</w:t>
      </w:r>
    </w:p>
    <w:p w:rsidR="00B84DF1" w:rsidRPr="00A550CA" w:rsidRDefault="00B84DF1" w:rsidP="00A550CA">
      <w:pPr>
        <w:tabs>
          <w:tab w:val="left" w:pos="3465"/>
        </w:tabs>
        <w:spacing w:line="360" w:lineRule="auto"/>
        <w:ind w:right="49"/>
        <w:jc w:val="both"/>
        <w:rPr>
          <w:rFonts w:ascii="Palatino Linotype" w:eastAsia="Palatino Linotype" w:hAnsi="Palatino Linotype" w:cs="Palatino Linotype"/>
        </w:rPr>
      </w:pPr>
    </w:p>
    <w:p w:rsidR="00B84DF1" w:rsidRPr="00A550CA" w:rsidRDefault="009D3673" w:rsidP="00A550CA">
      <w:pPr>
        <w:spacing w:line="360" w:lineRule="auto"/>
        <w:ind w:right="49"/>
        <w:jc w:val="both"/>
        <w:rPr>
          <w:rFonts w:ascii="Palatino Linotype" w:eastAsia="Palatino Linotype" w:hAnsi="Palatino Linotype" w:cs="Palatino Linotype"/>
        </w:rPr>
      </w:pPr>
      <w:r w:rsidRPr="00A550CA">
        <w:rPr>
          <w:rFonts w:ascii="Palatino Linotype" w:eastAsia="Palatino Linotype" w:hAnsi="Palatino Linotype" w:cs="Palatino Linotype"/>
          <w:b/>
        </w:rPr>
        <w:t xml:space="preserve">VISTAS </w:t>
      </w:r>
      <w:r w:rsidRPr="00A550CA">
        <w:rPr>
          <w:rFonts w:ascii="Palatino Linotype" w:eastAsia="Palatino Linotype" w:hAnsi="Palatino Linotype" w:cs="Palatino Linotype"/>
        </w:rPr>
        <w:t xml:space="preserve">las constancias para resolver el Recurso de Revisión </w:t>
      </w:r>
      <w:r w:rsidR="0088435F" w:rsidRPr="00A550CA">
        <w:rPr>
          <w:rFonts w:ascii="Palatino Linotype" w:eastAsia="Palatino Linotype" w:hAnsi="Palatino Linotype" w:cs="Palatino Linotype"/>
          <w:b/>
        </w:rPr>
        <w:t>13543/INFOEM/IP/RR/2025</w:t>
      </w:r>
      <w:r w:rsidRPr="00A550CA">
        <w:rPr>
          <w:rFonts w:ascii="Palatino Linotype" w:eastAsia="Palatino Linotype" w:hAnsi="Palatino Linotype" w:cs="Palatino Linotype"/>
          <w:b/>
        </w:rPr>
        <w:t>,</w:t>
      </w:r>
      <w:r w:rsidRPr="00A550CA">
        <w:rPr>
          <w:rFonts w:ascii="Palatino Linotype" w:eastAsia="Palatino Linotype" w:hAnsi="Palatino Linotype" w:cs="Palatino Linotype"/>
        </w:rPr>
        <w:t xml:space="preserve"> presentado por </w:t>
      </w:r>
      <w:r w:rsidR="0088435F" w:rsidRPr="00A550CA">
        <w:rPr>
          <w:rFonts w:ascii="Palatino Linotype" w:eastAsia="Palatino Linotype" w:hAnsi="Palatino Linotype" w:cs="Palatino Linotype"/>
        </w:rPr>
        <w:t>una persona que no aportó datos de identificación</w:t>
      </w:r>
      <w:r w:rsidRPr="00A550CA">
        <w:rPr>
          <w:rFonts w:ascii="Palatino Linotype" w:eastAsia="Palatino Linotype" w:hAnsi="Palatino Linotype" w:cs="Palatino Linotype"/>
        </w:rPr>
        <w:t xml:space="preserve">, a quien en lo sucesivo se denominará como </w:t>
      </w:r>
      <w:r w:rsidRPr="00A550CA">
        <w:rPr>
          <w:rFonts w:ascii="Palatino Linotype" w:eastAsia="Palatino Linotype" w:hAnsi="Palatino Linotype" w:cs="Palatino Linotype"/>
          <w:b/>
        </w:rPr>
        <w:t>EL RECURRENTE</w:t>
      </w:r>
      <w:r w:rsidRPr="00A550CA">
        <w:rPr>
          <w:rFonts w:ascii="Palatino Linotype" w:eastAsia="Palatino Linotype" w:hAnsi="Palatino Linotype" w:cs="Palatino Linotype"/>
        </w:rPr>
        <w:t xml:space="preserve">, en contra de la respuesta otorgada a la </w:t>
      </w:r>
      <w:r w:rsidR="00DD2D9F" w:rsidRPr="00A550CA">
        <w:rPr>
          <w:rFonts w:ascii="Palatino Linotype" w:eastAsia="Palatino Linotype" w:hAnsi="Palatino Linotype" w:cs="Palatino Linotype"/>
        </w:rPr>
        <w:t>S</w:t>
      </w:r>
      <w:r w:rsidRPr="00A550CA">
        <w:rPr>
          <w:rFonts w:ascii="Palatino Linotype" w:eastAsia="Palatino Linotype" w:hAnsi="Palatino Linotype" w:cs="Palatino Linotype"/>
        </w:rPr>
        <w:t xml:space="preserve">olicitud de </w:t>
      </w:r>
      <w:r w:rsidR="00DD2D9F" w:rsidRPr="00A550CA">
        <w:rPr>
          <w:rFonts w:ascii="Palatino Linotype" w:eastAsia="Palatino Linotype" w:hAnsi="Palatino Linotype" w:cs="Palatino Linotype"/>
        </w:rPr>
        <w:t>I</w:t>
      </w:r>
      <w:r w:rsidRPr="00A550CA">
        <w:rPr>
          <w:rFonts w:ascii="Palatino Linotype" w:eastAsia="Palatino Linotype" w:hAnsi="Palatino Linotype" w:cs="Palatino Linotype"/>
        </w:rPr>
        <w:t xml:space="preserve">nformación </w:t>
      </w:r>
      <w:r w:rsidR="00223EAC" w:rsidRPr="00A550CA">
        <w:rPr>
          <w:rFonts w:ascii="Palatino Linotype" w:eastAsia="Palatino Linotype" w:hAnsi="Palatino Linotype" w:cs="Palatino Linotype"/>
          <w:b/>
        </w:rPr>
        <w:t>00127/DIFTEOLOYU/IP/2025</w:t>
      </w:r>
      <w:r w:rsidRPr="00A550CA">
        <w:rPr>
          <w:rFonts w:ascii="Palatino Linotype" w:eastAsia="Palatino Linotype" w:hAnsi="Palatino Linotype" w:cs="Palatino Linotype"/>
        </w:rPr>
        <w:t xml:space="preserve">, por parte del </w:t>
      </w:r>
      <w:r w:rsidR="0088435F" w:rsidRPr="00A550CA">
        <w:rPr>
          <w:rFonts w:ascii="Palatino Linotype" w:eastAsia="Palatino Linotype" w:hAnsi="Palatino Linotype" w:cs="Palatino Linotype"/>
          <w:b/>
        </w:rPr>
        <w:t>Sistema Municipal para el Desarrollo Integral de la Familia de Teoloyucan</w:t>
      </w:r>
      <w:r w:rsidRPr="00A550CA">
        <w:rPr>
          <w:rFonts w:ascii="Palatino Linotype" w:eastAsia="Palatino Linotype" w:hAnsi="Palatino Linotype" w:cs="Palatino Linotype"/>
          <w:b/>
        </w:rPr>
        <w:t xml:space="preserve">, </w:t>
      </w:r>
      <w:r w:rsidRPr="00A550CA">
        <w:rPr>
          <w:rFonts w:ascii="Palatino Linotype" w:eastAsia="Palatino Linotype" w:hAnsi="Palatino Linotype" w:cs="Palatino Linotype"/>
        </w:rPr>
        <w:t xml:space="preserve">en adelante </w:t>
      </w:r>
      <w:r w:rsidRPr="00A550CA">
        <w:rPr>
          <w:rFonts w:ascii="Palatino Linotype" w:eastAsia="Palatino Linotype" w:hAnsi="Palatino Linotype" w:cs="Palatino Linotype"/>
          <w:b/>
        </w:rPr>
        <w:t>EL SUJETO OBLIGADO,</w:t>
      </w:r>
      <w:r w:rsidRPr="00A550CA">
        <w:rPr>
          <w:rFonts w:ascii="Palatino Linotype" w:eastAsia="Palatino Linotype" w:hAnsi="Palatino Linotype" w:cs="Palatino Linotype"/>
        </w:rPr>
        <w:t xml:space="preserve"> se emite la presente </w:t>
      </w:r>
      <w:r w:rsidR="0081462E" w:rsidRPr="00A550CA">
        <w:rPr>
          <w:rFonts w:ascii="Palatino Linotype" w:eastAsia="Palatino Linotype" w:hAnsi="Palatino Linotype" w:cs="Palatino Linotype"/>
        </w:rPr>
        <w:t>R</w:t>
      </w:r>
      <w:r w:rsidRPr="00A550CA">
        <w:rPr>
          <w:rFonts w:ascii="Palatino Linotype" w:eastAsia="Palatino Linotype" w:hAnsi="Palatino Linotype" w:cs="Palatino Linotype"/>
        </w:rPr>
        <w:t>esolución con base en los siguientes:</w:t>
      </w: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9D3673" w:rsidP="00A550CA">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A550CA">
        <w:rPr>
          <w:rFonts w:ascii="Palatino Linotype" w:eastAsia="Palatino Linotype" w:hAnsi="Palatino Linotype" w:cs="Palatino Linotype"/>
          <w:b/>
          <w:color w:val="000000"/>
          <w:sz w:val="24"/>
          <w:szCs w:val="24"/>
        </w:rPr>
        <w:t>A N T E C E D E N T E S</w:t>
      </w:r>
    </w:p>
    <w:p w:rsidR="00B84DF1" w:rsidRPr="00A550CA" w:rsidRDefault="00B84DF1" w:rsidP="00A550C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A550CA" w:rsidRDefault="009D3673" w:rsidP="00A550C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El día</w:t>
      </w:r>
      <w:r w:rsidRPr="00A550CA">
        <w:rPr>
          <w:rFonts w:ascii="Palatino Linotype" w:eastAsia="Palatino Linotype" w:hAnsi="Palatino Linotype" w:cs="Palatino Linotype"/>
          <w:b/>
          <w:color w:val="000000"/>
        </w:rPr>
        <w:t xml:space="preserve"> </w:t>
      </w:r>
      <w:r w:rsidR="0088435F" w:rsidRPr="00A550CA">
        <w:rPr>
          <w:rFonts w:ascii="Palatino Linotype" w:eastAsia="Palatino Linotype" w:hAnsi="Palatino Linotype" w:cs="Palatino Linotype"/>
          <w:b/>
          <w:color w:val="000000"/>
        </w:rPr>
        <w:t>doce de noviembre</w:t>
      </w:r>
      <w:r w:rsidR="00493D61" w:rsidRPr="00A550CA">
        <w:rPr>
          <w:rFonts w:ascii="Palatino Linotype" w:eastAsia="Palatino Linotype" w:hAnsi="Palatino Linotype" w:cs="Palatino Linotype"/>
          <w:b/>
          <w:color w:val="000000"/>
        </w:rPr>
        <w:t xml:space="preserve"> </w:t>
      </w:r>
      <w:r w:rsidRPr="00A550CA">
        <w:rPr>
          <w:rFonts w:ascii="Palatino Linotype" w:eastAsia="Palatino Linotype" w:hAnsi="Palatino Linotype" w:cs="Palatino Linotype"/>
          <w:b/>
          <w:color w:val="000000"/>
        </w:rPr>
        <w:t>dos mil veintic</w:t>
      </w:r>
      <w:r w:rsidR="00AC01CA" w:rsidRPr="00A550CA">
        <w:rPr>
          <w:rFonts w:ascii="Palatino Linotype" w:eastAsia="Palatino Linotype" w:hAnsi="Palatino Linotype" w:cs="Palatino Linotype"/>
          <w:b/>
          <w:color w:val="000000"/>
        </w:rPr>
        <w:t>inco</w:t>
      </w:r>
      <w:r w:rsidRPr="00A550CA">
        <w:rPr>
          <w:rFonts w:ascii="Palatino Linotype" w:eastAsia="Palatino Linotype" w:hAnsi="Palatino Linotype" w:cs="Palatino Linotype"/>
          <w:color w:val="000000"/>
        </w:rPr>
        <w:t>,</w:t>
      </w:r>
      <w:r w:rsidRPr="00A550CA">
        <w:rPr>
          <w:rFonts w:ascii="Palatino Linotype" w:eastAsia="Palatino Linotype" w:hAnsi="Palatino Linotype" w:cs="Palatino Linotype"/>
          <w:b/>
          <w:color w:val="000000"/>
        </w:rPr>
        <w:t xml:space="preserve"> </w:t>
      </w:r>
      <w:r w:rsidRPr="00A550CA">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A550CA" w:rsidRDefault="00B84DF1" w:rsidP="00A550C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550CA" w:rsidRDefault="009D3673" w:rsidP="00A550CA">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i/>
          <w:color w:val="000000"/>
        </w:rPr>
        <w:t>“</w:t>
      </w:r>
      <w:r w:rsidR="00223EAC" w:rsidRPr="00A550CA">
        <w:rPr>
          <w:rFonts w:ascii="Palatino Linotype" w:eastAsia="Palatino Linotype" w:hAnsi="Palatino Linotype" w:cs="Palatino Linotype"/>
          <w:i/>
          <w:color w:val="000000"/>
        </w:rPr>
        <w:t xml:space="preserve">1.- Solicito al ayuntamiento de teoloyucan los responsables que integran y/o el nombramiento de la persona encargada de coordinar y/o jefatura de juzgado civico DE NOMBRE BERENICE HERNANDEZ MARTINEZ la cual debe reunir los </w:t>
      </w:r>
      <w:r w:rsidR="00223EAC" w:rsidRPr="00A550CA">
        <w:rPr>
          <w:rFonts w:ascii="Palatino Linotype" w:eastAsia="Palatino Linotype" w:hAnsi="Palatino Linotype" w:cs="Palatino Linotype"/>
          <w:i/>
          <w:color w:val="000000"/>
        </w:rPr>
        <w:lastRenderedPageBreak/>
        <w:t xml:space="preserve">mismos requisitos para el Juez Cívico que contempla la Ley de justicia civica correspondiente, el bando municipal y el Reglamento Interior de la Administración Pública Municipal de Teoloyucan, Estado de México 2025-2027, publicado en GACETA No. 07 / 28 de febrero de 2025. Los documentos de designacion de los mismos como lo establece la ley de justicia civica y las dispociciones legales antes mencionadas. si no cuenta con ello, solicito justificacion por parte de contraloria interna la falta de dicha obligación. 2.- De que manera la coordinacion y/o jefatura de juzgado civico ha Organizado y llevado a cabo cursos de actualización y profesionalización en materia del Reglamento y de Justicia Cívica, para los integrantes de las áreas a su cargo y, en su caso, la Administración Pública Municipal; asi como los documentos que expresen dicho cumplimiento. contemplado en la Ley de justicia civica correspondiente, el bando municipal y el Reglamento Interior de la Administración Pública Municipal de Teoloyucan, Estado de México 2025-2027, publicado en GACETA No. 07 / 28 de febrero de 2025. Los documentos de designacion de los mismos como lo establece la ley de justicia civica y las dispociciones legales antes mencionadas. si no cuenta con ello, solicito justificacion por parte de contraloria interna la falta de dicha obligación Y DE CONTRALORIA DEL ESTADO DE MEXICO. 3.- La informacion documental que respada a la persona que coordina Y/o jefatura de juzgado civico de teoloyucan DE NOMBRE BERENICE HERNANDEZ MARTINEZ para ejercer el cargo como lo requiere la ley de justicia civica como lo son los requisitos minimos siguientes: I. Ser ciudadana o ciudadano de nacionalidad mexicana, en pleno ejercicio de sus derechos civiles y políticos; II. Tener por lo menos veintiocho años de edad cumplidos al momento de su </w:t>
      </w:r>
      <w:r w:rsidR="00223EAC" w:rsidRPr="00A550CA">
        <w:rPr>
          <w:rFonts w:ascii="Palatino Linotype" w:eastAsia="Palatino Linotype" w:hAnsi="Palatino Linotype" w:cs="Palatino Linotype"/>
          <w:i/>
          <w:color w:val="000000"/>
        </w:rPr>
        <w:lastRenderedPageBreak/>
        <w:t>designación; III. Tener título de licenciatura en derecho, contar con cédula profesional expedida por la autoridad correspondiente para el ejercicio de su profesión y tener por lo menos tres años de ejercicio profesional; IV. No estar condenado por sentencia ejecutoriada delito doloso que merezca pena corporal; V. No estar inscrito en el Registro Nacional de Obligaciones Alimentarias o en el Registro de Deudores Alimentarios Morosos de la Entidad; y VI. Acreditar los exámenes, cursos o certificaciones correspondientes que determine el Ayuntamiento. los documentos que acreditan que tiene por lo menos tres años de experiencia en el ejercicio profesional así como su curriculum y que cumple con la edad minima asi como todos los examenes, cursos y/o certificaciones con los que cuenta para respaldar dicha experiencia. si no cuenta con ello, solicito justificacion por parte de contraloria interna y del estado de méxico la falta de dicha obligación.</w:t>
      </w:r>
      <w:r w:rsidRPr="00A550CA">
        <w:rPr>
          <w:rFonts w:ascii="Palatino Linotype" w:eastAsia="Palatino Linotype" w:hAnsi="Palatino Linotype" w:cs="Palatino Linotype"/>
          <w:i/>
          <w:color w:val="000000"/>
        </w:rPr>
        <w:t>”</w:t>
      </w:r>
    </w:p>
    <w:p w:rsidR="00493D61" w:rsidRPr="00A550CA" w:rsidRDefault="00493D61" w:rsidP="00A550CA">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p>
    <w:p w:rsidR="00B84DF1" w:rsidRPr="00A550CA" w:rsidRDefault="009D3673" w:rsidP="00A550CA">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 xml:space="preserve">Se eligió como modalidad de entrega de la información: A través del </w:t>
      </w:r>
      <w:r w:rsidRPr="00A550CA">
        <w:rPr>
          <w:rFonts w:ascii="Palatino Linotype" w:eastAsia="Palatino Linotype" w:hAnsi="Palatino Linotype" w:cs="Palatino Linotype"/>
          <w:b/>
          <w:color w:val="000000"/>
        </w:rPr>
        <w:t>SAIMEX.</w:t>
      </w:r>
    </w:p>
    <w:p w:rsidR="00053809" w:rsidRPr="00A550CA" w:rsidRDefault="00053809" w:rsidP="00A550CA">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rsidR="000B1E4A" w:rsidRDefault="009D3673" w:rsidP="00A550C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 xml:space="preserve">El </w:t>
      </w:r>
      <w:r w:rsidR="0088435F" w:rsidRPr="00A550CA">
        <w:rPr>
          <w:rFonts w:ascii="Palatino Linotype" w:eastAsia="Palatino Linotype" w:hAnsi="Palatino Linotype" w:cs="Palatino Linotype"/>
          <w:b/>
          <w:color w:val="000000"/>
        </w:rPr>
        <w:t>veinticuatro de noviembre</w:t>
      </w:r>
      <w:r w:rsidR="00654047" w:rsidRPr="00A550CA">
        <w:rPr>
          <w:rFonts w:ascii="Palatino Linotype" w:eastAsia="Palatino Linotype" w:hAnsi="Palatino Linotype" w:cs="Palatino Linotype"/>
          <w:b/>
          <w:color w:val="000000"/>
        </w:rPr>
        <w:t xml:space="preserve"> de dos mil veinticinco</w:t>
      </w:r>
      <w:r w:rsidRPr="00A550CA">
        <w:rPr>
          <w:rFonts w:ascii="Palatino Linotype" w:eastAsia="Palatino Linotype" w:hAnsi="Palatino Linotype" w:cs="Palatino Linotype"/>
          <w:color w:val="000000"/>
        </w:rPr>
        <w:t>,</w:t>
      </w:r>
      <w:r w:rsidR="0088435F" w:rsidRPr="00A550CA">
        <w:rPr>
          <w:rFonts w:ascii="Palatino Linotype" w:eastAsia="Palatino Linotype" w:hAnsi="Palatino Linotype" w:cs="Palatino Linotype"/>
          <w:color w:val="000000"/>
        </w:rPr>
        <w:t xml:space="preserve"> el </w:t>
      </w:r>
      <w:r w:rsidR="0088435F" w:rsidRPr="00A550CA">
        <w:rPr>
          <w:rFonts w:ascii="Palatino Linotype" w:eastAsia="Palatino Linotype" w:hAnsi="Palatino Linotype" w:cs="Palatino Linotype"/>
          <w:b/>
          <w:color w:val="000000"/>
        </w:rPr>
        <w:t>SUJETO OBLIGADO</w:t>
      </w:r>
      <w:r w:rsidRPr="00A550CA">
        <w:rPr>
          <w:rFonts w:ascii="Palatino Linotype" w:eastAsia="Palatino Linotype" w:hAnsi="Palatino Linotype" w:cs="Palatino Linotype"/>
          <w:color w:val="000000"/>
        </w:rPr>
        <w:t xml:space="preserve"> </w:t>
      </w:r>
      <w:r w:rsidR="0088435F" w:rsidRPr="00A550CA">
        <w:rPr>
          <w:rFonts w:ascii="Palatino Linotype" w:eastAsia="Palatino Linotype" w:hAnsi="Palatino Linotype" w:cs="Palatino Linotype"/>
          <w:color w:val="000000"/>
        </w:rPr>
        <w:t>mediante la opción denominada "</w:t>
      </w:r>
      <w:r w:rsidR="0088435F" w:rsidRPr="00A550CA">
        <w:rPr>
          <w:rFonts w:ascii="Palatino Linotype" w:eastAsia="Palatino Linotype" w:hAnsi="Palatino Linotype" w:cs="Palatino Linotype"/>
          <w:i/>
          <w:color w:val="000000"/>
        </w:rPr>
        <w:t>Información que Puede estar en Poder de Otro Sujeto Obligado</w:t>
      </w:r>
      <w:r w:rsidR="0088435F" w:rsidRPr="00A550CA">
        <w:rPr>
          <w:rFonts w:ascii="Palatino Linotype" w:eastAsia="Palatino Linotype" w:hAnsi="Palatino Linotype" w:cs="Palatino Linotype"/>
          <w:color w:val="000000"/>
        </w:rPr>
        <w:t xml:space="preserve">", del sistema SAIMEX, </w:t>
      </w:r>
      <w:r w:rsidR="00E13F7B">
        <w:rPr>
          <w:rFonts w:ascii="Palatino Linotype" w:eastAsia="Palatino Linotype" w:hAnsi="Palatino Linotype" w:cs="Palatino Linotype"/>
          <w:color w:val="000000"/>
        </w:rPr>
        <w:t xml:space="preserve">emitió </w:t>
      </w:r>
      <w:r w:rsidR="0088435F" w:rsidRPr="00A550CA">
        <w:rPr>
          <w:rFonts w:ascii="Palatino Linotype" w:eastAsia="Palatino Linotype" w:hAnsi="Palatino Linotype" w:cs="Palatino Linotype"/>
          <w:color w:val="000000"/>
        </w:rPr>
        <w:t>el siguiente pronunciamiento en calidad de respuesta: "</w:t>
      </w:r>
      <w:r w:rsidR="0088435F" w:rsidRPr="00A550CA">
        <w:rPr>
          <w:rFonts w:ascii="Palatino Linotype" w:eastAsia="Palatino Linotype" w:hAnsi="Palatino Linotype" w:cs="Palatino Linotype"/>
          <w:i/>
          <w:color w:val="000000"/>
        </w:rPr>
        <w:t xml:space="preserve">la solicitud de información que se hace llegar por este medio a esta plataforma es incompetente a contestar por parte del organismo dif al cual represento en este rubro, de tal forma le invito y refiero que para esta información sea requerida al H. </w:t>
      </w:r>
      <w:r w:rsidR="0088435F" w:rsidRPr="00A550CA">
        <w:rPr>
          <w:rFonts w:ascii="Palatino Linotype" w:eastAsia="Palatino Linotype" w:hAnsi="Palatino Linotype" w:cs="Palatino Linotype"/>
          <w:i/>
          <w:color w:val="000000"/>
        </w:rPr>
        <w:lastRenderedPageBreak/>
        <w:t>Ayuntamiento constitucional de Teoloyucan por l plataforma del saimex pero requerida a dicho ayuntamiento ya antes mencionado</w:t>
      </w:r>
      <w:r w:rsidR="0088435F" w:rsidRPr="00A550CA">
        <w:rPr>
          <w:rFonts w:ascii="Palatino Linotype" w:eastAsia="Palatino Linotype" w:hAnsi="Palatino Linotype" w:cs="Palatino Linotype"/>
          <w:color w:val="000000"/>
        </w:rPr>
        <w:t>"</w:t>
      </w:r>
    </w:p>
    <w:p w:rsidR="00E13F7B" w:rsidRPr="00A550CA" w:rsidRDefault="00E13F7B" w:rsidP="00E13F7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A550CA" w:rsidRDefault="009D3673" w:rsidP="00A550CA">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El</w:t>
      </w:r>
      <w:r w:rsidR="00C51DA9" w:rsidRPr="00A550CA">
        <w:rPr>
          <w:rFonts w:ascii="Palatino Linotype" w:eastAsia="Palatino Linotype" w:hAnsi="Palatino Linotype" w:cs="Palatino Linotype"/>
          <w:b/>
          <w:color w:val="000000"/>
        </w:rPr>
        <w:t xml:space="preserve"> </w:t>
      </w:r>
      <w:r w:rsidR="0088435F" w:rsidRPr="00A550CA">
        <w:rPr>
          <w:rFonts w:ascii="Palatino Linotype" w:eastAsia="Palatino Linotype" w:hAnsi="Palatino Linotype" w:cs="Palatino Linotype"/>
          <w:b/>
          <w:color w:val="000000"/>
        </w:rPr>
        <w:t>cuatro</w:t>
      </w:r>
      <w:r w:rsidR="00C51DA9" w:rsidRPr="00A550CA">
        <w:rPr>
          <w:rFonts w:ascii="Palatino Linotype" w:eastAsia="Palatino Linotype" w:hAnsi="Palatino Linotype" w:cs="Palatino Linotype"/>
          <w:b/>
          <w:color w:val="000000"/>
        </w:rPr>
        <w:t xml:space="preserve"> de </w:t>
      </w:r>
      <w:r w:rsidR="0088435F" w:rsidRPr="00A550CA">
        <w:rPr>
          <w:rFonts w:ascii="Palatino Linotype" w:eastAsia="Palatino Linotype" w:hAnsi="Palatino Linotype" w:cs="Palatino Linotype"/>
          <w:b/>
          <w:color w:val="000000"/>
        </w:rPr>
        <w:t>diciembre</w:t>
      </w:r>
      <w:r w:rsidR="00DB20B2" w:rsidRPr="00A550CA">
        <w:rPr>
          <w:rFonts w:ascii="Palatino Linotype" w:eastAsia="Palatino Linotype" w:hAnsi="Palatino Linotype" w:cs="Palatino Linotype"/>
          <w:b/>
          <w:color w:val="000000"/>
        </w:rPr>
        <w:t xml:space="preserve"> dos mil veinticinco</w:t>
      </w:r>
      <w:r w:rsidRPr="00A550CA">
        <w:rPr>
          <w:rFonts w:ascii="Palatino Linotype" w:eastAsia="Palatino Linotype" w:hAnsi="Palatino Linotype" w:cs="Palatino Linotype"/>
          <w:color w:val="000000"/>
        </w:rPr>
        <w:t>, el particular interpuso el recurso de revisión en contra de la respuesta, realizando las siguientes manifestaciones:</w:t>
      </w:r>
    </w:p>
    <w:p w:rsidR="00AD30C0" w:rsidRPr="00A550CA" w:rsidRDefault="00AD30C0" w:rsidP="00A550C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A550CA" w:rsidRDefault="009D3673" w:rsidP="00A550CA">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bookmarkStart w:id="2" w:name="_heading=h.30j0zll" w:colFirst="0" w:colLast="0"/>
      <w:bookmarkEnd w:id="2"/>
      <w:r w:rsidRPr="00A550CA">
        <w:rPr>
          <w:rFonts w:ascii="Palatino Linotype" w:eastAsia="Palatino Linotype" w:hAnsi="Palatino Linotype" w:cs="Palatino Linotype"/>
          <w:b/>
          <w:color w:val="000000"/>
        </w:rPr>
        <w:t xml:space="preserve">ACTO IMPUGNADO: </w:t>
      </w:r>
      <w:r w:rsidRPr="00A550CA">
        <w:rPr>
          <w:rFonts w:ascii="Palatino Linotype" w:eastAsia="Palatino Linotype" w:hAnsi="Palatino Linotype" w:cs="Palatino Linotype"/>
          <w:i/>
          <w:color w:val="000000"/>
        </w:rPr>
        <w:t>“</w:t>
      </w:r>
      <w:r w:rsidR="0088435F" w:rsidRPr="00A550CA">
        <w:rPr>
          <w:rFonts w:ascii="Palatino Linotype" w:eastAsia="Palatino Linotype" w:hAnsi="Palatino Linotype" w:cs="Palatino Linotype"/>
          <w:i/>
          <w:color w:val="000000"/>
        </w:rPr>
        <w:t>EL SUJETO OBLIGADO O LA PERSONA QUE ESTA EN TRANSPARENSIA NO TIENE LA CAPACIDAD PARA DAR RESPUESTAS, SOLISITO SE DE VISTA A CONTRALORIA DEL INFOEM”</w:t>
      </w:r>
    </w:p>
    <w:p w:rsidR="00AD30C0" w:rsidRPr="00A550CA" w:rsidRDefault="00AD30C0" w:rsidP="00A550CA">
      <w:p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p>
    <w:p w:rsidR="00B84DF1" w:rsidRPr="00A550CA" w:rsidRDefault="009D3673" w:rsidP="00A550CA">
      <w:pPr>
        <w:numPr>
          <w:ilvl w:val="0"/>
          <w:numId w:val="5"/>
        </w:numPr>
        <w:pBdr>
          <w:top w:val="nil"/>
          <w:left w:val="nil"/>
          <w:bottom w:val="nil"/>
          <w:right w:val="nil"/>
          <w:between w:val="nil"/>
        </w:pBdr>
        <w:spacing w:line="360" w:lineRule="auto"/>
        <w:ind w:right="474"/>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b/>
          <w:color w:val="000000"/>
        </w:rPr>
        <w:t xml:space="preserve">RAZONES O MOTIVOS DE LA INCONFORMIDAD: </w:t>
      </w:r>
      <w:r w:rsidRPr="00A550CA">
        <w:rPr>
          <w:rFonts w:ascii="Palatino Linotype" w:eastAsia="Palatino Linotype" w:hAnsi="Palatino Linotype" w:cs="Palatino Linotype"/>
          <w:i/>
          <w:color w:val="000000"/>
        </w:rPr>
        <w:t>“</w:t>
      </w:r>
      <w:r w:rsidR="0088435F" w:rsidRPr="00A550CA">
        <w:rPr>
          <w:rFonts w:ascii="Palatino Linotype" w:eastAsia="Palatino Linotype" w:hAnsi="Palatino Linotype" w:cs="Palatino Linotype"/>
          <w:i/>
          <w:color w:val="000000"/>
        </w:rPr>
        <w:t>FALTA DE INFORMASION</w:t>
      </w:r>
      <w:r w:rsidRPr="00A550CA">
        <w:rPr>
          <w:rFonts w:ascii="Palatino Linotype" w:eastAsia="Palatino Linotype" w:hAnsi="Palatino Linotype" w:cs="Palatino Linotype"/>
          <w:i/>
          <w:color w:val="000000"/>
        </w:rPr>
        <w:t>”</w:t>
      </w:r>
      <w:r w:rsidR="00692314" w:rsidRPr="00A550CA">
        <w:rPr>
          <w:rFonts w:ascii="Palatino Linotype" w:eastAsia="Palatino Linotype" w:hAnsi="Palatino Linotype" w:cs="Palatino Linotype"/>
          <w:i/>
          <w:color w:val="000000"/>
        </w:rPr>
        <w:t xml:space="preserve"> </w:t>
      </w:r>
    </w:p>
    <w:p w:rsidR="00D40FFE" w:rsidRPr="00A550CA" w:rsidRDefault="00D40FFE" w:rsidP="00A550CA">
      <w:pPr>
        <w:pStyle w:val="Prrafodelista"/>
        <w:spacing w:line="360" w:lineRule="auto"/>
        <w:rPr>
          <w:rFonts w:ascii="Palatino Linotype" w:eastAsia="Palatino Linotype" w:hAnsi="Palatino Linotype" w:cs="Palatino Linotype"/>
          <w:i/>
          <w:color w:val="000000"/>
        </w:rPr>
      </w:pPr>
    </w:p>
    <w:p w:rsidR="00D40FFE" w:rsidRPr="00A550CA" w:rsidRDefault="009D3673" w:rsidP="00A550C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 xml:space="preserve">Con fundamento en lo dispuesto por el artículo 185 fracción II de la ley de la materia, se acordó a las partes a efecto de que en un plazo máximo de siete días, el Recurrente </w:t>
      </w:r>
      <w:r w:rsidR="003E6A6E" w:rsidRPr="00A550CA">
        <w:rPr>
          <w:rFonts w:ascii="Palatino Linotype" w:eastAsia="Palatino Linotype" w:hAnsi="Palatino Linotype" w:cs="Palatino Linotype"/>
        </w:rPr>
        <w:t>manifestara</w:t>
      </w:r>
      <w:r w:rsidRPr="00A550CA">
        <w:rPr>
          <w:rFonts w:ascii="Palatino Linotype" w:eastAsia="Palatino Linotype" w:hAnsi="Palatino Linotype" w:cs="Palatino Linotype"/>
          <w:color w:val="000000"/>
        </w:rPr>
        <w:t xml:space="preserve"> lo que a su derecho conviniera, </w:t>
      </w:r>
      <w:r w:rsidRPr="00A550CA">
        <w:rPr>
          <w:rFonts w:ascii="Palatino Linotype" w:eastAsia="Palatino Linotype" w:hAnsi="Palatino Linotype" w:cs="Palatino Linotype"/>
        </w:rPr>
        <w:t>ofreciera</w:t>
      </w:r>
      <w:r w:rsidRPr="00A550CA">
        <w:rPr>
          <w:rFonts w:ascii="Palatino Linotype" w:eastAsia="Palatino Linotype" w:hAnsi="Palatino Linotype" w:cs="Palatino Linotype"/>
          <w:color w:val="000000"/>
        </w:rPr>
        <w:t xml:space="preserve"> pruebas y alegatos, y el Sujeto Obligado presentará el Informe Justificado.</w:t>
      </w:r>
      <w:r w:rsidR="003E6A6E" w:rsidRPr="00A550CA">
        <w:rPr>
          <w:rFonts w:ascii="Palatino Linotype" w:eastAsia="Palatino Linotype" w:hAnsi="Palatino Linotype" w:cs="Palatino Linotype"/>
          <w:color w:val="000000"/>
        </w:rPr>
        <w:t xml:space="preserve"> </w:t>
      </w:r>
    </w:p>
    <w:p w:rsidR="00D40FFE" w:rsidRPr="00A550CA" w:rsidRDefault="00D40FFE" w:rsidP="00A550C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550CA" w:rsidRDefault="00BA13E7" w:rsidP="00A550C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 xml:space="preserve">El </w:t>
      </w:r>
      <w:r w:rsidRPr="00A550CA">
        <w:rPr>
          <w:rFonts w:ascii="Palatino Linotype" w:eastAsia="Palatino Linotype" w:hAnsi="Palatino Linotype" w:cs="Palatino Linotype"/>
          <w:b/>
          <w:color w:val="000000"/>
        </w:rPr>
        <w:t>SUJETO OBLIGADO</w:t>
      </w:r>
      <w:r w:rsidRPr="00A550CA">
        <w:rPr>
          <w:rFonts w:ascii="Palatino Linotype" w:eastAsia="Palatino Linotype" w:hAnsi="Palatino Linotype" w:cs="Palatino Linotype"/>
          <w:color w:val="000000"/>
        </w:rPr>
        <w:t xml:space="preserve"> </w:t>
      </w:r>
      <w:r w:rsidR="006F7106" w:rsidRPr="00A550CA">
        <w:rPr>
          <w:rFonts w:ascii="Palatino Linotype" w:eastAsia="Palatino Linotype" w:hAnsi="Palatino Linotype" w:cs="Palatino Linotype"/>
          <w:color w:val="000000"/>
        </w:rPr>
        <w:t>fue omiso en rendir el informe justificado correspondiente</w:t>
      </w:r>
      <w:r w:rsidRPr="00A550CA">
        <w:rPr>
          <w:rFonts w:ascii="Palatino Linotype" w:eastAsia="Palatino Linotype" w:hAnsi="Palatino Linotype" w:cs="Palatino Linotype"/>
          <w:color w:val="000000"/>
        </w:rPr>
        <w:t xml:space="preserve">. Por su parte el hoy </w:t>
      </w:r>
      <w:r w:rsidRPr="00A550CA">
        <w:rPr>
          <w:rFonts w:ascii="Palatino Linotype" w:eastAsia="Palatino Linotype" w:hAnsi="Palatino Linotype" w:cs="Palatino Linotype"/>
          <w:b/>
          <w:color w:val="000000"/>
        </w:rPr>
        <w:t>RECURRENTE</w:t>
      </w:r>
      <w:r w:rsidRPr="00A550CA">
        <w:rPr>
          <w:rFonts w:ascii="Palatino Linotype" w:eastAsia="Palatino Linotype" w:hAnsi="Palatino Linotype" w:cs="Palatino Linotype"/>
          <w:color w:val="000000"/>
        </w:rPr>
        <w:t xml:space="preserve"> fue omiso en realizar manifestaciones que a su derecho conviniera y asistiera.</w:t>
      </w:r>
    </w:p>
    <w:p w:rsidR="00D40FFE" w:rsidRPr="00A550CA" w:rsidRDefault="00D40FFE" w:rsidP="00A550C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F5153" w:rsidRPr="00A550CA" w:rsidRDefault="009D3673" w:rsidP="00A550C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A550CA">
        <w:rPr>
          <w:rFonts w:ascii="Palatino Linotype" w:eastAsia="Palatino Linotype" w:hAnsi="Palatino Linotype" w:cs="Palatino Linotype"/>
          <w:color w:val="000000"/>
        </w:rPr>
        <w:lastRenderedPageBreak/>
        <w:t xml:space="preserve">El </w:t>
      </w:r>
      <w:r w:rsidR="004F5153" w:rsidRPr="00A550CA">
        <w:rPr>
          <w:rFonts w:ascii="Palatino Linotype" w:eastAsia="Palatino Linotype" w:hAnsi="Palatino Linotype" w:cs="Palatino Linotype"/>
          <w:b/>
          <w:color w:val="000000"/>
        </w:rPr>
        <w:t>diecisiete</w:t>
      </w:r>
      <w:r w:rsidR="006F7106" w:rsidRPr="00A550CA">
        <w:rPr>
          <w:rFonts w:ascii="Palatino Linotype" w:eastAsia="Palatino Linotype" w:hAnsi="Palatino Linotype" w:cs="Palatino Linotype"/>
          <w:b/>
          <w:color w:val="000000"/>
        </w:rPr>
        <w:t xml:space="preserve"> de marz</w:t>
      </w:r>
      <w:r w:rsidR="00082AB7" w:rsidRPr="00A550CA">
        <w:rPr>
          <w:rFonts w:ascii="Palatino Linotype" w:eastAsia="Palatino Linotype" w:hAnsi="Palatino Linotype" w:cs="Palatino Linotype"/>
          <w:b/>
          <w:color w:val="000000"/>
        </w:rPr>
        <w:t>o</w:t>
      </w:r>
      <w:r w:rsidR="005D593D" w:rsidRPr="00A550CA">
        <w:rPr>
          <w:rFonts w:ascii="Palatino Linotype" w:eastAsia="Palatino Linotype" w:hAnsi="Palatino Linotype" w:cs="Palatino Linotype"/>
          <w:b/>
          <w:color w:val="000000"/>
        </w:rPr>
        <w:t xml:space="preserve"> </w:t>
      </w:r>
      <w:r w:rsidRPr="00A550CA">
        <w:rPr>
          <w:rFonts w:ascii="Palatino Linotype" w:eastAsia="Palatino Linotype" w:hAnsi="Palatino Linotype" w:cs="Palatino Linotype"/>
          <w:b/>
          <w:color w:val="000000"/>
        </w:rPr>
        <w:t>del año en curso</w:t>
      </w:r>
      <w:r w:rsidR="00AA22C2" w:rsidRPr="00A550CA">
        <w:rPr>
          <w:rFonts w:ascii="Palatino Linotype" w:eastAsia="Palatino Linotype" w:hAnsi="Palatino Linotype" w:cs="Palatino Linotype"/>
          <w:color w:val="000000"/>
        </w:rPr>
        <w:t xml:space="preserve">, </w:t>
      </w:r>
      <w:r w:rsidR="00F40827" w:rsidRPr="00A550CA">
        <w:rPr>
          <w:rFonts w:ascii="Palatino Linotype" w:eastAsia="Palatino Linotype" w:hAnsi="Palatino Linotype" w:cs="Palatino Linotype"/>
          <w:color w:val="000000"/>
        </w:rPr>
        <w:t xml:space="preserve">se amplió el término para resolver el Recurso de Revisión por un periodo de quince días hábiles adicionales al lapso ordinario. Al respecto 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rsidR="004F5153" w:rsidRPr="00A550CA" w:rsidRDefault="004F5153" w:rsidP="00A550CA">
      <w:pPr>
        <w:pStyle w:val="Prrafodelista"/>
        <w:spacing w:line="360" w:lineRule="auto"/>
        <w:rPr>
          <w:rFonts w:ascii="Palatino Linotype" w:eastAsia="Palatino Linotype" w:hAnsi="Palatino Linotype" w:cs="Palatino Linotype"/>
          <w:color w:val="000000"/>
        </w:rPr>
      </w:pPr>
    </w:p>
    <w:p w:rsidR="00B84DF1" w:rsidRPr="00A550CA" w:rsidRDefault="00F40827" w:rsidP="00A550C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A550CA">
        <w:rPr>
          <w:rFonts w:ascii="Palatino Linotype" w:eastAsia="Palatino Linotype" w:hAnsi="Palatino Linotype" w:cs="Palatino Linotype"/>
          <w:color w:val="000000"/>
        </w:rPr>
        <w:t xml:space="preserve">Seguidamente, mediante Acuerdo de </w:t>
      </w:r>
      <w:r w:rsidR="003E6A6E" w:rsidRPr="00A550CA">
        <w:rPr>
          <w:rFonts w:ascii="Palatino Linotype" w:eastAsia="Palatino Linotype" w:hAnsi="Palatino Linotype" w:cs="Palatino Linotype"/>
          <w:color w:val="000000"/>
        </w:rPr>
        <w:t>misma fecha</w:t>
      </w:r>
      <w:r w:rsidRPr="00A550CA">
        <w:rPr>
          <w:rFonts w:ascii="Palatino Linotype" w:eastAsia="Palatino Linotype" w:hAnsi="Palatino Linotype" w:cs="Palatino Linotype"/>
          <w:color w:val="000000"/>
        </w:rPr>
        <w:t xml:space="preserve">, </w:t>
      </w:r>
      <w:r w:rsidR="009D3673" w:rsidRPr="00A550CA">
        <w:rPr>
          <w:rFonts w:ascii="Palatino Linotype" w:eastAsia="Palatino Linotype" w:hAnsi="Palatino Linotype" w:cs="Palatino Linotype"/>
        </w:rPr>
        <w:t xml:space="preserve">la Comisionada Ponente dictó el cierre del periodo de </w:t>
      </w:r>
      <w:r w:rsidR="009D3673" w:rsidRPr="00A550CA">
        <w:rPr>
          <w:rFonts w:ascii="Palatino Linotype" w:eastAsia="Palatino Linotype" w:hAnsi="Palatino Linotype" w:cs="Palatino Linotype"/>
          <w:color w:val="000000"/>
        </w:rPr>
        <w:t>instrucción</w:t>
      </w:r>
      <w:r w:rsidR="009D3673" w:rsidRPr="00A550CA">
        <w:rPr>
          <w:rFonts w:ascii="Palatino Linotype" w:eastAsia="Palatino Linotype" w:hAnsi="Palatino Linotype" w:cs="Palatino Linotype"/>
        </w:rPr>
        <w:t xml:space="preserve"> y, ordenó la resolución que conforme a Derecho proceda, de acuerdo a las siguientes:</w:t>
      </w:r>
      <w:r w:rsidR="00CB4A28" w:rsidRPr="00A550CA">
        <w:rPr>
          <w:rFonts w:ascii="Palatino Linotype" w:eastAsia="Palatino Linotype" w:hAnsi="Palatino Linotype" w:cs="Palatino Linotype"/>
        </w:rPr>
        <w:t xml:space="preserve"> ----------</w:t>
      </w:r>
      <w:r w:rsidR="006F7106" w:rsidRPr="00A550CA">
        <w:rPr>
          <w:rFonts w:ascii="Palatino Linotype" w:eastAsia="Palatino Linotype" w:hAnsi="Palatino Linotype" w:cs="Palatino Linotype"/>
        </w:rPr>
        <w:t>---------------------------------------</w:t>
      </w:r>
    </w:p>
    <w:p w:rsidR="00190AFA" w:rsidRPr="00A550CA" w:rsidRDefault="00190AFA" w:rsidP="00A550CA">
      <w:pPr>
        <w:pStyle w:val="Prrafodelista"/>
        <w:spacing w:line="360" w:lineRule="auto"/>
        <w:jc w:val="both"/>
        <w:rPr>
          <w:rFonts w:ascii="Palatino Linotype" w:eastAsia="Palatino Linotype" w:hAnsi="Palatino Linotype" w:cs="Palatino Linotype"/>
          <w:b/>
          <w:color w:val="000000"/>
        </w:rPr>
      </w:pPr>
    </w:p>
    <w:p w:rsidR="00B84DF1" w:rsidRPr="00A550CA" w:rsidRDefault="009D3673" w:rsidP="00A550CA">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A550CA">
        <w:rPr>
          <w:rFonts w:ascii="Palatino Linotype" w:eastAsia="Palatino Linotype" w:hAnsi="Palatino Linotype" w:cs="Palatino Linotype"/>
          <w:b/>
          <w:color w:val="000000"/>
        </w:rPr>
        <w:t>C O N S I D E R A C I O N E S</w:t>
      </w:r>
    </w:p>
    <w:p w:rsidR="00B84DF1" w:rsidRPr="00A550CA" w:rsidRDefault="00B84DF1" w:rsidP="00A550C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A550CA" w:rsidRDefault="009D3673" w:rsidP="00A550CA">
      <w:pPr>
        <w:pStyle w:val="Ttulo2"/>
        <w:spacing w:before="0" w:line="360" w:lineRule="auto"/>
        <w:ind w:right="49"/>
        <w:jc w:val="both"/>
        <w:rPr>
          <w:rFonts w:ascii="Palatino Linotype" w:eastAsia="Palatino Linotype" w:hAnsi="Palatino Linotype" w:cs="Palatino Linotype"/>
          <w:b/>
          <w:color w:val="000000"/>
          <w:sz w:val="24"/>
          <w:szCs w:val="24"/>
        </w:rPr>
      </w:pPr>
      <w:bookmarkStart w:id="3" w:name="_heading=h.3znysh7" w:colFirst="0" w:colLast="0"/>
      <w:bookmarkEnd w:id="3"/>
      <w:r w:rsidRPr="00A550CA">
        <w:rPr>
          <w:rFonts w:ascii="Palatino Linotype" w:eastAsia="Palatino Linotype" w:hAnsi="Palatino Linotype" w:cs="Palatino Linotype"/>
          <w:b/>
          <w:color w:val="000000"/>
          <w:sz w:val="24"/>
          <w:szCs w:val="24"/>
        </w:rPr>
        <w:t>PRIMERA. Competencia</w:t>
      </w:r>
    </w:p>
    <w:p w:rsidR="00836A0A" w:rsidRPr="00A550CA" w:rsidRDefault="00836A0A" w:rsidP="00A550CA">
      <w:pPr>
        <w:spacing w:line="360" w:lineRule="auto"/>
        <w:rPr>
          <w:rFonts w:ascii="Palatino Linotype" w:hAnsi="Palatino Linotype"/>
        </w:rPr>
      </w:pPr>
    </w:p>
    <w:p w:rsidR="00B84DF1" w:rsidRPr="00A550CA" w:rsidRDefault="00BD6479" w:rsidP="00A550C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w:t>
      </w:r>
      <w:r w:rsidRPr="00A550CA">
        <w:rPr>
          <w:rFonts w:ascii="Palatino Linotype" w:eastAsia="Palatino Linotype" w:hAnsi="Palatino Linotype" w:cs="Palatino Linotype"/>
          <w:color w:val="000000"/>
        </w:rPr>
        <w:lastRenderedPageBreak/>
        <w:t>Municipios; y 9, fracciones I y XXIII y 11 del Reglamento Interior del Instituto de Transparencia, Acceso a la Información Pública y Protección de Datos Personales del Estado de México y Municipios.</w:t>
      </w:r>
    </w:p>
    <w:p w:rsidR="006535A3" w:rsidRPr="00A550CA" w:rsidRDefault="006535A3" w:rsidP="00A550C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550CA" w:rsidRDefault="009D3673" w:rsidP="00A550CA">
      <w:pPr>
        <w:pStyle w:val="Ttulo2"/>
        <w:spacing w:before="0" w:line="360" w:lineRule="auto"/>
        <w:ind w:right="49"/>
        <w:jc w:val="both"/>
        <w:rPr>
          <w:rFonts w:ascii="Palatino Linotype" w:eastAsia="Palatino Linotype" w:hAnsi="Palatino Linotype" w:cs="Palatino Linotype"/>
          <w:b/>
          <w:color w:val="000000"/>
          <w:sz w:val="24"/>
          <w:szCs w:val="24"/>
        </w:rPr>
      </w:pPr>
      <w:bookmarkStart w:id="4" w:name="_heading=h.2et92p0" w:colFirst="0" w:colLast="0"/>
      <w:bookmarkEnd w:id="4"/>
      <w:r w:rsidRPr="00A550CA">
        <w:rPr>
          <w:rFonts w:ascii="Palatino Linotype" w:eastAsia="Palatino Linotype" w:hAnsi="Palatino Linotype" w:cs="Palatino Linotype"/>
          <w:b/>
          <w:color w:val="000000"/>
          <w:sz w:val="24"/>
          <w:szCs w:val="24"/>
        </w:rPr>
        <w:t>SEGUNDA. Procedencia.</w:t>
      </w:r>
    </w:p>
    <w:p w:rsidR="00836A0A" w:rsidRPr="00A550CA" w:rsidRDefault="00836A0A" w:rsidP="00A550CA">
      <w:pPr>
        <w:spacing w:line="360" w:lineRule="auto"/>
        <w:rPr>
          <w:rFonts w:ascii="Palatino Linotype" w:hAnsi="Palatino Linotype"/>
        </w:rPr>
      </w:pPr>
    </w:p>
    <w:p w:rsidR="00B84DF1" w:rsidRPr="00A550CA" w:rsidRDefault="009D3673" w:rsidP="00A550C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t xml:space="preserve">Este Órgano Garante considera que el medio de impugnación reúne los requisitos de </w:t>
      </w:r>
      <w:r w:rsidRPr="00A550CA">
        <w:rPr>
          <w:rFonts w:ascii="Palatino Linotype" w:eastAsia="Palatino Linotype" w:hAnsi="Palatino Linotype" w:cs="Palatino Linotype"/>
          <w:color w:val="000000"/>
        </w:rPr>
        <w:t>procedencia</w:t>
      </w:r>
      <w:r w:rsidRPr="00A550CA">
        <w:rPr>
          <w:rFonts w:ascii="Palatino Linotype" w:eastAsia="Palatino Linotype" w:hAnsi="Palatino Linotype" w:cs="Palatino Linotype"/>
        </w:rPr>
        <w:t xml:space="preserve"> </w:t>
      </w:r>
      <w:r w:rsidRPr="00A550CA">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35672D" w:rsidRPr="00A550CA" w:rsidRDefault="0035672D" w:rsidP="00A550C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A550CA" w:rsidRDefault="009D3673" w:rsidP="00A550CA">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4F5153" w:rsidRPr="00A550CA" w:rsidRDefault="004F5153" w:rsidP="00A550CA">
      <w:pPr>
        <w:pStyle w:val="Prrafodelista"/>
        <w:spacing w:line="360" w:lineRule="auto"/>
        <w:rPr>
          <w:rFonts w:ascii="Palatino Linotype" w:eastAsia="Palatino Linotype" w:hAnsi="Palatino Linotype" w:cs="Palatino Linotype"/>
        </w:rPr>
      </w:pPr>
    </w:p>
    <w:p w:rsidR="00B84DF1" w:rsidRPr="00A550CA" w:rsidRDefault="009D3673" w:rsidP="00A550CA">
      <w:pPr>
        <w:pStyle w:val="Ttulo1"/>
        <w:spacing w:before="0" w:line="360" w:lineRule="auto"/>
        <w:ind w:right="49"/>
        <w:jc w:val="both"/>
        <w:rPr>
          <w:rFonts w:ascii="Palatino Linotype" w:eastAsia="Palatino Linotype" w:hAnsi="Palatino Linotype" w:cs="Palatino Linotype"/>
          <w:b/>
          <w:color w:val="000000"/>
          <w:sz w:val="24"/>
          <w:szCs w:val="24"/>
        </w:rPr>
      </w:pPr>
      <w:bookmarkStart w:id="5" w:name="_heading=h.tyjcwt" w:colFirst="0" w:colLast="0"/>
      <w:bookmarkEnd w:id="5"/>
      <w:r w:rsidRPr="00A550CA">
        <w:rPr>
          <w:rFonts w:ascii="Palatino Linotype" w:eastAsia="Palatino Linotype" w:hAnsi="Palatino Linotype" w:cs="Palatino Linotype"/>
          <w:b/>
          <w:color w:val="000000"/>
          <w:sz w:val="24"/>
          <w:szCs w:val="24"/>
        </w:rPr>
        <w:t xml:space="preserve">TERCERA. </w:t>
      </w:r>
      <w:r w:rsidR="00B44995" w:rsidRPr="00A550CA">
        <w:rPr>
          <w:rFonts w:ascii="Palatino Linotype" w:eastAsia="Palatino Linotype" w:hAnsi="Palatino Linotype" w:cs="Palatino Linotype"/>
          <w:b/>
          <w:color w:val="000000"/>
          <w:sz w:val="24"/>
          <w:szCs w:val="24"/>
        </w:rPr>
        <w:t>De</w:t>
      </w:r>
      <w:r w:rsidR="001268E9" w:rsidRPr="00A550CA">
        <w:rPr>
          <w:rFonts w:ascii="Palatino Linotype" w:eastAsia="Palatino Linotype" w:hAnsi="Palatino Linotype" w:cs="Palatino Linotype"/>
          <w:b/>
          <w:color w:val="000000"/>
          <w:sz w:val="24"/>
          <w:szCs w:val="24"/>
        </w:rPr>
        <w:t xml:space="preserve">l planteamiento de la </w:t>
      </w:r>
      <w:r w:rsidR="001268E9" w:rsidRPr="00A550CA">
        <w:rPr>
          <w:rFonts w:ascii="Palatino Linotype" w:eastAsia="Palatino Linotype" w:hAnsi="Palatino Linotype" w:cs="Palatino Linotype"/>
          <w:b/>
          <w:i/>
          <w:color w:val="000000"/>
          <w:sz w:val="24"/>
          <w:szCs w:val="24"/>
        </w:rPr>
        <w:t>Litis</w:t>
      </w:r>
    </w:p>
    <w:p w:rsidR="00B44995" w:rsidRPr="00A550CA" w:rsidRDefault="00B44995" w:rsidP="00A550CA">
      <w:pPr>
        <w:spacing w:line="360" w:lineRule="auto"/>
        <w:jc w:val="both"/>
        <w:rPr>
          <w:rFonts w:ascii="Palatino Linotype" w:hAnsi="Palatino Linotype"/>
        </w:rPr>
      </w:pPr>
    </w:p>
    <w:p w:rsidR="004F5153" w:rsidRPr="00A550CA" w:rsidRDefault="004F5153" w:rsidP="00A550CA">
      <w:pPr>
        <w:pStyle w:val="Prrafodelista"/>
        <w:spacing w:line="360" w:lineRule="auto"/>
        <w:jc w:val="both"/>
        <w:rPr>
          <w:rFonts w:ascii="Palatino Linotype" w:hAnsi="Palatino Linotype"/>
          <w:b/>
          <w:color w:val="000000"/>
        </w:rPr>
      </w:pPr>
      <w:r w:rsidRPr="00A550CA">
        <w:rPr>
          <w:rFonts w:ascii="Palatino Linotype" w:hAnsi="Palatino Linotype"/>
          <w:b/>
          <w:color w:val="000000"/>
        </w:rPr>
        <w:t>De la servidora pública: Berenice Hernández Martínez</w:t>
      </w:r>
    </w:p>
    <w:p w:rsidR="004F5153" w:rsidRPr="00A550CA" w:rsidRDefault="004F5153" w:rsidP="00A550CA">
      <w:pPr>
        <w:pStyle w:val="Prrafodelista"/>
        <w:numPr>
          <w:ilvl w:val="0"/>
          <w:numId w:val="3"/>
        </w:numPr>
        <w:spacing w:line="360" w:lineRule="auto"/>
        <w:jc w:val="both"/>
        <w:rPr>
          <w:rFonts w:ascii="Palatino Linotype" w:hAnsi="Palatino Linotype"/>
          <w:color w:val="000000"/>
        </w:rPr>
      </w:pPr>
      <w:r w:rsidRPr="00A550CA">
        <w:rPr>
          <w:rFonts w:ascii="Palatino Linotype" w:hAnsi="Palatino Linotype"/>
          <w:color w:val="000000"/>
        </w:rPr>
        <w:t>Nombramiento como encargada de coordinar y/o jefa del juzgado cívico;</w:t>
      </w:r>
    </w:p>
    <w:p w:rsidR="004F5153" w:rsidRPr="00A550CA" w:rsidRDefault="004F5153" w:rsidP="00A550CA">
      <w:pPr>
        <w:pStyle w:val="Prrafodelista"/>
        <w:numPr>
          <w:ilvl w:val="0"/>
          <w:numId w:val="3"/>
        </w:numPr>
        <w:spacing w:line="360" w:lineRule="auto"/>
        <w:jc w:val="both"/>
        <w:rPr>
          <w:rFonts w:ascii="Palatino Linotype" w:hAnsi="Palatino Linotype"/>
          <w:color w:val="000000"/>
        </w:rPr>
      </w:pPr>
      <w:r w:rsidRPr="00A550CA">
        <w:rPr>
          <w:rFonts w:ascii="Palatino Linotype" w:hAnsi="Palatino Linotype"/>
          <w:color w:val="000000"/>
        </w:rPr>
        <w:t>Curriculum Vitae;</w:t>
      </w:r>
    </w:p>
    <w:p w:rsidR="004F5153" w:rsidRPr="00A550CA" w:rsidRDefault="004F5153" w:rsidP="00A550CA">
      <w:pPr>
        <w:pStyle w:val="Prrafodelista"/>
        <w:numPr>
          <w:ilvl w:val="0"/>
          <w:numId w:val="3"/>
        </w:numPr>
        <w:spacing w:line="360" w:lineRule="auto"/>
        <w:jc w:val="both"/>
        <w:rPr>
          <w:rFonts w:ascii="Palatino Linotype" w:hAnsi="Palatino Linotype"/>
          <w:color w:val="000000"/>
        </w:rPr>
      </w:pPr>
      <w:r w:rsidRPr="00A550CA">
        <w:rPr>
          <w:rFonts w:ascii="Palatino Linotype" w:hAnsi="Palatino Linotype"/>
          <w:color w:val="000000"/>
        </w:rPr>
        <w:lastRenderedPageBreak/>
        <w:t>Los documentos que contienen los requisitos que colmó para ocupar el cargo juez cívico que contempla la Ley de Justicia Cívica, el Bando Municipal y el Reglamento Interior de la Administración Pública Municipal de Teoloyucan, Estado de México 2025-2027; y en caso de no contar con la documentación: la justificación por parte de Contraloría Interna por la falta de dicha obligación;</w:t>
      </w:r>
    </w:p>
    <w:p w:rsidR="004F5153" w:rsidRPr="00A550CA" w:rsidRDefault="004F5153" w:rsidP="00A550CA">
      <w:pPr>
        <w:pStyle w:val="Prrafodelista"/>
        <w:spacing w:line="360" w:lineRule="auto"/>
        <w:jc w:val="both"/>
        <w:rPr>
          <w:rFonts w:ascii="Palatino Linotype" w:hAnsi="Palatino Linotype"/>
          <w:color w:val="000000"/>
        </w:rPr>
      </w:pPr>
    </w:p>
    <w:p w:rsidR="004F5153" w:rsidRPr="00A550CA" w:rsidRDefault="004F5153" w:rsidP="00A550CA">
      <w:pPr>
        <w:pStyle w:val="Prrafodelista"/>
        <w:numPr>
          <w:ilvl w:val="0"/>
          <w:numId w:val="3"/>
        </w:numPr>
        <w:spacing w:line="360" w:lineRule="auto"/>
        <w:jc w:val="both"/>
        <w:rPr>
          <w:rFonts w:ascii="Palatino Linotype" w:hAnsi="Palatino Linotype"/>
        </w:rPr>
      </w:pPr>
      <w:r w:rsidRPr="00A550CA">
        <w:rPr>
          <w:rFonts w:ascii="Palatino Linotype" w:hAnsi="Palatino Linotype"/>
          <w:color w:val="000000"/>
        </w:rPr>
        <w:t>Soporte documental en que conste su edad mínima para ocupar el cargo y los tres años de experiencia en el ejercicio profesional como lo son cursos y/o certificaciones. En caso de no contar con ello, la justificación por parte de Contraloría Interna y del Estado de México; y</w:t>
      </w:r>
    </w:p>
    <w:p w:rsidR="004F5153" w:rsidRPr="00A550CA" w:rsidRDefault="004F5153" w:rsidP="00A550CA">
      <w:pPr>
        <w:pStyle w:val="Prrafodelista"/>
        <w:spacing w:line="360" w:lineRule="auto"/>
        <w:rPr>
          <w:rFonts w:ascii="Palatino Linotype" w:hAnsi="Palatino Linotype"/>
        </w:rPr>
      </w:pPr>
    </w:p>
    <w:p w:rsidR="004F5153" w:rsidRPr="00A550CA" w:rsidRDefault="004F5153" w:rsidP="00A550CA">
      <w:pPr>
        <w:pStyle w:val="Prrafodelista"/>
        <w:numPr>
          <w:ilvl w:val="0"/>
          <w:numId w:val="3"/>
        </w:numPr>
        <w:spacing w:line="360" w:lineRule="auto"/>
        <w:jc w:val="both"/>
        <w:rPr>
          <w:rFonts w:ascii="Palatino Linotype" w:hAnsi="Palatino Linotype"/>
          <w:color w:val="000000"/>
        </w:rPr>
      </w:pPr>
      <w:r w:rsidRPr="00A550CA">
        <w:rPr>
          <w:rFonts w:ascii="Palatino Linotype" w:hAnsi="Palatino Linotype"/>
          <w:color w:val="000000"/>
        </w:rPr>
        <w:t>Manera en que la coordinación y/o jefatura de juzgado cívico o la administración pública municipal, ha organizado y llevado a cabo cursos de actualización y profesionalización en materia de reglamento y de justicia cívica, para los integrantes de las áreas a su cargo, así como los documentos que expresen dicho cumplimiento, contemplado en la Ley de Justicia Cívica, el Bando Municipal y el Reglamento Interior de la Administración Pública Municipal de Teoloyucan, Estado de México 2025-2027.</w:t>
      </w:r>
    </w:p>
    <w:p w:rsidR="00F85EBB" w:rsidRPr="00A550CA" w:rsidRDefault="00F85EBB" w:rsidP="00A550CA">
      <w:pPr>
        <w:pBdr>
          <w:top w:val="nil"/>
          <w:left w:val="nil"/>
          <w:bottom w:val="nil"/>
          <w:right w:val="nil"/>
          <w:between w:val="nil"/>
        </w:pBdr>
        <w:spacing w:line="360" w:lineRule="auto"/>
        <w:ind w:left="1068" w:right="616"/>
        <w:jc w:val="both"/>
        <w:rPr>
          <w:rFonts w:ascii="Palatino Linotype" w:eastAsia="Palatino Linotype" w:hAnsi="Palatino Linotype" w:cs="Palatino Linotype"/>
          <w:b/>
          <w:color w:val="000000"/>
        </w:rPr>
      </w:pPr>
    </w:p>
    <w:p w:rsidR="00B84DF1" w:rsidRPr="00A550CA" w:rsidRDefault="009D3673" w:rsidP="00A550CA">
      <w:pPr>
        <w:numPr>
          <w:ilvl w:val="0"/>
          <w:numId w:val="1"/>
        </w:numPr>
        <w:spacing w:line="360" w:lineRule="auto"/>
        <w:ind w:left="0" w:right="49"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rPr>
        <w:t xml:space="preserve">En respuesta, el </w:t>
      </w:r>
      <w:r w:rsidR="00454DEC" w:rsidRPr="00A550CA">
        <w:rPr>
          <w:rFonts w:ascii="Palatino Linotype" w:eastAsia="Palatino Linotype" w:hAnsi="Palatino Linotype" w:cs="Palatino Linotype"/>
          <w:b/>
        </w:rPr>
        <w:t xml:space="preserve">SUJETO OBLIGADO </w:t>
      </w:r>
      <w:r w:rsidR="00454DEC" w:rsidRPr="00A550CA">
        <w:rPr>
          <w:rFonts w:ascii="Palatino Linotype" w:eastAsia="Palatino Linotype" w:hAnsi="Palatino Linotype" w:cs="Palatino Linotype"/>
        </w:rPr>
        <w:t xml:space="preserve">contestó </w:t>
      </w:r>
      <w:r w:rsidR="0035672D" w:rsidRPr="00A550CA">
        <w:rPr>
          <w:rFonts w:ascii="Palatino Linotype" w:eastAsia="Palatino Linotype" w:hAnsi="Palatino Linotype" w:cs="Palatino Linotype"/>
        </w:rPr>
        <w:t xml:space="preserve">mediante </w:t>
      </w:r>
      <w:r w:rsidR="004F5153" w:rsidRPr="00A550CA">
        <w:rPr>
          <w:rFonts w:ascii="Palatino Linotype" w:eastAsia="Palatino Linotype" w:hAnsi="Palatino Linotype" w:cs="Palatino Linotype"/>
        </w:rPr>
        <w:t xml:space="preserve">el pronunciamiento </w:t>
      </w:r>
      <w:r w:rsidR="00732B28" w:rsidRPr="00A550CA">
        <w:rPr>
          <w:rFonts w:ascii="Palatino Linotype" w:eastAsia="Palatino Linotype" w:hAnsi="Palatino Linotype" w:cs="Palatino Linotype"/>
        </w:rPr>
        <w:t>descrito en el</w:t>
      </w:r>
      <w:r w:rsidR="003D2130" w:rsidRPr="00A550CA">
        <w:rPr>
          <w:rFonts w:ascii="Palatino Linotype" w:eastAsia="Palatino Linotype" w:hAnsi="Palatino Linotype" w:cs="Palatino Linotype"/>
        </w:rPr>
        <w:t xml:space="preserve"> </w:t>
      </w:r>
      <w:r w:rsidR="00732B28" w:rsidRPr="00A550CA">
        <w:rPr>
          <w:rFonts w:ascii="Palatino Linotype" w:eastAsia="Palatino Linotype" w:hAnsi="Palatino Linotype" w:cs="Palatino Linotype"/>
        </w:rPr>
        <w:t>P</w:t>
      </w:r>
      <w:r w:rsidRPr="00A550CA">
        <w:rPr>
          <w:rFonts w:ascii="Palatino Linotype" w:eastAsia="Palatino Linotype" w:hAnsi="Palatino Linotype" w:cs="Palatino Linotype"/>
        </w:rPr>
        <w:t xml:space="preserve">árrafo 2. Inconforme con la respuesta, se interpuso </w:t>
      </w:r>
      <w:r w:rsidRPr="00A550CA">
        <w:rPr>
          <w:rFonts w:ascii="Palatino Linotype" w:eastAsia="Palatino Linotype" w:hAnsi="Palatino Linotype" w:cs="Palatino Linotype"/>
        </w:rPr>
        <w:lastRenderedPageBreak/>
        <w:t>recurso de revisión</w:t>
      </w:r>
      <w:r w:rsidR="00961CA6" w:rsidRPr="00A550CA">
        <w:rPr>
          <w:rFonts w:ascii="Palatino Linotype" w:eastAsia="Palatino Linotype" w:hAnsi="Palatino Linotype" w:cs="Palatino Linotype"/>
        </w:rPr>
        <w:t xml:space="preserve"> argumentando de manera general, </w:t>
      </w:r>
      <w:r w:rsidR="00F83ABE" w:rsidRPr="00A550CA">
        <w:rPr>
          <w:rFonts w:ascii="Palatino Linotype" w:eastAsia="Palatino Linotype" w:hAnsi="Palatino Linotype" w:cs="Palatino Linotype"/>
        </w:rPr>
        <w:t xml:space="preserve">la </w:t>
      </w:r>
      <w:r w:rsidR="006F7106" w:rsidRPr="00A550CA">
        <w:rPr>
          <w:rFonts w:ascii="Palatino Linotype" w:eastAsia="Palatino Linotype" w:hAnsi="Palatino Linotype" w:cs="Palatino Linotype"/>
        </w:rPr>
        <w:t xml:space="preserve">negativa a la </w:t>
      </w:r>
      <w:r w:rsidR="00BA0F8F" w:rsidRPr="00A550CA">
        <w:rPr>
          <w:rFonts w:ascii="Palatino Linotype" w:eastAsia="Palatino Linotype" w:hAnsi="Palatino Linotype" w:cs="Palatino Linotype"/>
        </w:rPr>
        <w:t>entrega de información</w:t>
      </w:r>
      <w:r w:rsidR="008849B8" w:rsidRPr="00A550CA">
        <w:rPr>
          <w:rFonts w:ascii="Palatino Linotype" w:eastAsia="Palatino Linotype" w:hAnsi="Palatino Linotype" w:cs="Palatino Linotype"/>
        </w:rPr>
        <w:t>.</w:t>
      </w:r>
    </w:p>
    <w:p w:rsidR="00DA717F" w:rsidRPr="00A550CA" w:rsidRDefault="00DA717F" w:rsidP="00A550CA">
      <w:pPr>
        <w:spacing w:line="360" w:lineRule="auto"/>
        <w:ind w:right="49"/>
        <w:jc w:val="both"/>
        <w:rPr>
          <w:rFonts w:ascii="Palatino Linotype" w:eastAsia="Palatino Linotype" w:hAnsi="Palatino Linotype" w:cs="Palatino Linotype"/>
          <w:color w:val="000000"/>
        </w:rPr>
      </w:pPr>
    </w:p>
    <w:p w:rsidR="00B84DF1" w:rsidRPr="00A550CA" w:rsidRDefault="009D3673" w:rsidP="00A550CA">
      <w:pPr>
        <w:numPr>
          <w:ilvl w:val="0"/>
          <w:numId w:val="1"/>
        </w:numP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t>En dichas condiciones, la controversia a resolver en el presente proveído, corresponde a determinar si se actualiza</w:t>
      </w:r>
      <w:r w:rsidR="008849B8" w:rsidRPr="00A550CA">
        <w:rPr>
          <w:rFonts w:ascii="Palatino Linotype" w:eastAsia="Palatino Linotype" w:hAnsi="Palatino Linotype" w:cs="Palatino Linotype"/>
        </w:rPr>
        <w:t>n</w:t>
      </w:r>
      <w:r w:rsidRPr="00A550CA">
        <w:rPr>
          <w:rFonts w:ascii="Palatino Linotype" w:eastAsia="Palatino Linotype" w:hAnsi="Palatino Linotype" w:cs="Palatino Linotype"/>
        </w:rPr>
        <w:t xml:space="preserve"> la</w:t>
      </w:r>
      <w:r w:rsidR="008849B8" w:rsidRPr="00A550CA">
        <w:rPr>
          <w:rFonts w:ascii="Palatino Linotype" w:eastAsia="Palatino Linotype" w:hAnsi="Palatino Linotype" w:cs="Palatino Linotype"/>
        </w:rPr>
        <w:t>s</w:t>
      </w:r>
      <w:r w:rsidRPr="00A550CA">
        <w:rPr>
          <w:rFonts w:ascii="Palatino Linotype" w:eastAsia="Palatino Linotype" w:hAnsi="Palatino Linotype" w:cs="Palatino Linotype"/>
        </w:rPr>
        <w:t xml:space="preserve"> causal</w:t>
      </w:r>
      <w:r w:rsidR="008849B8" w:rsidRPr="00A550CA">
        <w:rPr>
          <w:rFonts w:ascii="Palatino Linotype" w:eastAsia="Palatino Linotype" w:hAnsi="Palatino Linotype" w:cs="Palatino Linotype"/>
        </w:rPr>
        <w:t>es</w:t>
      </w:r>
      <w:r w:rsidRPr="00A550CA">
        <w:rPr>
          <w:rFonts w:ascii="Palatino Linotype" w:eastAsia="Palatino Linotype" w:hAnsi="Palatino Linotype" w:cs="Palatino Linotype"/>
        </w:rPr>
        <w:t xml:space="preserve"> de procedencia prevista</w:t>
      </w:r>
      <w:r w:rsidR="008849B8" w:rsidRPr="00A550CA">
        <w:rPr>
          <w:rFonts w:ascii="Palatino Linotype" w:eastAsia="Palatino Linotype" w:hAnsi="Palatino Linotype" w:cs="Palatino Linotype"/>
        </w:rPr>
        <w:t xml:space="preserve">s en </w:t>
      </w:r>
      <w:r w:rsidRPr="00A550CA">
        <w:rPr>
          <w:rFonts w:ascii="Palatino Linotype" w:eastAsia="Palatino Linotype" w:hAnsi="Palatino Linotype" w:cs="Palatino Linotype"/>
        </w:rPr>
        <w:t>l</w:t>
      </w:r>
      <w:r w:rsidR="008849B8" w:rsidRPr="00A550CA">
        <w:rPr>
          <w:rFonts w:ascii="Palatino Linotype" w:eastAsia="Palatino Linotype" w:hAnsi="Palatino Linotype" w:cs="Palatino Linotype"/>
        </w:rPr>
        <w:t>os</w:t>
      </w:r>
      <w:r w:rsidRPr="00A550CA">
        <w:rPr>
          <w:rFonts w:ascii="Palatino Linotype" w:eastAsia="Palatino Linotype" w:hAnsi="Palatino Linotype" w:cs="Palatino Linotype"/>
        </w:rPr>
        <w:t xml:space="preserve"> artículo</w:t>
      </w:r>
      <w:r w:rsidR="008849B8" w:rsidRPr="00A550CA">
        <w:rPr>
          <w:rFonts w:ascii="Palatino Linotype" w:eastAsia="Palatino Linotype" w:hAnsi="Palatino Linotype" w:cs="Palatino Linotype"/>
        </w:rPr>
        <w:t>s</w:t>
      </w:r>
      <w:r w:rsidRPr="00A550CA">
        <w:rPr>
          <w:rFonts w:ascii="Palatino Linotype" w:eastAsia="Palatino Linotype" w:hAnsi="Palatino Linotype" w:cs="Palatino Linotype"/>
        </w:rPr>
        <w:t xml:space="preserve"> 179, fracción </w:t>
      </w:r>
      <w:r w:rsidR="00732B28" w:rsidRPr="00A550CA">
        <w:rPr>
          <w:rFonts w:ascii="Palatino Linotype" w:eastAsia="Palatino Linotype" w:hAnsi="Palatino Linotype" w:cs="Palatino Linotype"/>
        </w:rPr>
        <w:t>I</w:t>
      </w:r>
      <w:r w:rsidRPr="00A550CA">
        <w:rPr>
          <w:rFonts w:ascii="Palatino Linotype" w:eastAsia="Palatino Linotype" w:hAnsi="Palatino Linotype" w:cs="Palatino Linotype"/>
          <w:b/>
        </w:rPr>
        <w:t xml:space="preserve"> </w:t>
      </w:r>
      <w:r w:rsidRPr="00A550CA">
        <w:rPr>
          <w:rFonts w:ascii="Palatino Linotype" w:eastAsia="Palatino Linotype" w:hAnsi="Palatino Linotype" w:cs="Palatino Linotype"/>
        </w:rPr>
        <w:t>de la Ley de Transparencia y Acceso a la Información Pública del Estado de</w:t>
      </w:r>
      <w:r w:rsidRPr="00A550CA">
        <w:rPr>
          <w:rFonts w:ascii="Palatino Linotype" w:eastAsia="Palatino Linotype" w:hAnsi="Palatino Linotype" w:cs="Palatino Linotype"/>
          <w:b/>
        </w:rPr>
        <w:t xml:space="preserve"> </w:t>
      </w:r>
      <w:r w:rsidRPr="00A550CA">
        <w:rPr>
          <w:rFonts w:ascii="Palatino Linotype" w:eastAsia="Palatino Linotype" w:hAnsi="Palatino Linotype" w:cs="Palatino Linotype"/>
        </w:rPr>
        <w:t>México</w:t>
      </w:r>
      <w:r w:rsidRPr="00A550CA">
        <w:rPr>
          <w:rFonts w:ascii="Palatino Linotype" w:eastAsia="Palatino Linotype" w:hAnsi="Palatino Linotype" w:cs="Palatino Linotype"/>
          <w:b/>
        </w:rPr>
        <w:t xml:space="preserve"> </w:t>
      </w:r>
      <w:r w:rsidRPr="00A550CA">
        <w:rPr>
          <w:rFonts w:ascii="Palatino Linotype" w:eastAsia="Palatino Linotype" w:hAnsi="Palatino Linotype" w:cs="Palatino Linotype"/>
        </w:rPr>
        <w:t>y</w:t>
      </w:r>
      <w:r w:rsidRPr="00A550CA">
        <w:rPr>
          <w:rFonts w:ascii="Palatino Linotype" w:eastAsia="Palatino Linotype" w:hAnsi="Palatino Linotype" w:cs="Palatino Linotype"/>
          <w:b/>
        </w:rPr>
        <w:t xml:space="preserve"> </w:t>
      </w:r>
      <w:r w:rsidRPr="00A550CA">
        <w:rPr>
          <w:rFonts w:ascii="Palatino Linotype" w:eastAsia="Palatino Linotype" w:hAnsi="Palatino Linotype" w:cs="Palatino Linotype"/>
        </w:rPr>
        <w:t xml:space="preserve">Municipios; </w:t>
      </w:r>
      <w:r w:rsidR="008849B8" w:rsidRPr="00A550CA">
        <w:rPr>
          <w:rFonts w:ascii="Palatino Linotype" w:eastAsia="Palatino Linotype" w:hAnsi="Palatino Linotype" w:cs="Palatino Linotype"/>
          <w:color w:val="000000"/>
        </w:rPr>
        <w:t>fracciones</w:t>
      </w:r>
      <w:r w:rsidRPr="00A550CA">
        <w:rPr>
          <w:rFonts w:ascii="Palatino Linotype" w:eastAsia="Palatino Linotype" w:hAnsi="Palatino Linotype" w:cs="Palatino Linotype"/>
          <w:color w:val="000000"/>
        </w:rPr>
        <w:t xml:space="preserve"> que determina</w:t>
      </w:r>
      <w:r w:rsidR="008849B8" w:rsidRPr="00A550CA">
        <w:rPr>
          <w:rFonts w:ascii="Palatino Linotype" w:eastAsia="Palatino Linotype" w:hAnsi="Palatino Linotype" w:cs="Palatino Linotype"/>
          <w:color w:val="000000"/>
        </w:rPr>
        <w:t>n</w:t>
      </w:r>
      <w:r w:rsidRPr="00A550CA">
        <w:rPr>
          <w:rFonts w:ascii="Palatino Linotype" w:eastAsia="Palatino Linotype" w:hAnsi="Palatino Linotype" w:cs="Palatino Linotype"/>
          <w:color w:val="000000"/>
        </w:rPr>
        <w:t xml:space="preserve"> </w:t>
      </w:r>
      <w:r w:rsidR="003C24E7" w:rsidRPr="00A550CA">
        <w:rPr>
          <w:rFonts w:ascii="Palatino Linotype" w:eastAsia="Palatino Linotype" w:hAnsi="Palatino Linotype" w:cs="Palatino Linotype"/>
          <w:color w:val="000000"/>
        </w:rPr>
        <w:t>la</w:t>
      </w:r>
      <w:r w:rsidR="00F83ABE" w:rsidRPr="00A550CA">
        <w:rPr>
          <w:rFonts w:ascii="Palatino Linotype" w:eastAsia="Palatino Linotype" w:hAnsi="Palatino Linotype" w:cs="Palatino Linotype"/>
          <w:color w:val="000000"/>
        </w:rPr>
        <w:t xml:space="preserve"> negativa a la</w:t>
      </w:r>
      <w:r w:rsidR="003C24E7" w:rsidRPr="00A550CA">
        <w:rPr>
          <w:rFonts w:ascii="Palatino Linotype" w:eastAsia="Palatino Linotype" w:hAnsi="Palatino Linotype" w:cs="Palatino Linotype"/>
          <w:color w:val="000000"/>
        </w:rPr>
        <w:t xml:space="preserve"> entrega de </w:t>
      </w:r>
      <w:r w:rsidR="00F83ABE" w:rsidRPr="00A550CA">
        <w:rPr>
          <w:rFonts w:ascii="Palatino Linotype" w:eastAsia="Palatino Linotype" w:hAnsi="Palatino Linotype" w:cs="Palatino Linotype"/>
          <w:color w:val="000000"/>
        </w:rPr>
        <w:t xml:space="preserve">la </w:t>
      </w:r>
      <w:r w:rsidR="008849B8" w:rsidRPr="00A550CA">
        <w:rPr>
          <w:rFonts w:ascii="Palatino Linotype" w:eastAsia="Palatino Linotype" w:hAnsi="Palatino Linotype" w:cs="Palatino Linotype"/>
          <w:color w:val="000000"/>
        </w:rPr>
        <w:t xml:space="preserve">información </w:t>
      </w:r>
      <w:r w:rsidR="00F83ABE" w:rsidRPr="00A550CA">
        <w:rPr>
          <w:rFonts w:ascii="Palatino Linotype" w:eastAsia="Palatino Linotype" w:hAnsi="Palatino Linotype" w:cs="Palatino Linotype"/>
          <w:color w:val="000000"/>
        </w:rPr>
        <w:t>solicitada</w:t>
      </w:r>
      <w:r w:rsidRPr="00A550CA">
        <w:rPr>
          <w:rFonts w:ascii="Palatino Linotype" w:eastAsia="Palatino Linotype" w:hAnsi="Palatino Linotype" w:cs="Palatino Linotype"/>
        </w:rPr>
        <w:t>.</w:t>
      </w:r>
      <w:r w:rsidR="003D2130" w:rsidRPr="00A550CA">
        <w:rPr>
          <w:rFonts w:ascii="Palatino Linotype" w:eastAsia="Palatino Linotype" w:hAnsi="Palatino Linotype" w:cs="Palatino Linotype"/>
          <w:color w:val="000000"/>
        </w:rPr>
        <w:t xml:space="preserve"> De modo tal que el presente R</w:t>
      </w:r>
      <w:r w:rsidRPr="00A550CA">
        <w:rPr>
          <w:rFonts w:ascii="Palatino Linotype" w:eastAsia="Palatino Linotype" w:hAnsi="Palatino Linotype" w:cs="Palatino Linotype"/>
          <w:color w:val="000000"/>
        </w:rPr>
        <w:t xml:space="preserve">ecurso de </w:t>
      </w:r>
      <w:r w:rsidR="003D2130" w:rsidRPr="00A550CA">
        <w:rPr>
          <w:rFonts w:ascii="Palatino Linotype" w:eastAsia="Palatino Linotype" w:hAnsi="Palatino Linotype" w:cs="Palatino Linotype"/>
          <w:color w:val="000000"/>
        </w:rPr>
        <w:t>R</w:t>
      </w:r>
      <w:r w:rsidRPr="00A550CA">
        <w:rPr>
          <w:rFonts w:ascii="Palatino Linotype" w:eastAsia="Palatino Linotype" w:hAnsi="Palatino Linotype" w:cs="Palatino Linotype"/>
          <w:color w:val="000000"/>
        </w:rPr>
        <w:t xml:space="preserve">evisión se </w:t>
      </w:r>
      <w:r w:rsidRPr="00A550CA">
        <w:rPr>
          <w:rFonts w:ascii="Palatino Linotype" w:eastAsia="Palatino Linotype" w:hAnsi="Palatino Linotype" w:cs="Palatino Linotype"/>
        </w:rPr>
        <w:t>abocará</w:t>
      </w:r>
      <w:r w:rsidRPr="00A550CA">
        <w:rPr>
          <w:rFonts w:ascii="Palatino Linotype" w:eastAsia="Palatino Linotype" w:hAnsi="Palatino Linotype" w:cs="Palatino Linotype"/>
          <w:color w:val="000000"/>
        </w:rPr>
        <w:t xml:space="preserve"> en determinar si el Sujeto Obligado con su respuesta ciertamente actualiza</w:t>
      </w:r>
      <w:r w:rsidR="008849B8" w:rsidRPr="00A550CA">
        <w:rPr>
          <w:rFonts w:ascii="Palatino Linotype" w:eastAsia="Palatino Linotype" w:hAnsi="Palatino Linotype" w:cs="Palatino Linotype"/>
          <w:color w:val="000000"/>
        </w:rPr>
        <w:t>n</w:t>
      </w:r>
      <w:r w:rsidRPr="00A550CA">
        <w:rPr>
          <w:rFonts w:ascii="Palatino Linotype" w:eastAsia="Palatino Linotype" w:hAnsi="Palatino Linotype" w:cs="Palatino Linotype"/>
          <w:color w:val="000000"/>
        </w:rPr>
        <w:t xml:space="preserve"> la</w:t>
      </w:r>
      <w:r w:rsidR="008849B8" w:rsidRPr="00A550CA">
        <w:rPr>
          <w:rFonts w:ascii="Palatino Linotype" w:eastAsia="Palatino Linotype" w:hAnsi="Palatino Linotype" w:cs="Palatino Linotype"/>
          <w:color w:val="000000"/>
        </w:rPr>
        <w:t>s</w:t>
      </w:r>
      <w:r w:rsidRPr="00A550CA">
        <w:rPr>
          <w:rFonts w:ascii="Palatino Linotype" w:eastAsia="Palatino Linotype" w:hAnsi="Palatino Linotype" w:cs="Palatino Linotype"/>
          <w:color w:val="000000"/>
        </w:rPr>
        <w:t xml:space="preserve"> causal</w:t>
      </w:r>
      <w:r w:rsidR="008849B8" w:rsidRPr="00A550CA">
        <w:rPr>
          <w:rFonts w:ascii="Palatino Linotype" w:eastAsia="Palatino Linotype" w:hAnsi="Palatino Linotype" w:cs="Palatino Linotype"/>
          <w:color w:val="000000"/>
        </w:rPr>
        <w:t>es</w:t>
      </w:r>
      <w:r w:rsidRPr="00A550CA">
        <w:rPr>
          <w:rFonts w:ascii="Palatino Linotype" w:eastAsia="Palatino Linotype" w:hAnsi="Palatino Linotype" w:cs="Palatino Linotype"/>
          <w:color w:val="000000"/>
        </w:rPr>
        <w:t xml:space="preserve"> de procedencia</w:t>
      </w:r>
      <w:r w:rsidRPr="00A550CA">
        <w:rPr>
          <w:rFonts w:ascii="Palatino Linotype" w:eastAsia="Palatino Linotype" w:hAnsi="Palatino Linotype" w:cs="Palatino Linotype"/>
          <w:b/>
          <w:color w:val="000000"/>
        </w:rPr>
        <w:t xml:space="preserve"> </w:t>
      </w:r>
      <w:r w:rsidRPr="00A550CA">
        <w:rPr>
          <w:rFonts w:ascii="Palatino Linotype" w:eastAsia="Palatino Linotype" w:hAnsi="Palatino Linotype" w:cs="Palatino Linotype"/>
          <w:color w:val="000000"/>
        </w:rPr>
        <w:t>señalada</w:t>
      </w:r>
      <w:r w:rsidR="008849B8" w:rsidRPr="00A550CA">
        <w:rPr>
          <w:rFonts w:ascii="Palatino Linotype" w:eastAsia="Palatino Linotype" w:hAnsi="Palatino Linotype" w:cs="Palatino Linotype"/>
          <w:color w:val="000000"/>
        </w:rPr>
        <w:t>s</w:t>
      </w:r>
      <w:r w:rsidRPr="00A550CA">
        <w:rPr>
          <w:rFonts w:ascii="Palatino Linotype" w:eastAsia="Palatino Linotype" w:hAnsi="Palatino Linotype" w:cs="Palatino Linotype"/>
          <w:color w:val="000000"/>
        </w:rPr>
        <w:t>.</w:t>
      </w:r>
    </w:p>
    <w:p w:rsidR="00B84DF1" w:rsidRPr="00A550CA" w:rsidRDefault="00B84DF1" w:rsidP="00A550CA">
      <w:pPr>
        <w:spacing w:line="360" w:lineRule="auto"/>
        <w:ind w:right="49"/>
        <w:jc w:val="both"/>
        <w:rPr>
          <w:rFonts w:ascii="Palatino Linotype" w:eastAsia="Palatino Linotype" w:hAnsi="Palatino Linotype" w:cs="Palatino Linotype"/>
        </w:rPr>
      </w:pPr>
    </w:p>
    <w:p w:rsidR="001268E9" w:rsidRPr="00A550CA" w:rsidRDefault="001268E9" w:rsidP="00A550CA">
      <w:pPr>
        <w:pStyle w:val="Ttulo1"/>
        <w:spacing w:before="0" w:line="360" w:lineRule="auto"/>
        <w:ind w:right="49"/>
        <w:jc w:val="both"/>
        <w:rPr>
          <w:rFonts w:ascii="Palatino Linotype" w:eastAsia="Palatino Linotype" w:hAnsi="Palatino Linotype" w:cs="Palatino Linotype"/>
          <w:b/>
          <w:color w:val="000000"/>
          <w:sz w:val="24"/>
          <w:szCs w:val="24"/>
        </w:rPr>
      </w:pPr>
      <w:r w:rsidRPr="00A550CA">
        <w:rPr>
          <w:rFonts w:ascii="Palatino Linotype" w:eastAsia="Palatino Linotype" w:hAnsi="Palatino Linotype" w:cs="Palatino Linotype"/>
          <w:b/>
          <w:color w:val="000000"/>
          <w:sz w:val="24"/>
          <w:szCs w:val="24"/>
        </w:rPr>
        <w:t>CUA</w:t>
      </w:r>
      <w:r w:rsidR="00871D55" w:rsidRPr="00A550CA">
        <w:rPr>
          <w:rFonts w:ascii="Palatino Linotype" w:eastAsia="Palatino Linotype" w:hAnsi="Palatino Linotype" w:cs="Palatino Linotype"/>
          <w:b/>
          <w:color w:val="000000"/>
          <w:sz w:val="24"/>
          <w:szCs w:val="24"/>
        </w:rPr>
        <w:t>R</w:t>
      </w:r>
      <w:r w:rsidRPr="00A550CA">
        <w:rPr>
          <w:rFonts w:ascii="Palatino Linotype" w:eastAsia="Palatino Linotype" w:hAnsi="Palatino Linotype" w:cs="Palatino Linotype"/>
          <w:b/>
          <w:color w:val="000000"/>
          <w:sz w:val="24"/>
          <w:szCs w:val="24"/>
        </w:rPr>
        <w:t xml:space="preserve">TO. </w:t>
      </w:r>
      <w:r w:rsidR="00871D55" w:rsidRPr="00A550CA">
        <w:rPr>
          <w:rFonts w:ascii="Palatino Linotype" w:eastAsia="Palatino Linotype" w:hAnsi="Palatino Linotype" w:cs="Palatino Linotype"/>
          <w:b/>
          <w:color w:val="000000"/>
          <w:sz w:val="24"/>
          <w:szCs w:val="24"/>
        </w:rPr>
        <w:t>Estudio y resolución</w:t>
      </w:r>
    </w:p>
    <w:p w:rsidR="00836A0A" w:rsidRPr="00A550CA" w:rsidRDefault="00836A0A" w:rsidP="00A550CA">
      <w:pPr>
        <w:spacing w:line="360" w:lineRule="auto"/>
        <w:rPr>
          <w:rFonts w:ascii="Palatino Linotype" w:hAnsi="Palatino Linotype"/>
        </w:rPr>
      </w:pPr>
    </w:p>
    <w:p w:rsidR="00B84DF1" w:rsidRPr="00A550CA" w:rsidRDefault="009D3673" w:rsidP="00A550CA">
      <w:pPr>
        <w:numPr>
          <w:ilvl w:val="0"/>
          <w:numId w:val="1"/>
        </w:numPr>
        <w:spacing w:line="360" w:lineRule="auto"/>
        <w:ind w:left="0" w:right="49" w:firstLine="0"/>
        <w:jc w:val="both"/>
        <w:rPr>
          <w:rFonts w:ascii="Palatino Linotype" w:eastAsia="Palatino Linotype" w:hAnsi="Palatino Linotype" w:cs="Palatino Linotype"/>
        </w:rPr>
      </w:pPr>
      <w:bookmarkStart w:id="6" w:name="_heading=h.3dy6vkm" w:colFirst="0" w:colLast="0"/>
      <w:bookmarkEnd w:id="6"/>
      <w:r w:rsidRPr="00A550CA">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30EBC" w:rsidRPr="00A550CA" w:rsidRDefault="00630EBC" w:rsidP="00A550CA">
      <w:pPr>
        <w:spacing w:line="360" w:lineRule="auto"/>
        <w:ind w:right="49"/>
        <w:jc w:val="both"/>
        <w:rPr>
          <w:rFonts w:ascii="Palatino Linotype" w:eastAsia="Palatino Linotype" w:hAnsi="Palatino Linotype" w:cs="Palatino Linotype"/>
        </w:rPr>
      </w:pPr>
    </w:p>
    <w:p w:rsidR="00B84DF1" w:rsidRPr="00A550CA" w:rsidRDefault="009D3673" w:rsidP="00A550CA">
      <w:pPr>
        <w:numPr>
          <w:ilvl w:val="0"/>
          <w:numId w:val="1"/>
        </w:numP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A550CA" w:rsidRDefault="003D2130" w:rsidP="00A550CA">
      <w:pPr>
        <w:pStyle w:val="Prrafodelista"/>
        <w:spacing w:line="360" w:lineRule="auto"/>
        <w:jc w:val="both"/>
        <w:rPr>
          <w:rFonts w:ascii="Palatino Linotype" w:eastAsia="Palatino Linotype" w:hAnsi="Palatino Linotype" w:cs="Palatino Linotype"/>
        </w:rPr>
      </w:pPr>
    </w:p>
    <w:p w:rsidR="00B84DF1" w:rsidRPr="00A550CA" w:rsidRDefault="009D3673" w:rsidP="00A550CA">
      <w:pPr>
        <w:numPr>
          <w:ilvl w:val="0"/>
          <w:numId w:val="1"/>
        </w:numP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43178" w:rsidRPr="00A550CA" w:rsidRDefault="00C43178" w:rsidP="00A550CA">
      <w:pPr>
        <w:pStyle w:val="Prrafodelista"/>
        <w:spacing w:line="360" w:lineRule="auto"/>
        <w:rPr>
          <w:rFonts w:ascii="Palatino Linotype" w:eastAsia="Palatino Linotype" w:hAnsi="Palatino Linotype" w:cs="Palatino Linotype"/>
        </w:rPr>
      </w:pPr>
    </w:p>
    <w:p w:rsidR="00630EBC" w:rsidRPr="00A550CA" w:rsidRDefault="00C43178" w:rsidP="00A550CA">
      <w:pPr>
        <w:numPr>
          <w:ilvl w:val="0"/>
          <w:numId w:val="1"/>
        </w:numP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t>Acotado lo anterior</w:t>
      </w:r>
      <w:r w:rsidR="009D3673" w:rsidRPr="00A550CA">
        <w:rPr>
          <w:rFonts w:ascii="Palatino Linotype" w:eastAsia="Palatino Linotype" w:hAnsi="Palatino Linotype" w:cs="Palatino Linotype"/>
        </w:rPr>
        <w:t xml:space="preserve">, es dable </w:t>
      </w:r>
      <w:r w:rsidRPr="00A550CA">
        <w:rPr>
          <w:rFonts w:ascii="Palatino Linotype" w:eastAsia="Palatino Linotype" w:hAnsi="Palatino Linotype" w:cs="Palatino Linotype"/>
        </w:rPr>
        <w:t xml:space="preserve">primeramente </w:t>
      </w:r>
      <w:r w:rsidR="009D3673" w:rsidRPr="00A550CA">
        <w:rPr>
          <w:rFonts w:ascii="Palatino Linotype" w:eastAsia="Palatino Linotype" w:hAnsi="Palatino Linotype" w:cs="Palatino Linotype"/>
        </w:rPr>
        <w:t xml:space="preserve">traer a contexto </w:t>
      </w:r>
      <w:r w:rsidR="004F5153" w:rsidRPr="00A550CA">
        <w:rPr>
          <w:rFonts w:ascii="Palatino Linotype" w:eastAsia="Palatino Linotype" w:hAnsi="Palatino Linotype" w:cs="Palatino Linotype"/>
        </w:rPr>
        <w:t>la respuesta misma que verso en una declaratoria de incompetencia al Ayuntamiento de Teoloyucan</w:t>
      </w:r>
      <w:r w:rsidR="003B2640" w:rsidRPr="00A550CA">
        <w:rPr>
          <w:rFonts w:ascii="Palatino Linotype" w:eastAsia="Palatino Linotype" w:hAnsi="Palatino Linotype" w:cs="Palatino Linotype"/>
        </w:rPr>
        <w:t xml:space="preserve"> por ser este el Sujeto Obligado competente.</w:t>
      </w:r>
    </w:p>
    <w:p w:rsidR="003B2640" w:rsidRPr="00A550CA" w:rsidRDefault="003B2640" w:rsidP="00A550CA">
      <w:pPr>
        <w:pStyle w:val="Prrafodelista"/>
        <w:spacing w:line="360" w:lineRule="auto"/>
        <w:rPr>
          <w:rFonts w:ascii="Palatino Linotype" w:eastAsia="Palatino Linotype" w:hAnsi="Palatino Linotype" w:cs="Palatino Linotype"/>
        </w:rPr>
      </w:pPr>
    </w:p>
    <w:p w:rsidR="003B2640" w:rsidRPr="00A550CA" w:rsidRDefault="003B2640" w:rsidP="00A550CA">
      <w:pPr>
        <w:numPr>
          <w:ilvl w:val="0"/>
          <w:numId w:val="1"/>
        </w:numP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lastRenderedPageBreak/>
        <w:t>Contexto que se suscribe; en virtud que al requerirse información de una servidora pública adscrita a la Oficialía del Registro Civil, ciertamente es competencia del Ayuntamiento de Teoloyucan, pues esta corresponde a una dependencia del gobierno municipal, adscrita a la Secretaria del Ayuntamiento de Teoloyucan cuya función principal es brindar servicios relacionados con la identidad y el estado civil de las personas, a efecto de identificar lo anterior, se ilustra el siguiente extracto de vigente Organigrama del Ayuntamiento de Teoloyucan, a saber:</w:t>
      </w:r>
    </w:p>
    <w:p w:rsidR="003B2640" w:rsidRPr="00A550CA" w:rsidRDefault="003B2640" w:rsidP="00A550CA">
      <w:pPr>
        <w:pStyle w:val="Prrafodelista"/>
        <w:spacing w:line="360" w:lineRule="auto"/>
        <w:rPr>
          <w:rFonts w:ascii="Palatino Linotype" w:eastAsia="Palatino Linotype" w:hAnsi="Palatino Linotype" w:cs="Palatino Linotype"/>
        </w:rPr>
      </w:pPr>
    </w:p>
    <w:p w:rsidR="003B2640" w:rsidRPr="00A550CA" w:rsidRDefault="003B2640" w:rsidP="00E13F7B">
      <w:pPr>
        <w:spacing w:line="360" w:lineRule="auto"/>
        <w:ind w:right="49"/>
        <w:jc w:val="center"/>
        <w:rPr>
          <w:rFonts w:ascii="Palatino Linotype" w:eastAsia="Palatino Linotype" w:hAnsi="Palatino Linotype" w:cs="Palatino Linotype"/>
        </w:rPr>
      </w:pPr>
      <w:r w:rsidRPr="00A550CA">
        <w:rPr>
          <w:rFonts w:ascii="Palatino Linotype" w:eastAsia="Palatino Linotype" w:hAnsi="Palatino Linotype" w:cs="Palatino Linotype"/>
          <w:noProof/>
          <w:lang w:val="es-MX" w:eastAsia="es-MX"/>
        </w:rPr>
        <w:drawing>
          <wp:inline distT="0" distB="0" distL="0" distR="0">
            <wp:extent cx="5336275" cy="4127252"/>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357" cy="4147425"/>
                    </a:xfrm>
                    <a:prstGeom prst="rect">
                      <a:avLst/>
                    </a:prstGeom>
                    <a:noFill/>
                    <a:ln>
                      <a:noFill/>
                    </a:ln>
                  </pic:spPr>
                </pic:pic>
              </a:graphicData>
            </a:graphic>
          </wp:inline>
        </w:drawing>
      </w:r>
    </w:p>
    <w:p w:rsidR="003B2640" w:rsidRPr="00A550CA" w:rsidRDefault="003B2640" w:rsidP="00A550CA">
      <w:pPr>
        <w:numPr>
          <w:ilvl w:val="0"/>
          <w:numId w:val="1"/>
        </w:numPr>
        <w:spacing w:line="360" w:lineRule="auto"/>
        <w:ind w:left="0" w:right="49" w:firstLine="0"/>
        <w:jc w:val="both"/>
        <w:rPr>
          <w:rFonts w:ascii="Palatino Linotype" w:eastAsia="Palatino Linotype" w:hAnsi="Palatino Linotype" w:cs="Palatino Linotype"/>
        </w:rPr>
      </w:pPr>
      <w:r w:rsidRPr="00A550CA">
        <w:rPr>
          <w:rFonts w:ascii="Palatino Linotype" w:eastAsia="Palatino Linotype" w:hAnsi="Palatino Linotype" w:cs="Palatino Linotype"/>
        </w:rPr>
        <w:lastRenderedPageBreak/>
        <w:t>En ese sentido el Padrón de Sujetos Obligado en materia de transparencia, que corresponde  aquel listado de autoridades, entidades y organismos que deben cumplir con las leyes de transparencia y rendición de cuentas en el Estado de México, ciertamente considera al Ayuntamiento de Teoloyucan y al Sistema Municipal para el Desarrollo Integral de la Familia de Teoloyucan, como sujetos obligados diversos, como se advierte de la siguiente captura en el sistema de Información Pública Mexiquense (IPOMEX):</w:t>
      </w:r>
    </w:p>
    <w:p w:rsidR="003B2640" w:rsidRPr="00A550CA" w:rsidRDefault="003B2640" w:rsidP="00A550CA">
      <w:pPr>
        <w:spacing w:line="360" w:lineRule="auto"/>
        <w:ind w:right="49"/>
        <w:jc w:val="both"/>
        <w:rPr>
          <w:rFonts w:ascii="Palatino Linotype" w:eastAsia="Palatino Linotype" w:hAnsi="Palatino Linotype" w:cs="Palatino Linotype"/>
        </w:rPr>
      </w:pPr>
    </w:p>
    <w:p w:rsidR="003B2640" w:rsidRPr="00A550CA" w:rsidRDefault="003B2640" w:rsidP="00A550CA">
      <w:pPr>
        <w:spacing w:line="360" w:lineRule="auto"/>
        <w:ind w:right="49"/>
        <w:jc w:val="both"/>
        <w:rPr>
          <w:rFonts w:ascii="Palatino Linotype" w:eastAsia="Palatino Linotype" w:hAnsi="Palatino Linotype" w:cs="Palatino Linotype"/>
        </w:rPr>
      </w:pPr>
      <w:r w:rsidRPr="00A550CA">
        <w:rPr>
          <w:rFonts w:ascii="Palatino Linotype" w:eastAsia="Palatino Linotype" w:hAnsi="Palatino Linotype" w:cs="Palatino Linotype"/>
          <w:noProof/>
          <w:lang w:val="es-MX" w:eastAsia="es-MX"/>
        </w:rPr>
        <w:drawing>
          <wp:inline distT="0" distB="0" distL="0" distR="0" wp14:anchorId="66EE2D9A" wp14:editId="019F5FE4">
            <wp:extent cx="5612130" cy="13925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392555"/>
                    </a:xfrm>
                    <a:prstGeom prst="rect">
                      <a:avLst/>
                    </a:prstGeom>
                  </pic:spPr>
                </pic:pic>
              </a:graphicData>
            </a:graphic>
          </wp:inline>
        </w:drawing>
      </w:r>
    </w:p>
    <w:p w:rsidR="003B2640" w:rsidRPr="00A550CA" w:rsidRDefault="003B2640" w:rsidP="00A550CA">
      <w:pPr>
        <w:spacing w:line="360" w:lineRule="auto"/>
        <w:ind w:right="49"/>
        <w:jc w:val="both"/>
        <w:rPr>
          <w:rFonts w:ascii="Palatino Linotype" w:eastAsia="Palatino Linotype" w:hAnsi="Palatino Linotype" w:cs="Palatino Linotype"/>
        </w:rPr>
      </w:pPr>
    </w:p>
    <w:p w:rsidR="00F7510D" w:rsidRPr="00A550CA" w:rsidRDefault="003B2640" w:rsidP="00A550CA">
      <w:pPr>
        <w:numPr>
          <w:ilvl w:val="0"/>
          <w:numId w:val="1"/>
        </w:numPr>
        <w:spacing w:line="360" w:lineRule="auto"/>
        <w:ind w:left="0" w:right="49" w:firstLine="0"/>
        <w:contextualSpacing/>
        <w:jc w:val="both"/>
        <w:rPr>
          <w:rFonts w:ascii="Palatino Linotype" w:hAnsi="Palatino Linotype"/>
          <w:color w:val="000000" w:themeColor="text1"/>
        </w:rPr>
      </w:pPr>
      <w:r w:rsidRPr="00A550CA">
        <w:rPr>
          <w:rFonts w:ascii="Palatino Linotype" w:eastAsia="Palatino Linotype" w:hAnsi="Palatino Linotype" w:cs="Palatino Linotype"/>
        </w:rPr>
        <w:t xml:space="preserve">Luego entonces, se hace constar que le declinatoria de incompetencia propuesta por el </w:t>
      </w:r>
      <w:r w:rsidRPr="00A550CA">
        <w:rPr>
          <w:rFonts w:ascii="Palatino Linotype" w:eastAsia="Palatino Linotype" w:hAnsi="Palatino Linotype" w:cs="Palatino Linotype"/>
          <w:b/>
        </w:rPr>
        <w:t xml:space="preserve">SUJETO OBLIGADO </w:t>
      </w:r>
      <w:r w:rsidRPr="00A550CA">
        <w:rPr>
          <w:rFonts w:ascii="Palatino Linotype" w:eastAsia="Palatino Linotype" w:hAnsi="Palatino Linotype" w:cs="Palatino Linotype"/>
        </w:rPr>
        <w:t>resulta procedente</w:t>
      </w:r>
      <w:r w:rsidR="00F7510D" w:rsidRPr="00A550CA">
        <w:rPr>
          <w:rFonts w:ascii="Palatino Linotype" w:eastAsia="Palatino Linotype" w:hAnsi="Palatino Linotype" w:cs="Palatino Linotype"/>
        </w:rPr>
        <w:t xml:space="preserve">. </w:t>
      </w:r>
      <w:r w:rsidR="00F7510D" w:rsidRPr="00A550CA">
        <w:rPr>
          <w:rFonts w:ascii="Palatino Linotype" w:hAnsi="Palatino Linotype"/>
        </w:rPr>
        <w:t xml:space="preserve">En esa tesitura, cuando las Unidades de </w:t>
      </w:r>
      <w:r w:rsidR="00F7510D" w:rsidRPr="00A550CA">
        <w:rPr>
          <w:rFonts w:ascii="Palatino Linotype" w:eastAsia="Palatino Linotype" w:hAnsi="Palatino Linotype" w:cs="Palatino Linotype"/>
        </w:rPr>
        <w:t>Transparencia</w:t>
      </w:r>
      <w:r w:rsidR="00F7510D" w:rsidRPr="00A550CA">
        <w:rPr>
          <w:rFonts w:ascii="Palatino Linotype" w:hAnsi="Palatino Linotype"/>
        </w:rPr>
        <w:t xml:space="preserve"> determinen </w:t>
      </w:r>
      <w:r w:rsidR="00F7510D" w:rsidRPr="00A550CA">
        <w:rPr>
          <w:rFonts w:ascii="Palatino Linotype" w:hAnsi="Palatino Linotype"/>
          <w:b/>
        </w:rPr>
        <w:t>la notoria incompetencia</w:t>
      </w:r>
      <w:r w:rsidR="00F7510D" w:rsidRPr="00A550CA">
        <w:rPr>
          <w:rFonts w:ascii="Palatino Linotype" w:hAnsi="Palatino Linotype"/>
        </w:rPr>
        <w:t xml:space="preserve"> por parte de los sujetos obligados deberán comunicar al solicitante la misma dentro de los tres días posteriores a la recepción de la solicitud de conformidad al artículo 167 de la</w:t>
      </w:r>
      <w:r w:rsidR="00F7510D" w:rsidRPr="00A550CA">
        <w:rPr>
          <w:rFonts w:ascii="Palatino Linotype" w:hAnsi="Palatino Linotype"/>
          <w:color w:val="000000" w:themeColor="text1"/>
        </w:rPr>
        <w:t xml:space="preserve"> Ley de Transparencia y Acceso a la Información Pública del Estado de México y Municipios, el cual establece al caso concreto lo siguiente:</w:t>
      </w:r>
    </w:p>
    <w:p w:rsidR="00F7510D" w:rsidRPr="00A550CA" w:rsidRDefault="00F7510D" w:rsidP="00A550CA">
      <w:pPr>
        <w:pStyle w:val="Prrafodelista"/>
        <w:spacing w:line="360" w:lineRule="auto"/>
        <w:rPr>
          <w:rFonts w:ascii="Palatino Linotype" w:hAnsi="Palatino Linotype"/>
          <w:color w:val="000000" w:themeColor="text1"/>
        </w:rPr>
      </w:pPr>
    </w:p>
    <w:p w:rsidR="00F7510D" w:rsidRPr="00A550CA" w:rsidRDefault="00F7510D" w:rsidP="00A550CA">
      <w:pPr>
        <w:spacing w:line="360" w:lineRule="auto"/>
        <w:ind w:left="567" w:right="618"/>
        <w:contextualSpacing/>
        <w:jc w:val="both"/>
        <w:rPr>
          <w:rFonts w:ascii="Palatino Linotype" w:hAnsi="Palatino Linotype"/>
          <w:i/>
          <w:color w:val="000000" w:themeColor="text1"/>
        </w:rPr>
      </w:pPr>
      <w:r w:rsidRPr="00A550CA">
        <w:rPr>
          <w:rFonts w:ascii="Palatino Linotype" w:hAnsi="Palatino Linotype"/>
          <w:i/>
          <w:color w:val="000000" w:themeColor="text1"/>
        </w:rPr>
        <w:lastRenderedPageBreak/>
        <w:t xml:space="preserve">“Artículo 167. Cuando las unidades de transparencia </w:t>
      </w:r>
      <w:r w:rsidRPr="00A550CA">
        <w:rPr>
          <w:rFonts w:ascii="Palatino Linotype" w:hAnsi="Palatino Linotype"/>
          <w:b/>
          <w:i/>
          <w:color w:val="000000" w:themeColor="text1"/>
        </w:rPr>
        <w:t>determinen la notoria incompetencia por parte de los sujetos obligados</w:t>
      </w:r>
      <w:r w:rsidRPr="00A550CA">
        <w:rPr>
          <w:rFonts w:ascii="Palatino Linotype" w:hAnsi="Palatino Linotype"/>
          <w:i/>
          <w:color w:val="000000" w:themeColor="text1"/>
        </w:rPr>
        <w:t xml:space="preserve">, dentro del ámbito de aplicación, para atender la solicitud de acceso a la información, </w:t>
      </w:r>
      <w:r w:rsidRPr="00A550CA">
        <w:rPr>
          <w:rFonts w:ascii="Palatino Linotype" w:hAnsi="Palatino Linotype"/>
          <w:b/>
          <w:i/>
          <w:color w:val="000000" w:themeColor="text1"/>
        </w:rPr>
        <w:t>deberán comunicarlo al solicitante, dentro de los tres días hábiles posteriores a la recepción de la solicitud</w:t>
      </w:r>
      <w:r w:rsidRPr="00A550CA">
        <w:rPr>
          <w:rFonts w:ascii="Palatino Linotype" w:hAnsi="Palatino Linotype"/>
          <w:i/>
          <w:color w:val="000000" w:themeColor="text1"/>
        </w:rPr>
        <w:t xml:space="preserve"> y, en su caso orientar al solicitante, el o los sujetos obligados competentes.</w:t>
      </w:r>
    </w:p>
    <w:p w:rsidR="00F7510D" w:rsidRPr="00A550CA" w:rsidRDefault="00F7510D" w:rsidP="00A550CA">
      <w:pPr>
        <w:spacing w:line="360" w:lineRule="auto"/>
        <w:ind w:left="567" w:right="618"/>
        <w:contextualSpacing/>
        <w:jc w:val="both"/>
        <w:rPr>
          <w:rFonts w:ascii="Palatino Linotype" w:hAnsi="Palatino Linotype"/>
          <w:i/>
          <w:color w:val="000000" w:themeColor="text1"/>
        </w:rPr>
      </w:pPr>
      <w:r w:rsidRPr="00A550CA">
        <w:rPr>
          <w:rFonts w:ascii="Palatino Linotype" w:hAnsi="Palatino Linotype"/>
          <w:b/>
          <w:i/>
          <w:color w:val="000000" w:themeColor="text1"/>
          <w:u w:val="single"/>
        </w:rPr>
        <w:t>Si los sujetos obligados son competentes para atender parcialmente la solicitud de acceso a la información, deberá dar respuesta respecto de dicha parte</w:t>
      </w:r>
      <w:r w:rsidRPr="00A550CA">
        <w:rPr>
          <w:rFonts w:ascii="Palatino Linotype" w:hAnsi="Palatino Linotype"/>
          <w:i/>
          <w:color w:val="000000" w:themeColor="text1"/>
        </w:rPr>
        <w:t xml:space="preserve">. </w:t>
      </w:r>
    </w:p>
    <w:p w:rsidR="00F7510D" w:rsidRPr="00A550CA" w:rsidRDefault="00F7510D" w:rsidP="00A550CA">
      <w:pPr>
        <w:spacing w:line="360" w:lineRule="auto"/>
        <w:ind w:left="567" w:right="618"/>
        <w:contextualSpacing/>
        <w:jc w:val="both"/>
        <w:rPr>
          <w:rFonts w:ascii="Palatino Linotype" w:hAnsi="Palatino Linotype"/>
          <w:i/>
          <w:color w:val="000000" w:themeColor="text1"/>
        </w:rPr>
      </w:pPr>
      <w:r w:rsidRPr="00A550CA">
        <w:rPr>
          <w:rFonts w:ascii="Palatino Linotype" w:hAnsi="Palatino Linotype"/>
          <w:i/>
          <w:color w:val="000000" w:themeColor="text1"/>
        </w:rPr>
        <w:t>Respecto de la información sobre la cual es incompetente se procederá conforme lo señala el párrafo anterior.</w:t>
      </w:r>
    </w:p>
    <w:p w:rsidR="00F7510D" w:rsidRPr="00A550CA" w:rsidRDefault="00F7510D" w:rsidP="00A550CA">
      <w:pPr>
        <w:spacing w:line="360" w:lineRule="auto"/>
        <w:ind w:left="567" w:right="618"/>
        <w:contextualSpacing/>
        <w:jc w:val="both"/>
        <w:rPr>
          <w:rFonts w:ascii="Palatino Linotype" w:hAnsi="Palatino Linotype"/>
          <w:i/>
          <w:color w:val="000000" w:themeColor="text1"/>
        </w:rPr>
      </w:pPr>
      <w:r w:rsidRPr="00A550CA">
        <w:rPr>
          <w:rFonts w:ascii="Palatino Linotype" w:hAnsi="Palatino Linotype"/>
          <w:i/>
          <w:color w:val="000000" w:themeColor="text1"/>
        </w:rPr>
        <w:t>Si transcurrido el plazo señalado en el primer párrafo de este artículo, el sujeto obligado no declina la competencia en los términos establecidos, podrá canalizar la solicitud ante el sujeto obligado competente.”</w:t>
      </w:r>
    </w:p>
    <w:p w:rsidR="00F7510D" w:rsidRPr="00A550CA" w:rsidRDefault="00F7510D" w:rsidP="00A550CA">
      <w:pPr>
        <w:spacing w:line="360" w:lineRule="auto"/>
        <w:ind w:left="567" w:right="618"/>
        <w:contextualSpacing/>
        <w:jc w:val="both"/>
        <w:rPr>
          <w:rFonts w:ascii="Palatino Linotype" w:hAnsi="Palatino Linotype"/>
          <w:color w:val="000000" w:themeColor="text1"/>
        </w:rPr>
      </w:pPr>
      <w:r w:rsidRPr="00A550CA">
        <w:rPr>
          <w:rFonts w:ascii="Palatino Linotype" w:hAnsi="Palatino Linotype"/>
          <w:color w:val="000000" w:themeColor="text1"/>
        </w:rPr>
        <w:t>Énfasis añadido</w:t>
      </w:r>
    </w:p>
    <w:p w:rsidR="00F7510D" w:rsidRPr="00A550CA" w:rsidRDefault="00F7510D" w:rsidP="00A550CA">
      <w:pPr>
        <w:spacing w:line="360" w:lineRule="auto"/>
        <w:contextualSpacing/>
        <w:jc w:val="both"/>
        <w:rPr>
          <w:rFonts w:ascii="Palatino Linotype" w:hAnsi="Palatino Linotype"/>
          <w:color w:val="000000" w:themeColor="text1"/>
        </w:rPr>
      </w:pPr>
    </w:p>
    <w:p w:rsidR="00F7510D" w:rsidRPr="00A550CA" w:rsidRDefault="00F7510D" w:rsidP="00A550CA">
      <w:pPr>
        <w:numPr>
          <w:ilvl w:val="0"/>
          <w:numId w:val="1"/>
        </w:numPr>
        <w:spacing w:line="360" w:lineRule="auto"/>
        <w:ind w:left="0" w:right="49" w:firstLine="0"/>
        <w:contextualSpacing/>
        <w:jc w:val="both"/>
        <w:rPr>
          <w:rFonts w:ascii="Palatino Linotype" w:hAnsi="Palatino Linotype"/>
          <w:color w:val="000000" w:themeColor="text1"/>
        </w:rPr>
      </w:pPr>
      <w:r w:rsidRPr="00A550CA">
        <w:rPr>
          <w:rFonts w:ascii="Palatino Linotype" w:hAnsi="Palatino Linotype"/>
          <w:color w:val="000000" w:themeColor="text1"/>
        </w:rPr>
        <w:t xml:space="preserve">De dicho precepto legal se desprende que cuando se advierta en la solicitud de información </w:t>
      </w:r>
      <w:r w:rsidRPr="00A550CA">
        <w:rPr>
          <w:rFonts w:ascii="Palatino Linotype" w:eastAsia="Palatino Linotype" w:hAnsi="Palatino Linotype" w:cs="Palatino Linotype"/>
        </w:rPr>
        <w:t>una</w:t>
      </w:r>
      <w:r w:rsidRPr="00A550CA">
        <w:rPr>
          <w:rFonts w:ascii="Palatino Linotype" w:hAnsi="Palatino Linotype"/>
          <w:color w:val="000000" w:themeColor="text1"/>
        </w:rPr>
        <w:t xml:space="preserve"> notoria incompetencia total o parcial, como lo es el caso que nos ocupa, este deberá de comunicarlo al solicitante dentro de un  plazo de tres días hábiles posteriores a la interposición de la solicitud de información.</w:t>
      </w:r>
    </w:p>
    <w:p w:rsidR="00F7510D" w:rsidRPr="00A550CA" w:rsidRDefault="00F7510D" w:rsidP="00A550CA">
      <w:pPr>
        <w:spacing w:line="360" w:lineRule="auto"/>
        <w:contextualSpacing/>
        <w:jc w:val="both"/>
        <w:rPr>
          <w:rFonts w:ascii="Palatino Linotype" w:hAnsi="Palatino Linotype"/>
          <w:color w:val="000000" w:themeColor="text1"/>
        </w:rPr>
      </w:pPr>
    </w:p>
    <w:p w:rsidR="00F7510D" w:rsidRPr="00A550CA" w:rsidRDefault="00F7510D" w:rsidP="00A550CA">
      <w:pPr>
        <w:numPr>
          <w:ilvl w:val="0"/>
          <w:numId w:val="1"/>
        </w:numPr>
        <w:spacing w:line="360" w:lineRule="auto"/>
        <w:ind w:left="0" w:right="49" w:firstLine="0"/>
        <w:contextualSpacing/>
        <w:jc w:val="both"/>
        <w:rPr>
          <w:rFonts w:ascii="Palatino Linotype" w:hAnsi="Palatino Linotype"/>
          <w:color w:val="000000" w:themeColor="text1"/>
        </w:rPr>
      </w:pPr>
      <w:r w:rsidRPr="00A550CA">
        <w:rPr>
          <w:rFonts w:ascii="Palatino Linotype" w:hAnsi="Palatino Linotype"/>
          <w:color w:val="000000" w:themeColor="text1"/>
        </w:rPr>
        <w:t xml:space="preserve">Atendiendo a lo anterior, </w:t>
      </w:r>
      <w:r w:rsidR="008E16E4" w:rsidRPr="00A550CA">
        <w:rPr>
          <w:rFonts w:ascii="Palatino Linotype" w:hAnsi="Palatino Linotype"/>
          <w:color w:val="000000" w:themeColor="text1"/>
        </w:rPr>
        <w:t xml:space="preserve">si bien la respuesta no se emitió en estricto sentido dentro del plazo de tres días hábiles con que contaba; también lo es que ante la </w:t>
      </w:r>
      <w:r w:rsidR="008E16E4" w:rsidRPr="00A550CA">
        <w:rPr>
          <w:rFonts w:ascii="Palatino Linotype" w:hAnsi="Palatino Linotype"/>
          <w:color w:val="000000" w:themeColor="text1"/>
        </w:rPr>
        <w:lastRenderedPageBreak/>
        <w:t>notoria incompetencia, el Pleno de este Instituto ha determinado innecesario ordenar a los sujetos obligados a que emitan un acuerdo en el que confirmen la misma incompetencia que ya se les ha notificado desde la respuesta inicial</w:t>
      </w:r>
      <w:r w:rsidR="000A470A" w:rsidRPr="00A550CA">
        <w:rPr>
          <w:rFonts w:ascii="Palatino Linotype" w:hAnsi="Palatino Linotype"/>
          <w:color w:val="000000" w:themeColor="text1"/>
        </w:rPr>
        <w:t>.</w:t>
      </w:r>
    </w:p>
    <w:p w:rsidR="000A470A" w:rsidRPr="00A550CA" w:rsidRDefault="000A470A" w:rsidP="00A550CA">
      <w:pPr>
        <w:pStyle w:val="Prrafodelista"/>
        <w:spacing w:line="360" w:lineRule="auto"/>
        <w:rPr>
          <w:rFonts w:ascii="Palatino Linotype" w:hAnsi="Palatino Linotype"/>
          <w:color w:val="000000" w:themeColor="text1"/>
        </w:rPr>
      </w:pPr>
    </w:p>
    <w:p w:rsidR="000A470A" w:rsidRPr="00A550CA" w:rsidRDefault="000A470A" w:rsidP="00A550CA">
      <w:pPr>
        <w:numPr>
          <w:ilvl w:val="0"/>
          <w:numId w:val="1"/>
        </w:numPr>
        <w:spacing w:line="360" w:lineRule="auto"/>
        <w:ind w:left="0" w:right="49" w:firstLine="0"/>
        <w:contextualSpacing/>
        <w:jc w:val="both"/>
        <w:rPr>
          <w:rFonts w:ascii="Palatino Linotype" w:hAnsi="Palatino Linotype"/>
        </w:rPr>
      </w:pPr>
      <w:r w:rsidRPr="00A550CA">
        <w:rPr>
          <w:rFonts w:ascii="Palatino Linotype" w:hAnsi="Palatino Linotype"/>
        </w:rPr>
        <w:t xml:space="preserve">En ese </w:t>
      </w:r>
      <w:r w:rsidRPr="00A550CA">
        <w:rPr>
          <w:rFonts w:ascii="Palatino Linotype" w:hAnsi="Palatino Linotype"/>
          <w:color w:val="000000" w:themeColor="text1"/>
        </w:rPr>
        <w:t>sentido</w:t>
      </w:r>
      <w:r w:rsidRPr="00A550CA">
        <w:rPr>
          <w:rFonts w:ascii="Palatino Linotype" w:hAnsi="Palatino Linotype"/>
        </w:rPr>
        <w:t xml:space="preserve"> es dable señalar que </w:t>
      </w:r>
      <w:r w:rsidRPr="00A550CA">
        <w:rPr>
          <w:rFonts w:ascii="Palatino Linotype" w:hAnsi="Palatino Linotype"/>
          <w:b/>
        </w:rPr>
        <w:t>la incompetencia</w:t>
      </w:r>
      <w:r w:rsidRPr="00A550CA">
        <w:rPr>
          <w:rFonts w:ascii="Palatino Linotype" w:hAnsi="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0A470A" w:rsidRPr="00A550CA" w:rsidRDefault="000A470A" w:rsidP="00A550CA">
      <w:pPr>
        <w:spacing w:line="360" w:lineRule="auto"/>
        <w:rPr>
          <w:rFonts w:ascii="Palatino Linotype" w:hAnsi="Palatino Linotype"/>
        </w:rPr>
      </w:pPr>
    </w:p>
    <w:p w:rsidR="000A470A" w:rsidRPr="00A550CA" w:rsidRDefault="000A470A" w:rsidP="00A550CA">
      <w:pPr>
        <w:spacing w:line="360" w:lineRule="auto"/>
        <w:ind w:left="567" w:right="567"/>
        <w:jc w:val="both"/>
        <w:rPr>
          <w:rFonts w:ascii="Palatino Linotype" w:hAnsi="Palatino Linotype"/>
          <w:i/>
        </w:rPr>
      </w:pPr>
      <w:r w:rsidRPr="00A550CA">
        <w:rPr>
          <w:rFonts w:ascii="Palatino Linotype" w:hAnsi="Palatino Linotype"/>
          <w:b/>
          <w:bCs/>
          <w:i/>
        </w:rPr>
        <w:t xml:space="preserve">“LEGITIMACIÓN DE FUNCIONARIOS PÚBLICOS. LOS TRIBUNALES DE AMPARO, POR ESTAR VINCULADOS CON EL CONCEPTO DE COMPETENCIA A QUE SE REFIERE EL ARTÍCULO 16 CONSTITUCIONAL, NO PUEDEN CONOCER DE AQUÉLLA. </w:t>
      </w:r>
      <w:r w:rsidRPr="00A550CA">
        <w:rPr>
          <w:rFonts w:ascii="Palatino Linotype" w:hAnsi="Palatino Linotype"/>
          <w:i/>
        </w:rPr>
        <w:t>El artículo </w:t>
      </w:r>
      <w:r w:rsidRPr="00A550CA">
        <w:rPr>
          <w:rStyle w:val="Hipervnculo"/>
          <w:rFonts w:ascii="Palatino Linotype" w:hAnsi="Palatino Linotype"/>
          <w:i/>
        </w:rPr>
        <w:t>16 constitucional</w:t>
      </w:r>
      <w:r w:rsidRPr="00A550CA">
        <w:rPr>
          <w:rFonts w:ascii="Palatino Linotype" w:hAnsi="Palatino Linotype"/>
          <w:i/>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w:t>
      </w:r>
      <w:r w:rsidRPr="00A550CA">
        <w:rPr>
          <w:rFonts w:ascii="Palatino Linotype" w:hAnsi="Palatino Linotype"/>
          <w:i/>
        </w:rPr>
        <w:lastRenderedPageBreak/>
        <w:t>particulares, ya que consagra una garantía individual y no un control interno de la organización administrativa.”</w:t>
      </w:r>
    </w:p>
    <w:p w:rsidR="000A470A" w:rsidRPr="00A550CA" w:rsidRDefault="000A470A" w:rsidP="00A550CA">
      <w:pPr>
        <w:spacing w:line="360" w:lineRule="auto"/>
        <w:rPr>
          <w:rFonts w:ascii="Palatino Linotype" w:hAnsi="Palatino Linotype"/>
        </w:rPr>
      </w:pPr>
    </w:p>
    <w:p w:rsidR="000A470A" w:rsidRPr="00A550CA" w:rsidRDefault="000A470A" w:rsidP="00A550CA">
      <w:pPr>
        <w:numPr>
          <w:ilvl w:val="0"/>
          <w:numId w:val="1"/>
        </w:numPr>
        <w:spacing w:line="360" w:lineRule="auto"/>
        <w:ind w:left="0" w:right="49" w:firstLine="0"/>
        <w:contextualSpacing/>
        <w:jc w:val="both"/>
        <w:rPr>
          <w:rFonts w:ascii="Palatino Linotype" w:hAnsi="Palatino Linotype"/>
        </w:rPr>
      </w:pPr>
      <w:r w:rsidRPr="00A550CA">
        <w:rPr>
          <w:rFonts w:ascii="Palatino Linotype" w:hAnsi="Palatino Linotype"/>
        </w:rPr>
        <w:t xml:space="preserve">De la misma manera, resulta necesario traer a colación, el </w:t>
      </w:r>
      <w:r w:rsidRPr="00A550CA">
        <w:rPr>
          <w:rFonts w:ascii="Palatino Linotype" w:hAnsi="Palatino Linotype"/>
          <w:lang w:val="es-ES"/>
        </w:rPr>
        <w:t xml:space="preserve">Criterio 13/17, </w:t>
      </w:r>
      <w:r w:rsidRPr="00A550CA">
        <w:rPr>
          <w:rFonts w:ascii="Palatino Linotype" w:hAnsi="Palatino Linotype"/>
        </w:rPr>
        <w:t xml:space="preserve">emitido por el </w:t>
      </w:r>
      <w:r w:rsidRPr="00A550CA">
        <w:rPr>
          <w:rFonts w:ascii="Palatino Linotype" w:hAnsi="Palatino Linotype"/>
          <w:color w:val="000000" w:themeColor="text1"/>
        </w:rPr>
        <w:t>Instituto</w:t>
      </w:r>
      <w:r w:rsidRPr="00A550CA">
        <w:rPr>
          <w:rFonts w:ascii="Palatino Linotype" w:hAnsi="Palatino Linotype"/>
        </w:rPr>
        <w:t xml:space="preserve"> Nacional de Transparencia, Acceso a la Información y Protección de Datos Personales, que dispone lo siguiente: </w:t>
      </w:r>
    </w:p>
    <w:p w:rsidR="000A470A" w:rsidRPr="00A550CA" w:rsidRDefault="000A470A" w:rsidP="00A550CA">
      <w:pPr>
        <w:spacing w:line="360" w:lineRule="auto"/>
        <w:rPr>
          <w:rFonts w:ascii="Palatino Linotype" w:hAnsi="Palatino Linotype"/>
        </w:rPr>
      </w:pPr>
    </w:p>
    <w:p w:rsidR="000A470A" w:rsidRPr="00A550CA" w:rsidRDefault="000A470A" w:rsidP="00A550CA">
      <w:pPr>
        <w:spacing w:line="360" w:lineRule="auto"/>
        <w:ind w:left="567" w:right="567"/>
        <w:rPr>
          <w:rFonts w:ascii="Palatino Linotype" w:hAnsi="Palatino Linotype"/>
          <w:i/>
        </w:rPr>
      </w:pPr>
      <w:r w:rsidRPr="00A550CA">
        <w:rPr>
          <w:rFonts w:ascii="Palatino Linotype" w:hAnsi="Palatino Linotype"/>
          <w:i/>
        </w:rPr>
        <w:t>“</w:t>
      </w:r>
      <w:r w:rsidRPr="00A550CA">
        <w:rPr>
          <w:rFonts w:ascii="Palatino Linotype" w:hAnsi="Palatino Linotype"/>
          <w:b/>
          <w:bCs/>
          <w:i/>
        </w:rPr>
        <w:t xml:space="preserve">Incompetencia. </w:t>
      </w:r>
      <w:r w:rsidRPr="00A550CA">
        <w:rPr>
          <w:rFonts w:ascii="Palatino Linotype" w:hAnsi="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0A470A" w:rsidRPr="00A550CA" w:rsidRDefault="000A470A" w:rsidP="00A550CA">
      <w:pPr>
        <w:spacing w:line="360" w:lineRule="auto"/>
        <w:rPr>
          <w:rFonts w:ascii="Palatino Linotype" w:hAnsi="Palatino Linotype"/>
        </w:rPr>
      </w:pPr>
    </w:p>
    <w:p w:rsidR="000A470A" w:rsidRPr="00A550CA" w:rsidRDefault="000A470A" w:rsidP="00A550CA">
      <w:pPr>
        <w:numPr>
          <w:ilvl w:val="0"/>
          <w:numId w:val="1"/>
        </w:numPr>
        <w:spacing w:line="360" w:lineRule="auto"/>
        <w:ind w:left="0" w:right="49" w:firstLine="0"/>
        <w:contextualSpacing/>
        <w:jc w:val="both"/>
        <w:rPr>
          <w:rFonts w:ascii="Palatino Linotype" w:hAnsi="Palatino Linotype"/>
        </w:rPr>
      </w:pPr>
      <w:r w:rsidRPr="00A550CA">
        <w:rPr>
          <w:rFonts w:ascii="Palatino Linotype" w:hAnsi="Palatino Linotype"/>
        </w:rPr>
        <w:t xml:space="preserve">En tal virtud, la </w:t>
      </w:r>
      <w:r w:rsidRPr="00A550CA">
        <w:rPr>
          <w:rFonts w:ascii="Palatino Linotype" w:hAnsi="Palatino Linotype"/>
          <w:b/>
        </w:rPr>
        <w:t xml:space="preserve">incompetencia </w:t>
      </w:r>
      <w:r w:rsidRPr="00A550CA">
        <w:rPr>
          <w:rFonts w:ascii="Palatino Linotype" w:hAnsi="Palatino Linotype"/>
        </w:rPr>
        <w:t>implica que, de conformidad con las atribuciones conferidas al Sujeto Obligado, no habría razón por la cual éste deba contar con la información solicitada, en cuyo caso, tendría que orientar al particular para que acuda a la instancia competente, situación que en el presente asunto se materializa, por tanto se determina que lo procedente es CONFIRMAR la respuesta inicial y dejar a salvo los derechos del solicitante para interponer nuevas solicitudes de información ante el Sujeto Obligado que se le ha instruido o antes los que considere procedentes.</w:t>
      </w:r>
    </w:p>
    <w:p w:rsidR="000A470A" w:rsidRPr="00A550CA" w:rsidRDefault="000A470A" w:rsidP="00A550CA">
      <w:pPr>
        <w:spacing w:line="360" w:lineRule="auto"/>
        <w:ind w:right="49"/>
        <w:contextualSpacing/>
        <w:jc w:val="both"/>
        <w:rPr>
          <w:rFonts w:ascii="Palatino Linotype" w:hAnsi="Palatino Linotype"/>
        </w:rPr>
      </w:pPr>
    </w:p>
    <w:p w:rsidR="000A470A" w:rsidRPr="00A550CA" w:rsidRDefault="000A470A" w:rsidP="00A550CA">
      <w:pPr>
        <w:numPr>
          <w:ilvl w:val="0"/>
          <w:numId w:val="1"/>
        </w:numPr>
        <w:spacing w:line="360" w:lineRule="auto"/>
        <w:ind w:left="0" w:right="49" w:firstLine="0"/>
        <w:contextualSpacing/>
        <w:jc w:val="both"/>
        <w:rPr>
          <w:rFonts w:ascii="Palatino Linotype" w:hAnsi="Palatino Linotype"/>
        </w:rPr>
      </w:pPr>
      <w:r w:rsidRPr="00A550CA">
        <w:rPr>
          <w:rFonts w:ascii="Palatino Linotype" w:hAnsi="Palatino Linotype"/>
        </w:rPr>
        <w:lastRenderedPageBreak/>
        <w:t xml:space="preserve">En esa tesitura, también se dejan a salvo los derechos del ahora </w:t>
      </w:r>
      <w:r w:rsidRPr="00A550CA">
        <w:rPr>
          <w:rFonts w:ascii="Palatino Linotype" w:hAnsi="Palatino Linotype"/>
          <w:b/>
        </w:rPr>
        <w:t>RECURRENTE</w:t>
      </w:r>
      <w:r w:rsidRPr="00A550CA">
        <w:rPr>
          <w:rFonts w:ascii="Palatino Linotype" w:hAnsi="Palatino Linotype"/>
        </w:rPr>
        <w:t xml:space="preserve"> a efecto de que interponga las quejas o denuncias que a su derecho convenga, ante las autoridades competentes en razón de lo solicitado en el escrito recursal (</w:t>
      </w:r>
      <w:r w:rsidRPr="00A550CA">
        <w:rPr>
          <w:rFonts w:ascii="Palatino Linotype" w:hAnsi="Palatino Linotype"/>
          <w:i/>
        </w:rPr>
        <w:t>SOLISITO SE DE VISTA A CONTRALORIA DEL INFOEM</w:t>
      </w:r>
      <w:r w:rsidRPr="00A550CA">
        <w:rPr>
          <w:rFonts w:ascii="Palatino Linotype" w:hAnsi="Palatino Linotype"/>
        </w:rPr>
        <w:t>).</w:t>
      </w:r>
    </w:p>
    <w:p w:rsidR="000A470A" w:rsidRPr="00A550CA" w:rsidRDefault="000A470A" w:rsidP="00A550CA">
      <w:pPr>
        <w:pStyle w:val="Prrafodelista"/>
        <w:spacing w:line="360" w:lineRule="auto"/>
        <w:rPr>
          <w:rFonts w:ascii="Palatino Linotype" w:hAnsi="Palatino Linotype"/>
        </w:rPr>
      </w:pPr>
    </w:p>
    <w:p w:rsidR="000A470A" w:rsidRPr="00A550CA" w:rsidRDefault="000A470A" w:rsidP="00A550CA">
      <w:pPr>
        <w:numPr>
          <w:ilvl w:val="0"/>
          <w:numId w:val="1"/>
        </w:numPr>
        <w:spacing w:line="360" w:lineRule="auto"/>
        <w:ind w:left="0" w:right="49" w:firstLine="0"/>
        <w:jc w:val="both"/>
        <w:rPr>
          <w:rFonts w:ascii="Palatino Linotype" w:hAnsi="Palatino Linotype"/>
        </w:rPr>
      </w:pPr>
      <w:r w:rsidRPr="00A550CA">
        <w:rPr>
          <w:rFonts w:ascii="Palatino Linotype" w:hAnsi="Palatino Linotype"/>
        </w:rPr>
        <w:t>Toda vez que el recurso de revisión no es la vía para interponer quejas o denuncias; sino que corresponde a la garantía secundaria como un mecanismo legal utilizado para reparar posibles violaciones al derecho de acceso a la información pública o protección de datos y que procede cuando un sujeto obligado no entrega información, la da incompleta o insatisfactoria, permitiendo inconformarse ante el Instituto</w:t>
      </w:r>
    </w:p>
    <w:p w:rsidR="000A470A" w:rsidRPr="00A550CA" w:rsidRDefault="000A470A" w:rsidP="00A550CA">
      <w:pPr>
        <w:spacing w:line="360" w:lineRule="auto"/>
        <w:ind w:right="49"/>
        <w:contextualSpacing/>
        <w:jc w:val="both"/>
        <w:rPr>
          <w:rFonts w:ascii="Palatino Linotype" w:hAnsi="Palatino Linotype"/>
          <w:color w:val="000000" w:themeColor="text1"/>
        </w:rPr>
      </w:pPr>
    </w:p>
    <w:p w:rsidR="00A550CA" w:rsidRPr="00A550CA" w:rsidRDefault="00A550CA" w:rsidP="00A550CA">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b/>
          <w:bCs/>
        </w:rPr>
      </w:pPr>
      <w:r w:rsidRPr="00A550CA">
        <w:rPr>
          <w:rFonts w:ascii="Palatino Linotype" w:hAnsi="Palatino Linotype" w:cs="Arial"/>
          <w:lang w:eastAsia="es-MX"/>
        </w:rPr>
        <w:t>Expuesto todo lo anterior</w:t>
      </w:r>
      <w:r w:rsidRPr="00A550CA">
        <w:rPr>
          <w:rFonts w:ascii="Palatino Linotype" w:hAnsi="Palatino Linotype" w:cs="Arial"/>
          <w:b/>
          <w:lang w:eastAsia="es-MX"/>
        </w:rPr>
        <w:t xml:space="preserve">, </w:t>
      </w:r>
      <w:r w:rsidRPr="00A550CA">
        <w:rPr>
          <w:rFonts w:ascii="Palatino Linotype" w:hAnsi="Palatino Linotype"/>
        </w:rPr>
        <w:t xml:space="preserve">en términos de lo dispuesto en el artículo 186, fracción III de la Ley de Transparencia y Acceso a la </w:t>
      </w:r>
      <w:r w:rsidRPr="00A550CA">
        <w:rPr>
          <w:rFonts w:ascii="Palatino Linotype" w:hAnsi="Palatino Linotype" w:cs="Arial"/>
        </w:rPr>
        <w:t>Información</w:t>
      </w:r>
      <w:r w:rsidRPr="00A550CA">
        <w:rPr>
          <w:rFonts w:ascii="Palatino Linotype" w:hAnsi="Palatino Linotype"/>
        </w:rPr>
        <w:t xml:space="preserve"> Pública del Estado de México y Municipios, </w:t>
      </w:r>
      <w:r w:rsidRPr="00A550CA">
        <w:rPr>
          <w:rFonts w:ascii="Palatino Linotype" w:hAnsi="Palatino Linotype" w:cs="Arial"/>
          <w:lang w:eastAsia="es-MX"/>
        </w:rPr>
        <w:t xml:space="preserve">el Pleno de </w:t>
      </w:r>
      <w:r w:rsidRPr="00A550CA">
        <w:rPr>
          <w:rFonts w:ascii="Palatino Linotype" w:hAnsi="Palatino Linotype" w:cs="Arial"/>
        </w:rPr>
        <w:t xml:space="preserve">este Instituto, </w:t>
      </w:r>
      <w:bookmarkStart w:id="7" w:name="_Hlk61274984"/>
      <w:r w:rsidRPr="00A550CA">
        <w:rPr>
          <w:rFonts w:ascii="Palatino Linotype" w:hAnsi="Palatino Linotype" w:cs="Arial"/>
        </w:rPr>
        <w:t>estima que</w:t>
      </w:r>
      <w:bookmarkEnd w:id="7"/>
      <w:r w:rsidRPr="00A550CA">
        <w:rPr>
          <w:rFonts w:ascii="Palatino Linotype" w:hAnsi="Palatino Linotype" w:cs="Arial"/>
        </w:rPr>
        <w:t xml:space="preserve"> </w:t>
      </w:r>
      <w:r w:rsidRPr="00A550CA">
        <w:rPr>
          <w:rFonts w:ascii="Palatino Linotype" w:hAnsi="Palatino Linotype" w:cs="Arial"/>
          <w:bCs/>
          <w:lang w:val="es-ES"/>
        </w:rPr>
        <w:t xml:space="preserve">las razones o motivos de inconformidad </w:t>
      </w:r>
      <w:r w:rsidRPr="00A550CA">
        <w:rPr>
          <w:rFonts w:ascii="Palatino Linotype" w:hAnsi="Palatino Linotype" w:cs="Arial"/>
          <w:noProof/>
        </w:rPr>
        <w:t>planteadas</w:t>
      </w:r>
      <w:r w:rsidRPr="00A550CA">
        <w:rPr>
          <w:rFonts w:ascii="Palatino Linotype" w:hAnsi="Palatino Linotype" w:cs="Arial"/>
          <w:bCs/>
          <w:lang w:val="es-ES"/>
        </w:rPr>
        <w:t xml:space="preserve"> por </w:t>
      </w:r>
      <w:r w:rsidRPr="00A550CA">
        <w:rPr>
          <w:rFonts w:ascii="Palatino Linotype" w:hAnsi="Palatino Linotype" w:cs="Arial"/>
          <w:bCs/>
        </w:rPr>
        <w:t>el</w:t>
      </w:r>
      <w:r w:rsidRPr="00A550CA">
        <w:rPr>
          <w:rFonts w:ascii="Palatino Linotype" w:hAnsi="Palatino Linotype" w:cs="Arial"/>
          <w:b/>
          <w:bCs/>
          <w:lang w:val="es-ES"/>
        </w:rPr>
        <w:t xml:space="preserve"> RECURRENTE</w:t>
      </w:r>
      <w:r w:rsidRPr="00A550CA">
        <w:rPr>
          <w:rFonts w:ascii="Palatino Linotype" w:hAnsi="Palatino Linotype" w:cs="Arial"/>
          <w:bCs/>
          <w:lang w:val="es-ES"/>
        </w:rPr>
        <w:t xml:space="preserve">, resultan infundadas; en consecuencia, este Órgano Garante determina </w:t>
      </w:r>
      <w:r w:rsidRPr="00A550CA">
        <w:rPr>
          <w:rFonts w:ascii="Palatino Linotype" w:hAnsi="Palatino Linotype" w:cs="Arial"/>
          <w:b/>
          <w:bCs/>
          <w:lang w:val="es-ES"/>
        </w:rPr>
        <w:t>CONFIRMAR</w:t>
      </w:r>
      <w:r w:rsidRPr="00A550CA">
        <w:rPr>
          <w:rFonts w:ascii="Palatino Linotype" w:hAnsi="Palatino Linotype" w:cs="Arial"/>
          <w:bCs/>
          <w:lang w:val="es-ES"/>
        </w:rPr>
        <w:t xml:space="preserve"> la respuesta otorgada por </w:t>
      </w:r>
      <w:r w:rsidRPr="00A550CA">
        <w:rPr>
          <w:rFonts w:ascii="Palatino Linotype" w:hAnsi="Palatino Linotype" w:cs="Arial"/>
          <w:b/>
          <w:bCs/>
          <w:lang w:val="es-419"/>
        </w:rPr>
        <w:t>EL</w:t>
      </w:r>
      <w:r w:rsidRPr="00A550CA">
        <w:rPr>
          <w:rFonts w:ascii="Palatino Linotype" w:hAnsi="Palatino Linotype" w:cs="Arial"/>
          <w:b/>
          <w:bCs/>
          <w:lang w:val="es-ES"/>
        </w:rPr>
        <w:t xml:space="preserve"> SUJETO OBLIGADO</w:t>
      </w:r>
      <w:r w:rsidRPr="00A550CA">
        <w:rPr>
          <w:rFonts w:ascii="Palatino Linotype" w:hAnsi="Palatino Linotype" w:cs="Arial"/>
          <w:bCs/>
          <w:lang w:val="es-ES"/>
        </w:rPr>
        <w:t xml:space="preserve"> </w:t>
      </w:r>
      <w:r w:rsidRPr="00A550CA">
        <w:rPr>
          <w:rFonts w:ascii="Palatino Linotype" w:hAnsi="Palatino Linotype" w:cs="Arial"/>
          <w:bCs/>
          <w:lang w:val="es-419"/>
        </w:rPr>
        <w:t>a</w:t>
      </w:r>
      <w:r w:rsidRPr="00A550CA">
        <w:rPr>
          <w:rFonts w:ascii="Palatino Linotype" w:hAnsi="Palatino Linotype" w:cs="Arial"/>
          <w:bCs/>
          <w:lang w:val="es-ES"/>
        </w:rPr>
        <w:t xml:space="preserve"> la solicitud</w:t>
      </w:r>
      <w:r w:rsidRPr="00A550CA">
        <w:rPr>
          <w:rFonts w:ascii="Palatino Linotype" w:hAnsi="Palatino Linotype" w:cs="Arial"/>
          <w:bCs/>
          <w:lang w:val="es-419"/>
        </w:rPr>
        <w:t xml:space="preserve"> de información </w:t>
      </w:r>
      <w:r w:rsidRPr="00A550CA">
        <w:rPr>
          <w:rFonts w:ascii="Palatino Linotype" w:hAnsi="Palatino Linotype" w:cs="Arial"/>
          <w:bCs/>
        </w:rPr>
        <w:t xml:space="preserve">que dio trámite al Recurso de Revisión número </w:t>
      </w:r>
      <w:r w:rsidRPr="00A550CA">
        <w:rPr>
          <w:rFonts w:ascii="Palatino Linotype" w:hAnsi="Palatino Linotype" w:cs="Arial"/>
          <w:b/>
          <w:bCs/>
        </w:rPr>
        <w:t>13543</w:t>
      </w:r>
      <w:r w:rsidRPr="00A550CA">
        <w:rPr>
          <w:rFonts w:ascii="Palatino Linotype" w:hAnsi="Palatino Linotype" w:cs="Arial"/>
          <w:b/>
          <w:bCs/>
          <w:lang w:val="es-419"/>
        </w:rPr>
        <w:t>/INFOEM/IP/RR/2025</w:t>
      </w:r>
      <w:r w:rsidRPr="00A550CA">
        <w:rPr>
          <w:rFonts w:ascii="Palatino Linotype" w:hAnsi="Palatino Linotype" w:cs="Arial"/>
          <w:b/>
          <w:bCs/>
        </w:rPr>
        <w:t>.</w:t>
      </w:r>
    </w:p>
    <w:p w:rsidR="00A550CA" w:rsidRPr="00A550CA" w:rsidRDefault="00A550CA" w:rsidP="00A550CA">
      <w:pPr>
        <w:pStyle w:val="Sinespaciado"/>
        <w:spacing w:line="360" w:lineRule="auto"/>
        <w:jc w:val="both"/>
        <w:rPr>
          <w:rFonts w:ascii="Palatino Linotype" w:eastAsia="Palatino Linotype" w:hAnsi="Palatino Linotype" w:cs="Palatino Linotype"/>
          <w:color w:val="000000"/>
        </w:rPr>
      </w:pPr>
    </w:p>
    <w:p w:rsidR="00A550CA" w:rsidRPr="00A550CA" w:rsidRDefault="00A550CA" w:rsidP="00A550CA">
      <w:pPr>
        <w:pStyle w:val="Sinespaciado"/>
        <w:numPr>
          <w:ilvl w:val="0"/>
          <w:numId w:val="17"/>
        </w:numPr>
        <w:spacing w:line="360" w:lineRule="auto"/>
        <w:ind w:left="0"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 xml:space="preserve">Con la determinación anterior, se estima quedara por colmado el derecho de acceso a la </w:t>
      </w:r>
      <w:r w:rsidRPr="00A550CA">
        <w:rPr>
          <w:rFonts w:ascii="Palatino Linotype" w:eastAsia="Palatino Linotype" w:hAnsi="Palatino Linotype" w:cs="Palatino Linotype"/>
        </w:rPr>
        <w:t>información</w:t>
      </w:r>
      <w:r w:rsidRPr="00A550CA">
        <w:rPr>
          <w:rFonts w:ascii="Palatino Linotype" w:eastAsia="Palatino Linotype" w:hAnsi="Palatino Linotype" w:cs="Palatino Linotype"/>
          <w:color w:val="000000"/>
        </w:rPr>
        <w:t xml:space="preserve"> del ahora Recurrente; toda vez que el Derecho que tutela este </w:t>
      </w:r>
      <w:r w:rsidRPr="00A550CA">
        <w:rPr>
          <w:rFonts w:ascii="Palatino Linotype" w:eastAsia="Palatino Linotype" w:hAnsi="Palatino Linotype" w:cs="Palatino Linotype"/>
        </w:rPr>
        <w:t>Órgano</w:t>
      </w:r>
      <w:r w:rsidRPr="00A550CA">
        <w:rPr>
          <w:rFonts w:ascii="Palatino Linotype" w:eastAsia="Palatino Linotype" w:hAnsi="Palatino Linotype" w:cs="Palatino Linotype"/>
          <w:color w:val="000000"/>
        </w:rPr>
        <w:t xml:space="preserve"> </w:t>
      </w:r>
      <w:r w:rsidRPr="00A550CA">
        <w:rPr>
          <w:rFonts w:ascii="Palatino Linotype" w:hAnsi="Palatino Linotype"/>
        </w:rPr>
        <w:t>Garante</w:t>
      </w:r>
      <w:r w:rsidRPr="00A550CA">
        <w:rPr>
          <w:rFonts w:ascii="Palatino Linotype" w:eastAsia="Palatino Linotype" w:hAnsi="Palatino Linotype" w:cs="Palatino Linotype"/>
          <w:color w:val="000000"/>
        </w:rPr>
        <w:t xml:space="preserve"> corresponde a la  </w:t>
      </w:r>
      <w:r w:rsidRPr="00A550CA">
        <w:rPr>
          <w:rFonts w:ascii="Palatino Linotype" w:eastAsia="Palatino Linotype" w:hAnsi="Palatino Linotype" w:cs="Palatino Linotype"/>
          <w:i/>
          <w:color w:val="000000"/>
        </w:rPr>
        <w:t xml:space="preserve">igualdad de oportunidades para recibir, buscar e </w:t>
      </w:r>
      <w:r w:rsidRPr="00A550CA">
        <w:rPr>
          <w:rFonts w:ascii="Palatino Linotype" w:eastAsia="Palatino Linotype" w:hAnsi="Palatino Linotype" w:cs="Palatino Linotype"/>
          <w:i/>
          <w:color w:val="000000"/>
        </w:rPr>
        <w:lastRenderedPageBreak/>
        <w:t>impartir información</w:t>
      </w:r>
      <w:r w:rsidRPr="00A550CA">
        <w:rPr>
          <w:rFonts w:ascii="Palatino Linotype" w:eastAsia="Palatino Linotype" w:hAnsi="Palatino Linotype" w:cs="Palatino Linotype"/>
          <w:i/>
          <w:color w:val="000000"/>
          <w:vertAlign w:val="superscript"/>
        </w:rPr>
        <w:footnoteReference w:id="1"/>
      </w:r>
      <w:r w:rsidRPr="00A550CA">
        <w:rPr>
          <w:rFonts w:ascii="Palatino Linotype" w:eastAsia="Palatino Linotype" w:hAnsi="Palatino Linotype" w:cs="Palatino Linotype"/>
          <w:i/>
          <w:color w:val="000000"/>
        </w:rPr>
        <w:t xml:space="preserve"> en posesión de cualquier autoridad, entidad, órgano y organismo de los </w:t>
      </w:r>
      <w:r w:rsidRPr="00A550CA">
        <w:rPr>
          <w:rFonts w:ascii="Palatino Linotype" w:eastAsia="Palatino Linotype" w:hAnsi="Palatino Linotype" w:cs="Palatino Linotype"/>
          <w:color w:val="000000"/>
        </w:rPr>
        <w:t>poderes</w:t>
      </w:r>
      <w:r w:rsidRPr="00A550CA">
        <w:rPr>
          <w:rFonts w:ascii="Palatino Linotype" w:eastAsia="Palatino Linotype" w:hAnsi="Palatino Linotype" w:cs="Palatino Linotype"/>
          <w:i/>
          <w:color w:val="000000"/>
        </w:rPr>
        <w:t xml:space="preserve"> Ejecutivo, Legislativo y Judicial, órganos autónomos, partidos políticos, </w:t>
      </w:r>
      <w:r w:rsidRPr="00A550CA">
        <w:rPr>
          <w:rFonts w:ascii="Palatino Linotype" w:eastAsia="Palatino Linotype" w:hAnsi="Palatino Linotype" w:cs="Palatino Linotype"/>
        </w:rPr>
        <w:t>fideicomisos</w:t>
      </w:r>
      <w:r w:rsidRPr="00A550CA">
        <w:rPr>
          <w:rFonts w:ascii="Palatino Linotype" w:eastAsia="Palatino Linotype" w:hAnsi="Palatino Linotype" w:cs="Palatino Linotype"/>
          <w:i/>
          <w:color w:val="000000"/>
        </w:rPr>
        <w:t>, y fondos públicos, así como de cualquier persona física, moral o sindicato que reciba y ejerza recursos públicos o realice actos de autoridad en el ámbito federal, estatal y municipal</w:t>
      </w:r>
      <w:r w:rsidRPr="00A550CA">
        <w:rPr>
          <w:rFonts w:ascii="Palatino Linotype" w:eastAsia="Palatino Linotype" w:hAnsi="Palatino Linotype" w:cs="Palatino Linotype"/>
          <w:color w:val="000000"/>
          <w:vertAlign w:val="superscript"/>
        </w:rPr>
        <w:footnoteReference w:id="2"/>
      </w:r>
      <w:r w:rsidRPr="00A550CA">
        <w:rPr>
          <w:rFonts w:ascii="Palatino Linotype" w:eastAsia="Palatino Linotype" w:hAnsi="Palatino Linotype" w:cs="Palatino Linotype"/>
          <w:i/>
          <w:color w:val="000000"/>
        </w:rPr>
        <w:t xml:space="preserve"> </w:t>
      </w:r>
      <w:r w:rsidRPr="00A550CA">
        <w:rPr>
          <w:rFonts w:ascii="Palatino Linotype" w:eastAsia="Palatino Linotype" w:hAnsi="Palatino Linotype" w:cs="Palatino Linotype"/>
          <w:color w:val="000000"/>
        </w:rPr>
        <w:t xml:space="preserve">que se constituye como una herramienta fundamental para </w:t>
      </w:r>
      <w:r w:rsidRPr="00A550CA">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A550CA">
        <w:rPr>
          <w:rFonts w:ascii="Palatino Linotype" w:eastAsia="Palatino Linotype" w:hAnsi="Palatino Linotype" w:cs="Palatino Linotype"/>
          <w:i/>
          <w:color w:val="000000"/>
          <w:vertAlign w:val="superscript"/>
        </w:rPr>
        <w:footnoteReference w:id="3"/>
      </w:r>
      <w:r w:rsidRPr="00A550CA">
        <w:rPr>
          <w:rFonts w:ascii="Palatino Linotype" w:eastAsia="Palatino Linotype" w:hAnsi="Palatino Linotype" w:cs="Palatino Linotype"/>
          <w:color w:val="000000"/>
        </w:rPr>
        <w:t>fomentando</w:t>
      </w:r>
      <w:r w:rsidRPr="00A550CA">
        <w:rPr>
          <w:rFonts w:ascii="Palatino Linotype" w:eastAsia="Palatino Linotype" w:hAnsi="Palatino Linotype" w:cs="Palatino Linotype"/>
          <w:i/>
          <w:color w:val="000000"/>
        </w:rPr>
        <w:t xml:space="preserve"> la transparencia de las actividades estatales y</w:t>
      </w:r>
      <w:r w:rsidRPr="00A550CA">
        <w:rPr>
          <w:rFonts w:ascii="Palatino Linotype" w:eastAsia="Palatino Linotype" w:hAnsi="Palatino Linotype" w:cs="Palatino Linotype"/>
          <w:color w:val="000000"/>
        </w:rPr>
        <w:t xml:space="preserve"> promoviendo</w:t>
      </w:r>
      <w:r w:rsidRPr="00A550CA">
        <w:rPr>
          <w:rFonts w:ascii="Palatino Linotype" w:eastAsia="Palatino Linotype" w:hAnsi="Palatino Linotype" w:cs="Palatino Linotype"/>
          <w:i/>
          <w:color w:val="000000"/>
        </w:rPr>
        <w:t xml:space="preserve"> la responsabilidad de los funcionarios sobre su gestión pública</w:t>
      </w:r>
      <w:r w:rsidRPr="00A550CA">
        <w:rPr>
          <w:rFonts w:ascii="Palatino Linotype" w:eastAsia="Palatino Linotype" w:hAnsi="Palatino Linotype" w:cs="Palatino Linotype"/>
          <w:i/>
          <w:color w:val="000000"/>
          <w:vertAlign w:val="superscript"/>
        </w:rPr>
        <w:footnoteReference w:id="4"/>
      </w:r>
      <w:r w:rsidRPr="00A550CA">
        <w:rPr>
          <w:rFonts w:ascii="Palatino Linotype" w:eastAsia="Palatino Linotype" w:hAnsi="Palatino Linotype" w:cs="Palatino Linotype"/>
          <w:i/>
          <w:color w:val="000000"/>
        </w:rPr>
        <w:t xml:space="preserve"> </w:t>
      </w:r>
      <w:r w:rsidRPr="00A550CA">
        <w:rPr>
          <w:rFonts w:ascii="Palatino Linotype" w:eastAsia="Palatino Linotype" w:hAnsi="Palatino Linotype" w:cs="Palatino Linotype"/>
          <w:color w:val="000000"/>
        </w:rPr>
        <w:t>que permite</w:t>
      </w:r>
      <w:r w:rsidRPr="00A550C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A550CA">
        <w:rPr>
          <w:rFonts w:ascii="Palatino Linotype" w:eastAsia="Palatino Linotype" w:hAnsi="Palatino Linotype" w:cs="Palatino Linotype"/>
          <w:i/>
          <w:color w:val="000000"/>
          <w:vertAlign w:val="superscript"/>
        </w:rPr>
        <w:footnoteReference w:id="5"/>
      </w:r>
      <w:r w:rsidRPr="00A550CA">
        <w:rPr>
          <w:rFonts w:ascii="Palatino Linotype" w:eastAsia="Palatino Linotype" w:hAnsi="Palatino Linotype" w:cs="Palatino Linotype"/>
          <w:color w:val="000000"/>
        </w:rPr>
        <w:t xml:space="preserve"> ” </w:t>
      </w:r>
    </w:p>
    <w:p w:rsidR="00A550CA" w:rsidRPr="00A550CA" w:rsidRDefault="00A550CA" w:rsidP="00A550CA">
      <w:pPr>
        <w:pStyle w:val="Sinespaciado"/>
        <w:spacing w:line="360" w:lineRule="auto"/>
        <w:jc w:val="both"/>
        <w:rPr>
          <w:rFonts w:ascii="Palatino Linotype" w:eastAsia="Palatino Linotype" w:hAnsi="Palatino Linotype" w:cs="Palatino Linotype"/>
          <w:color w:val="000000"/>
        </w:rPr>
      </w:pPr>
    </w:p>
    <w:p w:rsidR="00A550CA" w:rsidRPr="00A550CA" w:rsidRDefault="00A550CA" w:rsidP="00A550CA">
      <w:pPr>
        <w:pStyle w:val="Sinespaciado"/>
        <w:numPr>
          <w:ilvl w:val="0"/>
          <w:numId w:val="17"/>
        </w:numPr>
        <w:spacing w:line="360" w:lineRule="auto"/>
        <w:ind w:left="0"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w:t>
      </w:r>
      <w:r w:rsidRPr="00A550CA">
        <w:rPr>
          <w:rFonts w:ascii="Palatino Linotype" w:eastAsia="Palatino Linotype" w:hAnsi="Palatino Linotype" w:cs="Palatino Linotype"/>
          <w:color w:val="000000"/>
        </w:rPr>
        <w:lastRenderedPageBreak/>
        <w:t>Gobierno del Estado Libre y Soberano de México “Gaceta del Gobierno” el diecinueve de octubre de dos mil once, cuyo rubro y texto dispone:</w:t>
      </w:r>
    </w:p>
    <w:p w:rsidR="00A550CA" w:rsidRPr="00A550CA" w:rsidRDefault="00A550CA" w:rsidP="00A550CA">
      <w:pPr>
        <w:spacing w:line="360" w:lineRule="auto"/>
        <w:ind w:left="426" w:right="567"/>
        <w:jc w:val="both"/>
        <w:rPr>
          <w:rFonts w:ascii="Palatino Linotype" w:eastAsia="Palatino Linotype" w:hAnsi="Palatino Linotype" w:cs="Palatino Linotype"/>
          <w:b/>
          <w:i/>
          <w:color w:val="000000"/>
        </w:rPr>
      </w:pPr>
      <w:r w:rsidRPr="00A550CA">
        <w:rPr>
          <w:rFonts w:ascii="Palatino Linotype" w:eastAsia="Palatino Linotype" w:hAnsi="Palatino Linotype" w:cs="Palatino Linotype"/>
          <w:b/>
          <w:i/>
          <w:color w:val="000000"/>
        </w:rPr>
        <w:t>“CRITERIO 0002-11</w:t>
      </w:r>
    </w:p>
    <w:p w:rsidR="00A550CA" w:rsidRPr="00A550CA" w:rsidRDefault="00A550CA" w:rsidP="00A550CA">
      <w:pPr>
        <w:spacing w:line="360" w:lineRule="auto"/>
        <w:ind w:left="425" w:right="567"/>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A550CA">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550CA" w:rsidRPr="00A550CA" w:rsidRDefault="00A550CA" w:rsidP="00A550CA">
      <w:pPr>
        <w:spacing w:line="360" w:lineRule="auto"/>
        <w:ind w:left="425" w:right="567"/>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i/>
          <w:color w:val="000000"/>
        </w:rPr>
        <w:t>En consecuencia el acceso a la información se refiere a que se cumplan cualquiera de los siguientes tres supuestos:</w:t>
      </w:r>
    </w:p>
    <w:p w:rsidR="00A550CA" w:rsidRPr="00A550CA" w:rsidRDefault="00A550CA" w:rsidP="00A550CA">
      <w:pPr>
        <w:spacing w:line="360" w:lineRule="auto"/>
        <w:ind w:left="425" w:right="567"/>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A550CA" w:rsidRPr="00A550CA" w:rsidRDefault="00A550CA" w:rsidP="00A550CA">
      <w:pPr>
        <w:spacing w:line="360" w:lineRule="auto"/>
        <w:ind w:left="425" w:right="567"/>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A550CA" w:rsidRPr="00A550CA" w:rsidRDefault="00A550CA" w:rsidP="00A550CA">
      <w:pPr>
        <w:spacing w:line="360" w:lineRule="auto"/>
        <w:ind w:left="425" w:right="567"/>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A550CA" w:rsidRPr="00A550CA" w:rsidRDefault="00A550CA" w:rsidP="00A550CA">
      <w:pPr>
        <w:spacing w:line="360" w:lineRule="auto"/>
        <w:jc w:val="both"/>
        <w:rPr>
          <w:rFonts w:ascii="Palatino Linotype" w:eastAsia="Palatino Linotype" w:hAnsi="Palatino Linotype" w:cs="Palatino Linotype"/>
          <w:color w:val="000000"/>
        </w:rPr>
      </w:pPr>
    </w:p>
    <w:p w:rsidR="00A550CA" w:rsidRPr="00A550CA" w:rsidRDefault="00A550CA" w:rsidP="00A550CA">
      <w:pPr>
        <w:pStyle w:val="Sinespaciado"/>
        <w:numPr>
          <w:ilvl w:val="0"/>
          <w:numId w:val="17"/>
        </w:numPr>
        <w:spacing w:line="360" w:lineRule="auto"/>
        <w:ind w:left="0"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lastRenderedPageBreak/>
        <w:t xml:space="preserve">Es así que, todos los actos de autoridad que realicen los Sujetos Obligados </w:t>
      </w:r>
      <w:r w:rsidRPr="00A550CA">
        <w:rPr>
          <w:rFonts w:ascii="Palatino Linotype" w:eastAsia="Palatino Linotype" w:hAnsi="Palatino Linotype" w:cs="Palatino Linotype"/>
          <w:b/>
          <w:color w:val="000000"/>
        </w:rPr>
        <w:t xml:space="preserve">deben </w:t>
      </w:r>
      <w:r w:rsidRPr="00A550CA">
        <w:rPr>
          <w:rFonts w:ascii="Palatino Linotype" w:eastAsia="Palatino Linotype" w:hAnsi="Palatino Linotype" w:cs="Palatino Linotype"/>
          <w:color w:val="000000"/>
        </w:rPr>
        <w:t>estar</w:t>
      </w:r>
      <w:r w:rsidRPr="00A550CA">
        <w:rPr>
          <w:rFonts w:ascii="Palatino Linotype" w:eastAsia="Palatino Linotype" w:hAnsi="Palatino Linotype" w:cs="Palatino Linotype"/>
          <w:b/>
          <w:color w:val="000000"/>
        </w:rPr>
        <w:t xml:space="preserve"> </w:t>
      </w:r>
      <w:r w:rsidRPr="00A550CA">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A550CA" w:rsidRPr="00A550CA" w:rsidRDefault="00A550CA" w:rsidP="00A550CA">
      <w:pPr>
        <w:pStyle w:val="Sinespaciado"/>
        <w:spacing w:line="360" w:lineRule="auto"/>
        <w:jc w:val="both"/>
        <w:rPr>
          <w:rFonts w:ascii="Palatino Linotype" w:eastAsia="Palatino Linotype" w:hAnsi="Palatino Linotype" w:cs="Palatino Linotype"/>
          <w:color w:val="000000"/>
        </w:rPr>
      </w:pPr>
    </w:p>
    <w:p w:rsidR="00A550CA" w:rsidRPr="00A550CA" w:rsidRDefault="00A550CA" w:rsidP="00A550CA">
      <w:pPr>
        <w:pStyle w:val="Sinespaciado"/>
        <w:numPr>
          <w:ilvl w:val="0"/>
          <w:numId w:val="17"/>
        </w:numPr>
        <w:spacing w:line="360" w:lineRule="auto"/>
        <w:ind w:left="0"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A550CA" w:rsidRPr="00A550CA" w:rsidRDefault="00A550CA" w:rsidP="00A550CA">
      <w:pPr>
        <w:spacing w:line="360" w:lineRule="auto"/>
        <w:ind w:left="425" w:right="616"/>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b/>
          <w:i/>
          <w:color w:val="000000"/>
        </w:rPr>
        <w:t xml:space="preserve">“Artículo 4. </w:t>
      </w:r>
      <w:r w:rsidRPr="00A550CA">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A550CA" w:rsidRPr="00A550CA" w:rsidRDefault="00A550CA" w:rsidP="00A550CA">
      <w:pPr>
        <w:spacing w:line="360" w:lineRule="auto"/>
        <w:ind w:left="426" w:right="616"/>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b/>
          <w:i/>
          <w:color w:val="000000"/>
        </w:rPr>
        <w:t>Toda la información</w:t>
      </w:r>
      <w:r w:rsidRPr="00A550CA">
        <w:rPr>
          <w:rFonts w:ascii="Palatino Linotype" w:eastAsia="Palatino Linotype" w:hAnsi="Palatino Linotype" w:cs="Palatino Linotype"/>
          <w:i/>
          <w:color w:val="000000"/>
        </w:rPr>
        <w:t xml:space="preserve"> generada, obtenida, adquirida, transformada, administrada o </w:t>
      </w:r>
      <w:r w:rsidRPr="00A550CA">
        <w:rPr>
          <w:rFonts w:ascii="Palatino Linotype" w:eastAsia="Palatino Linotype" w:hAnsi="Palatino Linotype" w:cs="Palatino Linotype"/>
          <w:b/>
          <w:i/>
          <w:color w:val="000000"/>
        </w:rPr>
        <w:t>en posesión de los sujetos obligados es pública</w:t>
      </w:r>
      <w:r w:rsidRPr="00A550CA">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550CA" w:rsidRPr="00A550CA" w:rsidRDefault="00A550CA" w:rsidP="00A550CA">
      <w:pPr>
        <w:spacing w:line="360" w:lineRule="auto"/>
        <w:ind w:left="426" w:right="616"/>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rsidR="00A550CA" w:rsidRPr="00A550CA" w:rsidRDefault="00A550CA" w:rsidP="00A550CA">
      <w:pPr>
        <w:spacing w:line="360" w:lineRule="auto"/>
        <w:jc w:val="both"/>
        <w:rPr>
          <w:rFonts w:ascii="Palatino Linotype" w:eastAsia="Palatino Linotype" w:hAnsi="Palatino Linotype" w:cs="Palatino Linotype"/>
          <w:color w:val="000000"/>
        </w:rPr>
      </w:pPr>
    </w:p>
    <w:p w:rsidR="00A550CA" w:rsidRPr="00A550CA" w:rsidRDefault="00A550CA" w:rsidP="00A550CA">
      <w:pPr>
        <w:pStyle w:val="Sinespaciado"/>
        <w:numPr>
          <w:ilvl w:val="0"/>
          <w:numId w:val="17"/>
        </w:numPr>
        <w:spacing w:line="360" w:lineRule="auto"/>
        <w:ind w:left="0"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550CA">
        <w:rPr>
          <w:rFonts w:ascii="Palatino Linotype" w:eastAsia="Palatino Linotype" w:hAnsi="Palatino Linotype" w:cs="Palatino Linotype"/>
          <w:color w:val="000000"/>
          <w:vertAlign w:val="superscript"/>
        </w:rPr>
        <w:footnoteReference w:id="6"/>
      </w:r>
      <w:r w:rsidRPr="00A550CA">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A550CA" w:rsidRPr="00A550CA" w:rsidRDefault="00A550CA" w:rsidP="00A550CA">
      <w:pPr>
        <w:spacing w:line="360" w:lineRule="auto"/>
        <w:jc w:val="both"/>
        <w:rPr>
          <w:rFonts w:ascii="Palatino Linotype" w:eastAsia="Palatino Linotype" w:hAnsi="Palatino Linotype" w:cs="Palatino Linotype"/>
          <w:color w:val="000000"/>
        </w:rPr>
      </w:pPr>
    </w:p>
    <w:p w:rsidR="00A550CA" w:rsidRPr="00A550CA" w:rsidRDefault="00A550CA" w:rsidP="00A550CA">
      <w:pPr>
        <w:pStyle w:val="Sinespaciado"/>
        <w:numPr>
          <w:ilvl w:val="0"/>
          <w:numId w:val="17"/>
        </w:numPr>
        <w:spacing w:line="360" w:lineRule="auto"/>
        <w:ind w:left="0" w:firstLine="0"/>
        <w:jc w:val="both"/>
        <w:rPr>
          <w:rFonts w:ascii="Palatino Linotype" w:eastAsia="Palatino Linotype" w:hAnsi="Palatino Linotype" w:cs="Palatino Linotype"/>
          <w:color w:val="000000"/>
        </w:rPr>
      </w:pPr>
      <w:r w:rsidRPr="00A550CA">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A550CA" w:rsidRPr="00A550CA" w:rsidRDefault="00A550CA" w:rsidP="00A550CA">
      <w:pPr>
        <w:pBdr>
          <w:top w:val="nil"/>
          <w:left w:val="nil"/>
          <w:bottom w:val="nil"/>
          <w:right w:val="nil"/>
          <w:between w:val="nil"/>
        </w:pBdr>
        <w:tabs>
          <w:tab w:val="left" w:pos="851"/>
        </w:tabs>
        <w:spacing w:line="360" w:lineRule="auto"/>
        <w:ind w:left="425" w:right="425"/>
        <w:jc w:val="both"/>
        <w:rPr>
          <w:rFonts w:ascii="Palatino Linotype" w:eastAsia="Palatino Linotype" w:hAnsi="Palatino Linotype" w:cs="Palatino Linotype"/>
          <w:i/>
          <w:color w:val="000000"/>
        </w:rPr>
      </w:pPr>
      <w:r w:rsidRPr="00A550CA">
        <w:rPr>
          <w:rFonts w:ascii="Palatino Linotype" w:eastAsia="Palatino Linotype" w:hAnsi="Palatino Linotype" w:cs="Palatino Linotype"/>
          <w:b/>
          <w:i/>
          <w:color w:val="000000"/>
        </w:rPr>
        <w:t>“ACCESO A LA INFORMACIÓN. IMPLICACIÓN DEL PRINCIPIO DE MÁXIMA PUBLICIDAD EN EL DERECHO FUNDAMENTAL RELATIVO.</w:t>
      </w:r>
      <w:r w:rsidRPr="00A550CA">
        <w:rPr>
          <w:rFonts w:ascii="Palatino Linotype" w:eastAsia="Palatino Linotype" w:hAnsi="Palatino Linotype" w:cs="Palatino Linotype"/>
          <w:i/>
          <w:color w:val="000000"/>
        </w:rPr>
        <w:t xml:space="preserve"> Del artículo 6o. de la Constitución Política de los Estados Unidos Mexicanos se </w:t>
      </w:r>
      <w:r w:rsidRPr="00A550CA">
        <w:rPr>
          <w:rFonts w:ascii="Palatino Linotype" w:eastAsia="Palatino Linotype" w:hAnsi="Palatino Linotype" w:cs="Palatino Linotype"/>
          <w:i/>
          <w:color w:val="000000"/>
        </w:rPr>
        <w:lastRenderedPageBreak/>
        <w:t>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A550CA" w:rsidRPr="00A550CA" w:rsidRDefault="00A550CA" w:rsidP="00A550CA">
      <w:pPr>
        <w:pStyle w:val="Prrafodelista"/>
        <w:spacing w:line="360" w:lineRule="auto"/>
        <w:rPr>
          <w:rFonts w:ascii="Palatino Linotype" w:eastAsia="Palatino Linotype" w:hAnsi="Palatino Linotype" w:cs="Palatino Linotype"/>
          <w:b/>
        </w:rPr>
      </w:pPr>
      <w:bookmarkStart w:id="8" w:name="_Toc466371865"/>
      <w:bookmarkStart w:id="9" w:name="_Toc466377653"/>
      <w:bookmarkStart w:id="10" w:name="_Toc495427547"/>
      <w:bookmarkStart w:id="11" w:name="_Toc497905366"/>
    </w:p>
    <w:p w:rsidR="00A550CA" w:rsidRPr="00A550CA" w:rsidRDefault="00A550CA" w:rsidP="00A550CA">
      <w:pPr>
        <w:pStyle w:val="Sinespaciado"/>
        <w:numPr>
          <w:ilvl w:val="0"/>
          <w:numId w:val="17"/>
        </w:numPr>
        <w:spacing w:line="360" w:lineRule="auto"/>
        <w:ind w:left="0" w:firstLine="0"/>
        <w:jc w:val="both"/>
        <w:rPr>
          <w:rFonts w:ascii="Palatino Linotype" w:hAnsi="Palatino Linotype" w:cs="Arial"/>
        </w:rPr>
      </w:pPr>
      <w:r w:rsidRPr="00A550CA">
        <w:rPr>
          <w:rFonts w:ascii="Palatino Linotype" w:hAnsi="Palatino Linotype" w:cs="Arial"/>
        </w:rPr>
        <w:lastRenderedPageBreak/>
        <w:t xml:space="preserve">Así, con fundamento en lo previsto en los artículos 5, párrafos </w:t>
      </w:r>
      <w:bookmarkStart w:id="12" w:name="_Hlk65874252"/>
      <w:r w:rsidRPr="00A550CA">
        <w:rPr>
          <w:rFonts w:ascii="Palatino Linotype" w:hAnsi="Palatino Linotype" w:cs="Arial"/>
        </w:rPr>
        <w:t>trigésimo, trigésimo primero y trigésimo segundo</w:t>
      </w:r>
      <w:bookmarkEnd w:id="12"/>
      <w:r w:rsidRPr="00A550CA">
        <w:rPr>
          <w:rFonts w:ascii="Palatino Linotype" w:hAnsi="Palatino Linotype" w:cs="Arial"/>
        </w:rPr>
        <w:t>,</w:t>
      </w:r>
      <w:r w:rsidRPr="00A550CA">
        <w:rPr>
          <w:rFonts w:ascii="Palatino Linotype" w:hAnsi="Palatino Linotype"/>
        </w:rPr>
        <w:t xml:space="preserve"> fracciones IV y V,</w:t>
      </w:r>
      <w:r w:rsidRPr="00A550CA">
        <w:rPr>
          <w:rFonts w:ascii="Palatino Linotype" w:hAnsi="Palatino Linotype" w:cs="Arial"/>
        </w:rPr>
        <w:t xml:space="preserve"> de la Constitución Política del Estado Libre y </w:t>
      </w:r>
      <w:r w:rsidRPr="00A550CA">
        <w:rPr>
          <w:rFonts w:ascii="Palatino Linotype" w:eastAsia="Arial Unicode MS" w:hAnsi="Palatino Linotype" w:cs="Arial"/>
        </w:rPr>
        <w:t>Soberano</w:t>
      </w:r>
      <w:r w:rsidRPr="00A550CA">
        <w:rPr>
          <w:rFonts w:ascii="Palatino Linotype" w:hAnsi="Palatino Linotype" w:cs="Arial"/>
        </w:rPr>
        <w:t xml:space="preserve"> de México, y los artículos </w:t>
      </w:r>
      <w:r w:rsidRPr="00A550CA">
        <w:rPr>
          <w:rFonts w:ascii="Palatino Linotype" w:hAnsi="Palatino Linotype"/>
        </w:rPr>
        <w:t xml:space="preserve">2, </w:t>
      </w:r>
      <w:r w:rsidRPr="00A550CA">
        <w:rPr>
          <w:rFonts w:ascii="Palatino Linotype" w:hAnsi="Palatino Linotype" w:cs="Arial"/>
        </w:rPr>
        <w:t>fracción</w:t>
      </w:r>
      <w:r w:rsidRPr="00A550CA">
        <w:rPr>
          <w:rFonts w:ascii="Palatino Linotype" w:hAnsi="Palatino Linotype"/>
        </w:rPr>
        <w:t xml:space="preserve"> II, 9, </w:t>
      </w:r>
      <w:r w:rsidRPr="00A550CA">
        <w:rPr>
          <w:rFonts w:ascii="Palatino Linotype" w:hAnsi="Palatino Linotype" w:cs="Arial"/>
        </w:rPr>
        <w:t>29</w:t>
      </w:r>
      <w:r w:rsidRPr="00A550CA">
        <w:rPr>
          <w:rFonts w:ascii="Palatino Linotype" w:hAnsi="Palatino Linotype"/>
        </w:rPr>
        <w:t>, 36, fracciones I y II, 176, 178, 179, 181, 185, fracción I, 186 y 188,</w:t>
      </w:r>
      <w:r w:rsidRPr="00A550CA">
        <w:rPr>
          <w:rFonts w:ascii="Palatino Linotype" w:hAnsi="Palatino Linotype" w:cs="Arial"/>
        </w:rPr>
        <w:t xml:space="preserve"> de la Ley de Transparencia y Acceso a la Información Pública del Estado de México y Municipios, </w:t>
      </w:r>
      <w:r w:rsidRPr="00A550CA">
        <w:rPr>
          <w:rFonts w:ascii="Palatino Linotype" w:hAnsi="Palatino Linotype"/>
        </w:rPr>
        <w:t>este</w:t>
      </w:r>
      <w:r w:rsidRPr="00A550CA">
        <w:rPr>
          <w:rFonts w:ascii="Palatino Linotype" w:hAnsi="Palatino Linotype" w:cs="Arial"/>
        </w:rPr>
        <w:t xml:space="preserve"> Pleno</w:t>
      </w:r>
      <w:r w:rsidRPr="00A550CA">
        <w:rPr>
          <w:rFonts w:ascii="Palatino Linotype" w:eastAsia="MS Mincho" w:hAnsi="Palatino Linotype"/>
          <w:color w:val="000000"/>
        </w:rPr>
        <w:t xml:space="preserve"> emite los </w:t>
      </w:r>
      <w:r w:rsidRPr="00A550CA">
        <w:rPr>
          <w:rFonts w:ascii="Palatino Linotype" w:eastAsia="Palatino Linotype" w:hAnsi="Palatino Linotype" w:cs="Palatino Linotype"/>
        </w:rPr>
        <w:t>siguientes</w:t>
      </w:r>
      <w:r w:rsidRPr="00A550CA">
        <w:rPr>
          <w:rFonts w:ascii="Palatino Linotype" w:eastAsia="MS Mincho" w:hAnsi="Palatino Linotype"/>
          <w:color w:val="000000"/>
        </w:rPr>
        <w:t xml:space="preserve">: </w:t>
      </w:r>
    </w:p>
    <w:p w:rsidR="00A550CA" w:rsidRPr="00A550CA" w:rsidRDefault="00A550CA" w:rsidP="00A550CA">
      <w:pPr>
        <w:spacing w:line="360" w:lineRule="auto"/>
        <w:rPr>
          <w:rFonts w:ascii="Palatino Linotype" w:eastAsia="MS Mincho" w:hAnsi="Palatino Linotype"/>
          <w:color w:val="000000"/>
        </w:rPr>
      </w:pPr>
    </w:p>
    <w:p w:rsidR="00A550CA" w:rsidRPr="00A550CA" w:rsidRDefault="00A550CA" w:rsidP="00A550CA">
      <w:pPr>
        <w:pStyle w:val="Ttulo1"/>
        <w:spacing w:before="0" w:line="360" w:lineRule="auto"/>
        <w:jc w:val="center"/>
        <w:rPr>
          <w:rFonts w:ascii="Palatino Linotype" w:hAnsi="Palatino Linotype"/>
          <w:b/>
          <w:color w:val="000000" w:themeColor="text1"/>
          <w:sz w:val="24"/>
          <w:szCs w:val="24"/>
        </w:rPr>
      </w:pPr>
      <w:bookmarkStart w:id="13" w:name="_Toc81233128"/>
      <w:r w:rsidRPr="00A550CA">
        <w:rPr>
          <w:rFonts w:ascii="Palatino Linotype" w:hAnsi="Palatino Linotype"/>
          <w:b/>
          <w:color w:val="000000" w:themeColor="text1"/>
          <w:sz w:val="24"/>
          <w:szCs w:val="24"/>
        </w:rPr>
        <w:t>R E S O L U T I V O S</w:t>
      </w:r>
      <w:bookmarkEnd w:id="8"/>
      <w:bookmarkEnd w:id="9"/>
      <w:bookmarkEnd w:id="10"/>
      <w:bookmarkEnd w:id="11"/>
      <w:bookmarkEnd w:id="13"/>
    </w:p>
    <w:p w:rsidR="00A550CA" w:rsidRPr="00A550CA" w:rsidRDefault="00A550CA" w:rsidP="00A550CA">
      <w:pPr>
        <w:spacing w:line="360" w:lineRule="auto"/>
        <w:rPr>
          <w:rFonts w:ascii="Palatino Linotype" w:hAnsi="Palatino Linotype"/>
        </w:rPr>
      </w:pPr>
    </w:p>
    <w:p w:rsidR="00A550CA" w:rsidRPr="00A550CA" w:rsidRDefault="00A550CA" w:rsidP="00A550CA">
      <w:pPr>
        <w:spacing w:line="360" w:lineRule="auto"/>
        <w:jc w:val="both"/>
        <w:rPr>
          <w:rFonts w:ascii="Palatino Linotype" w:hAnsi="Palatino Linotype" w:cs="Arial"/>
          <w:bCs/>
        </w:rPr>
      </w:pPr>
      <w:r w:rsidRPr="00A550CA">
        <w:rPr>
          <w:rFonts w:ascii="Palatino Linotype" w:hAnsi="Palatino Linotype" w:cs="Arial"/>
          <w:b/>
          <w:bCs/>
        </w:rPr>
        <w:t>PRIMERO</w:t>
      </w:r>
      <w:r w:rsidRPr="00A550CA">
        <w:rPr>
          <w:rFonts w:ascii="Palatino Linotype" w:hAnsi="Palatino Linotype" w:cs="Arial"/>
        </w:rPr>
        <w:t xml:space="preserve">. Resultan infundadas las </w:t>
      </w:r>
      <w:r w:rsidRPr="00A550CA">
        <w:rPr>
          <w:rFonts w:ascii="Palatino Linotype" w:hAnsi="Palatino Linotype" w:cs="Arial"/>
          <w:lang w:val="es-ES"/>
        </w:rPr>
        <w:t xml:space="preserve">razones o motivos de </w:t>
      </w:r>
      <w:r w:rsidRPr="00A550CA">
        <w:rPr>
          <w:rFonts w:ascii="Palatino Linotype" w:eastAsia="Palatino Linotype" w:hAnsi="Palatino Linotype" w:cs="Palatino Linotype"/>
        </w:rPr>
        <w:t>inconformidad</w:t>
      </w:r>
      <w:r w:rsidRPr="00A550CA">
        <w:rPr>
          <w:rFonts w:ascii="Palatino Linotype" w:hAnsi="Palatino Linotype" w:cs="Arial"/>
          <w:lang w:val="es-ES"/>
        </w:rPr>
        <w:t xml:space="preserve"> hechos valer en el Recurso de Revisión </w:t>
      </w:r>
      <w:r w:rsidRPr="00A550CA">
        <w:rPr>
          <w:rFonts w:ascii="Palatino Linotype" w:eastAsia="Calibri" w:hAnsi="Palatino Linotype" w:cs="Tahoma"/>
          <w:b/>
        </w:rPr>
        <w:t>13543/INFOEM/IP/RR/2025</w:t>
      </w:r>
      <w:r w:rsidRPr="00A550CA">
        <w:rPr>
          <w:rFonts w:ascii="Palatino Linotype" w:hAnsi="Palatino Linotype" w:cs="Arial"/>
          <w:bCs/>
        </w:rPr>
        <w:t xml:space="preserve">, en términos del Considerando </w:t>
      </w:r>
      <w:r w:rsidRPr="00A550CA">
        <w:rPr>
          <w:rFonts w:ascii="Palatino Linotype" w:hAnsi="Palatino Linotype" w:cs="Arial"/>
          <w:b/>
          <w:bCs/>
        </w:rPr>
        <w:t>CUARTO</w:t>
      </w:r>
      <w:r w:rsidRPr="00A550CA">
        <w:rPr>
          <w:rFonts w:ascii="Palatino Linotype" w:hAnsi="Palatino Linotype" w:cs="Arial"/>
          <w:bCs/>
        </w:rPr>
        <w:t xml:space="preserve"> de la presente Resolución.</w:t>
      </w:r>
    </w:p>
    <w:p w:rsidR="00A550CA" w:rsidRPr="00A550CA" w:rsidRDefault="00A550CA" w:rsidP="00A550CA">
      <w:pPr>
        <w:spacing w:line="360" w:lineRule="auto"/>
        <w:jc w:val="both"/>
        <w:rPr>
          <w:rFonts w:ascii="Palatino Linotype" w:hAnsi="Palatino Linotype" w:cs="Arial"/>
          <w:bCs/>
        </w:rPr>
      </w:pPr>
    </w:p>
    <w:p w:rsidR="00A550CA" w:rsidRPr="00A550CA" w:rsidRDefault="00A550CA" w:rsidP="00A550CA">
      <w:pPr>
        <w:spacing w:line="360" w:lineRule="auto"/>
        <w:jc w:val="both"/>
        <w:rPr>
          <w:rFonts w:ascii="Palatino Linotype" w:eastAsia="Calibri" w:hAnsi="Palatino Linotype" w:cs="Consolas"/>
          <w:color w:val="000000"/>
          <w:lang w:val="es-MX" w:eastAsia="es-MX"/>
        </w:rPr>
      </w:pPr>
      <w:r w:rsidRPr="00A550CA">
        <w:rPr>
          <w:rFonts w:ascii="Palatino Linotype" w:hAnsi="Palatino Linotype" w:cs="Arial"/>
          <w:b/>
        </w:rPr>
        <w:t>SEGUNDO</w:t>
      </w:r>
      <w:r w:rsidRPr="00A550CA">
        <w:rPr>
          <w:rFonts w:ascii="Palatino Linotype" w:hAnsi="Palatino Linotype" w:cs="Arial"/>
        </w:rPr>
        <w:t xml:space="preserve">. </w:t>
      </w:r>
      <w:r w:rsidRPr="00A550CA">
        <w:rPr>
          <w:rFonts w:ascii="Palatino Linotype" w:hAnsi="Palatino Linotype" w:cs="Arial"/>
          <w:lang w:val="es-ES"/>
        </w:rPr>
        <w:t xml:space="preserve">Se </w:t>
      </w:r>
      <w:r w:rsidRPr="00A550CA">
        <w:rPr>
          <w:rFonts w:ascii="Palatino Linotype" w:hAnsi="Palatino Linotype" w:cs="Arial"/>
          <w:b/>
          <w:lang w:val="es-ES"/>
        </w:rPr>
        <w:t>CONFIRMA</w:t>
      </w:r>
      <w:r w:rsidRPr="00A550CA">
        <w:rPr>
          <w:rFonts w:ascii="Palatino Linotype" w:hAnsi="Palatino Linotype" w:cs="Arial"/>
          <w:lang w:val="es-ES"/>
        </w:rPr>
        <w:t xml:space="preserve"> la respuesta </w:t>
      </w:r>
      <w:r w:rsidRPr="00A550CA">
        <w:rPr>
          <w:rFonts w:ascii="Palatino Linotype" w:hAnsi="Palatino Linotype" w:cs="Arial"/>
          <w:bCs/>
        </w:rPr>
        <w:t>emitida</w:t>
      </w:r>
      <w:r w:rsidRPr="00A550CA">
        <w:rPr>
          <w:rFonts w:ascii="Palatino Linotype" w:hAnsi="Palatino Linotype" w:cs="Arial"/>
          <w:lang w:val="es-ES"/>
        </w:rPr>
        <w:t xml:space="preserve"> por el </w:t>
      </w:r>
      <w:r w:rsidRPr="00A550CA">
        <w:rPr>
          <w:rFonts w:ascii="Palatino Linotype" w:eastAsia="Palatino Linotype" w:hAnsi="Palatino Linotype" w:cs="Palatino Linotype"/>
          <w:color w:val="000000"/>
        </w:rPr>
        <w:t>Sistema Municipal para el Desarrollo Integral de la Familia de Teoloyucan</w:t>
      </w:r>
      <w:r w:rsidRPr="00A550CA">
        <w:rPr>
          <w:rFonts w:ascii="Palatino Linotype" w:hAnsi="Palatino Linotype" w:cs="Arial"/>
          <w:b/>
          <w:lang w:val="es-ES"/>
        </w:rPr>
        <w:t xml:space="preserve">, </w:t>
      </w:r>
      <w:r w:rsidRPr="00A550CA">
        <w:rPr>
          <w:rFonts w:ascii="Palatino Linotype" w:hAnsi="Palatino Linotype" w:cs="Arial"/>
          <w:lang w:val="es-ES"/>
        </w:rPr>
        <w:t xml:space="preserve">en la Solicitud de Acceso a la </w:t>
      </w:r>
      <w:r w:rsidR="00EF1CA8">
        <w:rPr>
          <w:rFonts w:ascii="Palatino Linotype" w:hAnsi="Palatino Linotype" w:cs="Arial"/>
          <w:lang w:val="es-ES"/>
        </w:rPr>
        <w:t>Información Pública</w:t>
      </w:r>
      <w:r w:rsidRPr="00A550CA">
        <w:rPr>
          <w:rFonts w:ascii="Palatino Linotype" w:hAnsi="Palatino Linotype" w:cs="Arial"/>
          <w:b/>
          <w:bCs/>
        </w:rPr>
        <w:t> </w:t>
      </w:r>
      <w:r w:rsidRPr="00A550CA">
        <w:rPr>
          <w:rFonts w:ascii="Palatino Linotype" w:eastAsia="Calibri" w:hAnsi="Palatino Linotype" w:cs="Consolas"/>
          <w:b/>
          <w:color w:val="000000"/>
          <w:lang w:val="es-MX" w:eastAsia="es-MX"/>
        </w:rPr>
        <w:t>00127/DIFTEOLOYU/IP/2025</w:t>
      </w:r>
      <w:r w:rsidRPr="00A550CA">
        <w:rPr>
          <w:rFonts w:ascii="Palatino Linotype" w:eastAsia="Calibri" w:hAnsi="Palatino Linotype" w:cs="Consolas"/>
          <w:color w:val="000000"/>
          <w:lang w:val="es-MX" w:eastAsia="es-MX"/>
        </w:rPr>
        <w:t>.</w:t>
      </w:r>
    </w:p>
    <w:p w:rsidR="00A550CA" w:rsidRPr="00A550CA" w:rsidRDefault="00A550CA" w:rsidP="00A550CA">
      <w:pPr>
        <w:spacing w:line="360" w:lineRule="auto"/>
        <w:jc w:val="both"/>
        <w:rPr>
          <w:rFonts w:ascii="Palatino Linotype" w:hAnsi="Palatino Linotype" w:cs="Arial"/>
          <w:b/>
          <w:bCs/>
        </w:rPr>
      </w:pPr>
    </w:p>
    <w:p w:rsidR="00A550CA" w:rsidRPr="00A550CA" w:rsidRDefault="00A550CA" w:rsidP="00A550CA">
      <w:pPr>
        <w:spacing w:line="360" w:lineRule="auto"/>
        <w:jc w:val="both"/>
        <w:rPr>
          <w:rFonts w:ascii="Palatino Linotype" w:eastAsia="Palatino Linotype" w:hAnsi="Palatino Linotype" w:cs="Palatino Linotype"/>
        </w:rPr>
      </w:pPr>
      <w:r w:rsidRPr="00A550CA">
        <w:rPr>
          <w:rFonts w:ascii="Palatino Linotype" w:eastAsia="Palatino Linotype" w:hAnsi="Palatino Linotype" w:cs="Palatino Linotype"/>
          <w:b/>
        </w:rPr>
        <w:t>TERCERO.</w:t>
      </w:r>
      <w:r w:rsidRPr="00A550CA">
        <w:rPr>
          <w:rFonts w:ascii="Palatino Linotype" w:eastAsia="Palatino Linotype" w:hAnsi="Palatino Linotype" w:cs="Palatino Linotype"/>
        </w:rPr>
        <w:t xml:space="preserve"> Notifíquese al Titular de la Unidad de Transparencia del</w:t>
      </w:r>
      <w:r w:rsidRPr="00A550CA">
        <w:rPr>
          <w:rFonts w:ascii="Palatino Linotype" w:eastAsia="Palatino Linotype" w:hAnsi="Palatino Linotype" w:cs="Palatino Linotype"/>
          <w:b/>
        </w:rPr>
        <w:t xml:space="preserve"> SUJETO OBLIGADO</w:t>
      </w:r>
      <w:r w:rsidRPr="00A550CA">
        <w:rPr>
          <w:rFonts w:ascii="Palatino Linotype" w:eastAsia="Palatino Linotype" w:hAnsi="Palatino Linotype" w:cs="Palatino Linotype"/>
        </w:rPr>
        <w:t xml:space="preserve"> vía </w:t>
      </w:r>
      <w:r w:rsidRPr="00A550CA">
        <w:rPr>
          <w:rFonts w:ascii="Palatino Linotype" w:eastAsia="Palatino Linotype" w:hAnsi="Palatino Linotype" w:cs="Palatino Linotype"/>
          <w:b/>
        </w:rPr>
        <w:t>SAIMEX</w:t>
      </w:r>
      <w:r w:rsidRPr="00A550CA">
        <w:rPr>
          <w:rFonts w:ascii="Palatino Linotype" w:eastAsia="Palatino Linotype" w:hAnsi="Palatino Linotype" w:cs="Palatino Linotype"/>
        </w:rPr>
        <w:t>, para su conocimiento.</w:t>
      </w:r>
    </w:p>
    <w:p w:rsidR="00A550CA" w:rsidRPr="00A550CA" w:rsidRDefault="00A550CA" w:rsidP="00A550CA">
      <w:pPr>
        <w:shd w:val="clear" w:color="auto" w:fill="FFFFFF"/>
        <w:spacing w:line="360" w:lineRule="auto"/>
        <w:jc w:val="both"/>
        <w:rPr>
          <w:rFonts w:ascii="Palatino Linotype" w:eastAsia="Palatino Linotype" w:hAnsi="Palatino Linotype" w:cs="Palatino Linotype"/>
        </w:rPr>
      </w:pPr>
    </w:p>
    <w:p w:rsidR="00A550CA" w:rsidRPr="00A550CA" w:rsidRDefault="00A550CA" w:rsidP="00A550CA">
      <w:pPr>
        <w:shd w:val="clear" w:color="auto" w:fill="FFFFFF"/>
        <w:spacing w:line="360" w:lineRule="auto"/>
        <w:jc w:val="both"/>
        <w:rPr>
          <w:rFonts w:ascii="Palatino Linotype" w:eastAsia="Palatino Linotype" w:hAnsi="Palatino Linotype" w:cs="Palatino Linotype"/>
        </w:rPr>
      </w:pPr>
      <w:r w:rsidRPr="00A550CA">
        <w:rPr>
          <w:rFonts w:ascii="Palatino Linotype" w:eastAsia="Palatino Linotype" w:hAnsi="Palatino Linotype" w:cs="Palatino Linotype"/>
          <w:b/>
        </w:rPr>
        <w:t>CUARTO.</w:t>
      </w:r>
      <w:r w:rsidRPr="00A550CA">
        <w:rPr>
          <w:rFonts w:ascii="Palatino Linotype" w:eastAsia="Palatino Linotype" w:hAnsi="Palatino Linotype" w:cs="Palatino Linotype"/>
        </w:rPr>
        <w:t xml:space="preserve"> Notifíquese a la</w:t>
      </w:r>
      <w:r w:rsidRPr="00A550CA">
        <w:rPr>
          <w:rFonts w:ascii="Palatino Linotype" w:eastAsia="Palatino Linotype" w:hAnsi="Palatino Linotype" w:cs="Palatino Linotype"/>
          <w:b/>
        </w:rPr>
        <w:t xml:space="preserve"> RECURRENTE</w:t>
      </w:r>
      <w:r w:rsidRPr="00A550CA">
        <w:rPr>
          <w:rFonts w:ascii="Palatino Linotype" w:eastAsia="Palatino Linotype" w:hAnsi="Palatino Linotype" w:cs="Palatino Linotype"/>
        </w:rPr>
        <w:t xml:space="preserve"> la presente Resolución vía SAIMEX.</w:t>
      </w:r>
    </w:p>
    <w:p w:rsidR="00A550CA" w:rsidRPr="00A550CA" w:rsidRDefault="00A550CA" w:rsidP="00A550CA">
      <w:pPr>
        <w:shd w:val="clear" w:color="auto" w:fill="FFFFFF"/>
        <w:spacing w:line="360" w:lineRule="auto"/>
        <w:jc w:val="both"/>
        <w:rPr>
          <w:rFonts w:ascii="Palatino Linotype" w:eastAsia="Palatino Linotype" w:hAnsi="Palatino Linotype" w:cs="Palatino Linotype"/>
          <w:b/>
        </w:rPr>
      </w:pPr>
    </w:p>
    <w:p w:rsidR="00A550CA" w:rsidRPr="00A550CA" w:rsidRDefault="00A550CA" w:rsidP="00A550CA">
      <w:pPr>
        <w:shd w:val="clear" w:color="auto" w:fill="FFFFFF"/>
        <w:spacing w:line="360" w:lineRule="auto"/>
        <w:jc w:val="both"/>
        <w:rPr>
          <w:rFonts w:ascii="Palatino Linotype" w:eastAsia="Palatino Linotype" w:hAnsi="Palatino Linotype" w:cs="Palatino Linotype"/>
        </w:rPr>
      </w:pPr>
      <w:r w:rsidRPr="00A550CA">
        <w:rPr>
          <w:rFonts w:ascii="Palatino Linotype" w:eastAsia="Palatino Linotype" w:hAnsi="Palatino Linotype" w:cs="Palatino Linotype"/>
          <w:b/>
        </w:rPr>
        <w:lastRenderedPageBreak/>
        <w:t xml:space="preserve">QUINTO. </w:t>
      </w:r>
      <w:r w:rsidRPr="00A550CA">
        <w:rPr>
          <w:rFonts w:ascii="Palatino Linotype" w:eastAsia="Times New Roman" w:hAnsi="Palatino Linotype" w:cs="Times New Roman"/>
        </w:rPr>
        <w:t>Se hace del conocimiento de la</w:t>
      </w:r>
      <w:r w:rsidRPr="00A550CA">
        <w:rPr>
          <w:rFonts w:ascii="Palatino Linotype" w:eastAsia="Times New Roman" w:hAnsi="Palatino Linotype" w:cs="Times New Roman"/>
          <w:b/>
        </w:rPr>
        <w:t xml:space="preserve"> RECURRENTE</w:t>
      </w:r>
      <w:r w:rsidRPr="00A550CA">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550CA">
        <w:rPr>
          <w:rFonts w:ascii="Palatino Linotype" w:eastAsia="Times New Roman" w:hAnsi="Palatino Linotype" w:cs="Times New Roman"/>
          <w:bCs/>
        </w:rPr>
        <w:t>vía juicio de amparo</w:t>
      </w:r>
      <w:r w:rsidRPr="00A550CA">
        <w:rPr>
          <w:rFonts w:ascii="Palatino Linotype" w:eastAsia="Times New Roman" w:hAnsi="Palatino Linotype" w:cs="Times New Roman"/>
        </w:rPr>
        <w:t> en los términos de las leyes aplicables.</w:t>
      </w:r>
    </w:p>
    <w:p w:rsidR="00342372" w:rsidRPr="00A550CA" w:rsidRDefault="00342372" w:rsidP="00A550CA">
      <w:pPr>
        <w:shd w:val="clear" w:color="auto" w:fill="FFFFFF"/>
        <w:spacing w:line="360" w:lineRule="auto"/>
        <w:jc w:val="both"/>
        <w:rPr>
          <w:rFonts w:ascii="Palatino Linotype" w:eastAsia="Palatino Linotype" w:hAnsi="Palatino Linotype" w:cs="Palatino Linotype"/>
        </w:rPr>
      </w:pPr>
    </w:p>
    <w:p w:rsidR="00EF1CA8" w:rsidRPr="003E2295" w:rsidRDefault="00EF1CA8" w:rsidP="00EF1CA8">
      <w:pPr>
        <w:spacing w:before="240" w:after="240" w:line="360" w:lineRule="auto"/>
        <w:ind w:firstLine="1"/>
        <w:jc w:val="both"/>
        <w:rPr>
          <w:rFonts w:ascii="Palatino Linotype" w:hAnsi="Palatino Linotype"/>
        </w:rPr>
      </w:pPr>
      <w:bookmarkStart w:id="14"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4"/>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B84DF1" w:rsidRPr="00A550CA" w:rsidRDefault="009D3673" w:rsidP="00A550CA">
      <w:pPr>
        <w:tabs>
          <w:tab w:val="left" w:pos="3374"/>
        </w:tabs>
        <w:spacing w:line="360" w:lineRule="auto"/>
        <w:ind w:right="49"/>
        <w:jc w:val="both"/>
        <w:rPr>
          <w:rFonts w:ascii="Palatino Linotype" w:eastAsia="Palatino Linotype" w:hAnsi="Palatino Linotype" w:cs="Palatino Linotype"/>
        </w:rPr>
      </w:pPr>
      <w:r w:rsidRPr="00A550CA">
        <w:rPr>
          <w:rFonts w:ascii="Palatino Linotype" w:eastAsia="Palatino Linotype" w:hAnsi="Palatino Linotype" w:cs="Palatino Linotype"/>
        </w:rPr>
        <w:tab/>
      </w: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tabs>
          <w:tab w:val="left" w:pos="3374"/>
        </w:tabs>
        <w:spacing w:line="360" w:lineRule="auto"/>
        <w:ind w:right="49"/>
        <w:jc w:val="both"/>
        <w:rPr>
          <w:rFonts w:ascii="Palatino Linotype" w:eastAsia="Palatino Linotype" w:hAnsi="Palatino Linotype" w:cs="Palatino Linotype"/>
        </w:rPr>
      </w:pPr>
    </w:p>
    <w:p w:rsidR="00B84DF1" w:rsidRPr="00A550CA" w:rsidRDefault="00B84DF1" w:rsidP="00A550CA">
      <w:pPr>
        <w:spacing w:line="360" w:lineRule="auto"/>
        <w:ind w:right="49"/>
        <w:jc w:val="both"/>
        <w:rPr>
          <w:rFonts w:ascii="Palatino Linotype" w:eastAsia="Palatino Linotype" w:hAnsi="Palatino Linotype" w:cs="Palatino Linotype"/>
        </w:rPr>
      </w:pPr>
    </w:p>
    <w:p w:rsidR="00206978" w:rsidRPr="00A550CA" w:rsidRDefault="00206978" w:rsidP="00A550CA">
      <w:pPr>
        <w:spacing w:line="360" w:lineRule="auto"/>
        <w:ind w:right="49"/>
        <w:jc w:val="both"/>
        <w:rPr>
          <w:rFonts w:ascii="Palatino Linotype" w:eastAsia="Palatino Linotype" w:hAnsi="Palatino Linotype" w:cs="Palatino Linotype"/>
        </w:rPr>
      </w:pPr>
    </w:p>
    <w:sectPr w:rsidR="00206978" w:rsidRPr="00A550CA">
      <w:headerReference w:type="even" r:id="rId11"/>
      <w:headerReference w:type="default" r:id="rId12"/>
      <w:footerReference w:type="default" r:id="rId13"/>
      <w:headerReference w:type="first" r:id="rId14"/>
      <w:footerReference w:type="first" r:id="rId15"/>
      <w:pgSz w:w="12240" w:h="15840"/>
      <w:pgMar w:top="2268" w:right="170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F78" w:rsidRDefault="00064F78">
      <w:r>
        <w:separator/>
      </w:r>
    </w:p>
  </w:endnote>
  <w:endnote w:type="continuationSeparator" w:id="0">
    <w:p w:rsidR="00064F78" w:rsidRDefault="0006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78" w:rsidRDefault="00C4317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7790">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7790">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C43178" w:rsidRDefault="00C4317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78" w:rsidRDefault="00C4317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779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7790">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C43178" w:rsidRDefault="00C4317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F78" w:rsidRDefault="00064F78">
      <w:r>
        <w:separator/>
      </w:r>
    </w:p>
  </w:footnote>
  <w:footnote w:type="continuationSeparator" w:id="0">
    <w:p w:rsidR="00064F78" w:rsidRDefault="00064F78">
      <w:r>
        <w:continuationSeparator/>
      </w:r>
    </w:p>
  </w:footnote>
  <w:footnote w:id="1">
    <w:p w:rsidR="00A550CA" w:rsidRDefault="00A550CA" w:rsidP="00A550CA">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A550CA" w:rsidRDefault="00A550CA" w:rsidP="00A550CA">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A550CA" w:rsidRDefault="00A550CA" w:rsidP="00A550C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A550CA" w:rsidRDefault="00A550CA" w:rsidP="00A550C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A550CA" w:rsidRDefault="00A550CA" w:rsidP="00A550CA">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A550CA" w:rsidRDefault="00A550CA" w:rsidP="00A550C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A550CA" w:rsidRDefault="00A550CA" w:rsidP="00A550CA">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A550CA" w:rsidRDefault="00A550CA" w:rsidP="00A550CA">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78" w:rsidRDefault="00064F7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78" w:rsidRDefault="00C43178">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C43178">
      <w:trPr>
        <w:trHeight w:val="227"/>
      </w:trPr>
      <w:tc>
        <w:tcPr>
          <w:tcW w:w="2976" w:type="dxa"/>
          <w:vAlign w:val="center"/>
        </w:tcPr>
        <w:p w:rsidR="00C43178" w:rsidRDefault="00C43178">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rsidR="00C43178" w:rsidRDefault="00223EAC" w:rsidP="00DD2D9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13543</w:t>
          </w:r>
          <w:r w:rsidR="00C43178" w:rsidRPr="00E838FA">
            <w:rPr>
              <w:rFonts w:ascii="Palatino Linotype" w:eastAsia="Palatino Linotype" w:hAnsi="Palatino Linotype" w:cs="Palatino Linotype"/>
              <w:color w:val="000000"/>
              <w:sz w:val="22"/>
              <w:szCs w:val="22"/>
            </w:rPr>
            <w:t>/INFOEM/IP/RR/2025</w:t>
          </w:r>
        </w:p>
      </w:tc>
    </w:tr>
    <w:tr w:rsidR="00C43178">
      <w:trPr>
        <w:trHeight w:val="242"/>
      </w:trPr>
      <w:tc>
        <w:tcPr>
          <w:tcW w:w="2976" w:type="dxa"/>
          <w:vAlign w:val="center"/>
        </w:tcPr>
        <w:p w:rsidR="00C43178" w:rsidRDefault="00C43178">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rsidR="00C43178" w:rsidRDefault="003B264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sidRPr="003B2640">
            <w:rPr>
              <w:rFonts w:ascii="Palatino Linotype" w:eastAsia="Palatino Linotype" w:hAnsi="Palatino Linotype" w:cs="Palatino Linotype"/>
              <w:color w:val="000000"/>
              <w:sz w:val="22"/>
              <w:szCs w:val="22"/>
            </w:rPr>
            <w:t>Sistema Municipal para el Desarrollo Integral de la Familia de Teoloyucan</w:t>
          </w:r>
        </w:p>
      </w:tc>
    </w:tr>
    <w:tr w:rsidR="00C43178">
      <w:trPr>
        <w:trHeight w:val="342"/>
      </w:trPr>
      <w:tc>
        <w:tcPr>
          <w:tcW w:w="2976" w:type="dxa"/>
          <w:vAlign w:val="center"/>
        </w:tcPr>
        <w:p w:rsidR="00C43178" w:rsidRDefault="00C43178">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rsidR="00C43178" w:rsidRDefault="00C431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C43178" w:rsidRDefault="00064F7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78" w:rsidRDefault="00C43178">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C43178">
      <w:trPr>
        <w:trHeight w:val="227"/>
      </w:trPr>
      <w:tc>
        <w:tcPr>
          <w:tcW w:w="2977" w:type="dxa"/>
          <w:vAlign w:val="center"/>
        </w:tcPr>
        <w:p w:rsidR="00C43178" w:rsidRDefault="00C4317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C43178" w:rsidRDefault="00223EAC" w:rsidP="007A000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1354</w:t>
          </w:r>
          <w:r w:rsidR="00C43178" w:rsidRPr="00E838FA">
            <w:rPr>
              <w:rFonts w:ascii="Palatino Linotype" w:eastAsia="Palatino Linotype" w:hAnsi="Palatino Linotype" w:cs="Palatino Linotype"/>
              <w:color w:val="000000"/>
              <w:sz w:val="22"/>
              <w:szCs w:val="22"/>
            </w:rPr>
            <w:t>3/INFOEM/IP/RR/2025</w:t>
          </w:r>
        </w:p>
      </w:tc>
    </w:tr>
    <w:tr w:rsidR="00C43178">
      <w:trPr>
        <w:trHeight w:val="242"/>
      </w:trPr>
      <w:tc>
        <w:tcPr>
          <w:tcW w:w="2977" w:type="dxa"/>
          <w:vAlign w:val="center"/>
        </w:tcPr>
        <w:p w:rsidR="00C43178" w:rsidRDefault="00C4317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C43178" w:rsidRDefault="00C4317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 w:val="22"/>
              <w:szCs w:val="22"/>
              <w:highlight w:val="green"/>
            </w:rPr>
          </w:pPr>
        </w:p>
      </w:tc>
    </w:tr>
    <w:tr w:rsidR="00C43178">
      <w:trPr>
        <w:trHeight w:val="342"/>
      </w:trPr>
      <w:tc>
        <w:tcPr>
          <w:tcW w:w="2977" w:type="dxa"/>
          <w:vAlign w:val="center"/>
        </w:tcPr>
        <w:p w:rsidR="00C43178" w:rsidRDefault="00C4317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C43178" w:rsidRDefault="00E13F7B" w:rsidP="0041505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3B2640">
            <w:rPr>
              <w:rFonts w:ascii="Palatino Linotype" w:eastAsia="Palatino Linotype" w:hAnsi="Palatino Linotype" w:cs="Palatino Linotype"/>
              <w:color w:val="000000"/>
              <w:sz w:val="22"/>
              <w:szCs w:val="22"/>
            </w:rPr>
            <w:t>Sistema Municipal para el Desarrollo Integral de la Familia de Teoloyucan</w:t>
          </w:r>
        </w:p>
      </w:tc>
    </w:tr>
    <w:tr w:rsidR="00C43178">
      <w:trPr>
        <w:trHeight w:val="342"/>
      </w:trPr>
      <w:tc>
        <w:tcPr>
          <w:tcW w:w="2977" w:type="dxa"/>
          <w:vAlign w:val="center"/>
        </w:tcPr>
        <w:p w:rsidR="00C43178" w:rsidRDefault="00C43178">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C43178" w:rsidRDefault="00C431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C43178" w:rsidRDefault="00064F7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C91A1C"/>
    <w:multiLevelType w:val="hybridMultilevel"/>
    <w:tmpl w:val="C14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097CD1"/>
    <w:multiLevelType w:val="multilevel"/>
    <w:tmpl w:val="875C4CB6"/>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16101733"/>
    <w:multiLevelType w:val="multilevel"/>
    <w:tmpl w:val="5C64F6FC"/>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9A5D0D"/>
    <w:multiLevelType w:val="hybridMultilevel"/>
    <w:tmpl w:val="EA0A0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2D5048"/>
    <w:multiLevelType w:val="multilevel"/>
    <w:tmpl w:val="4FACD004"/>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9" w15:restartNumberingAfterBreak="0">
    <w:nsid w:val="1D34034D"/>
    <w:multiLevelType w:val="multilevel"/>
    <w:tmpl w:val="0B5C2BA2"/>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eastAsia="Courier New" w:hAnsi="Courier New" w:cs="Courier New" w:hint="default"/>
      </w:rPr>
    </w:lvl>
    <w:lvl w:ilvl="2">
      <w:start w:val="1"/>
      <w:numFmt w:val="bullet"/>
      <w:lvlText w:val="▪"/>
      <w:lvlJc w:val="left"/>
      <w:pPr>
        <w:ind w:left="2508" w:hanging="360"/>
      </w:pPr>
      <w:rPr>
        <w:rFonts w:ascii="Noto Sans Symbols" w:eastAsia="Noto Sans Symbols" w:hAnsi="Noto Sans Symbols" w:cs="Noto Sans Symbols" w:hint="default"/>
      </w:rPr>
    </w:lvl>
    <w:lvl w:ilvl="3">
      <w:start w:val="1"/>
      <w:numFmt w:val="bullet"/>
      <w:lvlText w:val="●"/>
      <w:lvlJc w:val="left"/>
      <w:pPr>
        <w:ind w:left="3228" w:hanging="360"/>
      </w:pPr>
      <w:rPr>
        <w:rFonts w:ascii="Noto Sans Symbols" w:eastAsia="Noto Sans Symbols" w:hAnsi="Noto Sans Symbols" w:cs="Noto Sans Symbols" w:hint="default"/>
      </w:rPr>
    </w:lvl>
    <w:lvl w:ilvl="4">
      <w:start w:val="1"/>
      <w:numFmt w:val="bullet"/>
      <w:lvlText w:val="o"/>
      <w:lvlJc w:val="left"/>
      <w:pPr>
        <w:ind w:left="3948" w:hanging="360"/>
      </w:pPr>
      <w:rPr>
        <w:rFonts w:ascii="Courier New" w:eastAsia="Courier New" w:hAnsi="Courier New" w:cs="Courier New" w:hint="default"/>
      </w:rPr>
    </w:lvl>
    <w:lvl w:ilvl="5">
      <w:start w:val="1"/>
      <w:numFmt w:val="bullet"/>
      <w:lvlText w:val="▪"/>
      <w:lvlJc w:val="left"/>
      <w:pPr>
        <w:ind w:left="4668" w:hanging="360"/>
      </w:pPr>
      <w:rPr>
        <w:rFonts w:ascii="Noto Sans Symbols" w:eastAsia="Noto Sans Symbols" w:hAnsi="Noto Sans Symbols" w:cs="Noto Sans Symbols" w:hint="default"/>
      </w:rPr>
    </w:lvl>
    <w:lvl w:ilvl="6">
      <w:start w:val="1"/>
      <w:numFmt w:val="bullet"/>
      <w:lvlText w:val="●"/>
      <w:lvlJc w:val="left"/>
      <w:pPr>
        <w:ind w:left="5388" w:hanging="360"/>
      </w:pPr>
      <w:rPr>
        <w:rFonts w:ascii="Noto Sans Symbols" w:eastAsia="Noto Sans Symbols" w:hAnsi="Noto Sans Symbols" w:cs="Noto Sans Symbols" w:hint="default"/>
      </w:rPr>
    </w:lvl>
    <w:lvl w:ilvl="7">
      <w:start w:val="1"/>
      <w:numFmt w:val="bullet"/>
      <w:lvlText w:val="o"/>
      <w:lvlJc w:val="left"/>
      <w:pPr>
        <w:ind w:left="6108" w:hanging="360"/>
      </w:pPr>
      <w:rPr>
        <w:rFonts w:ascii="Courier New" w:eastAsia="Courier New" w:hAnsi="Courier New" w:cs="Courier New" w:hint="default"/>
      </w:rPr>
    </w:lvl>
    <w:lvl w:ilvl="8">
      <w:start w:val="1"/>
      <w:numFmt w:val="bullet"/>
      <w:lvlText w:val="▪"/>
      <w:lvlJc w:val="left"/>
      <w:pPr>
        <w:ind w:left="6828" w:hanging="360"/>
      </w:pPr>
      <w:rPr>
        <w:rFonts w:ascii="Noto Sans Symbols" w:eastAsia="Noto Sans Symbols" w:hAnsi="Noto Sans Symbols" w:cs="Noto Sans Symbols" w:hint="default"/>
      </w:rPr>
    </w:lvl>
  </w:abstractNum>
  <w:abstractNum w:abstractNumId="10" w15:restartNumberingAfterBreak="0">
    <w:nsid w:val="203B2766"/>
    <w:multiLevelType w:val="hybridMultilevel"/>
    <w:tmpl w:val="F75C1E54"/>
    <w:lvl w:ilvl="0" w:tplc="EC10CB42">
      <w:start w:val="1"/>
      <w:numFmt w:val="upperRoman"/>
      <w:lvlText w:val="%1."/>
      <w:lvlJc w:val="right"/>
      <w:pPr>
        <w:ind w:left="720" w:hanging="360"/>
      </w:pPr>
      <w:rPr>
        <w:b/>
        <w:bCs/>
      </w:rPr>
    </w:lvl>
    <w:lvl w:ilvl="1" w:tplc="CFDA736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003D2F"/>
    <w:multiLevelType w:val="hybridMultilevel"/>
    <w:tmpl w:val="27BE30CA"/>
    <w:lvl w:ilvl="0" w:tplc="FA7C2566">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2" w15:restartNumberingAfterBreak="0">
    <w:nsid w:val="25ED3C8F"/>
    <w:multiLevelType w:val="hybridMultilevel"/>
    <w:tmpl w:val="07A6C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65323"/>
    <w:multiLevelType w:val="multilevel"/>
    <w:tmpl w:val="94B67ECA"/>
    <w:lvl w:ilvl="0">
      <w:start w:val="1"/>
      <w:numFmt w:val="decimal"/>
      <w:lvlText w:val="%1."/>
      <w:lvlJc w:val="left"/>
      <w:pPr>
        <w:ind w:left="644" w:hanging="360"/>
      </w:pPr>
      <w:rPr>
        <w:rFonts w:ascii="Palatino Linotype" w:eastAsia="Palatino Linotype" w:hAnsi="Palatino Linotype" w:cs="Palatino Linotype"/>
        <w:b/>
        <w:i w:val="0"/>
        <w:color w:val="00000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25223AF"/>
    <w:multiLevelType w:val="multilevel"/>
    <w:tmpl w:val="4086CFB2"/>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7291810"/>
    <w:multiLevelType w:val="multilevel"/>
    <w:tmpl w:val="875C4CB6"/>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6"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BA74745"/>
    <w:multiLevelType w:val="hybridMultilevel"/>
    <w:tmpl w:val="FFC6D888"/>
    <w:lvl w:ilvl="0" w:tplc="FFFFFFFF">
      <w:start w:val="1"/>
      <w:numFmt w:val="upperRoman"/>
      <w:lvlText w:val="%1."/>
      <w:lvlJc w:val="right"/>
      <w:pPr>
        <w:ind w:left="720" w:hanging="360"/>
      </w:pPr>
      <w:rPr>
        <w:b/>
        <w:bCs/>
      </w:rPr>
    </w:lvl>
    <w:lvl w:ilvl="1" w:tplc="7B02624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4"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6" w15:restartNumberingAfterBreak="0">
    <w:nsid w:val="74873195"/>
    <w:multiLevelType w:val="multilevel"/>
    <w:tmpl w:val="9BA6ACCA"/>
    <w:lvl w:ilvl="0">
      <w:start w:val="24"/>
      <w:numFmt w:val="decimal"/>
      <w:lvlText w:val="%1."/>
      <w:lvlJc w:val="left"/>
      <w:pPr>
        <w:ind w:left="644"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9"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5"/>
  </w:num>
  <w:num w:numId="3">
    <w:abstractNumId w:val="25"/>
  </w:num>
  <w:num w:numId="4">
    <w:abstractNumId w:val="35"/>
  </w:num>
  <w:num w:numId="5">
    <w:abstractNumId w:val="33"/>
  </w:num>
  <w:num w:numId="6">
    <w:abstractNumId w:val="2"/>
  </w:num>
  <w:num w:numId="7">
    <w:abstractNumId w:val="1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9"/>
    <w:lvlOverride w:ilvl="0">
      <w:lvl w:ilvl="0">
        <w:numFmt w:val="decimal"/>
        <w:lvlText w:val="%1."/>
        <w:lvlJc w:val="left"/>
        <w:rPr>
          <w:b/>
        </w:rPr>
      </w:lvl>
    </w:lvlOverride>
  </w:num>
  <w:num w:numId="11">
    <w:abstractNumId w:val="18"/>
  </w:num>
  <w:num w:numId="12">
    <w:abstractNumId w:val="21"/>
  </w:num>
  <w:num w:numId="13">
    <w:abstractNumId w:val="6"/>
  </w:num>
  <w:num w:numId="14">
    <w:abstractNumId w:val="38"/>
  </w:num>
  <w:num w:numId="15">
    <w:abstractNumId w:val="22"/>
  </w:num>
  <w:num w:numId="16">
    <w:abstractNumId w:val="16"/>
  </w:num>
  <w:num w:numId="17">
    <w:abstractNumId w:val="29"/>
  </w:num>
  <w:num w:numId="18">
    <w:abstractNumId w:val="37"/>
  </w:num>
  <w:num w:numId="19">
    <w:abstractNumId w:val="27"/>
  </w:num>
  <w:num w:numId="20">
    <w:abstractNumId w:val="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1"/>
  </w:num>
  <w:num w:numId="25">
    <w:abstractNumId w:val="1"/>
  </w:num>
  <w:num w:numId="26">
    <w:abstractNumId w:val="7"/>
  </w:num>
  <w:num w:numId="27">
    <w:abstractNumId w:val="9"/>
  </w:num>
  <w:num w:numId="28">
    <w:abstractNumId w:val="13"/>
  </w:num>
  <w:num w:numId="29">
    <w:abstractNumId w:val="30"/>
  </w:num>
  <w:num w:numId="30">
    <w:abstractNumId w:val="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7"/>
  </w:num>
  <w:num w:numId="34">
    <w:abstractNumId w:val="36"/>
  </w:num>
  <w:num w:numId="35">
    <w:abstractNumId w:val="5"/>
  </w:num>
  <w:num w:numId="36">
    <w:abstractNumId w:val="20"/>
  </w:num>
  <w:num w:numId="37">
    <w:abstractNumId w:val="10"/>
  </w:num>
  <w:num w:numId="38">
    <w:abstractNumId w:val="32"/>
  </w:num>
  <w:num w:numId="39">
    <w:abstractNumId w:val="1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41443"/>
    <w:rsid w:val="00053809"/>
    <w:rsid w:val="000578CC"/>
    <w:rsid w:val="000615F1"/>
    <w:rsid w:val="00064F78"/>
    <w:rsid w:val="000704B1"/>
    <w:rsid w:val="00082AB7"/>
    <w:rsid w:val="0009749C"/>
    <w:rsid w:val="000A470A"/>
    <w:rsid w:val="000A6833"/>
    <w:rsid w:val="000B1692"/>
    <w:rsid w:val="000B1E4A"/>
    <w:rsid w:val="000B554D"/>
    <w:rsid w:val="000C1666"/>
    <w:rsid w:val="000C7A68"/>
    <w:rsid w:val="000E7F59"/>
    <w:rsid w:val="000F1E77"/>
    <w:rsid w:val="00111681"/>
    <w:rsid w:val="00117B47"/>
    <w:rsid w:val="00120600"/>
    <w:rsid w:val="001268E9"/>
    <w:rsid w:val="00130245"/>
    <w:rsid w:val="00134848"/>
    <w:rsid w:val="00135BAF"/>
    <w:rsid w:val="001372B0"/>
    <w:rsid w:val="00137E3A"/>
    <w:rsid w:val="00144235"/>
    <w:rsid w:val="001652AA"/>
    <w:rsid w:val="00190AFA"/>
    <w:rsid w:val="00194544"/>
    <w:rsid w:val="001B2BDE"/>
    <w:rsid w:val="001B604D"/>
    <w:rsid w:val="001C3453"/>
    <w:rsid w:val="001F4159"/>
    <w:rsid w:val="001F4487"/>
    <w:rsid w:val="0020206C"/>
    <w:rsid w:val="00206978"/>
    <w:rsid w:val="0021003A"/>
    <w:rsid w:val="00223EAC"/>
    <w:rsid w:val="00230206"/>
    <w:rsid w:val="0023609E"/>
    <w:rsid w:val="00244776"/>
    <w:rsid w:val="002536CF"/>
    <w:rsid w:val="00256B55"/>
    <w:rsid w:val="00260274"/>
    <w:rsid w:val="0026452F"/>
    <w:rsid w:val="002648BE"/>
    <w:rsid w:val="00267DE2"/>
    <w:rsid w:val="0029404D"/>
    <w:rsid w:val="002B1760"/>
    <w:rsid w:val="002C1B68"/>
    <w:rsid w:val="002C383D"/>
    <w:rsid w:val="002D1D33"/>
    <w:rsid w:val="002D531D"/>
    <w:rsid w:val="002E0DF4"/>
    <w:rsid w:val="002E5220"/>
    <w:rsid w:val="00316725"/>
    <w:rsid w:val="00342372"/>
    <w:rsid w:val="003468A4"/>
    <w:rsid w:val="00354559"/>
    <w:rsid w:val="0035672D"/>
    <w:rsid w:val="003625CC"/>
    <w:rsid w:val="003A10C2"/>
    <w:rsid w:val="003B2640"/>
    <w:rsid w:val="003B54B3"/>
    <w:rsid w:val="003C24E7"/>
    <w:rsid w:val="003D2130"/>
    <w:rsid w:val="003D7E7B"/>
    <w:rsid w:val="003E15C4"/>
    <w:rsid w:val="003E6A6E"/>
    <w:rsid w:val="003F6BB8"/>
    <w:rsid w:val="0041505B"/>
    <w:rsid w:val="004242F2"/>
    <w:rsid w:val="00425628"/>
    <w:rsid w:val="00435EA5"/>
    <w:rsid w:val="00444423"/>
    <w:rsid w:val="00454DEC"/>
    <w:rsid w:val="004656BC"/>
    <w:rsid w:val="00493D61"/>
    <w:rsid w:val="004A0C6B"/>
    <w:rsid w:val="004E15C7"/>
    <w:rsid w:val="004E2345"/>
    <w:rsid w:val="004E42F1"/>
    <w:rsid w:val="004E4B9F"/>
    <w:rsid w:val="004F40FD"/>
    <w:rsid w:val="004F5153"/>
    <w:rsid w:val="0051238D"/>
    <w:rsid w:val="005254F3"/>
    <w:rsid w:val="005359BF"/>
    <w:rsid w:val="005531B6"/>
    <w:rsid w:val="00553D43"/>
    <w:rsid w:val="00561B00"/>
    <w:rsid w:val="0056478A"/>
    <w:rsid w:val="00571A4A"/>
    <w:rsid w:val="00591803"/>
    <w:rsid w:val="005A4A62"/>
    <w:rsid w:val="005A624A"/>
    <w:rsid w:val="005B6B1C"/>
    <w:rsid w:val="005D593D"/>
    <w:rsid w:val="005F3FF1"/>
    <w:rsid w:val="006027C3"/>
    <w:rsid w:val="006261B6"/>
    <w:rsid w:val="00630EBC"/>
    <w:rsid w:val="006535A3"/>
    <w:rsid w:val="00654047"/>
    <w:rsid w:val="00655B77"/>
    <w:rsid w:val="006629EE"/>
    <w:rsid w:val="00675360"/>
    <w:rsid w:val="00681C04"/>
    <w:rsid w:val="00683338"/>
    <w:rsid w:val="00692314"/>
    <w:rsid w:val="006A45DC"/>
    <w:rsid w:val="006C7D0B"/>
    <w:rsid w:val="006F7106"/>
    <w:rsid w:val="00704604"/>
    <w:rsid w:val="007079EE"/>
    <w:rsid w:val="00714C89"/>
    <w:rsid w:val="007219D3"/>
    <w:rsid w:val="00732B28"/>
    <w:rsid w:val="007345A7"/>
    <w:rsid w:val="00770959"/>
    <w:rsid w:val="00774A85"/>
    <w:rsid w:val="007760F9"/>
    <w:rsid w:val="00783F54"/>
    <w:rsid w:val="007843D1"/>
    <w:rsid w:val="00792155"/>
    <w:rsid w:val="00792348"/>
    <w:rsid w:val="00792763"/>
    <w:rsid w:val="007A0005"/>
    <w:rsid w:val="007A402E"/>
    <w:rsid w:val="007C6526"/>
    <w:rsid w:val="007D45E8"/>
    <w:rsid w:val="007D4A48"/>
    <w:rsid w:val="0081308A"/>
    <w:rsid w:val="0081462E"/>
    <w:rsid w:val="00817964"/>
    <w:rsid w:val="0082515A"/>
    <w:rsid w:val="00825F36"/>
    <w:rsid w:val="008311D3"/>
    <w:rsid w:val="00836A0A"/>
    <w:rsid w:val="008415C1"/>
    <w:rsid w:val="00842AE7"/>
    <w:rsid w:val="008704F4"/>
    <w:rsid w:val="00870735"/>
    <w:rsid w:val="00871D55"/>
    <w:rsid w:val="0088435F"/>
    <w:rsid w:val="008849B8"/>
    <w:rsid w:val="00885F80"/>
    <w:rsid w:val="00886577"/>
    <w:rsid w:val="00892A0E"/>
    <w:rsid w:val="008A5A12"/>
    <w:rsid w:val="008D0599"/>
    <w:rsid w:val="008D06E5"/>
    <w:rsid w:val="008E16E4"/>
    <w:rsid w:val="008F2653"/>
    <w:rsid w:val="008F4B51"/>
    <w:rsid w:val="009179E0"/>
    <w:rsid w:val="00941A88"/>
    <w:rsid w:val="00961CA6"/>
    <w:rsid w:val="009655C1"/>
    <w:rsid w:val="009747DB"/>
    <w:rsid w:val="00981EF8"/>
    <w:rsid w:val="00986E6E"/>
    <w:rsid w:val="00992F46"/>
    <w:rsid w:val="009B1E9E"/>
    <w:rsid w:val="009D3673"/>
    <w:rsid w:val="009F7C6A"/>
    <w:rsid w:val="00A041AF"/>
    <w:rsid w:val="00A1164D"/>
    <w:rsid w:val="00A2119A"/>
    <w:rsid w:val="00A35B5F"/>
    <w:rsid w:val="00A36A65"/>
    <w:rsid w:val="00A37F73"/>
    <w:rsid w:val="00A465C6"/>
    <w:rsid w:val="00A550CA"/>
    <w:rsid w:val="00A74389"/>
    <w:rsid w:val="00A75239"/>
    <w:rsid w:val="00A77C42"/>
    <w:rsid w:val="00A93454"/>
    <w:rsid w:val="00A95A51"/>
    <w:rsid w:val="00A97790"/>
    <w:rsid w:val="00A979E2"/>
    <w:rsid w:val="00AA153C"/>
    <w:rsid w:val="00AA22C2"/>
    <w:rsid w:val="00AC01CA"/>
    <w:rsid w:val="00AD0B25"/>
    <w:rsid w:val="00AD2D90"/>
    <w:rsid w:val="00AD30C0"/>
    <w:rsid w:val="00AD34C6"/>
    <w:rsid w:val="00AD404A"/>
    <w:rsid w:val="00AD753F"/>
    <w:rsid w:val="00AF15AF"/>
    <w:rsid w:val="00B01467"/>
    <w:rsid w:val="00B02063"/>
    <w:rsid w:val="00B11C54"/>
    <w:rsid w:val="00B14E63"/>
    <w:rsid w:val="00B218CE"/>
    <w:rsid w:val="00B21ADF"/>
    <w:rsid w:val="00B3387E"/>
    <w:rsid w:val="00B36DB4"/>
    <w:rsid w:val="00B41162"/>
    <w:rsid w:val="00B44995"/>
    <w:rsid w:val="00B84DF1"/>
    <w:rsid w:val="00B87F63"/>
    <w:rsid w:val="00B91685"/>
    <w:rsid w:val="00BA0F8F"/>
    <w:rsid w:val="00BA13E7"/>
    <w:rsid w:val="00BD1C92"/>
    <w:rsid w:val="00BD6479"/>
    <w:rsid w:val="00C00ED0"/>
    <w:rsid w:val="00C40549"/>
    <w:rsid w:val="00C40B7F"/>
    <w:rsid w:val="00C43178"/>
    <w:rsid w:val="00C502DE"/>
    <w:rsid w:val="00C51DA9"/>
    <w:rsid w:val="00C56767"/>
    <w:rsid w:val="00C62E93"/>
    <w:rsid w:val="00C739EE"/>
    <w:rsid w:val="00C80FCD"/>
    <w:rsid w:val="00CB4A28"/>
    <w:rsid w:val="00CC0031"/>
    <w:rsid w:val="00CC616B"/>
    <w:rsid w:val="00CD27D3"/>
    <w:rsid w:val="00CF698F"/>
    <w:rsid w:val="00D132AB"/>
    <w:rsid w:val="00D26F1F"/>
    <w:rsid w:val="00D40FFE"/>
    <w:rsid w:val="00D45DA1"/>
    <w:rsid w:val="00D55102"/>
    <w:rsid w:val="00D613D7"/>
    <w:rsid w:val="00D66175"/>
    <w:rsid w:val="00D82D8C"/>
    <w:rsid w:val="00D8309B"/>
    <w:rsid w:val="00DA717F"/>
    <w:rsid w:val="00DB20B2"/>
    <w:rsid w:val="00DB43E9"/>
    <w:rsid w:val="00DC2BB2"/>
    <w:rsid w:val="00DC4B10"/>
    <w:rsid w:val="00DC7C5B"/>
    <w:rsid w:val="00DD2D9F"/>
    <w:rsid w:val="00DD370B"/>
    <w:rsid w:val="00DD6FA9"/>
    <w:rsid w:val="00DE7478"/>
    <w:rsid w:val="00DF2FE0"/>
    <w:rsid w:val="00DF36EF"/>
    <w:rsid w:val="00E00C4A"/>
    <w:rsid w:val="00E10775"/>
    <w:rsid w:val="00E13F7B"/>
    <w:rsid w:val="00E30F92"/>
    <w:rsid w:val="00E838FA"/>
    <w:rsid w:val="00E90EDD"/>
    <w:rsid w:val="00E9155D"/>
    <w:rsid w:val="00E962AE"/>
    <w:rsid w:val="00EB041A"/>
    <w:rsid w:val="00EB3633"/>
    <w:rsid w:val="00EC5163"/>
    <w:rsid w:val="00ED7ABF"/>
    <w:rsid w:val="00EF1144"/>
    <w:rsid w:val="00EF1CA8"/>
    <w:rsid w:val="00EF2A03"/>
    <w:rsid w:val="00EF4F1C"/>
    <w:rsid w:val="00F03EF3"/>
    <w:rsid w:val="00F167E6"/>
    <w:rsid w:val="00F17BCE"/>
    <w:rsid w:val="00F24B38"/>
    <w:rsid w:val="00F321D3"/>
    <w:rsid w:val="00F40827"/>
    <w:rsid w:val="00F441EB"/>
    <w:rsid w:val="00F467FD"/>
    <w:rsid w:val="00F52821"/>
    <w:rsid w:val="00F57E83"/>
    <w:rsid w:val="00F7510D"/>
    <w:rsid w:val="00F83ABE"/>
    <w:rsid w:val="00F85EBB"/>
    <w:rsid w:val="00F916D5"/>
    <w:rsid w:val="00F97F2C"/>
    <w:rsid w:val="00FB07EE"/>
    <w:rsid w:val="00FB69D2"/>
    <w:rsid w:val="00FD076D"/>
    <w:rsid w:val="00FE0DD2"/>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customStyle="1" w:styleId="m5907675151158779931gmail-msolistparagraph">
    <w:name w:val="m_5907675151158779931gmail-msolistparagraph"/>
    <w:basedOn w:val="Normal"/>
    <w:rsid w:val="00AD34C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76671">
      <w:bodyDiv w:val="1"/>
      <w:marLeft w:val="0"/>
      <w:marRight w:val="0"/>
      <w:marTop w:val="0"/>
      <w:marBottom w:val="0"/>
      <w:divBdr>
        <w:top w:val="none" w:sz="0" w:space="0" w:color="auto"/>
        <w:left w:val="none" w:sz="0" w:space="0" w:color="auto"/>
        <w:bottom w:val="none" w:sz="0" w:space="0" w:color="auto"/>
        <w:right w:val="none" w:sz="0" w:space="0" w:color="auto"/>
      </w:divBdr>
    </w:div>
    <w:div w:id="1923833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A851BC-5376-4198-80C6-530DF33B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4336</Words>
  <Characters>23854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16</cp:revision>
  <cp:lastPrinted>2026-03-26T21:25:00Z</cp:lastPrinted>
  <dcterms:created xsi:type="dcterms:W3CDTF">2026-03-17T22:00:00Z</dcterms:created>
  <dcterms:modified xsi:type="dcterms:W3CDTF">2026-04-08T23:15:00Z</dcterms:modified>
</cp:coreProperties>
</file>