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ind w:right="49"/>
        <w:jc w:val="both"/>
        <w:rPr>
          <w:rFonts w:ascii="Palatino Linotype" w:cs="Palatino Linotype" w:eastAsia="Palatino Linotype" w:hAnsi="Palatino Linotype"/>
        </w:rPr>
      </w:pPr>
      <w:bookmarkStart w:colFirst="0" w:colLast="0" w:name="_heading=h.2qw5u0sw9sip"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w:t>
      </w:r>
      <w:r w:rsidDel="00000000" w:rsidR="00000000" w:rsidRPr="00000000">
        <w:rPr>
          <w:rFonts w:ascii="Palatino Linotype" w:cs="Palatino Linotype" w:eastAsia="Palatino Linotype" w:hAnsi="Palatino Linotype"/>
          <w:b w:val="1"/>
          <w:bCs w:val="1"/>
          <w:rtl w:val="0"/>
        </w:rPr>
        <w:t xml:space="preserve">diecinueve de marzo de dos mil veintiséis</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0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after="0" w:line="360" w:lineRule="auto"/>
        <w:ind w:right="49"/>
        <w:jc w:val="both"/>
        <w:rPr>
          <w:rFonts w:ascii="Palatino Linotype" w:cs="Palatino Linotype" w:eastAsia="Palatino Linotype" w:hAnsi="Palatino Linotype"/>
        </w:rPr>
      </w:pPr>
      <w:bookmarkStart w:colFirst="0" w:colLast="0" w:name="_heading=h.4g0zg630mvu9" w:id="1"/>
      <w:bookmarkEnd w:id="1"/>
      <w:r w:rsidDel="00000000" w:rsidR="00000000" w:rsidRPr="00000000">
        <w:rPr>
          <w:rFonts w:ascii="Palatino Linotype" w:cs="Palatino Linotype" w:eastAsia="Palatino Linotype" w:hAnsi="Palatino Linotype"/>
          <w:rtl w:val="0"/>
        </w:rPr>
        <w:t xml:space="preserve">Visto el expediente relativo al recurso de revisión </w:t>
      </w:r>
      <w:r w:rsidDel="00000000" w:rsidR="00000000" w:rsidRPr="00000000">
        <w:rPr>
          <w:rFonts w:ascii="Palatino Linotype" w:cs="Palatino Linotype" w:eastAsia="Palatino Linotype" w:hAnsi="Palatino Linotype"/>
          <w:b w:val="1"/>
          <w:bCs w:val="1"/>
          <w:rtl w:val="0"/>
        </w:rPr>
        <w:t xml:space="preserve">01219/INFOEM/IP/RR/2026</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bCs w:val="1"/>
          <w:rtl w:val="0"/>
        </w:rPr>
        <w:t xml:space="preserve">XXXXXXX XXXXXX XXXXX,</w:t>
      </w:r>
      <w:r w:rsidDel="00000000" w:rsidR="00000000" w:rsidRPr="00000000">
        <w:rPr>
          <w:rFonts w:ascii="Palatino Linotype" w:cs="Palatino Linotype" w:eastAsia="Palatino Linotype" w:hAnsi="Palatino Linotype"/>
          <w:rtl w:val="0"/>
        </w:rPr>
        <w:t xml:space="preserve"> en lo sucesivo se le denominará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en contra la respuesta a su solicitud de información identificada con número de folio </w:t>
      </w:r>
      <w:r w:rsidDel="00000000" w:rsidR="00000000" w:rsidRPr="00000000">
        <w:rPr>
          <w:rFonts w:ascii="Palatino Linotype" w:cs="Palatino Linotype" w:eastAsia="Palatino Linotype" w:hAnsi="Palatino Linotype"/>
          <w:b w:val="1"/>
          <w:bCs w:val="1"/>
          <w:rtl w:val="0"/>
        </w:rPr>
        <w:t xml:space="preserve">00361/BIENESTAR/IP/2025 </w:t>
      </w:r>
      <w:r w:rsidDel="00000000" w:rsidR="00000000" w:rsidRPr="00000000">
        <w:rPr>
          <w:rFonts w:ascii="Palatino Linotype" w:cs="Palatino Linotype" w:eastAsia="Palatino Linotype" w:hAnsi="Palatino Linotype"/>
          <w:rtl w:val="0"/>
        </w:rPr>
        <w:t xml:space="preserve">proporcionada por parte de la </w:t>
      </w:r>
      <w:r w:rsidDel="00000000" w:rsidR="00000000" w:rsidRPr="00000000">
        <w:rPr>
          <w:rFonts w:ascii="Palatino Linotype" w:cs="Palatino Linotype" w:eastAsia="Palatino Linotype" w:hAnsi="Palatino Linotype"/>
          <w:b w:val="1"/>
          <w:bCs w:val="1"/>
          <w:rtl w:val="0"/>
        </w:rPr>
        <w:t xml:space="preserve">Secretaría del Bienestar</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se procede a dictar la presente resolución, con base en los siguientes:</w:t>
      </w:r>
    </w:p>
    <w:p w:rsidR="00000000" w:rsidDel="00000000" w:rsidP="00000000" w:rsidRDefault="00000000" w:rsidRPr="00000000" w14:paraId="0000000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5">
      <w:pPr>
        <w:spacing w:after="0" w:line="360" w:lineRule="auto"/>
        <w:ind w:right="49"/>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I.</w:t>
        <w:tab/>
        <w:t xml:space="preserve">A N T E C E D E N T E S</w:t>
      </w:r>
    </w:p>
    <w:p w:rsidR="00000000" w:rsidDel="00000000" w:rsidP="00000000" w:rsidRDefault="00000000" w:rsidRPr="00000000" w14:paraId="0000000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7">
      <w:pPr>
        <w:numPr>
          <w:ilvl w:val="0"/>
          <w:numId w:val="5"/>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bCs w:val="1"/>
          <w:rtl w:val="0"/>
        </w:rPr>
        <w:t xml:space="preserve">diecisiete de diciembre de dos mil veinticinco</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información pública al</w:t>
      </w:r>
      <w:r w:rsidDel="00000000" w:rsidR="00000000" w:rsidRPr="00000000">
        <w:rPr>
          <w:rFonts w:ascii="Palatino Linotype" w:cs="Palatino Linotype" w:eastAsia="Palatino Linotype" w:hAnsi="Palatino Linotype"/>
          <w:b w:val="1"/>
          <w:bCs w:val="1"/>
          <w:rtl w:val="0"/>
        </w:rPr>
        <w:t xml:space="preserve"> SUJETO OBLIGADO, </w:t>
      </w:r>
      <w:r w:rsidDel="00000000" w:rsidR="00000000" w:rsidRPr="00000000">
        <w:rPr>
          <w:rFonts w:ascii="Palatino Linotype" w:cs="Palatino Linotype" w:eastAsia="Palatino Linotype" w:hAnsi="Palatino Linotype"/>
          <w:rtl w:val="0"/>
        </w:rPr>
        <w:t xml:space="preserve">a través del Sistema de Acceso a la Información Mexiquense, en adelante SAIMEX, en la que requirió lo siguiente: </w:t>
      </w:r>
    </w:p>
    <w:p w:rsidR="00000000" w:rsidDel="00000000" w:rsidP="00000000" w:rsidRDefault="00000000" w:rsidRPr="00000000" w14:paraId="0000000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9">
      <w:pPr>
        <w:spacing w:after="0" w:line="360" w:lineRule="auto"/>
        <w:ind w:left="851" w:right="843" w:firstLine="0"/>
        <w:jc w:val="both"/>
        <w:rPr>
          <w:rFonts w:ascii="Palatino Linotype" w:cs="Palatino Linotype" w:eastAsia="Palatino Linotype" w:hAnsi="Palatino Linotype"/>
          <w:i w:val="1"/>
          <w:iCs w:val="1"/>
        </w:rPr>
      </w:pPr>
      <w:bookmarkStart w:colFirst="0" w:colLast="0" w:name="_heading=h.lgwl3bsbzc6a" w:id="2"/>
      <w:bookmarkEnd w:id="2"/>
      <w:r w:rsidDel="00000000" w:rsidR="00000000" w:rsidRPr="00000000">
        <w:rPr>
          <w:rFonts w:ascii="Palatino Linotype" w:cs="Palatino Linotype" w:eastAsia="Palatino Linotype" w:hAnsi="Palatino Linotype"/>
          <w:i w:val="1"/>
          <w:iCs w:val="1"/>
          <w:rtl w:val="0"/>
        </w:rPr>
        <w:t xml:space="preserve">“Con fundamento en el artículo 6° de la Constitución Política de los Estados Unidos Mexicanos, así como en los artículos 3, 23 y 92 de la Ley de Transparencia y Acceso a la Información Pública del Estado de México y Municipios, solicito se me informe si dentro de la Secretaría de Bienestar del Estado de México existen relaciones de parentesco por consanguinidad, afinidad o civil hasta el cuarto grado, entre personas servidoras públicas adscritas a dicha dependencia. De manera específica, solicito se informe si existe algún tipo de relación de parentesco entre las siguientes personas servidoras públicas: • Juan Carlos González Romero • Diana González Vallejo • Victoria González Herrera • Ana González González • Alma González Macedo • Jonathan Jesua González Gurrión • Marisol Páez González • Alejandra Odett González Mondragón • Laura Alejandra González Castillo • José Martín González Vázquez • Grisel Barrientos González Asimismo, solicito se informe si existen relaciones de parentesco entre cualquiera de las personas antes mencionadas y otras personas servidoras públicas que laboren o hayan laborado en la Secretaría de Bienestar del Estado de México, aun cuando estas no se encuentren listadas expresamente en la presente solicitud. En caso de que exista alguna relación de parentesco, solicito se indique: 1. Nombre completo de las personas relacionadas. 2. Tipo de parentesco existente. 3. Cargo y área de adscripción de cada una. 4. Si existe o existió relación jerárquica directa o indirecta entre ellas. La presente solicitud se realiza con el objeto de verificar el cumplimiento de los principios de legalidad, imparcialidad, rendición de cuentas y prevención de conflictos de interés, conforme a lo establecido en el artículo 7, fracción III, y artículo 52 de la Ley de Responsabilidades Administrativas del Estado de México y Municipios, así como en los artículos 4 y 24, fracción VIII, de la Ley General de Transparencia y Acceso a la Información Pública, sin que ello implique imputación, acusación o señalamiento alguno en contra de persona determinada. Se solicita que la información sea proporcionada en versión pública, en términos de la normativa aplicable, garantizando el derecho de acceso a la información pública.”. </w:t>
      </w:r>
    </w:p>
    <w:p w:rsidR="00000000" w:rsidDel="00000000" w:rsidP="00000000" w:rsidRDefault="00000000" w:rsidRPr="00000000" w14:paraId="0000000A">
      <w:pPr>
        <w:spacing w:after="0" w:line="360" w:lineRule="auto"/>
        <w:ind w:left="567" w:right="560"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0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Modalidad elegida para la entrega de la información:</w:t>
      </w:r>
      <w:r w:rsidDel="00000000" w:rsidR="00000000" w:rsidRPr="00000000">
        <w:rPr>
          <w:rFonts w:ascii="Palatino Linotype" w:cs="Palatino Linotype" w:eastAsia="Palatino Linotype" w:hAnsi="Palatino Linotype"/>
          <w:rtl w:val="0"/>
        </w:rPr>
        <w:t xml:space="preserve"> a través del Sistema de Acceso a la Información Mexiquense (SAIMEX).</w:t>
      </w:r>
    </w:p>
    <w:p w:rsidR="00000000" w:rsidDel="00000000" w:rsidP="00000000" w:rsidRDefault="00000000" w:rsidRPr="00000000" w14:paraId="0000000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2. Respuesta.</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bCs w:val="1"/>
          <w:rtl w:val="0"/>
        </w:rPr>
        <w:t xml:space="preserve">veinte de enero de dos mil veinticinco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envió su respuesta a la solicitud de acceso a la información a través del SAIMEX, la cual versa como sigue:</w:t>
      </w:r>
    </w:p>
    <w:p w:rsidR="00000000" w:rsidDel="00000000" w:rsidP="00000000" w:rsidRDefault="00000000" w:rsidRPr="00000000" w14:paraId="0000000D">
      <w:pPr>
        <w:spacing w:after="0" w:line="36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E">
      <w:pPr>
        <w:spacing w:after="0" w:line="36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Se anexa oficio de respuesta número SBIENESTAREDOMEX/UT/361/2026, de fecha 20 de enero de 2026.</w:t>
      </w:r>
    </w:p>
    <w:p w:rsidR="00000000" w:rsidDel="00000000" w:rsidP="00000000" w:rsidRDefault="00000000" w:rsidRPr="00000000" w14:paraId="0000000F">
      <w:pPr>
        <w:spacing w:after="0" w:line="36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ATENTAMENTE</w:t>
      </w:r>
    </w:p>
    <w:p w:rsidR="00000000" w:rsidDel="00000000" w:rsidP="00000000" w:rsidRDefault="00000000" w:rsidRPr="00000000" w14:paraId="00000010">
      <w:pPr>
        <w:spacing w:after="0" w:line="36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MTRO. FELIPE DE JESÚS AYALA GUADARRAMA”</w:t>
      </w:r>
    </w:p>
    <w:p w:rsidR="00000000" w:rsidDel="00000000" w:rsidP="00000000" w:rsidRDefault="00000000" w:rsidRPr="00000000" w14:paraId="00000011">
      <w:pPr>
        <w:spacing w:after="0" w:line="360" w:lineRule="auto"/>
        <w:ind w:right="843"/>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12">
      <w:pPr>
        <w:spacing w:after="0" w:line="360" w:lineRule="auto"/>
        <w:ind w:right="84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Sujeto Obligado adjuntó a su respuesta el documento electrónico denominado </w:t>
      </w:r>
      <w:r w:rsidDel="00000000" w:rsidR="00000000" w:rsidRPr="00000000">
        <w:rPr>
          <w:rFonts w:ascii="Palatino Linotype" w:cs="Palatino Linotype" w:eastAsia="Palatino Linotype" w:hAnsi="Palatino Linotype"/>
          <w:b w:val="1"/>
          <w:bCs w:val="1"/>
          <w:i w:val="1"/>
          <w:iCs w:val="1"/>
          <w:rtl w:val="0"/>
        </w:rPr>
        <w:t xml:space="preserve">361 – C XXXX XXXX XXXX – Unidad de Transparencia – 0361.pdf </w:t>
      </w:r>
      <w:r w:rsidDel="00000000" w:rsidR="00000000" w:rsidRPr="00000000">
        <w:rPr>
          <w:rFonts w:ascii="Palatino Linotype" w:cs="Palatino Linotype" w:eastAsia="Palatino Linotype" w:hAnsi="Palatino Linotype"/>
          <w:rtl w:val="0"/>
        </w:rPr>
        <w:t xml:space="preserve">que contiene un oficio signado por el Titular de la Unidad de Transparencia mediante el cual refiere que la Dirección de Administración de Personal de la Coordinación Administrativa no cuenta con registro alguno de parentesco de los servidores públicos de la Secretaría, en el sentido de que no se cuenta con la obligación de solicitar a los servicios públicos dentro de los documentos necesarios para su ingreso a laboral, la presentación de un soporte documental en el que se establezca el parentesco que una persona tiene con otras, ya sea por consanguinidad, afinidad o civil hasta el cuarto grado.</w:t>
      </w:r>
    </w:p>
    <w:p w:rsidR="00000000" w:rsidDel="00000000" w:rsidP="00000000" w:rsidRDefault="00000000" w:rsidRPr="00000000" w14:paraId="00000013">
      <w:pPr>
        <w:spacing w:after="0" w:line="360" w:lineRule="auto"/>
        <w:ind w:right="84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3. Interposición del Recurso de Revisión</w:t>
      </w:r>
      <w:r w:rsidDel="00000000" w:rsidR="00000000" w:rsidRPr="00000000">
        <w:rPr>
          <w:rFonts w:ascii="Palatino Linotype" w:cs="Palatino Linotype" w:eastAsia="Palatino Linotype" w:hAnsi="Palatino Linotype"/>
          <w:rtl w:val="0"/>
        </w:rPr>
        <w:t xml:space="preserve">. La parte Solicitante, derivado de la respuesta del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interpuso Recurso de Revisión a través del </w:t>
      </w:r>
      <w:r w:rsidDel="00000000" w:rsidR="00000000" w:rsidRPr="00000000">
        <w:rPr>
          <w:rFonts w:ascii="Palatino Linotype" w:cs="Palatino Linotype" w:eastAsia="Palatino Linotype" w:hAnsi="Palatino Linotype"/>
          <w:b w:val="1"/>
          <w:bCs w:val="1"/>
          <w:rtl w:val="0"/>
        </w:rPr>
        <w:t xml:space="preserve">SAIMEX</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bCs w:val="1"/>
          <w:rtl w:val="0"/>
        </w:rPr>
        <w:t xml:space="preserve">tres febrero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bCs w:val="1"/>
          <w:rtl w:val="0"/>
        </w:rPr>
        <w:t xml:space="preserve">de dos mil veintiséis</w:t>
      </w:r>
      <w:r w:rsidDel="00000000" w:rsidR="00000000" w:rsidRPr="00000000">
        <w:rPr>
          <w:rFonts w:ascii="Palatino Linotype" w:cs="Palatino Linotype" w:eastAsia="Palatino Linotype" w:hAnsi="Palatino Linotype"/>
          <w:rtl w:val="0"/>
        </w:rPr>
        <w:t xml:space="preserve">, a través del cual expresó lo siguiente:</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6">
      <w:pPr>
        <w:spacing w:after="0" w:line="360" w:lineRule="auto"/>
        <w:ind w:left="426"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Acto impugnado. </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i w:val="1"/>
          <w:iCs w:val="1"/>
          <w:rtl w:val="0"/>
        </w:rPr>
        <w:t xml:space="preserve">Con fundamento en lo dispuesto por los artículos 6 y 7 de la Constitución Política de los Estados Unidos Mexicanos, así como en los artículos 3, 23 y 92 de la Ley de Transparencia y Acceso a la Información Pública del Estado de México y Municipios, me permito manifestar mi inconformidad respecto a la respuesta otorgada en relación con mi solicitud de información pública, bajo el folio 00361/BIENESTAR/IP/2025. De acuerdo con el artículo 6 de la Constitución, toda persona tiene derecho a acceder a la información pública en posesión de los sujetos obligados, y este derecho no puede ser restringido sin justificación legal. En este caso, la información solicitada está vinculada directamente con la prevención de conflictos de interés dentro de la Secretaría de Bienestar, y su no entrega podría contravenir los principios de legalidad y transparencia. Artículo 3 de la Ley de Transparencia y Acceso a la Información Pública del Estado de México y Municipios establece que toda persona tiene derecho a solicitar información pública, sin necesidad de justificar su petición. Además, el artículo 24 de esta misma ley, que regula el acceso a la información, establece que los sujetos obligados están obligados a proporcionar información que obra en sus archivos y a dar respuesta en un plazo no mayor a 20 días hábiles.</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17">
      <w:pPr>
        <w:spacing w:after="0" w:line="360" w:lineRule="auto"/>
        <w:ind w:left="426"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leader="none" w:pos="1276"/>
        </w:tabs>
        <w:spacing w:after="0" w:line="360" w:lineRule="auto"/>
        <w:ind w:left="426"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rtl w:val="0"/>
        </w:rPr>
        <w:t xml:space="preserve">Razones o motivos de la inconformidad: </w:t>
      </w:r>
      <w:r w:rsidDel="00000000" w:rsidR="00000000" w:rsidRPr="00000000">
        <w:rPr>
          <w:rFonts w:ascii="Palatino Linotype" w:cs="Palatino Linotype" w:eastAsia="Palatino Linotype" w:hAnsi="Palatino Linotype"/>
          <w:i w:val="1"/>
          <w:iCs w:val="1"/>
          <w:rtl w:val="0"/>
        </w:rPr>
        <w:t xml:space="preserve">“En este contexto, mi solicitud tiene como fin verificar posibles conflictos de interés entre servidores públicos que pudieran afectar el correcto ejercicio de sus funciones, y considero que esta información es relevante para el cumplimiento de los principios de imparcialidad y transparencia que deben regir la administración pública. Asimismo, invoco el artículo 7, fracción III, de la Ley de Responsabilidades Administrativas del Estado de México, que establece como un principio fundamental que los servidores públicos deben actuar sin que existan intereses personales o familiares que interfieran en el ejercicio imparcial de sus funciones. De ser así, la falta de información sobre los vínculos de parentesco solicitados podría generar un riesgo de conflicto de interés, afectando la credibilidad y legitimidad de las acciones de la Secretaría de Bienestar. Por todo lo anterior, solicito de manera formal que se reconsidere la negativa y se brinde la información solicitada, en cumplimiento de los derechos de acceso a la información establecidos en nuestra legislación.”. </w:t>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leader="none" w:pos="1276"/>
        </w:tabs>
        <w:spacing w:after="0" w:line="360" w:lineRule="auto"/>
        <w:ind w:left="851" w:right="560" w:firstLine="0"/>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leader="none" w:pos="284"/>
        </w:tabs>
        <w:spacing w:after="0" w:line="360" w:lineRule="auto"/>
        <w:ind w:right="49"/>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4. Turno.</w:t>
      </w:r>
      <w:r w:rsidDel="00000000" w:rsidR="00000000" w:rsidRPr="00000000">
        <w:rPr>
          <w:rFonts w:ascii="Palatino Linotype" w:cs="Palatino Linotype" w:eastAsia="Palatino Linotype" w:hAnsi="Palatino Linotype"/>
          <w:rtl w:val="0"/>
        </w:rPr>
        <w:t xml:space="preserve"> 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bCs w:val="1"/>
          <w:rtl w:val="0"/>
        </w:rPr>
        <w:t xml:space="preserve">01219/INFOEM/IP/RR/2026</w:t>
      </w:r>
      <w:r w:rsidDel="00000000" w:rsidR="00000000" w:rsidRPr="00000000">
        <w:rPr>
          <w:rFonts w:ascii="Palatino Linotype" w:cs="Palatino Linotype" w:eastAsia="Palatino Linotype" w:hAnsi="Palatino Linotype"/>
          <w:rtl w:val="0"/>
        </w:rPr>
        <w:t xml:space="preserve">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5. </w:t>
      </w:r>
      <w:r w:rsidDel="00000000" w:rsidR="00000000" w:rsidRPr="00000000">
        <w:rPr>
          <w:rFonts w:ascii="Palatino Linotype" w:cs="Palatino Linotype" w:eastAsia="Palatino Linotype" w:hAnsi="Palatino Linotype"/>
          <w:b w:val="1"/>
          <w:bCs w:val="1"/>
          <w:rtl w:val="0"/>
        </w:rPr>
        <w:t xml:space="preserve">Admisión del recurso de revisión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bCs w:val="1"/>
          <w:rtl w:val="0"/>
        </w:rPr>
        <w:t xml:space="preserve">seis de febrero de dos mil veintiséis</w:t>
      </w:r>
      <w:r w:rsidDel="00000000" w:rsidR="00000000" w:rsidRPr="00000000">
        <w:rPr>
          <w:rFonts w:ascii="Palatino Linotype" w:cs="Palatino Linotype" w:eastAsia="Palatino Linotype" w:hAnsi="Palatino Linotype"/>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6. Manifestaciones.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bCs w:val="1"/>
          <w:rtl w:val="0"/>
        </w:rPr>
        <w:t xml:space="preserve">dieciséis de febrero de dos mil veintiséis,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rindió su informe justificado, mediante el cual ratifica la respuesta inicial. El contenido del informe justificado se puso a disposición del Recurrente el </w:t>
      </w:r>
      <w:r w:rsidDel="00000000" w:rsidR="00000000" w:rsidRPr="00000000">
        <w:rPr>
          <w:rFonts w:ascii="Palatino Linotype" w:cs="Palatino Linotype" w:eastAsia="Palatino Linotype" w:hAnsi="Palatino Linotype"/>
          <w:b w:val="1"/>
          <w:bCs w:val="1"/>
          <w:rtl w:val="0"/>
        </w:rPr>
        <w:t xml:space="preserve">once de marzo de dos mil veintiséis.</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7. Cierre de instrucción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bCs w:val="1"/>
          <w:rtl w:val="0"/>
        </w:rPr>
        <w:t xml:space="preserve">diecinueve de marzo de dos mil veintiséis</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Debido a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4">
      <w:pPr>
        <w:spacing w:after="0" w:line="360" w:lineRule="auto"/>
        <w:ind w:right="49"/>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II.</w:t>
        <w:tab/>
        <w:t xml:space="preserve">C O N S I D E R A N D O:</w:t>
      </w:r>
    </w:p>
    <w:p w:rsidR="00000000" w:rsidDel="00000000" w:rsidP="00000000" w:rsidRDefault="00000000" w:rsidRPr="00000000" w14:paraId="0000002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6">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A">
      <w:pPr>
        <w:spacing w:after="0" w:line="360" w:lineRule="auto"/>
        <w:jc w:val="both"/>
        <w:rPr>
          <w:rFonts w:ascii="Palatino Linotype" w:cs="Palatino Linotype" w:eastAsia="Palatino Linotype" w:hAnsi="Palatino Linotype"/>
        </w:rPr>
      </w:pPr>
      <w:bookmarkStart w:colFirst="0" w:colLast="0" w:name="_heading=h.3znysh7" w:id="3"/>
      <w:bookmarkEnd w:id="3"/>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remitió respuesta el </w:t>
      </w:r>
      <w:r w:rsidDel="00000000" w:rsidR="00000000" w:rsidRPr="00000000">
        <w:rPr>
          <w:rFonts w:ascii="Palatino Linotype" w:cs="Palatino Linotype" w:eastAsia="Palatino Linotype" w:hAnsi="Palatino Linotype"/>
          <w:b w:val="1"/>
          <w:bCs w:val="1"/>
          <w:rtl w:val="0"/>
        </w:rPr>
        <w:t xml:space="preserve">veinte de enero de dos mil veintiséis</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mientras que el recurso de revisión interpuesto por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se tuvo por presentado el </w:t>
      </w:r>
      <w:r w:rsidDel="00000000" w:rsidR="00000000" w:rsidRPr="00000000">
        <w:rPr>
          <w:rFonts w:ascii="Palatino Linotype" w:cs="Palatino Linotype" w:eastAsia="Palatino Linotype" w:hAnsi="Palatino Linotype"/>
          <w:b w:val="1"/>
          <w:bCs w:val="1"/>
          <w:rtl w:val="0"/>
        </w:rPr>
        <w:t xml:space="preserve">tres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bCs w:val="1"/>
          <w:rtl w:val="0"/>
        </w:rPr>
        <w:t xml:space="preserve">de febrero de dos mil veintiséis</w:t>
      </w:r>
      <w:r w:rsidDel="00000000" w:rsidR="00000000" w:rsidRPr="00000000">
        <w:rPr>
          <w:rFonts w:ascii="Palatino Linotype" w:cs="Palatino Linotype" w:eastAsia="Palatino Linotype" w:hAnsi="Palatino Linotype"/>
          <w:rtl w:val="0"/>
        </w:rPr>
        <w:t xml:space="preserve">, esto es, al</w:t>
      </w:r>
      <w:r w:rsidDel="00000000" w:rsidR="00000000" w:rsidRPr="00000000">
        <w:rPr>
          <w:rFonts w:ascii="Palatino Linotype" w:cs="Palatino Linotype" w:eastAsia="Palatino Linotype" w:hAnsi="Palatino Linotype"/>
          <w:b w:val="1"/>
          <w:bCs w:val="1"/>
          <w:rtl w:val="0"/>
        </w:rPr>
        <w:t xml:space="preserve"> noveno día hábil</w:t>
      </w:r>
      <w:r w:rsidDel="00000000" w:rsidR="00000000" w:rsidRPr="00000000">
        <w:rPr>
          <w:rFonts w:ascii="Palatino Linotype" w:cs="Palatino Linotype" w:eastAsia="Palatino Linotype" w:hAnsi="Palatino Linotype"/>
          <w:rtl w:val="0"/>
        </w:rPr>
        <w:t xml:space="preserve"> en que se tuvo conocimiento de la respuesta. </w:t>
      </w:r>
    </w:p>
    <w:p w:rsidR="00000000" w:rsidDel="00000000" w:rsidP="00000000" w:rsidRDefault="00000000" w:rsidRPr="00000000" w14:paraId="0000002B">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C">
      <w:pPr>
        <w:spacing w:after="0"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Del="00000000" w:rsidR="00000000" w:rsidRPr="00000000">
        <w:rPr>
          <w:rFonts w:ascii="Palatino Linotype" w:cs="Palatino Linotype" w:eastAsia="Palatino Linotype" w:hAnsi="Palatino Linotype"/>
          <w:b w:val="1"/>
          <w:bCs w:val="1"/>
          <w:rtl w:val="0"/>
        </w:rPr>
        <w:t xml:space="preserve">SAIMEX.</w:t>
      </w:r>
    </w:p>
    <w:p w:rsidR="00000000" w:rsidDel="00000000" w:rsidP="00000000" w:rsidRDefault="00000000" w:rsidRPr="00000000" w14:paraId="0000002D">
      <w:pPr>
        <w:spacing w:after="0" w:line="360" w:lineRule="auto"/>
        <w:jc w:val="both"/>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2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el recurrente en sus motivos de inconformidad, de acuerdo con el artículo 179, fracción I del ordenamiento legal citado, que a la letra dice: </w:t>
      </w:r>
    </w:p>
    <w:p w:rsidR="00000000" w:rsidDel="00000000" w:rsidP="00000000" w:rsidRDefault="00000000" w:rsidRPr="00000000" w14:paraId="0000002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0">
      <w:pPr>
        <w:spacing w:after="0" w:line="360" w:lineRule="auto"/>
        <w:ind w:left="567"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Artículo 179.</w:t>
      </w:r>
      <w:r w:rsidDel="00000000" w:rsidR="00000000" w:rsidRPr="00000000">
        <w:rPr>
          <w:rFonts w:ascii="Palatino Linotype" w:cs="Palatino Linotype" w:eastAsia="Palatino Linotype" w:hAnsi="Palatino Linotype"/>
          <w:i w:val="1"/>
          <w:iCs w:val="1"/>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287" w:right="843" w:hanging="72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La Negativa de la información solicitada</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360" w:lineRule="auto"/>
        <w:ind w:left="567"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3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Tercero. Análisis de las causales de sobreseimiento del recurso de revisión. </w:t>
      </w:r>
      <w:r w:rsidDel="00000000" w:rsidR="00000000" w:rsidRPr="00000000">
        <w:rPr>
          <w:rFonts w:ascii="Palatino Linotype" w:cs="Palatino Linotype" w:eastAsia="Palatino Linotype" w:hAnsi="Palatino Linotype"/>
          <w:rtl w:val="0"/>
        </w:rPr>
        <w:t xml:space="preserve">Previo al análisis de las actuaciones que integran el expediente en el Sistema de Acceso a la Información Mexiquense, en importante primeramente enfatizar que el Derecho de Acceso a la Información Pública consiste en que la </w:t>
      </w:r>
      <w:r w:rsidDel="00000000" w:rsidR="00000000" w:rsidRPr="00000000">
        <w:rPr>
          <w:rFonts w:ascii="Palatino Linotype" w:cs="Palatino Linotype" w:eastAsia="Palatino Linotype" w:hAnsi="Palatino Linotype"/>
          <w:b w:val="1"/>
          <w:bCs w:val="1"/>
          <w:u w:val="single"/>
          <w:rtl w:val="0"/>
        </w:rPr>
        <w:t xml:space="preserve">información solicitada conste en un soporte documental</w:t>
      </w:r>
      <w:r w:rsidDel="00000000" w:rsidR="00000000" w:rsidRPr="00000000">
        <w:rPr>
          <w:rFonts w:ascii="Palatino Linotype" w:cs="Palatino Linotype" w:eastAsia="Palatino Linotype" w:hAnsi="Palatino Linotype"/>
          <w:rtl w:val="0"/>
        </w:rPr>
        <w:t xml:space="preserve">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000000" w:rsidDel="00000000" w:rsidP="00000000" w:rsidRDefault="00000000" w:rsidRPr="00000000" w14:paraId="0000003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5">
      <w:pPr>
        <w:spacing w:line="276"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Artículo 4</w:t>
      </w:r>
      <w:r w:rsidDel="00000000" w:rsidR="00000000" w:rsidRPr="00000000">
        <w:rPr>
          <w:rFonts w:ascii="Palatino Linotype" w:cs="Palatino Linotype" w:eastAsia="Palatino Linotype" w:hAnsi="Palatino Linotype"/>
          <w:i w:val="1"/>
          <w:iCs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36">
      <w:pPr>
        <w:spacing w:line="276"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iCs w:val="1"/>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37">
      <w:pPr>
        <w:spacing w:line="276"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38">
      <w:pPr>
        <w:spacing w:line="276"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3A">
      <w:pPr>
        <w:spacing w:line="276"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“Artículo 12.-</w:t>
      </w:r>
      <w:r w:rsidDel="00000000" w:rsidR="00000000" w:rsidRPr="00000000">
        <w:rPr>
          <w:rFonts w:ascii="Palatino Linotype" w:cs="Palatino Linotype" w:eastAsia="Palatino Linotype" w:hAnsi="Palatino Linotype"/>
          <w:i w:val="1"/>
          <w:iCs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3B">
      <w:pPr>
        <w:spacing w:line="276"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iCs w:val="1"/>
          <w:rtl w:val="0"/>
        </w:rPr>
        <w:t xml:space="preserve">. </w:t>
      </w:r>
      <w:r w:rsidDel="00000000" w:rsidR="00000000" w:rsidRPr="00000000">
        <w:rPr>
          <w:rFonts w:ascii="Palatino Linotype" w:cs="Palatino Linotype" w:eastAsia="Palatino Linotype" w:hAnsi="Palatino Linotype"/>
          <w:b w:val="1"/>
          <w:bCs w:val="1"/>
          <w:i w:val="1"/>
          <w:iCs w:val="1"/>
          <w:rtl w:val="0"/>
        </w:rPr>
        <w:t xml:space="preserve">La obligación de proporcionar información no comprende el procesamiento de la misma, ni el presentarla conforme al interés del solicitante; no estarán obligados a generarla, resumirla, efectuar cálculos o practicar investigaciones.” </w:t>
      </w:r>
      <w:r w:rsidDel="00000000" w:rsidR="00000000" w:rsidRPr="00000000">
        <w:rPr>
          <w:rtl w:val="0"/>
        </w:rPr>
      </w:r>
    </w:p>
    <w:p w:rsidR="00000000" w:rsidDel="00000000" w:rsidP="00000000" w:rsidRDefault="00000000" w:rsidRPr="00000000" w14:paraId="0000003C">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3D">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Sirve de apoyo a lo anterior, el criterio orientador 03-17, expuesto por el entonces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tl w:val="0"/>
        </w:rPr>
      </w:r>
    </w:p>
    <w:p w:rsidR="00000000" w:rsidDel="00000000" w:rsidP="00000000" w:rsidRDefault="00000000" w:rsidRPr="00000000" w14:paraId="0000003E">
      <w:pPr>
        <w:spacing w:line="360" w:lineRule="auto"/>
        <w:jc w:val="both"/>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3F">
      <w:pPr>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iCs w:val="1"/>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4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41">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4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43">
      <w:pPr>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Artículo 3. </w:t>
      </w:r>
      <w:r w:rsidDel="00000000" w:rsidR="00000000" w:rsidRPr="00000000">
        <w:rPr>
          <w:rFonts w:ascii="Palatino Linotype" w:cs="Palatino Linotype" w:eastAsia="Palatino Linotype" w:hAnsi="Palatino Linotype"/>
          <w:i w:val="1"/>
          <w:iCs w:val="1"/>
          <w:rtl w:val="0"/>
        </w:rPr>
        <w:t xml:space="preserve">Para los efectos de la presente Ley se entenderá por:</w:t>
      </w:r>
    </w:p>
    <w:p w:rsidR="00000000" w:rsidDel="00000000" w:rsidP="00000000" w:rsidRDefault="00000000" w:rsidRPr="00000000" w14:paraId="00000044">
      <w:pPr>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45">
      <w:pPr>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XI. Documento:</w:t>
      </w:r>
      <w:r w:rsidDel="00000000" w:rsidR="00000000" w:rsidRPr="00000000">
        <w:rPr>
          <w:rFonts w:ascii="Palatino Linotype" w:cs="Palatino Linotype" w:eastAsia="Palatino Linotype" w:hAnsi="Palatino Linotype"/>
          <w:i w:val="1"/>
          <w:iCs w:val="1"/>
          <w:rtl w:val="0"/>
        </w:rPr>
        <w:t xml:space="preserve"> Los expedientes, reportes, estudios, actas</w:t>
      </w:r>
      <w:r w:rsidDel="00000000" w:rsidR="00000000" w:rsidRPr="00000000">
        <w:rPr>
          <w:rFonts w:ascii="Palatino Linotype" w:cs="Palatino Linotype" w:eastAsia="Palatino Linotype" w:hAnsi="Palatino Linotype"/>
          <w:b w:val="1"/>
          <w:bCs w:val="1"/>
          <w:i w:val="1"/>
          <w:iCs w:val="1"/>
          <w:rtl w:val="0"/>
        </w:rPr>
        <w:t xml:space="preserve">,</w:t>
      </w:r>
      <w:r w:rsidDel="00000000" w:rsidR="00000000" w:rsidRPr="00000000">
        <w:rPr>
          <w:rFonts w:ascii="Palatino Linotype" w:cs="Palatino Linotype" w:eastAsia="Palatino Linotype" w:hAnsi="Palatino Linotype"/>
          <w:i w:val="1"/>
          <w:iCs w:val="1"/>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46">
      <w:pPr>
        <w:spacing w:line="360" w:lineRule="auto"/>
        <w:ind w:left="851" w:right="89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48">
      <w:pPr>
        <w:ind w:left="567" w:right="616"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iCs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49">
      <w:pPr>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En consecuencia el acceso a la información se refiere a que se cumplan cualquiera de los siguientes tres supuestos:</w:t>
      </w:r>
    </w:p>
    <w:p w:rsidR="00000000" w:rsidDel="00000000" w:rsidP="00000000" w:rsidRDefault="00000000" w:rsidRPr="00000000" w14:paraId="0000004A">
      <w:pPr>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4B">
      <w:pPr>
        <w:ind w:left="567" w:right="616"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4C">
      <w:pPr>
        <w:ind w:left="567" w:right="616"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4D">
      <w:pPr>
        <w:tabs>
          <w:tab w:val="left" w:leader="none" w:pos="8647"/>
        </w:tabs>
        <w:spacing w:line="360" w:lineRule="auto"/>
        <w:jc w:val="both"/>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4E">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análisis de la solicitud de información motivo del recurso de revisión que ahora se resuelve, se tiene que el Recurrente solicitó al Sujeto Obligado la siguiente información:</w:t>
      </w:r>
    </w:p>
    <w:p w:rsidR="00000000" w:rsidDel="00000000" w:rsidP="00000000" w:rsidRDefault="00000000" w:rsidRPr="00000000" w14:paraId="0000004F">
      <w:pPr>
        <w:spacing w:after="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0">
      <w:pPr>
        <w:spacing w:after="240" w:line="360" w:lineRule="auto"/>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Solicito se me informe si dentro de la Secretaría de Bienestar del Estado de México existen relaciones de parentesco por consanguinidad, afinidad o civil hasta el cuarto grado, entre personas servidoras públicas adscritas a dicha dependencia. De manera específica, solicito se informe si existe algún tipo de relación de parentesco entre las siguientes personas servidoras públicas: </w:t>
      </w:r>
    </w:p>
    <w:p w:rsidR="00000000" w:rsidDel="00000000" w:rsidP="00000000" w:rsidRDefault="00000000" w:rsidRPr="00000000" w14:paraId="000000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Juan Carlos González Romero </w:t>
      </w:r>
    </w:p>
    <w:p w:rsidR="00000000" w:rsidDel="00000000" w:rsidP="00000000" w:rsidRDefault="00000000" w:rsidRPr="00000000" w14:paraId="0000005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Diana González Vallejo </w:t>
      </w:r>
    </w:p>
    <w:p w:rsidR="00000000" w:rsidDel="00000000" w:rsidP="00000000" w:rsidRDefault="00000000" w:rsidRPr="00000000" w14:paraId="000000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Victoria González Herrera </w:t>
      </w:r>
    </w:p>
    <w:p w:rsidR="00000000" w:rsidDel="00000000" w:rsidP="00000000" w:rsidRDefault="00000000" w:rsidRPr="00000000" w14:paraId="000000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Ana González González </w:t>
      </w:r>
    </w:p>
    <w:p w:rsidR="00000000" w:rsidDel="00000000" w:rsidP="00000000" w:rsidRDefault="00000000" w:rsidRPr="00000000" w14:paraId="0000005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Alma González Macedo </w:t>
      </w:r>
    </w:p>
    <w:p w:rsidR="00000000" w:rsidDel="00000000" w:rsidP="00000000" w:rsidRDefault="00000000" w:rsidRPr="00000000" w14:paraId="0000005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Jonathan Jesua González Gurrión </w:t>
      </w:r>
    </w:p>
    <w:p w:rsidR="00000000" w:rsidDel="00000000" w:rsidP="00000000" w:rsidRDefault="00000000" w:rsidRPr="00000000" w14:paraId="0000005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Marisol Páez González </w:t>
      </w:r>
    </w:p>
    <w:p w:rsidR="00000000" w:rsidDel="00000000" w:rsidP="00000000" w:rsidRDefault="00000000" w:rsidRPr="00000000" w14:paraId="000000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Alejandra Odett González Mondragón </w:t>
      </w:r>
    </w:p>
    <w:p w:rsidR="00000000" w:rsidDel="00000000" w:rsidP="00000000" w:rsidRDefault="00000000" w:rsidRPr="00000000" w14:paraId="000000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Laura Alejandra González Castillo</w:t>
      </w:r>
    </w:p>
    <w:p w:rsidR="00000000" w:rsidDel="00000000" w:rsidP="00000000" w:rsidRDefault="00000000" w:rsidRPr="00000000" w14:paraId="0000005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José Martín González Vázquez </w:t>
      </w:r>
    </w:p>
    <w:p w:rsidR="00000000" w:rsidDel="00000000" w:rsidP="00000000" w:rsidRDefault="00000000" w:rsidRPr="00000000" w14:paraId="0000005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Grisel Barrientos González </w:t>
      </w:r>
    </w:p>
    <w:p w:rsidR="00000000" w:rsidDel="00000000" w:rsidP="00000000" w:rsidRDefault="00000000" w:rsidRPr="00000000" w14:paraId="0000005C">
      <w:pPr>
        <w:spacing w:after="240" w:line="360" w:lineRule="auto"/>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Asimismo, solicito se informe si existen relaciones de parentesco entre cualquiera de las personas antes mencionadas y otras personas servidoras públicas que laboren o hayan laborado en la Secretaría de Bienestar del Estado de México, aun cuando estas no se encuentren listadas expresamente en la presente solicitud. En caso de que exista alguna relación de parentesco, solicito se indique:</w:t>
      </w:r>
    </w:p>
    <w:p w:rsidR="00000000" w:rsidDel="00000000" w:rsidP="00000000" w:rsidRDefault="00000000" w:rsidRPr="00000000" w14:paraId="0000005D">
      <w:pPr>
        <w:keepNext w:val="0"/>
        <w:keepLines w:val="0"/>
        <w:pageBreakBefore w:val="0"/>
        <w:widowControl w:val="1"/>
        <w:numPr>
          <w:ilvl w:val="3"/>
          <w:numId w:val="4"/>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Nombre completo de las personas relacionadas.</w:t>
      </w:r>
    </w:p>
    <w:p w:rsidR="00000000" w:rsidDel="00000000" w:rsidP="00000000" w:rsidRDefault="00000000" w:rsidRPr="00000000" w14:paraId="0000005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Tipo de parentesco existente. </w:t>
      </w:r>
    </w:p>
    <w:p w:rsidR="00000000" w:rsidDel="00000000" w:rsidP="00000000" w:rsidRDefault="00000000" w:rsidRPr="00000000" w14:paraId="0000005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Cargo y área de adscripción de cada una. </w:t>
      </w:r>
    </w:p>
    <w:p w:rsidR="00000000" w:rsidDel="00000000" w:rsidP="00000000" w:rsidRDefault="00000000" w:rsidRPr="00000000" w14:paraId="0000006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Si existe o existió relación jerárquica directa o indirecta entre ellas. </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360" w:lineRule="auto"/>
        <w:ind w:right="1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Sujeto Obligado a través de la Dirección de Administración de Personal manifestó que no se cuenta con registro del parentesco de los servidores públicos adscritos a la Secretaría en el sentido de que no se cuenta con la obligación de solicitar a los servicios públicos dentro de los documentos necesarios para su ingreso a laboral, la presentación de un soporte documental en el que se establezca el parentesco que una persona tiene con otras, ya sea por consanguinidad, afinidad o civil hasta el cuarto grado.</w:t>
      </w:r>
    </w:p>
    <w:p w:rsidR="00000000" w:rsidDel="00000000" w:rsidP="00000000" w:rsidRDefault="00000000" w:rsidRPr="00000000" w14:paraId="00000062">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3">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 mencionar que quien dio respuesta es la Dirección de Administración de Personal dependiente de la Coordinación Administrativa, la cual tiene las siguientes atribuciones, de acuerdo al Reglamento Interior del Sujeto Obligado:</w:t>
      </w:r>
    </w:p>
    <w:p w:rsidR="00000000" w:rsidDel="00000000" w:rsidP="00000000" w:rsidRDefault="00000000" w:rsidRPr="00000000" w14:paraId="00000064">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5">
      <w:pPr>
        <w:spacing w:after="0" w:line="360" w:lineRule="auto"/>
        <w:ind w:left="567"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Artículo 21. Corresponden a la Coordinación Administrativa las atribuciones siguientes: </w:t>
      </w:r>
    </w:p>
    <w:p w:rsidR="00000000" w:rsidDel="00000000" w:rsidP="00000000" w:rsidRDefault="00000000" w:rsidRPr="00000000" w14:paraId="00000066">
      <w:pPr>
        <w:spacing w:after="0" w:line="360" w:lineRule="auto"/>
        <w:ind w:left="567" w:right="843"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w:t>
      </w:r>
    </w:p>
    <w:p w:rsidR="00000000" w:rsidDel="00000000" w:rsidP="00000000" w:rsidRDefault="00000000" w:rsidRPr="00000000" w14:paraId="00000067">
      <w:pPr>
        <w:spacing w:after="0" w:line="360" w:lineRule="auto"/>
        <w:ind w:left="567" w:right="843"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III. Cumplir y hacer cumplir las normas y políticas aplicables en materia de administración de recursos humanos, materiales y financieros;</w:t>
      </w:r>
    </w:p>
    <w:p w:rsidR="00000000" w:rsidDel="00000000" w:rsidP="00000000" w:rsidRDefault="00000000" w:rsidRPr="00000000" w14:paraId="00000068">
      <w:pPr>
        <w:spacing w:after="0" w:line="360" w:lineRule="auto"/>
        <w:ind w:left="567"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69">
      <w:pPr>
        <w:spacing w:after="0" w:line="360" w:lineRule="auto"/>
        <w:ind w:left="567" w:right="843"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VIII. Suscribir los contratos, convenios y demás actos jurídicos de carácter administrativo o de cualquier otra índole dentro del ámbito de su competencia que sean solicitados por la Secretaría, de conformidad con la normatividad aplicable; </w:t>
      </w:r>
    </w:p>
    <w:p w:rsidR="00000000" w:rsidDel="00000000" w:rsidP="00000000" w:rsidRDefault="00000000" w:rsidRPr="00000000" w14:paraId="0000006A">
      <w:pPr>
        <w:spacing w:after="0" w:line="360" w:lineRule="auto"/>
        <w:ind w:left="567"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6B">
      <w:pPr>
        <w:spacing w:after="0" w:line="360" w:lineRule="auto"/>
        <w:ind w:left="567" w:right="843"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XV. Tramitar, previo acuerdo de la persona titular de la Secretaría, los movimientos de altas, bajas, cambios, promociones, permisos, licencias y demás movimientos de las personas servidoras públicas de la Secretaría, en términos de las disposiciones legales aplicables; </w:t>
      </w:r>
    </w:p>
    <w:p w:rsidR="00000000" w:rsidDel="00000000" w:rsidP="00000000" w:rsidRDefault="00000000" w:rsidRPr="00000000" w14:paraId="0000006C">
      <w:pPr>
        <w:spacing w:after="0" w:line="360" w:lineRule="auto"/>
        <w:ind w:left="567" w:right="843"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XVI. Promover y coordinar las actividades de capacitación, y motivación de las personas servidoras públicas de la Secretaría; </w:t>
      </w:r>
    </w:p>
    <w:p w:rsidR="00000000" w:rsidDel="00000000" w:rsidP="00000000" w:rsidRDefault="00000000" w:rsidRPr="00000000" w14:paraId="0000006D">
      <w:pPr>
        <w:spacing w:after="0" w:line="360" w:lineRule="auto"/>
        <w:ind w:left="567"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6E">
      <w:pPr>
        <w:spacing w:after="0" w:line="360" w:lineRule="auto"/>
        <w:ind w:left="567" w:right="843"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XXVII. Mantener actualizados los registros administrativos sobre recursos humanos, materiales, financieros, archivo, correspondencia, inventario de bienes muebles e inmuebles y apoyos técnicos de la Secretaría; </w:t>
      </w:r>
    </w:p>
    <w:p w:rsidR="00000000" w:rsidDel="00000000" w:rsidP="00000000" w:rsidRDefault="00000000" w:rsidRPr="00000000" w14:paraId="0000006F">
      <w:pPr>
        <w:spacing w:after="0" w:line="360" w:lineRule="auto"/>
        <w:ind w:left="567"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70">
      <w:pPr>
        <w:spacing w:after="0" w:line="360" w:lineRule="auto"/>
        <w:jc w:val="both"/>
        <w:rPr/>
      </w:pPr>
      <w:r w:rsidDel="00000000" w:rsidR="00000000" w:rsidRPr="00000000">
        <w:rPr>
          <w:rtl w:val="0"/>
        </w:rPr>
      </w:r>
    </w:p>
    <w:p w:rsidR="00000000" w:rsidDel="00000000" w:rsidP="00000000" w:rsidRDefault="00000000" w:rsidRPr="00000000" w14:paraId="00000071">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las atribuciones que tiene la Coordinación Administrativa a la cual se encuentra adscrita la Dirección de Administración de Personal se encuentra el cumplir las normas y políticas en materia de administración de recursos humanos, así como suscribir contratos administrativos, así como mantener actualizados los registros administrativos del personal.</w:t>
      </w:r>
    </w:p>
    <w:p w:rsidR="00000000" w:rsidDel="00000000" w:rsidP="00000000" w:rsidRDefault="00000000" w:rsidRPr="00000000" w14:paraId="00000072">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Tal y como se advierte, la Unidad Administrativa que se pronunció es la competente para administrar y poseer la información requerida, por lo que se tiene que se cumplió con lo dispuesto en los artículos 151, 159, 160, 162, 163, 164, 165 y 166, de la Ley de Transparencia y Acceso a la Información Pública del Estado de México y Municipios, es el siguiente:</w:t>
      </w:r>
    </w:p>
    <w:p w:rsidR="00000000" w:rsidDel="00000000" w:rsidP="00000000" w:rsidRDefault="00000000" w:rsidRPr="00000000" w14:paraId="00000074">
      <w:pPr>
        <w:numPr>
          <w:ilvl w:val="0"/>
          <w:numId w:val="1"/>
        </w:numPr>
        <w:spacing w:after="0"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00000000" w:rsidDel="00000000" w:rsidP="00000000" w:rsidRDefault="00000000" w:rsidRPr="00000000" w14:paraId="00000075">
      <w:pPr>
        <w:numPr>
          <w:ilvl w:val="0"/>
          <w:numId w:val="1"/>
        </w:numPr>
        <w:spacing w:after="0"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rsidR="00000000" w:rsidDel="00000000" w:rsidP="00000000" w:rsidRDefault="00000000" w:rsidRPr="00000000" w14:paraId="00000076">
      <w:pPr>
        <w:numPr>
          <w:ilvl w:val="0"/>
          <w:numId w:val="1"/>
        </w:numPr>
        <w:spacing w:after="0"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respuestas a los requerimientos informativos deberán notificarse al interesado en el menor tiempo posible, que no podrá exceder </w:t>
      </w:r>
      <w:r w:rsidDel="00000000" w:rsidR="00000000" w:rsidRPr="00000000">
        <w:rPr>
          <w:rFonts w:ascii="Palatino Linotype" w:cs="Palatino Linotype" w:eastAsia="Palatino Linotype" w:hAnsi="Palatino Linotype"/>
          <w:b w:val="1"/>
          <w:bCs w:val="1"/>
          <w:rtl w:val="0"/>
        </w:rPr>
        <w:t xml:space="preserve">quince días, contados a partir del día siguiente a la presentación de ésta.</w:t>
      </w:r>
      <w:r w:rsidDel="00000000" w:rsidR="00000000" w:rsidRPr="00000000">
        <w:rPr>
          <w:rFonts w:ascii="Palatino Linotype" w:cs="Palatino Linotype" w:eastAsia="Palatino Linotype" w:hAnsi="Palatino Linotype"/>
          <w:rtl w:val="0"/>
        </w:rPr>
        <w:t xml:space="preserve"> Excepcionalmente, el plazo referido podrá ampliarse por siete días hábiles más, cuando existan razones fundadas y motivadas, a través del Comité de Transparencia;</w:t>
      </w:r>
    </w:p>
    <w:p w:rsidR="00000000" w:rsidDel="00000000" w:rsidP="00000000" w:rsidRDefault="00000000" w:rsidRPr="00000000" w14:paraId="00000077">
      <w:pPr>
        <w:numPr>
          <w:ilvl w:val="0"/>
          <w:numId w:val="1"/>
        </w:numPr>
        <w:spacing w:after="0" w:line="360" w:lineRule="auto"/>
        <w:ind w:left="360" w:hanging="360"/>
        <w:jc w:val="both"/>
        <w:rPr>
          <w:rFonts w:ascii="Palatino Linotype" w:cs="Palatino Linotype" w:eastAsia="Palatino Linotype" w:hAnsi="Palatino Linotype"/>
          <w:b w:val="1"/>
          <w:bCs w:val="1"/>
          <w:u w:val="single"/>
        </w:rPr>
      </w:pPr>
      <w:r w:rsidDel="00000000" w:rsidR="00000000" w:rsidRPr="00000000">
        <w:rPr>
          <w:rFonts w:ascii="Palatino Linotype" w:cs="Palatino Linotype" w:eastAsia="Palatino Linotype" w:hAnsi="Palatino Linotype"/>
          <w:b w:val="1"/>
          <w:bCs w:val="1"/>
          <w:u w:val="single"/>
          <w:rtl w:val="0"/>
        </w:rPr>
        <w:t xml:space="preserve">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rsidR="00000000" w:rsidDel="00000000" w:rsidP="00000000" w:rsidRDefault="00000000" w:rsidRPr="00000000" w14:paraId="00000078">
      <w:pPr>
        <w:numPr>
          <w:ilvl w:val="0"/>
          <w:numId w:val="1"/>
        </w:numPr>
        <w:spacing w:after="0" w:line="360" w:lineRule="auto"/>
        <w:ind w:left="36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El acceso se dará en la modalidad de entrega y en su caso, de envío elegido por el solicitante, cuando no pueda entregarse en dicha modalidad, el Sujeto Obligado deberá ofrecer otras; por lo cual, deberá fundamentar y motivar la necesidad de modificar el medio de entrega, y</w:t>
      </w:r>
      <w:r w:rsidDel="00000000" w:rsidR="00000000" w:rsidRPr="00000000">
        <w:rPr>
          <w:rtl w:val="0"/>
        </w:rPr>
      </w:r>
    </w:p>
    <w:p w:rsidR="00000000" w:rsidDel="00000000" w:rsidP="00000000" w:rsidRDefault="00000000" w:rsidRPr="00000000" w14:paraId="00000079">
      <w:pPr>
        <w:numPr>
          <w:ilvl w:val="0"/>
          <w:numId w:val="1"/>
        </w:numPr>
        <w:spacing w:after="0" w:line="360" w:lineRule="auto"/>
        <w:ind w:left="36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r w:rsidDel="00000000" w:rsidR="00000000" w:rsidRPr="00000000">
        <w:rPr>
          <w:rtl w:val="0"/>
        </w:rPr>
      </w:r>
    </w:p>
    <w:p w:rsidR="00000000" w:rsidDel="00000000" w:rsidP="00000000" w:rsidRDefault="00000000" w:rsidRPr="00000000" w14:paraId="0000007A">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B">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se tiene que, se acreditó el procedimiento de búsqueda de la información, al haber turnado la solicitud a la unidad administrativa competente.</w:t>
      </w:r>
    </w:p>
    <w:p w:rsidR="00000000" w:rsidDel="00000000" w:rsidP="00000000" w:rsidRDefault="00000000" w:rsidRPr="00000000" w14:paraId="0000007C">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360" w:lineRule="auto"/>
        <w:ind w:right="1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de los requerimientos del particular, se advierte que el solicitante a través de los mismos la persona solicitante pretende que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responda una serie de cuestionamientos; situación que conlleva a precisar que con tales planteamientos no se pretendió ejercer el derecho de acceso a la información pública; sino que por este medio se presentaron interrogantes cuya finalidad consiste en obligar a la autoridad a que actúe en el sentido de contestar lo solicitado, que no es factible atenderse vía acceso a la información pública, toda vez, que la atención a dichos cuestionamientos no se pueden colmar con documentos que obren en los archivos del Sujeto Obligado.</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360" w:lineRule="auto"/>
        <w:ind w:right="1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del análisis realizado al expediente electrónico, se advierte que dichos requerimientos NO constituyen un derecho de acceso a la información y por lo tanto no son atendibles mediante una solicitud de acceso a la información pública, porque se trata de planteamientos, interrogantes o declaraciones vertidos por la persona solicitante, situación que conlleva a afirmar que se está en presencia del ejercicio del derecho a la libre expresión y en todo caso a un derecho de petición.</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rtl w:val="0"/>
        </w:rPr>
        <w:t xml:space="preserve">A efecto de sustentar lo anterior, es preciso mencionar que David Cienfuegos Salgado, concibe al derecho de petición como </w:t>
      </w: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u w:val="single"/>
          <w:rtl w:val="0"/>
        </w:rPr>
        <w:t xml:space="preserve">el derecho de toda persona a ser escuchado por quienes ejercen el poder públic</w:t>
      </w:r>
      <w:r w:rsidDel="00000000" w:rsidR="00000000" w:rsidRPr="00000000">
        <w:rPr>
          <w:rFonts w:ascii="Palatino Linotype" w:cs="Palatino Linotype" w:eastAsia="Palatino Linotype" w:hAnsi="Palatino Linotype"/>
          <w:i w:val="1"/>
          <w:iCs w:val="1"/>
          <w:rtl w:val="0"/>
        </w:rPr>
        <w:t xml:space="preserve">o.”  </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misma manera, Miguel Carbonell en su libro </w:t>
      </w:r>
      <w:r w:rsidDel="00000000" w:rsidR="00000000" w:rsidRPr="00000000">
        <w:rPr>
          <w:rFonts w:ascii="Palatino Linotype" w:cs="Palatino Linotype" w:eastAsia="Palatino Linotype" w:hAnsi="Palatino Linotype"/>
          <w:i w:val="1"/>
          <w:iCs w:val="1"/>
          <w:rtl w:val="0"/>
        </w:rPr>
        <w:t xml:space="preserve">“Los derechos fundamentales”</w:t>
      </w:r>
      <w:r w:rsidDel="00000000" w:rsidR="00000000" w:rsidRPr="00000000">
        <w:rPr>
          <w:rFonts w:ascii="Palatino Linotype" w:cs="Palatino Linotype" w:eastAsia="Palatino Linotype" w:hAnsi="Palatino Linotype"/>
          <w:rtl w:val="0"/>
        </w:rPr>
        <w:t xml:space="preserve"> refiere que el </w:t>
      </w:r>
      <w:r w:rsidDel="00000000" w:rsidR="00000000" w:rsidRPr="00000000">
        <w:rPr>
          <w:rFonts w:ascii="Palatino Linotype" w:cs="Palatino Linotype" w:eastAsia="Palatino Linotype" w:hAnsi="Palatino Linotype"/>
          <w:u w:val="single"/>
          <w:rtl w:val="0"/>
        </w:rPr>
        <w:t xml:space="preserve">derecho de petición se ha entendido de dos distintitas maneras</w:t>
      </w:r>
      <w:r w:rsidDel="00000000" w:rsidR="00000000" w:rsidRPr="00000000">
        <w:rPr>
          <w:rFonts w:ascii="Palatino Linotype" w:cs="Palatino Linotype" w:eastAsia="Palatino Linotype" w:hAnsi="Palatino Linotype"/>
          <w:rtl w:val="0"/>
        </w:rPr>
        <w:t xml:space="preserve">, a saber: como un derecho fundamental de participación política ya que </w:t>
      </w:r>
      <w:r w:rsidDel="00000000" w:rsidR="00000000" w:rsidRPr="00000000">
        <w:rPr>
          <w:rFonts w:ascii="Palatino Linotype" w:cs="Palatino Linotype" w:eastAsia="Palatino Linotype" w:hAnsi="Palatino Linotype"/>
          <w:u w:val="single"/>
          <w:rtl w:val="0"/>
        </w:rPr>
        <w:t xml:space="preserve">permite a los </w:t>
      </w:r>
      <w:r w:rsidDel="00000000" w:rsidR="00000000" w:rsidRPr="00000000">
        <w:rPr>
          <w:rFonts w:ascii="Palatino Linotype" w:cs="Palatino Linotype" w:eastAsia="Palatino Linotype" w:hAnsi="Palatino Linotype"/>
          <w:rtl w:val="0"/>
        </w:rPr>
        <w:t xml:space="preserve">particulares trasladar a las autoridades sus </w:t>
      </w:r>
      <w:r w:rsidDel="00000000" w:rsidR="00000000" w:rsidRPr="00000000">
        <w:rPr>
          <w:rFonts w:ascii="Palatino Linotype" w:cs="Palatino Linotype" w:eastAsia="Palatino Linotype" w:hAnsi="Palatino Linotype"/>
          <w:b w:val="1"/>
          <w:bCs w:val="1"/>
          <w:rtl w:val="0"/>
        </w:rPr>
        <w:t xml:space="preserve">inquietudes, quejas</w:t>
      </w:r>
      <w:r w:rsidDel="00000000" w:rsidR="00000000" w:rsidRPr="00000000">
        <w:rPr>
          <w:rFonts w:ascii="Palatino Linotype" w:cs="Palatino Linotype" w:eastAsia="Palatino Linotype" w:hAnsi="Palatino Linotype"/>
          <w:rtl w:val="0"/>
        </w:rPr>
        <w:t xml:space="preserve">, sugerencias y requerimientos en cualquier materia o asunto; y como una </w:t>
      </w:r>
      <w:r w:rsidDel="00000000" w:rsidR="00000000" w:rsidRPr="00000000">
        <w:rPr>
          <w:rFonts w:ascii="Palatino Linotype" w:cs="Palatino Linotype" w:eastAsia="Palatino Linotype" w:hAnsi="Palatino Linotype"/>
          <w:b w:val="1"/>
          <w:bCs w:val="1"/>
          <w:rtl w:val="0"/>
        </w:rPr>
        <w:t xml:space="preserve">forma específica de la libertad de expresión</w:t>
      </w:r>
      <w:r w:rsidDel="00000000" w:rsidR="00000000" w:rsidRPr="00000000">
        <w:rPr>
          <w:rFonts w:ascii="Palatino Linotype" w:cs="Palatino Linotype" w:eastAsia="Palatino Linotype" w:hAnsi="Palatino Linotype"/>
          <w:rtl w:val="0"/>
        </w:rPr>
        <w:t xml:space="preserve">, en tanto que permite expresarse frente a las autoridades. </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6"/>
          <w:szCs w:val="6"/>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el autor anteriormente citado, indica que el </w:t>
      </w:r>
      <w:r w:rsidDel="00000000" w:rsidR="00000000" w:rsidRPr="00000000">
        <w:rPr>
          <w:rFonts w:ascii="Palatino Linotype" w:cs="Palatino Linotype" w:eastAsia="Palatino Linotype" w:hAnsi="Palatino Linotype"/>
          <w:b w:val="1"/>
          <w:bCs w:val="1"/>
          <w:rtl w:val="0"/>
        </w:rPr>
        <w:t xml:space="preserve">derecho de acceso a la información pública</w:t>
      </w:r>
      <w:r w:rsidDel="00000000" w:rsidR="00000000" w:rsidRPr="00000000">
        <w:rPr>
          <w:rFonts w:ascii="Palatino Linotype" w:cs="Palatino Linotype" w:eastAsia="Palatino Linotype" w:hAnsi="Palatino Linotype"/>
          <w:rtl w:val="0"/>
        </w:rPr>
        <w:t xml:space="preserve"> es el derecho de conocer la </w:t>
      </w:r>
      <w:r w:rsidDel="00000000" w:rsidR="00000000" w:rsidRPr="00000000">
        <w:rPr>
          <w:rFonts w:ascii="Palatino Linotype" w:cs="Palatino Linotype" w:eastAsia="Palatino Linotype" w:hAnsi="Palatino Linotype"/>
          <w:u w:val="single"/>
          <w:rtl w:val="0"/>
        </w:rPr>
        <w:t xml:space="preserve">información de carácter público que se genera o está en posesión de los órganos del poder público</w:t>
      </w:r>
      <w:r w:rsidDel="00000000" w:rsidR="00000000" w:rsidRPr="00000000">
        <w:rPr>
          <w:rFonts w:ascii="Palatino Linotype" w:cs="Palatino Linotype" w:eastAsia="Palatino Linotype" w:hAnsi="Palatino Linotype"/>
          <w:rtl w:val="0"/>
        </w:rPr>
        <w:t xml:space="preserve"> o de los sujetos que utilizan o se benefician con recursos provenientes del Estado, es el derecho que tienen los ciudadanos para acceder a documentos y datos que obren en el poder del gobierno.</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puede concluir que la distinción entre el </w:t>
      </w:r>
      <w:r w:rsidDel="00000000" w:rsidR="00000000" w:rsidRPr="00000000">
        <w:rPr>
          <w:rFonts w:ascii="Palatino Linotype" w:cs="Palatino Linotype" w:eastAsia="Palatino Linotype" w:hAnsi="Palatino Linotype"/>
          <w:b w:val="1"/>
          <w:bCs w:val="1"/>
          <w:rtl w:val="0"/>
        </w:rPr>
        <w:t xml:space="preserve">derecho de petición</w:t>
      </w:r>
      <w:r w:rsidDel="00000000" w:rsidR="00000000" w:rsidRPr="00000000">
        <w:rPr>
          <w:rFonts w:ascii="Palatino Linotype" w:cs="Palatino Linotype" w:eastAsia="Palatino Linotype" w:hAnsi="Palatino Linotype"/>
          <w:rtl w:val="0"/>
        </w:rPr>
        <w:t xml:space="preserve"> y el derecho de acceso a la información descansa, principalmente, en que </w:t>
      </w:r>
      <w:r w:rsidDel="00000000" w:rsidR="00000000" w:rsidRPr="00000000">
        <w:rPr>
          <w:rFonts w:ascii="Palatino Linotype" w:cs="Palatino Linotype" w:eastAsia="Palatino Linotype" w:hAnsi="Palatino Linotype"/>
          <w:b w:val="1"/>
          <w:bCs w:val="1"/>
          <w:u w:val="single"/>
          <w:rtl w:val="0"/>
        </w:rPr>
        <w:t xml:space="preserve">la pretensión del peticionario consiste generalmente en obligar a la autoridad responsable a que actúe en el sentido de contestar lo solicitado</w:t>
      </w:r>
      <w:r w:rsidDel="00000000" w:rsidR="00000000" w:rsidRPr="00000000">
        <w:rPr>
          <w:rFonts w:ascii="Palatino Linotype" w:cs="Palatino Linotype" w:eastAsia="Palatino Linotype" w:hAnsi="Palatino Linotype"/>
          <w:rtl w:val="0"/>
        </w:rPr>
        <w:t xml:space="preserve">,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esta manera, es que los requerimientos en análisis son inatendible vía acceso a la información pública.</w:t>
      </w:r>
    </w:p>
    <w:p w:rsidR="00000000" w:rsidDel="00000000" w:rsidP="00000000" w:rsidRDefault="00000000" w:rsidRPr="00000000" w14:paraId="0000008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se tiene que, la solicitud de información se relaciona con el ejercicio del derecho de petición, situación que, no es factible atenderse vía acceso a la información pública. </w:t>
      </w:r>
    </w:p>
    <w:p w:rsidR="00000000" w:rsidDel="00000000" w:rsidP="00000000" w:rsidRDefault="00000000" w:rsidRPr="00000000" w14:paraId="00000089">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line="360" w:lineRule="auto"/>
        <w:ind w:right="96"/>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virtud de los argumentos expuestos con anterioridad así como del análisis realizado a las constancias que obran en el expediente electrónico del SAIMEX, se determina sobreseer el presente recurso de revisión por actualizarse la causal de sobreseimiento prevista en la fracción IV del artículo 192 de la Ley de Transparencia y Acceso a la Información Pública del Estado de México y Municipios en su correlación con la causal de improcedencia contemplada en la fracción IV del artículo 191 del ordenamiento legal en cita, los que se transcriben a continuación, para un mejor entendimiento:</w:t>
      </w:r>
    </w:p>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left" w:leader="none" w:pos="7088"/>
        </w:tabs>
        <w:spacing w:line="276" w:lineRule="auto"/>
        <w:ind w:left="851"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Artículo 191</w:t>
      </w:r>
      <w:r w:rsidDel="00000000" w:rsidR="00000000" w:rsidRPr="00000000">
        <w:rPr>
          <w:rFonts w:ascii="Palatino Linotype" w:cs="Palatino Linotype" w:eastAsia="Palatino Linotype" w:hAnsi="Palatino Linotype"/>
          <w:i w:val="1"/>
          <w:iCs w:val="1"/>
          <w:rtl w:val="0"/>
        </w:rPr>
        <w:t xml:space="preserve">. </w:t>
      </w:r>
      <w:r w:rsidDel="00000000" w:rsidR="00000000" w:rsidRPr="00000000">
        <w:rPr>
          <w:rFonts w:ascii="Palatino Linotype" w:cs="Palatino Linotype" w:eastAsia="Palatino Linotype" w:hAnsi="Palatino Linotype"/>
          <w:b w:val="1"/>
          <w:bCs w:val="1"/>
          <w:i w:val="1"/>
          <w:iCs w:val="1"/>
          <w:rtl w:val="0"/>
        </w:rPr>
        <w:t xml:space="preserve">El recurso</w:t>
      </w:r>
      <w:r w:rsidDel="00000000" w:rsidR="00000000" w:rsidRPr="00000000">
        <w:rPr>
          <w:rFonts w:ascii="Palatino Linotype" w:cs="Palatino Linotype" w:eastAsia="Palatino Linotype" w:hAnsi="Palatino Linotype"/>
          <w:i w:val="1"/>
          <w:iCs w:val="1"/>
          <w:rtl w:val="0"/>
        </w:rPr>
        <w:t xml:space="preserve"> </w:t>
      </w:r>
      <w:r w:rsidDel="00000000" w:rsidR="00000000" w:rsidRPr="00000000">
        <w:rPr>
          <w:rFonts w:ascii="Palatino Linotype" w:cs="Palatino Linotype" w:eastAsia="Palatino Linotype" w:hAnsi="Palatino Linotype"/>
          <w:b w:val="1"/>
          <w:bCs w:val="1"/>
          <w:i w:val="1"/>
          <w:iCs w:val="1"/>
          <w:rtl w:val="0"/>
        </w:rPr>
        <w:t xml:space="preserve">será </w:t>
      </w:r>
      <w:r w:rsidDel="00000000" w:rsidR="00000000" w:rsidRPr="00000000">
        <w:rPr>
          <w:rFonts w:ascii="Palatino Linotype" w:cs="Palatino Linotype" w:eastAsia="Palatino Linotype" w:hAnsi="Palatino Linotype"/>
          <w:i w:val="1"/>
          <w:iCs w:val="1"/>
          <w:rtl w:val="0"/>
        </w:rPr>
        <w:t xml:space="preserve">desechado por </w:t>
      </w:r>
      <w:r w:rsidDel="00000000" w:rsidR="00000000" w:rsidRPr="00000000">
        <w:rPr>
          <w:rFonts w:ascii="Palatino Linotype" w:cs="Palatino Linotype" w:eastAsia="Palatino Linotype" w:hAnsi="Palatino Linotype"/>
          <w:b w:val="1"/>
          <w:bCs w:val="1"/>
          <w:i w:val="1"/>
          <w:iCs w:val="1"/>
          <w:rtl w:val="0"/>
        </w:rPr>
        <w:t xml:space="preserve">improcedente cuando</w:t>
      </w: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left" w:leader="none" w:pos="7088"/>
        </w:tabs>
        <w:spacing w:line="276" w:lineRule="auto"/>
        <w:ind w:left="851"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8D">
      <w:pPr>
        <w:tabs>
          <w:tab w:val="left" w:leader="none" w:pos="7088"/>
        </w:tabs>
        <w:spacing w:line="276" w:lineRule="auto"/>
        <w:ind w:left="851" w:right="616"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VI. Se trate de una consulta</w:t>
      </w:r>
      <w:r w:rsidDel="00000000" w:rsidR="00000000" w:rsidRPr="00000000">
        <w:rPr>
          <w:rFonts w:ascii="Palatino Linotype" w:cs="Palatino Linotype" w:eastAsia="Palatino Linotype" w:hAnsi="Palatino Linotype"/>
          <w:i w:val="1"/>
          <w:iCs w:val="1"/>
          <w:rtl w:val="0"/>
        </w:rPr>
        <w:t xml:space="preserve">, o trámite en específico</w:t>
      </w:r>
      <w:r w:rsidDel="00000000" w:rsidR="00000000" w:rsidRPr="00000000">
        <w:rPr>
          <w:rFonts w:ascii="Palatino Linotype" w:cs="Palatino Linotype" w:eastAsia="Palatino Linotype" w:hAnsi="Palatino Linotype"/>
          <w:b w:val="1"/>
          <w:bCs w:val="1"/>
          <w:i w:val="1"/>
          <w:iCs w:val="1"/>
          <w:rtl w:val="0"/>
        </w:rPr>
        <w:t xml:space="preserve">; </w:t>
      </w:r>
    </w:p>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left" w:leader="none" w:pos="7088"/>
        </w:tabs>
        <w:spacing w:line="276" w:lineRule="auto"/>
        <w:ind w:left="851"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left" w:leader="none" w:pos="7088"/>
        </w:tabs>
        <w:spacing w:line="276" w:lineRule="auto"/>
        <w:ind w:left="851"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Artículo 192.</w:t>
      </w:r>
      <w:r w:rsidDel="00000000" w:rsidR="00000000" w:rsidRPr="00000000">
        <w:rPr>
          <w:rFonts w:ascii="Palatino Linotype" w:cs="Palatino Linotype" w:eastAsia="Palatino Linotype" w:hAnsi="Palatino Linotype"/>
          <w:i w:val="1"/>
          <w:iCs w:val="1"/>
          <w:rtl w:val="0"/>
        </w:rPr>
        <w:t xml:space="preserve"> El recurso será sobreseído, en todo o en parte, cuando una vez admitido, se actualicen alguno de los siguientes supuestos:</w:t>
      </w:r>
    </w:p>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left" w:leader="none" w:pos="7088"/>
        </w:tabs>
        <w:spacing w:line="276" w:lineRule="auto"/>
        <w:ind w:left="851"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left" w:leader="none" w:pos="7088"/>
        </w:tabs>
        <w:spacing w:line="276" w:lineRule="auto"/>
        <w:ind w:left="851"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IV</w:t>
      </w:r>
      <w:r w:rsidDel="00000000" w:rsidR="00000000" w:rsidRPr="00000000">
        <w:rPr>
          <w:rFonts w:ascii="Palatino Linotype" w:cs="Palatino Linotype" w:eastAsia="Palatino Linotype" w:hAnsi="Palatino Linotype"/>
          <w:i w:val="1"/>
          <w:iCs w:val="1"/>
          <w:rtl w:val="0"/>
        </w:rPr>
        <w:t xml:space="preserve">. Admitido el recurso de revisión, </w:t>
      </w:r>
      <w:r w:rsidDel="00000000" w:rsidR="00000000" w:rsidRPr="00000000">
        <w:rPr>
          <w:rFonts w:ascii="Palatino Linotype" w:cs="Palatino Linotype" w:eastAsia="Palatino Linotype" w:hAnsi="Palatino Linotype"/>
          <w:b w:val="1"/>
          <w:bCs w:val="1"/>
          <w:i w:val="1"/>
          <w:iCs w:val="1"/>
          <w:rtl w:val="0"/>
        </w:rPr>
        <w:t xml:space="preserve">aparezca alguna causal de improcedencia</w:t>
      </w:r>
      <w:r w:rsidDel="00000000" w:rsidR="00000000" w:rsidRPr="00000000">
        <w:rPr>
          <w:rFonts w:ascii="Palatino Linotype" w:cs="Palatino Linotype" w:eastAsia="Palatino Linotype" w:hAnsi="Palatino Linotype"/>
          <w:i w:val="1"/>
          <w:iCs w:val="1"/>
          <w:rtl w:val="0"/>
        </w:rPr>
        <w:t xml:space="preserve"> en los términos de la presente Ley. “</w:t>
      </w:r>
    </w:p>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left" w:leader="none" w:pos="7088"/>
        </w:tabs>
        <w:spacing w:line="276" w:lineRule="auto"/>
        <w:ind w:left="851" w:right="616"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9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i w:val="1"/>
          <w:iCs w:val="1"/>
          <w:rtl w:val="0"/>
        </w:rPr>
        <w:t xml:space="preserve">sobreseimiento</w:t>
      </w:r>
      <w:r w:rsidDel="00000000" w:rsidR="00000000" w:rsidRPr="00000000">
        <w:rPr>
          <w:rFonts w:ascii="Palatino Linotype" w:cs="Palatino Linotype" w:eastAsia="Palatino Linotype" w:hAnsi="Palatino Linotype"/>
          <w:rtl w:val="0"/>
        </w:rPr>
        <w:t xml:space="preserve"> es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rsidR="00000000" w:rsidDel="00000000" w:rsidP="00000000" w:rsidRDefault="00000000" w:rsidRPr="00000000" w14:paraId="00000094">
      <w:pPr>
        <w:ind w:left="851" w:right="902"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95">
      <w:pPr>
        <w:spacing w:line="276" w:lineRule="auto"/>
        <w:ind w:left="851" w:right="616"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SOBRESEIMIENTO, NO PERMITE ENTRAR AL ESTUDIO DE LAS CUESTIONES DE FONDO</w:t>
      </w:r>
    </w:p>
    <w:p w:rsidR="00000000" w:rsidDel="00000000" w:rsidP="00000000" w:rsidRDefault="00000000" w:rsidRPr="00000000" w14:paraId="00000096">
      <w:pPr>
        <w:spacing w:line="276" w:lineRule="auto"/>
        <w:ind w:left="851"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Localización: 213609. II.2o.183 K. Tribunales Colegiados de Circuito. Octava Época. Semanario Judicial de la Federación. Tomo XIII, Febrero de 1994, Pág. 420</w:t>
      </w:r>
    </w:p>
    <w:p w:rsidR="00000000" w:rsidDel="00000000" w:rsidP="00000000" w:rsidRDefault="00000000" w:rsidRPr="00000000" w14:paraId="00000097">
      <w:pPr>
        <w:spacing w:line="276" w:lineRule="auto"/>
        <w:ind w:left="851"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000000" w:rsidDel="00000000" w:rsidP="00000000" w:rsidRDefault="00000000" w:rsidRPr="00000000" w14:paraId="0000009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destacar que la decisión de este Organismo Colegiado de sobreseer el recurso de revisión no implica una limitación o negación a la justicia, según lo ha establecido el Poder Judicial Federal, en el criterio que es aplicable por analogía, con rubro:</w:t>
      </w:r>
    </w:p>
    <w:p w:rsidR="00000000" w:rsidDel="00000000" w:rsidP="00000000" w:rsidRDefault="00000000" w:rsidRPr="00000000" w14:paraId="0000009A">
      <w:pPr>
        <w:spacing w:line="276" w:lineRule="auto"/>
        <w:ind w:left="851" w:right="616" w:firstLine="0"/>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09B">
      <w:pPr>
        <w:spacing w:line="276" w:lineRule="auto"/>
        <w:ind w:left="851" w:right="61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rtl w:val="0"/>
        </w:rPr>
        <w:t xml:space="preserve">“DESECHAMIENTO O SOBRESEIMIENTO EN EL JUICIO DE AMPARO. NO IMPLICA DENEGACIÓN DE JUSTICIA NI GENERA INSEGURIDAD JURÍDICA” </w:t>
      </w:r>
      <w:r w:rsidDel="00000000" w:rsidR="00000000" w:rsidRPr="00000000">
        <w:rPr>
          <w:rFonts w:ascii="Palatino Linotype" w:cs="Palatino Linotype" w:eastAsia="Palatino Linotype" w:hAnsi="Palatino Linotype"/>
          <w:i w:val="1"/>
          <w:iCs w:val="1"/>
          <w:rtl w:val="0"/>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Del="00000000" w:rsidR="00000000" w:rsidRPr="00000000">
        <w:rPr>
          <w:rFonts w:ascii="Palatino Linotype" w:cs="Palatino Linotype" w:eastAsia="Palatino Linotype" w:hAnsi="Palatino Linotype"/>
          <w:rtl w:val="0"/>
        </w:rPr>
        <w:tab/>
      </w:r>
    </w:p>
    <w:p w:rsidR="00000000" w:rsidDel="00000000" w:rsidP="00000000" w:rsidRDefault="00000000" w:rsidRPr="00000000" w14:paraId="0000009C">
      <w:pPr>
        <w:spacing w:line="276" w:lineRule="auto"/>
        <w:ind w:left="851" w:right="616"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9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ese tenor con fundamento en la segunda hipótesis de la fracción I del artículo 186, de la Ley de Transparencia y Acceso a la Información Pública del Estado de México y Municipios, se </w:t>
      </w:r>
      <w:r w:rsidDel="00000000" w:rsidR="00000000" w:rsidRPr="00000000">
        <w:rPr>
          <w:rFonts w:ascii="Palatino Linotype" w:cs="Palatino Linotype" w:eastAsia="Palatino Linotype" w:hAnsi="Palatino Linotype"/>
          <w:b w:val="1"/>
          <w:bCs w:val="1"/>
          <w:rtl w:val="0"/>
        </w:rPr>
        <w:t xml:space="preserve">Sobresee </w:t>
      </w:r>
      <w:r w:rsidDel="00000000" w:rsidR="00000000" w:rsidRPr="00000000">
        <w:rPr>
          <w:rFonts w:ascii="Palatino Linotype" w:cs="Palatino Linotype" w:eastAsia="Palatino Linotype" w:hAnsi="Palatino Linotype"/>
          <w:rtl w:val="0"/>
        </w:rPr>
        <w:t xml:space="preserve">el recurso de revisión </w:t>
      </w:r>
      <w:r w:rsidDel="00000000" w:rsidR="00000000" w:rsidRPr="00000000">
        <w:rPr>
          <w:rFonts w:ascii="Palatino Linotype" w:cs="Palatino Linotype" w:eastAsia="Palatino Linotype" w:hAnsi="Palatino Linotype"/>
          <w:b w:val="1"/>
          <w:bCs w:val="1"/>
          <w:rtl w:val="0"/>
        </w:rPr>
        <w:t xml:space="preserve">01219/INFOEM/IP/RR/2026</w:t>
      </w:r>
      <w:r w:rsidDel="00000000" w:rsidR="00000000" w:rsidRPr="00000000">
        <w:rPr>
          <w:rFonts w:ascii="Palatino Linotype" w:cs="Palatino Linotype" w:eastAsia="Palatino Linotype" w:hAnsi="Palatino Linotype"/>
          <w:rtl w:val="0"/>
        </w:rPr>
        <w:t xml:space="preserve">, que ha sido materia del presente fallo.</w:t>
      </w:r>
    </w:p>
    <w:p w:rsidR="00000000" w:rsidDel="00000000" w:rsidP="00000000" w:rsidRDefault="00000000" w:rsidRPr="00000000" w14:paraId="0000009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III. R E S U E L V E</w:t>
      </w:r>
    </w:p>
    <w:p w:rsidR="00000000" w:rsidDel="00000000" w:rsidP="00000000" w:rsidRDefault="00000000" w:rsidRPr="00000000" w14:paraId="000000A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Primero. </w:t>
      </w:r>
      <w:r w:rsidDel="00000000" w:rsidR="00000000" w:rsidRPr="00000000">
        <w:rPr>
          <w:rFonts w:ascii="Palatino Linotype" w:cs="Palatino Linotype" w:eastAsia="Palatino Linotype" w:hAnsi="Palatino Linotype"/>
          <w:rtl w:val="0"/>
        </w:rPr>
        <w:t xml:space="preserve">Se</w:t>
      </w:r>
      <w:r w:rsidDel="00000000" w:rsidR="00000000" w:rsidRPr="00000000">
        <w:rPr>
          <w:rFonts w:ascii="Palatino Linotype" w:cs="Palatino Linotype" w:eastAsia="Palatino Linotype" w:hAnsi="Palatino Linotype"/>
          <w:b w:val="1"/>
          <w:bCs w:val="1"/>
          <w:rtl w:val="0"/>
        </w:rPr>
        <w:t xml:space="preserve"> Sobresee </w:t>
      </w:r>
      <w:r w:rsidDel="00000000" w:rsidR="00000000" w:rsidRPr="00000000">
        <w:rPr>
          <w:rFonts w:ascii="Palatino Linotype" w:cs="Palatino Linotype" w:eastAsia="Palatino Linotype" w:hAnsi="Palatino Linotype"/>
          <w:rtl w:val="0"/>
        </w:rPr>
        <w:t xml:space="preserve">el recurso de revisión </w:t>
      </w:r>
      <w:r w:rsidDel="00000000" w:rsidR="00000000" w:rsidRPr="00000000">
        <w:rPr>
          <w:rFonts w:ascii="Palatino Linotype" w:cs="Palatino Linotype" w:eastAsia="Palatino Linotype" w:hAnsi="Palatino Linotype"/>
          <w:b w:val="1"/>
          <w:bCs w:val="1"/>
          <w:rtl w:val="0"/>
        </w:rPr>
        <w:t xml:space="preserve">01219/INFOEM/IP/RR/2026, </w:t>
      </w:r>
      <w:r w:rsidDel="00000000" w:rsidR="00000000" w:rsidRPr="00000000">
        <w:rPr>
          <w:rFonts w:ascii="Palatino Linotype" w:cs="Palatino Linotype" w:eastAsia="Palatino Linotype" w:hAnsi="Palatino Linotype"/>
          <w:rtl w:val="0"/>
        </w:rPr>
        <w:t xml:space="preserve">porque una vez admitido se actualizó la causal de improcedencia prevista en artículo 192, fracción IV, en relación con el artículo 191, fracción VI, ambos de la Ley de Transparencia y Acceso a la Información Pública del Estado de México y Municipios, que lo dejó sin materia en términos del considerando </w:t>
      </w:r>
      <w:r w:rsidDel="00000000" w:rsidR="00000000" w:rsidRPr="00000000">
        <w:rPr>
          <w:rFonts w:ascii="Palatino Linotype" w:cs="Palatino Linotype" w:eastAsia="Palatino Linotype" w:hAnsi="Palatino Linotype"/>
          <w:b w:val="1"/>
          <w:bCs w:val="1"/>
          <w:rtl w:val="0"/>
        </w:rPr>
        <w:t xml:space="preserve">Tercero </w:t>
      </w:r>
      <w:r w:rsidDel="00000000" w:rsidR="00000000" w:rsidRPr="00000000">
        <w:rPr>
          <w:rFonts w:ascii="Palatino Linotype" w:cs="Palatino Linotype" w:eastAsia="Palatino Linotype" w:hAnsi="Palatino Linotype"/>
          <w:rtl w:val="0"/>
        </w:rPr>
        <w:t xml:space="preserve">de la presente Resolución.</w:t>
      </w:r>
    </w:p>
    <w:p w:rsidR="00000000" w:rsidDel="00000000" w:rsidP="00000000" w:rsidRDefault="00000000" w:rsidRPr="00000000" w14:paraId="000000A1">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Segundo.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bCs w:val="1"/>
          <w:rtl w:val="0"/>
        </w:rPr>
        <w:t xml:space="preserve">SAIMEX, </w:t>
      </w:r>
      <w:r w:rsidDel="00000000" w:rsidR="00000000" w:rsidRPr="00000000">
        <w:rPr>
          <w:rFonts w:ascii="Palatino Linotype" w:cs="Palatino Linotype" w:eastAsia="Palatino Linotype" w:hAnsi="Palatino Linotype"/>
          <w:rtl w:val="0"/>
        </w:rPr>
        <w:t xml:space="preserve">la presente resolución a la persona Titular de la Unidad de Transparencia del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para su conocimiento. </w:t>
      </w:r>
    </w:p>
    <w:p w:rsidR="00000000" w:rsidDel="00000000" w:rsidP="00000000" w:rsidRDefault="00000000" w:rsidRPr="00000000" w14:paraId="000000A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Tercero.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bCs w:val="1"/>
          <w:rtl w:val="0"/>
        </w:rPr>
        <w:t xml:space="preserve">SAIMEX, </w:t>
      </w:r>
      <w:r w:rsidDel="00000000" w:rsidR="00000000" w:rsidRPr="00000000">
        <w:rPr>
          <w:rFonts w:ascii="Palatino Linotype" w:cs="Palatino Linotype" w:eastAsia="Palatino Linotype" w:hAnsi="Palatino Linotype"/>
          <w:rtl w:val="0"/>
        </w:rPr>
        <w:t xml:space="preserve">a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0A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4">
      <w:pPr>
        <w:spacing w:after="0" w:line="360" w:lineRule="auto"/>
        <w:ind w:right="-93"/>
        <w:jc w:val="both"/>
        <w:rPr>
          <w:rFonts w:ascii="Palatino Linotype" w:cs="Palatino Linotype" w:eastAsia="Palatino Linotype" w:hAnsi="Palatino Linotype"/>
        </w:rPr>
      </w:pPr>
      <w:bookmarkStart w:colFirst="0" w:colLast="0" w:name="_heading=h.jm729bhb23qj" w:id="4"/>
      <w:bookmarkEnd w:id="4"/>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Y GUADALUPE RAMÍREZ PEÑA; EN LA DÉCIMA SESIÓN ORDINARIA CELEBRADA EL DIECINUEVE DE MARZO DE DOS MIL VEINTISÉIS, ANTE EL SECRETARIO TÉCNICO DEL PLENO ALEXIS TAPIA RAMÍREZ.</w:t>
      </w:r>
    </w:p>
    <w:p w:rsidR="00000000" w:rsidDel="00000000" w:rsidP="00000000" w:rsidRDefault="00000000" w:rsidRPr="00000000" w14:paraId="000000A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C">
      <w:pPr>
        <w:spacing w:after="0" w:line="360" w:lineRule="auto"/>
        <w:ind w:right="49"/>
        <w:jc w:val="both"/>
        <w:rPr>
          <w:rFonts w:ascii="Palatino Linotype" w:cs="Palatino Linotype" w:eastAsia="Palatino Linotype" w:hAnsi="Palatino Linotype"/>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bCs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bCs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bCs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bCs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-717546</wp:posOffset>
          </wp:positionH>
          <wp:positionV relativeFrom="paragraph">
            <wp:posOffset>-402585</wp:posOffset>
          </wp:positionV>
          <wp:extent cx="7809876" cy="10165823"/>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Recurso de Revisión:</w:t>
          </w:r>
        </w:p>
      </w:tc>
      <w:tc>
        <w:tcPr>
          <w:vAlign w:val="center"/>
        </w:tcPr>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rtl w:val="0"/>
            </w:rPr>
            <w:t xml:space="preserve">01219/INFOEM/IP/RR/2026</w:t>
          </w: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Sujeto obligado:</w:t>
          </w:r>
        </w:p>
      </w:tc>
      <w:tc>
        <w:tcPr>
          <w:vAlign w:val="center"/>
        </w:tcPr>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74"/>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Secretaría del Bienestar</w:t>
          </w:r>
        </w:p>
      </w:tc>
    </w:tr>
    <w:tr>
      <w:trPr>
        <w:cantSplit w:val="0"/>
        <w:tblHeader w:val="0"/>
      </w:trPr>
      <w:tc>
        <w:tcPr>
          <w:vAlign w:val="center"/>
        </w:tcPr>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Comisionada ponente:</w:t>
          </w:r>
        </w:p>
      </w:tc>
      <w:tc>
        <w:tcPr>
          <w:vAlign w:val="center"/>
        </w:tcPr>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Guadalupe Ramírez Peña</w:t>
          </w:r>
        </w:p>
      </w:tc>
    </w:tr>
  </w:tbl>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5">
    <w:pPr>
      <w:widowControl w:val="0"/>
      <w:pBdr>
        <w:top w:space="0" w:sz="0" w:val="nil"/>
        <w:left w:space="0" w:sz="0" w:val="nil"/>
        <w:bottom w:space="0" w:sz="0" w:val="nil"/>
        <w:right w:space="0" w:sz="0" w:val="nil"/>
        <w:between w:space="0" w:sz="0" w:val="nil"/>
      </w:pBdr>
      <w:spacing w:after="0" w:line="276"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-761288</wp:posOffset>
          </wp:positionH>
          <wp:positionV relativeFrom="paragraph">
            <wp:posOffset>-183511</wp:posOffset>
          </wp:positionV>
          <wp:extent cx="7809876" cy="10165823"/>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62.0" w:type="dxa"/>
      <w:jc w:val="left"/>
      <w:tblInd w:w="3611.0" w:type="dxa"/>
      <w:tblLayout w:type="fixed"/>
      <w:tblLook w:val="0400"/>
    </w:tblPr>
    <w:tblGrid>
      <w:gridCol w:w="2578"/>
      <w:gridCol w:w="3084"/>
      <w:tblGridChange w:id="0">
        <w:tblGrid>
          <w:gridCol w:w="2578"/>
          <w:gridCol w:w="3084"/>
        </w:tblGrid>
      </w:tblGridChange>
    </w:tblGrid>
    <w:tr>
      <w:trPr>
        <w:cantSplit w:val="0"/>
        <w:trHeight w:val="169" w:hRule="atLeast"/>
        <w:tblHeader w:val="0"/>
      </w:trPr>
      <w:tc>
        <w:tcPr>
          <w:vAlign w:val="center"/>
        </w:tcPr>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Recurso de Revisión:</w:t>
          </w:r>
        </w:p>
      </w:tc>
      <w:tc>
        <w:tcPr>
          <w:vAlign w:val="center"/>
        </w:tcPr>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15"/>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rtl w:val="0"/>
            </w:rPr>
            <w:t xml:space="preserve">01219/INFOEM/IP/RR/2026</w:t>
          </w:r>
          <w:r w:rsidDel="00000000" w:rsidR="00000000" w:rsidRPr="00000000">
            <w:rPr>
              <w:rtl w:val="0"/>
            </w:rPr>
          </w:r>
        </w:p>
      </w:tc>
    </w:tr>
    <w:tr>
      <w:trPr>
        <w:cantSplit w:val="0"/>
        <w:trHeight w:val="169" w:hRule="atLeast"/>
        <w:tblHeader w:val="0"/>
      </w:trPr>
      <w:tc>
        <w:tcPr>
          <w:vAlign w:val="center"/>
        </w:tcPr>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Recurrente:</w:t>
          </w:r>
        </w:p>
      </w:tc>
      <w:tc>
        <w:tcPr>
          <w:vAlign w:val="center"/>
        </w:tcPr>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XXXXXXX XXXXXX XXXXX </w:t>
          </w:r>
        </w:p>
      </w:tc>
    </w:tr>
    <w:tr>
      <w:trPr>
        <w:cantSplit w:val="0"/>
        <w:trHeight w:val="128" w:hRule="atLeast"/>
        <w:tblHeader w:val="0"/>
      </w:trPr>
      <w:tc>
        <w:tcPr>
          <w:vAlign w:val="center"/>
        </w:tcPr>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Sujeto obligado:</w:t>
          </w:r>
        </w:p>
      </w:tc>
      <w:tc>
        <w:tcPr>
          <w:vAlign w:val="center"/>
        </w:tcPr>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316"/>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Secretaría del Bienestar </w:t>
          </w:r>
        </w:p>
      </w:tc>
    </w:tr>
    <w:tr>
      <w:trPr>
        <w:cantSplit w:val="0"/>
        <w:trHeight w:val="169" w:hRule="atLeast"/>
        <w:tblHeader w:val="0"/>
      </w:trPr>
      <w:tc>
        <w:tcPr>
          <w:vAlign w:val="center"/>
        </w:tcPr>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Comisionada ponente:</w:t>
          </w:r>
        </w:p>
      </w:tc>
      <w:tc>
        <w:tcPr>
          <w:vAlign w:val="center"/>
        </w:tcPr>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Guadalupe Ramírez Peña</w:t>
          </w:r>
        </w:p>
      </w:tc>
    </w:tr>
  </w:tbl>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center" w:leader="none" w:pos="4419"/>
        <w:tab w:val="right" w:leader="none" w:pos="8838"/>
        <w:tab w:val="left" w:leader="none" w:pos="3466"/>
      </w:tabs>
      <w:spacing w:after="0" w:line="240" w:lineRule="auto"/>
      <w:rPr>
        <w:color w:val="000000"/>
      </w:rPr>
    </w:pPr>
    <w:r w:rsidDel="00000000" w:rsidR="00000000" w:rsidRPr="00000000">
      <w:rPr>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2">
    <w:lvl w:ilvl="0">
      <w:start w:val="1"/>
      <w:numFmt w:val="upperRoman"/>
      <w:lvlText w:val="%1."/>
      <w:lvlJc w:val="left"/>
      <w:pPr>
        <w:ind w:left="1287" w:hanging="720.0000000000001"/>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NF/KouKucMUIP4aoRYQmspJyBg==">CgMxLjAyDmguMnF3NXUwc3c5c2lwMg5oLjRnMHpnNjMwbXZ1OTIOaC5sZ3dsM2JzYnpjNmEyCWguM3pueXNoNzIOaC5qbTcyOWJoYjIzcWo4AHIhMUluMmNteVdkUUxpalI2a09kWURtRmw5bFZiUERvZldh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