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01EAF" w14:textId="108B0A99" w:rsidR="00C63C05" w:rsidRDefault="00416EA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Pr>
          <w:rFonts w:ascii="Palatino Linotype" w:eastAsia="Palatino Linotype" w:hAnsi="Palatino Linotype" w:cs="Palatino Linotype"/>
        </w:rPr>
        <w:t xml:space="preserve"> fecha</w:t>
      </w:r>
      <w:r>
        <w:rPr>
          <w:rFonts w:ascii="Palatino Linotype" w:eastAsia="Palatino Linotype" w:hAnsi="Palatino Linotype" w:cs="Palatino Linotype"/>
          <w:color w:val="000000"/>
        </w:rPr>
        <w:t xml:space="preserve"> </w:t>
      </w:r>
      <w:r w:rsidR="0002025D">
        <w:rPr>
          <w:rFonts w:ascii="Palatino Linotype" w:eastAsia="Palatino Linotype" w:hAnsi="Palatino Linotype" w:cs="Palatino Linotype"/>
          <w:b/>
          <w:bCs/>
          <w:color w:val="000000"/>
        </w:rPr>
        <w:t>veintisiete</w:t>
      </w:r>
      <w:r w:rsidR="004B745E">
        <w:rPr>
          <w:rFonts w:ascii="Palatino Linotype" w:eastAsia="Palatino Linotype" w:hAnsi="Palatino Linotype" w:cs="Palatino Linotype"/>
          <w:b/>
          <w:bCs/>
          <w:color w:val="000000"/>
        </w:rPr>
        <w:t xml:space="preserve"> (27)</w:t>
      </w:r>
      <w:r w:rsidR="0002025D">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rPr>
        <w:t>de mayo de dos mil veintiséis.</w:t>
      </w:r>
    </w:p>
    <w:p w14:paraId="1B960DF2"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66A1C5BE" w14:textId="29DDDDD8" w:rsidR="00C63C05" w:rsidRDefault="00416EA5" w:rsidP="00AA0302">
      <w:pPr>
        <w:pBdr>
          <w:top w:val="nil"/>
          <w:left w:val="nil"/>
          <w:bottom w:val="nil"/>
          <w:right w:val="nil"/>
          <w:between w:val="nil"/>
        </w:pBdr>
        <w:tabs>
          <w:tab w:val="right" w:pos="8504"/>
        </w:tabs>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en el expediente electrónico formado con motivo de los recursos de revisión números </w:t>
      </w:r>
      <w:r>
        <w:rPr>
          <w:rFonts w:ascii="Palatino Linotype" w:eastAsia="Palatino Linotype" w:hAnsi="Palatino Linotype" w:cs="Palatino Linotype"/>
          <w:b/>
          <w:bCs/>
          <w:color w:val="000000"/>
        </w:rPr>
        <w:t>03068/INFOEM/IP/RR/2026, 03368/INFOEM/IP/RR/2026, 03369/INFOEM/IP/RR/2026, 03370/INFOEM/IP/RR/2026, 03371/INFOEM/IP/RR/2026 y 03372/INFOEM/IP/RR/2026 acumulados</w:t>
      </w:r>
      <w:r>
        <w:rPr>
          <w:rFonts w:ascii="Palatino Linotype" w:eastAsia="Palatino Linotype" w:hAnsi="Palatino Linotype" w:cs="Palatino Linotype"/>
          <w:color w:val="000000"/>
        </w:rPr>
        <w:t xml:space="preserve">, promovidos por </w:t>
      </w:r>
      <w:r w:rsidR="00E052DA">
        <w:rPr>
          <w:rFonts w:ascii="Palatino Linotype" w:eastAsia="Palatino Linotype" w:hAnsi="Palatino Linotype" w:cs="Palatino Linotype"/>
          <w:b/>
          <w:bCs/>
          <w:color w:val="000000"/>
        </w:rPr>
        <w:t>XXXX</w:t>
      </w:r>
      <w:r>
        <w:rPr>
          <w:rFonts w:ascii="Palatino Linotype" w:eastAsia="Palatino Linotype" w:hAnsi="Palatino Linotype" w:cs="Palatino Linotype"/>
          <w:b/>
          <w:bCs/>
        </w:rPr>
        <w:t>,</w:t>
      </w:r>
      <w:r>
        <w:rPr>
          <w:rFonts w:ascii="Palatino Linotype" w:eastAsia="Palatino Linotype" w:hAnsi="Palatino Linotype" w:cs="Palatino Linotype"/>
          <w:color w:val="000000"/>
        </w:rPr>
        <w:t xml:space="preserve"> a quien llamaremos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 respuesta de la </w:t>
      </w:r>
      <w:r>
        <w:rPr>
          <w:rFonts w:ascii="Palatino Linotype" w:eastAsia="Palatino Linotype" w:hAnsi="Palatino Linotype" w:cs="Palatino Linotype"/>
          <w:b/>
          <w:bCs/>
        </w:rPr>
        <w:t>Secretaría</w:t>
      </w:r>
      <w:r>
        <w:rPr>
          <w:rFonts w:ascii="Palatino Linotype" w:eastAsia="Palatino Linotype" w:hAnsi="Palatino Linotype" w:cs="Palatino Linotype"/>
          <w:b/>
          <w:bCs/>
          <w:color w:val="000000"/>
        </w:rPr>
        <w:t xml:space="preserve"> General de Gobierno,</w:t>
      </w:r>
      <w:r>
        <w:rPr>
          <w:rFonts w:ascii="Palatino Linotype" w:eastAsia="Palatino Linotype" w:hAnsi="Palatino Linotype" w:cs="Palatino Linotype"/>
          <w:color w:val="000000"/>
        </w:rPr>
        <w:t xml:space="preserve"> en lo sucesivo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bookmarkStart w:id="0" w:name="_GoBack"/>
      <w:bookmarkEnd w:id="0"/>
    </w:p>
    <w:p w14:paraId="672BF924" w14:textId="77777777" w:rsidR="00C63C05" w:rsidRDefault="00C63C05">
      <w:pPr>
        <w:pBdr>
          <w:top w:val="nil"/>
          <w:left w:val="nil"/>
          <w:bottom w:val="nil"/>
          <w:right w:val="nil"/>
          <w:between w:val="nil"/>
        </w:pBdr>
        <w:tabs>
          <w:tab w:val="center" w:pos="4252"/>
          <w:tab w:val="right" w:pos="8504"/>
        </w:tabs>
        <w:spacing w:line="360" w:lineRule="auto"/>
        <w:ind w:right="-1131"/>
        <w:jc w:val="both"/>
        <w:rPr>
          <w:rFonts w:ascii="Palatino Linotype" w:eastAsia="Palatino Linotype" w:hAnsi="Palatino Linotype" w:cs="Palatino Linotype"/>
          <w:b/>
          <w:bCs/>
          <w:color w:val="000000"/>
        </w:rPr>
      </w:pPr>
    </w:p>
    <w:p w14:paraId="1D01C23B" w14:textId="77777777" w:rsidR="00C63C05" w:rsidRDefault="00416EA5">
      <w:pPr>
        <w:pStyle w:val="Ttulo2"/>
        <w:spacing w:line="360" w:lineRule="auto"/>
        <w:ind w:right="-1131"/>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14:paraId="67851757" w14:textId="77777777" w:rsidR="00C63C05" w:rsidRDefault="00C63C05"/>
    <w:p w14:paraId="77DD5080"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seis de febrero y cinco de marzo de dos mil veintiséis</w:t>
      </w:r>
      <w:r>
        <w:rPr>
          <w:rFonts w:ascii="Palatino Linotype" w:eastAsia="Palatino Linotype" w:hAnsi="Palatino Linotype" w:cs="Palatino Linotype"/>
          <w:color w:val="000000"/>
        </w:rPr>
        <w:t>, 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presentaron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las solicitudes de información pública registradas con los números </w:t>
      </w:r>
      <w:r>
        <w:rPr>
          <w:rFonts w:ascii="Palatino Linotype" w:eastAsia="Palatino Linotype" w:hAnsi="Palatino Linotype" w:cs="Palatino Linotype"/>
          <w:b/>
          <w:bCs/>
          <w:color w:val="000000"/>
        </w:rPr>
        <w:t>00020/SEGEGOB/IP/2026, 00040/SEGEGOB/IP/2026, 00039/SEGEGOB/IP/2026, 00036/SEGEGOB/IP/2026, 00037/SEGEGOB/IP/2026 y 00038/SEGEGOB/IP/2026,</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en las que </w:t>
      </w:r>
      <w:r>
        <w:rPr>
          <w:rFonts w:ascii="Palatino Linotype" w:eastAsia="Palatino Linotype" w:hAnsi="Palatino Linotype" w:cs="Palatino Linotype"/>
          <w:color w:val="000000"/>
        </w:rPr>
        <w:t>se requirió lo siguiente:</w:t>
      </w:r>
    </w:p>
    <w:p w14:paraId="7118E490"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rPr>
      </w:pPr>
    </w:p>
    <w:p w14:paraId="63055FF9"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 xml:space="preserve">00020/SEGEGOB/IP/2026, </w:t>
      </w:r>
    </w:p>
    <w:p w14:paraId="603FB071"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03068/INFOEM/IP/RR/2026</w:t>
      </w:r>
    </w:p>
    <w:p w14:paraId="0660C8DA" w14:textId="77777777" w:rsidR="00C63C05" w:rsidRDefault="00416EA5">
      <w:pPr>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“SOLICITO LA ENTREGA A TRAVÉS DEL SISTEMA ELECTRÓNICO SAIMEX DE todas las facturas que se encuentran en archivos del sujeto obligado como area ejecutora del gasto </w:t>
      </w:r>
      <w:r>
        <w:rPr>
          <w:rFonts w:ascii="Palatino Linotype" w:eastAsia="Palatino Linotype" w:hAnsi="Palatino Linotype" w:cs="Palatino Linotype"/>
          <w:i/>
          <w:iCs/>
          <w:color w:val="000000"/>
        </w:rPr>
        <w:lastRenderedPageBreak/>
        <w:t>fechadas entre el 1 de enero al 31 de diciembre de 2025 correspondientes a la contratación de servicios con recursos públicos de la partida presupuestal 3611.” (Sic.)</w:t>
      </w:r>
    </w:p>
    <w:p w14:paraId="4A0618F4" w14:textId="77777777" w:rsidR="00C63C05" w:rsidRDefault="00C63C05">
      <w:pPr>
        <w:ind w:right="-1131"/>
        <w:rPr>
          <w:rFonts w:ascii="Palatino Linotype" w:eastAsia="Palatino Linotype" w:hAnsi="Palatino Linotype" w:cs="Palatino Linotype"/>
          <w:b/>
          <w:bCs/>
          <w:color w:val="000000"/>
        </w:rPr>
      </w:pPr>
    </w:p>
    <w:p w14:paraId="66F82699" w14:textId="77777777" w:rsidR="00C63C05" w:rsidRDefault="00416EA5">
      <w:pPr>
        <w:ind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00040/SEGEGOB/IP/2026, </w:t>
      </w:r>
    </w:p>
    <w:p w14:paraId="58EDB33E" w14:textId="77777777" w:rsidR="00C63C05" w:rsidRDefault="00416EA5">
      <w:pPr>
        <w:ind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03368/INFOEM/IP/RR/2026</w:t>
      </w:r>
    </w:p>
    <w:p w14:paraId="32022E70" w14:textId="77777777" w:rsidR="00C63C05" w:rsidRDefault="00416EA5">
      <w:pP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copia simple digitalizada a traves del sistema electronico saimex de todas las facturas correspondientes a la adquisicion de bienes y servicios que obran en los archivos de la coordinacion general de comunicacion social fechadas durante los meses de noviembre y diciembre de 2025” (Sic.)</w:t>
      </w:r>
    </w:p>
    <w:p w14:paraId="18BC3B28" w14:textId="77777777" w:rsidR="00C63C05" w:rsidRDefault="00C63C05">
      <w:pPr>
        <w:ind w:right="-1131"/>
        <w:rPr>
          <w:rFonts w:ascii="Palatino Linotype" w:eastAsia="Palatino Linotype" w:hAnsi="Palatino Linotype" w:cs="Palatino Linotype"/>
          <w:b/>
          <w:bCs/>
          <w:color w:val="000000"/>
        </w:rPr>
      </w:pPr>
    </w:p>
    <w:p w14:paraId="0836376A"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00039/SEGEGOB/IP/2026,</w:t>
      </w:r>
    </w:p>
    <w:p w14:paraId="22F894BB"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03369/INFOEM/IP/RR/2026</w:t>
      </w:r>
    </w:p>
    <w:p w14:paraId="356E9EC1" w14:textId="77777777" w:rsidR="00C63C05" w:rsidRDefault="00416EA5">
      <w:pP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copia simple digitalizada a traves del sistema electronico saimex de todas las facturas correspondientes a la adquisicion de bienes y servicios que obran en los archivos de la coordinacion general de comunicacion social fechadas durante los meses de septiembre y octubre de 2025.”(Sic.)</w:t>
      </w:r>
    </w:p>
    <w:p w14:paraId="6FCD1D44" w14:textId="77777777" w:rsidR="00C63C05" w:rsidRDefault="00C63C05">
      <w:pPr>
        <w:ind w:right="-1131"/>
        <w:rPr>
          <w:rFonts w:ascii="Palatino Linotype" w:eastAsia="Palatino Linotype" w:hAnsi="Palatino Linotype" w:cs="Palatino Linotype"/>
          <w:b/>
          <w:bCs/>
          <w:color w:val="000000"/>
        </w:rPr>
      </w:pPr>
    </w:p>
    <w:p w14:paraId="2AE89AA9"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 xml:space="preserve">00036/SEGEGOB/IP/2026, </w:t>
      </w:r>
    </w:p>
    <w:p w14:paraId="38822108"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03370/INFOEM/IP/RR/2026</w:t>
      </w:r>
    </w:p>
    <w:p w14:paraId="733A0F5D" w14:textId="77777777" w:rsidR="00C63C05" w:rsidRDefault="00416EA5">
      <w:pP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copia simple digitalizada a traves del sistema electronico saimex de todas las facturas correspondientes a la adquisicion de bienes y servicios que obran en los archivos de la coordinacion general de comunicacion social fechadas durante los meses de enero y febrero de 2025”.(Sic)</w:t>
      </w:r>
    </w:p>
    <w:p w14:paraId="156C4C5D" w14:textId="77777777" w:rsidR="00C63C05" w:rsidRDefault="00C63C05">
      <w:pPr>
        <w:ind w:right="-1131"/>
        <w:rPr>
          <w:rFonts w:ascii="Palatino Linotype" w:eastAsia="Palatino Linotype" w:hAnsi="Palatino Linotype" w:cs="Palatino Linotype"/>
          <w:b/>
          <w:bCs/>
          <w:color w:val="000000"/>
        </w:rPr>
      </w:pPr>
    </w:p>
    <w:p w14:paraId="76BA3CB6"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00037/SEGEGOB/IP/2026</w:t>
      </w:r>
    </w:p>
    <w:p w14:paraId="61B80368"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03371/INFOEM/IP/RR/2026</w:t>
      </w:r>
    </w:p>
    <w:p w14:paraId="6B679F32" w14:textId="77777777" w:rsidR="00C63C05" w:rsidRDefault="00416EA5">
      <w:pP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copia simple digitalizada a traves del sistema electronico saimex de todas las facturas correspondientes a la adquisicion de bienes y servicios que obran en los archivos de la coordinacion general de comunicacion social fechadas durante los meses de marzo, abril y mayo de 2025”(Sic.)</w:t>
      </w:r>
    </w:p>
    <w:p w14:paraId="01532905" w14:textId="77777777" w:rsidR="00C63C05" w:rsidRDefault="00C63C05">
      <w:pPr>
        <w:ind w:right="-1131"/>
        <w:rPr>
          <w:rFonts w:ascii="Palatino Linotype" w:eastAsia="Palatino Linotype" w:hAnsi="Palatino Linotype" w:cs="Palatino Linotype"/>
        </w:rPr>
      </w:pPr>
    </w:p>
    <w:p w14:paraId="6E594F00" w14:textId="77777777" w:rsidR="00C63C05" w:rsidRDefault="00C63C05">
      <w:pPr>
        <w:ind w:right="-1131"/>
        <w:rPr>
          <w:rFonts w:ascii="Palatino Linotype" w:eastAsia="Palatino Linotype" w:hAnsi="Palatino Linotype" w:cs="Palatino Linotype"/>
        </w:rPr>
      </w:pPr>
    </w:p>
    <w:p w14:paraId="48FA915C" w14:textId="77777777" w:rsidR="004B745E" w:rsidRDefault="004B745E">
      <w:pPr>
        <w:ind w:right="-1131"/>
        <w:rPr>
          <w:rFonts w:ascii="Palatino Linotype" w:eastAsia="Palatino Linotype" w:hAnsi="Palatino Linotype" w:cs="Palatino Linotype"/>
        </w:rPr>
      </w:pPr>
    </w:p>
    <w:p w14:paraId="4FA74745" w14:textId="77777777" w:rsidR="004B745E" w:rsidRDefault="004B745E">
      <w:pPr>
        <w:ind w:right="-1131"/>
        <w:rPr>
          <w:rFonts w:ascii="Palatino Linotype" w:eastAsia="Palatino Linotype" w:hAnsi="Palatino Linotype" w:cs="Palatino Linotype"/>
        </w:rPr>
      </w:pPr>
    </w:p>
    <w:p w14:paraId="5F65FB87" w14:textId="77777777" w:rsidR="004B745E" w:rsidRDefault="004B745E">
      <w:pPr>
        <w:ind w:right="-1131"/>
        <w:rPr>
          <w:rFonts w:ascii="Palatino Linotype" w:eastAsia="Palatino Linotype" w:hAnsi="Palatino Linotype" w:cs="Palatino Linotype"/>
        </w:rPr>
      </w:pPr>
    </w:p>
    <w:p w14:paraId="666F6599" w14:textId="77777777" w:rsidR="004B745E" w:rsidRDefault="004B745E">
      <w:pPr>
        <w:ind w:right="-1131"/>
        <w:rPr>
          <w:rFonts w:ascii="Palatino Linotype" w:eastAsia="Palatino Linotype" w:hAnsi="Palatino Linotype" w:cs="Palatino Linotype"/>
        </w:rPr>
      </w:pPr>
    </w:p>
    <w:p w14:paraId="733896F4"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lastRenderedPageBreak/>
        <w:t>00038/SEGEGOB/IP/2026</w:t>
      </w:r>
    </w:p>
    <w:p w14:paraId="5D03FFDB" w14:textId="77777777" w:rsidR="00C63C05" w:rsidRPr="00AA0302" w:rsidRDefault="00416EA5">
      <w:pPr>
        <w:ind w:right="-1131"/>
        <w:rPr>
          <w:rFonts w:ascii="Palatino Linotype" w:eastAsia="Palatino Linotype" w:hAnsi="Palatino Linotype" w:cs="Palatino Linotype"/>
          <w:b/>
          <w:bCs/>
          <w:color w:val="000000"/>
          <w:lang w:val="en-US"/>
        </w:rPr>
      </w:pPr>
      <w:r w:rsidRPr="00AA0302">
        <w:rPr>
          <w:rFonts w:ascii="Palatino Linotype" w:eastAsia="Palatino Linotype" w:hAnsi="Palatino Linotype" w:cs="Palatino Linotype"/>
          <w:b/>
          <w:bCs/>
          <w:color w:val="000000"/>
          <w:lang w:val="en-US"/>
        </w:rPr>
        <w:t>03372/INFOEM/IP/RR/2026</w:t>
      </w:r>
    </w:p>
    <w:p w14:paraId="7D7B6014" w14:textId="77777777" w:rsidR="00C63C05" w:rsidRDefault="00416EA5">
      <w:pP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copia simple digitalizada a traves del sistema electronico saimex de todas las facturas correspondientes a la adquisicion de bienes y servicios que obran en los archivos de la coordinacion general de comunicacion social fechadas durante los meses de junio, julio y agosto de 2025.”(Sic.)</w:t>
      </w:r>
    </w:p>
    <w:p w14:paraId="0121D236" w14:textId="77777777" w:rsidR="00C63C05" w:rsidRDefault="00C63C05">
      <w:pPr>
        <w:pBdr>
          <w:top w:val="nil"/>
          <w:left w:val="nil"/>
          <w:bottom w:val="nil"/>
          <w:right w:val="nil"/>
          <w:between w:val="nil"/>
        </w:pBdr>
        <w:ind w:left="567" w:right="-1131"/>
        <w:jc w:val="both"/>
        <w:rPr>
          <w:rFonts w:ascii="Palatino Linotype" w:eastAsia="Palatino Linotype" w:hAnsi="Palatino Linotype" w:cs="Palatino Linotype"/>
          <w:b/>
          <w:bCs/>
        </w:rPr>
      </w:pPr>
    </w:p>
    <w:p w14:paraId="098A074F" w14:textId="77777777" w:rsidR="00C63C05" w:rsidRDefault="00C63C05">
      <w:pPr>
        <w:pBdr>
          <w:top w:val="nil"/>
          <w:left w:val="nil"/>
          <w:bottom w:val="nil"/>
          <w:right w:val="nil"/>
          <w:between w:val="nil"/>
        </w:pBdr>
        <w:ind w:left="567" w:right="-1131"/>
        <w:jc w:val="both"/>
        <w:rPr>
          <w:rFonts w:ascii="Palatino Linotype" w:eastAsia="Palatino Linotype" w:hAnsi="Palatino Linotype" w:cs="Palatino Linotype"/>
          <w:b/>
          <w:bCs/>
        </w:rPr>
      </w:pPr>
    </w:p>
    <w:p w14:paraId="0F472331"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señaló como modalidad de entrega de la información: a través de </w:t>
      </w:r>
      <w:r>
        <w:rPr>
          <w:rFonts w:ascii="Palatino Linotype" w:eastAsia="Palatino Linotype" w:hAnsi="Palatino Linotype" w:cs="Palatino Linotype"/>
          <w:b/>
          <w:bCs/>
          <w:color w:val="000000"/>
        </w:rPr>
        <w:t>SAIMEX.</w:t>
      </w:r>
    </w:p>
    <w:p w14:paraId="371DC457"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0C01FBE9"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dieciocho de febrero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emitió respuesta, en los mismos términos:</w:t>
      </w:r>
    </w:p>
    <w:p w14:paraId="4329E193" w14:textId="77777777" w:rsidR="00C63C05" w:rsidRDefault="00416EA5">
      <w:pPr>
        <w:tabs>
          <w:tab w:val="left" w:pos="851"/>
          <w:tab w:val="left" w:pos="1418"/>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8BFACA1" w14:textId="77777777" w:rsidR="00C63C05" w:rsidRDefault="00C63C05">
      <w:pPr>
        <w:tabs>
          <w:tab w:val="left" w:pos="851"/>
          <w:tab w:val="left" w:pos="1418"/>
        </w:tabs>
        <w:ind w:left="567" w:right="-1131"/>
        <w:jc w:val="both"/>
        <w:rPr>
          <w:rFonts w:ascii="Palatino Linotype" w:eastAsia="Palatino Linotype" w:hAnsi="Palatino Linotype" w:cs="Palatino Linotype"/>
          <w:i/>
          <w:iCs/>
          <w:color w:val="000000"/>
        </w:rPr>
      </w:pPr>
    </w:p>
    <w:p w14:paraId="2C4E695E" w14:textId="77777777" w:rsidR="00C63C05" w:rsidRDefault="00416EA5">
      <w:pPr>
        <w:tabs>
          <w:tab w:val="left" w:pos="851"/>
          <w:tab w:val="left" w:pos="1418"/>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ANEXA RESPUESTA DE INFORMACIÓN EN UN ARCHIVO. EN CASO DE TENER ALGÚN PROBLEMA CON LA RECEPCIÓN DE ESTE ARCHIVO, FAVOR DE COMUNICARSE AL TELÉFONO 722 2138893, EXT. 111, 119 Y 132..” (Sic)</w:t>
      </w:r>
    </w:p>
    <w:p w14:paraId="572CFC8F" w14:textId="77777777" w:rsidR="00C63C05" w:rsidRDefault="00C63C05">
      <w:pPr>
        <w:tabs>
          <w:tab w:val="left" w:pos="851"/>
          <w:tab w:val="left" w:pos="1418"/>
        </w:tabs>
        <w:ind w:right="-1131"/>
        <w:jc w:val="both"/>
        <w:rPr>
          <w:rFonts w:ascii="Palatino Linotype" w:eastAsia="Palatino Linotype" w:hAnsi="Palatino Linotype" w:cs="Palatino Linotype"/>
          <w:b/>
          <w:bCs/>
        </w:rPr>
      </w:pPr>
    </w:p>
    <w:p w14:paraId="73E1E9BD" w14:textId="77777777" w:rsidR="00C63C05" w:rsidRDefault="00416EA5">
      <w:pPr>
        <w:tabs>
          <w:tab w:val="left" w:pos="851"/>
          <w:tab w:val="left" w:pos="1418"/>
        </w:tabs>
        <w:ind w:right="-1131"/>
        <w:jc w:val="both"/>
        <w:rPr>
          <w:rFonts w:ascii="Palatino Linotype" w:eastAsia="Palatino Linotype" w:hAnsi="Palatino Linotype" w:cs="Palatino Linotype"/>
        </w:rPr>
      </w:pPr>
      <w:r>
        <w:rPr>
          <w:rFonts w:ascii="Palatino Linotype" w:eastAsia="Palatino Linotype" w:hAnsi="Palatino Linotype" w:cs="Palatino Linotype"/>
        </w:rPr>
        <w:t>Archivos electrónicos adjuntos:</w:t>
      </w:r>
    </w:p>
    <w:p w14:paraId="37CD2A84" w14:textId="77777777" w:rsidR="00C63C05" w:rsidRDefault="00416EA5">
      <w:pPr>
        <w:numPr>
          <w:ilvl w:val="0"/>
          <w:numId w:val="9"/>
        </w:numPr>
        <w:pBdr>
          <w:top w:val="nil"/>
          <w:left w:val="nil"/>
          <w:bottom w:val="nil"/>
          <w:right w:val="nil"/>
          <w:between w:val="nil"/>
        </w:pBdr>
        <w:ind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03068/INFOEM/IP/RR/2026</w:t>
      </w:r>
    </w:p>
    <w:p w14:paraId="54E4D9D3" w14:textId="77777777" w:rsidR="00C63C05" w:rsidRDefault="00AE6334">
      <w:pPr>
        <w:tabs>
          <w:tab w:val="left" w:pos="851"/>
          <w:tab w:val="left" w:pos="1418"/>
        </w:tabs>
        <w:ind w:left="567" w:right="-1131"/>
        <w:jc w:val="both"/>
        <w:rPr>
          <w:rFonts w:ascii="Palatino Linotype" w:eastAsia="Palatino Linotype" w:hAnsi="Palatino Linotype" w:cs="Palatino Linotype"/>
        </w:rPr>
      </w:pPr>
      <w:hyperlink r:id="rId8">
        <w:r w:rsidR="00416EA5">
          <w:rPr>
            <w:rFonts w:ascii="Palatino Linotype" w:eastAsia="Palatino Linotype" w:hAnsi="Palatino Linotype" w:cs="Palatino Linotype"/>
            <w:b/>
            <w:bCs/>
            <w:color w:val="000000"/>
          </w:rPr>
          <w:t>Rpta.00020.2026.pdf</w:t>
        </w:r>
      </w:hyperlink>
      <w:r w:rsidR="00416EA5">
        <w:rPr>
          <w:rFonts w:ascii="Palatino Linotype" w:eastAsia="Palatino Linotype" w:hAnsi="Palatino Linotype" w:cs="Palatino Linotype"/>
        </w:rPr>
        <w:t>: Documento del que se desprenden oficios que brindan respuesta a la solicitud de información, en los que se señala lo siguiente:</w:t>
      </w:r>
    </w:p>
    <w:p w14:paraId="6A85659E" w14:textId="77777777" w:rsidR="00C63C05" w:rsidRDefault="00C63C05">
      <w:pPr>
        <w:tabs>
          <w:tab w:val="left" w:pos="851"/>
          <w:tab w:val="left" w:pos="1418"/>
        </w:tabs>
        <w:ind w:left="567" w:right="-1131"/>
        <w:jc w:val="both"/>
        <w:rPr>
          <w:rFonts w:ascii="Palatino Linotype" w:eastAsia="Palatino Linotype" w:hAnsi="Palatino Linotype" w:cs="Palatino Linotype"/>
        </w:rPr>
      </w:pPr>
    </w:p>
    <w:p w14:paraId="1A9842CE" w14:textId="77777777" w:rsidR="00C63C05" w:rsidRDefault="00416EA5">
      <w:pPr>
        <w:numPr>
          <w:ilvl w:val="1"/>
          <w:numId w:val="8"/>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00020/SEGEGOB/IP/2026 de fecha dieciocho de febrero de dos mil veintiséis, suscrito por el Titular de la Unidad de Transparencia, a través del cual turno la solicitud de información al servidor público habilitado de la Coordinación General de Comunicación Social.</w:t>
      </w:r>
    </w:p>
    <w:p w14:paraId="5E479B98" w14:textId="77777777" w:rsidR="00C63C05" w:rsidRDefault="00416EA5">
      <w:pPr>
        <w:numPr>
          <w:ilvl w:val="1"/>
          <w:numId w:val="8"/>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20530001000005S/2026 de fecha dieciséis de febrero de dos mil veintiséis, suscrito por el Jefe de Departamento Jurídico y de Igualdad de Género, a través </w:t>
      </w:r>
      <w:r>
        <w:rPr>
          <w:rFonts w:ascii="Palatino Linotype" w:eastAsia="Palatino Linotype" w:hAnsi="Palatino Linotype" w:cs="Palatino Linotype"/>
          <w:color w:val="000000"/>
        </w:rPr>
        <w:lastRenderedPageBreak/>
        <w:t xml:space="preserve">del cual informa que no se ha generado, procesado, administrado, manejado o archivo información relativa a lo solicitado, por lo que no es posible atender de forma favorable la solicitud del particular. </w:t>
      </w:r>
    </w:p>
    <w:p w14:paraId="7C291059" w14:textId="77777777" w:rsidR="00C63C05" w:rsidRDefault="00C63C05">
      <w:pPr>
        <w:pBdr>
          <w:top w:val="nil"/>
          <w:left w:val="nil"/>
          <w:bottom w:val="nil"/>
          <w:right w:val="nil"/>
          <w:between w:val="nil"/>
        </w:pBdr>
        <w:tabs>
          <w:tab w:val="left" w:pos="851"/>
          <w:tab w:val="left" w:pos="1418"/>
        </w:tabs>
        <w:ind w:left="1276" w:right="-1131"/>
        <w:jc w:val="both"/>
        <w:rPr>
          <w:rFonts w:ascii="Palatino Linotype" w:eastAsia="Palatino Linotype" w:hAnsi="Palatino Linotype" w:cs="Palatino Linotype"/>
          <w:color w:val="000000"/>
        </w:rPr>
      </w:pPr>
    </w:p>
    <w:p w14:paraId="4E652962" w14:textId="77777777" w:rsidR="00C63C05" w:rsidRDefault="00416EA5">
      <w:pPr>
        <w:numPr>
          <w:ilvl w:val="0"/>
          <w:numId w:val="8"/>
        </w:numPr>
        <w:pBdr>
          <w:top w:val="nil"/>
          <w:left w:val="nil"/>
          <w:bottom w:val="nil"/>
          <w:right w:val="nil"/>
          <w:between w:val="nil"/>
        </w:pBdr>
        <w:tabs>
          <w:tab w:val="left" w:pos="851"/>
          <w:tab w:val="left" w:pos="1418"/>
        </w:tabs>
        <w:spacing w:line="276" w:lineRule="auto"/>
        <w:ind w:left="284"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03368/INFOEM/IP/RR/2026</w:t>
      </w:r>
    </w:p>
    <w:p w14:paraId="19F1629B" w14:textId="77777777" w:rsidR="00C63C05" w:rsidRDefault="00AE6334">
      <w:pPr>
        <w:tabs>
          <w:tab w:val="left" w:pos="851"/>
          <w:tab w:val="left" w:pos="1418"/>
        </w:tabs>
        <w:ind w:left="567" w:right="-1131"/>
        <w:jc w:val="both"/>
        <w:rPr>
          <w:rFonts w:ascii="Palatino Linotype" w:eastAsia="Palatino Linotype" w:hAnsi="Palatino Linotype" w:cs="Palatino Linotype"/>
        </w:rPr>
      </w:pPr>
      <w:hyperlink r:id="rId9">
        <w:r w:rsidR="00416EA5">
          <w:rPr>
            <w:rFonts w:ascii="Palatino Linotype" w:eastAsia="Palatino Linotype" w:hAnsi="Palatino Linotype" w:cs="Palatino Linotype"/>
            <w:b/>
            <w:bCs/>
            <w:color w:val="000000"/>
          </w:rPr>
          <w:t>Rpta.00040.2026.pdf</w:t>
        </w:r>
      </w:hyperlink>
      <w:r w:rsidR="00416EA5">
        <w:rPr>
          <w:rFonts w:ascii="Palatino Linotype" w:eastAsia="Palatino Linotype" w:hAnsi="Palatino Linotype" w:cs="Palatino Linotype"/>
        </w:rPr>
        <w:t>: Documento del que se desprenden oficios que brindan respuesta a la solicitud de información, en los que se señala lo siguiente:</w:t>
      </w:r>
    </w:p>
    <w:p w14:paraId="5C608B28" w14:textId="77777777" w:rsidR="00C63C05" w:rsidRDefault="00416EA5">
      <w:pPr>
        <w:numPr>
          <w:ilvl w:val="1"/>
          <w:numId w:val="8"/>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00040/SEGEGOB/IP/2026 de fecha dieciséis de marzo de dos mil veintiséis, suscrito por el titular de la Unidad de Transparencia, a través del cual informa que realizó el requerimiento de información a las Coordinaciones Administrativas y General de Comunicación Social, mismas que remitieron las respuestas que se agregan.</w:t>
      </w:r>
    </w:p>
    <w:p w14:paraId="7EC755DE" w14:textId="77777777" w:rsidR="00C63C05" w:rsidRDefault="00416EA5">
      <w:pPr>
        <w:numPr>
          <w:ilvl w:val="1"/>
          <w:numId w:val="8"/>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20500008A000000/1287/2026 de fecha nueve de marzo de dos mil veintiséis, suscrito por el Coordinador Administrativo y Servidor Público Habilitado, a través del cual remite la respuesta emitida por la Dirección de Finanzas.</w:t>
      </w:r>
    </w:p>
    <w:p w14:paraId="40362BC5" w14:textId="77777777" w:rsidR="00C63C05" w:rsidRDefault="00416EA5">
      <w:pPr>
        <w:numPr>
          <w:ilvl w:val="1"/>
          <w:numId w:val="8"/>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Análogo 20500008020000S/185/2026 de fecha seis de marzo de dos mil veintiséis, suscrito por la Directora de Finanzas, a través del cual informa que después de realizar una búsqueda exhaustiva y razonable dentro de los archivos físicos y electrónicos que obran en esa Dirección, no se encontró información o documentación relacionada con la información requerida por el particular.</w:t>
      </w:r>
    </w:p>
    <w:p w14:paraId="793A03CC" w14:textId="77777777" w:rsidR="00C63C05" w:rsidRDefault="00416EA5">
      <w:pPr>
        <w:numPr>
          <w:ilvl w:val="1"/>
          <w:numId w:val="8"/>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Similar 20530001000005S/070/2026 de fecha diecisiete de marzo de dos mil veintiséis, suscrito por el Jefe de Departamento Jurídico e Igualdad de Género, a través del cual informa que ese Sujeto Obligado no ha generado, procesado, administrado, manejado o archivado información pública referente a lo requerido por el particular</w:t>
      </w:r>
    </w:p>
    <w:p w14:paraId="41B0A424" w14:textId="77777777" w:rsidR="00C63C05" w:rsidRDefault="00C63C05">
      <w:pPr>
        <w:pBdr>
          <w:top w:val="nil"/>
          <w:left w:val="nil"/>
          <w:bottom w:val="nil"/>
          <w:right w:val="nil"/>
          <w:between w:val="nil"/>
        </w:pBdr>
        <w:tabs>
          <w:tab w:val="left" w:pos="851"/>
          <w:tab w:val="left" w:pos="1418"/>
        </w:tabs>
        <w:ind w:left="1276" w:right="-1131"/>
        <w:jc w:val="both"/>
        <w:rPr>
          <w:rFonts w:ascii="Palatino Linotype" w:eastAsia="Palatino Linotype" w:hAnsi="Palatino Linotype" w:cs="Palatino Linotype"/>
          <w:color w:val="000000"/>
        </w:rPr>
      </w:pPr>
    </w:p>
    <w:p w14:paraId="3095DCCF" w14:textId="77777777" w:rsidR="00C63C05" w:rsidRDefault="00416EA5">
      <w:pPr>
        <w:numPr>
          <w:ilvl w:val="0"/>
          <w:numId w:val="8"/>
        </w:numPr>
        <w:pBdr>
          <w:top w:val="nil"/>
          <w:left w:val="nil"/>
          <w:bottom w:val="nil"/>
          <w:right w:val="nil"/>
          <w:between w:val="nil"/>
        </w:pBdr>
        <w:tabs>
          <w:tab w:val="left" w:pos="851"/>
          <w:tab w:val="left" w:pos="1418"/>
        </w:tabs>
        <w:spacing w:line="276" w:lineRule="auto"/>
        <w:ind w:left="284"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03369/INFOEM/IP/RR/2026</w:t>
      </w:r>
    </w:p>
    <w:p w14:paraId="0044C1FA" w14:textId="77777777" w:rsidR="00C63C05" w:rsidRDefault="00416EA5">
      <w:pPr>
        <w:pBdr>
          <w:top w:val="nil"/>
          <w:left w:val="nil"/>
          <w:bottom w:val="nil"/>
          <w:right w:val="nil"/>
          <w:between w:val="nil"/>
        </w:pBdr>
        <w:tabs>
          <w:tab w:val="left" w:pos="851"/>
          <w:tab w:val="left" w:pos="1418"/>
        </w:tabs>
        <w:ind w:left="567"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Rpta. 00039-2026.pdf: </w:t>
      </w:r>
      <w:r>
        <w:rPr>
          <w:rFonts w:ascii="Palatino Linotype" w:eastAsia="Palatino Linotype" w:hAnsi="Palatino Linotype" w:cs="Palatino Linotype"/>
          <w:color w:val="000000"/>
        </w:rPr>
        <w:t>Documento del que se desprenden oficios que brindan respuesta a la solicitud de información, en los que se señala lo siguiente:</w:t>
      </w:r>
    </w:p>
    <w:p w14:paraId="68D23FF3" w14:textId="77777777" w:rsidR="00C63C05" w:rsidRDefault="00416EA5">
      <w:pPr>
        <w:numPr>
          <w:ilvl w:val="0"/>
          <w:numId w:val="10"/>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de fecha dieciocho de marzo de dos mil veintiséis, suscrito por el Titular de la Unidad de Transparencia, a través del cual informa el turno de solicitud a los </w:t>
      </w:r>
      <w:r>
        <w:rPr>
          <w:rFonts w:ascii="Palatino Linotype" w:eastAsia="Palatino Linotype" w:hAnsi="Palatino Linotype" w:cs="Palatino Linotype"/>
          <w:color w:val="000000"/>
        </w:rPr>
        <w:lastRenderedPageBreak/>
        <w:t>servidores públicos habilitados de la Coordinaciones Administrativas y General de Comunicación Social.</w:t>
      </w:r>
    </w:p>
    <w:p w14:paraId="64EC4CF4" w14:textId="77777777" w:rsidR="00C63C05" w:rsidRDefault="00416EA5">
      <w:pPr>
        <w:numPr>
          <w:ilvl w:val="0"/>
          <w:numId w:val="10"/>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205000008A000000/1286/2026 de fecha nueve de marzo de dos mil veintiséis, signado por el Coordinador Administrativo, mediante el cual remite el informe realizado por la Directora de Finanzas.</w:t>
      </w:r>
    </w:p>
    <w:p w14:paraId="585128A5" w14:textId="77777777" w:rsidR="00C63C05" w:rsidRDefault="00416EA5">
      <w:pPr>
        <w:numPr>
          <w:ilvl w:val="0"/>
          <w:numId w:val="10"/>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Análogo 20500008020000S/184/2026 de fecha seis de marzo de dos mil veintiséis, suscrito por la Directora de Finanzas, a través del cual informa que después de realizar una búsqueda exhaustiva y razonable en los archivos físicos y electrónicos que obran en esa Dirección, no se localizó información o documento que dé cuenta de lo requerido por el particular.</w:t>
      </w:r>
    </w:p>
    <w:p w14:paraId="3C913362" w14:textId="77777777" w:rsidR="00C63C05" w:rsidRDefault="00416EA5">
      <w:pPr>
        <w:numPr>
          <w:ilvl w:val="0"/>
          <w:numId w:val="10"/>
        </w:numPr>
        <w:pBdr>
          <w:top w:val="nil"/>
          <w:left w:val="nil"/>
          <w:bottom w:val="nil"/>
          <w:right w:val="nil"/>
          <w:between w:val="nil"/>
        </w:pBdr>
        <w:tabs>
          <w:tab w:val="left" w:pos="851"/>
          <w:tab w:val="left" w:pos="1418"/>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Similar 20530001000005S/073/2026 de fecha diecisiete de marzo de dos mil veintiséis, signado por el Jefe de Departamento Jurídico y de Igualdad de Género, a través del cual informa que ese Sujeto Obligado, no ha generado , procesado, administrado, manejado o archivado información referente a lo peticionado.</w:t>
      </w:r>
    </w:p>
    <w:p w14:paraId="296D1098" w14:textId="77777777" w:rsidR="00C63C05" w:rsidRDefault="00C63C05">
      <w:pPr>
        <w:tabs>
          <w:tab w:val="left" w:pos="851"/>
          <w:tab w:val="left" w:pos="1418"/>
        </w:tabs>
        <w:ind w:left="1276" w:right="-1131"/>
        <w:jc w:val="both"/>
        <w:rPr>
          <w:rFonts w:ascii="Palatino Linotype" w:eastAsia="Palatino Linotype" w:hAnsi="Palatino Linotype" w:cs="Palatino Linotype"/>
        </w:rPr>
      </w:pPr>
    </w:p>
    <w:p w14:paraId="58225076" w14:textId="77777777" w:rsidR="00C63C05" w:rsidRDefault="00416EA5">
      <w:pPr>
        <w:numPr>
          <w:ilvl w:val="0"/>
          <w:numId w:val="8"/>
        </w:numPr>
        <w:pBdr>
          <w:top w:val="nil"/>
          <w:left w:val="nil"/>
          <w:bottom w:val="nil"/>
          <w:right w:val="nil"/>
          <w:between w:val="nil"/>
        </w:pBdr>
        <w:tabs>
          <w:tab w:val="left" w:pos="851"/>
          <w:tab w:val="left" w:pos="1418"/>
        </w:tabs>
        <w:spacing w:line="276" w:lineRule="auto"/>
        <w:ind w:left="284"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03370/INFOEM/IP/RR/2026</w:t>
      </w:r>
    </w:p>
    <w:p w14:paraId="3775B661" w14:textId="77777777" w:rsidR="00C63C05" w:rsidRDefault="00416EA5">
      <w:pPr>
        <w:pBdr>
          <w:top w:val="nil"/>
          <w:left w:val="nil"/>
          <w:bottom w:val="nil"/>
          <w:right w:val="nil"/>
          <w:between w:val="nil"/>
        </w:pBdr>
        <w:tabs>
          <w:tab w:val="left" w:pos="851"/>
          <w:tab w:val="left" w:pos="1418"/>
        </w:tabs>
        <w:ind w:left="567"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Rpta.00036-2026.pdf: </w:t>
      </w:r>
      <w:r>
        <w:rPr>
          <w:rFonts w:ascii="Palatino Linotype" w:eastAsia="Palatino Linotype" w:hAnsi="Palatino Linotype" w:cs="Palatino Linotype"/>
          <w:color w:val="000000"/>
        </w:rPr>
        <w:t>Documento del que se desprenden oficios que brindan respuesta a la solicitud de información, en los que se señala lo siguiente:</w:t>
      </w:r>
    </w:p>
    <w:p w14:paraId="39E27637" w14:textId="77777777" w:rsidR="00C63C05" w:rsidRDefault="00416EA5">
      <w:pPr>
        <w:numPr>
          <w:ilvl w:val="0"/>
          <w:numId w:val="11"/>
        </w:numPr>
        <w:pBdr>
          <w:top w:val="nil"/>
          <w:left w:val="nil"/>
          <w:bottom w:val="nil"/>
          <w:right w:val="nil"/>
          <w:between w:val="nil"/>
        </w:pBdr>
        <w:tabs>
          <w:tab w:val="left" w:pos="851"/>
          <w:tab w:val="left" w:pos="1276"/>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de fecha dieciocho de marzo de dos mil veintiséis, suscrito por el Titular de la Unidad de Transparencia, mediante el cual hace del conocimiento al particular, que se emitieron los requerimientos de información a los servidores públicos habilitados de las Coordinaciones Administrativa y General de Comunicación Social.</w:t>
      </w:r>
    </w:p>
    <w:p w14:paraId="3FDDE0B1" w14:textId="77777777" w:rsidR="00C63C05" w:rsidRDefault="00416EA5">
      <w:pPr>
        <w:numPr>
          <w:ilvl w:val="0"/>
          <w:numId w:val="11"/>
        </w:numPr>
        <w:pBdr>
          <w:top w:val="nil"/>
          <w:left w:val="nil"/>
          <w:bottom w:val="nil"/>
          <w:right w:val="nil"/>
          <w:between w:val="nil"/>
        </w:pBdr>
        <w:tabs>
          <w:tab w:val="left" w:pos="851"/>
          <w:tab w:val="left" w:pos="1276"/>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Análogo 20500008A000000/1283/2026, de fecha nueve de marzo de dos mil veintiséis, suscrito por el Coordinador Administrativo a través del cual remite el informe de la Dirección de Finanzas.</w:t>
      </w:r>
    </w:p>
    <w:p w14:paraId="3E01AF6E" w14:textId="77777777" w:rsidR="00C63C05" w:rsidRDefault="00416EA5">
      <w:pPr>
        <w:numPr>
          <w:ilvl w:val="0"/>
          <w:numId w:val="11"/>
        </w:numPr>
        <w:pBdr>
          <w:top w:val="nil"/>
          <w:left w:val="nil"/>
          <w:bottom w:val="nil"/>
          <w:right w:val="nil"/>
          <w:between w:val="nil"/>
        </w:pBdr>
        <w:tabs>
          <w:tab w:val="left" w:pos="851"/>
          <w:tab w:val="left" w:pos="1276"/>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Similar 20500008020000S/181/2026 de fecha seis de marzo de dos mil veintiséis, suscrito por la Directora de Finanzas, a través del cual refiere que después de realizar una búsqueda exhaustiva y razonable, no se localizó información en relación a lo requerido.</w:t>
      </w:r>
    </w:p>
    <w:p w14:paraId="61B3F397" w14:textId="77777777" w:rsidR="00C63C05" w:rsidRDefault="00416EA5">
      <w:pPr>
        <w:numPr>
          <w:ilvl w:val="0"/>
          <w:numId w:val="11"/>
        </w:numPr>
        <w:pBdr>
          <w:top w:val="nil"/>
          <w:left w:val="nil"/>
          <w:bottom w:val="nil"/>
          <w:right w:val="nil"/>
          <w:between w:val="nil"/>
        </w:pBdr>
        <w:tabs>
          <w:tab w:val="left" w:pos="851"/>
          <w:tab w:val="left" w:pos="1276"/>
        </w:tabs>
        <w:ind w:left="1276"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20530001000005S/074/2026 de fecha diecisiete de marzo de dos mil veintiséis, suscrito por el Jefe de Departamento Jurídico y de Igualdad de Género, </w:t>
      </w:r>
      <w:r>
        <w:rPr>
          <w:rFonts w:ascii="Palatino Linotype" w:eastAsia="Palatino Linotype" w:hAnsi="Palatino Linotype" w:cs="Palatino Linotype"/>
          <w:color w:val="000000"/>
        </w:rPr>
        <w:lastRenderedPageBreak/>
        <w:t>mediante el cual refiere que ese Sujeto Obligado no ha generado, administrado o archivo información relativa a lo solicitado.</w:t>
      </w:r>
    </w:p>
    <w:p w14:paraId="4F94BF85" w14:textId="77777777" w:rsidR="00C63C05" w:rsidRDefault="00C63C05">
      <w:pPr>
        <w:pBdr>
          <w:top w:val="nil"/>
          <w:left w:val="nil"/>
          <w:bottom w:val="nil"/>
          <w:right w:val="nil"/>
          <w:between w:val="nil"/>
        </w:pBdr>
        <w:tabs>
          <w:tab w:val="left" w:pos="851"/>
          <w:tab w:val="left" w:pos="1418"/>
        </w:tabs>
        <w:ind w:left="1276" w:right="-1131"/>
        <w:jc w:val="both"/>
        <w:rPr>
          <w:rFonts w:ascii="Palatino Linotype" w:eastAsia="Palatino Linotype" w:hAnsi="Palatino Linotype" w:cs="Palatino Linotype"/>
          <w:b/>
          <w:bCs/>
          <w:color w:val="000000"/>
        </w:rPr>
      </w:pPr>
    </w:p>
    <w:p w14:paraId="18843F17" w14:textId="77777777" w:rsidR="00C63C05" w:rsidRDefault="00416EA5">
      <w:pPr>
        <w:numPr>
          <w:ilvl w:val="0"/>
          <w:numId w:val="8"/>
        </w:numPr>
        <w:pBdr>
          <w:top w:val="nil"/>
          <w:left w:val="nil"/>
          <w:bottom w:val="nil"/>
          <w:right w:val="nil"/>
          <w:between w:val="nil"/>
        </w:pBdr>
        <w:tabs>
          <w:tab w:val="left" w:pos="851"/>
          <w:tab w:val="left" w:pos="1418"/>
        </w:tabs>
        <w:spacing w:line="276" w:lineRule="auto"/>
        <w:ind w:left="284"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03371/INFOEM/IP/RR/2026</w:t>
      </w:r>
    </w:p>
    <w:p w14:paraId="24750CCE" w14:textId="77777777" w:rsidR="00C63C05" w:rsidRDefault="00416EA5">
      <w:pPr>
        <w:pBdr>
          <w:top w:val="nil"/>
          <w:left w:val="nil"/>
          <w:bottom w:val="nil"/>
          <w:right w:val="nil"/>
          <w:between w:val="nil"/>
        </w:pBdr>
        <w:tabs>
          <w:tab w:val="left" w:pos="851"/>
          <w:tab w:val="left" w:pos="1418"/>
        </w:tabs>
        <w:ind w:left="567"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Rpta.00037-2026.pdf: </w:t>
      </w:r>
      <w:r>
        <w:rPr>
          <w:rFonts w:ascii="Palatino Linotype" w:eastAsia="Palatino Linotype" w:hAnsi="Palatino Linotype" w:cs="Palatino Linotype"/>
          <w:color w:val="000000"/>
        </w:rPr>
        <w:t>Documento del que se desprenden oficios que brindan respuesta a la solicitud de información, en los que se señala lo siguiente:</w:t>
      </w:r>
    </w:p>
    <w:p w14:paraId="3978FE32" w14:textId="77777777" w:rsidR="00C63C05" w:rsidRDefault="00416EA5">
      <w:pPr>
        <w:numPr>
          <w:ilvl w:val="1"/>
          <w:numId w:val="8"/>
        </w:numPr>
        <w:pBdr>
          <w:top w:val="nil"/>
          <w:left w:val="nil"/>
          <w:bottom w:val="nil"/>
          <w:right w:val="nil"/>
          <w:between w:val="nil"/>
        </w:pBdr>
        <w:tabs>
          <w:tab w:val="left" w:pos="851"/>
          <w:tab w:val="left" w:pos="1418"/>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Oficio 00037/SEGEGOB/IP/2026 de fecha dieciocho de marzo de dos mil veintiséis, suscrito por el Titular de la </w:t>
      </w:r>
      <w:r>
        <w:rPr>
          <w:rFonts w:ascii="Palatino Linotype" w:eastAsia="Palatino Linotype" w:hAnsi="Palatino Linotype" w:cs="Palatino Linotype"/>
        </w:rPr>
        <w:t>Unidad</w:t>
      </w:r>
      <w:r>
        <w:rPr>
          <w:rFonts w:ascii="Palatino Linotype" w:eastAsia="Palatino Linotype" w:hAnsi="Palatino Linotype" w:cs="Palatino Linotype"/>
          <w:color w:val="000000"/>
        </w:rPr>
        <w:t xml:space="preserve"> de Transparencia, mediante el cual hace del conocimiento al particular que 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la solicitud de información a las Coordinaciones Administrativa y General de Comunicación Social.</w:t>
      </w:r>
    </w:p>
    <w:p w14:paraId="71BCA951" w14:textId="77777777" w:rsidR="00C63C05" w:rsidRDefault="00416EA5">
      <w:pPr>
        <w:numPr>
          <w:ilvl w:val="1"/>
          <w:numId w:val="8"/>
        </w:numPr>
        <w:pBdr>
          <w:top w:val="nil"/>
          <w:left w:val="nil"/>
          <w:bottom w:val="nil"/>
          <w:right w:val="nil"/>
          <w:between w:val="nil"/>
        </w:pBdr>
        <w:tabs>
          <w:tab w:val="left" w:pos="851"/>
          <w:tab w:val="left" w:pos="1418"/>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Oficio 20500008A000000/1284/2026, de fecha nueve marzo de dos mil veintiséis, suscrito por el Coordinador Administrativo, mediante el cual remite la respuesta de la Directora de Finanzas.</w:t>
      </w:r>
    </w:p>
    <w:p w14:paraId="6DB86A81" w14:textId="77777777" w:rsidR="00C63C05" w:rsidRDefault="00416EA5">
      <w:pPr>
        <w:numPr>
          <w:ilvl w:val="1"/>
          <w:numId w:val="8"/>
        </w:numPr>
        <w:pBdr>
          <w:top w:val="nil"/>
          <w:left w:val="nil"/>
          <w:bottom w:val="nil"/>
          <w:right w:val="nil"/>
          <w:between w:val="nil"/>
        </w:pBdr>
        <w:tabs>
          <w:tab w:val="left" w:pos="851"/>
          <w:tab w:val="left" w:pos="1418"/>
        </w:tabs>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20500008020000S/182/2026 de fecha seis de marzo de dos mil veintiséis, suscrito por la Directora de Finanzas, mediante el cual informa que después de realizar una búsqueda exhaustiva y razonable en los archivos de esa Dirección, no se localizó información relacionada con lo peticionado.</w:t>
      </w:r>
    </w:p>
    <w:p w14:paraId="56DACE39" w14:textId="77777777" w:rsidR="00C63C05" w:rsidRDefault="00416EA5">
      <w:pPr>
        <w:numPr>
          <w:ilvl w:val="1"/>
          <w:numId w:val="8"/>
        </w:numPr>
        <w:pBdr>
          <w:top w:val="nil"/>
          <w:left w:val="nil"/>
          <w:bottom w:val="nil"/>
          <w:right w:val="nil"/>
          <w:between w:val="nil"/>
        </w:pBdr>
        <w:tabs>
          <w:tab w:val="left" w:pos="851"/>
          <w:tab w:val="left" w:pos="1418"/>
        </w:tabs>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Similar 20530001000005S/071/2026, de fecha diecisiete de marzo de dos mil veintiséis, signado por el Jefe del Departamento Jurídico y de Igualdad de Género, a través del cual informa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 no ha generado, procesado, administrado o archivado la información requerido por el particular.</w:t>
      </w:r>
    </w:p>
    <w:p w14:paraId="2326482F" w14:textId="77777777" w:rsidR="00C63C05" w:rsidRDefault="00C63C05">
      <w:pPr>
        <w:pBdr>
          <w:top w:val="nil"/>
          <w:left w:val="nil"/>
          <w:bottom w:val="nil"/>
          <w:right w:val="nil"/>
          <w:between w:val="nil"/>
        </w:pBdr>
        <w:tabs>
          <w:tab w:val="left" w:pos="851"/>
          <w:tab w:val="left" w:pos="1418"/>
        </w:tabs>
        <w:ind w:left="2007" w:right="-1131"/>
        <w:jc w:val="both"/>
        <w:rPr>
          <w:rFonts w:ascii="Palatino Linotype" w:eastAsia="Palatino Linotype" w:hAnsi="Palatino Linotype" w:cs="Palatino Linotype"/>
        </w:rPr>
      </w:pPr>
    </w:p>
    <w:p w14:paraId="0EAC06FF" w14:textId="77777777" w:rsidR="00C63C05" w:rsidRDefault="00C63C05">
      <w:pPr>
        <w:pBdr>
          <w:top w:val="nil"/>
          <w:left w:val="nil"/>
          <w:bottom w:val="nil"/>
          <w:right w:val="nil"/>
          <w:between w:val="nil"/>
        </w:pBdr>
        <w:tabs>
          <w:tab w:val="left" w:pos="851"/>
          <w:tab w:val="left" w:pos="1418"/>
        </w:tabs>
        <w:ind w:left="2007" w:right="-1131"/>
        <w:jc w:val="both"/>
        <w:rPr>
          <w:rFonts w:ascii="Palatino Linotype" w:eastAsia="Palatino Linotype" w:hAnsi="Palatino Linotype" w:cs="Palatino Linotype"/>
        </w:rPr>
      </w:pPr>
    </w:p>
    <w:p w14:paraId="789528E5" w14:textId="77777777" w:rsidR="00C63C05" w:rsidRDefault="00C63C05">
      <w:pPr>
        <w:pBdr>
          <w:top w:val="nil"/>
          <w:left w:val="nil"/>
          <w:bottom w:val="nil"/>
          <w:right w:val="nil"/>
          <w:between w:val="nil"/>
        </w:pBdr>
        <w:tabs>
          <w:tab w:val="left" w:pos="851"/>
          <w:tab w:val="left" w:pos="1418"/>
        </w:tabs>
        <w:ind w:right="-1131"/>
        <w:jc w:val="both"/>
        <w:rPr>
          <w:rFonts w:ascii="Palatino Linotype" w:eastAsia="Palatino Linotype" w:hAnsi="Palatino Linotype" w:cs="Palatino Linotype"/>
        </w:rPr>
      </w:pPr>
    </w:p>
    <w:p w14:paraId="0D4EC53E" w14:textId="77777777" w:rsidR="00C63C05" w:rsidRDefault="00416EA5">
      <w:pPr>
        <w:numPr>
          <w:ilvl w:val="0"/>
          <w:numId w:val="8"/>
        </w:numPr>
        <w:pBdr>
          <w:top w:val="nil"/>
          <w:left w:val="nil"/>
          <w:bottom w:val="nil"/>
          <w:right w:val="nil"/>
          <w:between w:val="nil"/>
        </w:pBdr>
        <w:tabs>
          <w:tab w:val="left" w:pos="851"/>
          <w:tab w:val="left" w:pos="1418"/>
        </w:tabs>
        <w:spacing w:line="276" w:lineRule="auto"/>
        <w:ind w:left="284"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03372/INFOEM/IP/RR/2026</w:t>
      </w:r>
    </w:p>
    <w:p w14:paraId="21F18C4E" w14:textId="77777777" w:rsidR="00C63C05" w:rsidRDefault="00416EA5">
      <w:pPr>
        <w:pBdr>
          <w:top w:val="nil"/>
          <w:left w:val="nil"/>
          <w:bottom w:val="nil"/>
          <w:right w:val="nil"/>
          <w:between w:val="nil"/>
        </w:pBdr>
        <w:tabs>
          <w:tab w:val="left" w:pos="851"/>
          <w:tab w:val="left" w:pos="1418"/>
        </w:tabs>
        <w:ind w:left="567"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Rpta.00038-2026.pdf: </w:t>
      </w:r>
      <w:r>
        <w:rPr>
          <w:rFonts w:ascii="Palatino Linotype" w:eastAsia="Palatino Linotype" w:hAnsi="Palatino Linotype" w:cs="Palatino Linotype"/>
          <w:color w:val="000000"/>
        </w:rPr>
        <w:t>Documento del que se desprenden oficios que brindan respuesta a la solicitud de información, en los que se señala lo siguiente:</w:t>
      </w:r>
    </w:p>
    <w:p w14:paraId="4AA04954" w14:textId="77777777" w:rsidR="00C63C05" w:rsidRDefault="00416EA5">
      <w:pPr>
        <w:numPr>
          <w:ilvl w:val="0"/>
          <w:numId w:val="12"/>
        </w:numPr>
        <w:pBdr>
          <w:top w:val="nil"/>
          <w:left w:val="nil"/>
          <w:bottom w:val="nil"/>
          <w:right w:val="nil"/>
          <w:between w:val="nil"/>
        </w:pBdr>
        <w:tabs>
          <w:tab w:val="left" w:pos="851"/>
          <w:tab w:val="left" w:pos="1418"/>
        </w:tabs>
        <w:ind w:left="156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de fecha dieciocho de marzo de dos mil veintiséis, suscrito por el Titular de la Unidad de Transparencia, mediante el cual informa al particular </w:t>
      </w:r>
      <w:r>
        <w:rPr>
          <w:rFonts w:ascii="Palatino Linotype" w:eastAsia="Palatino Linotype" w:hAnsi="Palatino Linotype" w:cs="Palatino Linotype"/>
          <w:color w:val="000000"/>
        </w:rPr>
        <w:lastRenderedPageBreak/>
        <w:t>que se realizaron los requerimientos a las Coordinaciones Administrativa y General de Comunicación Social.</w:t>
      </w:r>
    </w:p>
    <w:p w14:paraId="0229EFD0" w14:textId="77777777" w:rsidR="00C63C05" w:rsidRDefault="00416EA5">
      <w:pPr>
        <w:numPr>
          <w:ilvl w:val="0"/>
          <w:numId w:val="12"/>
        </w:numPr>
        <w:pBdr>
          <w:top w:val="nil"/>
          <w:left w:val="nil"/>
          <w:bottom w:val="nil"/>
          <w:right w:val="nil"/>
          <w:between w:val="nil"/>
        </w:pBdr>
        <w:tabs>
          <w:tab w:val="left" w:pos="851"/>
          <w:tab w:val="left" w:pos="1418"/>
        </w:tabs>
        <w:ind w:left="156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20500008A000000/1285/2026 de fecha nueve de marzo de dos mil veintiséis, suscrito por el Coordinador Administrativo, a través del cual remite la respuesta de la Directora de Finanzas.</w:t>
      </w:r>
    </w:p>
    <w:p w14:paraId="1DE1BF4E" w14:textId="77777777" w:rsidR="00C63C05" w:rsidRDefault="00416EA5">
      <w:pPr>
        <w:numPr>
          <w:ilvl w:val="0"/>
          <w:numId w:val="12"/>
        </w:numPr>
        <w:pBdr>
          <w:top w:val="nil"/>
          <w:left w:val="nil"/>
          <w:bottom w:val="nil"/>
          <w:right w:val="nil"/>
          <w:between w:val="nil"/>
        </w:pBdr>
        <w:tabs>
          <w:tab w:val="left" w:pos="851"/>
          <w:tab w:val="left" w:pos="1418"/>
        </w:tabs>
        <w:ind w:left="156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20500008020000S/183/2026 de fecha seis de marzo de dos mil veintiséis, firmado por la Directora de Finanzas, mediante el cual informa que después de realizar una búsqueda exhaustiva en los archivos de esa Dirección no se localizó documento alguno relacionado con la solicitud de información.</w:t>
      </w:r>
    </w:p>
    <w:p w14:paraId="7874C46A" w14:textId="77777777" w:rsidR="00C63C05" w:rsidRDefault="00416EA5">
      <w:pPr>
        <w:numPr>
          <w:ilvl w:val="0"/>
          <w:numId w:val="12"/>
        </w:numPr>
        <w:pBdr>
          <w:top w:val="nil"/>
          <w:left w:val="nil"/>
          <w:bottom w:val="nil"/>
          <w:right w:val="nil"/>
          <w:between w:val="nil"/>
        </w:pBdr>
        <w:tabs>
          <w:tab w:val="left" w:pos="851"/>
          <w:tab w:val="left" w:pos="1418"/>
        </w:tabs>
        <w:ind w:left="156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Similar 20530001000005S/072/2026 de fecha diecisiete de marzo de dos mil veintiséis, signado por el Jefe del Departamento </w:t>
      </w:r>
      <w:r>
        <w:rPr>
          <w:rFonts w:ascii="Palatino Linotype" w:eastAsia="Palatino Linotype" w:hAnsi="Palatino Linotype" w:cs="Palatino Linotype"/>
        </w:rPr>
        <w:t>Jurídico</w:t>
      </w:r>
      <w:r>
        <w:rPr>
          <w:rFonts w:ascii="Palatino Linotype" w:eastAsia="Palatino Linotype" w:hAnsi="Palatino Linotype" w:cs="Palatino Linotype"/>
          <w:color w:val="000000"/>
        </w:rPr>
        <w:t xml:space="preserve"> y de Igualdad de Género, a través del cual comunica que no se localizó documento que dé cuenta de lo solicitado por el particular.</w:t>
      </w:r>
    </w:p>
    <w:p w14:paraId="32A00660" w14:textId="77777777" w:rsidR="00C63C05" w:rsidRDefault="00C63C05">
      <w:pPr>
        <w:pBdr>
          <w:top w:val="nil"/>
          <w:left w:val="nil"/>
          <w:bottom w:val="nil"/>
          <w:right w:val="nil"/>
          <w:between w:val="nil"/>
        </w:pBdr>
        <w:tabs>
          <w:tab w:val="left" w:pos="851"/>
          <w:tab w:val="left" w:pos="1418"/>
        </w:tabs>
        <w:ind w:left="1276" w:right="-1131"/>
        <w:jc w:val="both"/>
        <w:rPr>
          <w:rFonts w:ascii="Palatino Linotype" w:eastAsia="Palatino Linotype" w:hAnsi="Palatino Linotype" w:cs="Palatino Linotype"/>
          <w:b/>
          <w:bCs/>
          <w:color w:val="000000"/>
        </w:rPr>
      </w:pPr>
    </w:p>
    <w:p w14:paraId="4021720F"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bookmarkStart w:id="2" w:name="_heading=h.30j0zll" w:colFirst="0" w:colLast="0"/>
      <w:bookmarkEnd w:id="2"/>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veintidós de agosto de dos mil veinticinco</w:t>
      </w:r>
      <w:r>
        <w:rPr>
          <w:rFonts w:ascii="Palatino Linotype" w:eastAsia="Palatino Linotype" w:hAnsi="Palatino Linotype" w:cs="Palatino Linotype"/>
          <w:color w:val="000000"/>
        </w:rPr>
        <w:t xml:space="preserve">, se interpusieron los recursos de revisión </w:t>
      </w:r>
      <w:r>
        <w:rPr>
          <w:rFonts w:ascii="Palatino Linotype" w:eastAsia="Palatino Linotype" w:hAnsi="Palatino Linotype" w:cs="Palatino Linotype"/>
          <w:b/>
          <w:bCs/>
          <w:color w:val="000000"/>
        </w:rPr>
        <w:t>03068/INFOEM/IP/RR/2026, 03368/INFOEM/IP/RR/2026, 03369/INFOEM/IP/RR/2026, 03370/INFOEM/IP/RR/2026, 03371/INFOEM/IP/RR/2026, y 03372/INFOEM/IP/RR/2026 respectivamente</w:t>
      </w:r>
      <w:r>
        <w:rPr>
          <w:rFonts w:ascii="Palatino Linotype" w:eastAsia="Palatino Linotype" w:hAnsi="Palatino Linotype" w:cs="Palatino Linotype"/>
          <w:color w:val="000000"/>
        </w:rPr>
        <w:t>, en contra de la respuesta, señalando como:</w:t>
      </w:r>
    </w:p>
    <w:p w14:paraId="5E21737A"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4457FAD8" w14:textId="77777777" w:rsidR="00C63C05" w:rsidRDefault="00416EA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03068/INFOEM/IP/RR/2026, </w:t>
      </w:r>
    </w:p>
    <w:p w14:paraId="7E3EFD0B" w14:textId="77777777" w:rsidR="00C63C05" w:rsidRDefault="00C63C0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rPr>
      </w:pPr>
    </w:p>
    <w:p w14:paraId="517E8143" w14:textId="77777777" w:rsidR="00C63C05" w:rsidRDefault="00416EA5">
      <w:pPr>
        <w:numPr>
          <w:ilvl w:val="0"/>
          <w:numId w:val="4"/>
        </w:numPr>
        <w:pBdr>
          <w:top w:val="nil"/>
          <w:left w:val="nil"/>
          <w:bottom w:val="nil"/>
          <w:right w:val="nil"/>
          <w:between w:val="nil"/>
        </w:pBdr>
        <w:tabs>
          <w:tab w:val="left" w:pos="426"/>
          <w:tab w:val="left" w:pos="567"/>
          <w:tab w:val="left" w:pos="8222"/>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Acto Impugnado: </w:t>
      </w:r>
    </w:p>
    <w:p w14:paraId="7D31C153" w14:textId="77777777" w:rsidR="00C63C05" w:rsidRDefault="00416EA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a la solicitud 00020/SEGEGOB/IP/2026” (Sic)</w:t>
      </w:r>
    </w:p>
    <w:p w14:paraId="78D2931F" w14:textId="77777777" w:rsidR="00C63C05" w:rsidRDefault="00C63C0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color w:val="000000"/>
        </w:rPr>
      </w:pPr>
    </w:p>
    <w:p w14:paraId="416303C6" w14:textId="77777777" w:rsidR="00C63C05" w:rsidRDefault="00416EA5">
      <w:pPr>
        <w:numPr>
          <w:ilvl w:val="0"/>
          <w:numId w:val="18"/>
        </w:numPr>
        <w:pBdr>
          <w:top w:val="nil"/>
          <w:left w:val="nil"/>
          <w:bottom w:val="nil"/>
          <w:right w:val="nil"/>
          <w:between w:val="nil"/>
        </w:pBdr>
        <w:tabs>
          <w:tab w:val="left" w:pos="8222"/>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Inconformidad:</w:t>
      </w:r>
    </w:p>
    <w:p w14:paraId="0E9491FB"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“respuesta del servidor público habilitado establece: "no se localizó información con el concepto de"...facturas...correspondientes a la contratación de servicios con recursos públicos de la partida presupuestal 3611..."; en este sentido,, dentro de los archivos no se cuenta con facturas referentes a: contratación de servicios con recursos públicos de la partida presupuestal 3611". Claramente el sujeto obligado incurre en una negativa a entregar la información pública solicitada, para lo cual </w:t>
      </w:r>
      <w:r>
        <w:rPr>
          <w:rFonts w:ascii="Palatino Linotype" w:eastAsia="Palatino Linotype" w:hAnsi="Palatino Linotype" w:cs="Palatino Linotype"/>
          <w:i/>
          <w:iCs/>
          <w:color w:val="000000"/>
        </w:rPr>
        <w:lastRenderedPageBreak/>
        <w:t>altera de manera dolosa el sentido de la presente solicitud. Como es sabido, todas las facturas que se emiten en nuestro país incluyen un apartado denominado CONCEPTO, en el cual se describe el producto o servicio comercializado. En este caso, el sujeto justifica su negativa a entregar la informacion solicitada con el argumento de que no localizó información con el concepto "facturas...correspondientes a la contratación de servicios con recursos públicos de la partida presupuestal 3611", esto a pesar de que la solicitud en ningun momento se refiere al CONCEPTO de las facturas sino a la partida presupuestal vinculada a la aplicación de los recursos públicos de dichas facturas. Por otro lado, la partida presupuestal 3611 corresponde a: "Gastos de publicidad y propaganda. Asignación para contratar servicios de publicidad y difusión en medios masivos de comunicación, que permitan dar a conocer el quehacer de la administración pública estatal, así como los bienes y servicios públicos que se prestan; cubrir el costo de los estudios necesarios para el desarrollo de mensajes y diseño de conceptualización de los mismos, producción, post-producción y copiado, publicación y difusión masiva a través de televisión abierta y restringida, radio, cine, prensa, encartes, espectaculares, para buses, Internet y medios electrónicos e impresos internacionales", función y facultad que corresponde a la Coordinación General de Comunicación Social, parte de la estructura orgánica del sujeto obligado. Por lo anterior, en estricto apego a lo establecido en la ley de transparencia y acceso a la informacion pública del estado de méxico y municipios y al espíritu de la misma, solicito se revoque la respuesta del sujeto obligado y se ordene la entrega de la informacion solicitada, estructamente a través del sistema electrónico saimex.” (Sic)</w:t>
      </w:r>
    </w:p>
    <w:p w14:paraId="74B115DC"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48A0844B" w14:textId="77777777" w:rsidR="00C63C05" w:rsidRDefault="00416EA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03368/INFOEM/IP/RR/2026</w:t>
      </w:r>
    </w:p>
    <w:p w14:paraId="51001653" w14:textId="77777777" w:rsidR="00C63C05" w:rsidRDefault="00C63C0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p>
    <w:p w14:paraId="0B654945" w14:textId="77777777" w:rsidR="00C63C05" w:rsidRDefault="00416EA5">
      <w:pPr>
        <w:numPr>
          <w:ilvl w:val="0"/>
          <w:numId w:val="24"/>
        </w:numPr>
        <w:pBdr>
          <w:top w:val="nil"/>
          <w:left w:val="nil"/>
          <w:bottom w:val="nil"/>
          <w:right w:val="nil"/>
          <w:between w:val="nil"/>
        </w:pBdr>
        <w:tabs>
          <w:tab w:val="left" w:pos="8222"/>
        </w:tabs>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i/>
          <w:iCs/>
          <w:color w:val="000000"/>
        </w:rPr>
        <w:t xml:space="preserve"> </w:t>
      </w:r>
    </w:p>
    <w:p w14:paraId="47B88ABF"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A LA SOLICITUD 00040/SEGEGOB/IP/2026” (Sic)</w:t>
      </w:r>
    </w:p>
    <w:p w14:paraId="0DAFA173"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25D16703" w14:textId="77777777" w:rsidR="00C63C05" w:rsidRDefault="00416EA5">
      <w:pPr>
        <w:numPr>
          <w:ilvl w:val="0"/>
          <w:numId w:val="2"/>
        </w:numPr>
        <w:pBdr>
          <w:top w:val="nil"/>
          <w:left w:val="nil"/>
          <w:bottom w:val="nil"/>
          <w:right w:val="nil"/>
          <w:between w:val="nil"/>
        </w:pBdr>
        <w:tabs>
          <w:tab w:val="left" w:pos="8222"/>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Razones o Motivos de Inconformidad: </w:t>
      </w:r>
    </w:p>
    <w:p w14:paraId="6D699456"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Periódico Oficial “Gaceta del Gobierno” con fecha del 20 de diciembre de 2024 se publica el decreto número 32 que con tiene el presupuesto de egresos para el ejercicio fiscal 2025 correspondiente al Gobierno del Estado de México. En la publicación oficial se establece que a la COORDINACION DE COMUNICACION SOCIAL le fue asignado un presupuesto anual de $327,100,000.00 pesos en calidad de instancia ejecutora de gasto público. Por lo anterior, resulta absolutamente incongruente que en sus archivos no existan facturas que respalden el ejercicio de </w:t>
      </w:r>
      <w:r>
        <w:rPr>
          <w:rFonts w:ascii="Palatino Linotype" w:eastAsia="Palatino Linotype" w:hAnsi="Palatino Linotype" w:cs="Palatino Linotype"/>
          <w:i/>
          <w:iCs/>
          <w:color w:val="000000"/>
        </w:rPr>
        <w:lastRenderedPageBreak/>
        <w:t>dicho presupuesto, como se establece en la respuesta de los diferentes servidores públicos habilitados por el sujeto obligado. Por ende, solicito se revoque la respuesta del sujeto obligado y se ordene la entrega de la informacion solicitada a traves de este sistema electrónico saimex.” (Sic)</w:t>
      </w:r>
    </w:p>
    <w:p w14:paraId="066C9491"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0E8C32C1" w14:textId="77777777" w:rsidR="00C63C05" w:rsidRDefault="00416EA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3369/INFOEM/IP/RR/2026</w:t>
      </w:r>
    </w:p>
    <w:p w14:paraId="3383D2CE" w14:textId="77777777" w:rsidR="00C63C05" w:rsidRDefault="00C63C0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p>
    <w:p w14:paraId="633B079E" w14:textId="77777777" w:rsidR="00C63C05" w:rsidRDefault="00416EA5">
      <w:pPr>
        <w:numPr>
          <w:ilvl w:val="0"/>
          <w:numId w:val="22"/>
        </w:numPr>
        <w:pBdr>
          <w:top w:val="nil"/>
          <w:left w:val="nil"/>
          <w:bottom w:val="nil"/>
          <w:right w:val="nil"/>
          <w:between w:val="nil"/>
        </w:pBdr>
        <w:tabs>
          <w:tab w:val="left" w:pos="8222"/>
        </w:tabs>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i/>
          <w:iCs/>
          <w:color w:val="000000"/>
        </w:rPr>
        <w:t xml:space="preserve"> </w:t>
      </w:r>
    </w:p>
    <w:p w14:paraId="6AA02FFB"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a la solicitud 00039/SEGEGOB/IP/2026” (Sic)</w:t>
      </w:r>
    </w:p>
    <w:p w14:paraId="1E5DAC7E"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0AAF1E5D" w14:textId="77777777" w:rsidR="00C63C05" w:rsidRDefault="00416EA5">
      <w:pPr>
        <w:numPr>
          <w:ilvl w:val="0"/>
          <w:numId w:val="3"/>
        </w:numPr>
        <w:pBdr>
          <w:top w:val="nil"/>
          <w:left w:val="nil"/>
          <w:bottom w:val="nil"/>
          <w:right w:val="nil"/>
          <w:between w:val="nil"/>
        </w:pBdr>
        <w:tabs>
          <w:tab w:val="left" w:pos="8222"/>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Razones o Motivos de Inconformidad: </w:t>
      </w:r>
    </w:p>
    <w:p w14:paraId="7B2C9F49"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el Periódico Oficial “Gaceta del Gobierno” con fecha del 20 de diciembre de 2024 se publica el decreto número 32 que con tiene el presupuesto de egresos para el ejercicio fiscal 2025 correspondiente al Gobierno del Estado de México. En la publicación oficial se establece que a la COORDINACION DE COMUNICACION SOCIAL le fue asignado un presupuesto anual de $327,100,000.00 pesos en calidad de instancia ejecutora de gasto público. Por lo anterior, resulta absolutamente incongruente que en sus archivos no existan facturas que respalden el ejercicio de dicho presupuesto, como se establece en la respuesta de los diferentes servidores públicos habilitados por el sujeto obligado. Por ende, solicito se revoque la respuesta del sujeto obligado y se ordene la entrega de la informacion solicitada a traves de este sistema electrónico saimex.” (Sic)</w:t>
      </w:r>
    </w:p>
    <w:p w14:paraId="79E7BAFD"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49FD6556" w14:textId="77777777" w:rsidR="00C63C05" w:rsidRDefault="00416EA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3370/INFOEM/IP/RR/2026</w:t>
      </w:r>
    </w:p>
    <w:p w14:paraId="19255D9A" w14:textId="77777777" w:rsidR="00C63C05" w:rsidRDefault="00C63C0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p>
    <w:p w14:paraId="498489C1" w14:textId="77777777" w:rsidR="00C63C05" w:rsidRDefault="00416EA5">
      <w:pPr>
        <w:numPr>
          <w:ilvl w:val="0"/>
          <w:numId w:val="1"/>
        </w:numPr>
        <w:pBdr>
          <w:top w:val="nil"/>
          <w:left w:val="nil"/>
          <w:bottom w:val="nil"/>
          <w:right w:val="nil"/>
          <w:between w:val="nil"/>
        </w:pBdr>
        <w:tabs>
          <w:tab w:val="left" w:pos="8222"/>
        </w:tabs>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i/>
          <w:iCs/>
          <w:color w:val="000000"/>
        </w:rPr>
        <w:t xml:space="preserve"> </w:t>
      </w:r>
    </w:p>
    <w:p w14:paraId="7CA57C6A"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a la solicitud 00036/SEGEGOB/IP/2026” (Sic)</w:t>
      </w:r>
    </w:p>
    <w:p w14:paraId="73A2DD66"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4A148BAA" w14:textId="77777777" w:rsidR="00C63C05" w:rsidRDefault="00416EA5">
      <w:pPr>
        <w:numPr>
          <w:ilvl w:val="0"/>
          <w:numId w:val="23"/>
        </w:numPr>
        <w:pBdr>
          <w:top w:val="nil"/>
          <w:left w:val="nil"/>
          <w:bottom w:val="nil"/>
          <w:right w:val="nil"/>
          <w:between w:val="nil"/>
        </w:pBdr>
        <w:tabs>
          <w:tab w:val="left" w:pos="8222"/>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Razones o Motivos de Inconformidad: </w:t>
      </w:r>
    </w:p>
    <w:p w14:paraId="113ECB1B"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Periódico Oficial “Gaceta del Gobierno” con fecha del 20 de diciembre de 2024 se publica el decreto número 32 que con tiene el presupuesto de egresos para el ejercicio fiscal 2025 correspondiente al Gobierno del Estado de México. En la publicación oficial se establece que a la COORDINACION DE COMUNICACION SOCIAL le fue asignado un presupuesto anual de $327,100,000.00 pesos en calidad de instancia ejecutora de gasto público. Por lo anterior, resulta absolutamente incongruente que en sus archivos no existan facturas que respalden el ejercicio de dicho presupuesto, como se establece en la respuesta de los diferentes servidores públicos </w:t>
      </w:r>
      <w:r>
        <w:rPr>
          <w:rFonts w:ascii="Palatino Linotype" w:eastAsia="Palatino Linotype" w:hAnsi="Palatino Linotype" w:cs="Palatino Linotype"/>
          <w:i/>
          <w:iCs/>
          <w:color w:val="000000"/>
        </w:rPr>
        <w:lastRenderedPageBreak/>
        <w:t>habilitados por el sujeto obligado. Por ende, solicito se revoque la respuesta del sujeto obligado y se ordene la entrega de la informacion solicitada a traves de este sistema electrónico saimex..” (Sic)</w:t>
      </w:r>
    </w:p>
    <w:p w14:paraId="31029630"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4B487EF0" w14:textId="77777777" w:rsidR="00C63C05" w:rsidRDefault="00416EA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3371/INFOEM/IP/RR/2026</w:t>
      </w:r>
    </w:p>
    <w:p w14:paraId="373A8C50" w14:textId="77777777" w:rsidR="00C63C05" w:rsidRDefault="00C63C0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p>
    <w:p w14:paraId="5C25ABB5" w14:textId="77777777" w:rsidR="00C63C05" w:rsidRDefault="00416EA5">
      <w:pPr>
        <w:numPr>
          <w:ilvl w:val="0"/>
          <w:numId w:val="20"/>
        </w:numPr>
        <w:pBdr>
          <w:top w:val="nil"/>
          <w:left w:val="nil"/>
          <w:bottom w:val="nil"/>
          <w:right w:val="nil"/>
          <w:between w:val="nil"/>
        </w:pBdr>
        <w:tabs>
          <w:tab w:val="left" w:pos="8222"/>
        </w:tabs>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i/>
          <w:iCs/>
          <w:color w:val="000000"/>
        </w:rPr>
        <w:t xml:space="preserve"> </w:t>
      </w:r>
    </w:p>
    <w:p w14:paraId="2C392602"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A LA SOLICITUD 00037/SEGEGOB/IP/2026” (Sic)</w:t>
      </w:r>
    </w:p>
    <w:p w14:paraId="2773D9BE"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22751EA6" w14:textId="77777777" w:rsidR="00C63C05" w:rsidRDefault="00416EA5">
      <w:pPr>
        <w:numPr>
          <w:ilvl w:val="0"/>
          <w:numId w:val="5"/>
        </w:numPr>
        <w:pBdr>
          <w:top w:val="nil"/>
          <w:left w:val="nil"/>
          <w:bottom w:val="nil"/>
          <w:right w:val="nil"/>
          <w:between w:val="nil"/>
        </w:pBdr>
        <w:tabs>
          <w:tab w:val="left" w:pos="8222"/>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Razones o Motivos de Inconformidad: </w:t>
      </w:r>
    </w:p>
    <w:p w14:paraId="02258ADE"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el Periódico Oficial “Gaceta del Gobierno” con fecha del 20 de diciembre de 2024 se publica el decreto número 32 que con tiene el presupuesto de egresos para el ejercicio fiscal 2025 correspondiente al Gobierno del Estado de México. En la publicación oficial se establece que a la COORDINACION DE COMUNICACION SOCIAL le fue asignado un presupuesto anual de $327,100,000.00 pesos en calidad de instancia ejecutora de gasto público. Por lo anterior, resulta absolutamente incongruente que en sus archivos no existan facturas que respalden el ejercicio de dicho presupuesto, como se establece en la respuesta de los diferentes servidores públicos habilitados por el sujeto obligado. Por ende, solicito se revoque la respuesta del sujeto obligado y se ordene la entrega de la informacion solicitada a traves de este sistema electrónico saimex.” (Sic)</w:t>
      </w:r>
    </w:p>
    <w:p w14:paraId="754D21D7" w14:textId="77777777" w:rsidR="00C63C05" w:rsidRDefault="00C63C0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p>
    <w:p w14:paraId="2B1821FB" w14:textId="77777777" w:rsidR="00C63C05" w:rsidRDefault="00416EA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3372/INFOEM/IP/RR/2026</w:t>
      </w:r>
    </w:p>
    <w:p w14:paraId="57DC61BD" w14:textId="77777777" w:rsidR="00C63C05" w:rsidRDefault="00C63C05">
      <w:pPr>
        <w:pBdr>
          <w:top w:val="nil"/>
          <w:left w:val="nil"/>
          <w:bottom w:val="nil"/>
          <w:right w:val="nil"/>
          <w:between w:val="nil"/>
        </w:pBdr>
        <w:tabs>
          <w:tab w:val="left" w:pos="426"/>
          <w:tab w:val="left" w:pos="567"/>
          <w:tab w:val="left" w:pos="8222"/>
        </w:tabs>
        <w:ind w:left="567" w:right="-1131"/>
        <w:jc w:val="both"/>
        <w:rPr>
          <w:rFonts w:ascii="Palatino Linotype" w:eastAsia="Palatino Linotype" w:hAnsi="Palatino Linotype" w:cs="Palatino Linotype"/>
          <w:b/>
          <w:bCs/>
          <w:color w:val="000000"/>
        </w:rPr>
      </w:pPr>
    </w:p>
    <w:p w14:paraId="3C9E7B68" w14:textId="77777777" w:rsidR="00C63C05" w:rsidRDefault="00416EA5">
      <w:pPr>
        <w:numPr>
          <w:ilvl w:val="0"/>
          <w:numId w:val="19"/>
        </w:numPr>
        <w:pBdr>
          <w:top w:val="nil"/>
          <w:left w:val="nil"/>
          <w:bottom w:val="nil"/>
          <w:right w:val="nil"/>
          <w:between w:val="nil"/>
        </w:pBdr>
        <w:tabs>
          <w:tab w:val="left" w:pos="8222"/>
        </w:tabs>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i/>
          <w:iCs/>
          <w:color w:val="000000"/>
        </w:rPr>
        <w:t xml:space="preserve"> </w:t>
      </w:r>
    </w:p>
    <w:p w14:paraId="26F12644"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A LA SOLICITUD 00038/SEGEGOB/IP/2026” (Sic)</w:t>
      </w:r>
    </w:p>
    <w:p w14:paraId="0C55BE3F" w14:textId="77777777" w:rsidR="00C63C05" w:rsidRDefault="00416EA5">
      <w:pPr>
        <w:numPr>
          <w:ilvl w:val="0"/>
          <w:numId w:val="21"/>
        </w:numPr>
        <w:pBdr>
          <w:top w:val="nil"/>
          <w:left w:val="nil"/>
          <w:bottom w:val="nil"/>
          <w:right w:val="nil"/>
          <w:between w:val="nil"/>
        </w:pBdr>
        <w:tabs>
          <w:tab w:val="left" w:pos="8222"/>
        </w:tabs>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Razones o Motivos de Inconformidad: </w:t>
      </w:r>
    </w:p>
    <w:p w14:paraId="50702B90" w14:textId="77777777" w:rsidR="00C63C05" w:rsidRDefault="00416EA5">
      <w:pPr>
        <w:pBdr>
          <w:top w:val="nil"/>
          <w:left w:val="nil"/>
          <w:bottom w:val="nil"/>
          <w:right w:val="nil"/>
          <w:between w:val="nil"/>
        </w:pBdr>
        <w:tabs>
          <w:tab w:val="left" w:pos="8222"/>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el Periódico Oficial “Gaceta del Gobierno” con fecha del 20 de diciembre de 2024 se publica el decreto número 32 que con tiene el presupuesto de egresos para el ejercicio fiscal 2025 correspondiente al Gobierno del Estado de México. En la publicación oficial se establece que a la COORDINACION DE COMUNICACION SOCIAL le fue asignado un presupuesto anual de $327,100,000.00 pesos en calidad de instancia ejecutora de gasto público. Por lo anterior, resulta absolutamente incongruente que en sus archivos no existan facturas que respalden el ejercicio de dicho presupuesto, como se establece en la respuesta de los diferentes servidores públicos habilitados por el sujeto obligado. Por ende, solicito se revoque la respuesta del sujeto obligado y se ordene la entrega de la informacion solicitada a traves de este sistema electrónico saimex..” (Sic)</w:t>
      </w:r>
    </w:p>
    <w:p w14:paraId="1DF61725"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Se registraron los recursos de revisión bajo los números de expediente </w:t>
      </w:r>
      <w:r>
        <w:rPr>
          <w:rFonts w:ascii="Palatino Linotype" w:eastAsia="Palatino Linotype" w:hAnsi="Palatino Linotype" w:cs="Palatino Linotype"/>
          <w:b/>
          <w:bCs/>
          <w:color w:val="000000"/>
        </w:rPr>
        <w:t>03068/INFOEM/IP/RR/2026, 03368/INFOEM/IP/RR/2026, 03369/INFOEM/IP/RR/2026, 03370/INFOEM/IP/RR/2026, 03371/INFOEM/IP/RR/2026, y 03372/INFOEM/IP/RR/2026</w:t>
      </w:r>
      <w:r>
        <w:rPr>
          <w:rFonts w:ascii="Palatino Linotype" w:eastAsia="Palatino Linotype" w:hAnsi="Palatino Linotype" w:cs="Palatino Linotype"/>
          <w:color w:val="000000"/>
        </w:rPr>
        <w:t xml:space="preserve">; asimismo, con fundamento en lo dispuesto por el artículo 185, fracción I, de la Ley de Transparencia y Acceso a la Información Pública del Estado de México y Municipios se turnaron a las </w:t>
      </w:r>
      <w:r>
        <w:rPr>
          <w:rFonts w:ascii="Palatino Linotype" w:eastAsia="Palatino Linotype" w:hAnsi="Palatino Linotype" w:cs="Palatino Linotype"/>
          <w:b/>
          <w:bCs/>
          <w:color w:val="000000"/>
        </w:rPr>
        <w:t xml:space="preserve">Comisionadas María del Rosario Mejía Ayala, Guadalupe Ramírez Peña, Sharon Morales Martínez </w:t>
      </w:r>
      <w:r>
        <w:rPr>
          <w:rFonts w:ascii="Palatino Linotype" w:eastAsia="Palatino Linotype" w:hAnsi="Palatino Linotype" w:cs="Palatino Linotype"/>
          <w:color w:val="000000"/>
        </w:rPr>
        <w:t xml:space="preserve">y a los </w:t>
      </w:r>
      <w:r>
        <w:rPr>
          <w:rFonts w:ascii="Palatino Linotype" w:eastAsia="Palatino Linotype" w:hAnsi="Palatino Linotype" w:cs="Palatino Linotype"/>
          <w:b/>
          <w:bCs/>
          <w:color w:val="000000"/>
        </w:rPr>
        <w:t xml:space="preserve">Comisionados José Martínez Vilchis y Luis Gustavo Parra Noriega </w:t>
      </w:r>
      <w:r>
        <w:rPr>
          <w:rFonts w:ascii="Palatino Linotype" w:eastAsia="Palatino Linotype" w:hAnsi="Palatino Linotype" w:cs="Palatino Linotype"/>
        </w:rPr>
        <w:t xml:space="preserve">para </w:t>
      </w:r>
      <w:r>
        <w:rPr>
          <w:rFonts w:ascii="Palatino Linotype" w:eastAsia="Palatino Linotype" w:hAnsi="Palatino Linotype" w:cs="Palatino Linotype"/>
          <w:color w:val="000000"/>
        </w:rPr>
        <w:t>su análisis.</w:t>
      </w:r>
    </w:p>
    <w:p w14:paraId="04E2BABD"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0922A567"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bookmarkStart w:id="3" w:name="_heading=h.1fob9te" w:colFirst="0" w:colLast="0"/>
      <w:bookmarkEnd w:id="3"/>
      <w:r>
        <w:rPr>
          <w:rFonts w:ascii="Palatino Linotype" w:eastAsia="Palatino Linotype" w:hAnsi="Palatino Linotype" w:cs="Palatino Linotype"/>
          <w:color w:val="000000"/>
        </w:rPr>
        <w:t xml:space="preserve">La Comisionada Ponente con fundamento en lo dispuesto por el artículo 185 fracción II de la ley de la materia, a través de los acuerdos de admisión de fechas </w:t>
      </w:r>
      <w:r>
        <w:rPr>
          <w:rFonts w:ascii="Palatino Linotype" w:eastAsia="Palatino Linotype" w:hAnsi="Palatino Linotype" w:cs="Palatino Linotype"/>
          <w:b/>
          <w:bCs/>
          <w:color w:val="000000"/>
        </w:rPr>
        <w:t>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dieciocho, veintitrés y veinticinco de marzo de dos mil veintiséis</w:t>
      </w:r>
      <w:r>
        <w:rPr>
          <w:rFonts w:ascii="Palatino Linotype" w:eastAsia="Palatino Linotype" w:hAnsi="Palatino Linotype" w:cs="Palatino Linotype"/>
          <w:color w:val="000000"/>
        </w:rPr>
        <w:t xml:space="preserve">, puso a disposición de las partes el expediente electrónico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14:paraId="11301180" w14:textId="77777777" w:rsidR="00C63C05" w:rsidRDefault="00C63C05">
      <w:pPr>
        <w:pBdr>
          <w:top w:val="nil"/>
          <w:left w:val="nil"/>
          <w:bottom w:val="nil"/>
          <w:right w:val="nil"/>
          <w:between w:val="nil"/>
        </w:pBdr>
        <w:ind w:left="720" w:right="-1131"/>
        <w:rPr>
          <w:rFonts w:ascii="Palatino Linotype" w:eastAsia="Palatino Linotype" w:hAnsi="Palatino Linotype" w:cs="Palatino Linotype"/>
          <w:color w:val="000000"/>
        </w:rPr>
      </w:pPr>
    </w:p>
    <w:p w14:paraId="7C1C0E00" w14:textId="77777777" w:rsidR="00C63C05" w:rsidRDefault="00416EA5">
      <w:pPr>
        <w:numPr>
          <w:ilvl w:val="0"/>
          <w:numId w:val="7"/>
        </w:numPr>
        <w:tabs>
          <w:tab w:val="left" w:pos="426"/>
        </w:tabs>
        <w:spacing w:line="360" w:lineRule="auto"/>
        <w:ind w:left="0" w:right="-113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veinticuatro de marzo y nueve de abril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rindió los informes justificados correspondientes, mediante el cual ratifica sus respuestas.</w:t>
      </w:r>
    </w:p>
    <w:p w14:paraId="5B52002C"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73DD80A8"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 su parte 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dejó de realizar manifestaciones que a su derecho conviniera y asistiera, respectivamente en los Recursos de Revisión. </w:t>
      </w:r>
    </w:p>
    <w:p w14:paraId="219E98E5"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Posteriormente, en la</w:t>
      </w:r>
      <w:r>
        <w:rPr>
          <w:rFonts w:ascii="Palatino Linotype" w:eastAsia="Palatino Linotype" w:hAnsi="Palatino Linotype" w:cs="Palatino Linotype"/>
          <w:b/>
          <w:bCs/>
          <w:color w:val="000000"/>
        </w:rPr>
        <w:t xml:space="preserve"> Décimo Segunda Sesión Ordinaria, </w:t>
      </w:r>
      <w:r>
        <w:rPr>
          <w:rFonts w:ascii="Palatino Linotype" w:eastAsia="Palatino Linotype" w:hAnsi="Palatino Linotype" w:cs="Palatino Linotype"/>
          <w:color w:val="000000"/>
        </w:rPr>
        <w:t xml:space="preserve">celebrada el </w:t>
      </w:r>
      <w:r>
        <w:rPr>
          <w:rFonts w:ascii="Palatino Linotype" w:eastAsia="Palatino Linotype" w:hAnsi="Palatino Linotype" w:cs="Palatino Linotype"/>
          <w:b/>
          <w:bCs/>
          <w:color w:val="000000"/>
        </w:rPr>
        <w:t>ocho de abril de dos mil veintiséis</w:t>
      </w:r>
      <w:r>
        <w:rPr>
          <w:rFonts w:ascii="Palatino Linotype" w:eastAsia="Palatino Linotype" w:hAnsi="Palatino Linotype" w:cs="Palatino Linotype"/>
          <w:color w:val="000000"/>
        </w:rPr>
        <w:t>, el Pleno de este Órgano Autónomo ordenó la acumulación de los recursos de revisión</w:t>
      </w:r>
      <w:r>
        <w:rPr>
          <w:rFonts w:ascii="Palatino Linotype" w:eastAsia="Palatino Linotype" w:hAnsi="Palatino Linotype" w:cs="Palatino Linotype"/>
          <w:b/>
          <w:bCs/>
          <w:color w:val="000000"/>
        </w:rPr>
        <w:t xml:space="preserve"> 03369/INFOEM/IP/RR/2026, 03370/INFOEM/IP/RR/2026, 03371/INFOEM/IP/RR/2026, y 03372/INFOEM/IP/RR/2026 </w:t>
      </w:r>
      <w:r>
        <w:rPr>
          <w:rFonts w:ascii="Palatino Linotype" w:eastAsia="Palatino Linotype" w:hAnsi="Palatino Linotype" w:cs="Palatino Linotype"/>
          <w:color w:val="000000"/>
        </w:rPr>
        <w:t xml:space="preserve">al diverso </w:t>
      </w:r>
      <w:r>
        <w:rPr>
          <w:rFonts w:ascii="Palatino Linotype" w:eastAsia="Palatino Linotype" w:hAnsi="Palatino Linotype" w:cs="Palatino Linotype"/>
          <w:b/>
          <w:bCs/>
          <w:color w:val="000000"/>
        </w:rPr>
        <w:t>03368/INFOEM/IP/RR/2026</w:t>
      </w:r>
      <w:r>
        <w:rPr>
          <w:rFonts w:ascii="Palatino Linotype" w:eastAsia="Palatino Linotype" w:hAnsi="Palatino Linotype" w:cs="Palatino Linotype"/>
          <w:color w:val="000000"/>
        </w:rPr>
        <w:t>, a efecto de que este Órgano Garante formulará y presentará el proyecto de resolución correspondiente, de conformidad con el numeral ONCE, incisos b) y c), de los Lineamientos para la Recepción, Trámite y Resolución de las Solicitudes de Acceso a la Información Pública.</w:t>
      </w:r>
    </w:p>
    <w:p w14:paraId="5C5C54DE"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5D30B405"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Posteriormente, la Comisionada Ponente a través </w:t>
      </w:r>
      <w:r>
        <w:rPr>
          <w:rFonts w:ascii="Palatino Linotype" w:eastAsia="Palatino Linotype" w:hAnsi="Palatino Linotype" w:cs="Palatino Linotype"/>
        </w:rPr>
        <w:t>del acuerdo</w:t>
      </w:r>
      <w:r>
        <w:rPr>
          <w:rFonts w:ascii="Palatino Linotype" w:eastAsia="Palatino Linotype" w:hAnsi="Palatino Linotype" w:cs="Palatino Linotype"/>
          <w:color w:val="000000"/>
        </w:rPr>
        <w:t xml:space="preserve"> de fecha </w:t>
      </w:r>
      <w:r>
        <w:rPr>
          <w:rFonts w:ascii="Palatino Linotype" w:eastAsia="Palatino Linotype" w:hAnsi="Palatino Linotype" w:cs="Palatino Linotype"/>
          <w:b/>
          <w:bCs/>
          <w:color w:val="000000"/>
        </w:rPr>
        <w:t>diecinueve de mayo de dos mil veintiséis</w:t>
      </w:r>
      <w:r>
        <w:rPr>
          <w:rFonts w:ascii="Palatino Linotype" w:eastAsia="Palatino Linotype" w:hAnsi="Palatino Linotype" w:cs="Palatino Linotype"/>
          <w:color w:val="000000"/>
        </w:rPr>
        <w:t xml:space="preserve">,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Pr>
          <w:rFonts w:ascii="Palatino Linotype" w:eastAsia="Palatino Linotype" w:hAnsi="Palatino Linotype" w:cs="Palatino Linotype"/>
          <w:b/>
          <w:bCs/>
          <w:color w:val="000000"/>
        </w:rPr>
        <w:t>03068/INFOEM/IP/RR/2026</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03368/INFOEM/IP/RR/2026, 03369/INFOEM/IP/RR/2026, 03370/INFOEM/IP/RR/2026, 03371/INFOEM/IP/RR/2026, y 03372/INFOEM/IP/RR/2026 , toda</w:t>
      </w:r>
      <w:r>
        <w:rPr>
          <w:rFonts w:ascii="Palatino Linotype" w:eastAsia="Palatino Linotype" w:hAnsi="Palatino Linotype" w:cs="Palatino Linotype"/>
          <w:color w:val="000000"/>
        </w:rPr>
        <w:t xml:space="preserve"> vez que se advirtió conexidad entre estos, al haber sido promovidos por la misma persona, en los que se señaló como dependencia o entidad recurrida a la Secretaría General de Gobierno;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w:t>
      </w:r>
      <w:r>
        <w:rPr>
          <w:rFonts w:ascii="Palatino Linotype" w:eastAsia="Palatino Linotype" w:hAnsi="Palatino Linotype" w:cs="Palatino Linotype"/>
          <w:color w:val="000000"/>
        </w:rPr>
        <w:lastRenderedPageBreak/>
        <w:t xml:space="preserve">artículo 195 de dicho ordenamiento, se decreta la acumulación de los Recursos de Revisión </w:t>
      </w:r>
      <w:r>
        <w:rPr>
          <w:rFonts w:ascii="Palatino Linotype" w:eastAsia="Palatino Linotype" w:hAnsi="Palatino Linotype" w:cs="Palatino Linotype"/>
          <w:b/>
          <w:bCs/>
          <w:color w:val="000000"/>
        </w:rPr>
        <w:t xml:space="preserve">03368/INFOEM/IP/RR/2026, 03369/INFOEM/IP/RR/2026, 03370/INFOEM/IP/RR/2026, 03371/INFOEM/IP/RR/2026, y 03372/INFOEM/IP/RR/2026 </w:t>
      </w:r>
      <w:r>
        <w:rPr>
          <w:rFonts w:ascii="Palatino Linotype" w:eastAsia="Palatino Linotype" w:hAnsi="Palatino Linotype" w:cs="Palatino Linotype"/>
          <w:color w:val="000000"/>
        </w:rPr>
        <w:t xml:space="preserve">al diverso </w:t>
      </w:r>
      <w:r>
        <w:rPr>
          <w:rFonts w:ascii="Palatino Linotype" w:eastAsia="Palatino Linotype" w:hAnsi="Palatino Linotype" w:cs="Palatino Linotype"/>
          <w:b/>
          <w:bCs/>
          <w:color w:val="000000"/>
        </w:rPr>
        <w:t>03068/INFOEM/IP/RR/2026,</w:t>
      </w:r>
      <w:r>
        <w:rPr>
          <w:rFonts w:ascii="Palatino Linotype" w:eastAsia="Palatino Linotype" w:hAnsi="Palatino Linotype" w:cs="Palatino Linotype"/>
          <w:color w:val="000000"/>
        </w:rPr>
        <w:t xml:space="preserve"> por ser este último el más antiguo, sustanciado bajo el índice de esta Ponencia.</w:t>
      </w:r>
    </w:p>
    <w:p w14:paraId="307708D2" w14:textId="77777777" w:rsidR="00C63C05" w:rsidRDefault="00C63C05">
      <w:pPr>
        <w:spacing w:line="360" w:lineRule="auto"/>
        <w:ind w:right="-1131"/>
        <w:jc w:val="both"/>
        <w:rPr>
          <w:rFonts w:ascii="Palatino Linotype" w:eastAsia="Palatino Linotype" w:hAnsi="Palatino Linotype" w:cs="Palatino Linotype"/>
        </w:rPr>
      </w:pPr>
    </w:p>
    <w:p w14:paraId="619A346F"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diecinueve de mayo de dos mil veintiséis</w:t>
      </w:r>
      <w:r>
        <w:rPr>
          <w:rFonts w:ascii="Palatino Linotype" w:eastAsia="Palatino Linotype" w:hAnsi="Palatino Linotype" w:cs="Palatino Linotype"/>
        </w:rPr>
        <w:t xml:space="preserve">, se notificó el acuerdo mediante el cual se aprobó la ampliación de plazo para emitir resolución. </w:t>
      </w:r>
    </w:p>
    <w:p w14:paraId="73DA5F7C" w14:textId="77777777" w:rsidR="00C63C05" w:rsidRDefault="00C63C05">
      <w:pPr>
        <w:pBdr>
          <w:top w:val="nil"/>
          <w:left w:val="nil"/>
          <w:bottom w:val="nil"/>
          <w:right w:val="nil"/>
          <w:between w:val="nil"/>
        </w:pBdr>
        <w:ind w:left="720" w:right="-1131"/>
        <w:rPr>
          <w:rFonts w:ascii="Palatino Linotype" w:eastAsia="Palatino Linotype" w:hAnsi="Palatino Linotype" w:cs="Palatino Linotype"/>
          <w:color w:val="000000"/>
        </w:rPr>
      </w:pPr>
    </w:p>
    <w:p w14:paraId="1B8E1E19" w14:textId="5A998C93"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decretó el cierre de instrucción mediante acuerdo del </w:t>
      </w:r>
      <w:r>
        <w:rPr>
          <w:rFonts w:ascii="Palatino Linotype" w:eastAsia="Palatino Linotype" w:hAnsi="Palatino Linotype" w:cs="Palatino Linotype"/>
          <w:b/>
          <w:bCs/>
          <w:color w:val="000000"/>
        </w:rPr>
        <w:t>veintiuno de mayo de dos mil veintiséis</w:t>
      </w:r>
      <w:r>
        <w:rPr>
          <w:rFonts w:ascii="Palatino Linotype" w:eastAsia="Palatino Linotype" w:hAnsi="Palatino Linotype" w:cs="Palatino Linotype"/>
          <w:color w:val="000000"/>
        </w:rPr>
        <w:t xml:space="preserve">; por lo que se ordenó turnar el expediente a resolución, misma que ahora se pronuncia; y </w:t>
      </w:r>
    </w:p>
    <w:p w14:paraId="4FB2D61E" w14:textId="77777777" w:rsidR="004B745E" w:rsidRDefault="004B745E" w:rsidP="004B745E">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362556E9" w14:textId="77777777" w:rsidR="00C63C05" w:rsidRDefault="00416EA5">
      <w:pPr>
        <w:pStyle w:val="Ttulo2"/>
        <w:ind w:right="-1131"/>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 O N S I D E R A N D O</w:t>
      </w:r>
    </w:p>
    <w:p w14:paraId="5183FA77" w14:textId="77777777" w:rsidR="00C63C05" w:rsidRDefault="00C63C05">
      <w:pPr>
        <w:ind w:right="-1131"/>
        <w:rPr>
          <w:rFonts w:ascii="Palatino Linotype" w:eastAsia="Palatino Linotype" w:hAnsi="Palatino Linotype" w:cs="Palatino Linotype"/>
        </w:rPr>
      </w:pPr>
    </w:p>
    <w:p w14:paraId="4F2C8E8E" w14:textId="77777777" w:rsidR="00C63C05" w:rsidRDefault="00416EA5">
      <w:pPr>
        <w:pStyle w:val="Ttulo2"/>
        <w:tabs>
          <w:tab w:val="left" w:pos="0"/>
        </w:tabs>
        <w:spacing w:before="0" w:line="360" w:lineRule="auto"/>
        <w:ind w:right="-1131"/>
        <w:rPr>
          <w:rFonts w:ascii="Palatino Linotype" w:eastAsia="Palatino Linotype" w:hAnsi="Palatino Linotype" w:cs="Palatino Linotype"/>
          <w:b/>
          <w:bCs/>
          <w:color w:val="000000"/>
          <w:sz w:val="24"/>
          <w:szCs w:val="24"/>
        </w:rPr>
      </w:pPr>
      <w:bookmarkStart w:id="4" w:name="_heading=h.3znysh7" w:colFirst="0" w:colLast="0"/>
      <w:bookmarkEnd w:id="4"/>
      <w:r>
        <w:rPr>
          <w:rFonts w:ascii="Palatino Linotype" w:eastAsia="Palatino Linotype" w:hAnsi="Palatino Linotype" w:cs="Palatino Linotype"/>
          <w:b/>
          <w:bCs/>
          <w:color w:val="000000"/>
          <w:sz w:val="24"/>
          <w:szCs w:val="24"/>
        </w:rPr>
        <w:t>PRIMERO. De la competencia</w:t>
      </w:r>
    </w:p>
    <w:p w14:paraId="7B65C9EE"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conformidad con el artículo: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w:t>
      </w:r>
      <w:r>
        <w:rPr>
          <w:rFonts w:ascii="Palatino Linotype" w:eastAsia="Palatino Linotype" w:hAnsi="Palatino Linotype" w:cs="Palatino Linotype"/>
          <w:color w:val="000000"/>
        </w:rPr>
        <w:lastRenderedPageBreak/>
        <w:t>10, 7, 9 fracciones I y XXIV, y 11 del Reglamento Interior del Instituto de Transparencia, Acceso a la Información Pública y Protección de Datos Personales del Estado de México y Municipios.</w:t>
      </w:r>
    </w:p>
    <w:p w14:paraId="0B00A254"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32603587" w14:textId="77777777" w:rsidR="00C63C05" w:rsidRDefault="00416EA5">
      <w:pPr>
        <w:pStyle w:val="Ttulo2"/>
        <w:tabs>
          <w:tab w:val="left" w:pos="0"/>
        </w:tabs>
        <w:spacing w:before="0" w:line="360" w:lineRule="auto"/>
        <w:ind w:right="-1131"/>
        <w:rPr>
          <w:rFonts w:ascii="Palatino Linotype" w:eastAsia="Palatino Linotype" w:hAnsi="Palatino Linotype" w:cs="Palatino Linotype"/>
          <w:b/>
          <w:bCs/>
          <w:color w:val="000000"/>
          <w:sz w:val="24"/>
          <w:szCs w:val="24"/>
        </w:rPr>
      </w:pPr>
      <w:bookmarkStart w:id="5" w:name="_heading=h.2et92p0" w:colFirst="0" w:colLast="0"/>
      <w:bookmarkEnd w:id="5"/>
      <w:r>
        <w:rPr>
          <w:rFonts w:ascii="Palatino Linotype" w:eastAsia="Palatino Linotype" w:hAnsi="Palatino Linotype" w:cs="Palatino Linotype"/>
          <w:b/>
          <w:bCs/>
          <w:color w:val="000000"/>
          <w:sz w:val="24"/>
          <w:szCs w:val="24"/>
        </w:rPr>
        <w:t>SEGUNDO. De la oportunidad y procedencia.</w:t>
      </w:r>
    </w:p>
    <w:p w14:paraId="2FF23AAF"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bookmarkStart w:id="6" w:name="_heading=h.tyjcwt" w:colFirst="0" w:colLast="0"/>
      <w:bookmarkEnd w:id="6"/>
      <w:r>
        <w:rPr>
          <w:rFonts w:ascii="Palatino Linotype" w:eastAsia="Palatino Linotype" w:hAnsi="Palatino Linotype" w:cs="Palatino Linotype"/>
          <w:color w:val="000000"/>
        </w:rPr>
        <w:t xml:space="preserve"> Los medios de impugnación fueron presentados a través del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en el formato previamente aprobado para tal efecto y dentro del plazo legal de quince días hábiles otorgados; siendo así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respuestas </w:t>
      </w:r>
      <w:r>
        <w:rPr>
          <w:rFonts w:ascii="Palatino Linotype" w:eastAsia="Palatino Linotype" w:hAnsi="Palatino Linotype" w:cs="Palatino Linotype"/>
          <w:b/>
          <w:bCs/>
          <w:color w:val="000000"/>
        </w:rPr>
        <w:t>el dieciocho de febrero y el diecinueve de marzo,  de dos mil veintiséis</w:t>
      </w:r>
      <w:r>
        <w:rPr>
          <w:rFonts w:ascii="Palatino Linotype" w:eastAsia="Palatino Linotype" w:hAnsi="Palatino Linotype" w:cs="Palatino Linotype"/>
          <w:color w:val="000000"/>
        </w:rPr>
        <w:t xml:space="preserve">, de tal forma que el plazo para interponer el recurso de revisión transcurrió del </w:t>
      </w:r>
      <w:r>
        <w:rPr>
          <w:rFonts w:ascii="Palatino Linotype" w:eastAsia="Palatino Linotype" w:hAnsi="Palatino Linotype" w:cs="Palatino Linotype"/>
          <w:b/>
          <w:bCs/>
          <w:color w:val="000000"/>
        </w:rPr>
        <w:t>diecinueve de febrero al doce de marzo de dos mil veintiséis y del veinte de marzo al dieciséis de abril de dos mil veintiséis,</w:t>
      </w:r>
      <w:r>
        <w:rPr>
          <w:rFonts w:ascii="Palatino Linotype" w:eastAsia="Palatino Linotype" w:hAnsi="Palatino Linotype" w:cs="Palatino Linotype"/>
          <w:color w:val="000000"/>
        </w:rPr>
        <w:t xml:space="preserve"> en consecuencia, si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presentó sus inconformidades el </w:t>
      </w:r>
      <w:r>
        <w:rPr>
          <w:rFonts w:ascii="Palatino Linotype" w:eastAsia="Palatino Linotype" w:hAnsi="Palatino Linotype" w:cs="Palatino Linotype"/>
          <w:b/>
          <w:bCs/>
          <w:color w:val="000000"/>
        </w:rPr>
        <w:t>once y veinte  de marzo de dos mil veintiséis</w:t>
      </w:r>
      <w:r>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14:paraId="7AC21FB7"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0447AF03"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Consecuencia,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14:paraId="4D11BF8F"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3CEEB701" w14:textId="77777777" w:rsidR="00C63C05" w:rsidRDefault="00416EA5">
      <w:pPr>
        <w:pStyle w:val="Ttulo2"/>
        <w:tabs>
          <w:tab w:val="left" w:pos="0"/>
        </w:tabs>
        <w:spacing w:before="0" w:line="360" w:lineRule="auto"/>
        <w:ind w:right="-1131"/>
        <w:rPr>
          <w:rFonts w:ascii="Palatino Linotype" w:eastAsia="Palatino Linotype" w:hAnsi="Palatino Linotype" w:cs="Palatino Linotype"/>
          <w:b/>
          <w:bCs/>
          <w:i/>
          <w:iCs/>
          <w:color w:val="000000"/>
          <w:sz w:val="24"/>
          <w:szCs w:val="24"/>
        </w:rPr>
      </w:pPr>
      <w:bookmarkStart w:id="7" w:name="_heading=h.3dy6vkm" w:colFirst="0" w:colLast="0"/>
      <w:bookmarkEnd w:id="7"/>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14:paraId="2CEF63FA"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b/>
          <w:bCs/>
          <w:color w:val="000000"/>
        </w:rPr>
      </w:pPr>
      <w:bookmarkStart w:id="8" w:name="_heading=h.1t3h5sf" w:colFirst="0" w:colLast="0"/>
      <w:bookmarkEnd w:id="8"/>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solicitó </w:t>
      </w:r>
      <w:r>
        <w:rPr>
          <w:rFonts w:ascii="Palatino Linotype" w:eastAsia="Palatino Linotype" w:hAnsi="Palatino Linotype" w:cs="Palatino Linotype"/>
          <w:b/>
          <w:bCs/>
          <w:color w:val="000000"/>
        </w:rPr>
        <w:t xml:space="preserve">de la Coordinación General de Comunicación Social, </w:t>
      </w:r>
      <w:r>
        <w:rPr>
          <w:rFonts w:ascii="Palatino Linotype" w:eastAsia="Palatino Linotype" w:hAnsi="Palatino Linotype" w:cs="Palatino Linotype"/>
          <w:color w:val="000000"/>
        </w:rPr>
        <w:t>la siguiente documentación</w:t>
      </w:r>
      <w:r>
        <w:rPr>
          <w:rFonts w:ascii="Palatino Linotype" w:eastAsia="Palatino Linotype" w:hAnsi="Palatino Linotype" w:cs="Palatino Linotype"/>
          <w:b/>
          <w:bCs/>
          <w:color w:val="000000"/>
        </w:rPr>
        <w:t>:</w:t>
      </w:r>
    </w:p>
    <w:p w14:paraId="76DB33A7"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del 01 de enero al 31 de diciembre de 2025 derivadas de la contratación de servicios relacionados con la partida presupuestal 3611.</w:t>
      </w:r>
    </w:p>
    <w:p w14:paraId="52597298"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noviembre al 31 de diciembre de 2025.</w:t>
      </w:r>
    </w:p>
    <w:p w14:paraId="4C8E24D5"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septiembre al 31 de octubre de 2025.</w:t>
      </w:r>
    </w:p>
    <w:p w14:paraId="0427E3A3"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enero al 28 de febrero de 2025.</w:t>
      </w:r>
    </w:p>
    <w:p w14:paraId="0954990B"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marzo al 31 de mayo de 2025.</w:t>
      </w:r>
    </w:p>
    <w:p w14:paraId="0D7FF0A6"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junio al 31 de agosto de 2025.</w:t>
      </w:r>
    </w:p>
    <w:p w14:paraId="003FC5E2"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29971DB5"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Posteriormente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brindó respuesta en términos del numeral 3 de la presente resolución.</w:t>
      </w:r>
    </w:p>
    <w:p w14:paraId="255B81D9"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42912292"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Posteriormente,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interpuso los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recursos de revisión números </w:t>
      </w:r>
      <w:r>
        <w:rPr>
          <w:rFonts w:ascii="Palatino Linotype" w:eastAsia="Palatino Linotype" w:hAnsi="Palatino Linotype" w:cs="Palatino Linotype"/>
          <w:b/>
          <w:bCs/>
          <w:color w:val="000000"/>
        </w:rPr>
        <w:t xml:space="preserve">03068/INFOEM/IP/RR/2026, 03368/INFOEM/IP/RR/2026, 03369/INFOEM/IP/RR/2026, </w:t>
      </w:r>
      <w:r>
        <w:rPr>
          <w:rFonts w:ascii="Palatino Linotype" w:eastAsia="Palatino Linotype" w:hAnsi="Palatino Linotype" w:cs="Palatino Linotype"/>
          <w:b/>
          <w:bCs/>
          <w:color w:val="000000"/>
        </w:rPr>
        <w:lastRenderedPageBreak/>
        <w:t xml:space="preserve">03370/INFOEM/IP/RR/2026, 03371/INFOEM/IP/RR/2026 y 03372/INFOEM/IP/RR/2026 </w:t>
      </w:r>
      <w:r>
        <w:rPr>
          <w:rFonts w:ascii="Palatino Linotype" w:eastAsia="Palatino Linotype" w:hAnsi="Palatino Linotype" w:cs="Palatino Linotype"/>
          <w:color w:val="000000"/>
        </w:rPr>
        <w:t>donde manifestó como motivos de inconformidad,</w:t>
      </w:r>
      <w:r>
        <w:rPr>
          <w:rFonts w:ascii="Palatino Linotype" w:eastAsia="Palatino Linotype" w:hAnsi="Palatino Linotype" w:cs="Palatino Linotype"/>
          <w:b/>
          <w:bCs/>
          <w:color w:val="000000"/>
        </w:rPr>
        <w:t xml:space="preserve"> la negativa de la información solicitada.</w:t>
      </w:r>
    </w:p>
    <w:p w14:paraId="54E8127B" w14:textId="77777777" w:rsidR="00C63C05" w:rsidRDefault="00C63C05">
      <w:pPr>
        <w:pBdr>
          <w:top w:val="nil"/>
          <w:left w:val="nil"/>
          <w:bottom w:val="nil"/>
          <w:right w:val="nil"/>
          <w:between w:val="nil"/>
        </w:pBdr>
        <w:ind w:left="720" w:right="-1131"/>
        <w:rPr>
          <w:rFonts w:ascii="Palatino Linotype" w:eastAsia="Palatino Linotype" w:hAnsi="Palatino Linotype" w:cs="Palatino Linotype"/>
          <w:b/>
          <w:bCs/>
          <w:color w:val="000000"/>
        </w:rPr>
      </w:pPr>
    </w:p>
    <w:p w14:paraId="6619D18C"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el presente recurso de revisión se circunscribe a determinar si se actualizan la causal de procedencia prevista en el artículo 179, fracción</w:t>
      </w:r>
      <w:r>
        <w:rPr>
          <w:rFonts w:ascii="Palatino Linotype" w:eastAsia="Palatino Linotype" w:hAnsi="Palatino Linotype" w:cs="Palatino Linotype"/>
          <w:b/>
          <w:bCs/>
          <w:color w:val="000000"/>
        </w:rPr>
        <w:t xml:space="preserve"> I </w:t>
      </w:r>
      <w:r>
        <w:rPr>
          <w:rFonts w:ascii="Palatino Linotype" w:eastAsia="Palatino Linotype" w:hAnsi="Palatino Linotype" w:cs="Palatino Linotype"/>
          <w:color w:val="000000"/>
        </w:rPr>
        <w:t xml:space="preserve">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w:t>
      </w:r>
    </w:p>
    <w:p w14:paraId="0788D209"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26EE6582" w14:textId="77777777" w:rsidR="00C63C05" w:rsidRDefault="00416EA5">
      <w:pPr>
        <w:pStyle w:val="Ttulo2"/>
        <w:tabs>
          <w:tab w:val="left" w:pos="0"/>
        </w:tabs>
        <w:spacing w:before="0" w:line="360" w:lineRule="auto"/>
        <w:ind w:right="-113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CUARTO. Del estudio y resolución del asunto.</w:t>
      </w:r>
    </w:p>
    <w:p w14:paraId="22B8F595"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w:t>
      </w:r>
    </w:p>
    <w:p w14:paraId="2CB2284D"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49C0DD46"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Definiendo el Derecho de Acceso a la Información Pública como: </w:t>
      </w:r>
      <w:r>
        <w:rPr>
          <w:rFonts w:ascii="Palatino Linotype" w:eastAsia="Palatino Linotype" w:hAnsi="Palatino Linotype" w:cs="Palatino Linotype"/>
          <w:i/>
          <w:iCs/>
          <w:color w:val="000000"/>
        </w:rPr>
        <w:t xml:space="preserve">La igualdad de </w:t>
      </w:r>
      <w:r>
        <w:rPr>
          <w:rFonts w:ascii="Palatino Linotype" w:eastAsia="Palatino Linotype" w:hAnsi="Palatino Linotype" w:cs="Palatino Linotype"/>
          <w:color w:val="000000"/>
        </w:rPr>
        <w:t>oportunidades</w:t>
      </w:r>
      <w:r>
        <w:rPr>
          <w:rFonts w:ascii="Palatino Linotype" w:eastAsia="Palatino Linotype" w:hAnsi="Palatino Linotype" w:cs="Palatino Linotype"/>
          <w:i/>
          <w:iCs/>
          <w:color w:val="000000"/>
        </w:rPr>
        <w:t xml:space="preserve">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w:t>
      </w:r>
      <w:r>
        <w:rPr>
          <w:rFonts w:ascii="Palatino Linotype" w:eastAsia="Palatino Linotype" w:hAnsi="Palatino Linotype" w:cs="Palatino Linotype"/>
          <w:i/>
          <w:iCs/>
          <w:color w:val="000000"/>
        </w:rPr>
        <w:lastRenderedPageBreak/>
        <w:t>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06F5B554"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1B3A0466"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México, además de los derechos, están reconocidas las garantías para su protección, en ese sentido el párrafo tercero de artículo primero de la Constitución Política de los Estados Unidos Mexicanos, dispone lo siguiente:</w:t>
      </w:r>
    </w:p>
    <w:p w14:paraId="1BC78F54" w14:textId="77777777" w:rsidR="00C63C05" w:rsidRDefault="00416EA5">
      <w:pPr>
        <w:pStyle w:val="Ttulo3"/>
        <w:ind w:left="567"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“Artículo 1.- </w:t>
      </w:r>
    </w:p>
    <w:p w14:paraId="51D24DED" w14:textId="77777777" w:rsidR="00C63C05" w:rsidRDefault="00416EA5">
      <w:pPr>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w:t>
      </w:r>
    </w:p>
    <w:p w14:paraId="0C0450B9" w14:textId="77777777" w:rsidR="00C63C05" w:rsidRDefault="00416EA5">
      <w:pPr>
        <w:pBdr>
          <w:top w:val="nil"/>
          <w:left w:val="nil"/>
          <w:bottom w:val="nil"/>
          <w:right w:val="nil"/>
          <w:between w:val="nil"/>
        </w:pBd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C997199"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14:paraId="45A7AA63" w14:textId="77777777" w:rsidR="00C63C05" w:rsidRDefault="00C63C05">
      <w:pPr>
        <w:ind w:right="-1131"/>
        <w:rPr>
          <w:rFonts w:ascii="Palatino Linotype" w:eastAsia="Palatino Linotype" w:hAnsi="Palatino Linotype" w:cs="Palatino Linotype"/>
          <w:color w:val="000000"/>
        </w:rPr>
      </w:pPr>
    </w:p>
    <w:p w14:paraId="4C406D75"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3B30FFF5"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61D838DD" w14:textId="77777777" w:rsidR="00C63C05" w:rsidRDefault="00416EA5">
      <w:pPr>
        <w:pStyle w:val="Ttulo4"/>
        <w:ind w:left="567"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Constitución Política de los Estados Unidos Mexicanos</w:t>
      </w:r>
    </w:p>
    <w:p w14:paraId="3F0A4E7A" w14:textId="77777777" w:rsidR="00C63C05" w:rsidRDefault="00416EA5">
      <w:pPr>
        <w:pStyle w:val="Ttulo3"/>
        <w:ind w:left="567"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“Artículo 6. …</w:t>
      </w:r>
    </w:p>
    <w:p w14:paraId="09717025"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14:paraId="5FE7FC67" w14:textId="77777777" w:rsidR="00C63C05" w:rsidRDefault="00416EA5">
      <w:pPr>
        <w:pBdr>
          <w:top w:val="nil"/>
          <w:left w:val="nil"/>
          <w:bottom w:val="nil"/>
          <w:right w:val="nil"/>
          <w:between w:val="nil"/>
        </w:pBdr>
        <w:spacing w:after="12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14:paraId="61CAE7C3" w14:textId="77777777" w:rsidR="00C63C05" w:rsidRDefault="00416EA5">
      <w:pPr>
        <w:pBdr>
          <w:top w:val="nil"/>
          <w:left w:val="nil"/>
          <w:bottom w:val="nil"/>
          <w:right w:val="nil"/>
          <w:between w:val="nil"/>
        </w:pBdr>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 Para el ejercicio del derecho de acceso a la información, la Federación y las entidades federativas, en el ámbito de sus respectivas competencias, se regirán por los siguientes principios y bases:</w:t>
      </w:r>
    </w:p>
    <w:p w14:paraId="402A16B5" w14:textId="77777777" w:rsidR="00C63C05" w:rsidRDefault="00416EA5">
      <w:pPr>
        <w:pBdr>
          <w:top w:val="nil"/>
          <w:left w:val="nil"/>
          <w:bottom w:val="nil"/>
          <w:right w:val="nil"/>
          <w:between w:val="nil"/>
        </w:pBd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I. </w:t>
      </w:r>
      <w:r>
        <w:rPr>
          <w:rFonts w:ascii="Palatino Linotype" w:eastAsia="Palatino Linotype" w:hAnsi="Palatino Linotype" w:cs="Palatino Linotype"/>
          <w:b/>
          <w:bCs/>
          <w:i/>
          <w:iCs/>
          <w:color w:val="000000"/>
        </w:rPr>
        <w:tab/>
        <w:t>Toda la información en posesión de cualquier</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autoridad</w:t>
      </w:r>
      <w:r>
        <w:rPr>
          <w:rFonts w:ascii="Palatino Linotype" w:eastAsia="Palatino Linotype" w:hAnsi="Palatino Linotype" w:cs="Palatino Linotype"/>
          <w:i/>
          <w:iCs/>
          <w:color w:val="000000"/>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color w:val="000000"/>
        </w:rPr>
        <w:t>municipal</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es pública</w:t>
      </w:r>
      <w:r>
        <w:rPr>
          <w:rFonts w:ascii="Palatino Linotype" w:eastAsia="Palatino Linotype" w:hAnsi="Palatino Linotype" w:cs="Palatino Linotype"/>
          <w:i/>
          <w:iCs/>
          <w:color w:val="000000"/>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color w:val="000000"/>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color w:val="000000"/>
        </w:rPr>
        <w:t>, la ley determinará los supuestos específicos bajo los cuales procederá la declaración de inexistencia de la información.”</w:t>
      </w:r>
    </w:p>
    <w:p w14:paraId="29B5E2B1" w14:textId="77777777" w:rsidR="00C63C05" w:rsidRDefault="00416EA5">
      <w:pPr>
        <w:pStyle w:val="Ttulo4"/>
        <w:ind w:left="567"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Constitución Política del Estado Libre y Soberano de México</w:t>
      </w:r>
    </w:p>
    <w:p w14:paraId="41C657F9" w14:textId="77777777" w:rsidR="00C63C05" w:rsidRDefault="00416EA5">
      <w:pPr>
        <w:pStyle w:val="Ttulo5"/>
        <w:ind w:left="567"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“Artículo 5.-…</w:t>
      </w:r>
    </w:p>
    <w:p w14:paraId="7129C3B8"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A4668FF" w14:textId="77777777" w:rsidR="00C63C05" w:rsidRDefault="00416EA5">
      <w:pPr>
        <w:pBdr>
          <w:top w:val="nil"/>
          <w:left w:val="nil"/>
          <w:bottom w:val="nil"/>
          <w:right w:val="nil"/>
          <w:between w:val="nil"/>
        </w:pBdr>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El derecho a la información será garantizado por el Estado. La ley establecerá las previsiones que permitan asegurar la protección, el respeto y la difusión de este derecho.</w:t>
      </w:r>
    </w:p>
    <w:p w14:paraId="2A36E1EB" w14:textId="77777777" w:rsidR="00C63C05" w:rsidRDefault="00416EA5">
      <w:pPr>
        <w:pBdr>
          <w:top w:val="nil"/>
          <w:left w:val="nil"/>
          <w:bottom w:val="nil"/>
          <w:right w:val="nil"/>
          <w:between w:val="nil"/>
        </w:pBdr>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Para garantizar el ejercicio del derecho de transparencia, acceso a la información pública y protección de datos personales, los poderes públicos y los organismos autónomos, transparentarán </w:t>
      </w:r>
      <w:r>
        <w:rPr>
          <w:rFonts w:ascii="Palatino Linotype" w:eastAsia="Palatino Linotype" w:hAnsi="Palatino Linotype" w:cs="Palatino Linotype"/>
          <w:i/>
          <w:iCs/>
          <w:color w:val="000000"/>
        </w:rPr>
        <w:lastRenderedPageBreak/>
        <w:t>sus acciones, en términos de las disposiciones aplicables, la información será oportuna, clara, veraz y de fácil acceso.</w:t>
      </w:r>
    </w:p>
    <w:p w14:paraId="1685C1B3" w14:textId="77777777" w:rsidR="00C63C05" w:rsidRDefault="00416EA5">
      <w:pPr>
        <w:pStyle w:val="Ttulo3"/>
        <w:ind w:left="567"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derecho se regirá por los principios y bases siguientes:</w:t>
      </w:r>
    </w:p>
    <w:p w14:paraId="2464B4E3" w14:textId="77777777" w:rsidR="00C63C05" w:rsidRDefault="00416EA5">
      <w:pPr>
        <w:numPr>
          <w:ilvl w:val="0"/>
          <w:numId w:val="17"/>
        </w:numPr>
        <w:pBdr>
          <w:top w:val="nil"/>
          <w:left w:val="nil"/>
          <w:bottom w:val="nil"/>
          <w:right w:val="nil"/>
          <w:between w:val="nil"/>
        </w:pBdr>
        <w:ind w:left="567" w:right="-1131"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 en posesión de cualquier autoridad, entidad, órgano y organismos de los</w:t>
      </w:r>
      <w:r>
        <w:rPr>
          <w:rFonts w:ascii="Palatino Linotype" w:eastAsia="Palatino Linotype" w:hAnsi="Palatino Linotype" w:cs="Palatino Linotype"/>
          <w:i/>
          <w:iCs/>
          <w:color w:val="000000"/>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color w:val="000000"/>
        </w:rPr>
        <w:t>municipales</w:t>
      </w:r>
      <w:r>
        <w:rPr>
          <w:rFonts w:ascii="Palatino Linotype" w:eastAsia="Palatino Linotype" w:hAnsi="Palatino Linotype" w:cs="Palatino Linotype"/>
          <w:i/>
          <w:iCs/>
          <w:color w:val="000000"/>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color w:val="000000"/>
        </w:rPr>
        <w:t>es pública</w:t>
      </w:r>
      <w:r>
        <w:rPr>
          <w:rFonts w:ascii="Palatino Linotype" w:eastAsia="Palatino Linotype" w:hAnsi="Palatino Linotype" w:cs="Palatino Linotype"/>
          <w:i/>
          <w:iCs/>
          <w:color w:val="000000"/>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color w:val="000000"/>
        </w:rPr>
        <w:t>En la interpretación de este derecho deberá prevalecer el principio de máxima publicidad</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Los sujetos obligados deberán documentar todo acto que derive del ejercicio de sus facultades, competencias o funciones</w:t>
      </w:r>
      <w:r>
        <w:rPr>
          <w:rFonts w:ascii="Palatino Linotype" w:eastAsia="Palatino Linotype" w:hAnsi="Palatino Linotype" w:cs="Palatino Linotype"/>
          <w:i/>
          <w:iCs/>
          <w:color w:val="000000"/>
        </w:rPr>
        <w:t>, la ley determinará los supuestos específicos bajo los cuales procederá la declaración de inexistencia de la información.”</w:t>
      </w:r>
    </w:p>
    <w:p w14:paraId="467C3F88" w14:textId="77777777" w:rsidR="00C63C05" w:rsidRDefault="00C63C05">
      <w:pPr>
        <w:pBdr>
          <w:top w:val="nil"/>
          <w:left w:val="nil"/>
          <w:bottom w:val="nil"/>
          <w:right w:val="nil"/>
          <w:between w:val="nil"/>
        </w:pBdr>
        <w:tabs>
          <w:tab w:val="left" w:pos="426"/>
          <w:tab w:val="left" w:pos="567"/>
        </w:tabs>
        <w:spacing w:line="360" w:lineRule="auto"/>
        <w:ind w:left="567" w:right="-1131"/>
        <w:jc w:val="both"/>
        <w:rPr>
          <w:rFonts w:ascii="Palatino Linotype" w:eastAsia="Palatino Linotype" w:hAnsi="Palatino Linotype" w:cs="Palatino Linotype"/>
          <w:color w:val="000000"/>
        </w:rPr>
      </w:pPr>
    </w:p>
    <w:p w14:paraId="279E20CB"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color w:val="000000"/>
        </w:rPr>
        <w:t>por los principios de simplicidad, rapidez gratuidad del procedimiento, auxilio y orientación a los particulares</w:t>
      </w:r>
      <w:r>
        <w:rPr>
          <w:rFonts w:ascii="Palatino Linotype" w:eastAsia="Palatino Linotype" w:hAnsi="Palatino Linotype" w:cs="Palatino Linotype"/>
          <w:color w:val="000000"/>
        </w:rPr>
        <w:t>, contemplando el derecho de las personas con discapacidad y hablantes de lengua indígena.</w:t>
      </w:r>
    </w:p>
    <w:p w14:paraId="785CE429"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1EA9DFA0"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se garantiza y respeta oportunamente, y según lo que dispone la Ley, las </w:t>
      </w:r>
      <w:r>
        <w:rPr>
          <w:rFonts w:ascii="Palatino Linotype" w:eastAsia="Palatino Linotype" w:hAnsi="Palatino Linotype" w:cs="Palatino Linotype"/>
          <w:i/>
          <w:iCs/>
          <w:color w:val="000000"/>
        </w:rPr>
        <w:t>solicitudes de acceso a la información</w:t>
      </w:r>
      <w:r>
        <w:rPr>
          <w:rFonts w:ascii="Palatino Linotype" w:eastAsia="Palatino Linotype" w:hAnsi="Palatino Linotype" w:cs="Palatino Linotype"/>
          <w:color w:val="000000"/>
        </w:rPr>
        <w:t>.</w:t>
      </w:r>
    </w:p>
    <w:p w14:paraId="75F4B1CC"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4755D38C"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entonces, se procede analizar, en primer lugar,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al atender la solicitud de acceso a la información, satisfizo la garantía primaria del derecho según lo dispuesto por el artículo 150 de la Ley de Transparencia y Acceso a la Información Pública del </w:t>
      </w:r>
      <w:r>
        <w:rPr>
          <w:rFonts w:ascii="Palatino Linotype" w:eastAsia="Palatino Linotype" w:hAnsi="Palatino Linotype" w:cs="Palatino Linotype"/>
          <w:color w:val="000000"/>
        </w:rPr>
        <w:lastRenderedPageBreak/>
        <w:t xml:space="preserve">Estado de México y Municipios y en segundo término si cumplió con su deber de respetar y garantizar el derecho, entregando la información solicitada. </w:t>
      </w:r>
    </w:p>
    <w:p w14:paraId="42A18630"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49A5C198" w14:textId="77777777" w:rsidR="00C63C05" w:rsidRDefault="00416EA5">
      <w:pPr>
        <w:numPr>
          <w:ilvl w:val="1"/>
          <w:numId w:val="6"/>
        </w:numPr>
        <w:pBdr>
          <w:top w:val="nil"/>
          <w:left w:val="nil"/>
          <w:bottom w:val="nil"/>
          <w:right w:val="nil"/>
          <w:between w:val="nil"/>
        </w:pBdr>
        <w:ind w:left="567" w:right="-1131" w:hanging="141"/>
        <w:rPr>
          <w:rFonts w:ascii="Palatino Linotype" w:eastAsia="Palatino Linotype" w:hAnsi="Palatino Linotype" w:cs="Palatino Linotype"/>
          <w:b/>
          <w:bCs/>
          <w:color w:val="000000"/>
        </w:rPr>
      </w:pPr>
      <w:bookmarkStart w:id="9" w:name="_heading=h.4d34og8" w:colFirst="0" w:colLast="0"/>
      <w:bookmarkEnd w:id="9"/>
      <w:r>
        <w:rPr>
          <w:rFonts w:ascii="Palatino Linotype" w:eastAsia="Palatino Linotype" w:hAnsi="Palatino Linotype" w:cs="Palatino Linotype"/>
          <w:b/>
          <w:bCs/>
          <w:color w:val="000000"/>
        </w:rPr>
        <w:t>De la información solicitada y la respuesta del SUJETO OBLIGADO.</w:t>
      </w:r>
    </w:p>
    <w:p w14:paraId="7700BC1B"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723D5A7B"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36C5187F"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Así, debemos recapitular que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solicitó </w:t>
      </w:r>
      <w:r>
        <w:rPr>
          <w:rFonts w:ascii="Palatino Linotype" w:eastAsia="Palatino Linotype" w:hAnsi="Palatino Linotype" w:cs="Palatino Linotype"/>
          <w:b/>
          <w:bCs/>
          <w:color w:val="000000"/>
        </w:rPr>
        <w:t xml:space="preserve">de la Coordinación General de Comunicación Social, </w:t>
      </w:r>
      <w:r>
        <w:rPr>
          <w:rFonts w:ascii="Palatino Linotype" w:eastAsia="Palatino Linotype" w:hAnsi="Palatino Linotype" w:cs="Palatino Linotype"/>
          <w:color w:val="000000"/>
        </w:rPr>
        <w:t>la siguiente documentación</w:t>
      </w:r>
      <w:r>
        <w:rPr>
          <w:rFonts w:ascii="Palatino Linotype" w:eastAsia="Palatino Linotype" w:hAnsi="Palatino Linotype" w:cs="Palatino Linotype"/>
          <w:b/>
          <w:bCs/>
          <w:color w:val="000000"/>
        </w:rPr>
        <w:t>:</w:t>
      </w:r>
    </w:p>
    <w:p w14:paraId="424984B2"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del 01 de enero al 31 de diciembre de 2025 derivadas de la contratación de servicios relacionados con la partida presupuestal 3611.</w:t>
      </w:r>
    </w:p>
    <w:p w14:paraId="19748239"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noviembre al 31 de diciembre de 2025.</w:t>
      </w:r>
    </w:p>
    <w:p w14:paraId="25B48B37"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septiembre al 31 de octubre de 2025.</w:t>
      </w:r>
    </w:p>
    <w:p w14:paraId="1A4D93E6"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enero al 28 de febrero de 2025.</w:t>
      </w:r>
    </w:p>
    <w:p w14:paraId="2D2FAD02"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Facturas correspondientes a la adquisición de bienes y servicios correspondientes del 01 de marzo al 31 de mayo de 2025.</w:t>
      </w:r>
    </w:p>
    <w:p w14:paraId="190CE006"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 correspondientes del 01 de junio al 31 de agosto de 2025.</w:t>
      </w:r>
    </w:p>
    <w:p w14:paraId="1DFB05CC"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p>
    <w:p w14:paraId="421A1EC1"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través de la Coordinación Administrativa mediante la Dirección de Finanzas; así como del Jefe de Departamento Jurídico y de Igualdad de Género, servidores públicos habilitados, informaron que después de una búsqueda exhaustiva y razonable en los archivos de sus direcciones, no se encontró información y/o documentación que dé cuenta de lo solicitado por el particular, toda vez que no se ha generado, procesado, administrado, manejado o archivado información pública referente a la facturas requeridas; cabe precisar que el Titular de la Unidad de Transparencia indicó que la solicitud de información fue turnada a la Coordinación Administrativa y a la Coordinación General de Comunicación Social, empero de los expedientes electrónicos en que se actúa, no se advierte que se haya pronunciado la última de las mencionadas.</w:t>
      </w:r>
    </w:p>
    <w:p w14:paraId="7F1A9C10"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3AE21CBB"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Posteriormente,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interpuso los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recursos de revisión números </w:t>
      </w:r>
      <w:r>
        <w:rPr>
          <w:rFonts w:ascii="Palatino Linotype" w:eastAsia="Palatino Linotype" w:hAnsi="Palatino Linotype" w:cs="Palatino Linotype"/>
          <w:b/>
          <w:bCs/>
          <w:color w:val="000000"/>
        </w:rPr>
        <w:t xml:space="preserve">03068/INFOEM/IP/RR/2026, 03368/INFOEM/IP/RR/2026, 03369/INFOEM/IP/RR/2026, 03370/INFOEM/IP/RR/2026, 03371/INFOEM/IP/RR/2026 y 03372/INFOEM/IP/RR/2026 </w:t>
      </w:r>
      <w:r>
        <w:rPr>
          <w:rFonts w:ascii="Palatino Linotype" w:eastAsia="Palatino Linotype" w:hAnsi="Palatino Linotype" w:cs="Palatino Linotype"/>
          <w:color w:val="000000"/>
        </w:rPr>
        <w:t>donde manifestó como motivos de inconformidad,</w:t>
      </w:r>
      <w:r>
        <w:rPr>
          <w:rFonts w:ascii="Palatino Linotype" w:eastAsia="Palatino Linotype" w:hAnsi="Palatino Linotype" w:cs="Palatino Linotype"/>
          <w:b/>
          <w:bCs/>
          <w:color w:val="000000"/>
        </w:rPr>
        <w:t xml:space="preserve"> la negativa de la información solicitada.</w:t>
      </w:r>
    </w:p>
    <w:p w14:paraId="0F7502C9"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p>
    <w:p w14:paraId="16F88C20"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Al respecto, resulta necesario establecer que el Manual General de Organización de la Secretaría General de Gobierno, para el ejercicio de sus funciones y atribuciones cuenta con las siguientes Unidades Administrativas:</w:t>
      </w:r>
    </w:p>
    <w:p w14:paraId="58245674"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20500000000000L Secretaría General de Gobierno</w:t>
      </w:r>
    </w:p>
    <w:p w14:paraId="05158E24"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205A00000000000 Oficina de la o del C. Secretaria,o General</w:t>
      </w:r>
    </w:p>
    <w:p w14:paraId="26FAA112"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20500001000000S Secretaría Particular</w:t>
      </w:r>
    </w:p>
    <w:p w14:paraId="7801E689"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20500003000000S Coordinación de Giras y Logística</w:t>
      </w:r>
    </w:p>
    <w:p w14:paraId="7BF5FC0B"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20500004000000S Coordinación de Atención Ciudadana</w:t>
      </w:r>
    </w:p>
    <w:p w14:paraId="26D32FF4" w14:textId="77777777" w:rsidR="00C63C05" w:rsidRDefault="00416EA5">
      <w:pPr>
        <w:ind w:left="567" w:right="-113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20500008000000S Coordinación Administrativa</w:t>
      </w:r>
    </w:p>
    <w:p w14:paraId="0EE36428"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20500008A000000 Oficina de la o del C. Coordinador</w:t>
      </w:r>
    </w:p>
    <w:p w14:paraId="44861511"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20500008000100S Unidad de Seguimiento, Gestión y Evaluación</w:t>
      </w:r>
    </w:p>
    <w:p w14:paraId="66E31267"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20500008010000S Dirección de Personal y Gestión Administrativa</w:t>
      </w:r>
    </w:p>
    <w:p w14:paraId="3045E278"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20500008010100S Subdirección de Personal</w:t>
      </w:r>
    </w:p>
    <w:p w14:paraId="040DE266"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20500008010200S Subdirección de Gestión Administrativa</w:t>
      </w:r>
    </w:p>
    <w:p w14:paraId="23B31D80" w14:textId="77777777" w:rsidR="00C63C05" w:rsidRDefault="00416EA5">
      <w:pPr>
        <w:ind w:left="567" w:right="-113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20500008020000S Dirección de Finanzas</w:t>
      </w:r>
    </w:p>
    <w:p w14:paraId="297F850D" w14:textId="77777777" w:rsidR="00C63C05" w:rsidRDefault="00416EA5">
      <w:pPr>
        <w:ind w:left="567" w:right="-113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20500008020100S Subdirección de Tesorería y Contabilidad</w:t>
      </w:r>
    </w:p>
    <w:p w14:paraId="1C201D7D"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20500008020200S Subdirección de Control y Registro Presupuestal</w:t>
      </w:r>
    </w:p>
    <w:p w14:paraId="17180F1E"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20500008030000S Dirección de Recursos Materiales y Servicios Generales </w:t>
      </w:r>
    </w:p>
    <w:p w14:paraId="1108A90D"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20500008030100S Subdirección de Servicios Generales</w:t>
      </w:r>
    </w:p>
    <w:p w14:paraId="1449FF36"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20500008030200S Subdirección de Recursos Materiales</w:t>
      </w:r>
    </w:p>
    <w:p w14:paraId="75D089E3"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20500008000001S Departamento de Gestión Documental y Administración de Archivos 20500002000000S Órgano Interno de Control</w:t>
      </w:r>
    </w:p>
    <w:p w14:paraId="5C46D069"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3B62B3B"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20506000000000S Coordinación de Planeación y Apoyo Técnico</w:t>
      </w:r>
    </w:p>
    <w:p w14:paraId="1EA53D2B"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20506A000000000 Oficina de la o del C. Coordinador</w:t>
      </w:r>
    </w:p>
    <w:p w14:paraId="44286014"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20506001000000S Dirección General de Información, Planeación y Evaluación</w:t>
      </w:r>
    </w:p>
    <w:p w14:paraId="5BFAC7B7"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3ECC9943"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20506002000000S Dirección General de Proyectos Estratégicos</w:t>
      </w:r>
    </w:p>
    <w:p w14:paraId="4A207AC1"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20506003000000S Dirección General de Sistemas y Tecnologías de la Información</w:t>
      </w:r>
    </w:p>
    <w:p w14:paraId="5B1208AA"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5DE357B2"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20500000010000S Coordinación de Acción Cívica y Eventos Especiales</w:t>
      </w:r>
    </w:p>
    <w:p w14:paraId="75A81DC1"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14:paraId="4D8A6A00"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20500005000000S Unidad de Asuntos Religiosos</w:t>
      </w:r>
    </w:p>
    <w:p w14:paraId="521169A0"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20520000000000S Coordinación Técnica del Gabinete</w:t>
      </w:r>
    </w:p>
    <w:p w14:paraId="010E00FC"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2052A0000000000 Oficina de la o del C. Coordinador Técnico</w:t>
      </w:r>
    </w:p>
    <w:p w14:paraId="11487F91" w14:textId="77777777" w:rsidR="00C63C05" w:rsidRDefault="00416EA5">
      <w:pPr>
        <w:ind w:left="567" w:right="-113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20530000000000S Coordinación General de Comunicación Social</w:t>
      </w:r>
    </w:p>
    <w:p w14:paraId="2552A41D"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2053A0000000000 Oficina de la o del C. Coordinador General</w:t>
      </w:r>
    </w:p>
    <w:p w14:paraId="6E6EA19F" w14:textId="77777777" w:rsidR="00C63C05" w:rsidRDefault="00416EA5">
      <w:pPr>
        <w:ind w:left="567" w:right="-113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20500009000000S Coordinación Jurídica de Igualdad de Género y Erradicación de la Violencia</w:t>
      </w:r>
    </w:p>
    <w:p w14:paraId="253B31FC"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AF94AEA"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rPr>
      </w:pPr>
    </w:p>
    <w:p w14:paraId="78BBDFF3"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advierten que las áreas que pudieran contar con la información requerida por el particular, son la Coordinación Administrativa, a través de la Dirección de Finanzas, </w:t>
      </w:r>
      <w:r>
        <w:rPr>
          <w:rFonts w:ascii="Palatino Linotype" w:eastAsia="Palatino Linotype" w:hAnsi="Palatino Linotype" w:cs="Palatino Linotype"/>
          <w:b/>
          <w:bCs/>
          <w:u w:val="single"/>
        </w:rPr>
        <w:t xml:space="preserve">Subdirección de Tesorería y Contabilidad y la </w:t>
      </w:r>
      <w:r>
        <w:rPr>
          <w:rFonts w:ascii="Palatino Linotype" w:eastAsia="Palatino Linotype" w:hAnsi="Palatino Linotype" w:cs="Palatino Linotype"/>
        </w:rPr>
        <w:t>Subdirección de Control y Registro Presupuestal, la propia Coordinación General de Comunicación Social; sí como la Coordinación Jurídica de Igualdad de Género y Erradicación de la Violencia; empero de los expedientes electrónicos en que se actúa, se advierte que omitieron pronunciarse la Subdirección de Tesorería y Contabilidad, Subdirección de Control y Registro Presupuestal; así como la propia Coordinación General de Comunicación Social.</w:t>
      </w:r>
    </w:p>
    <w:p w14:paraId="5A8B71AD"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3294D230" w14:textId="49753C41"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2FC76C40"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En este sentido, para atender las solicitudes de información, los Sujetos Obligados contarán con un área denominada Unidad de Transparencia</w:t>
      </w:r>
      <w:r>
        <w:rPr>
          <w:rFonts w:ascii="Palatino Linotype" w:eastAsia="Palatino Linotype" w:hAnsi="Palatino Linotype" w:cs="Palatino Linotype"/>
          <w:color w:val="000000"/>
          <w:vertAlign w:val="superscript"/>
        </w:rPr>
        <w:footnoteReference w:id="5"/>
      </w:r>
      <w:r>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los términos de la Ley General y la Ley de Transparencia y Acceso a la Información Pública del Estado de México y Municipios</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w:t>
      </w:r>
    </w:p>
    <w:p w14:paraId="109099FC" w14:textId="77777777" w:rsidR="00C63C05" w:rsidRDefault="00C63C05">
      <w:pPr>
        <w:ind w:right="-1131"/>
        <w:rPr>
          <w:rFonts w:ascii="Palatino Linotype" w:eastAsia="Palatino Linotype" w:hAnsi="Palatino Linotype" w:cs="Palatino Linotype"/>
          <w:color w:val="000000"/>
        </w:rPr>
      </w:pPr>
    </w:p>
    <w:p w14:paraId="16701E02" w14:textId="77777777" w:rsidR="00C63C05" w:rsidRDefault="00416EA5">
      <w:pPr>
        <w:numPr>
          <w:ilvl w:val="0"/>
          <w:numId w:val="7"/>
        </w:numPr>
        <w:pBdr>
          <w:top w:val="nil"/>
          <w:left w:val="nil"/>
          <w:bottom w:val="nil"/>
          <w:right w:val="nil"/>
          <w:between w:val="nil"/>
        </w:pBdr>
        <w:tabs>
          <w:tab w:val="left" w:pos="0"/>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663BF4D0" w14:textId="77777777" w:rsidR="00C63C05" w:rsidRDefault="00416EA5">
      <w:pPr>
        <w:numPr>
          <w:ilvl w:val="1"/>
          <w:numId w:val="14"/>
        </w:numPr>
        <w:pBdr>
          <w:top w:val="nil"/>
          <w:left w:val="nil"/>
          <w:bottom w:val="nil"/>
          <w:right w:val="nil"/>
          <w:between w:val="nil"/>
        </w:pBdr>
        <w:ind w:left="567"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Recibir, tramitar y dar respuesta a las solicitudes de acceso a la información;</w:t>
      </w:r>
    </w:p>
    <w:p w14:paraId="252BB159" w14:textId="77777777" w:rsidR="00C63C05" w:rsidRDefault="00416EA5">
      <w:pPr>
        <w:numPr>
          <w:ilvl w:val="1"/>
          <w:numId w:val="14"/>
        </w:numPr>
        <w:pBdr>
          <w:top w:val="nil"/>
          <w:left w:val="nil"/>
          <w:bottom w:val="nil"/>
          <w:right w:val="nil"/>
          <w:between w:val="nil"/>
        </w:pBdr>
        <w:ind w:left="567"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183F5862" w14:textId="77777777" w:rsidR="00C63C05" w:rsidRDefault="00416EA5">
      <w:pPr>
        <w:numPr>
          <w:ilvl w:val="1"/>
          <w:numId w:val="14"/>
        </w:numPr>
        <w:pBdr>
          <w:top w:val="nil"/>
          <w:left w:val="nil"/>
          <w:bottom w:val="nil"/>
          <w:right w:val="nil"/>
          <w:between w:val="nil"/>
        </w:pBdr>
        <w:ind w:left="567"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Entregar, en su caso, a los particulares la información solicitada; y </w:t>
      </w:r>
    </w:p>
    <w:p w14:paraId="512E7228" w14:textId="77777777" w:rsidR="00C63C05" w:rsidRDefault="00416EA5">
      <w:pPr>
        <w:numPr>
          <w:ilvl w:val="1"/>
          <w:numId w:val="14"/>
        </w:numPr>
        <w:pBdr>
          <w:top w:val="nil"/>
          <w:left w:val="nil"/>
          <w:bottom w:val="nil"/>
          <w:right w:val="nil"/>
          <w:between w:val="nil"/>
        </w:pBdr>
        <w:spacing w:after="240"/>
        <w:ind w:left="567"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Efectuar las notificaciones a los solicitantes.</w:t>
      </w:r>
    </w:p>
    <w:p w14:paraId="7DDE381A" w14:textId="77777777" w:rsidR="00C63C05" w:rsidRDefault="00C63C05">
      <w:pPr>
        <w:spacing w:before="240" w:after="240"/>
        <w:ind w:right="-1131"/>
        <w:jc w:val="both"/>
        <w:rPr>
          <w:rFonts w:ascii="Palatino Linotype" w:eastAsia="Palatino Linotype" w:hAnsi="Palatino Linotype" w:cs="Palatino Linotype"/>
          <w:color w:val="000000"/>
        </w:rPr>
      </w:pPr>
    </w:p>
    <w:p w14:paraId="511B39E7"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 </w:t>
      </w:r>
      <w:r>
        <w:rPr>
          <w:rFonts w:ascii="Palatino Linotype" w:eastAsia="Palatino Linotype" w:hAnsi="Palatino Linotype" w:cs="Palatino Linotype"/>
          <w:color w:val="000000"/>
        </w:rPr>
        <w:lastRenderedPageBreak/>
        <w:t>propuesta del responsable de la Unidad de Transparencia</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color w:val="000000"/>
        </w:rPr>
        <w:t xml:space="preserve"> y tendrán, entre sus atribuciones, las siguientes</w:t>
      </w:r>
      <w:r>
        <w:rPr>
          <w:rFonts w:ascii="Palatino Linotype" w:eastAsia="Palatino Linotype" w:hAnsi="Palatino Linotype" w:cs="Palatino Linotype"/>
          <w:color w:val="000000"/>
          <w:vertAlign w:val="superscript"/>
        </w:rPr>
        <w:footnoteReference w:id="8"/>
      </w:r>
      <w:r>
        <w:rPr>
          <w:rFonts w:ascii="Palatino Linotype" w:eastAsia="Palatino Linotype" w:hAnsi="Palatino Linotype" w:cs="Palatino Linotype"/>
          <w:color w:val="000000"/>
        </w:rPr>
        <w:t>:</w:t>
      </w:r>
    </w:p>
    <w:p w14:paraId="1C892185" w14:textId="77777777" w:rsidR="00C63C05" w:rsidRDefault="00416EA5">
      <w:pPr>
        <w:numPr>
          <w:ilvl w:val="1"/>
          <w:numId w:val="15"/>
        </w:numPr>
        <w:pBdr>
          <w:top w:val="nil"/>
          <w:left w:val="nil"/>
          <w:bottom w:val="nil"/>
          <w:right w:val="nil"/>
          <w:between w:val="nil"/>
        </w:pBdr>
        <w:spacing w:before="240"/>
        <w:ind w:left="709" w:right="-113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Localizar la información que le solicite la Unidad de Transparencia; y</w:t>
      </w:r>
    </w:p>
    <w:p w14:paraId="53D7B38C" w14:textId="77777777" w:rsidR="00C63C05" w:rsidRDefault="00416EA5">
      <w:pPr>
        <w:numPr>
          <w:ilvl w:val="1"/>
          <w:numId w:val="15"/>
        </w:numPr>
        <w:pBdr>
          <w:top w:val="nil"/>
          <w:left w:val="nil"/>
          <w:bottom w:val="nil"/>
          <w:right w:val="nil"/>
          <w:between w:val="nil"/>
        </w:pBdr>
        <w:spacing w:after="240"/>
        <w:ind w:left="709" w:right="-113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Proporcionar la información que obre en los archivos y que le sea solicitada por la Unidad de Transparencia.</w:t>
      </w:r>
    </w:p>
    <w:p w14:paraId="150FDF99" w14:textId="77777777" w:rsidR="00C63C05" w:rsidRDefault="00C63C05">
      <w:pPr>
        <w:tabs>
          <w:tab w:val="left" w:pos="426"/>
          <w:tab w:val="left" w:pos="567"/>
        </w:tabs>
        <w:ind w:right="-1131"/>
        <w:jc w:val="both"/>
        <w:rPr>
          <w:rFonts w:ascii="Palatino Linotype" w:eastAsia="Palatino Linotype" w:hAnsi="Palatino Linotype" w:cs="Palatino Linotype"/>
          <w:color w:val="000000"/>
        </w:rPr>
      </w:pPr>
    </w:p>
    <w:p w14:paraId="1D01ACFA"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tal manera que cada una de las áreas administrativas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6455B5BB" w14:textId="77777777" w:rsidR="00C63C05" w:rsidRDefault="00C63C05">
      <w:pPr>
        <w:ind w:right="-1131"/>
        <w:rPr>
          <w:rFonts w:ascii="Palatino Linotype" w:eastAsia="Palatino Linotype" w:hAnsi="Palatino Linotype" w:cs="Palatino Linotype"/>
          <w:color w:val="000000"/>
        </w:rPr>
      </w:pPr>
    </w:p>
    <w:p w14:paraId="4729A8A4"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24377006"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xml:space="preserve">. Las Unidades de Transparencia tendrán las siguientes funciones: </w:t>
      </w:r>
    </w:p>
    <w:p w14:paraId="7DD164DA" w14:textId="77777777" w:rsidR="00C63C05" w:rsidRDefault="00C63C0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p>
    <w:p w14:paraId="6516F4C2"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3CB8902B"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Recibir, tramitar y dar respuesta a las solicitudes de acceso a la información; </w:t>
      </w:r>
    </w:p>
    <w:p w14:paraId="0F7F855C"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14:paraId="2A2BD5B1"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IV. Realizar, con efectividad, los trámites internos necesarios para la atención de las solicitudes de acceso a la información; </w:t>
      </w:r>
    </w:p>
    <w:p w14:paraId="6EB1B4C6"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Entregar, en su caso, a los particulares la información solicitada; </w:t>
      </w:r>
    </w:p>
    <w:p w14:paraId="32710917"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Efectuar las notificaciones a los solicitantes; </w:t>
      </w:r>
    </w:p>
    <w:p w14:paraId="35768642"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1F094FB8"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43441318"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259D63FA"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Presentar ante el Comité, el proyecto de clasificación de información; </w:t>
      </w:r>
    </w:p>
    <w:p w14:paraId="221122A6"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Promover e implementar políticas de transparencia proactiva procurando su accesibilidad; </w:t>
      </w:r>
    </w:p>
    <w:p w14:paraId="066AEFF5"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Fomentar la transparencia y accesibilidad al interior del sujeto obligado; </w:t>
      </w:r>
    </w:p>
    <w:p w14:paraId="4F843F94"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1F87E5BD" w14:textId="77777777" w:rsidR="00C63C05" w:rsidRDefault="00416EA5">
      <w:pPr>
        <w:pBdr>
          <w:top w:val="nil"/>
          <w:left w:val="nil"/>
          <w:bottom w:val="nil"/>
          <w:right w:val="nil"/>
          <w:between w:val="nil"/>
        </w:pBdr>
        <w:tabs>
          <w:tab w:val="left" w:pos="426"/>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3B853663" w14:textId="77777777" w:rsidR="00C63C05" w:rsidRDefault="00416EA5">
      <w:pPr>
        <w:pBdr>
          <w:top w:val="nil"/>
          <w:left w:val="nil"/>
          <w:bottom w:val="nil"/>
          <w:right w:val="nil"/>
          <w:between w:val="nil"/>
        </w:pBdr>
        <w:tabs>
          <w:tab w:val="left" w:pos="426"/>
        </w:tabs>
        <w:spacing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00844CAF" w14:textId="77777777" w:rsidR="00C63C05" w:rsidRDefault="00C63C05">
      <w:pPr>
        <w:tabs>
          <w:tab w:val="left" w:pos="426"/>
        </w:tabs>
        <w:spacing w:before="240" w:after="240"/>
        <w:ind w:right="-1131"/>
        <w:jc w:val="both"/>
        <w:rPr>
          <w:rFonts w:ascii="Palatino Linotype" w:eastAsia="Palatino Linotype" w:hAnsi="Palatino Linotype" w:cs="Palatino Linotype"/>
          <w:i/>
          <w:iCs/>
        </w:rPr>
      </w:pPr>
    </w:p>
    <w:p w14:paraId="6E7E8B72"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14:paraId="07B88543"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4CDD091F"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 xml:space="preserve">En este sentido, se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 cumplió con el procedimiento de búsqueda exhaustiva y razonable, pues no gestionó la solicitud de información en la unidad en donde </w:t>
      </w:r>
      <w:r>
        <w:rPr>
          <w:rFonts w:ascii="Palatino Linotype" w:eastAsia="Palatino Linotype" w:hAnsi="Palatino Linotype" w:cs="Palatino Linotype"/>
          <w:color w:val="000000"/>
          <w:u w:val="single"/>
        </w:rPr>
        <w:t>pudiera</w:t>
      </w:r>
      <w:r>
        <w:rPr>
          <w:rFonts w:ascii="Palatino Linotype" w:eastAsia="Palatino Linotype" w:hAnsi="Palatino Linotype" w:cs="Palatino Linotype"/>
          <w:color w:val="000000"/>
        </w:rPr>
        <w:t xml:space="preserve"> obrar la citada información, siendo estas: </w:t>
      </w:r>
      <w:r>
        <w:rPr>
          <w:rFonts w:ascii="Palatino Linotype" w:eastAsia="Palatino Linotype" w:hAnsi="Palatino Linotype" w:cs="Palatino Linotype"/>
          <w:b/>
          <w:bCs/>
          <w:color w:val="000000"/>
        </w:rPr>
        <w:t>la Subdirección de Tesorería y Contabilidad, Subdirección de Control y Registro Presupuestal; así como la propia Coordinación General de Comunicación Social</w:t>
      </w:r>
      <w:r>
        <w:rPr>
          <w:rFonts w:ascii="Palatino Linotype" w:eastAsia="Palatino Linotype" w:hAnsi="Palatino Linotype" w:cs="Palatino Linotype"/>
          <w:color w:val="000000"/>
        </w:rPr>
        <w:t>.</w:t>
      </w:r>
    </w:p>
    <w:p w14:paraId="56B3C36D"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495D0C48" w14:textId="77777777" w:rsidR="00C63C05" w:rsidRDefault="00416EA5">
      <w:pPr>
        <w:numPr>
          <w:ilvl w:val="0"/>
          <w:numId w:val="7"/>
        </w:numPr>
        <w:pBdr>
          <w:top w:val="nil"/>
          <w:left w:val="nil"/>
          <w:bottom w:val="nil"/>
          <w:right w:val="nil"/>
          <w:between w:val="nil"/>
        </w:pBdr>
        <w:tabs>
          <w:tab w:val="left" w:pos="426"/>
          <w:tab w:val="left" w:pos="567"/>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continuidad, se establece que el propio Manual General de Organización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establece como atribuciones a dichas Unidades Administrativas, las siguientes:</w:t>
      </w:r>
    </w:p>
    <w:p w14:paraId="11ACFE46" w14:textId="77777777" w:rsidR="00C63C05" w:rsidRDefault="00416EA5">
      <w:pPr>
        <w:pBdr>
          <w:top w:val="nil"/>
          <w:left w:val="nil"/>
          <w:bottom w:val="nil"/>
          <w:right w:val="nil"/>
          <w:between w:val="nil"/>
        </w:pBdr>
        <w:ind w:left="567" w:right="-1131"/>
        <w:jc w:val="center"/>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color w:val="000000"/>
          <w:u w:val="single"/>
        </w:rPr>
        <w:t>20500008020100S SUBDIRECCIÓN DE TESORERÍA Y CONTABILIDAD</w:t>
      </w:r>
    </w:p>
    <w:p w14:paraId="34A38E49" w14:textId="77777777" w:rsidR="00C63C05" w:rsidRDefault="00C63C0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p>
    <w:p w14:paraId="01964B9C"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OBJETIVO: Realizar y controlar las operaciones de ingresos y egresos de los recursos financieros de la Coordinación Administrativa y áreas staff de la Secretaría General de Gobierno, para el cumplimiento de sus actividades, ajustándose a las políticas de racionalidad, austeridad y contención del gasto establecidos por la Secretaría de Finanzas</w:t>
      </w:r>
    </w:p>
    <w:p w14:paraId="7DDF3EEA"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FUNCIONES: </w:t>
      </w:r>
    </w:p>
    <w:p w14:paraId="787D8D64"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Comunicar a las unidades ejecutoras del gasto de la dependencia la normatividad vigente y los cambios que se efectúen en materia contable y financiera. </w:t>
      </w:r>
    </w:p>
    <w:p w14:paraId="03A640C6"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Informar periódicamente a la Contaduría General Gubernamental, de acuerdo a las normas establecidas el avance de los programas de trabajo de las actividades contables y administrativas de la Secretaría General de Gobierno. </w:t>
      </w:r>
    </w:p>
    <w:p w14:paraId="1C0FA0C2"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 xml:space="preserve">3. Tramitar las solicitudes de aquellos recursos que por concepto de anticipo o gastos a comprobar requiera la Secretaría General de Gobierno ante la Dirección General de Tesorería; así como dar seguimiento a su comprobación ante la Dirección de Contabilidad del Sector Central. </w:t>
      </w:r>
    </w:p>
    <w:p w14:paraId="1E96E821"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u w:val="single"/>
        </w:rPr>
        <w:t>4. Registrar los movimientos contables, en el sistema de contabilidad para enviar la información periódicamente a la Dirección de Contabilidad del Sector Central</w:t>
      </w:r>
    </w:p>
    <w:p w14:paraId="1E53EF90"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5. Tramitar las solicitudes de reembolso de fondo fijo y pagos diversos de acuerdo a la normatividad vigente ante la Dirección General de Tesorería, así como tramitar los </w:t>
      </w:r>
      <w:r>
        <w:rPr>
          <w:rFonts w:ascii="Palatino Linotype" w:eastAsia="Palatino Linotype" w:hAnsi="Palatino Linotype" w:cs="Palatino Linotype"/>
          <w:b/>
          <w:bCs/>
          <w:i/>
          <w:iCs/>
        </w:rPr>
        <w:lastRenderedPageBreak/>
        <w:t xml:space="preserve">contrarecibos de fondo fijo de caja y gastos a comprobar ante la Caja General de Gobierno. </w:t>
      </w:r>
    </w:p>
    <w:p w14:paraId="151A3C49"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6. Vigilar la aplicación de las políticas, normas y procedimientos emitidas por la Secretaría de Finanzas, para el ejercicio de las actividades financieras de las unidades ejecutoras adscritas a la Secretaría General de Gobierno. </w:t>
      </w:r>
    </w:p>
    <w:p w14:paraId="2A876F3F"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7. Verificar ante la Contaduría General Gubernamental, los registros de las operaciones contables para contar con datos confiables que permitan controlar el ejercicio del presupuesto autorizado, de conformidad con las metas y objetivos de cada una de las unidades administrativas, contribuyendo al óptimo aprovechamiento de los recursos asignados a la dependencia. </w:t>
      </w:r>
    </w:p>
    <w:p w14:paraId="28C39C9B"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 xml:space="preserve">8. Verificar que la documentación comprobatoria de los gastos de operación de los programas de gasto corriente, se apeguen a los lineamientos establecidos. </w:t>
      </w:r>
    </w:p>
    <w:p w14:paraId="735B9C2E"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Verificar que se lleven a cabo las conciliaciones entre las unidades ejecutoras y la Contaduría General Gubernamental, de acuerdo a las fechas establecidas por esta unidad, así como supervisar la entrega oportuna del Sistema de Información Contable. </w:t>
      </w:r>
    </w:p>
    <w:p w14:paraId="1C83818E"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10. Controlar el fondo fijo de caja integrando y analizando los documentos comprobatorios, así como custodiar los valores que lo integran. </w:t>
      </w:r>
    </w:p>
    <w:p w14:paraId="7C0DED57"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 xml:space="preserve">11. Enviar a la Dirección de Contabilidad del Sector Central, el reporte mensual de operaciones con las y los proveedores, contratistas, prestadores de servicios y arrendatarios con la información sobre el pago, retención, acreditamiento y traslado del impuesto al valor agregado, de las unidades ejecutoras adscritas a la Secretaría General de Gobierno. </w:t>
      </w:r>
    </w:p>
    <w:p w14:paraId="3D570AC2"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w:t>
      </w:r>
    </w:p>
    <w:p w14:paraId="4F447A89" w14:textId="77777777" w:rsidR="00C63C05" w:rsidRDefault="00416EA5">
      <w:pPr>
        <w:pBdr>
          <w:top w:val="nil"/>
          <w:left w:val="nil"/>
          <w:bottom w:val="nil"/>
          <w:right w:val="nil"/>
          <w:between w:val="nil"/>
        </w:pBdr>
        <w:tabs>
          <w:tab w:val="left" w:pos="426"/>
          <w:tab w:val="left" w:pos="567"/>
        </w:tabs>
        <w:ind w:left="567" w:right="-1131"/>
        <w:jc w:val="center"/>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20500008020200S SUBDIRECCIÓN DE CONTROL Y REGISTRO PRESUPUESTAL</w:t>
      </w:r>
    </w:p>
    <w:p w14:paraId="111DAD3E"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rPr>
        <w:t>OBJETIVO: Registrar, controlar y evaluar la aplicación de los recursos presupuestales de la Secretaría General de Gobierno en el ejercicio de gasto corriente</w:t>
      </w:r>
    </w:p>
    <w:p w14:paraId="3A8BE456" w14:textId="77777777" w:rsidR="00C63C05" w:rsidRDefault="00C63C0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p>
    <w:p w14:paraId="23C395A7"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FUNCIONES: </w:t>
      </w:r>
    </w:p>
    <w:p w14:paraId="2150FC6A"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Aplicar los procedimientos que permitan llevar el control y registro presupuestal de las operaciones financieras, de acuerdo a la normatividad vigente. </w:t>
      </w:r>
    </w:p>
    <w:p w14:paraId="3AF032B1"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 Elaborar el anteproyecto del presupuesto de egresos de gasto corriente de las unidades ejecutoras y organismos auxiliares que integran a la Secretaría General de Gobierno. </w:t>
      </w:r>
    </w:p>
    <w:p w14:paraId="2BD59561"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3. Informar a las unidades ejecutoras y organismos auxiliares, el presupuesto anual asignado para el ejercicio del presupuesto de gasto corriente, así como de las disposiciones que sobre la materia establezca la Secretaría de Finanzas. </w:t>
      </w:r>
    </w:p>
    <w:p w14:paraId="3BD0855A"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Tramitar y solicitar a la Secretaría de Finanzas, las adecuaciones presupuestales que requieran las unidades ejecutoras y organismos auxiliares de la dependencia de acuerdo a la normatividad vigente. </w:t>
      </w:r>
    </w:p>
    <w:p w14:paraId="4998A2BD"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5. Registrar y controlar los movimientos presupuestales generados por las unidades ejecutoras y organismos auxiliares que integran la Secretaría General de Gobierno conforme al sistema de planeación y presupuesto, y a las políticas de registro que establezca la Secretaría de Finanzas. </w:t>
      </w:r>
    </w:p>
    <w:p w14:paraId="7FA80CB7"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6. Analizar, en coordinación con unidades ejecutoras y organismos auxiliares, las variaciones presupuestales que se reflejen, para su modificación y justificación correspondientes, así como, supervisar la afectación presupuestal de partidas consolidadas que tramita la Dirección General de Recursos Materiales. </w:t>
      </w:r>
    </w:p>
    <w:p w14:paraId="6CFCC36F"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Asesorar a las unidades ejecutoras y organismos auxiliares de la Secretaría General de Gobierno, en el manejo, control y operación de los recursos financieros asignados en el ámbito de su competencia, con base en las políticas, normas y procedimientos contables y administrativos establecidos para tal efecto. </w:t>
      </w:r>
    </w:p>
    <w:p w14:paraId="37E27C60"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06CA3CE1"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 Realizar la evaluación trimestral a las unidades ejecutoras y organismos auxiliares del gasto que integran a la Secretaría General de Gobierno de manera conjunta con el Órgano Interno de Control y la Coordinación de Planeación y Apoyo Técnico. </w:t>
      </w:r>
    </w:p>
    <w:p w14:paraId="178E3A97"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Dar seguimiento al avance físico-financiero de las obras y/o acciones autorizadas dentro del Programa de Acciones para el Desarrollo (PAD) de la Secretaría General de Gobierno, participando en las conciliaciones en coordinación con las instancias correspondientes. </w:t>
      </w:r>
    </w:p>
    <w:p w14:paraId="466A64D5"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12. Tramitar las solicitudes de adecuaciones presupuestarias de las unidades ejecutoras y organismos auxiliares de la Secretaría General de Gobierno, que deberán estar acompañadas por los dictámenes de reconducción programática presupuestal correspondiente y gestionar su autorización ante la Secretaría de Finanzas.</w:t>
      </w:r>
    </w:p>
    <w:p w14:paraId="7AAB1F22"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13. Supervisar la integración del Programa de Ahorro Anual de las unidades ejecutoras y organismos auxiliares de la Secretaría General de Gobierno, así como reportar de manera mensual el cumplimiento de dicho programa conforme a la normatividad vigente a la Secretaría de Finanzas. </w:t>
      </w:r>
    </w:p>
    <w:p w14:paraId="11D660CD"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14. Integrar la información de las unidades ejecutoras y organismos auxiliares de la Secretaría General de Gobierno para la elaboración de la Cuenta Pública. </w:t>
      </w:r>
    </w:p>
    <w:p w14:paraId="684C5F47"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15. Remitir a la Contaduría General Gubernamental los formatos requeridos por el Consejo de Armonización Contable (CONAC) de los organismos auxiliares conforme a la normatividad emitida. </w:t>
      </w:r>
    </w:p>
    <w:p w14:paraId="54F01995"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16. Desarrollar las demás funciones inherentes al área de su competencia.</w:t>
      </w:r>
    </w:p>
    <w:p w14:paraId="1A124D76" w14:textId="77777777" w:rsidR="00C63C05" w:rsidRDefault="00C63C0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p>
    <w:p w14:paraId="4B3263A9" w14:textId="77777777" w:rsidR="00C63C05" w:rsidRDefault="00416EA5">
      <w:pPr>
        <w:pBdr>
          <w:top w:val="nil"/>
          <w:left w:val="nil"/>
          <w:bottom w:val="nil"/>
          <w:right w:val="nil"/>
          <w:between w:val="nil"/>
        </w:pBdr>
        <w:tabs>
          <w:tab w:val="left" w:pos="426"/>
          <w:tab w:val="left" w:pos="567"/>
        </w:tabs>
        <w:ind w:left="567" w:right="-1131"/>
        <w:jc w:val="center"/>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u w:val="single"/>
        </w:rPr>
        <w:t>20530000000000S COORDINACIÓN GENERAL DE COMUNICACIÓN SOCIAL</w:t>
      </w:r>
    </w:p>
    <w:p w14:paraId="67262249" w14:textId="77777777" w:rsidR="00C63C05" w:rsidRDefault="00C63C0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p>
    <w:p w14:paraId="3CFE26D5"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Planear, diseñar, coordinar y desarrollar estrategias de comunicación social orientadas a difundir entre la población de la entidad, la información relacionada con la gestión de las Dependencias del Poder Ejecutivo del Gobierno del Estado de México, así como incorporar y promover la igualdad de género, los derechos humanos, erradicar la violencia y discriminación de género en los programas, proyectos, acciones y campañas específicas de comunicación planteadas por la Coordinación.</w:t>
      </w:r>
    </w:p>
    <w:p w14:paraId="7D248AD3" w14:textId="77777777" w:rsidR="00C63C05" w:rsidRDefault="00C63C0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p>
    <w:p w14:paraId="7DEEAB7F"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FUNCIONES: </w:t>
      </w:r>
    </w:p>
    <w:p w14:paraId="4836283D"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Planear e instrumentar, en coordinación con las dependencias y organismos auxiliares de la Administración Pública Estatal, programas y campañas específicas de comunicación. </w:t>
      </w:r>
    </w:p>
    <w:p w14:paraId="60B284CC"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Someter a consideración de la persona titular del Ejecutivo Estatal, programas relacionados con las campañas informativas sobre el fomento de los valores históricos y culturales que constituyen la identidad estatal. </w:t>
      </w:r>
    </w:p>
    <w:p w14:paraId="3B9D81BE"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Establecer sistemas y mecanismos de comunicación para captar información de la población que contribuya a la adecuada toma de decisiones. </w:t>
      </w:r>
    </w:p>
    <w:p w14:paraId="248724A0"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Celebrar, previa autorización de la persona titular del Ejecutivo Estatal, convenios y acuerdos de colaboración en materia de comunicación con el gobierno federal y municipal, así como con instituciones privadas y organizaciones, cuyas actividades se relacionen con las funciones de la Coordinación. </w:t>
      </w:r>
    </w:p>
    <w:p w14:paraId="6F94D65A"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5. Promover y establecer relaciones con los medios locales y regionales de comunicación, estatal, nacional e internacional. </w:t>
      </w:r>
    </w:p>
    <w:p w14:paraId="3BF03ECB"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6. Coordinar las actividades de cobertura y captación de información generada en los actos, ceremonias, giras y eventos en que intervenga la persona titular de la Gubernatura, </w:t>
      </w:r>
      <w:r>
        <w:rPr>
          <w:rFonts w:ascii="Palatino Linotype" w:eastAsia="Palatino Linotype" w:hAnsi="Palatino Linotype" w:cs="Palatino Linotype"/>
          <w:b/>
          <w:bCs/>
          <w:i/>
          <w:iCs/>
        </w:rPr>
        <w:lastRenderedPageBreak/>
        <w:t xml:space="preserve">así como en aquellos de gran relevancia en los que participen las personas servidoras públicas de la Administración Pública Estatal. </w:t>
      </w:r>
    </w:p>
    <w:p w14:paraId="0AA5D495"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7. Supervisar, examinar y dictaminar el manejo de la información derivada de la gestión pública. </w:t>
      </w:r>
    </w:p>
    <w:p w14:paraId="16D8FBA6"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8. Canalizar a los medios masivos de comunicación, información sobre los programas y actividades desarrolladas por las dependencias de la Administración Pública Estatal. </w:t>
      </w:r>
    </w:p>
    <w:p w14:paraId="1D3AC687"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Proponer a la persona titular del Ejecutivo Estatal y hacer del conocimiento de las instancias públicas correspondientes, las normas, políticas y lineamientos para la publicación de boletines, carteles y demás instrumentos de información, mediante los cuales se difundan acciones relevantes de la Administración Pública Estatal. </w:t>
      </w:r>
    </w:p>
    <w:p w14:paraId="72DEFDDC"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10. Difundir la información a los diferentes medios de comunicación, relacionada con el Gobierno Estatal. </w:t>
      </w:r>
    </w:p>
    <w:p w14:paraId="6FBDD270"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Verificar el cumplimiento de las actividades en materia de transparencia, acceso a la información y protección de datos personales. </w:t>
      </w:r>
    </w:p>
    <w:p w14:paraId="603EF3B8"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12. Vigilar el cumplimiento de las actividades en materia de transparencia, acceso a la información y protección de datos personales. </w:t>
      </w:r>
    </w:p>
    <w:p w14:paraId="6A18BC5F"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13. Coordinar y verificar que se incorpore la perspectiva de género en los programas, proyectos, acciones y campañas específicas de comunicación planteadas por la Coordinación, a fin de promover la igualdad de género, los derechos humanos, erradicar la violencia y la discriminación de género. </w:t>
      </w:r>
    </w:p>
    <w:p w14:paraId="51FF833E"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525ACF98"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20. Garantizar el ejercicio del Derecho de Acceso a la Información y Protección de Datos Personales en la Coordinación General. </w:t>
      </w:r>
    </w:p>
    <w:p w14:paraId="00DACD8B" w14:textId="77777777" w:rsidR="00C63C05" w:rsidRDefault="00416EA5">
      <w:pPr>
        <w:pBdr>
          <w:top w:val="nil"/>
          <w:left w:val="nil"/>
          <w:bottom w:val="nil"/>
          <w:right w:val="nil"/>
          <w:between w:val="nil"/>
        </w:pBdr>
        <w:tabs>
          <w:tab w:val="left" w:pos="426"/>
          <w:tab w:val="left" w:pos="567"/>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21. Desarrollar las demás funciones inherentes al área de su competencia.</w:t>
      </w:r>
    </w:p>
    <w:p w14:paraId="650C005F"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1877232B" w14:textId="77777777" w:rsidR="00C63C05" w:rsidRDefault="00416EA5">
      <w:pPr>
        <w:numPr>
          <w:ilvl w:val="0"/>
          <w:numId w:val="7"/>
        </w:numPr>
        <w:pBdr>
          <w:top w:val="nil"/>
          <w:left w:val="nil"/>
          <w:bottom w:val="nil"/>
          <w:right w:val="nil"/>
          <w:between w:val="nil"/>
        </w:pBdr>
        <w:tabs>
          <w:tab w:val="left" w:pos="0"/>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Descrito lo anterior, se reitera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 </w:t>
      </w:r>
      <w:r>
        <w:rPr>
          <w:rFonts w:ascii="Palatino Linotype" w:eastAsia="Palatino Linotype" w:hAnsi="Palatino Linotype" w:cs="Palatino Linotype"/>
        </w:rPr>
        <w:t>llevó</w:t>
      </w:r>
      <w:r>
        <w:rPr>
          <w:rFonts w:ascii="Palatino Linotype" w:eastAsia="Palatino Linotype" w:hAnsi="Palatino Linotype" w:cs="Palatino Linotype"/>
          <w:color w:val="000000"/>
        </w:rPr>
        <w:t xml:space="preserve"> a cabo la búsqueda exhaustiva exigida por la ley de la materia, ello en atención a que no se pronunciaron la Subdirección de Tesorería y Contabilidad, Subdirección de Control y Registro de Presupuesto; así como la propia Coordinación General de Comunicación Social, toda vez que de acuerdo a sus funciones y atribuciones realizan y controlan operaciones ingresos y egresos; así como el </w:t>
      </w:r>
      <w:r>
        <w:rPr>
          <w:rFonts w:ascii="Palatino Linotype" w:eastAsia="Palatino Linotype" w:hAnsi="Palatino Linotype" w:cs="Palatino Linotype"/>
          <w:color w:val="000000"/>
        </w:rPr>
        <w:lastRenderedPageBreak/>
        <w:t xml:space="preserve">registro de los recursos financieros, los cuales podrían estar ligados a la partida presupuestal 3611, requerida por el particular. </w:t>
      </w:r>
    </w:p>
    <w:p w14:paraId="2D8CE1B8"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10BC130F"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Establecido lo anterior, conviene traer a contexto que dentro de la solicitud de información, el particular requirió facturas correspondientes a la adquisición de bienes y servicios por parte de la Coordinación General de Comunicación Social; así como las facturas relacionadas con la partida presupuestal 3611, por lo que conviene analizar el documento que de manera enunciativa </w:t>
      </w:r>
      <w:r>
        <w:rPr>
          <w:rFonts w:ascii="Palatino Linotype" w:eastAsia="Palatino Linotype" w:hAnsi="Palatino Linotype" w:cs="Palatino Linotype"/>
        </w:rPr>
        <w:t>más</w:t>
      </w:r>
      <w:r>
        <w:rPr>
          <w:rFonts w:ascii="Palatino Linotype" w:eastAsia="Palatino Linotype" w:hAnsi="Palatino Linotype" w:cs="Palatino Linotype"/>
          <w:color w:val="000000"/>
        </w:rPr>
        <w:t xml:space="preserve"> no limitativa podría colmar el requerimiento del particular. </w:t>
      </w:r>
    </w:p>
    <w:p w14:paraId="1A33D74E" w14:textId="77777777" w:rsidR="00C63C05" w:rsidRDefault="00C63C05">
      <w:pPr>
        <w:pBdr>
          <w:top w:val="nil"/>
          <w:left w:val="nil"/>
          <w:bottom w:val="nil"/>
          <w:right w:val="nil"/>
          <w:between w:val="nil"/>
        </w:pBdr>
        <w:ind w:left="720" w:right="-1131"/>
        <w:rPr>
          <w:rFonts w:ascii="Palatino Linotype" w:eastAsia="Palatino Linotype" w:hAnsi="Palatino Linotype" w:cs="Palatino Linotype"/>
          <w:color w:val="000000"/>
        </w:rPr>
      </w:pPr>
    </w:p>
    <w:p w14:paraId="51D78F4C"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las erogaciones que realizan los Sujetos Obligados, deben estar soportados en documentos que amparen dicha erogación que de manera enunciativa más no limitativa,  podrían ser las facturas o pólizas. Primeramente conocer a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nos referimos por “</w:t>
      </w:r>
      <w:r>
        <w:rPr>
          <w:rFonts w:ascii="Palatino Linotype" w:eastAsia="Palatino Linotype" w:hAnsi="Palatino Linotype" w:cs="Palatino Linotype"/>
          <w:i/>
          <w:iCs/>
          <w:color w:val="000000"/>
        </w:rPr>
        <w:t>factura</w:t>
      </w:r>
      <w:r>
        <w:rPr>
          <w:rFonts w:ascii="Palatino Linotype" w:eastAsia="Palatino Linotype" w:hAnsi="Palatino Linotype" w:cs="Palatino Linotype"/>
          <w:color w:val="000000"/>
        </w:rPr>
        <w:t>”; al respecto, nos referiremos a éste concepto aunque sea sucintamente de acuerdo a lo que dispone el Glosario de Términos Hacendarios que emite el Instituto Hacendario del Estado de México, mismo que expresa lo siguiente:</w:t>
      </w:r>
    </w:p>
    <w:p w14:paraId="55A126C8" w14:textId="77777777" w:rsidR="00C63C05" w:rsidRDefault="00416EA5">
      <w:pPr>
        <w:pBdr>
          <w:top w:val="nil"/>
          <w:left w:val="nil"/>
          <w:bottom w:val="nil"/>
          <w:right w:val="nil"/>
          <w:between w:val="nil"/>
        </w:pBdr>
        <w:spacing w:before="240" w:after="240" w:line="360" w:lineRule="auto"/>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FACTURA:</w:t>
      </w:r>
    </w:p>
    <w:p w14:paraId="2259AE22" w14:textId="77777777" w:rsidR="00C63C05" w:rsidRDefault="00416EA5">
      <w:pPr>
        <w:pBdr>
          <w:top w:val="nil"/>
          <w:left w:val="nil"/>
          <w:bottom w:val="nil"/>
          <w:right w:val="nil"/>
          <w:between w:val="nil"/>
        </w:pBdr>
        <w:spacing w:before="240" w:after="240" w:line="360" w:lineRule="auto"/>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 el documento fiscal que emite la persona física o moral para comprobar la venta o adquisición de un bien y/o servicio.”</w:t>
      </w:r>
    </w:p>
    <w:p w14:paraId="657A2245"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Una vez precisado lo anterior, se procede a analizar si las facturas solicitadas son de acceso público; por lo que es de señalarse que </w:t>
      </w:r>
      <w:r>
        <w:rPr>
          <w:rFonts w:ascii="Palatino Linotype" w:eastAsia="Palatino Linotype" w:hAnsi="Palatino Linotype" w:cs="Palatino Linotype"/>
          <w:b/>
          <w:bCs/>
          <w:color w:val="000000"/>
        </w:rPr>
        <w:t xml:space="preserve">las facturas </w:t>
      </w:r>
      <w:r>
        <w:rPr>
          <w:rFonts w:ascii="Palatino Linotype" w:eastAsia="Palatino Linotype" w:hAnsi="Palatino Linotype" w:cs="Palatino Linotype"/>
          <w:color w:val="000000"/>
        </w:rPr>
        <w:t xml:space="preserve">o comprobantes que amparan las </w:t>
      </w:r>
      <w:r>
        <w:rPr>
          <w:rFonts w:ascii="Palatino Linotype" w:eastAsia="Palatino Linotype" w:hAnsi="Palatino Linotype" w:cs="Palatino Linotype"/>
          <w:color w:val="000000"/>
        </w:rPr>
        <w:lastRenderedPageBreak/>
        <w:t xml:space="preserve">erogaciones que se realizan con erario público tienen naturaleza análoga, pues </w:t>
      </w:r>
      <w:r>
        <w:rPr>
          <w:rFonts w:ascii="Palatino Linotype" w:eastAsia="Palatino Linotype" w:hAnsi="Palatino Linotype" w:cs="Palatino Linotype"/>
          <w:b/>
          <w:bCs/>
          <w:color w:val="000000"/>
        </w:rPr>
        <w:t>constituyen los medios idóneos de evidencia del gasto realizado con recursos públicos</w:t>
      </w:r>
      <w:r>
        <w:rPr>
          <w:rFonts w:ascii="Palatino Linotype" w:eastAsia="Palatino Linotype" w:hAnsi="Palatino Linotype" w:cs="Palatino Linotype"/>
          <w:color w:val="000000"/>
        </w:rPr>
        <w:t>.</w:t>
      </w:r>
    </w:p>
    <w:p w14:paraId="19819BB1" w14:textId="77777777" w:rsidR="00C63C05" w:rsidRDefault="00C63C05">
      <w:pPr>
        <w:pBdr>
          <w:top w:val="nil"/>
          <w:left w:val="nil"/>
          <w:bottom w:val="nil"/>
          <w:right w:val="nil"/>
          <w:between w:val="nil"/>
        </w:pBdr>
        <w:tabs>
          <w:tab w:val="left" w:pos="426"/>
        </w:tabs>
        <w:spacing w:after="240" w:line="360" w:lineRule="auto"/>
        <w:ind w:right="-1131"/>
        <w:jc w:val="both"/>
        <w:rPr>
          <w:rFonts w:ascii="Palatino Linotype" w:eastAsia="Palatino Linotype" w:hAnsi="Palatino Linotype" w:cs="Palatino Linotype"/>
          <w:color w:val="000000"/>
        </w:rPr>
      </w:pPr>
    </w:p>
    <w:p w14:paraId="1C3E9AFD"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conviene precisar que en el cumplimiento de los principios que rigen la función pública, la Constitución Política del Estado Libre y Soberano de México en su artículo 129 señala que los recursos económicos del Estado, de los Municipios, así como de los Organismos Autónomos, se administrarán con eficiencia, eficacia y honradez, para cumplir con los objetivos y programas a los que estén destinados. Asimismo, señala que todos los pagos se harán mediante orden escrita en la que se expresará la partida del presupuesto a cargo de la cual se realizan.</w:t>
      </w:r>
    </w:p>
    <w:p w14:paraId="28CC8C8A" w14:textId="77777777" w:rsidR="00C63C05" w:rsidRDefault="00C63C05">
      <w:pPr>
        <w:pBdr>
          <w:top w:val="nil"/>
          <w:left w:val="nil"/>
          <w:bottom w:val="nil"/>
          <w:right w:val="nil"/>
          <w:between w:val="nil"/>
        </w:pBdr>
        <w:tabs>
          <w:tab w:val="left" w:pos="426"/>
        </w:tabs>
        <w:spacing w:after="240" w:line="360" w:lineRule="auto"/>
        <w:ind w:right="-1131"/>
        <w:jc w:val="both"/>
        <w:rPr>
          <w:rFonts w:ascii="Palatino Linotype" w:eastAsia="Palatino Linotype" w:hAnsi="Palatino Linotype" w:cs="Palatino Linotype"/>
          <w:color w:val="000000"/>
        </w:rPr>
      </w:pPr>
    </w:p>
    <w:p w14:paraId="4A385F8D"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Como se ha dicho anteriormente, es atribución de la Coordinación de Administración, Finanzas y Comercialización, llevar los registros contables, financieros y administrativos de los ingresos, egresos e inventarios. En ese sentido, los artículos 342, 343, 344 y 345 del Código Financiero del Estado de México y Municipios disponen el sistema y las políticas que deben seguirse para llevar el registro contable y presupuestal de las operaciones financieras, en los siguientes términos:</w:t>
      </w:r>
    </w:p>
    <w:p w14:paraId="6FB680C2" w14:textId="77777777" w:rsidR="00C63C05" w:rsidRDefault="00416EA5">
      <w:pPr>
        <w:pBdr>
          <w:top w:val="nil"/>
          <w:left w:val="nil"/>
          <w:bottom w:val="nil"/>
          <w:right w:val="nil"/>
          <w:between w:val="nil"/>
        </w:pBdr>
        <w:tabs>
          <w:tab w:val="left" w:pos="426"/>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342.-</w:t>
      </w:r>
      <w:r>
        <w:rPr>
          <w:rFonts w:ascii="Palatino Linotype" w:eastAsia="Palatino Linotype" w:hAnsi="Palatino Linotype" w:cs="Palatino Linotype"/>
          <w:i/>
          <w:iCs/>
          <w:color w:val="000000"/>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477678D4" w14:textId="77777777" w:rsidR="00C63C05" w:rsidRDefault="00416EA5">
      <w:pPr>
        <w:pBdr>
          <w:top w:val="nil"/>
          <w:left w:val="nil"/>
          <w:bottom w:val="nil"/>
          <w:right w:val="nil"/>
          <w:between w:val="nil"/>
        </w:pBdr>
        <w:tabs>
          <w:tab w:val="left" w:pos="426"/>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27063BA7" w14:textId="77777777" w:rsidR="00C63C05" w:rsidRDefault="00416EA5">
      <w:pPr>
        <w:pBdr>
          <w:top w:val="nil"/>
          <w:left w:val="nil"/>
          <w:bottom w:val="nil"/>
          <w:right w:val="nil"/>
          <w:between w:val="nil"/>
        </w:pBdr>
        <w:tabs>
          <w:tab w:val="left" w:pos="567"/>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“Artículo 343.-</w:t>
      </w:r>
      <w:r>
        <w:rPr>
          <w:rFonts w:ascii="Palatino Linotype" w:eastAsia="Palatino Linotype" w:hAnsi="Palatino Linotype" w:cs="Palatino Linotype"/>
          <w:i/>
          <w:iCs/>
          <w:color w:val="000000"/>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352B38F4" w14:textId="77777777" w:rsidR="00C63C05" w:rsidRDefault="00416EA5">
      <w:pPr>
        <w:pBdr>
          <w:top w:val="nil"/>
          <w:left w:val="nil"/>
          <w:bottom w:val="nil"/>
          <w:right w:val="nil"/>
          <w:between w:val="nil"/>
        </w:pBdr>
        <w:tabs>
          <w:tab w:val="left" w:pos="567"/>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sistema de contabilidad sobre base acumulativa total se sustentará en los postulados básicos y el marco conceptual de la contabilidad gubernamental.”</w:t>
      </w:r>
    </w:p>
    <w:p w14:paraId="5634C6D3" w14:textId="77777777" w:rsidR="00C63C05" w:rsidRDefault="00416EA5">
      <w:pPr>
        <w:pBdr>
          <w:top w:val="nil"/>
          <w:left w:val="nil"/>
          <w:bottom w:val="nil"/>
          <w:right w:val="nil"/>
          <w:between w:val="nil"/>
        </w:pBdr>
        <w:tabs>
          <w:tab w:val="left" w:pos="567"/>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344.-</w:t>
      </w:r>
      <w:r>
        <w:rPr>
          <w:rFonts w:ascii="Palatino Linotype" w:eastAsia="Palatino Linotype" w:hAnsi="Palatino Linotype" w:cs="Palatino Linotype"/>
          <w:i/>
          <w:iCs/>
          <w:color w:val="000000"/>
        </w:rPr>
        <w:t xml:space="preserve"> Las Dependencias, Entidades Públicas y unidades administrativas registrarán contablemente el efecto patrimonial y presupuestal de las operaciones financieras que realicen, en el momento en que ocurran, con base en el sistema y políticas de registro establecidas, en el caso de los Municipios se hará por la Tesorería. </w:t>
      </w:r>
    </w:p>
    <w:p w14:paraId="41BC72DB" w14:textId="77777777" w:rsidR="00C63C05" w:rsidRDefault="00416EA5">
      <w:pPr>
        <w:pBdr>
          <w:top w:val="nil"/>
          <w:left w:val="nil"/>
          <w:bottom w:val="nil"/>
          <w:right w:val="nil"/>
          <w:between w:val="nil"/>
        </w:pBdr>
        <w:tabs>
          <w:tab w:val="left" w:pos="567"/>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Derogado. </w:t>
      </w:r>
    </w:p>
    <w:p w14:paraId="758F0C1B" w14:textId="77777777" w:rsidR="00C63C05" w:rsidRDefault="00416EA5">
      <w:pPr>
        <w:pBdr>
          <w:top w:val="nil"/>
          <w:left w:val="nil"/>
          <w:bottom w:val="nil"/>
          <w:right w:val="nil"/>
          <w:between w:val="nil"/>
        </w:pBdr>
        <w:tabs>
          <w:tab w:val="left" w:pos="567"/>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 a partir del ejercicio presupuestal siguiente al que corresponda, en el caso de los municipios se hará por la Tesorería. </w:t>
      </w:r>
    </w:p>
    <w:p w14:paraId="0BD04BC4" w14:textId="77777777" w:rsidR="00C63C05" w:rsidRDefault="00416EA5">
      <w:pPr>
        <w:pBdr>
          <w:top w:val="nil"/>
          <w:left w:val="nil"/>
          <w:bottom w:val="nil"/>
          <w:right w:val="nil"/>
          <w:between w:val="nil"/>
        </w:pBdr>
        <w:tabs>
          <w:tab w:val="left" w:pos="567"/>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50F75DAB" w14:textId="77777777" w:rsidR="00C63C05" w:rsidRDefault="00416EA5">
      <w:pPr>
        <w:pBdr>
          <w:top w:val="nil"/>
          <w:left w:val="nil"/>
          <w:bottom w:val="nil"/>
          <w:right w:val="nil"/>
          <w:between w:val="nil"/>
        </w:pBdr>
        <w:tabs>
          <w:tab w:val="left" w:pos="567"/>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345.-</w:t>
      </w:r>
      <w:r>
        <w:rPr>
          <w:rFonts w:ascii="Palatino Linotype" w:eastAsia="Palatino Linotype" w:hAnsi="Palatino Linotype" w:cs="Palatino Linotype"/>
          <w:i/>
          <w:iCs/>
          <w:color w:val="000000"/>
        </w:rPr>
        <w:t xml:space="preserve"> Las Dependencias, Entidades Públicas y unidades administrativas deberán conservar la documentación contable del año en curso y la de ejercicios anteriores cuyas cuentas públicas hayan sido revisadas y fiscalizadas por la Legislatura, la remitirán en un plazo que no excederá de seis meses al Archivo Contable Gubernamental. Tratándose de los comprobantes fiscales digitales, estos deberán estar agregados en forma electrónica en cada póliza de registro contable. </w:t>
      </w:r>
    </w:p>
    <w:p w14:paraId="3CD13D31" w14:textId="77777777" w:rsidR="00C63C05" w:rsidRDefault="00416EA5">
      <w:pPr>
        <w:pBdr>
          <w:top w:val="nil"/>
          <w:left w:val="nil"/>
          <w:bottom w:val="nil"/>
          <w:right w:val="nil"/>
          <w:between w:val="nil"/>
        </w:pBdr>
        <w:tabs>
          <w:tab w:val="left" w:pos="567"/>
        </w:tabs>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plazo señalado en el párrafo anterior, empezará a contar a partir de la publicación en el Periódico Oficial, del decreto correspondiente. “</w:t>
      </w:r>
    </w:p>
    <w:p w14:paraId="422552FF" w14:textId="77777777" w:rsidR="00C63C05" w:rsidRDefault="00C63C05">
      <w:pPr>
        <w:pBdr>
          <w:top w:val="nil"/>
          <w:left w:val="nil"/>
          <w:bottom w:val="nil"/>
          <w:right w:val="nil"/>
          <w:between w:val="nil"/>
        </w:pBdr>
        <w:tabs>
          <w:tab w:val="left" w:pos="426"/>
        </w:tabs>
        <w:spacing w:before="240" w:after="240" w:line="360" w:lineRule="auto"/>
        <w:ind w:right="-1131"/>
        <w:jc w:val="both"/>
        <w:rPr>
          <w:rFonts w:ascii="Palatino Linotype" w:eastAsia="Palatino Linotype" w:hAnsi="Palatino Linotype" w:cs="Palatino Linotype"/>
          <w:color w:val="000000"/>
        </w:rPr>
      </w:pPr>
    </w:p>
    <w:p w14:paraId="2CEDE471"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647C2C1F"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si bien es cierto que el Código Financiero del Estado de México y Municipios establece la obligación de los Municipios para llevar los registros contables y presupuestales; también lo es que, dicho ordenamiento jurídico no establece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0AB57AF4" w14:textId="77777777" w:rsidR="00C63C05" w:rsidRDefault="00416EA5">
      <w:pPr>
        <w:pBdr>
          <w:top w:val="nil"/>
          <w:left w:val="nil"/>
          <w:bottom w:val="nil"/>
          <w:right w:val="nil"/>
          <w:between w:val="nil"/>
        </w:pBdr>
        <w:tabs>
          <w:tab w:val="left" w:pos="709"/>
          <w:tab w:val="left" w:pos="8222"/>
        </w:tabs>
        <w:spacing w:after="240" w:line="276" w:lineRule="auto"/>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REGISTRO CONTABLE:</w:t>
      </w:r>
    </w:p>
    <w:p w14:paraId="6F3AA660" w14:textId="77777777" w:rsidR="00C63C05" w:rsidRDefault="00416EA5">
      <w:pPr>
        <w:pBdr>
          <w:top w:val="nil"/>
          <w:left w:val="nil"/>
          <w:bottom w:val="nil"/>
          <w:right w:val="nil"/>
          <w:between w:val="nil"/>
        </w:pBdr>
        <w:tabs>
          <w:tab w:val="left" w:pos="709"/>
          <w:tab w:val="left" w:pos="8222"/>
        </w:tabs>
        <w:spacing w:before="240" w:after="240" w:line="276" w:lineRule="auto"/>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Asiento que se realiza en los libros de contabilidad de las actividades relacionadas con el ingreso y egresos de un ente económico.” </w:t>
      </w:r>
    </w:p>
    <w:p w14:paraId="380D9282" w14:textId="77777777" w:rsidR="00C63C05" w:rsidRDefault="00416EA5">
      <w:pPr>
        <w:pBdr>
          <w:top w:val="nil"/>
          <w:left w:val="nil"/>
          <w:bottom w:val="nil"/>
          <w:right w:val="nil"/>
          <w:between w:val="nil"/>
        </w:pBdr>
        <w:tabs>
          <w:tab w:val="left" w:pos="709"/>
          <w:tab w:val="left" w:pos="8222"/>
        </w:tabs>
        <w:spacing w:before="240" w:after="240" w:line="276" w:lineRule="auto"/>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REGISTRO PRESUPUESTARIO:</w:t>
      </w:r>
    </w:p>
    <w:p w14:paraId="7BBA52C6" w14:textId="77777777" w:rsidR="00C63C05" w:rsidRDefault="00416EA5">
      <w:pPr>
        <w:pBdr>
          <w:top w:val="nil"/>
          <w:left w:val="nil"/>
          <w:bottom w:val="nil"/>
          <w:right w:val="nil"/>
          <w:between w:val="nil"/>
        </w:pBdr>
        <w:tabs>
          <w:tab w:val="left" w:pos="709"/>
          <w:tab w:val="left" w:pos="8222"/>
        </w:tabs>
        <w:spacing w:before="240" w:after="240" w:line="276" w:lineRule="auto"/>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Asiento contable de las erogaciones realizadas por las dependencias y entidades con relación a la asignación, modificación y ejercicio de los recursos presupuestarios que se les hayan autorizado.”</w:t>
      </w:r>
    </w:p>
    <w:p w14:paraId="3606760F" w14:textId="77777777" w:rsidR="00C63C05" w:rsidRDefault="00C63C05">
      <w:pPr>
        <w:pBdr>
          <w:top w:val="nil"/>
          <w:left w:val="nil"/>
          <w:bottom w:val="nil"/>
          <w:right w:val="nil"/>
          <w:between w:val="nil"/>
        </w:pBdr>
        <w:tabs>
          <w:tab w:val="left" w:pos="426"/>
        </w:tabs>
        <w:spacing w:before="240" w:after="240" w:line="360" w:lineRule="auto"/>
        <w:ind w:right="-1131"/>
        <w:jc w:val="both"/>
        <w:rPr>
          <w:rFonts w:ascii="Palatino Linotype" w:eastAsia="Palatino Linotype" w:hAnsi="Palatino Linotype" w:cs="Palatino Linotype"/>
          <w:color w:val="000000"/>
        </w:rPr>
      </w:pPr>
    </w:p>
    <w:p w14:paraId="30EBE84E"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3FDE9DD8"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Correlativo a lo anterior, es preciso referir una definición de póliza contable, la cual, primeramente, no está definida en el Código Financiero del Estado de México y Municipios; no obstante, los ya mencionados Glosarios la definen como:</w:t>
      </w:r>
    </w:p>
    <w:p w14:paraId="5A5A377E" w14:textId="77777777" w:rsidR="00C63C05" w:rsidRDefault="00416EA5">
      <w:pPr>
        <w:pBdr>
          <w:top w:val="nil"/>
          <w:left w:val="nil"/>
          <w:bottom w:val="nil"/>
          <w:right w:val="nil"/>
          <w:between w:val="nil"/>
        </w:pBdr>
        <w:spacing w:before="240" w:after="240"/>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PÓLIZA CONTABLE:</w:t>
      </w:r>
    </w:p>
    <w:p w14:paraId="520FB650" w14:textId="77777777" w:rsidR="00C63C05" w:rsidRDefault="00416EA5">
      <w:pPr>
        <w:pBdr>
          <w:top w:val="nil"/>
          <w:left w:val="nil"/>
          <w:bottom w:val="nil"/>
          <w:right w:val="nil"/>
          <w:between w:val="nil"/>
        </w:pBdr>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Documento en el cual se asientan en forma individual todas y cada una de las operaciones desarrolladas por una institución, así como la información necesaria para la identificación de dichas operaciones.”</w:t>
      </w:r>
    </w:p>
    <w:p w14:paraId="3FD1F73A" w14:textId="77777777" w:rsidR="00C63C05" w:rsidRDefault="00C63C05">
      <w:pPr>
        <w:pBdr>
          <w:top w:val="nil"/>
          <w:left w:val="nil"/>
          <w:bottom w:val="nil"/>
          <w:right w:val="nil"/>
          <w:between w:val="nil"/>
        </w:pBdr>
        <w:spacing w:before="240" w:after="240"/>
        <w:ind w:left="567" w:right="-1131"/>
        <w:jc w:val="both"/>
        <w:rPr>
          <w:rFonts w:ascii="Palatino Linotype" w:eastAsia="Palatino Linotype" w:hAnsi="Palatino Linotype" w:cs="Palatino Linotype"/>
          <w:i/>
          <w:iCs/>
        </w:rPr>
      </w:pPr>
    </w:p>
    <w:p w14:paraId="75062F94"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Luego entonces, se advierte que la póliza contable constituye un registro contable y presupuestal con el que cuentan los municipios para el registro de sus operaciones relacionadas con sus ingresos y egresos y se anexan los documentos o comprobantes que justifiquen las anotaciones y cantidades en ellas registradas, lo que permite la identificación plena de dichas operaciones.</w:t>
      </w:r>
    </w:p>
    <w:p w14:paraId="095C33DC" w14:textId="77777777" w:rsidR="00C63C05" w:rsidRDefault="00416EA5">
      <w:pPr>
        <w:numPr>
          <w:ilvl w:val="0"/>
          <w:numId w:val="7"/>
        </w:numPr>
        <w:pBdr>
          <w:top w:val="nil"/>
          <w:left w:val="nil"/>
          <w:bottom w:val="nil"/>
          <w:right w:val="nil"/>
          <w:between w:val="nil"/>
        </w:pBdr>
        <w:tabs>
          <w:tab w:val="left" w:pos="426"/>
        </w:tabs>
        <w:spacing w:before="24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existen diversos tipos de pólizas contables de acuerdo a las operaciones realizadas, dentro de las cuales, encontramos las llamadas pólizas de egresos e ingresos, en las </w:t>
      </w:r>
      <w:r>
        <w:rPr>
          <w:rFonts w:ascii="Palatino Linotype" w:eastAsia="Palatino Linotype" w:hAnsi="Palatino Linotype" w:cs="Palatino Linotype"/>
          <w:color w:val="000000"/>
        </w:rPr>
        <w:lastRenderedPageBreak/>
        <w:t>cuales se anotan diariamente las operaciones que representan egresos e ingresos, es decir, salidas y entradas de dinero para, la cual además, debe encontrarse acompañada de las documentales que sirven de soporte de dicho movimiento.</w:t>
      </w:r>
    </w:p>
    <w:p w14:paraId="313E3266" w14:textId="77777777" w:rsidR="00C63C05" w:rsidRDefault="00C63C05">
      <w:pPr>
        <w:pBdr>
          <w:top w:val="nil"/>
          <w:left w:val="nil"/>
          <w:bottom w:val="nil"/>
          <w:right w:val="nil"/>
          <w:between w:val="nil"/>
        </w:pBdr>
        <w:tabs>
          <w:tab w:val="left" w:pos="426"/>
        </w:tabs>
        <w:spacing w:before="240" w:line="360" w:lineRule="auto"/>
        <w:ind w:right="-1131"/>
        <w:jc w:val="both"/>
        <w:rPr>
          <w:rFonts w:ascii="Palatino Linotype" w:eastAsia="Palatino Linotype" w:hAnsi="Palatino Linotype" w:cs="Palatino Linotype"/>
        </w:rPr>
      </w:pPr>
    </w:p>
    <w:p w14:paraId="3A2044BA" w14:textId="77777777" w:rsidR="00C63C05" w:rsidRDefault="00416EA5">
      <w:pPr>
        <w:numPr>
          <w:ilvl w:val="0"/>
          <w:numId w:val="7"/>
        </w:numPr>
        <w:pBdr>
          <w:top w:val="nil"/>
          <w:left w:val="nil"/>
          <w:bottom w:val="nil"/>
          <w:right w:val="nil"/>
          <w:between w:val="nil"/>
        </w:pBdr>
        <w:tabs>
          <w:tab w:val="left" w:pos="426"/>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Asimismo, se refuerza que al tener que documentar cada egreso e ingreso que se realiza de manera diaria, queda claro que el Sujeto Obligado debe generar, administrar y poseer la información que solicitó el particular. Por ello, </w:t>
      </w:r>
      <w:r>
        <w:rPr>
          <w:rFonts w:ascii="Palatino Linotype" w:eastAsia="Palatino Linotype" w:hAnsi="Palatino Linotype" w:cs="Palatino Linotype"/>
        </w:rPr>
        <w:t>de manera</w:t>
      </w:r>
      <w:r>
        <w:rPr>
          <w:rFonts w:ascii="Palatino Linotype" w:eastAsia="Palatino Linotype" w:hAnsi="Palatino Linotype" w:cs="Palatino Linotype"/>
          <w:color w:val="000000"/>
        </w:rPr>
        <w:t xml:space="preserve"> enunciativa más no limitativa, la información solicitada puede colmarse con la entrega de la póliza de egresos e ingresos. </w:t>
      </w:r>
    </w:p>
    <w:p w14:paraId="02F96CF7" w14:textId="77777777" w:rsidR="00C63C05" w:rsidRDefault="00C63C05">
      <w:pPr>
        <w:pBdr>
          <w:top w:val="nil"/>
          <w:left w:val="nil"/>
          <w:bottom w:val="nil"/>
          <w:right w:val="nil"/>
          <w:between w:val="nil"/>
        </w:pBdr>
        <w:tabs>
          <w:tab w:val="left" w:pos="426"/>
        </w:tabs>
        <w:spacing w:after="240" w:line="360" w:lineRule="auto"/>
        <w:ind w:right="-1131"/>
        <w:jc w:val="both"/>
        <w:rPr>
          <w:rFonts w:ascii="Palatino Linotype" w:eastAsia="Palatino Linotype" w:hAnsi="Palatino Linotype" w:cs="Palatino Linotype"/>
          <w:color w:val="000000"/>
        </w:rPr>
      </w:pPr>
    </w:p>
    <w:p w14:paraId="35D5E798"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derivado de la información solicitada, también es necesario traer a contexto lo dispuesto en la Ley de la Contratación Pública del Estado de México y Municipios, la cual tiene por objeto regular los actos relativos a la planeación, programación, presupuestación, ejecución y control de </w:t>
      </w:r>
      <w:r>
        <w:rPr>
          <w:rFonts w:ascii="Palatino Linotype" w:eastAsia="Palatino Linotype" w:hAnsi="Palatino Linotype" w:cs="Palatino Linotype"/>
          <w:b/>
          <w:bCs/>
          <w:color w:val="000000"/>
        </w:rPr>
        <w:t>la adquisición</w:t>
      </w:r>
      <w:r>
        <w:rPr>
          <w:rFonts w:ascii="Palatino Linotype" w:eastAsia="Palatino Linotype" w:hAnsi="Palatino Linotype" w:cs="Palatino Linotype"/>
          <w:color w:val="000000"/>
        </w:rPr>
        <w:t xml:space="preserve">, enajenación y arrendamiento de bienes, </w:t>
      </w:r>
      <w:r>
        <w:rPr>
          <w:rFonts w:ascii="Palatino Linotype" w:eastAsia="Palatino Linotype" w:hAnsi="Palatino Linotype" w:cs="Palatino Linotype"/>
          <w:b/>
          <w:bCs/>
          <w:color w:val="000000"/>
        </w:rPr>
        <w:t>y la contratación de servicios de cualquier naturaleza</w:t>
      </w:r>
      <w:r>
        <w:rPr>
          <w:rFonts w:ascii="Palatino Linotype" w:eastAsia="Palatino Linotype" w:hAnsi="Palatino Linotype" w:cs="Palatino Linotype"/>
          <w:color w:val="000000"/>
        </w:rPr>
        <w:t>, que realicen los Ayuntamientos del Estado; los cuales se adjudicarán a través de licitaciones públicas, invitación restringida o adjudicación directa, mediante convocatoria pública, tal y como lo establecen los artículos 4, 26 y 27 de dicha Ley, los cuales son del tenor siguiente:</w:t>
      </w:r>
    </w:p>
    <w:p w14:paraId="48479C70"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Para los efectos de esta Ley, en las adquisiciones, enajenaciones, arrendamientos y servicios, quedan comprendidos: </w:t>
      </w:r>
    </w:p>
    <w:p w14:paraId="7E494C80"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La adquisición de bienes muebles. </w:t>
      </w:r>
    </w:p>
    <w:p w14:paraId="5D08C635"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La adquisición de bienes inmuebles, a través de compraventa. </w:t>
      </w:r>
    </w:p>
    <w:p w14:paraId="34A8B4E6"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enajenación de bienes muebles e inmuebles. </w:t>
      </w:r>
    </w:p>
    <w:p w14:paraId="4730A6A2"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El arrendamiento de bienes muebles e inmuebles. </w:t>
      </w:r>
    </w:p>
    <w:p w14:paraId="30756ED7"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V. La contratación de los servicios, relacionados con bienes muebles que se encuentran incorporados o adheridos a bienes inmuebles, cuya instalación o mantenimiento no implique modificación al bien inmueble. </w:t>
      </w:r>
    </w:p>
    <w:p w14:paraId="242A0DB7"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La contratación de los servicios de reconstrucción y mantenimiento de bienes muebles. </w:t>
      </w:r>
    </w:p>
    <w:p w14:paraId="7C5CF6A0"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VII. La contratación de los servicios de maquila, seguros y transportación, así como de los de limpieza y vigilancia de bienes inmuebles</w:t>
      </w:r>
    </w:p>
    <w:p w14:paraId="156E4D77"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La prestación de servicios profesionales, la contratación de consultorías, asesorías y estudios e investigaciones, excepto la contratación de servicios personales de personas físicas bajo el régimen de honorarios. </w:t>
      </w:r>
    </w:p>
    <w:p w14:paraId="439E9317"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En general, otros actos que impliquen la contratación de servicios de cualquier naturaleza.</w:t>
      </w:r>
    </w:p>
    <w:p w14:paraId="357DB06C"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Artículo 26.- Las adquisiciones, arrendamientos y servicios se adjudicarán a través de licitaciones públicas, mediante convocatoria pública.</w:t>
      </w:r>
    </w:p>
    <w:p w14:paraId="31E5FB9F" w14:textId="77777777" w:rsidR="00C63C05" w:rsidRDefault="00C63C05">
      <w:pPr>
        <w:ind w:left="567" w:right="-1131"/>
        <w:jc w:val="both"/>
        <w:rPr>
          <w:rFonts w:ascii="Palatino Linotype" w:eastAsia="Palatino Linotype" w:hAnsi="Palatino Linotype" w:cs="Palatino Linotype"/>
          <w:b/>
          <w:bCs/>
          <w:i/>
          <w:iCs/>
        </w:rPr>
      </w:pPr>
    </w:p>
    <w:p w14:paraId="5EF2DB2D"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27.- </w:t>
      </w:r>
      <w:r>
        <w:rPr>
          <w:rFonts w:ascii="Palatino Linotype" w:eastAsia="Palatino Linotype" w:hAnsi="Palatino Linotype" w:cs="Palatino Linotype"/>
          <w:i/>
          <w:iCs/>
        </w:rPr>
        <w:t xml:space="preserve">La Secretaría, las entidades, los tribunales administrativos y los ayuntamientos podrán adjudicar adquisiciones, arrendamientos y servicios, mediante las excepciones al procedimiento de licitación que a continuación se señalan: </w:t>
      </w:r>
    </w:p>
    <w:p w14:paraId="25CF3414"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Invitación restringida. </w:t>
      </w:r>
    </w:p>
    <w:p w14:paraId="190D97DE"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 Adjudicación directa.”</w:t>
      </w:r>
    </w:p>
    <w:p w14:paraId="3987E6C2" w14:textId="77777777" w:rsidR="00C63C05" w:rsidRDefault="00416EA5">
      <w:pPr>
        <w:ind w:left="567" w:right="-1131"/>
        <w:jc w:val="right"/>
        <w:rPr>
          <w:rFonts w:ascii="Palatino Linotype" w:eastAsia="Palatino Linotype" w:hAnsi="Palatino Linotype" w:cs="Palatino Linotype"/>
          <w:i/>
          <w:iCs/>
        </w:rPr>
      </w:pPr>
      <w:r>
        <w:rPr>
          <w:rFonts w:ascii="Palatino Linotype" w:eastAsia="Palatino Linotype" w:hAnsi="Palatino Linotype" w:cs="Palatino Linotype"/>
          <w:i/>
          <w:iCs/>
        </w:rPr>
        <w:t xml:space="preserve">(Énfasis añadido) </w:t>
      </w:r>
    </w:p>
    <w:p w14:paraId="2DAC626A" w14:textId="77777777" w:rsidR="00C63C05" w:rsidRDefault="00C63C05">
      <w:pPr>
        <w:spacing w:line="360" w:lineRule="auto"/>
        <w:ind w:right="-1131"/>
        <w:jc w:val="both"/>
        <w:rPr>
          <w:rFonts w:ascii="Palatino Linotype" w:eastAsia="Palatino Linotype" w:hAnsi="Palatino Linotype" w:cs="Palatino Linotype"/>
        </w:rPr>
      </w:pPr>
    </w:p>
    <w:p w14:paraId="4948505A"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lo que respecta sobre la licitación pública, el artículo 29 de la Ley de la Contratación Pública en mención, indica que en este procedimiento deberán establecerse los mismos requisitos y condiciones para todos los licitantes. Todo licitante que satisfaga los requisitos de la convocatoria y de las bases de la licitación tendrá derecho a presentar su propuesta. </w:t>
      </w:r>
    </w:p>
    <w:p w14:paraId="763F7059"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7AC5F67F"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Asimismo, el artículo 33, del mismo ordenamiento legal, puntualmente señala el contenido que deberá tener la convocatoria para la celebración de las licitaciones públicas y </w:t>
      </w:r>
      <w:r>
        <w:rPr>
          <w:rFonts w:ascii="Palatino Linotype" w:eastAsia="Palatino Linotype" w:hAnsi="Palatino Linotype" w:cs="Palatino Linotype"/>
          <w:color w:val="000000"/>
        </w:rPr>
        <w:lastRenderedPageBreak/>
        <w:t xml:space="preserve">por su parte, el consecutivo 34 señala que las bases de la licitación pública tendrán un costo de recuperación y contendrán los requisitos que se establezcan en el reglamento de dicha Ley. </w:t>
      </w:r>
    </w:p>
    <w:p w14:paraId="178E6332" w14:textId="77777777" w:rsidR="00C63C05" w:rsidRDefault="00C63C05">
      <w:pPr>
        <w:pBdr>
          <w:top w:val="nil"/>
          <w:left w:val="nil"/>
          <w:bottom w:val="nil"/>
          <w:right w:val="nil"/>
          <w:between w:val="nil"/>
        </w:pBdr>
        <w:ind w:right="-1131"/>
        <w:rPr>
          <w:rFonts w:ascii="Palatino Linotype" w:eastAsia="Palatino Linotype" w:hAnsi="Palatino Linotype" w:cs="Palatino Linotype"/>
          <w:color w:val="000000"/>
        </w:rPr>
      </w:pPr>
    </w:p>
    <w:p w14:paraId="4C802EC9"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que, en las licitaciones se debe seguir el procedimiento marcado en el artículo 35 del precitado ordenamiento, que literalmente establece:</w:t>
      </w:r>
    </w:p>
    <w:p w14:paraId="6C8FA2A5"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35</w:t>
      </w:r>
      <w:r>
        <w:rPr>
          <w:rFonts w:ascii="Palatino Linotype" w:eastAsia="Palatino Linotype" w:hAnsi="Palatino Linotype" w:cs="Palatino Linotype"/>
          <w:i/>
          <w:iCs/>
        </w:rPr>
        <w:t>.- En los procedimientos de licitación pública se observará lo siguiente:</w:t>
      </w:r>
    </w:p>
    <w:p w14:paraId="5D5F74AC"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 El acto de presentación y apertura de propuestas se llevará a cabo por el servidor público que designe la convocante, conforme al procedimiento que se establezca en el reglamento de esta Ley.</w:t>
      </w:r>
    </w:p>
    <w:p w14:paraId="320BD782"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II. El comité de adquisiciones y servicios evaluará y analizará las propuestas técnicas y económicas presentadas por los licitantes en el ámbito de las respectivas competencias de sus integrantes, y emitirá el dictamen de adjudicación.</w:t>
      </w:r>
    </w:p>
    <w:p w14:paraId="0B5754B8"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Las bases de licitación se pondrán a la venta a partir de la fecha de publicación de la convocatoria y hasta el día hábil anterior a la fecha de celebración </w:t>
      </w:r>
      <w:r>
        <w:rPr>
          <w:rFonts w:ascii="Palatino Linotype" w:eastAsia="Palatino Linotype" w:hAnsi="Palatino Linotype" w:cs="Palatino Linotype"/>
          <w:b/>
          <w:bCs/>
          <w:i/>
          <w:iCs/>
        </w:rPr>
        <w:t>de la junta de aclaraciones</w:t>
      </w:r>
      <w:r>
        <w:rPr>
          <w:rFonts w:ascii="Palatino Linotype" w:eastAsia="Palatino Linotype" w:hAnsi="Palatino Linotype" w:cs="Palatino Linotype"/>
          <w:i/>
          <w:iCs/>
        </w:rPr>
        <w:t xml:space="preserve"> o, en su defecto, del acto de presentación y apertura de propuestas.</w:t>
      </w:r>
    </w:p>
    <w:p w14:paraId="3059DD0E"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IV. Las convocantes podrán modificar los plazos y términos establecidos en la convocatoria o en las bases de licitación, hasta cinco días hábiles anteriores a la fecha de la celebración del acto de presentación y apertura de propuestas.</w:t>
      </w:r>
    </w:p>
    <w:p w14:paraId="02821D22"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 Las modificaciones no podrán limitar el número de licitantes, sustituir o variar sustancialmente los bienes o servicios convocados originalmente, ni adicionar otros  distintos.</w:t>
      </w:r>
    </w:p>
    <w:p w14:paraId="54A459EC"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VI. Las modificaciones a la convocatoria o a las bases se harán del conocimiento de los interesados hasta tres días hábiles antes de la fecha señalada para el acto de presentación y apertura de propuestas.</w:t>
      </w:r>
    </w:p>
    <w:p w14:paraId="401A91E5"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VII. Se emitirá el fallo dentro de los 15 días hábiles siguientes a la publicación de la convocatoria.</w:t>
      </w:r>
    </w:p>
    <w:p w14:paraId="565BE2E5"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VIII. Los licitantes se podrán registrar hasta el día y la hora fijados para el acto de presentación y apertura de propuestas.</w:t>
      </w:r>
      <w:r>
        <w:rPr>
          <w:rFonts w:ascii="Palatino Linotype" w:eastAsia="Palatino Linotype" w:hAnsi="Palatino Linotype" w:cs="Palatino Linotype"/>
          <w:b/>
          <w:bCs/>
          <w:i/>
          <w:iCs/>
        </w:rPr>
        <w:t>”</w:t>
      </w:r>
    </w:p>
    <w:p w14:paraId="1E1C49D4" w14:textId="77777777" w:rsidR="00C63C05" w:rsidRDefault="00416EA5">
      <w:pPr>
        <w:tabs>
          <w:tab w:val="left" w:pos="8647"/>
        </w:tabs>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(Énfasis añadido)</w:t>
      </w:r>
    </w:p>
    <w:p w14:paraId="3E490D4D" w14:textId="77777777" w:rsidR="00C63C05" w:rsidRDefault="00C63C05">
      <w:pPr>
        <w:spacing w:line="360" w:lineRule="auto"/>
        <w:ind w:left="567" w:right="-1131"/>
        <w:jc w:val="both"/>
        <w:rPr>
          <w:rFonts w:ascii="Palatino Linotype" w:eastAsia="Palatino Linotype" w:hAnsi="Palatino Linotype" w:cs="Palatino Linotype"/>
          <w:i/>
          <w:iCs/>
        </w:rPr>
      </w:pPr>
    </w:p>
    <w:p w14:paraId="13902129"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Del precepto legal, se desprende que al Comité de Adquisiciones y Servicios, le corresponde evaluar y analizar las propuestas técnicas y económicas presentadas por los </w:t>
      </w:r>
      <w:r>
        <w:rPr>
          <w:rFonts w:ascii="Palatino Linotype" w:eastAsia="Palatino Linotype" w:hAnsi="Palatino Linotype" w:cs="Palatino Linotype"/>
          <w:color w:val="000000"/>
        </w:rPr>
        <w:lastRenderedPageBreak/>
        <w:t>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1B54E1BC"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2264B9D9"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respecto al dictamen y el fallo de la adjudicación, es de señalar que la Ley en mención indica lo siguiente:</w:t>
      </w:r>
    </w:p>
    <w:p w14:paraId="0D3A776D"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37.-</w:t>
      </w:r>
      <w:r>
        <w:rPr>
          <w:rFonts w:ascii="Palatino Linotype" w:eastAsia="Palatino Linotype" w:hAnsi="Palatino Linotype" w:cs="Palatino Linotype"/>
          <w:i/>
          <w:iCs/>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p w14:paraId="17044FEA" w14:textId="77777777" w:rsidR="00C63C05" w:rsidRDefault="00C63C05">
      <w:pPr>
        <w:ind w:left="567" w:right="-1131"/>
        <w:jc w:val="both"/>
        <w:rPr>
          <w:rFonts w:ascii="Palatino Linotype" w:eastAsia="Palatino Linotype" w:hAnsi="Palatino Linotype" w:cs="Palatino Linotype"/>
          <w:b/>
          <w:bCs/>
          <w:i/>
          <w:iCs/>
        </w:rPr>
      </w:pPr>
    </w:p>
    <w:p w14:paraId="1B7A8A25"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38.-</w:t>
      </w:r>
      <w:r>
        <w:rPr>
          <w:rFonts w:ascii="Palatino Linotype" w:eastAsia="Palatino Linotype" w:hAnsi="Palatino Linotype" w:cs="Palatino Linotype"/>
          <w:i/>
          <w:iCs/>
        </w:rPr>
        <w:t xml:space="preserve"> La convocante emitirá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w:t>
      </w:r>
    </w:p>
    <w:p w14:paraId="47126184"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El fallo de adjudicación surtirá efectos desde la emisión, siendo responsabilidad de los licitantes enterarse de su contenido, por lo que a partir de ese momento, las obligaciones derivadas de éste serán exigibles sin perjuicio de la formalización del contrato respectivo, en los términos señalados en el fallo.</w:t>
      </w:r>
      <w:r>
        <w:rPr>
          <w:rFonts w:ascii="Palatino Linotype" w:eastAsia="Palatino Linotype" w:hAnsi="Palatino Linotype" w:cs="Palatino Linotype"/>
          <w:b/>
          <w:bCs/>
          <w:i/>
          <w:iCs/>
        </w:rPr>
        <w:t>”</w:t>
      </w:r>
      <w:r>
        <w:rPr>
          <w:rFonts w:ascii="Palatino Linotype" w:eastAsia="Palatino Linotype" w:hAnsi="Palatino Linotype" w:cs="Palatino Linotype"/>
          <w:i/>
          <w:iCs/>
        </w:rPr>
        <w:t xml:space="preserve"> </w:t>
      </w:r>
    </w:p>
    <w:p w14:paraId="2733E803" w14:textId="77777777" w:rsidR="00C63C05" w:rsidRDefault="00C63C05">
      <w:pPr>
        <w:spacing w:line="360" w:lineRule="auto"/>
        <w:ind w:left="567" w:right="-1131"/>
        <w:jc w:val="both"/>
        <w:rPr>
          <w:rFonts w:ascii="Palatino Linotype" w:eastAsia="Palatino Linotype" w:hAnsi="Palatino Linotype" w:cs="Palatino Linotype"/>
          <w:i/>
          <w:iCs/>
        </w:rPr>
      </w:pPr>
    </w:p>
    <w:p w14:paraId="0D587384"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w:t>
      </w:r>
      <w:r>
        <w:rPr>
          <w:rFonts w:ascii="Palatino Linotype" w:eastAsia="Palatino Linotype" w:hAnsi="Palatino Linotype" w:cs="Palatino Linotype"/>
          <w:color w:val="000000"/>
        </w:rPr>
        <w:lastRenderedPageBreak/>
        <w:t xml:space="preserve">operación no exceda de los montos establecidos por el Presupuesto de Egresos del Gobierno del Estado de México del ejercicio correspondiente. </w:t>
      </w:r>
    </w:p>
    <w:p w14:paraId="155439D1"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5B3AB681"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es oportuno señalar que, las disposiciones respecto a las bases, dictámenes, fallos y fianzas, se realizan con similitud al procedimiento de licitación pública, tal como lo señalan los artículos 46 y 90 de la misma Ley, que literalmente establecen:</w:t>
      </w:r>
    </w:p>
    <w:p w14:paraId="767859D0"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46.-</w:t>
      </w:r>
      <w:r>
        <w:rPr>
          <w:rFonts w:ascii="Palatino Linotype" w:eastAsia="Palatino Linotype" w:hAnsi="Palatino Linotype" w:cs="Palatino Linotype"/>
          <w:i/>
          <w:iCs/>
        </w:rPr>
        <w:t xml:space="preserve"> El procedimiento de invitación restringida se desarrollará en los términos de la licitación pública, a excepción de la publicación de la convocatoria.” (Sic)</w:t>
      </w:r>
    </w:p>
    <w:p w14:paraId="021A706F"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Por ello, el Reglamento de la Ley en comento, en su artículo 90, indica cuales son los supuestos que deberán observarse para llevar a cabo dicho procedimiento:</w:t>
      </w:r>
    </w:p>
    <w:p w14:paraId="4B580D24" w14:textId="77777777" w:rsidR="00C63C05" w:rsidRDefault="00C63C05">
      <w:pPr>
        <w:ind w:left="567" w:right="-1131"/>
        <w:jc w:val="both"/>
        <w:rPr>
          <w:rFonts w:ascii="Palatino Linotype" w:eastAsia="Palatino Linotype" w:hAnsi="Palatino Linotype" w:cs="Palatino Linotype"/>
          <w:b/>
          <w:bCs/>
          <w:i/>
          <w:iCs/>
        </w:rPr>
      </w:pPr>
    </w:p>
    <w:p w14:paraId="0BFD0E7A"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90.-</w:t>
      </w:r>
      <w:r>
        <w:rPr>
          <w:rFonts w:ascii="Palatino Linotype" w:eastAsia="Palatino Linotype" w:hAnsi="Palatino Linotype" w:cs="Palatino Linotype"/>
          <w:i/>
          <w:iCs/>
        </w:rPr>
        <w:t xml:space="preserve"> En el procedimiento de invitación restringida se deberá observar lo siguiente:</w:t>
      </w:r>
    </w:p>
    <w:p w14:paraId="0621141F" w14:textId="77777777" w:rsidR="00C63C05" w:rsidRDefault="00C63C05">
      <w:pPr>
        <w:ind w:left="567" w:right="-1131"/>
        <w:jc w:val="both"/>
        <w:rPr>
          <w:rFonts w:ascii="Palatino Linotype" w:eastAsia="Palatino Linotype" w:hAnsi="Palatino Linotype" w:cs="Palatino Linotype"/>
          <w:i/>
          <w:iCs/>
        </w:rPr>
      </w:pPr>
    </w:p>
    <w:p w14:paraId="3E0DACC6"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 Se invitará a un mínimo de tres personas seleccionadas de entre las que se encuentren inscritas en el catálogo de proveedores y de prestadores de servicios.</w:t>
      </w:r>
    </w:p>
    <w:p w14:paraId="2DA9F4A8"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Se podrá invitar a personas que no se encuentren inscritas, cuando en el giro correspondiente del catálogo de proveedores y prestadores de servicios no exista el registro mínimo de personas requeridas para tal modalidad;</w:t>
      </w:r>
    </w:p>
    <w:p w14:paraId="6C1BAADE"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II. Las bases de la invitación restringida indicarán los aspectos de la adquisición o contratación; y</w:t>
      </w:r>
    </w:p>
    <w:p w14:paraId="7C76FEAE"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i/>
          <w:iCs/>
        </w:rPr>
        <w:t>III. Serán aplicables, en lo conducente, las disposiciones de la licitación pública.</w:t>
      </w:r>
      <w:r>
        <w:rPr>
          <w:rFonts w:ascii="Palatino Linotype" w:eastAsia="Palatino Linotype" w:hAnsi="Palatino Linotype" w:cs="Palatino Linotype"/>
          <w:b/>
          <w:bCs/>
          <w:i/>
          <w:iCs/>
        </w:rPr>
        <w:t>”</w:t>
      </w:r>
    </w:p>
    <w:p w14:paraId="7C15591C" w14:textId="77777777" w:rsidR="00C63C05" w:rsidRDefault="00C63C05">
      <w:pPr>
        <w:spacing w:line="360" w:lineRule="auto"/>
        <w:ind w:left="709" w:right="-1131"/>
        <w:jc w:val="both"/>
        <w:rPr>
          <w:rFonts w:ascii="Palatino Linotype" w:eastAsia="Palatino Linotype" w:hAnsi="Palatino Linotype" w:cs="Palatino Linotype"/>
          <w:i/>
          <w:iCs/>
        </w:rPr>
      </w:pPr>
    </w:p>
    <w:p w14:paraId="5A0889C5"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conclusión, referente a este punto cuando los procedimientos de adquisición o prestación de servicios materia de la Ley en cita, se hubieran llevado a cabo mediante invitación restringida, por cada procedimiento se debe contar con las bases, dictámenes, fallos y en su caso, fianzas, de haber sido esta la garantía exhibida.</w:t>
      </w:r>
    </w:p>
    <w:p w14:paraId="149A3B7C"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7BE8D39E"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Por último, y en cuanto hace a la adjudicación directa, el artículo 48 de la Ley de la Contratación Pública del Estado de México y Municipios y 91 del Reglamento de dicha Ley, indican en qué supuestos puede llevarse a cabo este procedimiento.</w:t>
      </w:r>
    </w:p>
    <w:p w14:paraId="2E0B50DB" w14:textId="77777777" w:rsidR="00C63C05" w:rsidRDefault="00C63C05">
      <w:pPr>
        <w:pBdr>
          <w:top w:val="nil"/>
          <w:left w:val="nil"/>
          <w:bottom w:val="nil"/>
          <w:right w:val="nil"/>
          <w:between w:val="nil"/>
        </w:pBdr>
        <w:ind w:right="-1131"/>
        <w:rPr>
          <w:rFonts w:ascii="Palatino Linotype" w:eastAsia="Palatino Linotype" w:hAnsi="Palatino Linotype" w:cs="Palatino Linotype"/>
          <w:color w:val="000000"/>
        </w:rPr>
      </w:pPr>
    </w:p>
    <w:p w14:paraId="0329B02A"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este sentido, el convocante debe solicitar a su comité el dictamen correspondiente del procedimiento de adjudicación directa, en el que se acredite previamente la descripción general de los bienes a adquirir; la justificación o conveniencia de llevar a cabo la adjudicación directa; y la certificación de suficiencia presupuestaria.</w:t>
      </w:r>
    </w:p>
    <w:p w14:paraId="7157DD1F" w14:textId="77777777" w:rsidR="00C63C05" w:rsidRDefault="00C63C05">
      <w:pPr>
        <w:pBdr>
          <w:top w:val="nil"/>
          <w:left w:val="nil"/>
          <w:bottom w:val="nil"/>
          <w:right w:val="nil"/>
          <w:between w:val="nil"/>
        </w:pBdr>
        <w:ind w:right="-1131"/>
        <w:rPr>
          <w:rFonts w:ascii="Palatino Linotype" w:eastAsia="Palatino Linotype" w:hAnsi="Palatino Linotype" w:cs="Palatino Linotype"/>
          <w:color w:val="000000"/>
        </w:rPr>
      </w:pPr>
    </w:p>
    <w:p w14:paraId="52CAF25D"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este sentido, debe decirse que lo relativo a las información solicitada,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XXIX, dispone lo siguiente:</w:t>
      </w:r>
    </w:p>
    <w:p w14:paraId="50C09DEB"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“Artículo 92. </w:t>
      </w:r>
      <w:r>
        <w:rPr>
          <w:rFonts w:ascii="Palatino Linotype" w:eastAsia="Palatino Linotype" w:hAnsi="Palatino Linotype" w:cs="Palatino Linotype"/>
          <w:i/>
          <w:iC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87722E8"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i/>
          <w:iCs/>
        </w:rPr>
        <w:t>(…)</w:t>
      </w:r>
    </w:p>
    <w:p w14:paraId="5D82CC49" w14:textId="77777777" w:rsidR="00C63C05" w:rsidRDefault="00C63C05">
      <w:pPr>
        <w:ind w:left="851" w:right="-1131"/>
        <w:jc w:val="both"/>
        <w:rPr>
          <w:rFonts w:ascii="Palatino Linotype" w:eastAsia="Palatino Linotype" w:hAnsi="Palatino Linotype" w:cs="Palatino Linotype"/>
          <w:b/>
          <w:bCs/>
          <w:i/>
          <w:iCs/>
        </w:rPr>
      </w:pPr>
    </w:p>
    <w:p w14:paraId="7DE3FA96"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lastRenderedPageBreak/>
        <w:t>XXIX. </w:t>
      </w:r>
      <w:r>
        <w:rPr>
          <w:rFonts w:ascii="Palatino Linotype" w:eastAsia="Palatino Linotype" w:hAnsi="Palatino Linotype" w:cs="Palatino Linotype"/>
          <w:i/>
          <w:iCs/>
        </w:rPr>
        <w:t>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2E11462D"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a) </w:t>
      </w:r>
      <w:r>
        <w:rPr>
          <w:rFonts w:ascii="Palatino Linotype" w:eastAsia="Palatino Linotype" w:hAnsi="Palatino Linotype" w:cs="Palatino Linotype"/>
          <w:i/>
          <w:iCs/>
        </w:rPr>
        <w:t>De licitaciones públicas o procedimientos de invitación restringida:</w:t>
      </w:r>
    </w:p>
    <w:p w14:paraId="67BE0596"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1)</w:t>
      </w:r>
      <w:r>
        <w:rPr>
          <w:rFonts w:ascii="Palatino Linotype" w:eastAsia="Palatino Linotype" w:hAnsi="Palatino Linotype" w:cs="Palatino Linotype"/>
          <w:i/>
          <w:iCs/>
        </w:rPr>
        <w:t> La convocatoria o invitación emitida, así como los fundamentos legales aplicados para llevarla a cabo;</w:t>
      </w:r>
    </w:p>
    <w:p w14:paraId="7FE93224"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2) </w:t>
      </w:r>
      <w:r>
        <w:rPr>
          <w:rFonts w:ascii="Palatino Linotype" w:eastAsia="Palatino Linotype" w:hAnsi="Palatino Linotype" w:cs="Palatino Linotype"/>
          <w:i/>
          <w:iCs/>
        </w:rPr>
        <w:t>Los nombres de los participantes o invitados;</w:t>
      </w:r>
    </w:p>
    <w:p w14:paraId="30358970"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3)</w:t>
      </w:r>
      <w:r>
        <w:rPr>
          <w:rFonts w:ascii="Palatino Linotype" w:eastAsia="Palatino Linotype" w:hAnsi="Palatino Linotype" w:cs="Palatino Linotype"/>
          <w:i/>
          <w:iCs/>
        </w:rPr>
        <w:t> El nombre del ganador y las razones que lo justifican;</w:t>
      </w:r>
    </w:p>
    <w:p w14:paraId="10E658FE"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4) </w:t>
      </w:r>
      <w:r>
        <w:rPr>
          <w:rFonts w:ascii="Palatino Linotype" w:eastAsia="Palatino Linotype" w:hAnsi="Palatino Linotype" w:cs="Palatino Linotype"/>
          <w:i/>
          <w:iCs/>
        </w:rPr>
        <w:t>El área solicitante y la responsable de su ejecución;</w:t>
      </w:r>
    </w:p>
    <w:p w14:paraId="6FF0D0CD"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5) </w:t>
      </w:r>
      <w:r>
        <w:rPr>
          <w:rFonts w:ascii="Palatino Linotype" w:eastAsia="Palatino Linotype" w:hAnsi="Palatino Linotype" w:cs="Palatino Linotype"/>
          <w:i/>
          <w:iCs/>
        </w:rPr>
        <w:t>Las convocatorias e invitaciones emitidas;</w:t>
      </w:r>
    </w:p>
    <w:p w14:paraId="04874216"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6) Los dictámenes y fallo de adjudicación;</w:t>
      </w:r>
    </w:p>
    <w:p w14:paraId="53FEF1F9"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i/>
          <w:iCs/>
        </w:rPr>
        <w:t>7</w:t>
      </w:r>
      <w:r>
        <w:rPr>
          <w:rFonts w:ascii="Palatino Linotype" w:eastAsia="Palatino Linotype" w:hAnsi="Palatino Linotype" w:cs="Palatino Linotype"/>
          <w:b/>
          <w:bCs/>
          <w:i/>
          <w:iCs/>
        </w:rPr>
        <w:t>) El contrato y, en su caso, sus anexos;</w:t>
      </w:r>
    </w:p>
    <w:p w14:paraId="7695CF32"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8) Los mecanismos de vigilancia y supervisión, incluyendo en su caso, los estudios de impacto urbano y ambiental, según corresponda;</w:t>
      </w:r>
    </w:p>
    <w:p w14:paraId="6C3AA706"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9) </w:t>
      </w:r>
      <w:r>
        <w:rPr>
          <w:rFonts w:ascii="Palatino Linotype" w:eastAsia="Palatino Linotype" w:hAnsi="Palatino Linotype" w:cs="Palatino Linotype"/>
          <w:i/>
          <w:iCs/>
        </w:rPr>
        <w:t>La partida presupuestal, de conformidad con el clasificador por objeto del gasto, en el caso de ser aplicable;</w:t>
      </w:r>
    </w:p>
    <w:p w14:paraId="212686BF"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i/>
          <w:iCs/>
        </w:rPr>
        <w:t>10) Origen de los recursos especificando si son federales, estatales o municipales, así como el tipo de fondo de participación o aportación respectiva;</w:t>
      </w:r>
    </w:p>
    <w:p w14:paraId="5E0C00B6"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11) </w:t>
      </w:r>
      <w:r>
        <w:rPr>
          <w:rFonts w:ascii="Palatino Linotype" w:eastAsia="Palatino Linotype" w:hAnsi="Palatino Linotype" w:cs="Palatino Linotype"/>
          <w:i/>
          <w:iCs/>
        </w:rPr>
        <w:t>Los convenios modificatorios que, en su caso, sean firmados, precisando el objeto y la fecha de celebración;</w:t>
      </w:r>
    </w:p>
    <w:p w14:paraId="0D843038" w14:textId="77777777" w:rsidR="00C63C05" w:rsidRDefault="00416EA5">
      <w:pPr>
        <w:ind w:left="567" w:right="-1131"/>
        <w:jc w:val="both"/>
        <w:rPr>
          <w:rFonts w:ascii="Palatino Linotype" w:eastAsia="Palatino Linotype" w:hAnsi="Palatino Linotype" w:cs="Palatino Linotype"/>
          <w:b/>
          <w:bCs/>
        </w:rPr>
      </w:pPr>
      <w:r>
        <w:rPr>
          <w:rFonts w:ascii="Palatino Linotype" w:eastAsia="Palatino Linotype" w:hAnsi="Palatino Linotype" w:cs="Palatino Linotype"/>
          <w:b/>
          <w:bCs/>
          <w:i/>
          <w:iCs/>
        </w:rPr>
        <w:t>12) Los informes de avance físico y financiero sobre las obras o servicios contratados;</w:t>
      </w:r>
    </w:p>
    <w:p w14:paraId="233A8F9D"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13) </w:t>
      </w:r>
      <w:r>
        <w:rPr>
          <w:rFonts w:ascii="Palatino Linotype" w:eastAsia="Palatino Linotype" w:hAnsi="Palatino Linotype" w:cs="Palatino Linotype"/>
          <w:i/>
          <w:iCs/>
        </w:rPr>
        <w:t>El convenio de terminación; y</w:t>
      </w:r>
    </w:p>
    <w:p w14:paraId="18A44784"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14) </w:t>
      </w:r>
      <w:r>
        <w:rPr>
          <w:rFonts w:ascii="Palatino Linotype" w:eastAsia="Palatino Linotype" w:hAnsi="Palatino Linotype" w:cs="Palatino Linotype"/>
          <w:i/>
          <w:iCs/>
        </w:rPr>
        <w:t>El finiquito.</w:t>
      </w:r>
    </w:p>
    <w:p w14:paraId="71583F62" w14:textId="77777777" w:rsidR="00C63C05" w:rsidRDefault="00416EA5">
      <w:pPr>
        <w:ind w:left="567" w:right="-1131"/>
        <w:jc w:val="both"/>
        <w:rPr>
          <w:rFonts w:ascii="Palatino Linotype" w:eastAsia="Palatino Linotype" w:hAnsi="Palatino Linotype" w:cs="Palatino Linotype"/>
          <w:b/>
          <w:bCs/>
        </w:rPr>
      </w:pPr>
      <w:r>
        <w:rPr>
          <w:rFonts w:ascii="Palatino Linotype" w:eastAsia="Palatino Linotype" w:hAnsi="Palatino Linotype" w:cs="Palatino Linotype"/>
          <w:b/>
          <w:bCs/>
          <w:i/>
          <w:iCs/>
        </w:rPr>
        <w:t>b) De las adjudicaciones directas:</w:t>
      </w:r>
    </w:p>
    <w:p w14:paraId="618487CA"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1) </w:t>
      </w:r>
      <w:r>
        <w:rPr>
          <w:rFonts w:ascii="Palatino Linotype" w:eastAsia="Palatino Linotype" w:hAnsi="Palatino Linotype" w:cs="Palatino Linotype"/>
          <w:i/>
          <w:iCs/>
        </w:rPr>
        <w:t>La propuesta enviada por el participante;</w:t>
      </w:r>
    </w:p>
    <w:p w14:paraId="345A2D85"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2) </w:t>
      </w:r>
      <w:r>
        <w:rPr>
          <w:rFonts w:ascii="Palatino Linotype" w:eastAsia="Palatino Linotype" w:hAnsi="Palatino Linotype" w:cs="Palatino Linotype"/>
          <w:i/>
          <w:iCs/>
        </w:rPr>
        <w:t>Los motivos y fundamentos legales aplicados para llevarla a cabo;</w:t>
      </w:r>
    </w:p>
    <w:p w14:paraId="029118B1"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3) </w:t>
      </w:r>
      <w:r>
        <w:rPr>
          <w:rFonts w:ascii="Palatino Linotype" w:eastAsia="Palatino Linotype" w:hAnsi="Palatino Linotype" w:cs="Palatino Linotype"/>
          <w:i/>
          <w:iCs/>
        </w:rPr>
        <w:t>La autorización del ejercicio de la opción;</w:t>
      </w:r>
    </w:p>
    <w:p w14:paraId="136CFBD2"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i/>
          <w:iCs/>
        </w:rPr>
        <w:t>4) En su caso, las cotizaciones consideradas, especificando los nombres de los proveedores y sus montos;</w:t>
      </w:r>
    </w:p>
    <w:p w14:paraId="57055FA3"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5) </w:t>
      </w:r>
      <w:r>
        <w:rPr>
          <w:rFonts w:ascii="Palatino Linotype" w:eastAsia="Palatino Linotype" w:hAnsi="Palatino Linotype" w:cs="Palatino Linotype"/>
          <w:i/>
          <w:iCs/>
        </w:rPr>
        <w:t>El nombre de la persona física o jurídica colectiva adjudicada;</w:t>
      </w:r>
    </w:p>
    <w:p w14:paraId="0432D17A"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6) </w:t>
      </w:r>
      <w:r>
        <w:rPr>
          <w:rFonts w:ascii="Palatino Linotype" w:eastAsia="Palatino Linotype" w:hAnsi="Palatino Linotype" w:cs="Palatino Linotype"/>
          <w:i/>
          <w:iCs/>
        </w:rPr>
        <w:t>La unidad administrativa solicitante y la responsable de su ejecución;</w:t>
      </w:r>
    </w:p>
    <w:p w14:paraId="2C9ADFF5"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lastRenderedPageBreak/>
        <w:t>7)</w:t>
      </w:r>
      <w:r>
        <w:rPr>
          <w:rFonts w:ascii="Palatino Linotype" w:eastAsia="Palatino Linotype" w:hAnsi="Palatino Linotype" w:cs="Palatino Linotype"/>
          <w:i/>
          <w:iCs/>
        </w:rPr>
        <w:t> El número, fecha, el monto del contrato y el plazo de entrega o de ejecución de los servicios u obra;</w:t>
      </w:r>
    </w:p>
    <w:p w14:paraId="4C8E7B0B"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8) </w:t>
      </w:r>
      <w:r>
        <w:rPr>
          <w:rFonts w:ascii="Palatino Linotype" w:eastAsia="Palatino Linotype" w:hAnsi="Palatino Linotype" w:cs="Palatino Linotype"/>
          <w:i/>
          <w:iCs/>
        </w:rPr>
        <w:t>Los mecanismos de vigilancia y supervisión, incluyendo, en su caso, los estudios de impacto urbano y ambiental, según corresponda;</w:t>
      </w:r>
    </w:p>
    <w:p w14:paraId="111321F3"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i/>
          <w:iCs/>
        </w:rPr>
        <w:t>9) Los informes de avance sobre las obras o servicios contratados;</w:t>
      </w:r>
    </w:p>
    <w:p w14:paraId="260A2FA9" w14:textId="77777777" w:rsidR="00C63C05" w:rsidRDefault="00416EA5">
      <w:pPr>
        <w:ind w:left="567" w:right="-1131"/>
        <w:jc w:val="both"/>
        <w:rPr>
          <w:rFonts w:ascii="Palatino Linotype" w:eastAsia="Palatino Linotype" w:hAnsi="Palatino Linotype" w:cs="Palatino Linotype"/>
        </w:rPr>
      </w:pPr>
      <w:r>
        <w:rPr>
          <w:rFonts w:ascii="Palatino Linotype" w:eastAsia="Palatino Linotype" w:hAnsi="Palatino Linotype" w:cs="Palatino Linotype"/>
          <w:b/>
          <w:bCs/>
          <w:i/>
          <w:iCs/>
        </w:rPr>
        <w:t>10) </w:t>
      </w:r>
      <w:r>
        <w:rPr>
          <w:rFonts w:ascii="Palatino Linotype" w:eastAsia="Palatino Linotype" w:hAnsi="Palatino Linotype" w:cs="Palatino Linotype"/>
          <w:i/>
          <w:iCs/>
        </w:rPr>
        <w:t>El convenio de terminación; y</w:t>
      </w:r>
    </w:p>
    <w:p w14:paraId="6FD32BB3"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11) </w:t>
      </w:r>
      <w:r>
        <w:rPr>
          <w:rFonts w:ascii="Palatino Linotype" w:eastAsia="Palatino Linotype" w:hAnsi="Palatino Linotype" w:cs="Palatino Linotype"/>
          <w:i/>
          <w:iCs/>
        </w:rPr>
        <w:t>El finiquito.</w:t>
      </w:r>
      <w:r>
        <w:rPr>
          <w:rFonts w:ascii="Palatino Linotype" w:eastAsia="Palatino Linotype" w:hAnsi="Palatino Linotype" w:cs="Palatino Linotype"/>
          <w:b/>
          <w:bCs/>
          <w:i/>
          <w:iCs/>
        </w:rPr>
        <w:t>”</w:t>
      </w:r>
    </w:p>
    <w:p w14:paraId="134072E8" w14:textId="77777777" w:rsidR="00C63C05" w:rsidRDefault="00C63C05">
      <w:pPr>
        <w:ind w:left="851" w:right="-1131"/>
        <w:jc w:val="both"/>
        <w:rPr>
          <w:rFonts w:ascii="Palatino Linotype" w:eastAsia="Palatino Linotype" w:hAnsi="Palatino Linotype" w:cs="Palatino Linotype"/>
        </w:rPr>
      </w:pPr>
    </w:p>
    <w:p w14:paraId="2A84F1F1"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consecuencia, se determina que existe fuente obligacional para celebrar contratos relacionados con la adquisición de bienes y servicios, a través de procedimientos de licitación, invitación restringida o adjudicación directa, en todos los casos, existe la obligación de hacer pública la información relacionada con las mismas, de acuerdo al artículo 92 de la Ley de Transparencia Local, ya que existe un interés colectivo de conocer el uso y destino de los recursos públicos.</w:t>
      </w:r>
    </w:p>
    <w:p w14:paraId="49428537"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17FD6095"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es de reiterar que el particular </w:t>
      </w:r>
      <w:r>
        <w:rPr>
          <w:rFonts w:ascii="Palatino Linotype" w:eastAsia="Palatino Linotype" w:hAnsi="Palatino Linotype" w:cs="Palatino Linotype"/>
        </w:rPr>
        <w:t>solicitó</w:t>
      </w:r>
      <w:r>
        <w:rPr>
          <w:rFonts w:ascii="Palatino Linotype" w:eastAsia="Palatino Linotype" w:hAnsi="Palatino Linotype" w:cs="Palatino Linotype"/>
          <w:color w:val="000000"/>
        </w:rPr>
        <w:t xml:space="preserve"> información respecto a los gastos correspondientes a la partida presupuestal 3611, que de conformidad con el Clasificador por Objeto de Gasto Estatal-Municipal señala lo siguiente:</w:t>
      </w:r>
    </w:p>
    <w:p w14:paraId="6E6EE02F"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1. El Clasificador por Objeto del Gasto es el documento armonizado que ordena e identifica en forma genérica, homogénea y coherente el registro del gasto por los conceptos de servicios personales, materiales y suministros, servicios generales, transferencias, asignaciones, subsidios y otras ayudas, bienes muebles, inmuebles e intangibles, inversión pública, inversiones financieras y otras provisiones, participaciones y aportaciones federales, y deuda pública, que requieren las dependencias, entidades públicas, así como los Municipios, para cumplir con los objetivos y programas señalados en el Plan de Desarrollo del Estado de México vigente y en el Plan de Desarrollo Municipal, respectivamente.</w:t>
      </w:r>
    </w:p>
    <w:p w14:paraId="2E9B63C9" w14:textId="77777777" w:rsidR="00C63C05" w:rsidRDefault="00C63C05">
      <w:pPr>
        <w:ind w:left="567" w:right="-1131"/>
        <w:jc w:val="both"/>
        <w:rPr>
          <w:rFonts w:ascii="Palatino Linotype" w:eastAsia="Palatino Linotype" w:hAnsi="Palatino Linotype" w:cs="Palatino Linotype"/>
          <w:i/>
          <w:iCs/>
        </w:rPr>
      </w:pPr>
    </w:p>
    <w:p w14:paraId="1A4FE17A"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2. El presente Clasificador por Objeto del Gasto, es de observancia obligatoria para las dependencias, entidades públicas y los Municipios, cumpliendo además con la normatividad que se emita en la materia.</w:t>
      </w:r>
    </w:p>
    <w:p w14:paraId="0589B56E"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0F01E19B"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4. Los capítulos, subcapítulos y partidas de gasto del presente Clasificador podrán utilizarse por los Poderes Legislativo y Judicial…</w:t>
      </w:r>
    </w:p>
    <w:p w14:paraId="5638A3F7"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noProof/>
          <w:lang w:val="es-MX"/>
        </w:rPr>
        <w:drawing>
          <wp:inline distT="0" distB="0" distL="0" distR="0" wp14:anchorId="5C8DFFCE" wp14:editId="4E9B5801">
            <wp:extent cx="4200525"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t="19252" b="8556"/>
                    <a:stretch>
                      <a:fillRect/>
                    </a:stretch>
                  </pic:blipFill>
                  <pic:spPr>
                    <a:xfrm>
                      <a:off x="0" y="0"/>
                      <a:ext cx="4200525" cy="428625"/>
                    </a:xfrm>
                    <a:prstGeom prst="rect">
                      <a:avLst/>
                    </a:prstGeom>
                    <a:ln/>
                  </pic:spPr>
                </pic:pic>
              </a:graphicData>
            </a:graphic>
          </wp:inline>
        </w:drawing>
      </w:r>
    </w:p>
    <w:p w14:paraId="55F71E76" w14:textId="77777777" w:rsidR="00C63C05" w:rsidRDefault="00416EA5">
      <w:pPr>
        <w:ind w:left="567" w:right="-113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3000 Servicios Generales</w:t>
      </w:r>
    </w:p>
    <w:p w14:paraId="045865A5" w14:textId="77777777" w:rsidR="00C63C05" w:rsidRDefault="00C63C05">
      <w:pPr>
        <w:ind w:left="567" w:right="-1131"/>
        <w:jc w:val="center"/>
        <w:rPr>
          <w:rFonts w:ascii="Palatino Linotype" w:eastAsia="Palatino Linotype" w:hAnsi="Palatino Linotype" w:cs="Palatino Linotype"/>
          <w:b/>
          <w:bCs/>
          <w:i/>
          <w:iCs/>
        </w:rPr>
      </w:pPr>
    </w:p>
    <w:p w14:paraId="4E401713" w14:textId="77777777" w:rsidR="00C63C05" w:rsidRDefault="00416EA5">
      <w:pPr>
        <w:ind w:left="567"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Subcapítulo 3600 Servicios de Comunicación Social y Publicidad. </w:t>
      </w:r>
    </w:p>
    <w:p w14:paraId="0BC20D38"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Asignaciones destinadas a cubrir los gastos de realización y difusión de mensajes y campañas para informar a la población sobre los programas, servicios públicos y el quehacer gubernamental en general; así como la publicidad comercial de los productos y servicios que generan ingresos para los entes públicos. Incluye la contratación de servicios de impresión y publicación de información; así como al montaje de espectáculos culturales y celebraciones que demanden los entes públicos.</w:t>
      </w:r>
    </w:p>
    <w:p w14:paraId="2E81E49A"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82BB7D2" w14:textId="77777777" w:rsidR="00C63C05" w:rsidRDefault="00416EA5">
      <w:pPr>
        <w:ind w:left="567"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3611 Gastos de publicidad y propaganda</w:t>
      </w:r>
      <w:r>
        <w:rPr>
          <w:rFonts w:ascii="Palatino Linotype" w:eastAsia="Palatino Linotype" w:hAnsi="Palatino Linotype" w:cs="Palatino Linotype"/>
          <w:i/>
          <w:iCs/>
        </w:rPr>
        <w:t xml:space="preserve">. Asignación para contratar servicios de publicidad y difusión en medios masivos de comunicación, que permitan dar a conocer el quehacer de la administración pública estatal, así como los bienes y servicios públicos que se prestan; publicación y difusión masiva a través de televisión abierta y restringida, radio, cine, prensa, encartes, espectaculares, para buses, Internet y medios electrónicos e impresos internacionales. </w:t>
      </w:r>
    </w:p>
    <w:p w14:paraId="5037BEE4" w14:textId="77777777" w:rsidR="00C63C05" w:rsidRDefault="00C63C05">
      <w:pPr>
        <w:ind w:left="567" w:right="-1131"/>
        <w:jc w:val="both"/>
        <w:rPr>
          <w:rFonts w:ascii="Palatino Linotype" w:eastAsia="Palatino Linotype" w:hAnsi="Palatino Linotype" w:cs="Palatino Linotype"/>
          <w:i/>
          <w:iCs/>
        </w:rPr>
      </w:pPr>
    </w:p>
    <w:p w14:paraId="31956121" w14:textId="77777777" w:rsidR="004B745E" w:rsidRDefault="004B745E">
      <w:pPr>
        <w:ind w:left="567" w:right="-1131"/>
        <w:jc w:val="both"/>
        <w:rPr>
          <w:rFonts w:ascii="Palatino Linotype" w:eastAsia="Palatino Linotype" w:hAnsi="Palatino Linotype" w:cs="Palatino Linotype"/>
          <w:i/>
          <w:iCs/>
        </w:rPr>
      </w:pPr>
    </w:p>
    <w:p w14:paraId="05A3153C"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Con lo anterior se advierte que la partida requerida por el particular alude a los montos destinados a gastos relativos a todos los programas de publicidad y propaganda en los medios de comunicación social que tienen por objeto hacer del conocimiento a la población las distintas actividades de la administración pública, a través de los diversos medios de comunicación.</w:t>
      </w:r>
    </w:p>
    <w:p w14:paraId="5C72618E" w14:textId="77777777" w:rsidR="00C63C05" w:rsidRDefault="00C63C05">
      <w:pPr>
        <w:spacing w:line="360" w:lineRule="auto"/>
        <w:ind w:right="-1131"/>
        <w:jc w:val="both"/>
        <w:rPr>
          <w:rFonts w:ascii="Palatino Linotype" w:eastAsia="Palatino Linotype" w:hAnsi="Palatino Linotype" w:cs="Palatino Linotype"/>
        </w:rPr>
      </w:pPr>
    </w:p>
    <w:p w14:paraId="2B157EB8"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Ahora bien es de señalar, que a fin de allegarse de elementos que abonen a garantizar el derecho de acceso a la información del particular, personal de este instituto, procedió a realizar una búsqueda en internet, localizando la siguiente información:</w:t>
      </w:r>
    </w:p>
    <w:p w14:paraId="72AB3587"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rPr>
      </w:pPr>
    </w:p>
    <w:p w14:paraId="2D317055" w14:textId="77777777" w:rsidR="00C63C05" w:rsidRDefault="00416EA5">
      <w:pPr>
        <w:pBdr>
          <w:top w:val="nil"/>
          <w:left w:val="nil"/>
          <w:bottom w:val="nil"/>
          <w:right w:val="nil"/>
          <w:between w:val="nil"/>
        </w:pBdr>
        <w:spacing w:line="360" w:lineRule="auto"/>
        <w:ind w:right="-1131"/>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14:anchorId="388BF3DB" wp14:editId="6C16FC10">
            <wp:extent cx="3148965" cy="23431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11596" b="54033"/>
                    <a:stretch>
                      <a:fillRect/>
                    </a:stretch>
                  </pic:blipFill>
                  <pic:spPr>
                    <a:xfrm>
                      <a:off x="0" y="0"/>
                      <a:ext cx="3148965" cy="2343150"/>
                    </a:xfrm>
                    <a:prstGeom prst="rect">
                      <a:avLst/>
                    </a:prstGeom>
                    <a:ln/>
                  </pic:spPr>
                </pic:pic>
              </a:graphicData>
            </a:graphic>
          </wp:inline>
        </w:drawing>
      </w:r>
    </w:p>
    <w:p w14:paraId="5CAF431F"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rPr>
      </w:pPr>
    </w:p>
    <w:p w14:paraId="4AAED8B9"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de la nota antes referida, se desprende que el segundo informe de gobierno fue transmitido por diversas cadenas televisivas, los cuales pudieron haber generado gastos establecidos en la partida presupuestal 3611,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deberá</w:t>
      </w:r>
      <w:r>
        <w:rPr>
          <w:rFonts w:ascii="Palatino Linotype" w:eastAsia="Palatino Linotype" w:hAnsi="Palatino Linotype" w:cs="Palatino Linotype"/>
          <w:color w:val="000000"/>
        </w:rPr>
        <w:t xml:space="preserve"> de contar con la información requerida por el particular.</w:t>
      </w:r>
    </w:p>
    <w:p w14:paraId="30BD1098"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60325376" w14:textId="77777777" w:rsidR="00C63C05" w:rsidRDefault="00416EA5">
      <w:pPr>
        <w:numPr>
          <w:ilvl w:val="0"/>
          <w:numId w:val="7"/>
        </w:num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la nota expuesta se arrojan indicios sobre los hechos a los que se refieren. Sirve de apoyo a lo anteriormente señalado, la Jurisprudencia emitida por la Sala Superior de la Suprema Corte de Justicia de la Nación, Tercera Época</w:t>
      </w:r>
      <w:r>
        <w:rPr>
          <w:rFonts w:ascii="Palatino Linotype" w:eastAsia="Palatino Linotype" w:hAnsi="Palatino Linotype" w:cs="Palatino Linotype"/>
          <w:color w:val="000000"/>
          <w:vertAlign w:val="superscript"/>
        </w:rPr>
        <w:footnoteReference w:id="9"/>
      </w:r>
      <w:r>
        <w:rPr>
          <w:rFonts w:ascii="Palatino Linotype" w:eastAsia="Palatino Linotype" w:hAnsi="Palatino Linotype" w:cs="Palatino Linotype"/>
          <w:color w:val="000000"/>
        </w:rPr>
        <w:t>, que se muestra a continuación:</w:t>
      </w:r>
    </w:p>
    <w:p w14:paraId="05B8B135" w14:textId="77777777" w:rsidR="00C63C05" w:rsidRDefault="00416EA5">
      <w:pPr>
        <w:pBdr>
          <w:top w:val="nil"/>
          <w:left w:val="nil"/>
          <w:bottom w:val="nil"/>
          <w:right w:val="nil"/>
          <w:between w:val="nil"/>
        </w:pBdr>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“NOTAS PERIODÍSTICAS. ELEMENTOS PARA DETERMINAR SU FUERZA INDICIARIA. </w:t>
      </w:r>
    </w:p>
    <w:p w14:paraId="197301D8" w14:textId="77777777" w:rsidR="00C63C05" w:rsidRDefault="00416EA5">
      <w:pPr>
        <w:pBdr>
          <w:top w:val="nil"/>
          <w:left w:val="nil"/>
          <w:bottom w:val="nil"/>
          <w:right w:val="nil"/>
          <w:between w:val="nil"/>
        </w:pBdr>
        <w:tabs>
          <w:tab w:val="left" w:pos="7655"/>
        </w:tabs>
        <w:ind w:left="567" w:right="-113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coincidentes en lo sustancial, y si además no obra constancia de que el afectado con su contenido haya ofrecido algún mentís sobre lo que en las noticias se le atribuye, y 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r>
        <w:rPr>
          <w:rFonts w:ascii="Palatino Linotype" w:eastAsia="Palatino Linotype" w:hAnsi="Palatino Linotype" w:cs="Palatino Linotype"/>
          <w:b/>
          <w:bCs/>
          <w:i/>
          <w:iCs/>
          <w:color w:val="000000"/>
        </w:rPr>
        <w:t>(Sic)</w:t>
      </w:r>
    </w:p>
    <w:p w14:paraId="6C1A68CC" w14:textId="77777777" w:rsidR="00C63C05" w:rsidRDefault="00C63C05">
      <w:pPr>
        <w:pBdr>
          <w:top w:val="nil"/>
          <w:left w:val="nil"/>
          <w:bottom w:val="nil"/>
          <w:right w:val="nil"/>
          <w:between w:val="nil"/>
        </w:pBdr>
        <w:tabs>
          <w:tab w:val="left" w:pos="7655"/>
        </w:tabs>
        <w:ind w:left="567" w:right="-1131"/>
        <w:jc w:val="both"/>
        <w:rPr>
          <w:rFonts w:ascii="Palatino Linotype" w:eastAsia="Palatino Linotype" w:hAnsi="Palatino Linotype" w:cs="Palatino Linotype"/>
          <w:b/>
          <w:bCs/>
          <w:i/>
          <w:iCs/>
          <w:color w:val="000000"/>
        </w:rPr>
      </w:pPr>
    </w:p>
    <w:p w14:paraId="4ABC0ED2" w14:textId="77777777" w:rsidR="004B745E" w:rsidRDefault="004B745E">
      <w:pPr>
        <w:pBdr>
          <w:top w:val="nil"/>
          <w:left w:val="nil"/>
          <w:bottom w:val="nil"/>
          <w:right w:val="nil"/>
          <w:between w:val="nil"/>
        </w:pBdr>
        <w:tabs>
          <w:tab w:val="left" w:pos="7655"/>
        </w:tabs>
        <w:ind w:left="567" w:right="-1131"/>
        <w:jc w:val="both"/>
        <w:rPr>
          <w:rFonts w:ascii="Palatino Linotype" w:eastAsia="Palatino Linotype" w:hAnsi="Palatino Linotype" w:cs="Palatino Linotype"/>
          <w:b/>
          <w:bCs/>
          <w:i/>
          <w:iCs/>
          <w:color w:val="000000"/>
        </w:rPr>
      </w:pPr>
    </w:p>
    <w:p w14:paraId="4C335631"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la necesidad de traer a contexto la Tesis Aislada aplicable por analogía en nuestra materia, con número de registro 168124 de la Novena Época del Segundo Tribunal Colegiado del Vigésimo Circuito, publicadas en la página 2470 del Tomo XXIX de enero de 2009 del Semanario Judicial de la Federación y su Gaceta, que es del tenor literal siguiente: </w:t>
      </w:r>
    </w:p>
    <w:p w14:paraId="687E67D8" w14:textId="77777777" w:rsidR="00C63C05" w:rsidRDefault="00416EA5">
      <w:pPr>
        <w:widowControl w:val="0"/>
        <w:pBdr>
          <w:top w:val="nil"/>
          <w:left w:val="nil"/>
          <w:bottom w:val="nil"/>
          <w:right w:val="nil"/>
          <w:between w:val="nil"/>
        </w:pBdr>
        <w:shd w:val="clear" w:color="auto" w:fill="FFFFFF"/>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Pr>
          <w:rFonts w:ascii="Palatino Linotype" w:eastAsia="Palatino Linotype" w:hAnsi="Palatino Linotype" w:cs="Palatino Linotype"/>
          <w:i/>
          <w:iCs/>
          <w:color w:val="000000"/>
        </w:rPr>
        <w:t xml:space="preserve"> Los datos que aparecen en las páginas electrónicas oficiales que los órganos de gobierno utilizan para poner a disposición del público, entre otros servicios, la descripción de sus plazas, el directorio de sus empleados o el estado que guardan sus expedientes, constituyen Tesis: XX.2o. J/24 Semanario Judicial de la Federación y su Gaceta Novena Época 168124 75 de 163 Tribunales Colegiados de Circuito Tomo XXIX, Enero de 2009 Pag. 2470 Jurisprudencia(Común) un hecho notorio que puede invocarse por los tribunales, en términos del artículo 88 del Código Federal de Procedimientos Civiles, de aplicación supletoria a la Ley de Amparo; porque la información generada o comunicada por esa vía forma parte del sistema mundial de diseminación y obtención de datos denominada "internet", del cual puede obtenerse, por ejemplo, el nombre de un servidor público, el organigrama de una institución, así como el sentido de sus resoluciones; de ahí que sea válido que los órganos jurisdiccionales invoquen de oficio lo publicado en ese medio para resolver un asunto en particular.</w:t>
      </w:r>
    </w:p>
    <w:p w14:paraId="5462C5B3" w14:textId="77777777" w:rsidR="00C63C05" w:rsidRDefault="00C63C05">
      <w:pPr>
        <w:pBdr>
          <w:top w:val="nil"/>
          <w:left w:val="nil"/>
          <w:bottom w:val="nil"/>
          <w:right w:val="nil"/>
          <w:between w:val="nil"/>
        </w:pBdr>
        <w:spacing w:line="360" w:lineRule="auto"/>
        <w:ind w:left="360" w:right="-1131"/>
        <w:jc w:val="both"/>
        <w:rPr>
          <w:rFonts w:ascii="Palatino Linotype" w:eastAsia="Palatino Linotype" w:hAnsi="Palatino Linotype" w:cs="Palatino Linotype"/>
          <w:color w:val="000000"/>
        </w:rPr>
      </w:pPr>
    </w:p>
    <w:p w14:paraId="6C474402"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Ahora bien, en consecuencia de lo anterior es de referir que la información solicitada reviste interés público al transparentar las actividades que llevan a cabo los sujetos obligados, particularmente la Secretaría General de Gobierno, que es un Sujeto Obligado a transparentar y permitir el acceso a su información, en razón que se debe garantizar el efectivo acceso de toda persona a la información en posesión de cualquier Sujeto Obligado, así como de cualquier persona que reciba recursos públicos.</w:t>
      </w:r>
    </w:p>
    <w:p w14:paraId="0508F4B8"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rPr>
      </w:pPr>
    </w:p>
    <w:p w14:paraId="43A0F137"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sujetos obligados deberán hacer pública toda aquella información relativa a los montos y las personas a quienes entreguen, por cualquier motivo, recursos públicos y en </w:t>
      </w:r>
      <w:r>
        <w:rPr>
          <w:rFonts w:ascii="Palatino Linotype" w:eastAsia="Palatino Linotype" w:hAnsi="Palatino Linotype" w:cs="Palatino Linotype"/>
        </w:rPr>
        <w:lastRenderedPageBreak/>
        <w:t>consecuencia, los servidores públicos deberán transparentar sus acciones así como garantizar y respetar el derecho de acceso a la información pública.</w:t>
      </w:r>
    </w:p>
    <w:p w14:paraId="10529191"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rPr>
      </w:pPr>
    </w:p>
    <w:p w14:paraId="4AA71F33"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En este sentido se deben señalar diversos datos de manera enunciativa más no limitativa, que si bien corresponden a datos personales no actualizan la causal de clasificación establecida en el artículo 143, fracción I, de la Ley de Transparencia y Acceso a la Información Pública del Estado de México y Municipios.</w:t>
      </w:r>
    </w:p>
    <w:p w14:paraId="0864B1DC"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rPr>
      </w:pPr>
    </w:p>
    <w:p w14:paraId="1A07FF98" w14:textId="77777777" w:rsidR="00C63C05" w:rsidRDefault="00416EA5">
      <w:pPr>
        <w:numPr>
          <w:ilvl w:val="0"/>
          <w:numId w:val="16"/>
        </w:numPr>
        <w:pBdr>
          <w:top w:val="nil"/>
          <w:left w:val="nil"/>
          <w:bottom w:val="nil"/>
          <w:right w:val="nil"/>
          <w:between w:val="nil"/>
        </w:pBdr>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Cuentas bancarias o clabes interbancarias</w:t>
      </w:r>
    </w:p>
    <w:p w14:paraId="3FE52650"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Resulta importante señalar que </w:t>
      </w:r>
      <w:r>
        <w:rPr>
          <w:rFonts w:ascii="Palatino Linotype" w:eastAsia="Palatino Linotype" w:hAnsi="Palatino Linotype" w:cs="Palatino Linotype"/>
          <w:color w:val="000000"/>
        </w:rPr>
        <w:t>tratándose de las cuentas bancarias o clabes interbancarias de los Sujetos Obligados ya que su publicidad cede a la rendición de cuentas al transparentar la forma en que son administrados los recursos públicos.</w:t>
      </w:r>
    </w:p>
    <w:p w14:paraId="54FB9876" w14:textId="77777777" w:rsidR="00C63C05" w:rsidRDefault="00C63C05">
      <w:pPr>
        <w:spacing w:line="360" w:lineRule="auto"/>
        <w:ind w:right="-1131"/>
        <w:jc w:val="both"/>
        <w:rPr>
          <w:rFonts w:ascii="Palatino Linotype" w:eastAsia="Palatino Linotype" w:hAnsi="Palatino Linotype" w:cs="Palatino Linotype"/>
        </w:rPr>
      </w:pPr>
    </w:p>
    <w:p w14:paraId="5314D90F"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Lo argumentado encuentra sustento en los criterios orientadores 10/17 y 11/17 emitidos por el Instituto Nacional de Transparencia, Acceso a la Información y Protección de Datos Personales, INAI, que llevan por rubro y texto los siguientes:</w:t>
      </w:r>
    </w:p>
    <w:p w14:paraId="61D7E765" w14:textId="77777777" w:rsidR="00C63C05" w:rsidRDefault="00416EA5">
      <w:pPr>
        <w:pBdr>
          <w:top w:val="nil"/>
          <w:left w:val="nil"/>
          <w:bottom w:val="nil"/>
          <w:right w:val="nil"/>
          <w:between w:val="nil"/>
        </w:pBdr>
        <w:spacing w:before="240" w:after="240"/>
        <w:ind w:left="567"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t>“Cuentas bancarias y/o CLABE interbancaria de personas físicas y morales privadas.</w:t>
      </w:r>
      <w:r>
        <w:rPr>
          <w:rFonts w:ascii="Palatino Linotype" w:eastAsia="Palatino Linotype" w:hAnsi="Palatino Linotype" w:cs="Palatino Linotype"/>
          <w:i/>
          <w:iCs/>
          <w:color w:val="000000"/>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2D4EA74" w14:textId="77777777" w:rsidR="00C63C05" w:rsidRDefault="00416EA5">
      <w:pPr>
        <w:pBdr>
          <w:top w:val="nil"/>
          <w:left w:val="nil"/>
          <w:bottom w:val="nil"/>
          <w:right w:val="nil"/>
          <w:between w:val="nil"/>
        </w:pBdr>
        <w:spacing w:before="240" w:after="24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Cuentas bancarias y/o CLABE interbancaria de sujetos obligados que reciben y/o transfieren recursos públicos, son información pública</w:t>
      </w:r>
      <w:r>
        <w:rPr>
          <w:rFonts w:ascii="Palatino Linotype" w:eastAsia="Palatino Linotype" w:hAnsi="Palatino Linotype" w:cs="Palatino Linotype"/>
          <w:i/>
          <w:iCs/>
          <w:color w:val="000000"/>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2D333909" w14:textId="77777777" w:rsidR="00C63C05" w:rsidRDefault="00C63C05">
      <w:pPr>
        <w:pBdr>
          <w:top w:val="nil"/>
          <w:left w:val="nil"/>
          <w:bottom w:val="nil"/>
          <w:right w:val="nil"/>
          <w:between w:val="nil"/>
        </w:pBdr>
        <w:ind w:left="1134" w:right="-1131"/>
        <w:jc w:val="both"/>
        <w:rPr>
          <w:rFonts w:ascii="Palatino Linotype" w:eastAsia="Palatino Linotype" w:hAnsi="Palatino Linotype" w:cs="Palatino Linotype"/>
          <w:color w:val="000000"/>
        </w:rPr>
      </w:pPr>
    </w:p>
    <w:p w14:paraId="211FE065" w14:textId="77777777" w:rsidR="00C63C05" w:rsidRDefault="00416EA5">
      <w:pPr>
        <w:numPr>
          <w:ilvl w:val="0"/>
          <w:numId w:val="16"/>
        </w:num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Registro Federal de Contribuyentes (RFC)</w:t>
      </w:r>
    </w:p>
    <w:p w14:paraId="5EF0392A"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Por cuanto hace al </w:t>
      </w:r>
      <w:r>
        <w:rPr>
          <w:rFonts w:ascii="Palatino Linotype" w:eastAsia="Palatino Linotype" w:hAnsi="Palatino Linotype" w:cs="Palatino Linotype"/>
          <w:b/>
          <w:bCs/>
          <w:color w:val="000000"/>
        </w:rPr>
        <w:t xml:space="preserve">Registro Federal de Contribuyentes (RFC), </w:t>
      </w:r>
      <w:r>
        <w:rPr>
          <w:rFonts w:ascii="Palatino Linotype" w:eastAsia="Palatino Linotype" w:hAnsi="Palatino Linotype" w:cs="Palatino Linotype"/>
          <w:color w:val="000000"/>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40CDDC1F" w14:textId="77777777" w:rsidR="00C63C05" w:rsidRDefault="00C63C05">
      <w:pPr>
        <w:spacing w:line="360" w:lineRule="auto"/>
        <w:ind w:right="-1131"/>
        <w:jc w:val="both"/>
        <w:rPr>
          <w:rFonts w:ascii="Palatino Linotype" w:eastAsia="Palatino Linotype" w:hAnsi="Palatino Linotype" w:cs="Palatino Linotype"/>
        </w:rPr>
      </w:pPr>
    </w:p>
    <w:p w14:paraId="34825F43"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088D6A8E" w14:textId="77777777" w:rsidR="00C63C05" w:rsidRDefault="00C63C05">
      <w:pPr>
        <w:spacing w:line="360" w:lineRule="auto"/>
        <w:ind w:right="-1131"/>
        <w:jc w:val="both"/>
        <w:rPr>
          <w:rFonts w:ascii="Palatino Linotype" w:eastAsia="Palatino Linotype" w:hAnsi="Palatino Linotype" w:cs="Palatino Linotype"/>
        </w:rPr>
      </w:pPr>
    </w:p>
    <w:p w14:paraId="343D7B90"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Además, las personas físicas que realicen las actividades contratadas por las instituciones, renuncian implícitamente a una parte de su derecho a la intimidad al obtener </w:t>
      </w:r>
      <w:r>
        <w:rPr>
          <w:rFonts w:ascii="Palatino Linotype" w:eastAsia="Palatino Linotype" w:hAnsi="Palatino Linotype" w:cs="Palatino Linotype"/>
          <w:color w:val="000000"/>
        </w:rPr>
        <w:lastRenderedPageBreak/>
        <w:t>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35BA2312" w14:textId="77777777" w:rsidR="00C63C05" w:rsidRDefault="00C63C05">
      <w:pPr>
        <w:spacing w:line="360" w:lineRule="auto"/>
        <w:ind w:right="-1131"/>
        <w:jc w:val="both"/>
        <w:rPr>
          <w:rFonts w:ascii="Palatino Linotype" w:eastAsia="Palatino Linotype" w:hAnsi="Palatino Linotype" w:cs="Palatino Linotype"/>
        </w:rPr>
      </w:pPr>
    </w:p>
    <w:p w14:paraId="40E048A0"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Robustece lo anterior el criterio orientador 04/21 emitido por el Instituto Nacional de Transparencia, Acceso a la Información y Protección de Datos Personales, INAI, el cual refiere:</w:t>
      </w:r>
    </w:p>
    <w:p w14:paraId="774EE8DB" w14:textId="77777777" w:rsidR="00C63C05" w:rsidRDefault="00416EA5">
      <w:pPr>
        <w:pBdr>
          <w:top w:val="nil"/>
          <w:left w:val="nil"/>
          <w:bottom w:val="nil"/>
          <w:right w:val="nil"/>
          <w:between w:val="nil"/>
        </w:pBdr>
        <w:tabs>
          <w:tab w:val="left" w:pos="7938"/>
        </w:tabs>
        <w:spacing w:before="120" w:after="120"/>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“Registro Federal de Contribuyentes (RFC) de personas físicas proveedoras o contratistas. </w:t>
      </w:r>
      <w:r>
        <w:rPr>
          <w:rFonts w:ascii="Palatino Linotype" w:eastAsia="Palatino Linotype" w:hAnsi="Palatino Linotype" w:cs="Palatino Linotype"/>
          <w:i/>
          <w:iCs/>
          <w:color w:val="000000"/>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29480562" w14:textId="77777777" w:rsidR="00C63C05" w:rsidRDefault="00C63C05">
      <w:pPr>
        <w:pBdr>
          <w:top w:val="nil"/>
          <w:left w:val="nil"/>
          <w:bottom w:val="nil"/>
          <w:right w:val="nil"/>
          <w:between w:val="nil"/>
        </w:pBdr>
        <w:tabs>
          <w:tab w:val="left" w:pos="7938"/>
        </w:tabs>
        <w:spacing w:before="120" w:after="120"/>
        <w:ind w:left="1134" w:right="-1131"/>
        <w:jc w:val="both"/>
        <w:rPr>
          <w:rFonts w:ascii="Palatino Linotype" w:eastAsia="Palatino Linotype" w:hAnsi="Palatino Linotype" w:cs="Palatino Linotype"/>
          <w:color w:val="000000"/>
        </w:rPr>
      </w:pPr>
    </w:p>
    <w:p w14:paraId="4B0342C3"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Relacionado con lo anterior, el nombre de las personas físicas o los representantes legales de las personas morales,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w:t>
      </w:r>
      <w:r>
        <w:rPr>
          <w:rFonts w:ascii="Palatino Linotype" w:eastAsia="Palatino Linotype" w:hAnsi="Palatino Linotype" w:cs="Palatino Linotype"/>
          <w:color w:val="000000"/>
        </w:rPr>
        <w:lastRenderedPageBreak/>
        <w:t>moral que resultó favorecida con el procedimiento de licitación no conservan el carácter de confidencial y por tanto no deben ser testados.</w:t>
      </w:r>
    </w:p>
    <w:p w14:paraId="57251B97" w14:textId="77777777" w:rsidR="00C63C05" w:rsidRDefault="00C63C05">
      <w:pPr>
        <w:spacing w:line="360" w:lineRule="auto"/>
        <w:ind w:right="-1131"/>
        <w:jc w:val="both"/>
        <w:rPr>
          <w:rFonts w:ascii="Palatino Linotype" w:eastAsia="Palatino Linotype" w:hAnsi="Palatino Linotype" w:cs="Palatino Linotype"/>
        </w:rPr>
      </w:pPr>
    </w:p>
    <w:p w14:paraId="45A04726"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Asimismo, resulta aplicable el contenido del criterio de interpretación 01/19 emitido por el Instituto Nacional de Transparencia, Acceso a la Información, y Protección de Datos Personales, INAI, que lleva por rubro y texto los siguientes:</w:t>
      </w:r>
    </w:p>
    <w:p w14:paraId="30D647BC" w14:textId="77777777" w:rsidR="00C63C05" w:rsidRDefault="00416EA5">
      <w:pPr>
        <w:pBdr>
          <w:top w:val="nil"/>
          <w:left w:val="nil"/>
          <w:bottom w:val="nil"/>
          <w:right w:val="nil"/>
          <w:between w:val="nil"/>
        </w:pBdr>
        <w:tabs>
          <w:tab w:val="left" w:pos="7088"/>
        </w:tabs>
        <w:ind w:left="567"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“Datos de identificación del representante o apoderado legal.</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 xml:space="preserve">Naturaleza jurídica. </w:t>
      </w:r>
      <w:r>
        <w:rPr>
          <w:rFonts w:ascii="Palatino Linotype" w:eastAsia="Palatino Linotype" w:hAnsi="Palatino Linotype" w:cs="Palatino Linotype"/>
          <w:i/>
          <w:iCs/>
          <w:color w:val="000000"/>
        </w:rPr>
        <w:t xml:space="preserve">El nombre, la firma y la rúbrica de una persona física, que actúe como representante o apoderado legal de un tercero que haya celebrado un acto jurídico, con algún sujeto obligado, </w:t>
      </w:r>
      <w:r>
        <w:rPr>
          <w:rFonts w:ascii="Palatino Linotype" w:eastAsia="Palatino Linotype" w:hAnsi="Palatino Linotype" w:cs="Palatino Linotype"/>
          <w:b/>
          <w:bCs/>
          <w:i/>
          <w:iCs/>
          <w:color w:val="000000"/>
        </w:rPr>
        <w:t>es información pública, en razón de que tales datos fueron proporcionados con el objeto de expresar el consentimiento obligacional del tercero y otorgar validez a dicho instrumento jurídico</w:t>
      </w:r>
      <w:r>
        <w:rPr>
          <w:rFonts w:ascii="Palatino Linotype" w:eastAsia="Palatino Linotype" w:hAnsi="Palatino Linotype" w:cs="Palatino Linotype"/>
          <w:i/>
          <w:iCs/>
          <w:color w:val="000000"/>
        </w:rPr>
        <w:t>.”</w:t>
      </w:r>
    </w:p>
    <w:p w14:paraId="278AC35A" w14:textId="77777777" w:rsidR="00C63C05" w:rsidRDefault="00C63C05">
      <w:pPr>
        <w:shd w:val="clear" w:color="auto" w:fill="FFFFFF"/>
        <w:spacing w:line="360" w:lineRule="auto"/>
        <w:ind w:right="-1131"/>
        <w:jc w:val="both"/>
        <w:rPr>
          <w:rFonts w:ascii="Palatino Linotype" w:eastAsia="Palatino Linotype" w:hAnsi="Palatino Linotype" w:cs="Palatino Linotype"/>
          <w:b/>
          <w:bCs/>
          <w:color w:val="000000"/>
        </w:rPr>
      </w:pPr>
    </w:p>
    <w:p w14:paraId="11751530" w14:textId="77777777" w:rsidR="00C63C05" w:rsidRDefault="00416EA5">
      <w:pPr>
        <w:numPr>
          <w:ilvl w:val="0"/>
          <w:numId w:val="16"/>
        </w:numPr>
        <w:pBdr>
          <w:top w:val="nil"/>
          <w:left w:val="nil"/>
          <w:bottom w:val="nil"/>
          <w:right w:val="nil"/>
          <w:between w:val="nil"/>
        </w:pBdr>
        <w:shd w:val="clear" w:color="auto" w:fill="FFFFFF"/>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Domicilio Fiscal o legal (proveedor persona física o moral)</w:t>
      </w:r>
    </w:p>
    <w:p w14:paraId="53BA7C79"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De acuerdo a lo señalado en los artículos 2.17 y 2.21 del Código Civil del Estado de México, el domicilio de una persona física, es el lugar donde reside, en donde tiene el principal asiento de negocios, o en su caso, el dónde se halle; mientras, que el de personas jurídicas colectivas, es aquel donde se halle establecida su administración o ejerza sus actividades.</w:t>
      </w:r>
    </w:p>
    <w:p w14:paraId="344603FA" w14:textId="77777777" w:rsidR="00C63C05" w:rsidRDefault="00416EA5">
      <w:pPr>
        <w:shd w:val="clear" w:color="auto" w:fill="FFFFFF"/>
        <w:spacing w:before="240" w:after="240"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rPr>
        <w:t>Además, respecto al domicilio fiscal, resulta necesario traer el artículo 22 del Código Financiero del Estado de México y Municipios, que establece:</w:t>
      </w:r>
    </w:p>
    <w:p w14:paraId="7D135560" w14:textId="77777777" w:rsidR="00C63C05" w:rsidRDefault="00416EA5">
      <w:pPr>
        <w:shd w:val="clear" w:color="auto" w:fill="FFFFFF"/>
        <w:ind w:left="567" w:right="-1131"/>
        <w:jc w:val="both"/>
        <w:rPr>
          <w:rFonts w:ascii="Palatino Linotype" w:eastAsia="Palatino Linotype" w:hAnsi="Palatino Linotype" w:cs="Palatino Linotype"/>
          <w:b/>
          <w:bCs/>
          <w:i/>
          <w:iCs/>
        </w:rPr>
      </w:pPr>
      <w:bookmarkStart w:id="10" w:name="_heading=h.jwuisl48g17e" w:colFirst="0" w:colLast="0"/>
      <w:bookmarkEnd w:id="10"/>
      <w:r>
        <w:rPr>
          <w:rFonts w:ascii="Palatino Linotype" w:eastAsia="Palatino Linotype" w:hAnsi="Palatino Linotype" w:cs="Palatino Linotype"/>
          <w:b/>
          <w:bCs/>
          <w:i/>
          <w:iCs/>
        </w:rPr>
        <w:t xml:space="preserve">Artículo 22.- Se considera domicilio fiscal de las personas físicas y jurídicas colectivas: </w:t>
      </w:r>
    </w:p>
    <w:p w14:paraId="69BF2F9F" w14:textId="77777777" w:rsidR="00C63C05" w:rsidRDefault="00C63C05">
      <w:pPr>
        <w:shd w:val="clear" w:color="auto" w:fill="FFFFFF"/>
        <w:ind w:left="567" w:right="-1131"/>
        <w:jc w:val="both"/>
        <w:rPr>
          <w:rFonts w:ascii="Palatino Linotype" w:eastAsia="Palatino Linotype" w:hAnsi="Palatino Linotype" w:cs="Palatino Linotype"/>
          <w:i/>
          <w:iCs/>
        </w:rPr>
      </w:pPr>
    </w:p>
    <w:p w14:paraId="6692C864" w14:textId="77777777" w:rsidR="00C63C05" w:rsidRDefault="00416EA5">
      <w:pPr>
        <w:shd w:val="clear" w:color="auto" w:fill="FFFFFF"/>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lugar o establecimiento donde se realicen actividades que generen obligaciones fiscales. </w:t>
      </w:r>
    </w:p>
    <w:p w14:paraId="281E982B" w14:textId="77777777" w:rsidR="00C63C05" w:rsidRDefault="00C63C05">
      <w:pPr>
        <w:shd w:val="clear" w:color="auto" w:fill="FFFFFF"/>
        <w:ind w:left="567" w:right="-1131"/>
        <w:jc w:val="both"/>
        <w:rPr>
          <w:rFonts w:ascii="Palatino Linotype" w:eastAsia="Palatino Linotype" w:hAnsi="Palatino Linotype" w:cs="Palatino Linotype"/>
          <w:i/>
          <w:iCs/>
        </w:rPr>
      </w:pPr>
    </w:p>
    <w:p w14:paraId="38C07C6B" w14:textId="77777777" w:rsidR="00C63C05" w:rsidRDefault="00416EA5">
      <w:pPr>
        <w:shd w:val="clear" w:color="auto" w:fill="FFFFFF"/>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II. El lugar o establecimiento en que se realice el hecho generador de la obligación fiscal, cuando las actividades no se realicen en forma habitual. </w:t>
      </w:r>
    </w:p>
    <w:p w14:paraId="4B71E3B2" w14:textId="77777777" w:rsidR="00C63C05" w:rsidRDefault="00C63C05">
      <w:pPr>
        <w:shd w:val="clear" w:color="auto" w:fill="FFFFFF"/>
        <w:ind w:left="567" w:right="-1131"/>
        <w:jc w:val="both"/>
        <w:rPr>
          <w:rFonts w:ascii="Palatino Linotype" w:eastAsia="Palatino Linotype" w:hAnsi="Palatino Linotype" w:cs="Palatino Linotype"/>
          <w:i/>
          <w:iCs/>
        </w:rPr>
      </w:pPr>
    </w:p>
    <w:p w14:paraId="6B3900CC" w14:textId="77777777" w:rsidR="00C63C05" w:rsidRDefault="00416EA5">
      <w:pPr>
        <w:shd w:val="clear" w:color="auto" w:fill="FFFFFF"/>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El inmueble en el que residan en el territorio del Estado de México, cuando realicen sus actividades en la vía pública, en puestos fijos y semifijos; </w:t>
      </w:r>
    </w:p>
    <w:p w14:paraId="04E089D9" w14:textId="77777777" w:rsidR="00C63C05" w:rsidRDefault="00C63C05">
      <w:pPr>
        <w:shd w:val="clear" w:color="auto" w:fill="FFFFFF"/>
        <w:ind w:left="567" w:right="-1131"/>
        <w:jc w:val="both"/>
        <w:rPr>
          <w:rFonts w:ascii="Palatino Linotype" w:eastAsia="Palatino Linotype" w:hAnsi="Palatino Linotype" w:cs="Palatino Linotype"/>
          <w:i/>
          <w:iCs/>
        </w:rPr>
      </w:pPr>
    </w:p>
    <w:p w14:paraId="35150780" w14:textId="77777777" w:rsidR="00C63C05" w:rsidRDefault="00416EA5">
      <w:pPr>
        <w:shd w:val="clear" w:color="auto" w:fill="FFFFFF"/>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La residencia que identifique la autoridad fiscal, cuando exista certeza de que es el único lugar posible de localización del contribuyente. </w:t>
      </w:r>
    </w:p>
    <w:p w14:paraId="02CD7FC9" w14:textId="77777777" w:rsidR="00C63C05" w:rsidRDefault="00C63C05">
      <w:pPr>
        <w:shd w:val="clear" w:color="auto" w:fill="FFFFFF"/>
        <w:ind w:left="567" w:right="-1131"/>
        <w:jc w:val="both"/>
        <w:rPr>
          <w:rFonts w:ascii="Palatino Linotype" w:eastAsia="Palatino Linotype" w:hAnsi="Palatino Linotype" w:cs="Palatino Linotype"/>
          <w:i/>
          <w:iCs/>
        </w:rPr>
      </w:pPr>
    </w:p>
    <w:p w14:paraId="20AC0409" w14:textId="77777777" w:rsidR="00C63C05" w:rsidRDefault="00416EA5">
      <w:pPr>
        <w:shd w:val="clear" w:color="auto" w:fill="FFFFFF"/>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V. Aquel que señalen a las entidades financieras o sociedades cooperativas de ahorro y préstamo, cuando sean usuarios de los servicios que presten estas, siempre que los contribuyentes no hayan manifestado alguno de los domicilios citados en las fracciones anteriores o no hayan sido localizados en los mismos.</w:t>
      </w:r>
    </w:p>
    <w:p w14:paraId="022381BA" w14:textId="77777777" w:rsidR="00C63C05" w:rsidRDefault="00416EA5">
      <w:pPr>
        <w:shd w:val="clear" w:color="auto" w:fill="FFFFFF"/>
        <w:ind w:left="567"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7346662" w14:textId="77777777" w:rsidR="00C63C05" w:rsidRDefault="00C63C05">
      <w:pPr>
        <w:ind w:right="-1131"/>
        <w:jc w:val="both"/>
        <w:rPr>
          <w:rFonts w:ascii="Palatino Linotype" w:eastAsia="Palatino Linotype" w:hAnsi="Palatino Linotype" w:cs="Palatino Linotype"/>
        </w:rPr>
      </w:pPr>
    </w:p>
    <w:p w14:paraId="20487EB8" w14:textId="77777777" w:rsidR="00C63C05" w:rsidRDefault="00416EA5">
      <w:pPr>
        <w:numPr>
          <w:ilvl w:val="0"/>
          <w:numId w:val="16"/>
        </w:numPr>
        <w:pBdr>
          <w:top w:val="nil"/>
          <w:left w:val="nil"/>
          <w:bottom w:val="nil"/>
          <w:right w:val="nil"/>
          <w:between w:val="nil"/>
        </w:pBdr>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telefónico</w:t>
      </w:r>
    </w:p>
    <w:p w14:paraId="18321D68"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b/>
          <w:bCs/>
        </w:rPr>
        <w:t>Un</w:t>
      </w:r>
      <w:r>
        <w:rPr>
          <w:rFonts w:ascii="Palatino Linotype" w:eastAsia="Palatino Linotype" w:hAnsi="Palatino Linotype" w:cs="Palatino Linotype"/>
        </w:rPr>
        <w:t> </w:t>
      </w:r>
      <w:r>
        <w:rPr>
          <w:rFonts w:ascii="Palatino Linotype" w:eastAsia="Palatino Linotype" w:hAnsi="Palatino Linotype" w:cs="Palatino Linotype"/>
          <w:b/>
          <w:bCs/>
        </w:rPr>
        <w:t>número de teléfono</w:t>
      </w:r>
      <w:r>
        <w:rPr>
          <w:rFonts w:ascii="Palatino Linotype" w:eastAsia="Palatino Linotype" w:hAnsi="Palatino Linotype" w:cs="Palatino Linotype"/>
        </w:rPr>
        <w:t> es una secuencia de </w:t>
      </w:r>
      <w:r>
        <w:rPr>
          <w:rFonts w:ascii="Palatino Linotype" w:eastAsia="Palatino Linotype" w:hAnsi="Palatino Linotype" w:cs="Palatino Linotype"/>
          <w:color w:val="0563C1"/>
          <w:u w:val="single"/>
        </w:rPr>
        <w:t>dígitos</w:t>
      </w:r>
      <w:r>
        <w:rPr>
          <w:rFonts w:ascii="Palatino Linotype" w:eastAsia="Palatino Linotype" w:hAnsi="Palatino Linotype" w:cs="Palatino Linotype"/>
        </w:rPr>
        <w:t> utilizada para identificar una </w:t>
      </w:r>
      <w:r>
        <w:rPr>
          <w:rFonts w:ascii="Palatino Linotype" w:eastAsia="Palatino Linotype" w:hAnsi="Palatino Linotype" w:cs="Palatino Linotype"/>
          <w:color w:val="0563C1"/>
          <w:u w:val="single"/>
        </w:rPr>
        <w:t>línea telefónica</w:t>
      </w:r>
      <w:r>
        <w:rPr>
          <w:rFonts w:ascii="Palatino Linotype" w:eastAsia="Palatino Linotype" w:hAnsi="Palatino Linotype" w:cs="Palatino Linotype"/>
        </w:rPr>
        <w:t> dentro de una </w:t>
      </w:r>
      <w:r>
        <w:rPr>
          <w:rFonts w:ascii="Palatino Linotype" w:eastAsia="Palatino Linotype" w:hAnsi="Palatino Linotype" w:cs="Palatino Linotype"/>
          <w:color w:val="0563C1"/>
          <w:u w:val="single"/>
        </w:rPr>
        <w:t>Red Telefónica Conmutada</w:t>
      </w:r>
      <w:r>
        <w:rPr>
          <w:rFonts w:ascii="Palatino Linotype" w:eastAsia="Palatino Linotype" w:hAnsi="Palatino Linotype" w:cs="Palatino Linotype"/>
        </w:rPr>
        <w:t>, el número contiene la información necesaria para identificar el punto final de la llamada. Los números de teléfono están a menudo asignados a líneas que tienen conectados dispositivos distintos de un </w:t>
      </w:r>
      <w:r>
        <w:rPr>
          <w:rFonts w:ascii="Palatino Linotype" w:eastAsia="Palatino Linotype" w:hAnsi="Palatino Linotype" w:cs="Palatino Linotype"/>
          <w:color w:val="0563C1"/>
          <w:u w:val="single"/>
        </w:rPr>
        <w:t>teléfono</w:t>
      </w:r>
      <w:r>
        <w:rPr>
          <w:rFonts w:ascii="Palatino Linotype" w:eastAsia="Palatino Linotype" w:hAnsi="Palatino Linotype" w:cs="Palatino Linotype"/>
        </w:rPr>
        <w:t>, tales como </w:t>
      </w:r>
      <w:r>
        <w:rPr>
          <w:rFonts w:ascii="Palatino Linotype" w:eastAsia="Palatino Linotype" w:hAnsi="Palatino Linotype" w:cs="Palatino Linotype"/>
          <w:color w:val="0563C1"/>
          <w:u w:val="single"/>
        </w:rPr>
        <w:t>faxes</w:t>
      </w:r>
      <w:r>
        <w:rPr>
          <w:rFonts w:ascii="Palatino Linotype" w:eastAsia="Palatino Linotype" w:hAnsi="Palatino Linotype" w:cs="Palatino Linotype"/>
        </w:rPr>
        <w:t> y </w:t>
      </w:r>
      <w:r>
        <w:rPr>
          <w:rFonts w:ascii="Palatino Linotype" w:eastAsia="Palatino Linotype" w:hAnsi="Palatino Linotype" w:cs="Palatino Linotype"/>
          <w:color w:val="0563C1"/>
          <w:u w:val="single"/>
        </w:rPr>
        <w:t>módems</w:t>
      </w:r>
      <w:r>
        <w:rPr>
          <w:rFonts w:ascii="Palatino Linotype" w:eastAsia="Palatino Linotype" w:hAnsi="Palatino Linotype" w:cs="Palatino Linotype"/>
        </w:rPr>
        <w:t>. Cada uno de esos </w:t>
      </w:r>
      <w:r>
        <w:rPr>
          <w:rFonts w:ascii="Palatino Linotype" w:eastAsia="Palatino Linotype" w:hAnsi="Palatino Linotype" w:cs="Palatino Linotype"/>
          <w:color w:val="0563C1"/>
          <w:u w:val="single"/>
        </w:rPr>
        <w:t>puntos de terminación de red</w:t>
      </w:r>
      <w:r>
        <w:rPr>
          <w:rFonts w:ascii="Palatino Linotype" w:eastAsia="Palatino Linotype" w:hAnsi="Palatino Linotype" w:cs="Palatino Linotype"/>
        </w:rPr>
        <w:t> deben de tener un número único en la red para poder realizar una </w:t>
      </w:r>
      <w:r>
        <w:rPr>
          <w:rFonts w:ascii="Palatino Linotype" w:eastAsia="Palatino Linotype" w:hAnsi="Palatino Linotype" w:cs="Palatino Linotype"/>
          <w:color w:val="0563C1"/>
          <w:u w:val="single"/>
        </w:rPr>
        <w:t>llamada telefónica</w:t>
      </w:r>
      <w:r>
        <w:rPr>
          <w:rFonts w:ascii="Palatino Linotype" w:eastAsia="Palatino Linotype" w:hAnsi="Palatino Linotype" w:cs="Palatino Linotype"/>
        </w:rPr>
        <w:t>.</w:t>
      </w:r>
    </w:p>
    <w:p w14:paraId="559ED9F9" w14:textId="77777777" w:rsidR="00C63C05" w:rsidRDefault="00C63C05">
      <w:pPr>
        <w:spacing w:line="360" w:lineRule="auto"/>
        <w:ind w:right="-1131"/>
        <w:jc w:val="both"/>
        <w:rPr>
          <w:rFonts w:ascii="Palatino Linotype" w:eastAsia="Palatino Linotype" w:hAnsi="Palatino Linotype" w:cs="Palatino Linotype"/>
        </w:rPr>
      </w:pPr>
    </w:p>
    <w:p w14:paraId="4A1D1254" w14:textId="77777777" w:rsidR="00C63C05" w:rsidRDefault="00416EA5">
      <w:pPr>
        <w:numPr>
          <w:ilvl w:val="0"/>
          <w:numId w:val="16"/>
        </w:num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Correo electrónico</w:t>
      </w:r>
    </w:p>
    <w:p w14:paraId="5854F76E"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correo electrónico</w:t>
      </w:r>
      <w:r>
        <w:rPr>
          <w:rFonts w:ascii="Palatino Linotype" w:eastAsia="Palatino Linotype" w:hAnsi="Palatino Linotype" w:cs="Palatino Linotype"/>
        </w:rPr>
        <w:t xml:space="preserve"> es un sistema de transmisión de mensajes a través de internet. Dicho dato se puede asimilar al teléfono o domicilio particular, cuya nomenclatura, se considera como un dato personal, toda vez que es un medio para comunicarse con la persona </w:t>
      </w:r>
      <w:r>
        <w:rPr>
          <w:rFonts w:ascii="Palatino Linotype" w:eastAsia="Palatino Linotype" w:hAnsi="Palatino Linotype" w:cs="Palatino Linotype"/>
        </w:rPr>
        <w:lastRenderedPageBreak/>
        <w:t>titular del mismo, la hace localizable e incluso identificable, al poder estar conformado por parte de su nombre o bien, fecha de nacimiento.</w:t>
      </w:r>
    </w:p>
    <w:p w14:paraId="4EA52BC6" w14:textId="77777777" w:rsidR="00C63C05" w:rsidRDefault="00C63C05">
      <w:pPr>
        <w:spacing w:line="360" w:lineRule="auto"/>
        <w:ind w:right="-1131"/>
        <w:jc w:val="both"/>
        <w:rPr>
          <w:rFonts w:ascii="Palatino Linotype" w:eastAsia="Palatino Linotype" w:hAnsi="Palatino Linotype" w:cs="Palatino Linotype"/>
        </w:rPr>
      </w:pPr>
    </w:p>
    <w:p w14:paraId="318D2B97"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debe mencionarse que conforme a lo establecido en los criterios números 16, 18 y 19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artículo 70, </w:t>
      </w:r>
      <w:r>
        <w:rPr>
          <w:rFonts w:ascii="Palatino Linotype" w:eastAsia="Palatino Linotype" w:hAnsi="Palatino Linotype" w:cs="Palatino Linotype"/>
          <w:b/>
          <w:bCs/>
        </w:rPr>
        <w:t>el domicilio fiscal, y datos de contacto como teléfono y correo electrónico de los proveedores y contratistas, es un dato que debe ser público, motivo por el cual no es procedente que se realice su clasificación como confidencial.</w:t>
      </w:r>
    </w:p>
    <w:p w14:paraId="0FCDFF79" w14:textId="77777777" w:rsidR="00C63C05" w:rsidRDefault="00C63C05">
      <w:pPr>
        <w:spacing w:line="360" w:lineRule="auto"/>
        <w:ind w:right="-1131"/>
        <w:jc w:val="both"/>
        <w:rPr>
          <w:rFonts w:ascii="Palatino Linotype" w:eastAsia="Palatino Linotype" w:hAnsi="Palatino Linotype" w:cs="Palatino Linotype"/>
        </w:rPr>
      </w:pPr>
    </w:p>
    <w:p w14:paraId="6CCE8099"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En este mismo orden de ideas, cuando las personas tienen una relación comercial, laboral, de servicios, trámites o del tipo que sea, necesariamente por un tema de interés público, debe cederse un poco de privacidad, de tal forma que las personas en general puedan verificar el debido desempeño de los servidores públicos, la aplicación de la ley y el ejercicio de recursos públicos, en donde únicamente se privilegie la publicidad de los datos esenciales para la transparencia y rendición de cuentas, sin afectar la vida privada de las personas.</w:t>
      </w:r>
    </w:p>
    <w:p w14:paraId="06291695" w14:textId="77777777" w:rsidR="004B745E" w:rsidRDefault="004B745E" w:rsidP="004B745E">
      <w:pPr>
        <w:pStyle w:val="Prrafodelista"/>
        <w:rPr>
          <w:rFonts w:ascii="Palatino Linotype" w:eastAsia="Palatino Linotype" w:hAnsi="Palatino Linotype" w:cs="Palatino Linotype"/>
        </w:rPr>
      </w:pPr>
    </w:p>
    <w:p w14:paraId="2B917458" w14:textId="77777777" w:rsidR="004B745E" w:rsidRDefault="004B745E" w:rsidP="004B745E">
      <w:pPr>
        <w:spacing w:line="360" w:lineRule="auto"/>
        <w:ind w:right="-1131"/>
        <w:jc w:val="both"/>
        <w:rPr>
          <w:rFonts w:ascii="Palatino Linotype" w:eastAsia="Palatino Linotype" w:hAnsi="Palatino Linotype" w:cs="Palatino Linotype"/>
        </w:rPr>
      </w:pPr>
    </w:p>
    <w:p w14:paraId="49285DE6"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De tal suerte que</w:t>
      </w:r>
      <w:r>
        <w:rPr>
          <w:rFonts w:ascii="Palatino Linotype" w:eastAsia="Palatino Linotype" w:hAnsi="Palatino Linotype" w:cs="Palatino Linotype"/>
          <w:b/>
          <w:bCs/>
        </w:rPr>
        <w:t>, tratándose de proveedores (personas físicas o jurídico colectivas), el domicilio fiscal, número telefónico y correo electrónico no son datos susceptibles de clasificarse como confidenciales</w:t>
      </w:r>
      <w:r>
        <w:rPr>
          <w:rFonts w:ascii="Palatino Linotype" w:eastAsia="Palatino Linotype" w:hAnsi="Palatino Linotype" w:cs="Palatino Linotype"/>
        </w:rPr>
        <w:t>, es decir, no se actualiza lo establecido en el artículo 143, fracción I de la Ley de Transparencia y Acceso a la Información Pública del Estado de México y Municipios.</w:t>
      </w:r>
    </w:p>
    <w:p w14:paraId="2CA7252F" w14:textId="77777777" w:rsidR="00C63C05" w:rsidRDefault="00C63C05">
      <w:pPr>
        <w:spacing w:line="360" w:lineRule="auto"/>
        <w:ind w:right="-1131"/>
        <w:jc w:val="both"/>
        <w:rPr>
          <w:rFonts w:ascii="Palatino Linotype" w:eastAsia="Palatino Linotype" w:hAnsi="Palatino Linotype" w:cs="Palatino Linotype"/>
        </w:rPr>
      </w:pPr>
    </w:p>
    <w:p w14:paraId="234A53BE" w14:textId="77777777"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otro lado, es de precisar que, referente al </w:t>
      </w:r>
      <w:r>
        <w:rPr>
          <w:rFonts w:ascii="Palatino Linotype" w:eastAsia="Palatino Linotype" w:hAnsi="Palatino Linotype" w:cs="Palatino Linotype"/>
          <w:b/>
          <w:bCs/>
        </w:rPr>
        <w:t>QR</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folio fiscal, número de serie del certificado del emisor, sello digital Comprobante Fiscal Digital por Internet (CFDI), sello digital del SAT, Cadena Original del SAT, número de serie del certificado del SAT, </w:t>
      </w:r>
      <w:r>
        <w:rPr>
          <w:rFonts w:ascii="Palatino Linotype" w:eastAsia="Palatino Linotype" w:hAnsi="Palatino Linotype" w:cs="Palatino Linotype"/>
        </w:rPr>
        <w:t>si de la secuencia de números y letras, se advierte el Registro Federal de Contribuyentes o una Clave Única de Registro de Población, que pueda hacer identificable al titular del dato personal, no puede tenerse como dato público y por ende es información considerada confidencial. Por el contrario, debe considerarse que esta información incluida en los documentos fiscales, constituyen un elemento adicional que permite a cualquier persona verificar la legitimidad del documento, por sí solos no contienen datos personales susceptibles de clasificación, ya que no hacen identificable al titular, pues dichos datos sólo son de utilidad de manera directa a la Secretaría de Hacienda y Crédito Público.</w:t>
      </w:r>
    </w:p>
    <w:p w14:paraId="757B676D" w14:textId="77777777" w:rsidR="00C63C05" w:rsidRDefault="00C63C05">
      <w:pPr>
        <w:pBdr>
          <w:top w:val="nil"/>
          <w:left w:val="nil"/>
          <w:bottom w:val="nil"/>
          <w:right w:val="nil"/>
          <w:between w:val="nil"/>
        </w:pBdr>
        <w:ind w:left="720" w:right="-1131"/>
        <w:rPr>
          <w:rFonts w:ascii="Palatino Linotype" w:eastAsia="Palatino Linotype" w:hAnsi="Palatino Linotype" w:cs="Palatino Linotype"/>
          <w:color w:val="000000"/>
        </w:rPr>
      </w:pPr>
    </w:p>
    <w:p w14:paraId="1A3BC4C6"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expuesto, es viable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al Sujeto Obligado que haga entrega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de ser el caso en versión pública, del 01 de enero al 31 de diciembre de 2025, las facturas derivadas de la contratación de servicios </w:t>
      </w:r>
      <w:r>
        <w:rPr>
          <w:rFonts w:ascii="Palatino Linotype" w:eastAsia="Palatino Linotype" w:hAnsi="Palatino Linotype" w:cs="Palatino Linotype"/>
          <w:color w:val="000000"/>
        </w:rPr>
        <w:lastRenderedPageBreak/>
        <w:t>relacionados con la partida presupuestal 3611; así como las correspondientes a la adquisición de bienes y servicios realizados por la Coordinación General de Comunicación Social.</w:t>
      </w:r>
    </w:p>
    <w:p w14:paraId="01F8A34B"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3A9D3309" w14:textId="77777777" w:rsidR="00C63C05" w:rsidRDefault="00416EA5">
      <w:pPr>
        <w:keepNext/>
        <w:keepLines/>
        <w:spacing w:line="360" w:lineRule="auto"/>
        <w:ind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14:paraId="3BBBC25B" w14:textId="77777777" w:rsidR="00C63C05" w:rsidRDefault="00416EA5">
      <w:pPr>
        <w:keepNext/>
        <w:keepLines/>
        <w:numPr>
          <w:ilvl w:val="0"/>
          <w:numId w:val="13"/>
        </w:numPr>
        <w:tabs>
          <w:tab w:val="left" w:pos="284"/>
        </w:tabs>
        <w:spacing w:line="360" w:lineRule="auto"/>
        <w:ind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14:paraId="2D1BDE9F"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21385121"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088D30E3"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2B993C66" w14:textId="77777777" w:rsidR="00C63C05" w:rsidRDefault="00C63C05">
      <w:pPr>
        <w:tabs>
          <w:tab w:val="left" w:pos="284"/>
        </w:tabs>
        <w:spacing w:line="360" w:lineRule="auto"/>
        <w:ind w:right="-1131"/>
        <w:jc w:val="both"/>
        <w:rPr>
          <w:rFonts w:ascii="Palatino Linotype" w:eastAsia="Palatino Linotype" w:hAnsi="Palatino Linotype" w:cs="Palatino Linotype"/>
          <w:color w:val="000000"/>
        </w:rPr>
      </w:pPr>
    </w:p>
    <w:tbl>
      <w:tblPr>
        <w:tblStyle w:val="a"/>
        <w:tblW w:w="10095"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30"/>
        <w:gridCol w:w="7065"/>
      </w:tblGrid>
      <w:tr w:rsidR="00C63C05" w14:paraId="6B91A905" w14:textId="77777777">
        <w:tc>
          <w:tcPr>
            <w:tcW w:w="3030" w:type="dxa"/>
          </w:tcPr>
          <w:p w14:paraId="30AED6EB" w14:textId="77777777" w:rsidR="00C63C05" w:rsidRDefault="00416EA5">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065" w:type="dxa"/>
          </w:tcPr>
          <w:p w14:paraId="3E77C23F"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1363D2AA"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14:paraId="77958D2F"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F564494" w14:textId="77777777" w:rsidR="00C63C05" w:rsidRDefault="00416EA5">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C63C05" w14:paraId="3AEE472F" w14:textId="77777777">
        <w:tc>
          <w:tcPr>
            <w:tcW w:w="3030" w:type="dxa"/>
          </w:tcPr>
          <w:p w14:paraId="4E0E1B0D" w14:textId="77777777" w:rsidR="00C63C05" w:rsidRDefault="00416EA5">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065" w:type="dxa"/>
          </w:tcPr>
          <w:p w14:paraId="0E30B3D8"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7D700B14"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w:t>
            </w:r>
            <w:r>
              <w:rPr>
                <w:rFonts w:ascii="Palatino Linotype" w:eastAsia="Palatino Linotype" w:hAnsi="Palatino Linotype" w:cs="Palatino Linotype"/>
                <w:color w:val="000000"/>
              </w:rPr>
              <w:lastRenderedPageBreak/>
              <w:t>acreditarse que se cumple con esta condición y no se pueden ampliar las excepciones o supuestos de clasificación aduciendo analogía o mayoría de razón.</w:t>
            </w:r>
          </w:p>
          <w:p w14:paraId="4E660583" w14:textId="77777777" w:rsidR="00C63C05" w:rsidRDefault="00416EA5">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C63C05" w14:paraId="00E73365" w14:textId="77777777">
        <w:tc>
          <w:tcPr>
            <w:tcW w:w="3030" w:type="dxa"/>
          </w:tcPr>
          <w:p w14:paraId="622DB2AF" w14:textId="77777777" w:rsidR="00C63C05" w:rsidRDefault="00416EA5">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065" w:type="dxa"/>
          </w:tcPr>
          <w:p w14:paraId="0E2CD0E6"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6856BB8E"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14:paraId="626612AC" w14:textId="77777777" w:rsidR="00C63C05" w:rsidRDefault="00416EA5">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w:t>
            </w:r>
            <w:r>
              <w:rPr>
                <w:rFonts w:ascii="Palatino Linotype" w:eastAsia="Palatino Linotype" w:hAnsi="Palatino Linotype" w:cs="Palatino Linotype"/>
                <w:color w:val="000000"/>
              </w:rPr>
              <w:lastRenderedPageBreak/>
              <w:t>adoptadas previamente por los titulares de áreas y que son sujetas a control, en primera instancia, por el Comité de Transparencia.</w:t>
            </w:r>
          </w:p>
        </w:tc>
      </w:tr>
      <w:tr w:rsidR="00C63C05" w14:paraId="1806E4B8" w14:textId="77777777">
        <w:tc>
          <w:tcPr>
            <w:tcW w:w="3030" w:type="dxa"/>
          </w:tcPr>
          <w:p w14:paraId="40AB542D" w14:textId="77777777" w:rsidR="00C63C05" w:rsidRDefault="00C63C05">
            <w:pPr>
              <w:tabs>
                <w:tab w:val="left" w:pos="284"/>
              </w:tabs>
              <w:spacing w:line="360" w:lineRule="auto"/>
              <w:ind w:right="-106"/>
              <w:rPr>
                <w:rFonts w:ascii="Palatino Linotype" w:eastAsia="Palatino Linotype" w:hAnsi="Palatino Linotype" w:cs="Palatino Linotype"/>
              </w:rPr>
            </w:pPr>
          </w:p>
          <w:p w14:paraId="07C91BD1" w14:textId="77777777" w:rsidR="00C63C05" w:rsidRDefault="00416EA5">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065" w:type="dxa"/>
          </w:tcPr>
          <w:p w14:paraId="493CDB38"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14:paraId="3EB2D952"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E4800CB"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Pr>
                <w:rFonts w:ascii="Palatino Linotype" w:eastAsia="Palatino Linotype" w:hAnsi="Palatino Linotype" w:cs="Palatino Linotype"/>
                <w:color w:val="000000"/>
              </w:rPr>
              <w:lastRenderedPageBreak/>
              <w:t>persona que se sienta afectada pueda impugnar la decisión, permitiéndole una real y auténtica defensa.</w:t>
            </w:r>
          </w:p>
          <w:p w14:paraId="5B535C10"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27FFB671"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C63C05" w14:paraId="4CB191CC" w14:textId="77777777">
        <w:tc>
          <w:tcPr>
            <w:tcW w:w="3030" w:type="dxa"/>
          </w:tcPr>
          <w:p w14:paraId="5B812E40" w14:textId="77777777" w:rsidR="00C63C05" w:rsidRDefault="00416EA5">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065" w:type="dxa"/>
          </w:tcPr>
          <w:p w14:paraId="05D82B10"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50F8C82C" w14:textId="77777777" w:rsidR="00C63C05" w:rsidRDefault="00416EA5">
            <w:pPr>
              <w:tabs>
                <w:tab w:val="left" w:pos="284"/>
              </w:tabs>
              <w:spacing w:line="360" w:lineRule="auto"/>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w:t>
            </w:r>
            <w:r>
              <w:rPr>
                <w:rFonts w:ascii="Palatino Linotype" w:eastAsia="Palatino Linotype" w:hAnsi="Palatino Linotype" w:cs="Palatino Linotype"/>
                <w:color w:val="000000"/>
              </w:rPr>
              <w:lastRenderedPageBreak/>
              <w:t xml:space="preserve">de la Nación, los servidores públicos nos encontramos sujetos a un régimen menor de protección. </w:t>
            </w:r>
          </w:p>
          <w:p w14:paraId="73242523" w14:textId="77777777" w:rsidR="00C63C05" w:rsidRDefault="00416EA5">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5333101B" w14:textId="77777777" w:rsidR="00C63C05" w:rsidRDefault="00C63C05">
      <w:pPr>
        <w:tabs>
          <w:tab w:val="left" w:pos="284"/>
        </w:tabs>
        <w:spacing w:line="360" w:lineRule="auto"/>
        <w:ind w:right="-1131"/>
        <w:rPr>
          <w:rFonts w:ascii="Palatino Linotype" w:eastAsia="Palatino Linotype" w:hAnsi="Palatino Linotype" w:cs="Palatino Linotype"/>
          <w:color w:val="000000"/>
        </w:rPr>
      </w:pPr>
    </w:p>
    <w:p w14:paraId="68FDC335" w14:textId="77777777" w:rsidR="00C63C05" w:rsidRDefault="00416EA5">
      <w:pPr>
        <w:numPr>
          <w:ilvl w:val="0"/>
          <w:numId w:val="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6A36BB91"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50C6986B" w14:textId="366671D4" w:rsidR="00C63C05" w:rsidRDefault="00416EA5">
      <w:pPr>
        <w:numPr>
          <w:ilvl w:val="0"/>
          <w:numId w:val="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Por lo anteriormente expuesto, este Órgano Garante considera fundadas las razones o motivos de inconformidad que plantea el</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 xml:space="preserve">, </w:t>
      </w:r>
      <w:r w:rsidRPr="0072728A">
        <w:rPr>
          <w:rFonts w:ascii="Palatino Linotype" w:eastAsia="Palatino Linotype" w:hAnsi="Palatino Linotype" w:cs="Palatino Linotype"/>
          <w:color w:val="000000"/>
        </w:rPr>
        <w:t xml:space="preserve">determinando </w:t>
      </w:r>
      <w:r w:rsidR="00EE1F16" w:rsidRPr="0072728A">
        <w:rPr>
          <w:rFonts w:ascii="Palatino Linotype" w:eastAsia="Palatino Linotype" w:hAnsi="Palatino Linotype" w:cs="Palatino Linotype"/>
          <w:b/>
          <w:bCs/>
          <w:color w:val="000000"/>
        </w:rPr>
        <w:t>REVOCA</w:t>
      </w:r>
      <w:r w:rsidRPr="0072728A">
        <w:rPr>
          <w:rFonts w:ascii="Palatino Linotype" w:eastAsia="Palatino Linotype" w:hAnsi="Palatino Linotype" w:cs="Palatino Linotype"/>
          <w:b/>
          <w:bCs/>
          <w:color w:val="000000"/>
        </w:rPr>
        <w:t>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la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r w:rsidR="004B745E">
        <w:rPr>
          <w:rFonts w:ascii="Palatino Linotype" w:eastAsia="Palatino Linotype" w:hAnsi="Palatino Linotype" w:cs="Palatino Linotype"/>
          <w:color w:val="000000"/>
        </w:rPr>
        <w:t>------------------------------------------</w:t>
      </w:r>
    </w:p>
    <w:p w14:paraId="6DD22C8A"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14:paraId="3303AB03" w14:textId="77777777" w:rsidR="00C63C05" w:rsidRDefault="00416EA5">
      <w:pPr>
        <w:pStyle w:val="Ttulo2"/>
        <w:tabs>
          <w:tab w:val="left" w:pos="0"/>
        </w:tabs>
        <w:spacing w:before="0" w:line="360" w:lineRule="auto"/>
        <w:ind w:right="-1131"/>
        <w:jc w:val="center"/>
        <w:rPr>
          <w:rFonts w:ascii="Palatino Linotype" w:eastAsia="Palatino Linotype" w:hAnsi="Palatino Linotype" w:cs="Palatino Linotype"/>
          <w:b/>
          <w:bCs/>
          <w:color w:val="000000"/>
          <w:sz w:val="24"/>
          <w:szCs w:val="24"/>
        </w:rPr>
      </w:pPr>
      <w:bookmarkStart w:id="11" w:name="_heading=h.17dp8vu" w:colFirst="0" w:colLast="0"/>
      <w:bookmarkEnd w:id="11"/>
      <w:r>
        <w:rPr>
          <w:rFonts w:ascii="Palatino Linotype" w:eastAsia="Palatino Linotype" w:hAnsi="Palatino Linotype" w:cs="Palatino Linotype"/>
          <w:b/>
          <w:bCs/>
          <w:color w:val="000000"/>
          <w:sz w:val="24"/>
          <w:szCs w:val="24"/>
        </w:rPr>
        <w:lastRenderedPageBreak/>
        <w:t>R E S O L U T I V O S</w:t>
      </w:r>
    </w:p>
    <w:p w14:paraId="2EC455C0"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b/>
          <w:bCs/>
          <w:color w:val="000000"/>
        </w:rPr>
      </w:pPr>
    </w:p>
    <w:p w14:paraId="3D1A816A" w14:textId="77777777" w:rsidR="00C63C05" w:rsidRDefault="00416EA5">
      <w:p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 xml:space="preserve">Resultan fundadas las razones o motivos de inconformidad hechos valer en los recursos de revisión </w:t>
      </w:r>
      <w:r>
        <w:rPr>
          <w:rFonts w:ascii="Palatino Linotype" w:eastAsia="Palatino Linotype" w:hAnsi="Palatino Linotype" w:cs="Palatino Linotype"/>
          <w:b/>
          <w:bCs/>
        </w:rPr>
        <w:t xml:space="preserve">03068/INFOEM/IP/RR/2026, 03368/INFOEM/IP/RR/2026, 03369/INFOEM/IP/RR/2026, 03370/INFOEM/IP/RR/2026, 03371/INFOEM/IP/RR/2026 y 03372/INFOEM/IP/RR/2026, </w:t>
      </w:r>
      <w:r>
        <w:rPr>
          <w:rFonts w:ascii="Palatino Linotype" w:eastAsia="Palatino Linotype" w:hAnsi="Palatino Linotype" w:cs="Palatino Linotype"/>
        </w:rPr>
        <w:t xml:space="preserve">en términos de los Considerandos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14:paraId="3CE3911B" w14:textId="77777777" w:rsidR="00C63C05" w:rsidRDefault="00C63C05">
      <w:pPr>
        <w:spacing w:line="360" w:lineRule="auto"/>
        <w:ind w:right="-1131"/>
        <w:jc w:val="both"/>
        <w:rPr>
          <w:rFonts w:ascii="Palatino Linotype" w:eastAsia="Palatino Linotype" w:hAnsi="Palatino Linotype" w:cs="Palatino Linotype"/>
        </w:rPr>
      </w:pPr>
    </w:p>
    <w:p w14:paraId="01428B3C" w14:textId="77777777" w:rsidR="00C63C05" w:rsidRDefault="00416EA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bookmarkStart w:id="12" w:name="_heading=h.3rdcrjn" w:colFirst="0" w:colLast="0"/>
      <w:bookmarkEnd w:id="12"/>
      <w:r w:rsidRPr="0072728A">
        <w:rPr>
          <w:rFonts w:ascii="Palatino Linotype" w:eastAsia="Palatino Linotype" w:hAnsi="Palatino Linotype" w:cs="Palatino Linotype"/>
          <w:b/>
          <w:bCs/>
          <w:color w:val="000000"/>
        </w:rPr>
        <w:t xml:space="preserve">SEGUNDO. </w:t>
      </w:r>
      <w:r w:rsidRPr="0072728A">
        <w:rPr>
          <w:rFonts w:ascii="Palatino Linotype" w:eastAsia="Palatino Linotype" w:hAnsi="Palatino Linotype" w:cs="Palatino Linotype"/>
          <w:color w:val="000000"/>
        </w:rPr>
        <w:t xml:space="preserve">Se </w:t>
      </w:r>
      <w:r w:rsidR="00EE1F16" w:rsidRPr="0072728A">
        <w:rPr>
          <w:rFonts w:ascii="Palatino Linotype" w:eastAsia="Palatino Linotype" w:hAnsi="Palatino Linotype" w:cs="Palatino Linotype"/>
          <w:b/>
          <w:bCs/>
          <w:color w:val="000000"/>
        </w:rPr>
        <w:t>REVOCAN</w:t>
      </w:r>
      <w:r>
        <w:rPr>
          <w:rFonts w:ascii="Palatino Linotype" w:eastAsia="Palatino Linotype" w:hAnsi="Palatino Linotype" w:cs="Palatino Linotype"/>
          <w:color w:val="000000"/>
        </w:rPr>
        <w:t xml:space="preserve"> las respuestas emitidas por la </w:t>
      </w:r>
      <w:r>
        <w:rPr>
          <w:rFonts w:ascii="Palatino Linotype" w:eastAsia="Palatino Linotype" w:hAnsi="Palatino Linotype" w:cs="Palatino Linotype"/>
          <w:b/>
          <w:bCs/>
          <w:color w:val="000000"/>
        </w:rPr>
        <w:t xml:space="preserve">Secretaria General de Gobierno, </w:t>
      </w:r>
      <w:r>
        <w:rPr>
          <w:rFonts w:ascii="Palatino Linotype" w:eastAsia="Palatino Linotype" w:hAnsi="Palatino Linotype" w:cs="Palatino Linotype"/>
          <w:color w:val="000000"/>
        </w:rPr>
        <w:t>a las solicitudes de información pública registradas con los números</w:t>
      </w:r>
      <w:r>
        <w:rPr>
          <w:rFonts w:ascii="Palatino Linotype" w:eastAsia="Palatino Linotype" w:hAnsi="Palatino Linotype" w:cs="Palatino Linotype"/>
          <w:b/>
          <w:bCs/>
          <w:color w:val="000000"/>
        </w:rPr>
        <w:t xml:space="preserve"> 00020/SEGEGOB/IP/2026, 00040/SEGEGOB/IP/2026, 00039/SEGEGOB/IP/2026, 00036/SEGEGOB/IP/2026, 00037/SEGEGOB/IP/2026 y 00038/SEGEGOB/IP/2026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entregar vía Sistema de Acceso a la Información Mexiquense </w:t>
      </w:r>
      <w:r>
        <w:rPr>
          <w:rFonts w:ascii="Palatino Linotype" w:eastAsia="Palatino Linotype" w:hAnsi="Palatino Linotype" w:cs="Palatino Linotype"/>
          <w:b/>
          <w:bCs/>
          <w:color w:val="000000"/>
        </w:rPr>
        <w:t xml:space="preserve">(SAIMEX), previa búsqueda exhaustiva </w:t>
      </w:r>
      <w:r>
        <w:rPr>
          <w:rFonts w:ascii="Palatino Linotype" w:eastAsia="Palatino Linotype" w:hAnsi="Palatino Linotype" w:cs="Palatino Linotype"/>
          <w:color w:val="000000"/>
        </w:rPr>
        <w:t xml:space="preserve">y de ser procedente en versión pública, de la Coordinación General de Comunicación Social del 1 de enero al 31 de diciembre de 2025, lo siguiente: </w:t>
      </w:r>
    </w:p>
    <w:p w14:paraId="70E428C7"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7BFD4C08"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derivadas de la contratación de servicios relacionados con la partida presupuestal 3611.</w:t>
      </w:r>
    </w:p>
    <w:p w14:paraId="3F5AD04F" w14:textId="77777777" w:rsidR="00C63C05" w:rsidRDefault="00416EA5">
      <w:pPr>
        <w:numPr>
          <w:ilvl w:val="0"/>
          <w:numId w:val="8"/>
        </w:num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Facturas correspondientes a la adquisición de bienes y servicios</w:t>
      </w:r>
    </w:p>
    <w:p w14:paraId="19F634DA"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155653FB" w14:textId="77777777" w:rsidR="00C63C05" w:rsidRDefault="00416EA5">
      <w:pPr>
        <w:spacing w:line="360" w:lineRule="auto"/>
        <w:ind w:right="-1131"/>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w:t>
      </w:r>
      <w:r>
        <w:rPr>
          <w:rFonts w:ascii="Palatino Linotype" w:eastAsia="Palatino Linotype" w:hAnsi="Palatino Linotype" w:cs="Palatino Linotype"/>
        </w:rPr>
        <w:lastRenderedPageBreak/>
        <w:t xml:space="preserve">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14:paraId="2BE09449" w14:textId="77777777" w:rsidR="00C63C05" w:rsidRDefault="00C63C05">
      <w:pPr>
        <w:pBdr>
          <w:top w:val="nil"/>
          <w:left w:val="nil"/>
          <w:bottom w:val="nil"/>
          <w:right w:val="nil"/>
          <w:between w:val="nil"/>
        </w:pBdr>
        <w:tabs>
          <w:tab w:val="left" w:pos="426"/>
          <w:tab w:val="left" w:pos="567"/>
        </w:tabs>
        <w:spacing w:line="360" w:lineRule="auto"/>
        <w:ind w:right="-1131"/>
        <w:jc w:val="both"/>
        <w:rPr>
          <w:rFonts w:ascii="Palatino Linotype" w:eastAsia="Palatino Linotype" w:hAnsi="Palatino Linotype" w:cs="Palatino Linotype"/>
          <w:color w:val="000000"/>
        </w:rPr>
      </w:pPr>
    </w:p>
    <w:p w14:paraId="61A56EAA" w14:textId="622C0E3A" w:rsidR="00C63C05" w:rsidRDefault="00416EA5" w:rsidP="0002025D">
      <w:pPr>
        <w:tabs>
          <w:tab w:val="left" w:pos="8080"/>
        </w:tabs>
        <w:spacing w:line="360" w:lineRule="auto"/>
        <w:ind w:right="-1131"/>
        <w:jc w:val="both"/>
        <w:rPr>
          <w:rFonts w:ascii="Palatino Linotype" w:eastAsia="Palatino Linotype" w:hAnsi="Palatino Linotype" w:cs="Palatino Linotype"/>
          <w:b/>
          <w:bCs/>
        </w:rPr>
      </w:pPr>
      <w:r w:rsidRPr="0002025D">
        <w:rPr>
          <w:rFonts w:ascii="Palatino Linotype" w:eastAsia="Palatino Linotype" w:hAnsi="Palatino Linotype" w:cs="Palatino Linotype"/>
          <w:b/>
          <w:bCs/>
          <w:color w:val="000000"/>
        </w:rPr>
        <w:t>TERCERO.</w:t>
      </w:r>
      <w:r w:rsidRPr="0002025D">
        <w:rPr>
          <w:rFonts w:ascii="Palatino Linotype" w:eastAsia="Palatino Linotype" w:hAnsi="Palatino Linotype" w:cs="Palatino Linotype"/>
          <w:color w:val="000000"/>
        </w:rPr>
        <w:t xml:space="preserve"> </w:t>
      </w:r>
      <w:r w:rsidR="0002025D" w:rsidRPr="0002025D">
        <w:rPr>
          <w:rFonts w:ascii="Palatino Linotype" w:eastAsia="Palatino Linotype" w:hAnsi="Palatino Linotype" w:cs="Palatino Linotype"/>
          <w:b/>
          <w:color w:val="000000"/>
        </w:rPr>
        <w:t>Notifíquese vía SAIMEX l</w:t>
      </w:r>
      <w:r w:rsidR="0002025D" w:rsidRPr="0002025D">
        <w:rPr>
          <w:rFonts w:ascii="Palatino Linotype" w:eastAsia="Palatino Linotype" w:hAnsi="Palatino Linotype" w:cs="Palatino Linotype"/>
        </w:rPr>
        <w:t xml:space="preserve">a presente resolución al Titular de la Unidad de Transparencia del </w:t>
      </w:r>
      <w:r w:rsidR="0002025D" w:rsidRPr="0002025D">
        <w:rPr>
          <w:rFonts w:ascii="Palatino Linotype" w:eastAsia="Palatino Linotype" w:hAnsi="Palatino Linotype" w:cs="Palatino Linotype"/>
          <w:b/>
        </w:rPr>
        <w:t>SUJETO OBLIGADO</w:t>
      </w:r>
      <w:r w:rsidR="0002025D" w:rsidRPr="0002025D">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0002025D" w:rsidRPr="0002025D">
        <w:rPr>
          <w:rFonts w:ascii="Palatino Linotype" w:eastAsia="Palatino Linotype" w:hAnsi="Palatino Linotype" w:cs="Palatino Linotype"/>
          <w:b/>
        </w:rPr>
        <w:t>dé cumplimiento a lo ordenado dentro del plazo de diez días hábiles</w:t>
      </w:r>
      <w:r w:rsidR="0002025D" w:rsidRPr="0002025D">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F2AC014" w14:textId="77777777" w:rsidR="0002025D" w:rsidRDefault="0002025D" w:rsidP="0002025D">
      <w:pPr>
        <w:tabs>
          <w:tab w:val="left" w:pos="8080"/>
        </w:tabs>
        <w:spacing w:line="360" w:lineRule="auto"/>
        <w:ind w:right="-1131"/>
        <w:jc w:val="both"/>
        <w:rPr>
          <w:rFonts w:ascii="Palatino Linotype" w:eastAsia="Palatino Linotype" w:hAnsi="Palatino Linotype" w:cs="Palatino Linotype"/>
          <w:b/>
          <w:bCs/>
        </w:rPr>
      </w:pPr>
    </w:p>
    <w:p w14:paraId="3617A685" w14:textId="17C5BC81" w:rsidR="0002025D" w:rsidRPr="0002025D" w:rsidRDefault="0002025D" w:rsidP="0002025D">
      <w:p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14:paraId="229347CD" w14:textId="77777777" w:rsidR="00C63C05" w:rsidRDefault="00C63C05">
      <w:pPr>
        <w:tabs>
          <w:tab w:val="left" w:pos="8080"/>
        </w:tabs>
        <w:spacing w:line="360" w:lineRule="auto"/>
        <w:ind w:right="-1131"/>
        <w:jc w:val="both"/>
        <w:rPr>
          <w:rFonts w:ascii="Palatino Linotype" w:eastAsia="Palatino Linotype" w:hAnsi="Palatino Linotype" w:cs="Palatino Linotype"/>
          <w:b/>
          <w:bCs/>
        </w:rPr>
      </w:pPr>
    </w:p>
    <w:p w14:paraId="0736475D" w14:textId="77777777" w:rsidR="00C63C05" w:rsidRDefault="00416EA5">
      <w:pPr>
        <w:shd w:val="clear" w:color="auto" w:fill="FFFFFF"/>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Notifíquese al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Sistema de Acceso a la Información Mexiquense </w:t>
      </w:r>
      <w:r>
        <w:rPr>
          <w:rFonts w:ascii="Palatino Linotype" w:eastAsia="Palatino Linotype" w:hAnsi="Palatino Linotype" w:cs="Palatino Linotype"/>
          <w:b/>
          <w:bCs/>
        </w:rPr>
        <w:t>(SAIMEX).</w:t>
      </w:r>
    </w:p>
    <w:p w14:paraId="485C5DA0" w14:textId="77777777" w:rsidR="00C63C05" w:rsidRDefault="00C63C05">
      <w:pPr>
        <w:shd w:val="clear" w:color="auto" w:fill="FFFFFF"/>
        <w:spacing w:line="360" w:lineRule="auto"/>
        <w:ind w:right="-1131"/>
        <w:jc w:val="both"/>
        <w:rPr>
          <w:rFonts w:ascii="Palatino Linotype" w:eastAsia="Palatino Linotype" w:hAnsi="Palatino Linotype" w:cs="Palatino Linotype"/>
        </w:rPr>
      </w:pPr>
    </w:p>
    <w:p w14:paraId="1A80AEBA" w14:textId="77777777" w:rsidR="00C63C05" w:rsidRDefault="00416EA5">
      <w:pPr>
        <w:pBdr>
          <w:top w:val="nil"/>
          <w:left w:val="nil"/>
          <w:bottom w:val="nil"/>
          <w:right w:val="nil"/>
          <w:between w:val="nil"/>
        </w:pBdr>
        <w:spacing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w:t>
      </w:r>
      <w:r>
        <w:rPr>
          <w:rFonts w:ascii="Palatino Linotype" w:eastAsia="Palatino Linotype" w:hAnsi="Palatino Linotype" w:cs="Palatino Linotype"/>
          <w:color w:val="000000"/>
        </w:rPr>
        <w:t xml:space="preserve"> Se hace del conocimiento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14:paraId="55BBC2C0" w14:textId="77777777" w:rsidR="00C63C05" w:rsidRDefault="00C63C05">
      <w:pPr>
        <w:pBdr>
          <w:top w:val="nil"/>
          <w:left w:val="nil"/>
          <w:bottom w:val="nil"/>
          <w:right w:val="nil"/>
          <w:between w:val="nil"/>
        </w:pBdr>
        <w:spacing w:line="360" w:lineRule="auto"/>
        <w:ind w:right="-1131"/>
        <w:jc w:val="both"/>
        <w:rPr>
          <w:rFonts w:ascii="Palatino Linotype" w:eastAsia="Palatino Linotype" w:hAnsi="Palatino Linotype" w:cs="Palatino Linotype"/>
          <w:b/>
          <w:bCs/>
          <w:color w:val="000000"/>
        </w:rPr>
      </w:pPr>
    </w:p>
    <w:p w14:paraId="109AB3C1" w14:textId="77777777" w:rsidR="0002025D" w:rsidRPr="003E2295" w:rsidRDefault="0002025D" w:rsidP="0002025D">
      <w:pPr>
        <w:spacing w:before="240" w:after="240" w:line="360" w:lineRule="auto"/>
        <w:ind w:right="-1136" w:firstLine="1"/>
        <w:jc w:val="both"/>
        <w:rPr>
          <w:rFonts w:ascii="Palatino Linotype" w:hAnsi="Palatino Linotype"/>
        </w:rPr>
      </w:pPr>
      <w:bookmarkStart w:id="13"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3"/>
    <w:p w14:paraId="3EF05D72" w14:textId="77777777" w:rsidR="00C63C05" w:rsidRDefault="00C63C05">
      <w:pPr>
        <w:spacing w:line="360" w:lineRule="auto"/>
        <w:ind w:right="-1131"/>
        <w:jc w:val="both"/>
        <w:rPr>
          <w:rFonts w:ascii="Palatino Linotype" w:eastAsia="Palatino Linotype" w:hAnsi="Palatino Linotype" w:cs="Palatino Linotype"/>
        </w:rPr>
      </w:pPr>
    </w:p>
    <w:p w14:paraId="263DA1DA" w14:textId="77777777" w:rsidR="00C63C05" w:rsidRDefault="00C63C05">
      <w:pPr>
        <w:spacing w:line="360" w:lineRule="auto"/>
        <w:ind w:right="-1131"/>
        <w:jc w:val="both"/>
        <w:rPr>
          <w:rFonts w:ascii="Palatino Linotype" w:eastAsia="Palatino Linotype" w:hAnsi="Palatino Linotype" w:cs="Palatino Linotype"/>
        </w:rPr>
      </w:pPr>
    </w:p>
    <w:p w14:paraId="2576EDF5" w14:textId="77777777" w:rsidR="00C63C05" w:rsidRDefault="00C63C05">
      <w:pPr>
        <w:spacing w:line="360" w:lineRule="auto"/>
        <w:ind w:right="-1131"/>
        <w:jc w:val="both"/>
        <w:rPr>
          <w:rFonts w:ascii="Palatino Linotype" w:eastAsia="Palatino Linotype" w:hAnsi="Palatino Linotype" w:cs="Palatino Linotype"/>
        </w:rPr>
      </w:pPr>
    </w:p>
    <w:p w14:paraId="5E938799" w14:textId="77777777" w:rsidR="00C63C05" w:rsidRDefault="00C63C05">
      <w:pPr>
        <w:spacing w:line="360" w:lineRule="auto"/>
        <w:ind w:right="-1131"/>
        <w:jc w:val="both"/>
        <w:rPr>
          <w:rFonts w:ascii="Palatino Linotype" w:eastAsia="Palatino Linotype" w:hAnsi="Palatino Linotype" w:cs="Palatino Linotype"/>
        </w:rPr>
      </w:pPr>
    </w:p>
    <w:p w14:paraId="5CC5F03E" w14:textId="77777777" w:rsidR="00C63C05" w:rsidRDefault="00C63C05">
      <w:pPr>
        <w:ind w:right="-1131"/>
        <w:rPr>
          <w:rFonts w:ascii="Palatino Linotype" w:eastAsia="Palatino Linotype" w:hAnsi="Palatino Linotype" w:cs="Palatino Linotype"/>
        </w:rPr>
      </w:pPr>
    </w:p>
    <w:p w14:paraId="309E5770" w14:textId="77777777" w:rsidR="00C63C05" w:rsidRDefault="00C63C05">
      <w:pPr>
        <w:ind w:right="-1131"/>
        <w:rPr>
          <w:rFonts w:ascii="Palatino Linotype" w:eastAsia="Palatino Linotype" w:hAnsi="Palatino Linotype" w:cs="Palatino Linotype"/>
        </w:rPr>
      </w:pPr>
    </w:p>
    <w:p w14:paraId="458D2028" w14:textId="77777777" w:rsidR="00C63C05" w:rsidRDefault="00C63C05">
      <w:pPr>
        <w:ind w:right="-1131"/>
        <w:rPr>
          <w:rFonts w:ascii="Palatino Linotype" w:eastAsia="Palatino Linotype" w:hAnsi="Palatino Linotype" w:cs="Palatino Linotype"/>
        </w:rPr>
      </w:pPr>
    </w:p>
    <w:p w14:paraId="52176869" w14:textId="77777777" w:rsidR="00C63C05" w:rsidRDefault="00C63C05">
      <w:pPr>
        <w:ind w:right="-1131"/>
        <w:rPr>
          <w:rFonts w:ascii="Palatino Linotype" w:eastAsia="Palatino Linotype" w:hAnsi="Palatino Linotype" w:cs="Palatino Linotype"/>
        </w:rPr>
      </w:pPr>
    </w:p>
    <w:p w14:paraId="670D61BA" w14:textId="77777777" w:rsidR="00C63C05" w:rsidRDefault="00C63C05">
      <w:pPr>
        <w:ind w:right="-1131"/>
        <w:rPr>
          <w:rFonts w:ascii="Palatino Linotype" w:eastAsia="Palatino Linotype" w:hAnsi="Palatino Linotype" w:cs="Palatino Linotype"/>
        </w:rPr>
      </w:pPr>
    </w:p>
    <w:p w14:paraId="076B17C2" w14:textId="77777777" w:rsidR="00C63C05" w:rsidRDefault="00C63C05">
      <w:pPr>
        <w:ind w:right="-1131"/>
        <w:rPr>
          <w:rFonts w:ascii="Palatino Linotype" w:eastAsia="Palatino Linotype" w:hAnsi="Palatino Linotype" w:cs="Palatino Linotype"/>
        </w:rPr>
      </w:pPr>
    </w:p>
    <w:p w14:paraId="327B1244" w14:textId="77777777" w:rsidR="00C63C05" w:rsidRDefault="00C63C05">
      <w:pPr>
        <w:ind w:right="-1131"/>
        <w:rPr>
          <w:rFonts w:ascii="Palatino Linotype" w:eastAsia="Palatino Linotype" w:hAnsi="Palatino Linotype" w:cs="Palatino Linotype"/>
        </w:rPr>
      </w:pPr>
    </w:p>
    <w:p w14:paraId="36789BA9" w14:textId="77777777" w:rsidR="00C63C05" w:rsidRDefault="00C63C05">
      <w:pPr>
        <w:ind w:right="-1131"/>
        <w:rPr>
          <w:rFonts w:ascii="Palatino Linotype" w:eastAsia="Palatino Linotype" w:hAnsi="Palatino Linotype" w:cs="Palatino Linotype"/>
        </w:rPr>
      </w:pPr>
    </w:p>
    <w:p w14:paraId="4BF87DE2" w14:textId="77777777" w:rsidR="00C63C05" w:rsidRDefault="00C63C05">
      <w:pPr>
        <w:ind w:right="-1131"/>
        <w:rPr>
          <w:rFonts w:ascii="Palatino Linotype" w:eastAsia="Palatino Linotype" w:hAnsi="Palatino Linotype" w:cs="Palatino Linotype"/>
        </w:rPr>
      </w:pPr>
    </w:p>
    <w:p w14:paraId="170218A0" w14:textId="77777777" w:rsidR="00C63C05" w:rsidRDefault="00C63C05">
      <w:pPr>
        <w:ind w:right="-1131"/>
        <w:rPr>
          <w:rFonts w:ascii="Palatino Linotype" w:eastAsia="Palatino Linotype" w:hAnsi="Palatino Linotype" w:cs="Palatino Linotype"/>
        </w:rPr>
      </w:pPr>
    </w:p>
    <w:p w14:paraId="46777D94" w14:textId="77777777" w:rsidR="00C63C05" w:rsidRDefault="00C63C05">
      <w:pPr>
        <w:ind w:right="-1131"/>
        <w:rPr>
          <w:rFonts w:ascii="Palatino Linotype" w:eastAsia="Palatino Linotype" w:hAnsi="Palatino Linotype" w:cs="Palatino Linotype"/>
        </w:rPr>
      </w:pPr>
    </w:p>
    <w:p w14:paraId="71196D3B" w14:textId="77777777" w:rsidR="00C63C05" w:rsidRDefault="00C63C05">
      <w:pPr>
        <w:ind w:right="-1131"/>
        <w:rPr>
          <w:rFonts w:ascii="Palatino Linotype" w:eastAsia="Palatino Linotype" w:hAnsi="Palatino Linotype" w:cs="Palatino Linotype"/>
        </w:rPr>
      </w:pPr>
    </w:p>
    <w:p w14:paraId="778061CC" w14:textId="77777777" w:rsidR="00C63C05" w:rsidRDefault="00C63C05">
      <w:pPr>
        <w:ind w:right="-1131"/>
        <w:rPr>
          <w:rFonts w:ascii="Palatino Linotype" w:eastAsia="Palatino Linotype" w:hAnsi="Palatino Linotype" w:cs="Palatino Linotype"/>
        </w:rPr>
      </w:pPr>
    </w:p>
    <w:p w14:paraId="1334C892" w14:textId="77777777" w:rsidR="00C63C05" w:rsidRDefault="00C63C05">
      <w:pPr>
        <w:ind w:right="-1131"/>
        <w:rPr>
          <w:rFonts w:ascii="Palatino Linotype" w:eastAsia="Palatino Linotype" w:hAnsi="Palatino Linotype" w:cs="Palatino Linotype"/>
        </w:rPr>
      </w:pPr>
    </w:p>
    <w:p w14:paraId="6AFF4D72" w14:textId="77777777" w:rsidR="00C63C05" w:rsidRDefault="00C63C05">
      <w:pPr>
        <w:ind w:right="-1131"/>
        <w:rPr>
          <w:rFonts w:ascii="Palatino Linotype" w:eastAsia="Palatino Linotype" w:hAnsi="Palatino Linotype" w:cs="Palatino Linotype"/>
        </w:rPr>
      </w:pPr>
    </w:p>
    <w:p w14:paraId="5F4B0865" w14:textId="77777777" w:rsidR="00C63C05" w:rsidRDefault="00C63C05">
      <w:pPr>
        <w:ind w:right="-1131"/>
        <w:rPr>
          <w:rFonts w:ascii="Palatino Linotype" w:eastAsia="Palatino Linotype" w:hAnsi="Palatino Linotype" w:cs="Palatino Linotype"/>
        </w:rPr>
      </w:pPr>
    </w:p>
    <w:sectPr w:rsidR="00C63C05">
      <w:headerReference w:type="default" r:id="rId12"/>
      <w:footerReference w:type="default" r:id="rId13"/>
      <w:headerReference w:type="first" r:id="rId14"/>
      <w:footerReference w:type="first" r:id="rId15"/>
      <w:pgSz w:w="12240" w:h="15840"/>
      <w:pgMar w:top="2552" w:right="1752" w:bottom="255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16F01" w14:textId="77777777" w:rsidR="00AE6334" w:rsidRDefault="00AE6334">
      <w:r>
        <w:separator/>
      </w:r>
    </w:p>
  </w:endnote>
  <w:endnote w:type="continuationSeparator" w:id="0">
    <w:p w14:paraId="6578BB49" w14:textId="77777777" w:rsidR="00AE6334" w:rsidRDefault="00AE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26A23D41-B4CF-4DC1-87B0-08CE49214598}"/>
    <w:embedBold r:id="rId2" w:fontKey="{C54214BF-8B6F-42B8-A4DB-328CF5991A25}"/>
    <w:embedItalic r:id="rId3" w:fontKey="{9921C9BF-9BFB-43A0-A04E-35FE1CDC3C47}"/>
    <w:embedBoldItalic r:id="rId4" w:fontKey="{F3B942A0-A6F9-4D41-B2B5-3E5CC65814BE}"/>
  </w:font>
  <w:font w:name="Noto Sans Symbols">
    <w:altName w:val="Times New Roman"/>
    <w:charset w:val="00"/>
    <w:family w:val="auto"/>
    <w:pitch w:val="default"/>
    <w:embedRegular r:id="rId5" w:fontKey="{48300485-2415-45FA-B331-005465127AE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DBD3538D-C4CD-49A4-8289-AD1F6A3E5527}"/>
    <w:embedItalic r:id="rId7" w:fontKey="{3C158554-99DD-4376-9920-BE6F6DA6A835}"/>
  </w:font>
  <w:font w:name="Georgia">
    <w:panose1 w:val="02040502050405020303"/>
    <w:charset w:val="00"/>
    <w:family w:val="roman"/>
    <w:pitch w:val="variable"/>
    <w:sig w:usb0="00000287" w:usb1="00000000" w:usb2="00000000" w:usb3="00000000" w:csb0="0000009F" w:csb1="00000000"/>
    <w:embedItalic r:id="rId8" w:fontKey="{07135E29-4B03-4311-B73B-700D57BD5149}"/>
  </w:font>
  <w:font w:name="Cambria">
    <w:panose1 w:val="02040503050406030204"/>
    <w:charset w:val="00"/>
    <w:family w:val="roman"/>
    <w:pitch w:val="variable"/>
    <w:sig w:usb0="E00006FF" w:usb1="420024FF" w:usb2="02000000" w:usb3="00000000" w:csb0="0000019F" w:csb1="00000000"/>
    <w:embedRegular r:id="rId9" w:fontKey="{4B255A50-C0F6-41F2-B84B-7D591BBB4E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53BAB" w14:textId="77777777" w:rsidR="00C63C05" w:rsidRDefault="00416EA5">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8"/>
        <w:szCs w:val="28"/>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E052DA">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E052DA">
      <w:rPr>
        <w:rFonts w:ascii="Palatino Linotype" w:eastAsia="Palatino Linotype" w:hAnsi="Palatino Linotype" w:cs="Palatino Linotype"/>
        <w:b/>
        <w:bCs/>
        <w:noProof/>
        <w:color w:val="000000"/>
        <w:sz w:val="22"/>
        <w:szCs w:val="22"/>
      </w:rPr>
      <w:t>65</w:t>
    </w:r>
    <w:r>
      <w:rPr>
        <w:rFonts w:ascii="Palatino Linotype" w:eastAsia="Palatino Linotype" w:hAnsi="Palatino Linotype" w:cs="Palatino Linotype"/>
        <w:b/>
        <w:bCs/>
        <w:color w:val="000000"/>
        <w:sz w:val="22"/>
        <w:szCs w:val="22"/>
      </w:rPr>
      <w:fldChar w:fldCharType="end"/>
    </w:r>
  </w:p>
  <w:p w14:paraId="4D1F080E" w14:textId="77777777" w:rsidR="00C63C05" w:rsidRDefault="00C63C05">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55F21" w14:textId="77777777" w:rsidR="00C63C05" w:rsidRDefault="00416EA5">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E052D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E052DA">
      <w:rPr>
        <w:rFonts w:ascii="Palatino Linotype" w:eastAsia="Palatino Linotype" w:hAnsi="Palatino Linotype" w:cs="Palatino Linotype"/>
        <w:noProof/>
        <w:color w:val="000000"/>
        <w:sz w:val="22"/>
        <w:szCs w:val="22"/>
      </w:rPr>
      <w:t>65</w:t>
    </w:r>
    <w:r>
      <w:rPr>
        <w:rFonts w:ascii="Palatino Linotype" w:eastAsia="Palatino Linotype" w:hAnsi="Palatino Linotype" w:cs="Palatino Linotype"/>
        <w:color w:val="000000"/>
        <w:sz w:val="22"/>
        <w:szCs w:val="22"/>
      </w:rPr>
      <w:fldChar w:fldCharType="end"/>
    </w:r>
  </w:p>
  <w:p w14:paraId="032F3D00" w14:textId="77777777" w:rsidR="00C63C05" w:rsidRDefault="00C63C0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3F9EB" w14:textId="77777777" w:rsidR="00AE6334" w:rsidRDefault="00AE6334">
      <w:r>
        <w:separator/>
      </w:r>
    </w:p>
  </w:footnote>
  <w:footnote w:type="continuationSeparator" w:id="0">
    <w:p w14:paraId="1C1151BF" w14:textId="77777777" w:rsidR="00AE6334" w:rsidRDefault="00AE6334">
      <w:r>
        <w:continuationSeparator/>
      </w:r>
    </w:p>
  </w:footnote>
  <w:footnote w:id="1">
    <w:p w14:paraId="56DB8470" w14:textId="77777777" w:rsidR="00C63C05" w:rsidRDefault="00416EA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3E749361" w14:textId="77777777" w:rsidR="00C63C05" w:rsidRDefault="00416EA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1946D026" w14:textId="77777777" w:rsidR="00C63C05" w:rsidRDefault="00416EA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4CAC0876" w14:textId="77777777" w:rsidR="00C63C05" w:rsidRDefault="00416EA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7ECD7BB8" w14:textId="77777777" w:rsidR="00C63C05" w:rsidRDefault="00416EA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14:paraId="2C102E6B" w14:textId="77777777" w:rsidR="00C63C05" w:rsidRDefault="00416EA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14:paraId="03D179FE" w14:textId="77777777" w:rsidR="00C63C05" w:rsidRDefault="00416EA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14:paraId="1641C4D1" w14:textId="77777777" w:rsidR="00C63C05" w:rsidRDefault="00416EA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14:paraId="74283A99" w14:textId="77777777" w:rsidR="00C63C05" w:rsidRDefault="00416EA5">
      <w:pPr>
        <w:pBdr>
          <w:top w:val="nil"/>
          <w:left w:val="nil"/>
          <w:bottom w:val="nil"/>
          <w:right w:val="nil"/>
          <w:between w:val="nil"/>
        </w:pBdr>
        <w:rPr>
          <w:rFonts w:ascii="Calibri" w:eastAsia="Calibri" w:hAnsi="Calibri" w:cs="Calibri"/>
          <w:color w:val="000000"/>
          <w:sz w:val="18"/>
          <w:szCs w:val="18"/>
          <w:u w:val="single"/>
        </w:rPr>
      </w:pPr>
      <w:r>
        <w:rPr>
          <w:vertAlign w:val="superscript"/>
        </w:rPr>
        <w:footnoteRef/>
      </w:r>
      <w:r>
        <w:rPr>
          <w:rFonts w:ascii="Calibri" w:eastAsia="Calibri" w:hAnsi="Calibri" w:cs="Calibri"/>
          <w:color w:val="000000"/>
          <w:sz w:val="18"/>
          <w:szCs w:val="18"/>
        </w:rPr>
        <w:t xml:space="preserve"> Jurisprudencia con número de registro 1000830, emitida por la Sala Superior, Apéndice de 2011, localizable en VIII. Electoral Primera Parte – Vigentes, Materia Electoral, tesis 191, página 244, y consultable en la página electrónica </w:t>
      </w:r>
      <w:hyperlink r:id="rId1">
        <w:r>
          <w:rPr>
            <w:rFonts w:ascii="Calibri" w:eastAsia="Calibri" w:hAnsi="Calibri" w:cs="Calibri"/>
            <w:color w:val="0563C1"/>
            <w:sz w:val="18"/>
            <w:szCs w:val="18"/>
            <w:u w:val="single"/>
          </w:rPr>
          <w:t>https://sjf.scjn.gob.mx/sjfsist/Paginas/DetalleGeneralV2.aspx?ID=1000830&amp;Clase=DetalleTesisBL&amp;Semanario=0</w:t>
        </w:r>
      </w:hyperlink>
      <w:r>
        <w:rPr>
          <w:rFonts w:ascii="Calibri" w:eastAsia="Calibri" w:hAnsi="Calibri" w:cs="Calibri"/>
          <w:color w:val="000000"/>
          <w:sz w:val="18"/>
          <w:szCs w:val="18"/>
        </w:rPr>
        <w:t xml:space="preserve"> </w:t>
      </w:r>
      <w:r>
        <w:rPr>
          <w:rFonts w:ascii="Calibri" w:eastAsia="Calibri" w:hAnsi="Calibri" w:cs="Calibri"/>
          <w:color w:val="000000"/>
          <w:sz w:val="18"/>
          <w:szCs w:val="18"/>
          <w:u w:val="single"/>
        </w:rPr>
        <w:t>.</w:t>
      </w:r>
    </w:p>
    <w:p w14:paraId="465CF405" w14:textId="77777777" w:rsidR="00C63C05" w:rsidRDefault="00C63C05">
      <w:pPr>
        <w:pBdr>
          <w:top w:val="nil"/>
          <w:left w:val="nil"/>
          <w:bottom w:val="nil"/>
          <w:right w:val="nil"/>
          <w:between w:val="nil"/>
        </w:pBdr>
        <w:rPr>
          <w:rFonts w:ascii="Calibri" w:eastAsia="Calibri" w:hAnsi="Calibri" w:cs="Calibri"/>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820" w:type="dxa"/>
      <w:tblInd w:w="1554" w:type="dxa"/>
      <w:tblBorders>
        <w:top w:val="nil"/>
        <w:left w:val="nil"/>
        <w:bottom w:val="nil"/>
        <w:right w:val="nil"/>
        <w:insideH w:val="nil"/>
        <w:insideV w:val="nil"/>
      </w:tblBorders>
      <w:tblLayout w:type="fixed"/>
      <w:tblLook w:val="0400" w:firstRow="0" w:lastRow="0" w:firstColumn="0" w:lastColumn="0" w:noHBand="0" w:noVBand="1"/>
    </w:tblPr>
    <w:tblGrid>
      <w:gridCol w:w="4020"/>
      <w:gridCol w:w="4800"/>
    </w:tblGrid>
    <w:tr w:rsidR="00C63C05" w14:paraId="60656BBF" w14:textId="77777777">
      <w:trPr>
        <w:trHeight w:val="138"/>
      </w:trPr>
      <w:tc>
        <w:tcPr>
          <w:tcW w:w="4020" w:type="dxa"/>
          <w:vAlign w:val="center"/>
        </w:tcPr>
        <w:p w14:paraId="653EBFA5" w14:textId="19C622F3" w:rsidR="00C63C05" w:rsidRDefault="00416EA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00" w:type="dxa"/>
          <w:vAlign w:val="center"/>
        </w:tcPr>
        <w:p w14:paraId="334B0757" w14:textId="77777777" w:rsidR="00C63C05" w:rsidRDefault="00416EA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3068/INFOEM/IP/RR/2026 y </w:t>
          </w:r>
          <w:r>
            <w:rPr>
              <w:rFonts w:ascii="Palatino Linotype" w:eastAsia="Palatino Linotype" w:hAnsi="Palatino Linotype" w:cs="Palatino Linotype"/>
            </w:rPr>
            <w:t>A</w:t>
          </w:r>
          <w:r>
            <w:rPr>
              <w:rFonts w:ascii="Palatino Linotype" w:eastAsia="Palatino Linotype" w:hAnsi="Palatino Linotype" w:cs="Palatino Linotype"/>
              <w:color w:val="000000"/>
            </w:rPr>
            <w:t>cumulados</w:t>
          </w:r>
        </w:p>
      </w:tc>
    </w:tr>
    <w:tr w:rsidR="00C63C05" w14:paraId="5FAC2C87" w14:textId="77777777">
      <w:trPr>
        <w:trHeight w:val="233"/>
      </w:trPr>
      <w:tc>
        <w:tcPr>
          <w:tcW w:w="4020" w:type="dxa"/>
          <w:vAlign w:val="center"/>
        </w:tcPr>
        <w:p w14:paraId="2DE361BE" w14:textId="77777777" w:rsidR="00C63C05" w:rsidRDefault="00416EA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00" w:type="dxa"/>
          <w:vAlign w:val="center"/>
        </w:tcPr>
        <w:p w14:paraId="07298A52" w14:textId="77777777" w:rsidR="00C63C05" w:rsidRDefault="00416EA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rPr>
          </w:pPr>
          <w:r>
            <w:rPr>
              <w:rFonts w:ascii="Palatino Linotype" w:eastAsia="Palatino Linotype" w:hAnsi="Palatino Linotype" w:cs="Palatino Linotype"/>
              <w:color w:val="000000"/>
              <w:sz w:val="25"/>
              <w:szCs w:val="25"/>
            </w:rPr>
            <w:t>Secretaría General de Gobierno</w:t>
          </w:r>
        </w:p>
      </w:tc>
    </w:tr>
    <w:tr w:rsidR="00C63C05" w14:paraId="69C66BF7" w14:textId="77777777">
      <w:trPr>
        <w:trHeight w:val="321"/>
      </w:trPr>
      <w:tc>
        <w:tcPr>
          <w:tcW w:w="4020" w:type="dxa"/>
          <w:vAlign w:val="center"/>
        </w:tcPr>
        <w:p w14:paraId="6B350E7B" w14:textId="7D7EEB8F" w:rsidR="00C63C05" w:rsidRDefault="00416EA5">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800" w:type="dxa"/>
          <w:vAlign w:val="center"/>
        </w:tcPr>
        <w:p w14:paraId="6D7983E9" w14:textId="77777777" w:rsidR="00C63C05" w:rsidRDefault="00416EA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7C28D957" w14:textId="091FBD45" w:rsidR="00C63C05" w:rsidRDefault="004B745E">
    <w:pPr>
      <w:pBdr>
        <w:top w:val="nil"/>
        <w:left w:val="nil"/>
        <w:bottom w:val="nil"/>
        <w:right w:val="nil"/>
        <w:between w:val="nil"/>
      </w:pBdr>
      <w:tabs>
        <w:tab w:val="center" w:pos="4252"/>
        <w:tab w:val="right" w:pos="8504"/>
        <w:tab w:val="left" w:pos="1606"/>
      </w:tabs>
      <w:rPr>
        <w:rFonts w:ascii="Calibri" w:eastAsia="Calibri" w:hAnsi="Calibri" w:cs="Calibri"/>
        <w:color w:val="000000"/>
      </w:rPr>
    </w:pPr>
    <w:r>
      <w:rPr>
        <w:rFonts w:ascii="Calibri" w:eastAsia="Calibri" w:hAnsi="Calibri" w:cs="Calibri"/>
        <w:noProof/>
        <w:color w:val="000000"/>
        <w:lang w:val="es-MX"/>
      </w:rPr>
      <w:drawing>
        <wp:anchor distT="0" distB="0" distL="0" distR="0" simplePos="0" relativeHeight="251657216" behindDoc="1" locked="0" layoutInCell="1" hidden="0" allowOverlap="1" wp14:anchorId="3378EC7D" wp14:editId="1DE0BACD">
          <wp:simplePos x="0" y="0"/>
          <wp:positionH relativeFrom="margin">
            <wp:posOffset>-1226784</wp:posOffset>
          </wp:positionH>
          <wp:positionV relativeFrom="margin">
            <wp:posOffset>-1680905</wp:posOffset>
          </wp:positionV>
          <wp:extent cx="7781026" cy="9753600"/>
          <wp:effectExtent l="0" t="0" r="0" b="0"/>
          <wp:wrapNone/>
          <wp:docPr id="1" name="image1.jpg" descr="resolución infoem imagen"/>
          <wp:cNvGraphicFramePr/>
          <a:graphic xmlns:a="http://schemas.openxmlformats.org/drawingml/2006/main">
            <a:graphicData uri="http://schemas.openxmlformats.org/drawingml/2006/picture">
              <pic:pic xmlns:pic="http://schemas.openxmlformats.org/drawingml/2006/picture">
                <pic:nvPicPr>
                  <pic:cNvPr id="0" name="image1.jpg" descr="resolución infoem imagen"/>
                  <pic:cNvPicPr preferRelativeResize="0"/>
                </pic:nvPicPr>
                <pic:blipFill>
                  <a:blip r:embed="rId1"/>
                  <a:srcRect/>
                  <a:stretch>
                    <a:fillRect/>
                  </a:stretch>
                </pic:blipFill>
                <pic:spPr>
                  <a:xfrm>
                    <a:off x="0" y="0"/>
                    <a:ext cx="7785006" cy="9758589"/>
                  </a:xfrm>
                  <a:prstGeom prst="rect">
                    <a:avLst/>
                  </a:prstGeom>
                  <a:ln/>
                </pic:spPr>
              </pic:pic>
            </a:graphicData>
          </a:graphic>
          <wp14:sizeRelH relativeFrom="margin">
            <wp14:pctWidth>0</wp14:pctWidth>
          </wp14:sizeRelH>
          <wp14:sizeRelV relativeFrom="margin">
            <wp14:pctHeight>0</wp14:pctHeight>
          </wp14:sizeRelV>
        </wp:anchor>
      </w:drawing>
    </w:r>
    <w:r w:rsidR="00416EA5">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9016" w:type="dxa"/>
      <w:tblInd w:w="1418" w:type="dxa"/>
      <w:tblBorders>
        <w:top w:val="nil"/>
        <w:left w:val="nil"/>
        <w:bottom w:val="nil"/>
        <w:right w:val="nil"/>
        <w:insideH w:val="nil"/>
        <w:insideV w:val="nil"/>
      </w:tblBorders>
      <w:tblLayout w:type="fixed"/>
      <w:tblLook w:val="0400" w:firstRow="0" w:lastRow="0" w:firstColumn="0" w:lastColumn="0" w:noHBand="0" w:noVBand="1"/>
    </w:tblPr>
    <w:tblGrid>
      <w:gridCol w:w="4140"/>
      <w:gridCol w:w="4876"/>
    </w:tblGrid>
    <w:tr w:rsidR="00C63C05" w14:paraId="2108BEEC" w14:textId="77777777" w:rsidTr="004B745E">
      <w:trPr>
        <w:trHeight w:val="138"/>
      </w:trPr>
      <w:tc>
        <w:tcPr>
          <w:tcW w:w="4140" w:type="dxa"/>
          <w:vAlign w:val="center"/>
        </w:tcPr>
        <w:p w14:paraId="613FFC8D" w14:textId="7550847C" w:rsidR="00C63C05" w:rsidRDefault="00416EA5">
          <w:pPr>
            <w:ind w:left="141"/>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76" w:type="dxa"/>
          <w:vAlign w:val="center"/>
        </w:tcPr>
        <w:p w14:paraId="6EC89BAA" w14:textId="77777777" w:rsidR="00C63C05" w:rsidRDefault="00416EA5">
          <w:pPr>
            <w:pBdr>
              <w:top w:val="nil"/>
              <w:left w:val="nil"/>
              <w:bottom w:val="nil"/>
              <w:right w:val="nil"/>
              <w:between w:val="nil"/>
            </w:pBdr>
            <w:tabs>
              <w:tab w:val="center" w:pos="4252"/>
              <w:tab w:val="right" w:pos="8504"/>
            </w:tabs>
            <w:ind w:left="141" w:right="-493"/>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3068/INFOEM/IP/RR/2026 y </w:t>
          </w:r>
          <w:r>
            <w:rPr>
              <w:rFonts w:ascii="Palatino Linotype" w:eastAsia="Palatino Linotype" w:hAnsi="Palatino Linotype" w:cs="Palatino Linotype"/>
            </w:rPr>
            <w:t>A</w:t>
          </w:r>
          <w:r>
            <w:rPr>
              <w:rFonts w:ascii="Palatino Linotype" w:eastAsia="Palatino Linotype" w:hAnsi="Palatino Linotype" w:cs="Palatino Linotype"/>
              <w:color w:val="000000"/>
            </w:rPr>
            <w:t>cumulados</w:t>
          </w:r>
        </w:p>
      </w:tc>
    </w:tr>
    <w:tr w:rsidR="00C63C05" w14:paraId="376FC720" w14:textId="77777777" w:rsidTr="004B745E">
      <w:trPr>
        <w:trHeight w:val="233"/>
      </w:trPr>
      <w:tc>
        <w:tcPr>
          <w:tcW w:w="4140" w:type="dxa"/>
          <w:vAlign w:val="center"/>
        </w:tcPr>
        <w:p w14:paraId="67912871" w14:textId="77777777" w:rsidR="00C63C05" w:rsidRDefault="00416EA5">
          <w:pPr>
            <w:ind w:left="141"/>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876" w:type="dxa"/>
        </w:tcPr>
        <w:p w14:paraId="46C9668B" w14:textId="44614E4F" w:rsidR="00C63C05" w:rsidRDefault="00E052DA">
          <w:pPr>
            <w:pBdr>
              <w:top w:val="nil"/>
              <w:left w:val="nil"/>
              <w:bottom w:val="nil"/>
              <w:right w:val="nil"/>
              <w:between w:val="nil"/>
            </w:pBdr>
            <w:tabs>
              <w:tab w:val="center" w:pos="4252"/>
              <w:tab w:val="right" w:pos="8504"/>
            </w:tabs>
            <w:ind w:left="141" w:right="-493"/>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C63C05" w14:paraId="544E367A" w14:textId="77777777" w:rsidTr="004B745E">
      <w:trPr>
        <w:trHeight w:val="321"/>
      </w:trPr>
      <w:tc>
        <w:tcPr>
          <w:tcW w:w="4140" w:type="dxa"/>
          <w:vAlign w:val="center"/>
        </w:tcPr>
        <w:p w14:paraId="5636EE4A" w14:textId="77777777" w:rsidR="00C63C05" w:rsidRDefault="00416EA5">
          <w:pPr>
            <w:ind w:left="141"/>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76" w:type="dxa"/>
          <w:vAlign w:val="center"/>
        </w:tcPr>
        <w:p w14:paraId="14607AA8" w14:textId="77777777" w:rsidR="00C63C05" w:rsidRDefault="00416EA5">
          <w:pPr>
            <w:pBdr>
              <w:top w:val="nil"/>
              <w:left w:val="nil"/>
              <w:bottom w:val="nil"/>
              <w:right w:val="nil"/>
              <w:between w:val="nil"/>
            </w:pBdr>
            <w:tabs>
              <w:tab w:val="center" w:pos="4252"/>
              <w:tab w:val="right" w:pos="8504"/>
            </w:tabs>
            <w:ind w:left="141" w:right="-493"/>
            <w:rPr>
              <w:rFonts w:ascii="Palatino Linotype" w:eastAsia="Palatino Linotype" w:hAnsi="Palatino Linotype" w:cs="Palatino Linotype"/>
              <w:color w:val="000000"/>
            </w:rPr>
          </w:pPr>
          <w:r>
            <w:rPr>
              <w:rFonts w:ascii="Palatino Linotype" w:eastAsia="Palatino Linotype" w:hAnsi="Palatino Linotype" w:cs="Palatino Linotype"/>
              <w:color w:val="000000"/>
            </w:rPr>
            <w:t>Secretaria General de Gobierno</w:t>
          </w:r>
        </w:p>
      </w:tc>
    </w:tr>
    <w:tr w:rsidR="00C63C05" w14:paraId="7B1C62E2" w14:textId="77777777" w:rsidTr="004B745E">
      <w:trPr>
        <w:trHeight w:val="321"/>
      </w:trPr>
      <w:tc>
        <w:tcPr>
          <w:tcW w:w="4140" w:type="dxa"/>
          <w:vAlign w:val="center"/>
        </w:tcPr>
        <w:p w14:paraId="578CD00B" w14:textId="77777777" w:rsidR="00C63C05" w:rsidRDefault="00416EA5">
          <w:pPr>
            <w:ind w:left="141"/>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876" w:type="dxa"/>
          <w:vAlign w:val="center"/>
        </w:tcPr>
        <w:p w14:paraId="50161B26" w14:textId="77777777" w:rsidR="00C63C05" w:rsidRDefault="00416EA5">
          <w:pPr>
            <w:pBdr>
              <w:top w:val="nil"/>
              <w:left w:val="nil"/>
              <w:bottom w:val="nil"/>
              <w:right w:val="nil"/>
              <w:between w:val="nil"/>
            </w:pBdr>
            <w:tabs>
              <w:tab w:val="center" w:pos="4252"/>
              <w:tab w:val="right" w:pos="8504"/>
            </w:tabs>
            <w:ind w:left="141" w:right="-493"/>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0B0A6F64" w14:textId="2CF77D43" w:rsidR="00C63C05" w:rsidRDefault="00AE6334">
    <w:pPr>
      <w:pBdr>
        <w:top w:val="nil"/>
        <w:left w:val="nil"/>
        <w:bottom w:val="nil"/>
        <w:right w:val="nil"/>
        <w:between w:val="nil"/>
      </w:pBdr>
      <w:tabs>
        <w:tab w:val="center" w:pos="4252"/>
        <w:tab w:val="right" w:pos="8504"/>
        <w:tab w:val="left" w:pos="3103"/>
      </w:tabs>
      <w:rPr>
        <w:rFonts w:ascii="Calibri" w:eastAsia="Calibri" w:hAnsi="Calibri" w:cs="Calibri"/>
        <w:color w:val="000000"/>
      </w:rPr>
    </w:pPr>
    <w:r>
      <w:rPr>
        <w:rFonts w:ascii="Calibri" w:eastAsia="Calibri" w:hAnsi="Calibri" w:cs="Calibri"/>
        <w:color w:val="000000"/>
      </w:rPr>
      <w:pict w14:anchorId="658267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resolución infoem imagen" style="position:absolute;margin-left:-84.4pt;margin-top:-125.65pt;width:589.8pt;height:768pt;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01F3"/>
    <w:multiLevelType w:val="multilevel"/>
    <w:tmpl w:val="CACEF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6822B5"/>
    <w:multiLevelType w:val="multilevel"/>
    <w:tmpl w:val="7F44F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EE32DD"/>
    <w:multiLevelType w:val="multilevel"/>
    <w:tmpl w:val="12720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A917AC"/>
    <w:multiLevelType w:val="multilevel"/>
    <w:tmpl w:val="AAECA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495E8F"/>
    <w:multiLevelType w:val="multilevel"/>
    <w:tmpl w:val="C47EB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C7535E"/>
    <w:multiLevelType w:val="multilevel"/>
    <w:tmpl w:val="07FE0D1E"/>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341B9"/>
    <w:multiLevelType w:val="multilevel"/>
    <w:tmpl w:val="31FAC4B4"/>
    <w:lvl w:ilvl="0">
      <w:start w:val="1"/>
      <w:numFmt w:val="upperRoman"/>
      <w:lvlText w:val="%1."/>
      <w:lvlJc w:val="left"/>
      <w:pPr>
        <w:ind w:left="1287" w:hanging="72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300200AC"/>
    <w:multiLevelType w:val="multilevel"/>
    <w:tmpl w:val="C3923D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6309C2"/>
    <w:multiLevelType w:val="multilevel"/>
    <w:tmpl w:val="FCDAB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32131AA"/>
    <w:multiLevelType w:val="multilevel"/>
    <w:tmpl w:val="12966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7E6824"/>
    <w:multiLevelType w:val="multilevel"/>
    <w:tmpl w:val="FBD00EFA"/>
    <w:lvl w:ilvl="0">
      <w:start w:val="1"/>
      <w:numFmt w:val="bullet"/>
      <w:lvlText w:val="o"/>
      <w:lvlJc w:val="left"/>
      <w:pPr>
        <w:ind w:left="2574" w:hanging="360"/>
      </w:pPr>
      <w:rPr>
        <w:rFonts w:ascii="Courier New" w:eastAsia="Courier New" w:hAnsi="Courier New" w:cs="Courier New"/>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3A564033"/>
    <w:multiLevelType w:val="multilevel"/>
    <w:tmpl w:val="4E9C280A"/>
    <w:lvl w:ilvl="0">
      <w:start w:val="1"/>
      <w:numFmt w:val="decimal"/>
      <w:lvlText w:val="%1."/>
      <w:lvlJc w:val="left"/>
      <w:pPr>
        <w:ind w:left="360" w:hanging="360"/>
      </w:pPr>
      <w:rPr>
        <w:rFonts w:ascii="Palatino Linotype" w:eastAsia="Arial" w:hAnsi="Palatino Linotype" w:cs="Arial" w:hint="default"/>
        <w:b/>
        <w:bCs/>
        <w:i w:val="0"/>
        <w:iCs w:val="0"/>
      </w:rPr>
    </w:lvl>
    <w:lvl w:ilvl="1">
      <w:start w:val="1"/>
      <w:numFmt w:val="lowerLetter"/>
      <w:lvlText w:val="%2."/>
      <w:lvlJc w:val="left"/>
      <w:pPr>
        <w:ind w:left="1440" w:hanging="360"/>
      </w:p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473638"/>
    <w:multiLevelType w:val="multilevel"/>
    <w:tmpl w:val="A5CE547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53C506A6"/>
    <w:multiLevelType w:val="multilevel"/>
    <w:tmpl w:val="89609F00"/>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167133"/>
    <w:multiLevelType w:val="multilevel"/>
    <w:tmpl w:val="FA9848DA"/>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FE52AC"/>
    <w:multiLevelType w:val="multilevel"/>
    <w:tmpl w:val="A6745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0BD7253"/>
    <w:multiLevelType w:val="multilevel"/>
    <w:tmpl w:val="3D8CAF60"/>
    <w:lvl w:ilvl="0">
      <w:start w:val="1"/>
      <w:numFmt w:val="bullet"/>
      <w:lvlText w:val="o"/>
      <w:lvlJc w:val="left"/>
      <w:pPr>
        <w:ind w:left="2574" w:hanging="360"/>
      </w:pPr>
      <w:rPr>
        <w:rFonts w:ascii="Courier New" w:eastAsia="Courier New" w:hAnsi="Courier New" w:cs="Courier New"/>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6604063D"/>
    <w:multiLevelType w:val="multilevel"/>
    <w:tmpl w:val="182A79CE"/>
    <w:lvl w:ilvl="0">
      <w:start w:val="1"/>
      <w:numFmt w:val="bullet"/>
      <w:lvlText w:val="o"/>
      <w:lvlJc w:val="left"/>
      <w:pPr>
        <w:ind w:left="2520" w:hanging="360"/>
      </w:pPr>
      <w:rPr>
        <w:rFonts w:ascii="Courier New" w:eastAsia="Courier New" w:hAnsi="Courier New" w:cs="Courier New"/>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8" w15:restartNumberingAfterBreak="0">
    <w:nsid w:val="6AAA3FE6"/>
    <w:multiLevelType w:val="multilevel"/>
    <w:tmpl w:val="47F84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E6F5AE4"/>
    <w:multiLevelType w:val="multilevel"/>
    <w:tmpl w:val="51520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06E0D05"/>
    <w:multiLevelType w:val="multilevel"/>
    <w:tmpl w:val="37180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A93E29"/>
    <w:multiLevelType w:val="multilevel"/>
    <w:tmpl w:val="D6CC1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C44AFF"/>
    <w:multiLevelType w:val="multilevel"/>
    <w:tmpl w:val="DEF2A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CE3E22"/>
    <w:multiLevelType w:val="multilevel"/>
    <w:tmpl w:val="E174A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1"/>
  </w:num>
  <w:num w:numId="4">
    <w:abstractNumId w:val="2"/>
  </w:num>
  <w:num w:numId="5">
    <w:abstractNumId w:val="4"/>
  </w:num>
  <w:num w:numId="6">
    <w:abstractNumId w:val="13"/>
  </w:num>
  <w:num w:numId="7">
    <w:abstractNumId w:val="11"/>
  </w:num>
  <w:num w:numId="8">
    <w:abstractNumId w:val="12"/>
  </w:num>
  <w:num w:numId="9">
    <w:abstractNumId w:val="18"/>
  </w:num>
  <w:num w:numId="10">
    <w:abstractNumId w:val="16"/>
  </w:num>
  <w:num w:numId="11">
    <w:abstractNumId w:val="10"/>
  </w:num>
  <w:num w:numId="12">
    <w:abstractNumId w:val="17"/>
  </w:num>
  <w:num w:numId="13">
    <w:abstractNumId w:val="7"/>
  </w:num>
  <w:num w:numId="14">
    <w:abstractNumId w:val="5"/>
  </w:num>
  <w:num w:numId="15">
    <w:abstractNumId w:val="14"/>
  </w:num>
  <w:num w:numId="16">
    <w:abstractNumId w:val="8"/>
  </w:num>
  <w:num w:numId="17">
    <w:abstractNumId w:val="6"/>
  </w:num>
  <w:num w:numId="18">
    <w:abstractNumId w:val="19"/>
  </w:num>
  <w:num w:numId="19">
    <w:abstractNumId w:val="3"/>
  </w:num>
  <w:num w:numId="20">
    <w:abstractNumId w:val="20"/>
  </w:num>
  <w:num w:numId="21">
    <w:abstractNumId w:val="23"/>
  </w:num>
  <w:num w:numId="22">
    <w:abstractNumId w:val="9"/>
  </w:num>
  <w:num w:numId="23">
    <w:abstractNumId w:val="1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05"/>
    <w:rsid w:val="00014B85"/>
    <w:rsid w:val="0002025D"/>
    <w:rsid w:val="0039019C"/>
    <w:rsid w:val="00416EA5"/>
    <w:rsid w:val="004A6A84"/>
    <w:rsid w:val="004B745E"/>
    <w:rsid w:val="0072728A"/>
    <w:rsid w:val="00841EB9"/>
    <w:rsid w:val="00AA0302"/>
    <w:rsid w:val="00AE6334"/>
    <w:rsid w:val="00B56E36"/>
    <w:rsid w:val="00C63C05"/>
    <w:rsid w:val="00E052DA"/>
    <w:rsid w:val="00E46847"/>
    <w:rsid w:val="00EE1F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3DE69F"/>
  <w15:docId w15:val="{579A167F-76D9-40AC-98D6-9A487E6D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40"/>
      <w:outlineLvl w:val="3"/>
    </w:pPr>
    <w:rPr>
      <w:rFonts w:ascii="Calibri" w:eastAsia="Calibri" w:hAnsi="Calibri" w:cs="Calibri"/>
      <w:i/>
      <w:iCs/>
      <w:color w:val="2E75B5"/>
    </w:rPr>
  </w:style>
  <w:style w:type="paragraph" w:styleId="Ttulo5">
    <w:name w:val="heading 5"/>
    <w:basedOn w:val="Normal"/>
    <w:next w:val="Normal"/>
    <w:pPr>
      <w:keepNext/>
      <w:keepLines/>
      <w:spacing w:before="40"/>
      <w:outlineLvl w:val="4"/>
    </w:pPr>
    <w:rPr>
      <w:rFonts w:ascii="Calibri" w:eastAsia="Calibri" w:hAnsi="Calibri" w:cs="Calibri"/>
      <w:color w:val="2E75B5"/>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4B745E"/>
    <w:pPr>
      <w:tabs>
        <w:tab w:val="center" w:pos="4419"/>
        <w:tab w:val="right" w:pos="8838"/>
      </w:tabs>
    </w:pPr>
  </w:style>
  <w:style w:type="character" w:customStyle="1" w:styleId="EncabezadoCar">
    <w:name w:val="Encabezado Car"/>
    <w:basedOn w:val="Fuentedeprrafopredeter"/>
    <w:link w:val="Encabezado"/>
    <w:uiPriority w:val="99"/>
    <w:rsid w:val="004B745E"/>
  </w:style>
  <w:style w:type="paragraph" w:styleId="Piedepgina">
    <w:name w:val="footer"/>
    <w:basedOn w:val="Normal"/>
    <w:link w:val="PiedepginaCar"/>
    <w:uiPriority w:val="99"/>
    <w:unhideWhenUsed/>
    <w:rsid w:val="004B745E"/>
    <w:pPr>
      <w:tabs>
        <w:tab w:val="center" w:pos="4419"/>
        <w:tab w:val="right" w:pos="8838"/>
      </w:tabs>
    </w:pPr>
  </w:style>
  <w:style w:type="character" w:customStyle="1" w:styleId="PiedepginaCar">
    <w:name w:val="Pie de página Car"/>
    <w:basedOn w:val="Fuentedeprrafopredeter"/>
    <w:link w:val="Piedepgina"/>
    <w:uiPriority w:val="99"/>
    <w:rsid w:val="004B745E"/>
  </w:style>
  <w:style w:type="paragraph" w:styleId="Prrafodelista">
    <w:name w:val="List Paragraph"/>
    <w:basedOn w:val="Normal"/>
    <w:uiPriority w:val="34"/>
    <w:qFormat/>
    <w:rsid w:val="004B74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334207.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imex.org.mx/saimex/solicitud/downloadAttach/2334207.pag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ID=1000830&amp;Clase=DetalleTesisBL&amp;Semanario=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HcMrcpmke1L3jDO4zeeFtqbARw==">CgMxLjAyCGguZ2pkZ3hzMgloLjMwajB6bGwyCWguMWZvYjl0ZTIJaC4zem55c2g3MgloLjJldDkycDAyCGgudHlqY3d0MgloLjNkeTZ2a20yCWguMXQzaDVzZjIJaC40ZDM0b2c4Mg5oLmp3dWlzbDQ4ZzE3ZTIJaC4xN2RwOHZ1MgloLjNyZGNyam44AHIhMVJPdUI1N1pGS2JQZ25Vb2dQbVlWaTdoZFZPaXZueWdX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65</Pages>
  <Words>16479</Words>
  <Characters>90636</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SERVICIO</dc:creator>
  <cp:lastModifiedBy>Cuenta Microsoft</cp:lastModifiedBy>
  <cp:revision>8</cp:revision>
  <cp:lastPrinted>2026-05-29T00:08:00Z</cp:lastPrinted>
  <dcterms:created xsi:type="dcterms:W3CDTF">2026-05-25T21:39:00Z</dcterms:created>
  <dcterms:modified xsi:type="dcterms:W3CDTF">2026-06-02T23:22:00Z</dcterms:modified>
</cp:coreProperties>
</file>