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FBB5" w14:textId="4CF5ADE7" w:rsidR="00562A90" w:rsidRPr="006A70FC" w:rsidRDefault="0062255D">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Start w:id="1" w:name="_GoBack"/>
      <w:bookmarkEnd w:id="0"/>
      <w:bookmarkEnd w:id="1"/>
      <w:r w:rsidRPr="006A70F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w:t>
      </w:r>
      <w:r w:rsidR="00447DB1" w:rsidRPr="006A70FC">
        <w:rPr>
          <w:rFonts w:ascii="Palatino Linotype" w:eastAsia="Palatino Linotype" w:hAnsi="Palatino Linotype" w:cs="Palatino Linotype"/>
          <w:sz w:val="22"/>
          <w:szCs w:val="22"/>
        </w:rPr>
        <w:t>en Metepec, Estado de México, a</w:t>
      </w:r>
      <w:r w:rsidR="00016E26" w:rsidRPr="006A70FC">
        <w:rPr>
          <w:rFonts w:ascii="Palatino Linotype" w:eastAsia="Palatino Linotype" w:hAnsi="Palatino Linotype" w:cs="Palatino Linotype"/>
          <w:sz w:val="22"/>
          <w:szCs w:val="22"/>
        </w:rPr>
        <w:t xml:space="preserve"> </w:t>
      </w:r>
      <w:r w:rsidR="007B37DB" w:rsidRPr="006A70FC">
        <w:rPr>
          <w:rFonts w:ascii="Palatino Linotype" w:eastAsia="Palatino Linotype" w:hAnsi="Palatino Linotype" w:cs="Palatino Linotype"/>
          <w:sz w:val="22"/>
          <w:szCs w:val="22"/>
        </w:rPr>
        <w:t>cinco</w:t>
      </w:r>
      <w:r w:rsidR="00982A43" w:rsidRPr="006A70FC">
        <w:rPr>
          <w:rFonts w:ascii="Palatino Linotype" w:eastAsia="Palatino Linotype" w:hAnsi="Palatino Linotype" w:cs="Palatino Linotype"/>
          <w:sz w:val="22"/>
          <w:szCs w:val="22"/>
        </w:rPr>
        <w:t xml:space="preserve"> </w:t>
      </w:r>
      <w:r w:rsidR="000F04D3" w:rsidRPr="006A70FC">
        <w:rPr>
          <w:rFonts w:ascii="Palatino Linotype" w:eastAsia="Palatino Linotype" w:hAnsi="Palatino Linotype" w:cs="Palatino Linotype"/>
          <w:sz w:val="22"/>
          <w:szCs w:val="22"/>
        </w:rPr>
        <w:t xml:space="preserve">de </w:t>
      </w:r>
      <w:r w:rsidR="00706527" w:rsidRPr="006A70FC">
        <w:rPr>
          <w:rFonts w:ascii="Palatino Linotype" w:eastAsia="Palatino Linotype" w:hAnsi="Palatino Linotype" w:cs="Palatino Linotype"/>
          <w:sz w:val="22"/>
          <w:szCs w:val="22"/>
        </w:rPr>
        <w:t xml:space="preserve">marzo </w:t>
      </w:r>
      <w:r w:rsidRPr="006A70FC">
        <w:rPr>
          <w:rFonts w:ascii="Palatino Linotype" w:eastAsia="Palatino Linotype" w:hAnsi="Palatino Linotype" w:cs="Palatino Linotype"/>
          <w:sz w:val="22"/>
          <w:szCs w:val="22"/>
        </w:rPr>
        <w:t xml:space="preserve">de dos mil </w:t>
      </w:r>
      <w:r w:rsidR="00DB7822" w:rsidRPr="006A70FC">
        <w:rPr>
          <w:rFonts w:ascii="Palatino Linotype" w:eastAsia="Palatino Linotype" w:hAnsi="Palatino Linotype" w:cs="Palatino Linotype"/>
          <w:sz w:val="22"/>
          <w:szCs w:val="22"/>
        </w:rPr>
        <w:t>veintiséis</w:t>
      </w:r>
      <w:r w:rsidRPr="006A70FC">
        <w:rPr>
          <w:rFonts w:ascii="Palatino Linotype" w:eastAsia="Palatino Linotype" w:hAnsi="Palatino Linotype" w:cs="Palatino Linotype"/>
          <w:sz w:val="22"/>
          <w:szCs w:val="22"/>
        </w:rPr>
        <w:t xml:space="preserve">. </w:t>
      </w:r>
    </w:p>
    <w:p w14:paraId="4795114A" w14:textId="104B20AE" w:rsidR="00562A90" w:rsidRPr="006A70FC" w:rsidRDefault="0062255D">
      <w:pPr>
        <w:tabs>
          <w:tab w:val="left" w:pos="5812"/>
        </w:tabs>
        <w:spacing w:before="240" w:after="240" w:line="360" w:lineRule="auto"/>
        <w:jc w:val="both"/>
        <w:rPr>
          <w:rFonts w:ascii="Palatino Linotype" w:eastAsia="Palatino Linotype" w:hAnsi="Palatino Linotype" w:cs="Palatino Linotype"/>
          <w:sz w:val="22"/>
          <w:szCs w:val="22"/>
        </w:rPr>
      </w:pPr>
      <w:bookmarkStart w:id="2" w:name="_heading=h.daj3j2xo6q66" w:colFirst="0" w:colLast="0"/>
      <w:bookmarkEnd w:id="2"/>
      <w:r w:rsidRPr="006A70FC">
        <w:rPr>
          <w:rFonts w:ascii="Palatino Linotype" w:eastAsia="Palatino Linotype" w:hAnsi="Palatino Linotype" w:cs="Palatino Linotype"/>
          <w:b/>
          <w:sz w:val="22"/>
          <w:szCs w:val="22"/>
        </w:rPr>
        <w:t>VISTO</w:t>
      </w:r>
      <w:r w:rsidRPr="006A70FC">
        <w:rPr>
          <w:rFonts w:ascii="Palatino Linotype" w:eastAsia="Palatino Linotype" w:hAnsi="Palatino Linotype" w:cs="Palatino Linotype"/>
          <w:sz w:val="22"/>
          <w:szCs w:val="22"/>
        </w:rPr>
        <w:t xml:space="preserve"> el expediente formado con motivo del recurso de revisión </w:t>
      </w:r>
      <w:r w:rsidR="00982A43" w:rsidRPr="006A70FC">
        <w:rPr>
          <w:rFonts w:ascii="Palatino Linotype" w:eastAsia="Palatino Linotype" w:hAnsi="Palatino Linotype" w:cs="Palatino Linotype"/>
          <w:b/>
          <w:sz w:val="22"/>
          <w:szCs w:val="22"/>
        </w:rPr>
        <w:t>1</w:t>
      </w:r>
      <w:r w:rsidR="00706527" w:rsidRPr="006A70FC">
        <w:rPr>
          <w:rFonts w:ascii="Palatino Linotype" w:eastAsia="Palatino Linotype" w:hAnsi="Palatino Linotype" w:cs="Palatino Linotype"/>
          <w:b/>
          <w:sz w:val="22"/>
          <w:szCs w:val="22"/>
        </w:rPr>
        <w:t>2379</w:t>
      </w:r>
      <w:r w:rsidR="00337D82" w:rsidRPr="006A70FC">
        <w:rPr>
          <w:rFonts w:ascii="Palatino Linotype" w:eastAsia="Palatino Linotype" w:hAnsi="Palatino Linotype" w:cs="Palatino Linotype"/>
          <w:b/>
          <w:sz w:val="22"/>
          <w:szCs w:val="22"/>
        </w:rPr>
        <w:t>/INFOEM/IP/RR/2025</w:t>
      </w:r>
      <w:r w:rsidRPr="006A70FC">
        <w:rPr>
          <w:rFonts w:ascii="Palatino Linotype" w:eastAsia="Palatino Linotype" w:hAnsi="Palatino Linotype" w:cs="Palatino Linotype"/>
          <w:sz w:val="22"/>
          <w:szCs w:val="22"/>
        </w:rPr>
        <w:t>, interpuesto por</w:t>
      </w:r>
      <w:r w:rsidR="005833F1" w:rsidRPr="006A70FC">
        <w:rPr>
          <w:rFonts w:ascii="Palatino Linotype" w:eastAsia="Palatino Linotype" w:hAnsi="Palatino Linotype" w:cs="Palatino Linotype"/>
          <w:b/>
          <w:sz w:val="22"/>
          <w:szCs w:val="22"/>
        </w:rPr>
        <w:t xml:space="preserve"> </w:t>
      </w:r>
      <w:r w:rsidR="00706527" w:rsidRPr="006A70FC">
        <w:rPr>
          <w:rFonts w:ascii="Palatino Linotype" w:eastAsia="Palatino Linotype" w:hAnsi="Palatino Linotype" w:cs="Palatino Linotype"/>
          <w:b/>
          <w:sz w:val="22"/>
          <w:szCs w:val="22"/>
        </w:rPr>
        <w:t>un particular que no proporcionó nombre</w:t>
      </w:r>
      <w:r w:rsidRPr="006A70FC">
        <w:rPr>
          <w:rFonts w:ascii="Palatino Linotype" w:eastAsia="Palatino Linotype" w:hAnsi="Palatino Linotype" w:cs="Palatino Linotype"/>
          <w:b/>
          <w:sz w:val="22"/>
          <w:szCs w:val="22"/>
        </w:rPr>
        <w:t>,</w:t>
      </w:r>
      <w:r w:rsidRPr="006A70FC">
        <w:rPr>
          <w:rFonts w:ascii="Palatino Linotype" w:eastAsia="Palatino Linotype" w:hAnsi="Palatino Linotype" w:cs="Palatino Linotype"/>
          <w:sz w:val="22"/>
          <w:szCs w:val="22"/>
        </w:rPr>
        <w:t xml:space="preserve"> en lo sucesivo</w:t>
      </w:r>
      <w:r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sz w:val="22"/>
          <w:szCs w:val="22"/>
        </w:rPr>
        <w:t xml:space="preserve">la parte </w:t>
      </w:r>
      <w:r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sz w:val="22"/>
          <w:szCs w:val="22"/>
        </w:rPr>
        <w:t xml:space="preserve"> en contra de la respuesta a la solicitud de información con número de folio</w:t>
      </w:r>
      <w:r w:rsidRPr="006A70FC">
        <w:rPr>
          <w:rFonts w:ascii="Palatino Linotype" w:eastAsia="Palatino Linotype" w:hAnsi="Palatino Linotype" w:cs="Palatino Linotype"/>
          <w:b/>
          <w:sz w:val="22"/>
          <w:szCs w:val="22"/>
        </w:rPr>
        <w:t xml:space="preserve"> </w:t>
      </w:r>
      <w:r w:rsidR="00706527" w:rsidRPr="006A70FC">
        <w:rPr>
          <w:rFonts w:ascii="Palatino Linotype" w:eastAsia="Palatino Linotype" w:hAnsi="Palatino Linotype" w:cs="Palatino Linotype"/>
          <w:b/>
          <w:sz w:val="22"/>
          <w:szCs w:val="22"/>
        </w:rPr>
        <w:t>00118/CEDIPIEM/IP/2025</w:t>
      </w:r>
      <w:r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sz w:val="22"/>
          <w:szCs w:val="22"/>
        </w:rPr>
        <w:t>por parte de</w:t>
      </w:r>
      <w:r w:rsidR="00DB7822"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sz w:val="22"/>
          <w:szCs w:val="22"/>
        </w:rPr>
        <w:t>l</w:t>
      </w:r>
      <w:r w:rsidR="00DB7822" w:rsidRPr="006A70FC">
        <w:rPr>
          <w:rFonts w:ascii="Palatino Linotype" w:eastAsia="Palatino Linotype" w:hAnsi="Palatino Linotype" w:cs="Palatino Linotype"/>
          <w:sz w:val="22"/>
          <w:szCs w:val="22"/>
        </w:rPr>
        <w:t>a</w:t>
      </w:r>
      <w:r w:rsidR="00706527" w:rsidRPr="006A70FC">
        <w:rPr>
          <w:rFonts w:ascii="Palatino Linotype" w:eastAsia="Palatino Linotype" w:hAnsi="Palatino Linotype" w:cs="Palatino Linotype"/>
          <w:b/>
          <w:sz w:val="22"/>
          <w:szCs w:val="22"/>
        </w:rPr>
        <w:t xml:space="preserve"> Consejo Estatal para el Desarrollo Integral de Los Pueblos Indígenas del Estado de México</w:t>
      </w:r>
      <w:r w:rsidR="00EF0D72" w:rsidRPr="006A70FC">
        <w:rPr>
          <w:rFonts w:ascii="Palatino Linotype" w:eastAsia="Palatino Linotype" w:hAnsi="Palatino Linotype" w:cs="Palatino Linotype"/>
          <w:b/>
          <w:sz w:val="22"/>
          <w:szCs w:val="22"/>
        </w:rPr>
        <w:t>,</w:t>
      </w:r>
      <w:r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sz w:val="22"/>
          <w:szCs w:val="22"/>
        </w:rPr>
        <w:t xml:space="preserve">en lo sucesivo el </w:t>
      </w:r>
      <w:r w:rsidRPr="006A70FC">
        <w:rPr>
          <w:rFonts w:ascii="Palatino Linotype" w:eastAsia="Palatino Linotype" w:hAnsi="Palatino Linotype" w:cs="Palatino Linotype"/>
          <w:b/>
          <w:sz w:val="22"/>
          <w:szCs w:val="22"/>
        </w:rPr>
        <w:t xml:space="preserve">Sujeto Obligado, </w:t>
      </w:r>
      <w:r w:rsidRPr="006A70FC">
        <w:rPr>
          <w:rFonts w:ascii="Palatino Linotype" w:eastAsia="Palatino Linotype" w:hAnsi="Palatino Linotype" w:cs="Palatino Linotype"/>
          <w:sz w:val="22"/>
          <w:szCs w:val="22"/>
        </w:rPr>
        <w:t xml:space="preserve">se procede a dictar la presente resolución con base en los siguientes: </w:t>
      </w:r>
    </w:p>
    <w:p w14:paraId="3CC5291D" w14:textId="77777777" w:rsidR="00562A90" w:rsidRPr="006A70FC" w:rsidRDefault="0062255D">
      <w:pPr>
        <w:spacing w:before="240" w:after="240" w:line="360" w:lineRule="auto"/>
        <w:jc w:val="center"/>
        <w:rPr>
          <w:rFonts w:ascii="Palatino Linotype" w:eastAsia="Palatino Linotype" w:hAnsi="Palatino Linotype" w:cs="Palatino Linotype"/>
          <w:b/>
          <w:sz w:val="22"/>
          <w:szCs w:val="22"/>
        </w:rPr>
      </w:pPr>
      <w:r w:rsidRPr="006A70FC">
        <w:rPr>
          <w:rFonts w:ascii="Palatino Linotype" w:eastAsia="Palatino Linotype" w:hAnsi="Palatino Linotype" w:cs="Palatino Linotype"/>
          <w:b/>
          <w:sz w:val="22"/>
          <w:szCs w:val="22"/>
        </w:rPr>
        <w:t>I. A N T E C E D E N T E S</w:t>
      </w:r>
    </w:p>
    <w:p w14:paraId="72C70038" w14:textId="09E95545" w:rsidR="00562A90" w:rsidRPr="006A70FC" w:rsidRDefault="0062255D">
      <w:pPr>
        <w:spacing w:before="240" w:after="240" w:line="360" w:lineRule="auto"/>
        <w:jc w:val="both"/>
        <w:rPr>
          <w:rFonts w:ascii="Palatino Linotype" w:eastAsia="Palatino Linotype" w:hAnsi="Palatino Linotype" w:cs="Palatino Linotype"/>
          <w:sz w:val="22"/>
          <w:szCs w:val="22"/>
        </w:rPr>
      </w:pPr>
      <w:bookmarkStart w:id="3" w:name="_heading=h.gjdgxs" w:colFirst="0" w:colLast="0"/>
      <w:bookmarkEnd w:id="3"/>
      <w:r w:rsidRPr="006A70FC">
        <w:rPr>
          <w:rFonts w:ascii="Palatino Linotype" w:eastAsia="Palatino Linotype" w:hAnsi="Palatino Linotype" w:cs="Palatino Linotype"/>
          <w:b/>
          <w:sz w:val="22"/>
          <w:szCs w:val="22"/>
        </w:rPr>
        <w:t>1. Solicitud de acceso a la información.</w:t>
      </w:r>
      <w:r w:rsidRPr="006A70FC">
        <w:rPr>
          <w:rFonts w:ascii="Palatino Linotype" w:eastAsia="Palatino Linotype" w:hAnsi="Palatino Linotype" w:cs="Palatino Linotype"/>
          <w:sz w:val="22"/>
          <w:szCs w:val="22"/>
        </w:rPr>
        <w:t xml:space="preserve"> El </w:t>
      </w:r>
      <w:bookmarkStart w:id="4" w:name="_Hlk212125406"/>
      <w:r w:rsidR="00706527" w:rsidRPr="006A70FC">
        <w:rPr>
          <w:rFonts w:ascii="Palatino Linotype" w:eastAsia="Palatino Linotype" w:hAnsi="Palatino Linotype" w:cs="Palatino Linotype"/>
          <w:b/>
          <w:sz w:val="22"/>
          <w:szCs w:val="22"/>
        </w:rPr>
        <w:t>veint</w:t>
      </w:r>
      <w:r w:rsidR="00964506" w:rsidRPr="006A70FC">
        <w:rPr>
          <w:rFonts w:ascii="Palatino Linotype" w:eastAsia="Palatino Linotype" w:hAnsi="Palatino Linotype" w:cs="Palatino Linotype"/>
          <w:b/>
          <w:sz w:val="22"/>
          <w:szCs w:val="22"/>
        </w:rPr>
        <w:t>e</w:t>
      </w:r>
      <w:r w:rsidR="00706527" w:rsidRPr="006A70FC">
        <w:rPr>
          <w:rFonts w:ascii="Palatino Linotype" w:eastAsia="Palatino Linotype" w:hAnsi="Palatino Linotype" w:cs="Palatino Linotype"/>
          <w:b/>
          <w:sz w:val="22"/>
          <w:szCs w:val="22"/>
        </w:rPr>
        <w:t xml:space="preserve"> de septiembre </w:t>
      </w:r>
      <w:r w:rsidRPr="006A70FC">
        <w:rPr>
          <w:rFonts w:ascii="Palatino Linotype" w:eastAsia="Palatino Linotype" w:hAnsi="Palatino Linotype" w:cs="Palatino Linotype"/>
          <w:b/>
          <w:sz w:val="22"/>
          <w:szCs w:val="22"/>
        </w:rPr>
        <w:t>de dos mil veinticinco</w:t>
      </w:r>
      <w:bookmarkEnd w:id="4"/>
      <w:r w:rsidRPr="006A70FC">
        <w:rPr>
          <w:rFonts w:ascii="Palatino Linotype" w:eastAsia="Palatino Linotype" w:hAnsi="Palatino Linotype" w:cs="Palatino Linotype"/>
          <w:b/>
          <w:sz w:val="22"/>
          <w:szCs w:val="22"/>
        </w:rPr>
        <w:t>,</w:t>
      </w:r>
      <w:r w:rsidRPr="006A70FC">
        <w:rPr>
          <w:rFonts w:ascii="Palatino Linotype" w:eastAsia="Palatino Linotype" w:hAnsi="Palatino Linotype" w:cs="Palatino Linotype"/>
          <w:sz w:val="22"/>
          <w:szCs w:val="22"/>
        </w:rPr>
        <w:t xml:space="preserve"> la parte </w:t>
      </w:r>
      <w:r w:rsidRPr="006A70FC">
        <w:rPr>
          <w:rFonts w:ascii="Palatino Linotype" w:eastAsia="Palatino Linotype" w:hAnsi="Palatino Linotype" w:cs="Palatino Linotype"/>
          <w:b/>
          <w:sz w:val="22"/>
          <w:szCs w:val="22"/>
        </w:rPr>
        <w:t xml:space="preserve">Recurrente </w:t>
      </w:r>
      <w:r w:rsidRPr="006A70FC">
        <w:rPr>
          <w:rFonts w:ascii="Palatino Linotype" w:eastAsia="Palatino Linotype" w:hAnsi="Palatino Linotype" w:cs="Palatino Linotype"/>
          <w:sz w:val="22"/>
          <w:szCs w:val="22"/>
        </w:rPr>
        <w:t xml:space="preserve">presentó la solicitud de acceso a la información pública ante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a través del Sistema de Acceso a la Información Mexiquense, en lo subsecuente el </w:t>
      </w:r>
      <w:r w:rsidRPr="006A70FC">
        <w:rPr>
          <w:rFonts w:ascii="Palatino Linotype" w:eastAsia="Palatino Linotype" w:hAnsi="Palatino Linotype" w:cs="Palatino Linotype"/>
          <w:b/>
          <w:sz w:val="22"/>
          <w:szCs w:val="22"/>
        </w:rPr>
        <w:t>SAIMEX,</w:t>
      </w:r>
      <w:r w:rsidR="00964506" w:rsidRPr="006A70FC">
        <w:rPr>
          <w:rFonts w:ascii="Palatino Linotype" w:eastAsia="Palatino Linotype" w:hAnsi="Palatino Linotype" w:cs="Palatino Linotype"/>
          <w:b/>
          <w:sz w:val="22"/>
          <w:szCs w:val="22"/>
        </w:rPr>
        <w:t xml:space="preserve"> </w:t>
      </w:r>
      <w:r w:rsidR="00964506" w:rsidRPr="006A70FC">
        <w:rPr>
          <w:rFonts w:ascii="Palatino Linotype" w:eastAsia="Palatino Linotype" w:hAnsi="Palatino Linotype" w:cs="Palatino Linotype"/>
          <w:bCs/>
          <w:sz w:val="22"/>
          <w:szCs w:val="22"/>
        </w:rPr>
        <w:t>sin embargo, al corresponder con un día inhábil, se tuvo por presentada el</w:t>
      </w:r>
      <w:r w:rsidR="00964506" w:rsidRPr="006A70FC">
        <w:rPr>
          <w:rFonts w:ascii="Palatino Linotype" w:eastAsia="Palatino Linotype" w:hAnsi="Palatino Linotype" w:cs="Palatino Linotype"/>
          <w:b/>
          <w:sz w:val="22"/>
          <w:szCs w:val="22"/>
        </w:rPr>
        <w:t xml:space="preserve"> veintidós de septiembre de dos mil veinticinco</w:t>
      </w:r>
      <w:r w:rsidRPr="006A70FC">
        <w:rPr>
          <w:rFonts w:ascii="Palatino Linotype" w:eastAsia="Palatino Linotype" w:hAnsi="Palatino Linotype" w:cs="Palatino Linotype"/>
          <w:sz w:val="22"/>
          <w:szCs w:val="22"/>
        </w:rPr>
        <w:t xml:space="preserve"> mediante la cual requirió lo siguiente:</w:t>
      </w:r>
    </w:p>
    <w:p w14:paraId="57605782" w14:textId="7D813C75" w:rsidR="00562A90" w:rsidRPr="006A70FC" w:rsidRDefault="0062255D">
      <w:pPr>
        <w:spacing w:before="120" w:after="120"/>
        <w:ind w:left="851" w:right="902"/>
        <w:jc w:val="both"/>
        <w:rPr>
          <w:rFonts w:ascii="Palatino Linotype" w:eastAsia="Palatino Linotype" w:hAnsi="Palatino Linotype" w:cs="Palatino Linotype"/>
          <w:b/>
          <w:i/>
          <w:sz w:val="22"/>
          <w:szCs w:val="22"/>
        </w:rPr>
      </w:pPr>
      <w:r w:rsidRPr="006A70FC">
        <w:rPr>
          <w:rFonts w:ascii="Palatino Linotype" w:eastAsia="Palatino Linotype" w:hAnsi="Palatino Linotype" w:cs="Palatino Linotype"/>
          <w:i/>
          <w:sz w:val="22"/>
          <w:szCs w:val="22"/>
        </w:rPr>
        <w:t xml:space="preserve"> “</w:t>
      </w:r>
      <w:r w:rsidR="00706527" w:rsidRPr="006A70FC">
        <w:rPr>
          <w:rFonts w:ascii="Palatino Linotype" w:eastAsia="Palatino Linotype" w:hAnsi="Palatino Linotype" w:cs="Palatino Linotype"/>
          <w:i/>
          <w:sz w:val="22"/>
          <w:szCs w:val="22"/>
        </w:rPr>
        <w:t>solicito listado de beneficiarios efectivamente atendidos, con monto recibido, fecha y programa de Desarrollo Indígena con Bienestar” y Bienestar Cultural Indígena 2024</w:t>
      </w:r>
      <w:r w:rsidRPr="006A70FC">
        <w:rPr>
          <w:rFonts w:ascii="Palatino Linotype" w:eastAsia="Palatino Linotype" w:hAnsi="Palatino Linotype" w:cs="Palatino Linotype"/>
          <w:bCs/>
          <w:i/>
          <w:sz w:val="22"/>
          <w:szCs w:val="22"/>
        </w:rPr>
        <w:t>”</w:t>
      </w:r>
      <w:r w:rsidRPr="006A70FC">
        <w:rPr>
          <w:rFonts w:ascii="Palatino Linotype" w:eastAsia="Palatino Linotype" w:hAnsi="Palatino Linotype" w:cs="Palatino Linotype"/>
          <w:i/>
          <w:sz w:val="22"/>
          <w:szCs w:val="22"/>
        </w:rPr>
        <w:t xml:space="preserve"> (sic) </w:t>
      </w:r>
    </w:p>
    <w:p w14:paraId="5EFADEDB" w14:textId="77777777" w:rsidR="007A16C4" w:rsidRPr="006A70FC" w:rsidRDefault="007A16C4" w:rsidP="007A16C4">
      <w:pPr>
        <w:spacing w:line="360" w:lineRule="auto"/>
        <w:jc w:val="both"/>
        <w:rPr>
          <w:rFonts w:ascii="Palatino Linotype" w:eastAsia="Palatino Linotype" w:hAnsi="Palatino Linotype" w:cs="Palatino Linotype"/>
          <w:sz w:val="22"/>
          <w:szCs w:val="22"/>
        </w:rPr>
      </w:pPr>
      <w:bookmarkStart w:id="5" w:name="_heading=h.3dy6vkm" w:colFirst="0" w:colLast="0"/>
      <w:bookmarkEnd w:id="5"/>
      <w:r w:rsidRPr="006A70FC">
        <w:rPr>
          <w:rFonts w:ascii="Palatino Linotype" w:eastAsia="Palatino Linotype" w:hAnsi="Palatino Linotype" w:cs="Palatino Linotype"/>
          <w:b/>
          <w:sz w:val="22"/>
          <w:szCs w:val="22"/>
        </w:rPr>
        <w:t xml:space="preserve">Modalidad elegida para la entrega de la información: </w:t>
      </w:r>
      <w:r w:rsidRPr="006A70FC">
        <w:rPr>
          <w:rFonts w:ascii="Palatino Linotype" w:eastAsia="Palatino Linotype" w:hAnsi="Palatino Linotype" w:cs="Palatino Linotype"/>
          <w:sz w:val="22"/>
          <w:szCs w:val="22"/>
        </w:rPr>
        <w:t>a través del SAIMEX.</w:t>
      </w:r>
    </w:p>
    <w:p w14:paraId="028F95FA" w14:textId="35BD8FBB" w:rsidR="00706527" w:rsidRPr="006A70FC" w:rsidRDefault="0062255D" w:rsidP="00982A43">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2.</w:t>
      </w:r>
      <w:r w:rsidR="00706527" w:rsidRPr="006A70FC">
        <w:rPr>
          <w:rFonts w:ascii="Palatino Linotype" w:eastAsia="Palatino Linotype" w:hAnsi="Palatino Linotype" w:cs="Palatino Linotype"/>
          <w:b/>
          <w:sz w:val="22"/>
          <w:szCs w:val="22"/>
        </w:rPr>
        <w:t xml:space="preserve"> Pr</w:t>
      </w:r>
      <w:r w:rsidR="002A7D22" w:rsidRPr="006A70FC">
        <w:rPr>
          <w:rFonts w:ascii="Palatino Linotype" w:eastAsia="Palatino Linotype" w:hAnsi="Palatino Linotype" w:cs="Palatino Linotype"/>
          <w:b/>
          <w:sz w:val="22"/>
          <w:szCs w:val="22"/>
        </w:rPr>
        <w:t>ó</w:t>
      </w:r>
      <w:r w:rsidR="00706527" w:rsidRPr="006A70FC">
        <w:rPr>
          <w:rFonts w:ascii="Palatino Linotype" w:eastAsia="Palatino Linotype" w:hAnsi="Palatino Linotype" w:cs="Palatino Linotype"/>
          <w:b/>
          <w:sz w:val="22"/>
          <w:szCs w:val="22"/>
        </w:rPr>
        <w:t>rroga</w:t>
      </w:r>
      <w:r w:rsidR="00982A43" w:rsidRPr="006A70FC">
        <w:rPr>
          <w:rFonts w:ascii="Palatino Linotype" w:eastAsia="Palatino Linotype" w:hAnsi="Palatino Linotype" w:cs="Palatino Linotype"/>
          <w:sz w:val="22"/>
          <w:szCs w:val="22"/>
        </w:rPr>
        <w:t xml:space="preserve">. El </w:t>
      </w:r>
      <w:r w:rsidR="00706527" w:rsidRPr="006A70FC">
        <w:rPr>
          <w:rFonts w:ascii="Palatino Linotype" w:eastAsia="Palatino Linotype" w:hAnsi="Palatino Linotype" w:cs="Palatino Linotype"/>
          <w:b/>
          <w:sz w:val="22"/>
          <w:szCs w:val="22"/>
        </w:rPr>
        <w:t xml:space="preserve">trece de octubre </w:t>
      </w:r>
      <w:r w:rsidR="00982A43" w:rsidRPr="006A70FC">
        <w:rPr>
          <w:rFonts w:ascii="Palatino Linotype" w:eastAsia="Palatino Linotype" w:hAnsi="Palatino Linotype" w:cs="Palatino Linotype"/>
          <w:b/>
          <w:sz w:val="22"/>
          <w:szCs w:val="22"/>
        </w:rPr>
        <w:t>de dos mil veinticinco</w:t>
      </w:r>
      <w:r w:rsidR="00982A43" w:rsidRPr="006A70FC">
        <w:rPr>
          <w:rFonts w:ascii="Palatino Linotype" w:eastAsia="Palatino Linotype" w:hAnsi="Palatino Linotype" w:cs="Palatino Linotype"/>
          <w:sz w:val="22"/>
          <w:szCs w:val="22"/>
        </w:rPr>
        <w:t>,</w:t>
      </w:r>
      <w:r w:rsidR="00706527" w:rsidRPr="006A70FC">
        <w:rPr>
          <w:rFonts w:ascii="Palatino Linotype" w:eastAsia="Palatino Linotype" w:hAnsi="Palatino Linotype" w:cs="Palatino Linotype"/>
          <w:sz w:val="22"/>
          <w:szCs w:val="22"/>
        </w:rPr>
        <w:t xml:space="preserve"> el </w:t>
      </w:r>
      <w:r w:rsidR="00706527" w:rsidRPr="006A70FC">
        <w:rPr>
          <w:rFonts w:ascii="Palatino Linotype" w:eastAsia="Palatino Linotype" w:hAnsi="Palatino Linotype" w:cs="Palatino Linotype"/>
          <w:b/>
          <w:sz w:val="22"/>
          <w:szCs w:val="22"/>
        </w:rPr>
        <w:t xml:space="preserve">Sujeto Obligado </w:t>
      </w:r>
      <w:r w:rsidR="00706527" w:rsidRPr="006A70FC">
        <w:rPr>
          <w:rFonts w:ascii="Palatino Linotype" w:eastAsia="Palatino Linotype" w:hAnsi="Palatino Linotype" w:cs="Palatino Linotype"/>
          <w:sz w:val="22"/>
          <w:szCs w:val="22"/>
        </w:rPr>
        <w:t>notificó a la persona solicitante la prórroga para dar respuesta a la solicitud</w:t>
      </w:r>
      <w:r w:rsidR="00706527" w:rsidRPr="006A70FC">
        <w:rPr>
          <w:rFonts w:ascii="Palatino Linotype" w:eastAsia="Palatino Linotype" w:hAnsi="Palatino Linotype" w:cs="Palatino Linotype"/>
          <w:b/>
          <w:sz w:val="22"/>
          <w:szCs w:val="22"/>
        </w:rPr>
        <w:t>,</w:t>
      </w:r>
      <w:r w:rsidR="00706527" w:rsidRPr="006A70FC">
        <w:rPr>
          <w:rFonts w:ascii="Palatino Linotype" w:eastAsia="Palatino Linotype" w:hAnsi="Palatino Linotype" w:cs="Palatino Linotype"/>
          <w:sz w:val="22"/>
          <w:szCs w:val="22"/>
        </w:rPr>
        <w:t xml:space="preserve"> medularmente en los siguientes términos:</w:t>
      </w:r>
    </w:p>
    <w:p w14:paraId="6B450D5F" w14:textId="306562E2" w:rsidR="00982A43" w:rsidRPr="006A70FC" w:rsidRDefault="00982A43" w:rsidP="00706527">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lastRenderedPageBreak/>
        <w:t>“</w:t>
      </w:r>
      <w:r w:rsidR="00706527" w:rsidRPr="006A70FC">
        <w:rPr>
          <w:rFonts w:ascii="Palatino Linotype" w:eastAsia="Palatino Linotype" w:hAnsi="Palatino Linotype" w:cs="Palatino Linotype"/>
          <w:i/>
          <w:sz w:val="22"/>
          <w:szCs w:val="22"/>
        </w:rPr>
        <w:t xml:space="preserve">JUSTIFICACIÓN PARA ACEPTAR LA PRÓRROGA POR PARTE DE LA UNIDAD DE TRANSPARENCIA En virtud de que la Servidora Pública Habilitada del Departamento de Operación y Seguimiento de proyectos “A”, está </w:t>
      </w:r>
      <w:proofErr w:type="spellStart"/>
      <w:r w:rsidR="00706527" w:rsidRPr="006A70FC">
        <w:rPr>
          <w:rFonts w:ascii="Palatino Linotype" w:eastAsia="Palatino Linotype" w:hAnsi="Palatino Linotype" w:cs="Palatino Linotype"/>
          <w:i/>
          <w:sz w:val="22"/>
          <w:szCs w:val="22"/>
        </w:rPr>
        <w:t>concentranda</w:t>
      </w:r>
      <w:proofErr w:type="spellEnd"/>
      <w:r w:rsidR="00706527" w:rsidRPr="006A70FC">
        <w:rPr>
          <w:rFonts w:ascii="Palatino Linotype" w:eastAsia="Palatino Linotype" w:hAnsi="Palatino Linotype" w:cs="Palatino Linotype"/>
          <w:i/>
          <w:sz w:val="22"/>
          <w:szCs w:val="22"/>
        </w:rPr>
        <w:t xml:space="preserve"> y revisando la información, el cual requiere de un plazo adicional para recabar la información, por lo que es necesario contar con 7 días hábiles más, contados a partir del día 13 de octubre del año en curso, para entregarle la información solicitada y dar cumplimiento a lo dispuesto por el artículo 49 de la Ley de Transparencia y Acceso a la Información Pública del Estado de México y Municipios.</w:t>
      </w:r>
      <w:r w:rsidRPr="006A70FC">
        <w:rPr>
          <w:rFonts w:ascii="Palatino Linotype" w:eastAsia="Palatino Linotype" w:hAnsi="Palatino Linotype" w:cs="Palatino Linotype"/>
          <w:i/>
          <w:sz w:val="22"/>
          <w:szCs w:val="22"/>
        </w:rPr>
        <w:t xml:space="preserve">” (sic)        </w:t>
      </w:r>
    </w:p>
    <w:p w14:paraId="00E11882" w14:textId="716B0024" w:rsidR="009C3A9B" w:rsidRPr="006A70FC" w:rsidRDefault="00982A43" w:rsidP="00982A43">
      <w:pPr>
        <w:widowControl w:val="0"/>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El </w:t>
      </w:r>
      <w:r w:rsidRPr="006A70FC">
        <w:rPr>
          <w:rFonts w:ascii="Palatino Linotype" w:eastAsia="Palatino Linotype" w:hAnsi="Palatino Linotype" w:cs="Palatino Linotype"/>
          <w:b/>
          <w:sz w:val="22"/>
          <w:szCs w:val="22"/>
        </w:rPr>
        <w:t xml:space="preserve">Sujeto Obligado </w:t>
      </w:r>
      <w:r w:rsidR="00FB1EDA" w:rsidRPr="006A70FC">
        <w:rPr>
          <w:rFonts w:ascii="Palatino Linotype" w:eastAsia="Palatino Linotype" w:hAnsi="Palatino Linotype" w:cs="Palatino Linotype"/>
          <w:sz w:val="22"/>
          <w:szCs w:val="22"/>
        </w:rPr>
        <w:t xml:space="preserve">adjuntó </w:t>
      </w:r>
      <w:r w:rsidR="00706527" w:rsidRPr="006A70FC">
        <w:rPr>
          <w:rFonts w:ascii="Palatino Linotype" w:eastAsia="Palatino Linotype" w:hAnsi="Palatino Linotype" w:cs="Palatino Linotype"/>
          <w:sz w:val="22"/>
          <w:szCs w:val="22"/>
        </w:rPr>
        <w:t>un escrito que contiene la Justificación para aceptar la prórroga por parte de la Unidad de Transparencia</w:t>
      </w:r>
      <w:r w:rsidR="009C3A9B" w:rsidRPr="006A70FC">
        <w:rPr>
          <w:rFonts w:ascii="Palatino Linotype" w:eastAsia="Palatino Linotype" w:hAnsi="Palatino Linotype" w:cs="Palatino Linotype"/>
          <w:sz w:val="22"/>
          <w:szCs w:val="22"/>
        </w:rPr>
        <w:t>, a solicitud de la Servidora Pública Habilitada del Departamento de Operación y Seguimiento de proyectos “A”.</w:t>
      </w:r>
    </w:p>
    <w:p w14:paraId="5E55BB3D" w14:textId="77777777" w:rsidR="009C3A9B" w:rsidRPr="006A70FC" w:rsidRDefault="009C3A9B" w:rsidP="009C3A9B">
      <w:pPr>
        <w:widowControl w:val="0"/>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no se observaron las formalidades que establece la Ley de la materia, pues no se anexó la resolución mediante la cual el Comité de Transparencia aprobó la ampliación del plazo.</w:t>
      </w:r>
    </w:p>
    <w:p w14:paraId="6759C1B0" w14:textId="6A9524B2" w:rsidR="00562A90" w:rsidRPr="006A70FC" w:rsidRDefault="009C3A9B">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3</w:t>
      </w:r>
      <w:r w:rsidR="00982A43" w:rsidRPr="006A70FC">
        <w:rPr>
          <w:rFonts w:ascii="Palatino Linotype" w:eastAsia="Palatino Linotype" w:hAnsi="Palatino Linotype" w:cs="Palatino Linotype"/>
          <w:b/>
          <w:sz w:val="22"/>
          <w:szCs w:val="22"/>
        </w:rPr>
        <w:t xml:space="preserve">. </w:t>
      </w:r>
      <w:r w:rsidR="0062255D" w:rsidRPr="006A70FC">
        <w:rPr>
          <w:rFonts w:ascii="Palatino Linotype" w:eastAsia="Palatino Linotype" w:hAnsi="Palatino Linotype" w:cs="Palatino Linotype"/>
          <w:b/>
          <w:sz w:val="22"/>
          <w:szCs w:val="22"/>
        </w:rPr>
        <w:t xml:space="preserve">Respuesta. </w:t>
      </w:r>
      <w:r w:rsidR="0062255D" w:rsidRPr="006A70FC">
        <w:rPr>
          <w:rFonts w:ascii="Palatino Linotype" w:eastAsia="Palatino Linotype" w:hAnsi="Palatino Linotype" w:cs="Palatino Linotype"/>
          <w:sz w:val="22"/>
          <w:szCs w:val="22"/>
        </w:rPr>
        <w:t xml:space="preserve">El </w:t>
      </w:r>
      <w:r w:rsidRPr="006A70FC">
        <w:rPr>
          <w:rFonts w:ascii="Palatino Linotype" w:eastAsia="Palatino Linotype" w:hAnsi="Palatino Linotype" w:cs="Palatino Linotype"/>
          <w:b/>
          <w:sz w:val="22"/>
          <w:szCs w:val="22"/>
        </w:rPr>
        <w:t xml:space="preserve">veintidós de octubre </w:t>
      </w:r>
      <w:r w:rsidR="002F1DF9" w:rsidRPr="006A70FC">
        <w:rPr>
          <w:rFonts w:ascii="Palatino Linotype" w:eastAsia="Palatino Linotype" w:hAnsi="Palatino Linotype" w:cs="Palatino Linotype"/>
          <w:b/>
          <w:sz w:val="22"/>
          <w:szCs w:val="22"/>
        </w:rPr>
        <w:t xml:space="preserve">de </w:t>
      </w:r>
      <w:r w:rsidR="0062255D" w:rsidRPr="006A70FC">
        <w:rPr>
          <w:rFonts w:ascii="Palatino Linotype" w:eastAsia="Palatino Linotype" w:hAnsi="Palatino Linotype" w:cs="Palatino Linotype"/>
          <w:b/>
          <w:sz w:val="22"/>
          <w:szCs w:val="22"/>
        </w:rPr>
        <w:t>dos mil veinticinco,</w:t>
      </w:r>
      <w:r w:rsidR="0062255D" w:rsidRPr="006A70FC">
        <w:rPr>
          <w:rFonts w:ascii="Palatino Linotype" w:eastAsia="Palatino Linotype" w:hAnsi="Palatino Linotype" w:cs="Palatino Linotype"/>
          <w:sz w:val="22"/>
          <w:szCs w:val="22"/>
        </w:rPr>
        <w:t xml:space="preserve"> el </w:t>
      </w:r>
      <w:r w:rsidR="0062255D" w:rsidRPr="006A70FC">
        <w:rPr>
          <w:rFonts w:ascii="Palatino Linotype" w:eastAsia="Palatino Linotype" w:hAnsi="Palatino Linotype" w:cs="Palatino Linotype"/>
          <w:b/>
          <w:sz w:val="22"/>
          <w:szCs w:val="22"/>
        </w:rPr>
        <w:t xml:space="preserve">Sujeto Obligado </w:t>
      </w:r>
      <w:r w:rsidR="0062255D" w:rsidRPr="006A70FC">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796878F1" w14:textId="249A2BD5" w:rsidR="00562A90" w:rsidRPr="006A70FC" w:rsidRDefault="0062255D">
      <w:pPr>
        <w:spacing w:before="240" w:after="24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009C3A9B" w:rsidRPr="006A70FC">
        <w:rPr>
          <w:rFonts w:ascii="Palatino Linotype" w:eastAsia="Palatino Linotype" w:hAnsi="Palatino Linotype" w:cs="Palatino Linotype"/>
          <w:i/>
          <w:sz w:val="22"/>
          <w:szCs w:val="22"/>
        </w:rPr>
        <w:t>Se anexa oficio número 229C0101000300S/717/2025 y anexos</w:t>
      </w:r>
      <w:r w:rsidR="00B402D1" w:rsidRPr="006A70FC">
        <w:rPr>
          <w:rFonts w:ascii="Palatino Linotype" w:eastAsia="Palatino Linotype" w:hAnsi="Palatino Linotype" w:cs="Palatino Linotype"/>
          <w:i/>
          <w:sz w:val="22"/>
          <w:szCs w:val="22"/>
        </w:rPr>
        <w:t>.</w:t>
      </w:r>
      <w:r w:rsidR="009C3A9B" w:rsidRPr="006A70FC">
        <w:rPr>
          <w:rFonts w:ascii="Palatino Linotype" w:eastAsia="Palatino Linotype" w:hAnsi="Palatino Linotype" w:cs="Palatino Linotype"/>
          <w:i/>
          <w:sz w:val="22"/>
          <w:szCs w:val="22"/>
        </w:rPr>
        <w:t>.</w:t>
      </w:r>
      <w:r w:rsidR="00B402D1" w:rsidRPr="006A70FC">
        <w:rPr>
          <w:rFonts w:ascii="Palatino Linotype" w:eastAsia="Palatino Linotype" w:hAnsi="Palatino Linotype" w:cs="Palatino Linotype"/>
          <w:i/>
          <w:sz w:val="22"/>
          <w:szCs w:val="22"/>
        </w:rPr>
        <w:t xml:space="preserve">. </w:t>
      </w:r>
      <w:r w:rsidRPr="006A70FC">
        <w:rPr>
          <w:rFonts w:ascii="Palatino Linotype" w:eastAsia="Palatino Linotype" w:hAnsi="Palatino Linotype" w:cs="Palatino Linotype"/>
          <w:i/>
          <w:sz w:val="22"/>
          <w:szCs w:val="22"/>
        </w:rPr>
        <w:t>(sic)</w:t>
      </w:r>
    </w:p>
    <w:p w14:paraId="77117A8C" w14:textId="1CD87E6A" w:rsidR="009C3A9B" w:rsidRPr="006A70FC" w:rsidRDefault="0062255D" w:rsidP="009C3A9B">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lastRenderedPageBreak/>
        <w:t xml:space="preserve">El </w:t>
      </w:r>
      <w:r w:rsidRPr="006A70FC">
        <w:rPr>
          <w:rFonts w:ascii="Palatino Linotype" w:eastAsia="Palatino Linotype" w:hAnsi="Palatino Linotype" w:cs="Palatino Linotype"/>
          <w:b/>
          <w:sz w:val="22"/>
          <w:szCs w:val="22"/>
        </w:rPr>
        <w:t xml:space="preserve">Sujeto Obligado </w:t>
      </w:r>
      <w:r w:rsidR="005B1C0B" w:rsidRPr="006A70FC">
        <w:rPr>
          <w:rFonts w:ascii="Palatino Linotype" w:eastAsia="Palatino Linotype" w:hAnsi="Palatino Linotype" w:cs="Palatino Linotype"/>
          <w:sz w:val="22"/>
          <w:szCs w:val="22"/>
        </w:rPr>
        <w:t xml:space="preserve">adjuntó </w:t>
      </w:r>
      <w:r w:rsidR="009C3A9B" w:rsidRPr="006A70FC">
        <w:rPr>
          <w:rFonts w:ascii="Palatino Linotype" w:eastAsia="Palatino Linotype" w:hAnsi="Palatino Linotype" w:cs="Palatino Linotype"/>
          <w:sz w:val="22"/>
          <w:szCs w:val="22"/>
        </w:rPr>
        <w:t xml:space="preserve">los siguientes archivos: </w:t>
      </w:r>
      <w:r w:rsidR="009C3A9B" w:rsidRPr="006A70FC">
        <w:rPr>
          <w:rFonts w:ascii="Palatino Linotype" w:eastAsia="Palatino Linotype" w:hAnsi="Palatino Linotype" w:cs="Palatino Linotype"/>
          <w:i/>
          <w:iCs/>
          <w:sz w:val="22"/>
          <w:szCs w:val="22"/>
        </w:rPr>
        <w:t>“CEDIPIEM - 0118- BENEF-PDS-DIB-2024.pdf”, “OTUT-118.pdf”</w:t>
      </w:r>
      <w:r w:rsidR="009C3A9B" w:rsidRPr="006A70FC">
        <w:rPr>
          <w:rFonts w:ascii="Palatino Linotype" w:eastAsia="Palatino Linotype" w:hAnsi="Palatino Linotype" w:cs="Palatino Linotype"/>
          <w:sz w:val="22"/>
          <w:szCs w:val="22"/>
        </w:rPr>
        <w:t xml:space="preserve"> y “</w:t>
      </w:r>
      <w:r w:rsidR="009C3A9B" w:rsidRPr="006A70FC">
        <w:rPr>
          <w:rFonts w:ascii="Palatino Linotype" w:eastAsia="Palatino Linotype" w:hAnsi="Palatino Linotype" w:cs="Palatino Linotype"/>
          <w:i/>
          <w:iCs/>
          <w:sz w:val="22"/>
          <w:szCs w:val="22"/>
        </w:rPr>
        <w:t>CEDIPIEM - 0118- BENEF-PDS-BCI-2024.pdf</w:t>
      </w:r>
      <w:r w:rsidR="009C3A9B" w:rsidRPr="006A70FC">
        <w:rPr>
          <w:rFonts w:ascii="Palatino Linotype" w:eastAsia="Palatino Linotype" w:hAnsi="Palatino Linotype" w:cs="Palatino Linotype"/>
          <w:sz w:val="22"/>
          <w:szCs w:val="22"/>
        </w:rPr>
        <w:t>”, cuyo contenido no se describe al ser del conocimiento de las partes, aunado a que será motivo de estudio en líneas posteriores.</w:t>
      </w:r>
    </w:p>
    <w:p w14:paraId="15D280BF" w14:textId="503CDA27" w:rsidR="00562A90" w:rsidRPr="006A70FC" w:rsidRDefault="00FD47D1">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4</w:t>
      </w:r>
      <w:r w:rsidR="0062255D" w:rsidRPr="006A70FC">
        <w:rPr>
          <w:rFonts w:ascii="Palatino Linotype" w:eastAsia="Palatino Linotype" w:hAnsi="Palatino Linotype" w:cs="Palatino Linotype"/>
          <w:b/>
          <w:sz w:val="22"/>
          <w:szCs w:val="22"/>
        </w:rPr>
        <w:t xml:space="preserve">. Interposición del recurso de revisión. </w:t>
      </w:r>
      <w:r w:rsidR="0062255D" w:rsidRPr="006A70FC">
        <w:rPr>
          <w:rFonts w:ascii="Palatino Linotype" w:eastAsia="Palatino Linotype" w:hAnsi="Palatino Linotype" w:cs="Palatino Linotype"/>
          <w:sz w:val="22"/>
          <w:szCs w:val="22"/>
        </w:rPr>
        <w:t xml:space="preserve">Inconforme con los términos de la respuesta emitida por parte del </w:t>
      </w:r>
      <w:r w:rsidR="0062255D" w:rsidRPr="006A70FC">
        <w:rPr>
          <w:rFonts w:ascii="Palatino Linotype" w:eastAsia="Palatino Linotype" w:hAnsi="Palatino Linotype" w:cs="Palatino Linotype"/>
          <w:b/>
          <w:sz w:val="22"/>
          <w:szCs w:val="22"/>
        </w:rPr>
        <w:t>Sujeto Obligado</w:t>
      </w:r>
      <w:r w:rsidR="0062255D" w:rsidRPr="006A70FC">
        <w:rPr>
          <w:rFonts w:ascii="Palatino Linotype" w:eastAsia="Palatino Linotype" w:hAnsi="Palatino Linotype" w:cs="Palatino Linotype"/>
          <w:sz w:val="22"/>
          <w:szCs w:val="22"/>
        </w:rPr>
        <w:t xml:space="preserve">, el </w:t>
      </w:r>
      <w:r w:rsidR="002A7D22" w:rsidRPr="006A70FC">
        <w:rPr>
          <w:rFonts w:ascii="Palatino Linotype" w:eastAsia="Palatino Linotype" w:hAnsi="Palatino Linotype" w:cs="Palatino Linotype"/>
          <w:b/>
          <w:sz w:val="22"/>
          <w:szCs w:val="22"/>
        </w:rPr>
        <w:t>veintinueve</w:t>
      </w:r>
      <w:r w:rsidRPr="006A70FC">
        <w:rPr>
          <w:rFonts w:ascii="Palatino Linotype" w:eastAsia="Palatino Linotype" w:hAnsi="Palatino Linotype" w:cs="Palatino Linotype"/>
          <w:b/>
          <w:sz w:val="22"/>
          <w:szCs w:val="22"/>
        </w:rPr>
        <w:t xml:space="preserve"> de octubre </w:t>
      </w:r>
      <w:r w:rsidR="0062255D" w:rsidRPr="006A70FC">
        <w:rPr>
          <w:rFonts w:ascii="Palatino Linotype" w:eastAsia="Palatino Linotype" w:hAnsi="Palatino Linotype" w:cs="Palatino Linotype"/>
          <w:b/>
          <w:sz w:val="22"/>
          <w:szCs w:val="22"/>
        </w:rPr>
        <w:t>de dos mil veinticinco,</w:t>
      </w:r>
      <w:r w:rsidR="0062255D" w:rsidRPr="006A70FC">
        <w:rPr>
          <w:rFonts w:ascii="Palatino Linotype" w:eastAsia="Palatino Linotype" w:hAnsi="Palatino Linotype" w:cs="Palatino Linotype"/>
          <w:sz w:val="22"/>
          <w:szCs w:val="22"/>
        </w:rPr>
        <w:t xml:space="preserve"> la parte </w:t>
      </w:r>
      <w:r w:rsidR="0062255D" w:rsidRPr="006A70FC">
        <w:rPr>
          <w:rFonts w:ascii="Palatino Linotype" w:eastAsia="Palatino Linotype" w:hAnsi="Palatino Linotype" w:cs="Palatino Linotype"/>
          <w:b/>
          <w:sz w:val="22"/>
          <w:szCs w:val="22"/>
        </w:rPr>
        <w:t>Recurrente</w:t>
      </w:r>
      <w:r w:rsidR="0062255D" w:rsidRPr="006A70FC">
        <w:rPr>
          <w:rFonts w:ascii="Palatino Linotype" w:eastAsia="Palatino Linotype" w:hAnsi="Palatino Linotype" w:cs="Palatino Linotype"/>
          <w:sz w:val="22"/>
          <w:szCs w:val="22"/>
        </w:rPr>
        <w:t xml:space="preserve"> interpuso el recurso de revisión a través de </w:t>
      </w:r>
      <w:r w:rsidR="0062255D" w:rsidRPr="006A70FC">
        <w:rPr>
          <w:rFonts w:ascii="Palatino Linotype" w:eastAsia="Palatino Linotype" w:hAnsi="Palatino Linotype" w:cs="Palatino Linotype"/>
          <w:b/>
          <w:sz w:val="22"/>
          <w:szCs w:val="22"/>
        </w:rPr>
        <w:t xml:space="preserve">SAIMEX, </w:t>
      </w:r>
      <w:r w:rsidR="0062255D" w:rsidRPr="006A70FC">
        <w:rPr>
          <w:rFonts w:ascii="Palatino Linotype" w:eastAsia="Palatino Linotype" w:hAnsi="Palatino Linotype" w:cs="Palatino Linotype"/>
          <w:sz w:val="22"/>
          <w:szCs w:val="22"/>
        </w:rPr>
        <w:t>en donde se manifestó de la siguiente manera:</w:t>
      </w:r>
    </w:p>
    <w:p w14:paraId="47A1D1F7" w14:textId="77777777" w:rsidR="00562A90" w:rsidRPr="006A70FC" w:rsidRDefault="0062255D">
      <w:pPr>
        <w:spacing w:before="240" w:after="240" w:line="360" w:lineRule="auto"/>
        <w:ind w:right="49"/>
        <w:jc w:val="both"/>
        <w:rPr>
          <w:rFonts w:ascii="Palatino Linotype" w:eastAsia="Palatino Linotype" w:hAnsi="Palatino Linotype" w:cs="Palatino Linotype"/>
          <w:b/>
          <w:sz w:val="22"/>
          <w:szCs w:val="22"/>
        </w:rPr>
      </w:pPr>
      <w:r w:rsidRPr="006A70FC">
        <w:rPr>
          <w:rFonts w:ascii="Palatino Linotype" w:eastAsia="Palatino Linotype" w:hAnsi="Palatino Linotype" w:cs="Palatino Linotype"/>
          <w:b/>
          <w:sz w:val="22"/>
          <w:szCs w:val="22"/>
        </w:rPr>
        <w:t xml:space="preserve">Acto impugnado: </w:t>
      </w:r>
    </w:p>
    <w:p w14:paraId="2600BB83" w14:textId="3EF071A9" w:rsidR="00562A90" w:rsidRPr="006A70FC" w:rsidRDefault="0062255D" w:rsidP="00155DE2">
      <w:pPr>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00FD47D1" w:rsidRPr="006A70FC">
        <w:rPr>
          <w:rFonts w:ascii="Palatino Linotype" w:eastAsia="Palatino Linotype" w:hAnsi="Palatino Linotype" w:cs="Palatino Linotype"/>
          <w:i/>
          <w:sz w:val="22"/>
          <w:szCs w:val="22"/>
        </w:rPr>
        <w:t>el sujeto obligado, mediante respuesta señaló que con fundamento en diversos artículos de la Ley de Transparencia y con información de la Subdirección de Desarrollo Cultural Indígena y la Subdirección Operativa, anexaba en formato PDF el listado de beneficiarios efectivamente atendidos con el monto recibido y el programa correspondiente del ejercicio 2024. pero omitió incluir las fechas de entrega o recepción del apoyo, a pesar de que fueron expresamente solicitadas en el requerimiento inicial.</w:t>
      </w:r>
      <w:r w:rsidRPr="006A70FC">
        <w:rPr>
          <w:rFonts w:ascii="Palatino Linotype" w:eastAsia="Palatino Linotype" w:hAnsi="Palatino Linotype" w:cs="Palatino Linotype"/>
          <w:i/>
          <w:sz w:val="22"/>
          <w:szCs w:val="22"/>
        </w:rPr>
        <w:t>” (sic)</w:t>
      </w:r>
    </w:p>
    <w:p w14:paraId="6D3A7034" w14:textId="77777777" w:rsidR="00DE3527" w:rsidRPr="006A70FC" w:rsidRDefault="00DE3527">
      <w:pPr>
        <w:spacing w:line="360" w:lineRule="auto"/>
        <w:jc w:val="both"/>
        <w:rPr>
          <w:rFonts w:ascii="Palatino Linotype" w:eastAsia="Palatino Linotype" w:hAnsi="Palatino Linotype" w:cs="Palatino Linotype"/>
          <w:b/>
          <w:sz w:val="22"/>
          <w:szCs w:val="22"/>
        </w:rPr>
      </w:pPr>
      <w:bookmarkStart w:id="6" w:name="_heading=h.30j0zll" w:colFirst="0" w:colLast="0"/>
      <w:bookmarkEnd w:id="6"/>
    </w:p>
    <w:p w14:paraId="05264EB6" w14:textId="77777777" w:rsidR="00562A90" w:rsidRPr="006A70FC" w:rsidRDefault="0062255D">
      <w:pPr>
        <w:spacing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Y, Razones o motivos de inconformidad</w:t>
      </w:r>
      <w:r w:rsidRPr="006A70FC">
        <w:rPr>
          <w:rFonts w:ascii="Palatino Linotype" w:eastAsia="Palatino Linotype" w:hAnsi="Palatino Linotype" w:cs="Palatino Linotype"/>
          <w:sz w:val="22"/>
          <w:szCs w:val="22"/>
        </w:rPr>
        <w:t>:</w:t>
      </w:r>
    </w:p>
    <w:p w14:paraId="29A63F7C" w14:textId="69DAE8B3" w:rsidR="00562A90" w:rsidRPr="006A70FC" w:rsidRDefault="0062255D">
      <w:pPr>
        <w:tabs>
          <w:tab w:val="left" w:pos="2745"/>
        </w:tabs>
        <w:spacing w:before="240" w:after="24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00FD47D1" w:rsidRPr="006A70FC">
        <w:rPr>
          <w:rFonts w:ascii="Palatino Linotype" w:eastAsia="Palatino Linotype" w:hAnsi="Palatino Linotype" w:cs="Palatino Linotype"/>
          <w:i/>
          <w:sz w:val="22"/>
          <w:szCs w:val="22"/>
        </w:rPr>
        <w:t xml:space="preserve">el sujeto obligado anexó un listado con nombres y montos, omitió la fecha de entrega del apoyo, que fue parte esencial del requerimiento. La omisión de dicho dato impide verificar la temporalidad y cumplimiento del programa social Al omitir las fechas de entrega, se restringe parcialmente el acceso a información pública, en especial tratándose de recursos económicos otorgados a beneficiarios, materia de alto interés social. No se acredita que se haya consultado toda la documentación relacionada con la operación, dispersión y comprobación de recursos de ambos programas, ni que se haya solicitado información complementaria a las áreas responsables (por ejemplo, la Unidad de Planeación, Evaluación y Seguimiento o el </w:t>
      </w:r>
      <w:proofErr w:type="spellStart"/>
      <w:r w:rsidR="00FD47D1" w:rsidRPr="006A70FC">
        <w:rPr>
          <w:rFonts w:ascii="Palatino Linotype" w:eastAsia="Palatino Linotype" w:hAnsi="Palatino Linotype" w:cs="Palatino Linotype"/>
          <w:i/>
          <w:sz w:val="22"/>
          <w:szCs w:val="22"/>
        </w:rPr>
        <w:t>Organo</w:t>
      </w:r>
      <w:proofErr w:type="spellEnd"/>
      <w:r w:rsidR="00FD47D1" w:rsidRPr="006A70FC">
        <w:rPr>
          <w:rFonts w:ascii="Palatino Linotype" w:eastAsia="Palatino Linotype" w:hAnsi="Palatino Linotype" w:cs="Palatino Linotype"/>
          <w:i/>
          <w:sz w:val="22"/>
          <w:szCs w:val="22"/>
        </w:rPr>
        <w:t xml:space="preserve"> Interno de control del CEDIPIEM). Cuando un sujeto obligado no localiza o posee parcialmente la información, debe emitir un acta de inexistencia o manifestar la razón documental de la ausencia. En este caso, no se explicó la causa de la omisión de las fechas.</w:t>
      </w:r>
      <w:r w:rsidRPr="006A70FC">
        <w:rPr>
          <w:rFonts w:ascii="Palatino Linotype" w:eastAsia="Palatino Linotype" w:hAnsi="Palatino Linotype" w:cs="Palatino Linotype"/>
          <w:i/>
          <w:sz w:val="22"/>
          <w:szCs w:val="22"/>
        </w:rPr>
        <w:t>” (sic)</w:t>
      </w:r>
    </w:p>
    <w:p w14:paraId="69DE47B2" w14:textId="33C55B15" w:rsidR="00562A90" w:rsidRPr="006A70FC" w:rsidRDefault="00FD47D1">
      <w:pPr>
        <w:spacing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5</w:t>
      </w:r>
      <w:r w:rsidR="0062255D" w:rsidRPr="006A70FC">
        <w:rPr>
          <w:rFonts w:ascii="Palatino Linotype" w:eastAsia="Palatino Linotype" w:hAnsi="Palatino Linotype" w:cs="Palatino Linotype"/>
          <w:b/>
          <w:sz w:val="22"/>
          <w:szCs w:val="22"/>
        </w:rPr>
        <w:t xml:space="preserve">. Turno. </w:t>
      </w:r>
      <w:r w:rsidR="0062255D" w:rsidRPr="006A70FC">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0062255D" w:rsidRPr="006A70FC">
        <w:rPr>
          <w:rFonts w:ascii="Palatino Linotype" w:eastAsia="Palatino Linotype" w:hAnsi="Palatino Linotype" w:cs="Palatino Linotype"/>
          <w:b/>
          <w:sz w:val="22"/>
          <w:szCs w:val="22"/>
        </w:rPr>
        <w:t xml:space="preserve">Guadalupe Ramírez Peña, </w:t>
      </w:r>
      <w:r w:rsidR="0062255D" w:rsidRPr="006A70FC">
        <w:rPr>
          <w:rFonts w:ascii="Palatino Linotype" w:eastAsia="Palatino Linotype" w:hAnsi="Palatino Linotype" w:cs="Palatino Linotype"/>
          <w:sz w:val="22"/>
          <w:szCs w:val="22"/>
        </w:rPr>
        <w:t xml:space="preserve">a efecto de que analizara sobre su admisión o su </w:t>
      </w:r>
      <w:proofErr w:type="spellStart"/>
      <w:r w:rsidR="0062255D" w:rsidRPr="006A70FC">
        <w:rPr>
          <w:rFonts w:ascii="Palatino Linotype" w:eastAsia="Palatino Linotype" w:hAnsi="Palatino Linotype" w:cs="Palatino Linotype"/>
          <w:sz w:val="22"/>
          <w:szCs w:val="22"/>
        </w:rPr>
        <w:t>desechamiento</w:t>
      </w:r>
      <w:proofErr w:type="spellEnd"/>
      <w:r w:rsidR="0062255D" w:rsidRPr="006A70FC">
        <w:rPr>
          <w:rFonts w:ascii="Palatino Linotype" w:eastAsia="Palatino Linotype" w:hAnsi="Palatino Linotype" w:cs="Palatino Linotype"/>
          <w:sz w:val="22"/>
          <w:szCs w:val="22"/>
        </w:rPr>
        <w:t>.</w:t>
      </w:r>
    </w:p>
    <w:p w14:paraId="0F7154BA" w14:textId="41870EE8" w:rsidR="00562A90" w:rsidRPr="006A70FC" w:rsidRDefault="00FD47D1">
      <w:pPr>
        <w:spacing w:before="240" w:after="240" w:line="360" w:lineRule="auto"/>
        <w:jc w:val="both"/>
        <w:rPr>
          <w:rFonts w:ascii="Palatino Linotype" w:eastAsia="Palatino Linotype" w:hAnsi="Palatino Linotype" w:cs="Palatino Linotype"/>
          <w:b/>
          <w:sz w:val="22"/>
          <w:szCs w:val="22"/>
        </w:rPr>
      </w:pPr>
      <w:r w:rsidRPr="006A70FC">
        <w:rPr>
          <w:rFonts w:ascii="Palatino Linotype" w:eastAsia="Palatino Linotype" w:hAnsi="Palatino Linotype" w:cs="Palatino Linotype"/>
          <w:b/>
          <w:sz w:val="22"/>
          <w:szCs w:val="22"/>
        </w:rPr>
        <w:t>6</w:t>
      </w:r>
      <w:r w:rsidR="0062255D" w:rsidRPr="006A70FC">
        <w:rPr>
          <w:rFonts w:ascii="Palatino Linotype" w:eastAsia="Palatino Linotype" w:hAnsi="Palatino Linotype" w:cs="Palatino Linotype"/>
          <w:b/>
          <w:sz w:val="22"/>
          <w:szCs w:val="22"/>
        </w:rPr>
        <w:t>. Admisión del Recurso de revisión.</w:t>
      </w:r>
      <w:r w:rsidR="0062255D" w:rsidRPr="006A70FC">
        <w:rPr>
          <w:rFonts w:ascii="Palatino Linotype" w:eastAsia="Palatino Linotype" w:hAnsi="Palatino Linotype" w:cs="Palatino Linotype"/>
          <w:sz w:val="22"/>
          <w:szCs w:val="22"/>
        </w:rPr>
        <w:t xml:space="preserve"> El</w:t>
      </w:r>
      <w:r w:rsidR="0062255D"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b/>
          <w:sz w:val="22"/>
          <w:szCs w:val="22"/>
        </w:rPr>
        <w:t xml:space="preserve">tres de noviembre </w:t>
      </w:r>
      <w:r w:rsidR="0062255D" w:rsidRPr="006A70FC">
        <w:rPr>
          <w:rFonts w:ascii="Palatino Linotype" w:eastAsia="Palatino Linotype" w:hAnsi="Palatino Linotype" w:cs="Palatino Linotype"/>
          <w:b/>
          <w:sz w:val="22"/>
          <w:szCs w:val="22"/>
        </w:rPr>
        <w:t xml:space="preserve">de dos mil veinticinco, </w:t>
      </w:r>
      <w:r w:rsidR="0062255D" w:rsidRPr="006A70FC">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62255D" w:rsidRPr="006A70FC">
        <w:rPr>
          <w:rFonts w:ascii="Palatino Linotype" w:eastAsia="Palatino Linotype" w:hAnsi="Palatino Linotype" w:cs="Palatino Linotype"/>
          <w:b/>
          <w:sz w:val="22"/>
          <w:szCs w:val="22"/>
        </w:rPr>
        <w:t xml:space="preserve">Sujeto Obligado </w:t>
      </w:r>
      <w:r w:rsidR="0062255D" w:rsidRPr="006A70FC">
        <w:rPr>
          <w:rFonts w:ascii="Palatino Linotype" w:eastAsia="Palatino Linotype" w:hAnsi="Palatino Linotype" w:cs="Palatino Linotype"/>
          <w:sz w:val="22"/>
          <w:szCs w:val="22"/>
        </w:rPr>
        <w:t>presentara su informe justificado.</w:t>
      </w:r>
    </w:p>
    <w:p w14:paraId="600C29BE" w14:textId="27917089" w:rsidR="00781809" w:rsidRPr="006A70FC" w:rsidRDefault="00FD47D1" w:rsidP="00781809">
      <w:pPr>
        <w:widowControl w:val="0"/>
        <w:spacing w:before="240" w:after="240" w:line="360" w:lineRule="auto"/>
        <w:ind w:right="51"/>
        <w:jc w:val="both"/>
        <w:rPr>
          <w:rFonts w:ascii="Palatino Linotype" w:eastAsia="Palatino Linotype" w:hAnsi="Palatino Linotype" w:cs="Palatino Linotype"/>
          <w:sz w:val="22"/>
          <w:szCs w:val="22"/>
        </w:rPr>
      </w:pPr>
      <w:bookmarkStart w:id="7" w:name="_heading=h.2s8eyo1" w:colFirst="0" w:colLast="0"/>
      <w:bookmarkEnd w:id="7"/>
      <w:r w:rsidRPr="006A70FC">
        <w:rPr>
          <w:rFonts w:ascii="Palatino Linotype" w:eastAsia="Palatino Linotype" w:hAnsi="Palatino Linotype" w:cs="Palatino Linotype"/>
          <w:b/>
          <w:sz w:val="22"/>
          <w:szCs w:val="22"/>
        </w:rPr>
        <w:t>7</w:t>
      </w:r>
      <w:r w:rsidR="0062255D" w:rsidRPr="006A70FC">
        <w:rPr>
          <w:rFonts w:ascii="Palatino Linotype" w:eastAsia="Palatino Linotype" w:hAnsi="Palatino Linotype" w:cs="Palatino Linotype"/>
          <w:b/>
          <w:sz w:val="22"/>
          <w:szCs w:val="22"/>
        </w:rPr>
        <w:t>. Manifestaciones</w:t>
      </w:r>
      <w:r w:rsidR="0062255D" w:rsidRPr="006A70FC">
        <w:rPr>
          <w:rFonts w:ascii="Palatino Linotype" w:eastAsia="Palatino Linotype" w:hAnsi="Palatino Linotype" w:cs="Palatino Linotype"/>
          <w:sz w:val="22"/>
          <w:szCs w:val="22"/>
        </w:rPr>
        <w:t xml:space="preserve">. </w:t>
      </w:r>
      <w:r w:rsidR="00781809" w:rsidRPr="006A70FC">
        <w:rPr>
          <w:rFonts w:ascii="Palatino Linotype" w:eastAsia="Palatino Linotype" w:hAnsi="Palatino Linotype" w:cs="Palatino Linotype"/>
          <w:sz w:val="22"/>
          <w:szCs w:val="22"/>
        </w:rPr>
        <w:t xml:space="preserve">El </w:t>
      </w:r>
      <w:r w:rsidR="00781809" w:rsidRPr="006A70FC">
        <w:rPr>
          <w:rFonts w:ascii="Palatino Linotype" w:eastAsia="Palatino Linotype" w:hAnsi="Palatino Linotype" w:cs="Palatino Linotype"/>
          <w:b/>
          <w:sz w:val="22"/>
          <w:szCs w:val="22"/>
        </w:rPr>
        <w:t>doce de noviembre de dos mil veinticinco</w:t>
      </w:r>
      <w:r w:rsidR="00781809" w:rsidRPr="006A70FC">
        <w:rPr>
          <w:rFonts w:ascii="Palatino Linotype" w:eastAsia="Palatino Linotype" w:hAnsi="Palatino Linotype" w:cs="Palatino Linotype"/>
          <w:sz w:val="22"/>
          <w:szCs w:val="22"/>
        </w:rPr>
        <w:t xml:space="preserve">, el </w:t>
      </w:r>
      <w:r w:rsidR="00781809" w:rsidRPr="006A70FC">
        <w:rPr>
          <w:rFonts w:ascii="Palatino Linotype" w:eastAsia="Palatino Linotype" w:hAnsi="Palatino Linotype" w:cs="Palatino Linotype"/>
          <w:b/>
          <w:sz w:val="22"/>
          <w:szCs w:val="22"/>
        </w:rPr>
        <w:t>Sujeto Obligado</w:t>
      </w:r>
      <w:r w:rsidR="00781809" w:rsidRPr="006A70FC">
        <w:rPr>
          <w:rFonts w:ascii="Palatino Linotype" w:eastAsia="Palatino Linotype" w:hAnsi="Palatino Linotype" w:cs="Palatino Linotype"/>
          <w:sz w:val="22"/>
          <w:szCs w:val="22"/>
        </w:rPr>
        <w:t xml:space="preserve"> remitió, a través de SAIMEX, su informe justificado, mediante el cual ratificó en lo sustancial la respuesta proporcionada en primera instancia, no obstante, se hizo del conocimiento de la persona solicitante a efecto de que manifestara lo que a su derecho estimara conveniente.</w:t>
      </w:r>
    </w:p>
    <w:p w14:paraId="510F107D" w14:textId="5355F585" w:rsidR="00781809" w:rsidRPr="006A70FC" w:rsidRDefault="00781809" w:rsidP="00781809">
      <w:pPr>
        <w:widowControl w:val="0"/>
        <w:spacing w:before="240" w:after="240" w:line="360" w:lineRule="auto"/>
        <w:ind w:right="51"/>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El </w:t>
      </w:r>
      <w:r w:rsidRPr="006A70FC">
        <w:rPr>
          <w:rFonts w:ascii="Palatino Linotype" w:eastAsia="Palatino Linotype" w:hAnsi="Palatino Linotype" w:cs="Palatino Linotype"/>
          <w:b/>
          <w:bCs/>
          <w:sz w:val="22"/>
          <w:szCs w:val="22"/>
        </w:rPr>
        <w:t xml:space="preserve">diecisiete de diciembre de dos mil veinticinco </w:t>
      </w:r>
      <w:r w:rsidR="00DA600D" w:rsidRPr="006A70FC">
        <w:rPr>
          <w:rFonts w:ascii="Palatino Linotype" w:eastAsia="Palatino Linotype" w:hAnsi="Palatino Linotype" w:cs="Palatino Linotype"/>
          <w:sz w:val="22"/>
          <w:szCs w:val="22"/>
        </w:rPr>
        <w:t xml:space="preserve">la parte </w:t>
      </w:r>
      <w:r w:rsidR="00DA600D" w:rsidRPr="006A70FC">
        <w:rPr>
          <w:rFonts w:ascii="Palatino Linotype" w:eastAsia="Palatino Linotype" w:hAnsi="Palatino Linotype" w:cs="Palatino Linotype"/>
          <w:b/>
          <w:bCs/>
          <w:sz w:val="22"/>
          <w:szCs w:val="22"/>
        </w:rPr>
        <w:t xml:space="preserve">Recurrente </w:t>
      </w:r>
      <w:r w:rsidR="001A23E1" w:rsidRPr="006A70FC">
        <w:rPr>
          <w:rFonts w:ascii="Palatino Linotype" w:eastAsia="Palatino Linotype" w:hAnsi="Palatino Linotype" w:cs="Palatino Linotype"/>
          <w:sz w:val="22"/>
          <w:szCs w:val="22"/>
        </w:rPr>
        <w:t>remitió un escrito en formato libre cuyo contenido es el siguiente:</w:t>
      </w:r>
    </w:p>
    <w:p w14:paraId="16E6ECFC" w14:textId="5536182B"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i/>
          <w:iCs/>
          <w:sz w:val="22"/>
          <w:szCs w:val="22"/>
        </w:rPr>
        <w:t xml:space="preserve">“En atención al recurso de revisión </w:t>
      </w:r>
      <w:r w:rsidRPr="006A70FC">
        <w:rPr>
          <w:rFonts w:ascii="Palatino Linotype" w:eastAsia="Palatino Linotype" w:hAnsi="Palatino Linotype" w:cs="Palatino Linotype"/>
          <w:b/>
          <w:bCs/>
          <w:i/>
          <w:iCs/>
          <w:sz w:val="22"/>
          <w:szCs w:val="22"/>
        </w:rPr>
        <w:t>12379/INFOEM/IP/RR/2025</w:t>
      </w:r>
      <w:r w:rsidRPr="006A70FC">
        <w:rPr>
          <w:rFonts w:ascii="Palatino Linotype" w:eastAsia="Palatino Linotype" w:hAnsi="Palatino Linotype" w:cs="Palatino Linotype"/>
          <w:i/>
          <w:iCs/>
          <w:sz w:val="22"/>
          <w:szCs w:val="22"/>
        </w:rPr>
        <w:t xml:space="preserve"> me permito exponer los siguientes alegatos:</w:t>
      </w:r>
    </w:p>
    <w:p w14:paraId="71FA079A" w14:textId="7D1B966E"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b/>
          <w:bCs/>
          <w:i/>
          <w:iCs/>
          <w:sz w:val="22"/>
          <w:szCs w:val="22"/>
        </w:rPr>
        <w:t>PRIMERO</w:t>
      </w:r>
      <w:r w:rsidRPr="006A70FC">
        <w:rPr>
          <w:rFonts w:ascii="Palatino Linotype" w:eastAsia="Palatino Linotype" w:hAnsi="Palatino Linotype" w:cs="Palatino Linotype"/>
          <w:i/>
          <w:iCs/>
          <w:sz w:val="22"/>
          <w:szCs w:val="22"/>
        </w:rPr>
        <w:t xml:space="preserve">. </w:t>
      </w:r>
      <w:r w:rsidRPr="006A70FC">
        <w:rPr>
          <w:rFonts w:ascii="Palatino Linotype" w:eastAsia="Palatino Linotype" w:hAnsi="Palatino Linotype" w:cs="Palatino Linotype"/>
          <w:b/>
          <w:bCs/>
          <w:i/>
          <w:iCs/>
          <w:sz w:val="22"/>
          <w:szCs w:val="22"/>
        </w:rPr>
        <w:t>Omisión de un dato esencial del requerimiento</w:t>
      </w:r>
      <w:r w:rsidRPr="006A70FC">
        <w:rPr>
          <w:rFonts w:ascii="Palatino Linotype" w:eastAsia="Palatino Linotype" w:hAnsi="Palatino Linotype" w:cs="Palatino Linotype"/>
          <w:i/>
          <w:iCs/>
          <w:sz w:val="22"/>
          <w:szCs w:val="22"/>
        </w:rPr>
        <w:t xml:space="preserve">. El sujeto obligado anexó un listado que únicamente contiene nombres de beneficiarios y montos otorgados; sin embargo, </w:t>
      </w:r>
      <w:r w:rsidRPr="006A70FC">
        <w:rPr>
          <w:rFonts w:ascii="Palatino Linotype" w:eastAsia="Palatino Linotype" w:hAnsi="Palatino Linotype" w:cs="Palatino Linotype"/>
          <w:b/>
          <w:bCs/>
          <w:i/>
          <w:iCs/>
          <w:sz w:val="22"/>
          <w:szCs w:val="22"/>
        </w:rPr>
        <w:t>omitió señalar la fecha de entrega del apoyo</w:t>
      </w:r>
      <w:r w:rsidRPr="006A70FC">
        <w:rPr>
          <w:rFonts w:ascii="Palatino Linotype" w:eastAsia="Palatino Linotype" w:hAnsi="Palatino Linotype" w:cs="Palatino Linotype"/>
          <w:i/>
          <w:iCs/>
          <w:sz w:val="22"/>
          <w:szCs w:val="22"/>
        </w:rPr>
        <w:t>, la cual formó parte expresa y esencial del requerimiento. Dicha omisión impide conocer la temporalidad de la entrega y verificar el debido cumplimiento del programa social.</w:t>
      </w:r>
    </w:p>
    <w:p w14:paraId="62D2CA43" w14:textId="652E48E1"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b/>
          <w:bCs/>
          <w:i/>
          <w:iCs/>
          <w:sz w:val="22"/>
          <w:szCs w:val="22"/>
        </w:rPr>
        <w:t>SEGUNDO. Restricción parcial del derecho de acceso a la información</w:t>
      </w:r>
      <w:r w:rsidRPr="006A70FC">
        <w:rPr>
          <w:rFonts w:ascii="Palatino Linotype" w:eastAsia="Palatino Linotype" w:hAnsi="Palatino Linotype" w:cs="Palatino Linotype"/>
          <w:i/>
          <w:iCs/>
          <w:sz w:val="22"/>
          <w:szCs w:val="22"/>
        </w:rPr>
        <w:t xml:space="preserve">. La ausencia de las fechas de entrega restringe de manera parcial el acceso a la información pública, particularmente tratándose de la </w:t>
      </w:r>
      <w:r w:rsidRPr="006A70FC">
        <w:rPr>
          <w:rFonts w:ascii="Palatino Linotype" w:eastAsia="Palatino Linotype" w:hAnsi="Palatino Linotype" w:cs="Palatino Linotype"/>
          <w:b/>
          <w:bCs/>
          <w:i/>
          <w:iCs/>
          <w:sz w:val="22"/>
          <w:szCs w:val="22"/>
        </w:rPr>
        <w:t>entrega de recursos económicos a beneficiarios</w:t>
      </w:r>
      <w:r w:rsidRPr="006A70FC">
        <w:rPr>
          <w:rFonts w:ascii="Palatino Linotype" w:eastAsia="Palatino Linotype" w:hAnsi="Palatino Linotype" w:cs="Palatino Linotype"/>
          <w:i/>
          <w:iCs/>
          <w:sz w:val="22"/>
          <w:szCs w:val="22"/>
        </w:rPr>
        <w:t>, materia de alto interés social y sujeta a un mayor estándar de transparencia y rendición de cuentas.</w:t>
      </w:r>
    </w:p>
    <w:p w14:paraId="2EFFBFC0" w14:textId="621009C2"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b/>
          <w:bCs/>
          <w:i/>
          <w:iCs/>
          <w:sz w:val="22"/>
          <w:szCs w:val="22"/>
        </w:rPr>
        <w:t>TERCERO</w:t>
      </w:r>
      <w:r w:rsidRPr="006A70FC">
        <w:rPr>
          <w:rFonts w:ascii="Palatino Linotype" w:eastAsia="Palatino Linotype" w:hAnsi="Palatino Linotype" w:cs="Palatino Linotype"/>
          <w:i/>
          <w:iCs/>
          <w:sz w:val="22"/>
          <w:szCs w:val="22"/>
        </w:rPr>
        <w:t xml:space="preserve">. </w:t>
      </w:r>
      <w:r w:rsidRPr="006A70FC">
        <w:rPr>
          <w:rFonts w:ascii="Palatino Linotype" w:eastAsia="Palatino Linotype" w:hAnsi="Palatino Linotype" w:cs="Palatino Linotype"/>
          <w:b/>
          <w:bCs/>
          <w:i/>
          <w:iCs/>
          <w:sz w:val="22"/>
          <w:szCs w:val="22"/>
        </w:rPr>
        <w:t>Falta de acreditación de búsqueda exhaustiva y razonable</w:t>
      </w:r>
      <w:r w:rsidRPr="006A70FC">
        <w:rPr>
          <w:rFonts w:ascii="Palatino Linotype" w:eastAsia="Palatino Linotype" w:hAnsi="Palatino Linotype" w:cs="Palatino Linotype"/>
          <w:i/>
          <w:iCs/>
          <w:sz w:val="22"/>
          <w:szCs w:val="22"/>
        </w:rPr>
        <w:t xml:space="preserve">. El sujeto obligado no acredita haber consultado la totalidad de la documentación relacionada con la </w:t>
      </w:r>
      <w:r w:rsidRPr="006A70FC">
        <w:rPr>
          <w:rFonts w:ascii="Palatino Linotype" w:eastAsia="Palatino Linotype" w:hAnsi="Palatino Linotype" w:cs="Palatino Linotype"/>
          <w:b/>
          <w:bCs/>
          <w:i/>
          <w:iCs/>
          <w:sz w:val="22"/>
          <w:szCs w:val="22"/>
        </w:rPr>
        <w:t>operación, dispersión y comprobación</w:t>
      </w:r>
      <w:r w:rsidRPr="006A70FC">
        <w:rPr>
          <w:rFonts w:ascii="Palatino Linotype" w:eastAsia="Palatino Linotype" w:hAnsi="Palatino Linotype" w:cs="Palatino Linotype"/>
          <w:i/>
          <w:iCs/>
          <w:sz w:val="22"/>
          <w:szCs w:val="22"/>
        </w:rPr>
        <w:t xml:space="preserve"> </w:t>
      </w:r>
      <w:r w:rsidRPr="006A70FC">
        <w:rPr>
          <w:rFonts w:ascii="Palatino Linotype" w:eastAsia="Palatino Linotype" w:hAnsi="Palatino Linotype" w:cs="Palatino Linotype"/>
          <w:b/>
          <w:bCs/>
          <w:i/>
          <w:iCs/>
          <w:sz w:val="22"/>
          <w:szCs w:val="22"/>
        </w:rPr>
        <w:t>de recursos</w:t>
      </w:r>
      <w:r w:rsidRPr="006A70FC">
        <w:rPr>
          <w:rFonts w:ascii="Palatino Linotype" w:eastAsia="Palatino Linotype" w:hAnsi="Palatino Linotype" w:cs="Palatino Linotype"/>
          <w:i/>
          <w:iCs/>
          <w:sz w:val="22"/>
          <w:szCs w:val="22"/>
        </w:rPr>
        <w:t xml:space="preserve"> de ambos programas, ni demuestra haber solicitado información complementaria a las áreas responsables, tales como la </w:t>
      </w:r>
      <w:r w:rsidRPr="006A70FC">
        <w:rPr>
          <w:rFonts w:ascii="Palatino Linotype" w:eastAsia="Palatino Linotype" w:hAnsi="Palatino Linotype" w:cs="Palatino Linotype"/>
          <w:b/>
          <w:bCs/>
          <w:i/>
          <w:iCs/>
          <w:sz w:val="22"/>
          <w:szCs w:val="22"/>
        </w:rPr>
        <w:t>Unidad de Planeación, Evaluación y Seguimiento</w:t>
      </w:r>
      <w:r w:rsidRPr="006A70FC">
        <w:rPr>
          <w:rFonts w:ascii="Palatino Linotype" w:eastAsia="Palatino Linotype" w:hAnsi="Palatino Linotype" w:cs="Palatino Linotype"/>
          <w:i/>
          <w:iCs/>
          <w:sz w:val="22"/>
          <w:szCs w:val="22"/>
        </w:rPr>
        <w:t xml:space="preserve"> o el </w:t>
      </w:r>
      <w:r w:rsidRPr="006A70FC">
        <w:rPr>
          <w:rFonts w:ascii="Palatino Linotype" w:eastAsia="Palatino Linotype" w:hAnsi="Palatino Linotype" w:cs="Palatino Linotype"/>
          <w:b/>
          <w:bCs/>
          <w:i/>
          <w:iCs/>
          <w:sz w:val="22"/>
          <w:szCs w:val="22"/>
        </w:rPr>
        <w:t>Órgano Interno de Control del EDIPIEM</w:t>
      </w:r>
      <w:r w:rsidRPr="006A70FC">
        <w:rPr>
          <w:rFonts w:ascii="Palatino Linotype" w:eastAsia="Palatino Linotype" w:hAnsi="Palatino Linotype" w:cs="Palatino Linotype"/>
          <w:i/>
          <w:iCs/>
          <w:sz w:val="22"/>
          <w:szCs w:val="22"/>
        </w:rPr>
        <w:t>, áreas que razonablemente podrían contar con registros de las fechas de entrega.</w:t>
      </w:r>
    </w:p>
    <w:p w14:paraId="2768B3C2" w14:textId="231F315F"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b/>
          <w:bCs/>
          <w:i/>
          <w:iCs/>
          <w:sz w:val="22"/>
          <w:szCs w:val="22"/>
        </w:rPr>
        <w:t>CUARTO. Incumplimiento del deber de justificar la inexistencia o ausencia de información</w:t>
      </w:r>
      <w:r w:rsidRPr="006A70FC">
        <w:rPr>
          <w:rFonts w:ascii="Palatino Linotype" w:eastAsia="Palatino Linotype" w:hAnsi="Palatino Linotype" w:cs="Palatino Linotype"/>
          <w:i/>
          <w:iCs/>
          <w:sz w:val="22"/>
          <w:szCs w:val="22"/>
        </w:rPr>
        <w:t xml:space="preserve">. Cuando un sujeto obligado no localiza la información solicitada o la posee de manera parcial, tiene la obligación de </w:t>
      </w:r>
      <w:r w:rsidRPr="006A70FC">
        <w:rPr>
          <w:rFonts w:ascii="Palatino Linotype" w:eastAsia="Palatino Linotype" w:hAnsi="Palatino Linotype" w:cs="Palatino Linotype"/>
          <w:b/>
          <w:bCs/>
          <w:i/>
          <w:iCs/>
          <w:sz w:val="22"/>
          <w:szCs w:val="22"/>
        </w:rPr>
        <w:t>emitir un acta de inexistencia</w:t>
      </w:r>
      <w:r w:rsidRPr="006A70FC">
        <w:rPr>
          <w:rFonts w:ascii="Palatino Linotype" w:eastAsia="Palatino Linotype" w:hAnsi="Palatino Linotype" w:cs="Palatino Linotype"/>
          <w:i/>
          <w:iCs/>
          <w:sz w:val="22"/>
          <w:szCs w:val="22"/>
        </w:rPr>
        <w:t xml:space="preserve"> o, en su caso, </w:t>
      </w:r>
      <w:r w:rsidRPr="006A70FC">
        <w:rPr>
          <w:rFonts w:ascii="Palatino Linotype" w:eastAsia="Palatino Linotype" w:hAnsi="Palatino Linotype" w:cs="Palatino Linotype"/>
          <w:b/>
          <w:bCs/>
          <w:i/>
          <w:iCs/>
          <w:sz w:val="22"/>
          <w:szCs w:val="22"/>
        </w:rPr>
        <w:t>manifestar de forma expresa y documentada la razón por la cual determinados datos no obran en sus archivos</w:t>
      </w:r>
      <w:r w:rsidRPr="006A70FC">
        <w:rPr>
          <w:rFonts w:ascii="Palatino Linotype" w:eastAsia="Palatino Linotype" w:hAnsi="Palatino Linotype" w:cs="Palatino Linotype"/>
          <w:i/>
          <w:iCs/>
          <w:sz w:val="22"/>
          <w:szCs w:val="22"/>
        </w:rPr>
        <w:t>. En el presente caso, no se explicó ni justificó la causa de la omisión de las fechas de entrega.</w:t>
      </w:r>
    </w:p>
    <w:p w14:paraId="0122AE45" w14:textId="32409959"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b/>
          <w:bCs/>
          <w:i/>
          <w:iCs/>
          <w:sz w:val="22"/>
          <w:szCs w:val="22"/>
        </w:rPr>
        <w:t>QUINTO</w:t>
      </w:r>
      <w:r w:rsidRPr="006A70FC">
        <w:rPr>
          <w:rFonts w:ascii="Palatino Linotype" w:eastAsia="Palatino Linotype" w:hAnsi="Palatino Linotype" w:cs="Palatino Linotype"/>
          <w:i/>
          <w:iCs/>
          <w:sz w:val="22"/>
          <w:szCs w:val="22"/>
        </w:rPr>
        <w:t xml:space="preserve">. </w:t>
      </w:r>
      <w:r w:rsidRPr="006A70FC">
        <w:rPr>
          <w:rFonts w:ascii="Palatino Linotype" w:eastAsia="Palatino Linotype" w:hAnsi="Palatino Linotype" w:cs="Palatino Linotype"/>
          <w:b/>
          <w:bCs/>
          <w:i/>
          <w:iCs/>
          <w:sz w:val="22"/>
          <w:szCs w:val="22"/>
        </w:rPr>
        <w:t>Vulneración a los principios de transparencia y rendición de cuentas</w:t>
      </w:r>
      <w:r w:rsidRPr="006A70FC">
        <w:rPr>
          <w:rFonts w:ascii="Palatino Linotype" w:eastAsia="Palatino Linotype" w:hAnsi="Palatino Linotype" w:cs="Palatino Linotype"/>
          <w:i/>
          <w:iCs/>
          <w:sz w:val="22"/>
          <w:szCs w:val="22"/>
        </w:rPr>
        <w:t>. La conducta del sujeto obligado contraviene los principios de máxima publicidad, transparencia y rendición de cuentas, al proporcionar información incompleta sin motivar su alcance ni justificar las omisiones, generando incertidumbre sobre el manejo y destino de recursos públicos.</w:t>
      </w:r>
    </w:p>
    <w:p w14:paraId="59AC489A" w14:textId="3FFA363C"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i/>
          <w:iCs/>
          <w:sz w:val="22"/>
          <w:szCs w:val="22"/>
        </w:rPr>
        <w:t>Habiéndose expuesto los argumentos de hecho y de derecho, y no existiendo diligencias adicionales pendientes de desahogar, se declara cerrada la instrucción del presente asunto.</w:t>
      </w:r>
    </w:p>
    <w:p w14:paraId="045D05F2" w14:textId="0DF8C30A" w:rsidR="001A23E1" w:rsidRPr="006A70FC" w:rsidRDefault="001A23E1" w:rsidP="00581FC9">
      <w:pPr>
        <w:widowControl w:val="0"/>
        <w:spacing w:before="120" w:after="120"/>
        <w:ind w:left="851" w:right="900"/>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i/>
          <w:iCs/>
          <w:sz w:val="22"/>
          <w:szCs w:val="22"/>
        </w:rPr>
        <w:t xml:space="preserve">En consecuencia, se solicita a la autoridad </w:t>
      </w:r>
      <w:proofErr w:type="spellStart"/>
      <w:r w:rsidRPr="006A70FC">
        <w:rPr>
          <w:rFonts w:ascii="Palatino Linotype" w:eastAsia="Palatino Linotype" w:hAnsi="Palatino Linotype" w:cs="Palatino Linotype"/>
          <w:i/>
          <w:iCs/>
          <w:sz w:val="22"/>
          <w:szCs w:val="22"/>
        </w:rPr>
        <w:t>resolutora</w:t>
      </w:r>
      <w:proofErr w:type="spellEnd"/>
      <w:r w:rsidRPr="006A70FC">
        <w:rPr>
          <w:rFonts w:ascii="Palatino Linotype" w:eastAsia="Palatino Linotype" w:hAnsi="Palatino Linotype" w:cs="Palatino Linotype"/>
          <w:i/>
          <w:iCs/>
          <w:sz w:val="22"/>
          <w:szCs w:val="22"/>
        </w:rPr>
        <w:t xml:space="preserve"> que, con fundamento en los principios de </w:t>
      </w:r>
      <w:r w:rsidRPr="006A70FC">
        <w:rPr>
          <w:rFonts w:ascii="Palatino Linotype" w:eastAsia="Palatino Linotype" w:hAnsi="Palatino Linotype" w:cs="Palatino Linotype"/>
          <w:b/>
          <w:bCs/>
          <w:i/>
          <w:iCs/>
          <w:sz w:val="22"/>
          <w:szCs w:val="22"/>
        </w:rPr>
        <w:t>legalidad, máxima publicidad, transparencia y acceso efectivo a la información pública, emita la resolución que en derecho corresponda</w:t>
      </w:r>
      <w:r w:rsidRPr="006A70FC">
        <w:rPr>
          <w:rFonts w:ascii="Palatino Linotype" w:eastAsia="Palatino Linotype" w:hAnsi="Palatino Linotype" w:cs="Palatino Linotype"/>
          <w:i/>
          <w:iCs/>
          <w:sz w:val="22"/>
          <w:szCs w:val="22"/>
        </w:rPr>
        <w:t>, ordenando al sujeto obligado realizar una búsqueda exhaustiva y razonable en las áreas competentes y emitir una nueva respuesta debidamente fundada y motivada, en la que se proporcione la información completa solicitada o, en su caso, se justifique documentalmente la inexistencia de los datos omitidos.”</w:t>
      </w:r>
    </w:p>
    <w:p w14:paraId="09D27D8F" w14:textId="3698C39A" w:rsidR="005D5DC9" w:rsidRPr="006A70FC" w:rsidRDefault="00FD47D1" w:rsidP="005D5DC9">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8</w:t>
      </w:r>
      <w:r w:rsidR="00286DF8" w:rsidRPr="006A70FC">
        <w:rPr>
          <w:rFonts w:ascii="Palatino Linotype" w:eastAsia="Palatino Linotype" w:hAnsi="Palatino Linotype" w:cs="Palatino Linotype"/>
          <w:b/>
          <w:sz w:val="22"/>
          <w:szCs w:val="22"/>
        </w:rPr>
        <w:t xml:space="preserve">. </w:t>
      </w:r>
      <w:r w:rsidR="005D5DC9" w:rsidRPr="006A70FC">
        <w:rPr>
          <w:rFonts w:ascii="Palatino Linotype" w:eastAsia="Palatino Linotype" w:hAnsi="Palatino Linotype" w:cs="Palatino Linotype"/>
          <w:b/>
          <w:sz w:val="22"/>
          <w:szCs w:val="22"/>
        </w:rPr>
        <w:t xml:space="preserve">Cierre de instrucción. </w:t>
      </w:r>
      <w:r w:rsidR="005D5DC9" w:rsidRPr="006A70FC">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Pr="006A70FC">
        <w:rPr>
          <w:rFonts w:ascii="Palatino Linotype" w:eastAsia="Palatino Linotype" w:hAnsi="Palatino Linotype" w:cs="Palatino Linotype"/>
          <w:b/>
          <w:sz w:val="22"/>
          <w:szCs w:val="22"/>
        </w:rPr>
        <w:t xml:space="preserve">veintiséis de febrero </w:t>
      </w:r>
      <w:r w:rsidR="005779AE" w:rsidRPr="006A70FC">
        <w:rPr>
          <w:rFonts w:ascii="Palatino Linotype" w:eastAsia="Palatino Linotype" w:hAnsi="Palatino Linotype" w:cs="Palatino Linotype"/>
          <w:b/>
          <w:sz w:val="22"/>
          <w:szCs w:val="22"/>
        </w:rPr>
        <w:t>de dos mil veintiséis</w:t>
      </w:r>
      <w:r w:rsidR="005D5DC9" w:rsidRPr="006A70FC">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F7CA370" w14:textId="5891DD61" w:rsidR="00C553C6" w:rsidRPr="006A70FC" w:rsidRDefault="00FD47D1" w:rsidP="00C553C6">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9</w:t>
      </w:r>
      <w:r w:rsidR="00C553C6" w:rsidRPr="006A70FC">
        <w:rPr>
          <w:rFonts w:ascii="Palatino Linotype" w:eastAsia="Palatino Linotype" w:hAnsi="Palatino Linotype" w:cs="Palatino Linotype"/>
          <w:b/>
          <w:sz w:val="22"/>
          <w:szCs w:val="22"/>
        </w:rPr>
        <w:t xml:space="preserve">. Ampliación del término para resolver. </w:t>
      </w:r>
      <w:r w:rsidR="00C553C6" w:rsidRPr="006A70FC">
        <w:rPr>
          <w:rFonts w:ascii="Palatino Linotype" w:eastAsia="Palatino Linotype" w:hAnsi="Palatino Linotype" w:cs="Palatino Linotype"/>
          <w:sz w:val="22"/>
          <w:szCs w:val="22"/>
        </w:rPr>
        <w:t>El</w:t>
      </w:r>
      <w:r w:rsidR="00C553C6"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b/>
          <w:sz w:val="22"/>
          <w:szCs w:val="22"/>
        </w:rPr>
        <w:t>veintiséis de febrero de dos mil veintiséis</w:t>
      </w:r>
      <w:r w:rsidR="00C553C6" w:rsidRPr="006A70FC">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09BE9FE6"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7108EA6E"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7E1680C8"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40577E8E"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779ED7D6"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23CB2D2C" w14:textId="77777777" w:rsidR="00B4722A" w:rsidRPr="006A70FC" w:rsidRDefault="00B4722A" w:rsidP="00B4722A">
      <w:pPr>
        <w:widowControl w:val="0"/>
        <w:numPr>
          <w:ilvl w:val="0"/>
          <w:numId w:val="16"/>
        </w:numPr>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Complejidad del Asunto: La complejidad de la prueba, la pluralidad de sujetos procesales, el tiempo transcurrido, las características y contexto del recurso. </w:t>
      </w:r>
    </w:p>
    <w:p w14:paraId="4490B159" w14:textId="77777777" w:rsidR="00B4722A" w:rsidRPr="006A70FC" w:rsidRDefault="00B4722A" w:rsidP="00B4722A">
      <w:pPr>
        <w:widowControl w:val="0"/>
        <w:numPr>
          <w:ilvl w:val="0"/>
          <w:numId w:val="16"/>
        </w:numPr>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Actividad Procesal del interesado. Acciones u omisiones del interesado.</w:t>
      </w:r>
    </w:p>
    <w:p w14:paraId="7DF07E4B" w14:textId="77777777" w:rsidR="00B4722A" w:rsidRPr="006A70FC" w:rsidRDefault="00B4722A" w:rsidP="00B4722A">
      <w:pPr>
        <w:widowControl w:val="0"/>
        <w:numPr>
          <w:ilvl w:val="0"/>
          <w:numId w:val="16"/>
        </w:numPr>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Conducta de la Autoridad: Las Acciones u omisiones realizadas en el procedimiento. Así como si la autoridad actuó con la debida diligencia.</w:t>
      </w:r>
    </w:p>
    <w:p w14:paraId="0E29F0B8"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d) La afectación generada en la situación jurídica de la persona involucrada en el proceso: Violación a sus derechos humanos.</w:t>
      </w:r>
    </w:p>
    <w:p w14:paraId="7A0484DA"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A69A060" w14:textId="77777777" w:rsidR="00B4722A" w:rsidRPr="006A70FC" w:rsidRDefault="00B4722A" w:rsidP="00B4722A">
      <w:pPr>
        <w:widowControl w:val="0"/>
        <w:spacing w:before="240" w:line="360" w:lineRule="auto"/>
        <w:jc w:val="both"/>
        <w:rPr>
          <w:rFonts w:ascii="Palatino Linotype" w:eastAsia="Palatino Linotype" w:hAnsi="Palatino Linotype" w:cs="Palatino Linotype"/>
          <w:b/>
          <w:sz w:val="22"/>
          <w:szCs w:val="22"/>
        </w:rPr>
      </w:pPr>
      <w:r w:rsidRPr="006A70FC">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6A70FC">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6A70FC">
        <w:rPr>
          <w:rFonts w:ascii="Palatino Linotype" w:eastAsia="Palatino Linotype" w:hAnsi="Palatino Linotype" w:cs="Palatino Linotype"/>
          <w:sz w:val="22"/>
          <w:szCs w:val="22"/>
        </w:rPr>
        <w:t>, visible en la Gaceta del Seminario Judicial de la Federación con el registro digital 205635.</w:t>
      </w:r>
    </w:p>
    <w:p w14:paraId="613A3C0B"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8BF01CC" w14:textId="77777777" w:rsidR="00B4722A" w:rsidRPr="006A70FC" w:rsidRDefault="00B4722A" w:rsidP="00B4722A">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2B4D88A" w14:textId="77777777" w:rsidR="00B4722A" w:rsidRPr="006A70FC" w:rsidRDefault="00B4722A" w:rsidP="00B4722A">
      <w:pPr>
        <w:spacing w:before="120" w:after="120"/>
        <w:ind w:left="851" w:right="902"/>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PLAZO RAZONABLE PARA RESOLVER. DIMENSIÓN Y EFECTOS DE ESTE CONCEPTO CUANDO SE ADUCE EXCESIVA CARGA DE TRABAJO</w:t>
      </w: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sz w:val="22"/>
          <w:szCs w:val="22"/>
        </w:rPr>
        <w:t xml:space="preserve"> consultable en el Seminario Judicial de la Federación y su gaceta, con el registro digital 2002351.</w:t>
      </w:r>
    </w:p>
    <w:p w14:paraId="6EE3C90C" w14:textId="77777777" w:rsidR="00B4722A" w:rsidRPr="006A70FC" w:rsidRDefault="00B4722A" w:rsidP="00B4722A">
      <w:pPr>
        <w:spacing w:before="120" w:after="120"/>
        <w:ind w:left="851" w:right="902"/>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sz w:val="22"/>
          <w:szCs w:val="22"/>
        </w:rPr>
        <w:t>, visible en el Seminario Judicial de la Federación y su gaceta, con el registro digital 2002350.</w:t>
      </w:r>
    </w:p>
    <w:p w14:paraId="4CB8D438" w14:textId="77777777" w:rsidR="00B4722A" w:rsidRPr="006A70FC" w:rsidRDefault="00B4722A" w:rsidP="00B4722A">
      <w:pPr>
        <w:widowControl w:val="0"/>
        <w:spacing w:before="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53004523" w14:textId="38944F98" w:rsidR="000D6A53" w:rsidRPr="006A70FC" w:rsidRDefault="0062255D">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1BCBDF5" w14:textId="77777777" w:rsidR="00562A90" w:rsidRPr="006A70FC" w:rsidRDefault="0062255D">
      <w:pPr>
        <w:widowControl w:val="0"/>
        <w:spacing w:before="240" w:after="240" w:line="360" w:lineRule="auto"/>
        <w:jc w:val="center"/>
        <w:rPr>
          <w:rFonts w:ascii="Palatino Linotype" w:eastAsia="Palatino Linotype" w:hAnsi="Palatino Linotype" w:cs="Palatino Linotype"/>
          <w:b/>
          <w:sz w:val="22"/>
          <w:szCs w:val="22"/>
        </w:rPr>
      </w:pPr>
      <w:r w:rsidRPr="006A70FC">
        <w:rPr>
          <w:rFonts w:ascii="Palatino Linotype" w:eastAsia="Palatino Linotype" w:hAnsi="Palatino Linotype" w:cs="Palatino Linotype"/>
          <w:b/>
          <w:sz w:val="22"/>
          <w:szCs w:val="22"/>
        </w:rPr>
        <w:t>II. C O N S I D E R A N D O S</w:t>
      </w:r>
    </w:p>
    <w:p w14:paraId="60D021DD" w14:textId="6369A956" w:rsidR="00562A90" w:rsidRPr="006A70FC" w:rsidRDefault="0062255D">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Primero. Competencia.</w:t>
      </w:r>
      <w:r w:rsidRPr="006A70F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5D5DC9" w:rsidRPr="006A70FC">
        <w:rPr>
          <w:rFonts w:ascii="Palatino Linotype" w:eastAsia="Palatino Linotype" w:hAnsi="Palatino Linotype" w:cs="Palatino Linotype"/>
          <w:sz w:val="22"/>
          <w:szCs w:val="22"/>
        </w:rPr>
        <w:t>5</w:t>
      </w:r>
      <w:r w:rsidR="000E700F" w:rsidRPr="006A70FC">
        <w:rPr>
          <w:rFonts w:ascii="Palatino Linotype" w:eastAsia="Palatino Linotype" w:hAnsi="Palatino Linotype" w:cs="Palatino Linotype"/>
          <w:sz w:val="22"/>
          <w:szCs w:val="22"/>
        </w:rPr>
        <w:t>,</w:t>
      </w:r>
      <w:r w:rsidR="005D5DC9" w:rsidRPr="006A70FC">
        <w:rPr>
          <w:rFonts w:ascii="Palatino Linotype" w:eastAsia="Palatino Linotype" w:hAnsi="Palatino Linotype" w:cs="Palatino Linotype"/>
          <w:sz w:val="22"/>
          <w:szCs w:val="22"/>
        </w:rPr>
        <w:t xml:space="preserve"> párrafos </w:t>
      </w:r>
      <w:r w:rsidR="000E700F" w:rsidRPr="006A70FC">
        <w:rPr>
          <w:rFonts w:ascii="Palatino Linotype" w:eastAsia="Palatino Linotype" w:hAnsi="Palatino Linotype" w:cs="Palatino Linotype"/>
          <w:sz w:val="22"/>
          <w:szCs w:val="22"/>
        </w:rPr>
        <w:t>cuadragésimo cuarto, cuadragésimo quinto cuadragésimo sexto,</w:t>
      </w:r>
      <w:r w:rsidR="005D5DC9" w:rsidRPr="006A70FC">
        <w:rPr>
          <w:rFonts w:ascii="Palatino Linotype" w:eastAsia="Palatino Linotype" w:hAnsi="Palatino Linotype" w:cs="Palatino Linotype"/>
          <w:sz w:val="22"/>
          <w:szCs w:val="22"/>
        </w:rPr>
        <w:t xml:space="preserve"> fracciones IV y V de la Constitución Política del Estado Libre y Soberano de México; Transitorio Cuarto, párrafo segundo del Decreto número 198 de la “LXII” Legislatura del Estado de México;</w:t>
      </w:r>
      <w:r w:rsidRPr="006A70FC">
        <w:rPr>
          <w:rFonts w:ascii="Palatino Linotype" w:eastAsia="Palatino Linotype" w:hAnsi="Palatino Linotype" w:cs="Palatino Linotype"/>
          <w:sz w:val="22"/>
          <w:szCs w:val="22"/>
        </w:rPr>
        <w:t xml:space="preserve">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BB00E87" w14:textId="77777777" w:rsidR="00562A90" w:rsidRPr="006A70FC" w:rsidRDefault="0062255D">
      <w:pPr>
        <w:spacing w:before="240" w:after="240" w:line="360" w:lineRule="auto"/>
        <w:jc w:val="both"/>
        <w:rPr>
          <w:rFonts w:ascii="Palatino Linotype" w:eastAsia="Palatino Linotype" w:hAnsi="Palatino Linotype" w:cs="Palatino Linotype"/>
          <w:sz w:val="22"/>
          <w:szCs w:val="22"/>
        </w:rPr>
      </w:pPr>
      <w:bookmarkStart w:id="8" w:name="_heading=h.tyjcwt" w:colFirst="0" w:colLast="0"/>
      <w:bookmarkEnd w:id="8"/>
      <w:r w:rsidRPr="006A70FC">
        <w:rPr>
          <w:rFonts w:ascii="Palatino Linotype" w:eastAsia="Palatino Linotype" w:hAnsi="Palatino Linotype" w:cs="Palatino Linotype"/>
          <w:b/>
          <w:sz w:val="22"/>
          <w:szCs w:val="22"/>
        </w:rPr>
        <w:t xml:space="preserve">Segundo. Oportunidad y </w:t>
      </w:r>
      <w:proofErr w:type="spellStart"/>
      <w:r w:rsidRPr="006A70FC">
        <w:rPr>
          <w:rFonts w:ascii="Palatino Linotype" w:eastAsia="Palatino Linotype" w:hAnsi="Palatino Linotype" w:cs="Palatino Linotype"/>
          <w:b/>
          <w:sz w:val="22"/>
          <w:szCs w:val="22"/>
        </w:rPr>
        <w:t>Procedibilidad</w:t>
      </w:r>
      <w:proofErr w:type="spellEnd"/>
      <w:r w:rsidRPr="006A70FC">
        <w:rPr>
          <w:rFonts w:ascii="Palatino Linotype" w:eastAsia="Palatino Linotype" w:hAnsi="Palatino Linotype" w:cs="Palatino Linotype"/>
          <w:b/>
          <w:sz w:val="22"/>
          <w:szCs w:val="22"/>
        </w:rPr>
        <w:t xml:space="preserve"> del Recurso de Revisión</w:t>
      </w:r>
      <w:r w:rsidRPr="006A70FC">
        <w:rPr>
          <w:rFonts w:ascii="Palatino Linotype" w:eastAsia="Palatino Linotype" w:hAnsi="Palatino Linotype" w:cs="Palatino Linotype"/>
          <w:sz w:val="22"/>
          <w:szCs w:val="22"/>
        </w:rPr>
        <w:t xml:space="preserve">. Previo al estudio del fondo del asunto, se procede a analizar los requisitos de oportunidad y </w:t>
      </w:r>
      <w:proofErr w:type="spellStart"/>
      <w:r w:rsidRPr="006A70FC">
        <w:rPr>
          <w:rFonts w:ascii="Palatino Linotype" w:eastAsia="Palatino Linotype" w:hAnsi="Palatino Linotype" w:cs="Palatino Linotype"/>
          <w:sz w:val="22"/>
          <w:szCs w:val="22"/>
        </w:rPr>
        <w:t>procedibilidad</w:t>
      </w:r>
      <w:proofErr w:type="spellEnd"/>
      <w:r w:rsidRPr="006A70FC">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1C2A1275" w14:textId="28B38E20" w:rsidR="00562A90" w:rsidRPr="006A70FC" w:rsidRDefault="0062255D" w:rsidP="00623173">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6A70FC">
        <w:rPr>
          <w:rFonts w:ascii="Palatino Linotype" w:eastAsia="Palatino Linotype" w:hAnsi="Palatino Linotype" w:cs="Palatino Linotype"/>
          <w:b/>
          <w:sz w:val="22"/>
          <w:szCs w:val="22"/>
        </w:rPr>
        <w:t xml:space="preserve">Sujeto Obligado </w:t>
      </w:r>
      <w:r w:rsidRPr="006A70FC">
        <w:rPr>
          <w:rFonts w:ascii="Palatino Linotype" w:eastAsia="Palatino Linotype" w:hAnsi="Palatino Linotype" w:cs="Palatino Linotype"/>
          <w:sz w:val="22"/>
          <w:szCs w:val="22"/>
        </w:rPr>
        <w:t xml:space="preserve">remitió la respuesta a la </w:t>
      </w:r>
      <w:r w:rsidR="000D6A53" w:rsidRPr="006A70FC">
        <w:rPr>
          <w:rFonts w:ascii="Palatino Linotype" w:eastAsia="Palatino Linotype" w:hAnsi="Palatino Linotype" w:cs="Palatino Linotype"/>
          <w:sz w:val="22"/>
          <w:szCs w:val="22"/>
        </w:rPr>
        <w:t xml:space="preserve">solicitud de información el día </w:t>
      </w:r>
      <w:r w:rsidR="00165889" w:rsidRPr="006A70FC">
        <w:rPr>
          <w:rFonts w:ascii="Palatino Linotype" w:eastAsia="Palatino Linotype" w:hAnsi="Palatino Linotype" w:cs="Palatino Linotype"/>
          <w:b/>
          <w:bCs/>
          <w:sz w:val="22"/>
          <w:szCs w:val="22"/>
        </w:rPr>
        <w:t xml:space="preserve">veintidós de octubre </w:t>
      </w:r>
      <w:r w:rsidR="00F66594" w:rsidRPr="006A70FC">
        <w:rPr>
          <w:rFonts w:ascii="Palatino Linotype" w:eastAsia="Palatino Linotype" w:hAnsi="Palatino Linotype" w:cs="Palatino Linotype"/>
          <w:b/>
          <w:sz w:val="22"/>
          <w:szCs w:val="22"/>
        </w:rPr>
        <w:t>de dos m</w:t>
      </w:r>
      <w:r w:rsidR="00AF72B6" w:rsidRPr="006A70FC">
        <w:rPr>
          <w:rFonts w:ascii="Palatino Linotype" w:eastAsia="Palatino Linotype" w:hAnsi="Palatino Linotype" w:cs="Palatino Linotype"/>
          <w:b/>
          <w:sz w:val="22"/>
          <w:szCs w:val="22"/>
        </w:rPr>
        <w:t>il veinticinco</w:t>
      </w:r>
      <w:r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sz w:val="22"/>
          <w:szCs w:val="22"/>
        </w:rPr>
        <w:t xml:space="preserve">mientras que el recurso de revisión interpuesto por la parte </w:t>
      </w:r>
      <w:r w:rsidRPr="006A70FC">
        <w:rPr>
          <w:rFonts w:ascii="Palatino Linotype" w:eastAsia="Palatino Linotype" w:hAnsi="Palatino Linotype" w:cs="Palatino Linotype"/>
          <w:b/>
          <w:sz w:val="22"/>
          <w:szCs w:val="22"/>
        </w:rPr>
        <w:t xml:space="preserve">Recurrente, </w:t>
      </w:r>
      <w:r w:rsidRPr="006A70FC">
        <w:rPr>
          <w:rFonts w:ascii="Palatino Linotype" w:eastAsia="Palatino Linotype" w:hAnsi="Palatino Linotype" w:cs="Palatino Linotype"/>
          <w:sz w:val="22"/>
          <w:szCs w:val="22"/>
        </w:rPr>
        <w:t>se tuvo por presentado el día</w:t>
      </w:r>
      <w:r w:rsidR="009E66E4" w:rsidRPr="006A70FC">
        <w:rPr>
          <w:rFonts w:ascii="Palatino Linotype" w:eastAsia="Palatino Linotype" w:hAnsi="Palatino Linotype" w:cs="Palatino Linotype"/>
          <w:b/>
          <w:sz w:val="22"/>
          <w:szCs w:val="22"/>
        </w:rPr>
        <w:t xml:space="preserve"> </w:t>
      </w:r>
      <w:r w:rsidR="00165889" w:rsidRPr="006A70FC">
        <w:rPr>
          <w:rFonts w:ascii="Palatino Linotype" w:eastAsia="Palatino Linotype" w:hAnsi="Palatino Linotype" w:cs="Palatino Linotype"/>
          <w:b/>
          <w:sz w:val="22"/>
          <w:szCs w:val="22"/>
        </w:rPr>
        <w:t>veintinueve</w:t>
      </w:r>
      <w:r w:rsidR="00A83C55" w:rsidRPr="006A70FC">
        <w:rPr>
          <w:rFonts w:ascii="Palatino Linotype" w:eastAsia="Palatino Linotype" w:hAnsi="Palatino Linotype" w:cs="Palatino Linotype"/>
          <w:b/>
          <w:sz w:val="22"/>
          <w:szCs w:val="22"/>
        </w:rPr>
        <w:t xml:space="preserve"> </w:t>
      </w:r>
      <w:r w:rsidR="00E5253C" w:rsidRPr="006A70FC">
        <w:rPr>
          <w:rFonts w:ascii="Palatino Linotype" w:eastAsia="Palatino Linotype" w:hAnsi="Palatino Linotype" w:cs="Palatino Linotype"/>
          <w:b/>
          <w:sz w:val="22"/>
          <w:szCs w:val="22"/>
        </w:rPr>
        <w:t>de</w:t>
      </w:r>
      <w:r w:rsidR="00165889" w:rsidRPr="006A70FC">
        <w:rPr>
          <w:rFonts w:ascii="Palatino Linotype" w:eastAsia="Palatino Linotype" w:hAnsi="Palatino Linotype" w:cs="Palatino Linotype"/>
          <w:b/>
          <w:sz w:val="22"/>
          <w:szCs w:val="22"/>
        </w:rPr>
        <w:t xml:space="preserve"> octubre </w:t>
      </w:r>
      <w:r w:rsidR="00F66594" w:rsidRPr="006A70FC">
        <w:rPr>
          <w:rFonts w:ascii="Palatino Linotype" w:eastAsia="Palatino Linotype" w:hAnsi="Palatino Linotype" w:cs="Palatino Linotype"/>
          <w:b/>
          <w:sz w:val="22"/>
          <w:szCs w:val="22"/>
        </w:rPr>
        <w:t>de dos mil veinticinco</w:t>
      </w:r>
      <w:r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sz w:val="22"/>
          <w:szCs w:val="22"/>
        </w:rPr>
        <w:t>esto es</w:t>
      </w:r>
      <w:r w:rsidR="00AF72B6" w:rsidRPr="006A70FC">
        <w:rPr>
          <w:rFonts w:ascii="Palatino Linotype" w:eastAsia="Palatino Linotype" w:hAnsi="Palatino Linotype" w:cs="Palatino Linotype"/>
          <w:sz w:val="22"/>
          <w:szCs w:val="22"/>
        </w:rPr>
        <w:t xml:space="preserve">, </w:t>
      </w:r>
      <w:r w:rsidR="00A83C55" w:rsidRPr="006A70FC">
        <w:rPr>
          <w:rFonts w:ascii="Palatino Linotype" w:eastAsia="Palatino Linotype" w:hAnsi="Palatino Linotype" w:cs="Palatino Linotype"/>
          <w:sz w:val="22"/>
          <w:szCs w:val="22"/>
        </w:rPr>
        <w:t xml:space="preserve">al </w:t>
      </w:r>
      <w:r w:rsidR="00165889" w:rsidRPr="006A70FC">
        <w:rPr>
          <w:rFonts w:ascii="Palatino Linotype" w:eastAsia="Palatino Linotype" w:hAnsi="Palatino Linotype" w:cs="Palatino Linotype"/>
          <w:sz w:val="22"/>
          <w:szCs w:val="22"/>
        </w:rPr>
        <w:t xml:space="preserve">quinto </w:t>
      </w:r>
      <w:r w:rsidR="00A83C55" w:rsidRPr="006A70FC">
        <w:rPr>
          <w:rFonts w:ascii="Palatino Linotype" w:eastAsia="Palatino Linotype" w:hAnsi="Palatino Linotype" w:cs="Palatino Linotype"/>
          <w:sz w:val="22"/>
          <w:szCs w:val="22"/>
        </w:rPr>
        <w:t>día</w:t>
      </w:r>
      <w:r w:rsidR="00165889" w:rsidRPr="006A70FC">
        <w:rPr>
          <w:rFonts w:ascii="Palatino Linotype" w:eastAsia="Palatino Linotype" w:hAnsi="Palatino Linotype" w:cs="Palatino Linotype"/>
          <w:sz w:val="22"/>
          <w:szCs w:val="22"/>
        </w:rPr>
        <w:t xml:space="preserve"> hábil</w:t>
      </w:r>
      <w:r w:rsidR="00A83C55" w:rsidRPr="006A70FC">
        <w:rPr>
          <w:rFonts w:ascii="Palatino Linotype" w:eastAsia="Palatino Linotype" w:hAnsi="Palatino Linotype" w:cs="Palatino Linotype"/>
          <w:sz w:val="22"/>
          <w:szCs w:val="22"/>
        </w:rPr>
        <w:t xml:space="preserve"> siguiente </w:t>
      </w:r>
      <w:r w:rsidR="00165889" w:rsidRPr="006A70FC">
        <w:rPr>
          <w:rFonts w:ascii="Palatino Linotype" w:eastAsia="Palatino Linotype" w:hAnsi="Palatino Linotype" w:cs="Palatino Linotype"/>
          <w:sz w:val="22"/>
          <w:szCs w:val="22"/>
        </w:rPr>
        <w:t xml:space="preserve">a aquel </w:t>
      </w:r>
      <w:r w:rsidRPr="006A70FC">
        <w:rPr>
          <w:rFonts w:ascii="Palatino Linotype" w:eastAsia="Palatino Linotype" w:hAnsi="Palatino Linotype" w:cs="Palatino Linotype"/>
          <w:sz w:val="22"/>
          <w:szCs w:val="22"/>
        </w:rPr>
        <w:t>en el que tuvo conocimiento de la respuesta impugnada. En este sentido, se concluye que el presente recurso de revisión se encuentra dentro de los márgenes temporales previstos en las disposiciones legales referidas.</w:t>
      </w:r>
    </w:p>
    <w:p w14:paraId="096A613D" w14:textId="77777777" w:rsidR="00964506" w:rsidRPr="006A70FC" w:rsidRDefault="00964506" w:rsidP="00964506">
      <w:pPr>
        <w:spacing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Además, por cuanto hace a la </w:t>
      </w:r>
      <w:proofErr w:type="spellStart"/>
      <w:r w:rsidRPr="006A70FC">
        <w:rPr>
          <w:rFonts w:ascii="Palatino Linotype" w:eastAsia="Palatino Linotype" w:hAnsi="Palatino Linotype" w:cs="Palatino Linotype"/>
          <w:sz w:val="22"/>
          <w:szCs w:val="22"/>
        </w:rPr>
        <w:t>procedibilidad</w:t>
      </w:r>
      <w:proofErr w:type="spellEnd"/>
      <w:r w:rsidRPr="006A70FC">
        <w:rPr>
          <w:rFonts w:ascii="Palatino Linotype" w:eastAsia="Palatino Linotype" w:hAnsi="Palatino Linotype" w:cs="Palatino Linotype"/>
          <w:sz w:val="22"/>
          <w:szCs w:val="22"/>
        </w:rPr>
        <w:t xml:space="preserve"> del recurso de revisión, es de suma importancia señalar que </w:t>
      </w:r>
      <w:r w:rsidRPr="006A70FC">
        <w:rPr>
          <w:rFonts w:ascii="Palatino Linotype" w:eastAsia="Palatino Linotype" w:hAnsi="Palatino Linotype" w:cs="Palatino Linotype"/>
          <w:bCs/>
          <w:sz w:val="22"/>
          <w:szCs w:val="22"/>
        </w:rPr>
        <w:t>la parte</w:t>
      </w:r>
      <w:r w:rsidRPr="006A70FC">
        <w:rPr>
          <w:rFonts w:ascii="Palatino Linotype" w:eastAsia="Palatino Linotype" w:hAnsi="Palatino Linotype" w:cs="Palatino Linotype"/>
          <w:b/>
          <w:sz w:val="22"/>
          <w:szCs w:val="22"/>
        </w:rPr>
        <w:t xml:space="preserve"> Recurrente</w:t>
      </w:r>
      <w:r w:rsidRPr="006A70FC">
        <w:rPr>
          <w:rFonts w:ascii="Palatino Linotype" w:eastAsia="Palatino Linotype" w:hAnsi="Palatino Linotype" w:cs="Palatino Linotype"/>
          <w:sz w:val="22"/>
          <w:szCs w:val="22"/>
        </w:rPr>
        <w:t xml:space="preserve">, no señaló un </w:t>
      </w:r>
      <w:r w:rsidRPr="006A70FC">
        <w:rPr>
          <w:rFonts w:ascii="Palatino Linotype" w:eastAsia="Palatino Linotype" w:hAnsi="Palatino Linotype" w:cs="Palatino Linotype"/>
          <w:b/>
          <w:bCs/>
          <w:sz w:val="22"/>
          <w:szCs w:val="22"/>
        </w:rPr>
        <w:t>nombre</w:t>
      </w:r>
      <w:r w:rsidRPr="006A70FC">
        <w:rPr>
          <w:rFonts w:ascii="Palatino Linotype" w:eastAsia="Palatino Linotype" w:hAnsi="Palatino Linotype" w:cs="Palatino Linotype"/>
          <w:sz w:val="22"/>
          <w:szCs w:val="22"/>
        </w:rPr>
        <w:t xml:space="preserve"> con el cual desea ser identificado, como se advierte en el detalle de seguimiento del SAIMEX, no obstante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512105E0" w14:textId="77777777" w:rsidR="00964506" w:rsidRPr="006A70FC" w:rsidRDefault="00964506" w:rsidP="00964506">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Las solicitudes anónimas</w:t>
      </w:r>
      <w:r w:rsidRPr="006A70FC">
        <w:rPr>
          <w:rFonts w:ascii="Palatino Linotype" w:eastAsia="Palatino Linotype" w:hAnsi="Palatino Linotype" w:cs="Palatino Linotype"/>
          <w:i/>
          <w:sz w:val="22"/>
          <w:szCs w:val="22"/>
        </w:rPr>
        <w:t xml:space="preserve">, con nombre incompleto o </w:t>
      </w:r>
      <w:r w:rsidRPr="006A70FC">
        <w:rPr>
          <w:rFonts w:ascii="Palatino Linotype" w:eastAsia="Palatino Linotype" w:hAnsi="Palatino Linotype" w:cs="Palatino Linotype"/>
          <w:b/>
          <w:i/>
          <w:sz w:val="22"/>
          <w:szCs w:val="22"/>
        </w:rPr>
        <w:t>seudónimo</w:t>
      </w:r>
      <w:r w:rsidRPr="006A70FC">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7AEB3C5C" w14:textId="77777777" w:rsidR="00964506" w:rsidRPr="006A70FC" w:rsidRDefault="00964506" w:rsidP="00964506">
      <w:pPr>
        <w:spacing w:before="240" w:after="240" w:line="360" w:lineRule="auto"/>
        <w:jc w:val="both"/>
        <w:rPr>
          <w:rFonts w:ascii="Palatino Linotype" w:eastAsia="Palatino Linotype" w:hAnsi="Palatino Linotype" w:cs="Palatino Linotype"/>
          <w:b/>
          <w:sz w:val="22"/>
          <w:szCs w:val="22"/>
        </w:rPr>
      </w:pPr>
      <w:r w:rsidRPr="006A70FC">
        <w:rPr>
          <w:rFonts w:ascii="Palatino Linotype" w:eastAsia="Palatino Linotype" w:hAnsi="Palatino Linotype" w:cs="Palatino Linotype"/>
          <w:sz w:val="22"/>
          <w:szCs w:val="22"/>
        </w:rPr>
        <w:t xml:space="preserve">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w:t>
      </w:r>
      <w:r w:rsidRPr="006A70FC">
        <w:rPr>
          <w:rFonts w:ascii="Palatino Linotype" w:eastAsia="Palatino Linotype" w:hAnsi="Palatino Linotype" w:cs="Palatino Linotype"/>
          <w:bCs/>
          <w:sz w:val="22"/>
          <w:szCs w:val="22"/>
        </w:rPr>
        <w:t>el</w:t>
      </w:r>
      <w:r w:rsidRPr="006A70FC">
        <w:rPr>
          <w:rFonts w:ascii="Palatino Linotype" w:eastAsia="Palatino Linotype" w:hAnsi="Palatino Linotype" w:cs="Palatino Linotype"/>
          <w:b/>
          <w:sz w:val="22"/>
          <w:szCs w:val="22"/>
        </w:rPr>
        <w:t xml:space="preserve"> SAIMEX.</w:t>
      </w:r>
    </w:p>
    <w:p w14:paraId="51C625F6" w14:textId="04A283BE" w:rsidR="00562A90" w:rsidRPr="006A70FC" w:rsidRDefault="0062255D">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sz w:val="22"/>
          <w:szCs w:val="22"/>
        </w:rPr>
        <w:t xml:space="preserve"> en sus motivos de inconformidad, de a</w:t>
      </w:r>
      <w:r w:rsidR="00AF72B6" w:rsidRPr="006A70FC">
        <w:rPr>
          <w:rFonts w:ascii="Palatino Linotype" w:eastAsia="Palatino Linotype" w:hAnsi="Palatino Linotype" w:cs="Palatino Linotype"/>
          <w:sz w:val="22"/>
          <w:szCs w:val="22"/>
        </w:rPr>
        <w:t>cu</w:t>
      </w:r>
      <w:r w:rsidR="00623173" w:rsidRPr="006A70FC">
        <w:rPr>
          <w:rFonts w:ascii="Palatino Linotype" w:eastAsia="Palatino Linotype" w:hAnsi="Palatino Linotype" w:cs="Palatino Linotype"/>
          <w:sz w:val="22"/>
          <w:szCs w:val="22"/>
        </w:rPr>
        <w:t xml:space="preserve">erdo al artículo 179, fracción </w:t>
      </w:r>
      <w:r w:rsidR="00165889" w:rsidRPr="006A70FC">
        <w:rPr>
          <w:rFonts w:ascii="Palatino Linotype" w:eastAsia="Palatino Linotype" w:hAnsi="Palatino Linotype" w:cs="Palatino Linotype"/>
          <w:sz w:val="22"/>
          <w:szCs w:val="22"/>
        </w:rPr>
        <w:t>V</w:t>
      </w:r>
      <w:r w:rsidR="00AF72B6"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sz w:val="22"/>
          <w:szCs w:val="22"/>
        </w:rPr>
        <w:t>del ordenamiento legal citado, que a la letra dice: </w:t>
      </w:r>
    </w:p>
    <w:p w14:paraId="39AB3B04" w14:textId="77777777" w:rsidR="00562A90" w:rsidRPr="006A70FC" w:rsidRDefault="0062255D" w:rsidP="00AF51BA">
      <w:pPr>
        <w:tabs>
          <w:tab w:val="left" w:pos="7938"/>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Artículo 179.</w:t>
      </w:r>
      <w:r w:rsidRPr="006A70FC">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73273E38" w14:textId="7C94716D" w:rsidR="00E85564" w:rsidRPr="006A70FC" w:rsidRDefault="00E85564" w:rsidP="00AF51BA">
      <w:pPr>
        <w:tabs>
          <w:tab w:val="left" w:pos="7938"/>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217B120C" w14:textId="55A58086" w:rsidR="00562A90" w:rsidRPr="006A70FC" w:rsidRDefault="00165889" w:rsidP="00E85564">
      <w:pPr>
        <w:tabs>
          <w:tab w:val="left" w:pos="7938"/>
        </w:tabs>
        <w:spacing w:before="120" w:after="120"/>
        <w:ind w:left="851" w:right="900"/>
        <w:jc w:val="both"/>
        <w:rPr>
          <w:rFonts w:ascii="Palatino Linotype" w:eastAsia="Palatino Linotype" w:hAnsi="Palatino Linotype" w:cs="Palatino Linotype"/>
          <w:b/>
          <w:i/>
          <w:sz w:val="22"/>
          <w:szCs w:val="22"/>
        </w:rPr>
      </w:pPr>
      <w:r w:rsidRPr="006A70FC">
        <w:rPr>
          <w:rFonts w:ascii="Palatino Linotype" w:eastAsia="Palatino Linotype" w:hAnsi="Palatino Linotype" w:cs="Palatino Linotype"/>
          <w:b/>
          <w:i/>
          <w:sz w:val="22"/>
          <w:szCs w:val="22"/>
        </w:rPr>
        <w:t>V</w:t>
      </w:r>
      <w:r w:rsidR="00E5253C" w:rsidRPr="006A70FC">
        <w:rPr>
          <w:rFonts w:ascii="Palatino Linotype" w:eastAsia="Palatino Linotype" w:hAnsi="Palatino Linotype" w:cs="Palatino Linotype"/>
          <w:b/>
          <w:i/>
          <w:sz w:val="22"/>
          <w:szCs w:val="22"/>
        </w:rPr>
        <w:t>.</w:t>
      </w:r>
      <w:r w:rsidR="00E85564" w:rsidRPr="006A70FC">
        <w:rPr>
          <w:rFonts w:ascii="Palatino Linotype" w:eastAsia="Palatino Linotype" w:hAnsi="Palatino Linotype" w:cs="Palatino Linotype"/>
          <w:b/>
          <w:i/>
          <w:sz w:val="22"/>
          <w:szCs w:val="22"/>
        </w:rPr>
        <w:t xml:space="preserve"> La entrega de información incompleta;</w:t>
      </w:r>
      <w:r w:rsidR="0062255D" w:rsidRPr="006A70FC">
        <w:rPr>
          <w:rFonts w:ascii="Palatino Linotype" w:eastAsia="Palatino Linotype" w:hAnsi="Palatino Linotype" w:cs="Palatino Linotype"/>
          <w:i/>
          <w:sz w:val="22"/>
          <w:szCs w:val="22"/>
        </w:rPr>
        <w:t>”</w:t>
      </w:r>
    </w:p>
    <w:p w14:paraId="09700F89" w14:textId="77777777" w:rsidR="00562A90" w:rsidRPr="006A70FC" w:rsidRDefault="0062255D">
      <w:pPr>
        <w:spacing w:before="240" w:after="240" w:line="360" w:lineRule="auto"/>
        <w:jc w:val="both"/>
        <w:rPr>
          <w:rFonts w:ascii="Palatino Linotype" w:eastAsia="Palatino Linotype" w:hAnsi="Palatino Linotype" w:cs="Palatino Linotype"/>
          <w:b/>
          <w:sz w:val="22"/>
          <w:szCs w:val="22"/>
        </w:rPr>
      </w:pPr>
      <w:r w:rsidRPr="006A70FC">
        <w:rPr>
          <w:rFonts w:ascii="Palatino Linotype" w:eastAsia="Palatino Linotype" w:hAnsi="Palatino Linotype" w:cs="Palatino Linotype"/>
          <w:b/>
          <w:sz w:val="22"/>
          <w:szCs w:val="22"/>
        </w:rPr>
        <w:t xml:space="preserve">Tercero. Materia de la revisión. </w:t>
      </w:r>
      <w:r w:rsidRPr="006A70FC">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6A70FC">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6A70FC">
        <w:rPr>
          <w:rFonts w:ascii="Palatino Linotype" w:eastAsia="Palatino Linotype" w:hAnsi="Palatino Linotype" w:cs="Palatino Linotype"/>
          <w:sz w:val="22"/>
          <w:szCs w:val="22"/>
        </w:rPr>
        <w:t xml:space="preserve">de la parte </w:t>
      </w:r>
      <w:r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sz w:val="22"/>
          <w:szCs w:val="22"/>
        </w:rPr>
        <w:t>, o en su defecto, en caso de ser procedente, ordenar la entrega de información.</w:t>
      </w:r>
    </w:p>
    <w:p w14:paraId="2B109E96" w14:textId="77777777" w:rsidR="00562A90" w:rsidRPr="006A70FC" w:rsidRDefault="0062255D">
      <w:pPr>
        <w:spacing w:before="240" w:after="240" w:line="360" w:lineRule="auto"/>
        <w:jc w:val="both"/>
        <w:rPr>
          <w:rFonts w:ascii="Palatino Linotype" w:eastAsia="Palatino Linotype" w:hAnsi="Palatino Linotype" w:cs="Palatino Linotype"/>
          <w:sz w:val="22"/>
          <w:szCs w:val="22"/>
        </w:rPr>
      </w:pPr>
      <w:bookmarkStart w:id="9" w:name="_heading=h.2et92p0" w:colFirst="0" w:colLast="0"/>
      <w:bookmarkEnd w:id="9"/>
      <w:r w:rsidRPr="006A70FC">
        <w:rPr>
          <w:rFonts w:ascii="Palatino Linotype" w:eastAsia="Palatino Linotype" w:hAnsi="Palatino Linotype" w:cs="Palatino Linotype"/>
          <w:b/>
          <w:sz w:val="22"/>
          <w:szCs w:val="22"/>
        </w:rPr>
        <w:t xml:space="preserve">Cuarto. Estudio del asunto. </w:t>
      </w:r>
      <w:r w:rsidRPr="006A70FC">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7A0B397" w14:textId="77777777" w:rsidR="00562A90" w:rsidRPr="006A70FC" w:rsidRDefault="0062255D">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Artículo 4</w:t>
      </w:r>
      <w:r w:rsidRPr="006A70FC">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B166C31" w14:textId="77777777" w:rsidR="00562A90" w:rsidRPr="006A70FC" w:rsidRDefault="0062255D">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6A70FC">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6416075" w14:textId="77777777" w:rsidR="00562A90" w:rsidRPr="006A70FC" w:rsidRDefault="0062255D">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6A70FC">
        <w:rPr>
          <w:rFonts w:ascii="Palatino Linotype" w:eastAsia="Palatino Linotype" w:hAnsi="Palatino Linotype" w:cs="Palatino Linotype"/>
          <w:i/>
          <w:sz w:val="22"/>
          <w:szCs w:val="22"/>
        </w:rPr>
        <w:t>.”</w:t>
      </w:r>
    </w:p>
    <w:p w14:paraId="651E1502" w14:textId="77777777" w:rsidR="00562A90" w:rsidRPr="006A70FC" w:rsidRDefault="0062255D">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E18E9E2" w14:textId="77777777" w:rsidR="00562A90" w:rsidRPr="006A70FC" w:rsidRDefault="0062255D">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“Artículo 12.-</w:t>
      </w:r>
      <w:r w:rsidRPr="006A70FC">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2CD15C1E" w14:textId="77777777" w:rsidR="00562A90" w:rsidRPr="006A70FC" w:rsidRDefault="0062255D">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6A70FC">
        <w:rPr>
          <w:rFonts w:ascii="Palatino Linotype" w:eastAsia="Palatino Linotype" w:hAnsi="Palatino Linotype" w:cs="Palatino Linotype"/>
          <w:i/>
          <w:sz w:val="22"/>
          <w:szCs w:val="22"/>
        </w:rPr>
        <w:t xml:space="preserve">. </w:t>
      </w:r>
      <w:r w:rsidRPr="006A70FC">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76C7BCA4" w14:textId="77777777" w:rsidR="00562A90" w:rsidRPr="006A70FC" w:rsidRDefault="0062255D">
      <w:pPr>
        <w:spacing w:before="240" w:after="240" w:line="360" w:lineRule="auto"/>
        <w:ind w:right="-93"/>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679CE64C" w14:textId="77777777" w:rsidR="00562A90" w:rsidRPr="006A70FC" w:rsidRDefault="0062255D">
      <w:pPr>
        <w:spacing w:before="240" w:after="240" w:line="360" w:lineRule="auto"/>
        <w:jc w:val="both"/>
        <w:rPr>
          <w:rFonts w:ascii="Palatino Linotype" w:eastAsia="Palatino Linotype" w:hAnsi="Palatino Linotype" w:cs="Palatino Linotype"/>
          <w:b/>
          <w:sz w:val="22"/>
          <w:szCs w:val="22"/>
        </w:rPr>
      </w:pPr>
      <w:r w:rsidRPr="006A70FC">
        <w:rPr>
          <w:rFonts w:ascii="Palatino Linotype" w:eastAsia="Palatino Linotype" w:hAnsi="Palatino Linotype" w:cs="Palatino Linotype"/>
          <w:sz w:val="22"/>
          <w:szCs w:val="22"/>
        </w:rPr>
        <w:t xml:space="preserve">Sirve de apoyo a lo anterior, el criterio orientador con clave de control SO/003/2017, emitido por el entonces Instituto Nacional de Transparencia, Acceso a la Información y Protección de Datos Personales, </w:t>
      </w:r>
      <w:proofErr w:type="gramStart"/>
      <w:r w:rsidRPr="006A70FC">
        <w:rPr>
          <w:rFonts w:ascii="Palatino Linotype" w:eastAsia="Palatino Linotype" w:hAnsi="Palatino Linotype" w:cs="Palatino Linotype"/>
          <w:sz w:val="22"/>
          <w:szCs w:val="22"/>
        </w:rPr>
        <w:t>que</w:t>
      </w:r>
      <w:proofErr w:type="gramEnd"/>
      <w:r w:rsidRPr="006A70FC">
        <w:rPr>
          <w:rFonts w:ascii="Palatino Linotype" w:eastAsia="Palatino Linotype" w:hAnsi="Palatino Linotype" w:cs="Palatino Linotype"/>
          <w:sz w:val="22"/>
          <w:szCs w:val="22"/>
        </w:rPr>
        <w:t xml:space="preserve"> por rubro y texto, dispone lo siguiente:</w:t>
      </w:r>
      <w:r w:rsidRPr="006A70FC">
        <w:rPr>
          <w:rFonts w:ascii="Palatino Linotype" w:eastAsia="Palatino Linotype" w:hAnsi="Palatino Linotype" w:cs="Palatino Linotype"/>
          <w:b/>
          <w:sz w:val="22"/>
          <w:szCs w:val="22"/>
        </w:rPr>
        <w:t xml:space="preserve"> </w:t>
      </w:r>
    </w:p>
    <w:p w14:paraId="093BE23B" w14:textId="77777777" w:rsidR="00562A90" w:rsidRPr="006A70FC" w:rsidRDefault="0062255D">
      <w:pPr>
        <w:spacing w:before="120" w:after="120"/>
        <w:ind w:left="1134"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 “</w:t>
      </w:r>
      <w:r w:rsidRPr="006A70FC">
        <w:rPr>
          <w:rFonts w:ascii="Palatino Linotype" w:eastAsia="Palatino Linotype" w:hAnsi="Palatino Linotype" w:cs="Palatino Linotype"/>
          <w:b/>
          <w:i/>
          <w:sz w:val="22"/>
          <w:szCs w:val="22"/>
        </w:rPr>
        <w:t>No existe obligación de elaborar documentos ad hoc para atender las solicitudes de acceso a la información.</w:t>
      </w:r>
      <w:r w:rsidRPr="006A70FC">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962A522" w14:textId="77777777" w:rsidR="00562A90" w:rsidRPr="006A70FC" w:rsidRDefault="0062255D">
      <w:pPr>
        <w:spacing w:before="120" w:after="12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865EFEE" w14:textId="77777777" w:rsidR="00562A90" w:rsidRPr="006A70FC" w:rsidRDefault="0062255D">
      <w:pPr>
        <w:spacing w:before="120" w:after="12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39B24A7D" w14:textId="77777777" w:rsidR="00562A90" w:rsidRPr="006A70FC"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 xml:space="preserve">Artículo 3. </w:t>
      </w:r>
      <w:r w:rsidRPr="006A70FC">
        <w:rPr>
          <w:rFonts w:ascii="Palatino Linotype" w:eastAsia="Palatino Linotype" w:hAnsi="Palatino Linotype" w:cs="Palatino Linotype"/>
          <w:i/>
          <w:sz w:val="22"/>
          <w:szCs w:val="22"/>
        </w:rPr>
        <w:t>Para los efectos de la presente Ley se entenderá por:</w:t>
      </w:r>
    </w:p>
    <w:p w14:paraId="07E06CC3" w14:textId="77777777" w:rsidR="00562A90" w:rsidRPr="006A70FC"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47B93607" w14:textId="77777777" w:rsidR="00562A90" w:rsidRPr="006A70FC"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XI. Documento:</w:t>
      </w:r>
      <w:r w:rsidRPr="006A70FC">
        <w:rPr>
          <w:rFonts w:ascii="Palatino Linotype" w:eastAsia="Palatino Linotype" w:hAnsi="Palatino Linotype" w:cs="Palatino Linotype"/>
          <w:i/>
          <w:sz w:val="22"/>
          <w:szCs w:val="22"/>
        </w:rPr>
        <w:t xml:space="preserve"> Los expedientes, reportes, estudios, actas</w:t>
      </w:r>
      <w:r w:rsidRPr="006A70FC">
        <w:rPr>
          <w:rFonts w:ascii="Palatino Linotype" w:eastAsia="Palatino Linotype" w:hAnsi="Palatino Linotype" w:cs="Palatino Linotype"/>
          <w:b/>
          <w:i/>
          <w:sz w:val="22"/>
          <w:szCs w:val="22"/>
        </w:rPr>
        <w:t>,</w:t>
      </w:r>
      <w:r w:rsidRPr="006A70FC">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275A856F" w14:textId="77777777" w:rsidR="00562A90" w:rsidRPr="006A70FC" w:rsidRDefault="0062255D">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6BDB376" w14:textId="77777777" w:rsidR="00562A90" w:rsidRPr="006A70FC" w:rsidRDefault="0062255D" w:rsidP="00AF72B6">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sz w:val="22"/>
          <w:szCs w:val="22"/>
        </w:rPr>
        <w:t>“</w:t>
      </w:r>
      <w:r w:rsidRPr="006A70FC">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6A70FC">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69AA24A" w14:textId="77777777" w:rsidR="00562A90" w:rsidRPr="006A70FC" w:rsidRDefault="0062255D" w:rsidP="00AF72B6">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En </w:t>
      </w:r>
      <w:proofErr w:type="gramStart"/>
      <w:r w:rsidRPr="006A70FC">
        <w:rPr>
          <w:rFonts w:ascii="Palatino Linotype" w:eastAsia="Palatino Linotype" w:hAnsi="Palatino Linotype" w:cs="Palatino Linotype"/>
          <w:i/>
          <w:sz w:val="22"/>
          <w:szCs w:val="22"/>
        </w:rPr>
        <w:t>consecuencia</w:t>
      </w:r>
      <w:proofErr w:type="gramEnd"/>
      <w:r w:rsidRPr="006A70FC">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3550C45B" w14:textId="77777777" w:rsidR="00562A90" w:rsidRPr="006A70FC" w:rsidRDefault="0062255D" w:rsidP="00AF72B6">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1) Que se trate de información registrada en cualquier soporte documental, </w:t>
      </w:r>
      <w:proofErr w:type="gramStart"/>
      <w:r w:rsidRPr="006A70FC">
        <w:rPr>
          <w:rFonts w:ascii="Palatino Linotype" w:eastAsia="Palatino Linotype" w:hAnsi="Palatino Linotype" w:cs="Palatino Linotype"/>
          <w:i/>
          <w:sz w:val="22"/>
          <w:szCs w:val="22"/>
        </w:rPr>
        <w:t>que</w:t>
      </w:r>
      <w:proofErr w:type="gramEnd"/>
      <w:r w:rsidRPr="006A70FC">
        <w:rPr>
          <w:rFonts w:ascii="Palatino Linotype" w:eastAsia="Palatino Linotype" w:hAnsi="Palatino Linotype" w:cs="Palatino Linotype"/>
          <w:i/>
          <w:sz w:val="22"/>
          <w:szCs w:val="22"/>
        </w:rPr>
        <w:t xml:space="preserve"> en ejercicio de las atribuciones conferidas, sea generada por los Sujetos Obligados;</w:t>
      </w:r>
    </w:p>
    <w:p w14:paraId="768997DE" w14:textId="77777777" w:rsidR="00562A90" w:rsidRPr="006A70FC" w:rsidRDefault="0062255D" w:rsidP="00AF72B6">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2) Que se trate de información registrada en cualquier soporte documental, </w:t>
      </w:r>
      <w:proofErr w:type="gramStart"/>
      <w:r w:rsidRPr="006A70FC">
        <w:rPr>
          <w:rFonts w:ascii="Palatino Linotype" w:eastAsia="Palatino Linotype" w:hAnsi="Palatino Linotype" w:cs="Palatino Linotype"/>
          <w:i/>
          <w:sz w:val="22"/>
          <w:szCs w:val="22"/>
        </w:rPr>
        <w:t>que</w:t>
      </w:r>
      <w:proofErr w:type="gramEnd"/>
      <w:r w:rsidRPr="006A70FC">
        <w:rPr>
          <w:rFonts w:ascii="Palatino Linotype" w:eastAsia="Palatino Linotype" w:hAnsi="Palatino Linotype" w:cs="Palatino Linotype"/>
          <w:i/>
          <w:sz w:val="22"/>
          <w:szCs w:val="22"/>
        </w:rPr>
        <w:t xml:space="preserve"> en ejercicio de las atribuciones conferidas, sea administrada por los Sujetos Obligados, y</w:t>
      </w:r>
    </w:p>
    <w:p w14:paraId="1794246D" w14:textId="77777777" w:rsidR="00562A90" w:rsidRPr="006A70FC" w:rsidRDefault="0062255D" w:rsidP="00AF72B6">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3) Que se trate de información registrada en cualquier soporte documental, </w:t>
      </w:r>
      <w:proofErr w:type="gramStart"/>
      <w:r w:rsidRPr="006A70FC">
        <w:rPr>
          <w:rFonts w:ascii="Palatino Linotype" w:eastAsia="Palatino Linotype" w:hAnsi="Palatino Linotype" w:cs="Palatino Linotype"/>
          <w:i/>
          <w:sz w:val="22"/>
          <w:szCs w:val="22"/>
        </w:rPr>
        <w:t>que</w:t>
      </w:r>
      <w:proofErr w:type="gramEnd"/>
      <w:r w:rsidRPr="006A70FC">
        <w:rPr>
          <w:rFonts w:ascii="Palatino Linotype" w:eastAsia="Palatino Linotype" w:hAnsi="Palatino Linotype" w:cs="Palatino Linotype"/>
          <w:i/>
          <w:sz w:val="22"/>
          <w:szCs w:val="22"/>
        </w:rPr>
        <w:t xml:space="preserve"> en ejercicio de las atribuciones conferidas, se encuentre en posesión de los Sujetos Obligados.”</w:t>
      </w:r>
    </w:p>
    <w:p w14:paraId="294617FB" w14:textId="77777777" w:rsidR="00562A90" w:rsidRPr="006A70FC" w:rsidRDefault="0062255D">
      <w:pPr>
        <w:spacing w:before="240" w:after="240" w:line="360" w:lineRule="auto"/>
        <w:ind w:right="51"/>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112BC5F" w14:textId="6AED6107" w:rsidR="00562A90" w:rsidRPr="006A70FC" w:rsidRDefault="0062255D">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En el mismo tenor, los artículos 6, apartado A, fracción I, de la Constitución Política de los Estados Unidos Mexicanos y 5,</w:t>
      </w:r>
      <w:r w:rsidR="00CB6CDB" w:rsidRPr="006A70FC">
        <w:rPr>
          <w:rFonts w:ascii="Palatino Linotype" w:eastAsia="Palatino Linotype" w:hAnsi="Palatino Linotype" w:cs="Palatino Linotype"/>
          <w:sz w:val="22"/>
          <w:szCs w:val="22"/>
        </w:rPr>
        <w:t xml:space="preserve"> párrafo cuadragésimo sexto,</w:t>
      </w:r>
      <w:r w:rsidRPr="006A70FC">
        <w:rPr>
          <w:rFonts w:ascii="Palatino Linotype" w:eastAsia="Palatino Linotype" w:hAnsi="Palatino Linotype" w:cs="Palatino Linotype"/>
          <w:sz w:val="22"/>
          <w:szCs w:val="22"/>
        </w:rPr>
        <w:t xml:space="preserve">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617A46AE" w14:textId="3DC4E4C8" w:rsidR="00AD5911" w:rsidRPr="006A70FC" w:rsidRDefault="0062255D" w:rsidP="00FE39F9">
      <w:pPr>
        <w:spacing w:before="240" w:after="240" w:line="360" w:lineRule="auto"/>
        <w:ind w:right="51"/>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sz w:val="22"/>
          <w:szCs w:val="22"/>
        </w:rPr>
        <w:t xml:space="preserve"> requirió al </w:t>
      </w:r>
      <w:r w:rsidRPr="006A70FC">
        <w:rPr>
          <w:rFonts w:ascii="Palatino Linotype" w:eastAsia="Palatino Linotype" w:hAnsi="Palatino Linotype" w:cs="Palatino Linotype"/>
          <w:b/>
          <w:sz w:val="22"/>
          <w:szCs w:val="22"/>
        </w:rPr>
        <w:t xml:space="preserve">Sujeto Obligado </w:t>
      </w:r>
      <w:r w:rsidRPr="006A70FC">
        <w:rPr>
          <w:rFonts w:ascii="Palatino Linotype" w:eastAsia="Palatino Linotype" w:hAnsi="Palatino Linotype" w:cs="Palatino Linotype"/>
          <w:sz w:val="22"/>
          <w:szCs w:val="22"/>
        </w:rPr>
        <w:t>le proporcione, información consistente en lo siguiente:</w:t>
      </w:r>
    </w:p>
    <w:p w14:paraId="7B18DFE4" w14:textId="0DA47329" w:rsidR="00AD5911" w:rsidRPr="006A70FC" w:rsidRDefault="008E3CA7" w:rsidP="00AB6B90">
      <w:pPr>
        <w:pStyle w:val="Prrafodelista"/>
        <w:numPr>
          <w:ilvl w:val="0"/>
          <w:numId w:val="15"/>
        </w:numPr>
        <w:spacing w:before="240" w:after="240" w:line="360" w:lineRule="auto"/>
        <w:ind w:left="284" w:right="51" w:firstLine="0"/>
        <w:contextualSpacing w:val="0"/>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L</w:t>
      </w:r>
      <w:r w:rsidR="00AD5911" w:rsidRPr="006A70FC">
        <w:rPr>
          <w:rFonts w:ascii="Palatino Linotype" w:eastAsia="Palatino Linotype" w:hAnsi="Palatino Linotype" w:cs="Palatino Linotype"/>
          <w:sz w:val="22"/>
          <w:szCs w:val="22"/>
        </w:rPr>
        <w:t>istado de beneficiarios efectivamente atendidos derivado de los programas sociales “Desarrollo Indígena con Bienestar” y “Bienestar Cultural Indígena” del ejercicio 2024, incluyendo monto recibido y fecha.</w:t>
      </w:r>
    </w:p>
    <w:p w14:paraId="15E01837" w14:textId="27FC32CF" w:rsidR="006241C9" w:rsidRPr="006A70FC" w:rsidRDefault="006241C9" w:rsidP="006241C9">
      <w:pPr>
        <w:tabs>
          <w:tab w:val="left" w:pos="709"/>
        </w:tabs>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respuesta, el </w:t>
      </w:r>
      <w:r w:rsidRPr="006A70FC">
        <w:rPr>
          <w:rFonts w:ascii="Palatino Linotype" w:eastAsia="Palatino Linotype" w:hAnsi="Palatino Linotype" w:cs="Palatino Linotype"/>
          <w:b/>
          <w:bCs/>
          <w:sz w:val="22"/>
          <w:szCs w:val="22"/>
        </w:rPr>
        <w:t xml:space="preserve">Sujeto Obligado, </w:t>
      </w:r>
      <w:r w:rsidRPr="006A70FC">
        <w:rPr>
          <w:rFonts w:ascii="Palatino Linotype" w:eastAsia="Palatino Linotype" w:hAnsi="Palatino Linotype" w:cs="Palatino Linotype"/>
          <w:sz w:val="22"/>
          <w:szCs w:val="22"/>
        </w:rPr>
        <w:t>por conducto de la Subdirección de Desarrollo Cultural Indígena y Subdirección Operativa, hizo entrega del listado de beneficiarios efectivamente atendidos, con monto recibido, fecha de los programa</w:t>
      </w:r>
      <w:r w:rsidR="009158A3" w:rsidRPr="006A70FC">
        <w:rPr>
          <w:rFonts w:ascii="Palatino Linotype" w:eastAsia="Palatino Linotype" w:hAnsi="Palatino Linotype" w:cs="Palatino Linotype"/>
          <w:sz w:val="22"/>
          <w:szCs w:val="22"/>
        </w:rPr>
        <w:t xml:space="preserve">s </w:t>
      </w:r>
      <w:r w:rsidRPr="006A70FC">
        <w:rPr>
          <w:rFonts w:ascii="Palatino Linotype" w:eastAsia="Palatino Linotype" w:hAnsi="Palatino Linotype" w:cs="Palatino Linotype"/>
          <w:sz w:val="22"/>
          <w:szCs w:val="22"/>
        </w:rPr>
        <w:t>de desarrollo social "Desarrollo Indígena con Bienestar" y "Bienestar Cultural Indígena" del ejercicio 2024, en donde se advierte el nombre del beneficiario y monto, como a continuación se ilustra para mejor referencia:</w:t>
      </w:r>
    </w:p>
    <w:p w14:paraId="5BFBB468" w14:textId="7DCC86EF" w:rsidR="004D6A6F" w:rsidRPr="006A70FC" w:rsidRDefault="004D6A6F" w:rsidP="004D6A6F">
      <w:pPr>
        <w:tabs>
          <w:tab w:val="left" w:pos="709"/>
        </w:tabs>
        <w:spacing w:before="240" w:after="240" w:line="360" w:lineRule="auto"/>
        <w:jc w:val="center"/>
        <w:rPr>
          <w:rFonts w:ascii="Palatino Linotype" w:eastAsia="Palatino Linotype" w:hAnsi="Palatino Linotype" w:cs="Palatino Linotype"/>
          <w:sz w:val="22"/>
          <w:szCs w:val="22"/>
        </w:rPr>
      </w:pPr>
      <w:r w:rsidRPr="006A70FC">
        <w:rPr>
          <w:rFonts w:ascii="Palatino Linotype" w:hAnsi="Palatino Linotype"/>
          <w:noProof/>
          <w:sz w:val="22"/>
          <w:szCs w:val="22"/>
        </w:rPr>
        <w:drawing>
          <wp:inline distT="0" distB="0" distL="0" distR="0" wp14:anchorId="6DDA2DB0" wp14:editId="28E3452C">
            <wp:extent cx="4860000" cy="1896049"/>
            <wp:effectExtent l="0" t="0" r="0" b="9525"/>
            <wp:docPr id="1713427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2756" name=""/>
                    <pic:cNvPicPr/>
                  </pic:nvPicPr>
                  <pic:blipFill>
                    <a:blip r:embed="rId9"/>
                    <a:stretch>
                      <a:fillRect/>
                    </a:stretch>
                  </pic:blipFill>
                  <pic:spPr>
                    <a:xfrm>
                      <a:off x="0" y="0"/>
                      <a:ext cx="4860000" cy="1896049"/>
                    </a:xfrm>
                    <a:prstGeom prst="rect">
                      <a:avLst/>
                    </a:prstGeom>
                  </pic:spPr>
                </pic:pic>
              </a:graphicData>
            </a:graphic>
          </wp:inline>
        </w:drawing>
      </w:r>
      <w:r w:rsidRPr="006A70FC">
        <w:rPr>
          <w:rFonts w:ascii="Palatino Linotype" w:hAnsi="Palatino Linotype"/>
          <w:noProof/>
          <w:sz w:val="22"/>
          <w:szCs w:val="22"/>
        </w:rPr>
        <w:drawing>
          <wp:inline distT="0" distB="0" distL="0" distR="0" wp14:anchorId="06673025" wp14:editId="53DDC49C">
            <wp:extent cx="4860000" cy="2110823"/>
            <wp:effectExtent l="0" t="0" r="0" b="3810"/>
            <wp:docPr id="268151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51712" name=""/>
                    <pic:cNvPicPr/>
                  </pic:nvPicPr>
                  <pic:blipFill>
                    <a:blip r:embed="rId10"/>
                    <a:stretch>
                      <a:fillRect/>
                    </a:stretch>
                  </pic:blipFill>
                  <pic:spPr>
                    <a:xfrm>
                      <a:off x="0" y="0"/>
                      <a:ext cx="4860000" cy="2110823"/>
                    </a:xfrm>
                    <a:prstGeom prst="rect">
                      <a:avLst/>
                    </a:prstGeom>
                  </pic:spPr>
                </pic:pic>
              </a:graphicData>
            </a:graphic>
          </wp:inline>
        </w:drawing>
      </w:r>
    </w:p>
    <w:p w14:paraId="4DCA1E2A" w14:textId="6D69CC4C" w:rsidR="00273853" w:rsidRPr="006A70FC" w:rsidRDefault="00273853" w:rsidP="00273853">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Sin embargo, la parte </w:t>
      </w:r>
      <w:r w:rsidRPr="006A70FC">
        <w:rPr>
          <w:rFonts w:ascii="Palatino Linotype" w:eastAsia="Palatino Linotype" w:hAnsi="Palatino Linotype" w:cs="Palatino Linotype"/>
          <w:b/>
          <w:bCs/>
          <w:sz w:val="22"/>
          <w:szCs w:val="22"/>
        </w:rPr>
        <w:t xml:space="preserve">Recurrente </w:t>
      </w:r>
      <w:r w:rsidRPr="006A70FC">
        <w:rPr>
          <w:rFonts w:ascii="Palatino Linotype" w:eastAsia="Palatino Linotype" w:hAnsi="Palatino Linotype" w:cs="Palatino Linotype"/>
          <w:sz w:val="22"/>
          <w:szCs w:val="22"/>
        </w:rPr>
        <w:t xml:space="preserve">interpuso el recurso de revisión que nos ocupa, en el que señaló como motivo de inconformidad que </w:t>
      </w:r>
      <w:r w:rsidR="002E2779" w:rsidRPr="006A70FC">
        <w:rPr>
          <w:rFonts w:ascii="Palatino Linotype" w:eastAsia="Palatino Linotype" w:hAnsi="Palatino Linotype" w:cs="Palatino Linotype"/>
          <w:sz w:val="22"/>
          <w:szCs w:val="22"/>
        </w:rPr>
        <w:t xml:space="preserve">el </w:t>
      </w:r>
      <w:r w:rsidR="002E2779" w:rsidRPr="006A70FC">
        <w:rPr>
          <w:rFonts w:ascii="Palatino Linotype" w:eastAsia="Palatino Linotype" w:hAnsi="Palatino Linotype" w:cs="Palatino Linotype"/>
          <w:b/>
          <w:bCs/>
          <w:sz w:val="22"/>
          <w:szCs w:val="22"/>
        </w:rPr>
        <w:t xml:space="preserve">Sujeto Obligado </w:t>
      </w:r>
      <w:r w:rsidR="002E2779" w:rsidRPr="006A70FC">
        <w:rPr>
          <w:rFonts w:ascii="Palatino Linotype" w:eastAsia="Palatino Linotype" w:hAnsi="Palatino Linotype" w:cs="Palatino Linotype"/>
          <w:sz w:val="22"/>
          <w:szCs w:val="22"/>
        </w:rPr>
        <w:t xml:space="preserve">omitió incluir las fechas de entrega o recepción del apoyo, </w:t>
      </w:r>
      <w:r w:rsidR="00BF3965" w:rsidRPr="006A70FC">
        <w:rPr>
          <w:rFonts w:ascii="Palatino Linotype" w:eastAsia="Palatino Linotype" w:hAnsi="Palatino Linotype" w:cs="Palatino Linotype"/>
          <w:sz w:val="22"/>
          <w:szCs w:val="22"/>
        </w:rPr>
        <w:t xml:space="preserve">información que fue parte esencial del requerimiento, ya que a su parecer la omisión de dicho dato impide verificar la temporalidad y cumplimiento del programa social, sin embargo, no se acreditó que se haya consultado la documentación relacionada con la operación, la dispersión y la comprobación de recursos de </w:t>
      </w:r>
      <w:r w:rsidR="00C53F55" w:rsidRPr="006A70FC">
        <w:rPr>
          <w:rFonts w:ascii="Palatino Linotype" w:eastAsia="Palatino Linotype" w:hAnsi="Palatino Linotype" w:cs="Palatino Linotype"/>
          <w:sz w:val="22"/>
          <w:szCs w:val="22"/>
        </w:rPr>
        <w:t xml:space="preserve">ambos programa, ni que se haya solicitado información complementaria a las áreas responsables, así como tampoco emitió el acta de inexistencia en donde se manifieste la razón documental de la ausencia o la causa de la omisión de </w:t>
      </w:r>
      <w:r w:rsidR="004E560F" w:rsidRPr="006A70FC">
        <w:rPr>
          <w:rFonts w:ascii="Palatino Linotype" w:eastAsia="Palatino Linotype" w:hAnsi="Palatino Linotype" w:cs="Palatino Linotype"/>
          <w:sz w:val="22"/>
          <w:szCs w:val="22"/>
        </w:rPr>
        <w:t>l</w:t>
      </w:r>
      <w:r w:rsidR="00C53F55" w:rsidRPr="006A70FC">
        <w:rPr>
          <w:rFonts w:ascii="Palatino Linotype" w:eastAsia="Palatino Linotype" w:hAnsi="Palatino Linotype" w:cs="Palatino Linotype"/>
          <w:sz w:val="22"/>
          <w:szCs w:val="22"/>
        </w:rPr>
        <w:t>as fechas.</w:t>
      </w:r>
    </w:p>
    <w:p w14:paraId="057484F1" w14:textId="6AE3AA16" w:rsidR="00400CC7" w:rsidRPr="006A70FC" w:rsidRDefault="00400CC7" w:rsidP="00400CC7">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este sentido, no pasa inadvertido para este Organismo Garante que los motivos de inconformidad aducidos, no versan sobre la totalidad de la información proporcionada por el </w:t>
      </w:r>
      <w:r w:rsidRPr="006A70FC">
        <w:rPr>
          <w:rFonts w:ascii="Palatino Linotype" w:eastAsia="Palatino Linotype" w:hAnsi="Palatino Linotype" w:cs="Palatino Linotype"/>
          <w:b/>
          <w:sz w:val="22"/>
          <w:szCs w:val="22"/>
        </w:rPr>
        <w:t xml:space="preserve">Sujeto Obligado, </w:t>
      </w:r>
      <w:r w:rsidRPr="006A70FC">
        <w:rPr>
          <w:rFonts w:ascii="Palatino Linotype" w:eastAsia="Palatino Linotype" w:hAnsi="Palatino Linotype" w:cs="Palatino Linotype"/>
          <w:sz w:val="22"/>
          <w:szCs w:val="22"/>
        </w:rPr>
        <w:t xml:space="preserve">pues la parte </w:t>
      </w:r>
      <w:r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sz w:val="22"/>
          <w:szCs w:val="22"/>
        </w:rPr>
        <w:t xml:space="preserve"> manifestó, de manera expresa, que no se le proporcionaron las fechas de entrega o recepción de los apoyos.</w:t>
      </w:r>
    </w:p>
    <w:p w14:paraId="41E1EDA8" w14:textId="77777777" w:rsidR="00400CC7" w:rsidRPr="006A70FC" w:rsidRDefault="00400CC7" w:rsidP="00400CC7">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este orden de ideas, la parte de la respuesta que no fue impugnada debe declararse consentida, toda vez que, al no haber realizado manifestaciones de inconformidad al respecto, no pueden producirse efectos jurídicos tendentes a revocar, confirmar o modificar el acto reclamado, ya que, en el caso concreto se infiere que la información proporcionada por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satisface la solicitud presentada, respecto de los requerimientos que no fueron combatidos.</w:t>
      </w:r>
    </w:p>
    <w:p w14:paraId="13672E56" w14:textId="77777777" w:rsidR="00400CC7" w:rsidRPr="006A70FC" w:rsidRDefault="00400CC7" w:rsidP="00400CC7">
      <w:pPr>
        <w:spacing w:before="240" w:after="36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Lo anterior es así, debido a que cuando la parte </w:t>
      </w:r>
      <w:r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sz w:val="22"/>
          <w:szCs w:val="22"/>
        </w:rPr>
        <w:t xml:space="preserve"> impugna la respuesta del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y éste no expresa Razón o Motivo de Inconformidad en contra de todos los rubros solicitados, dichos rubros deben declararse atendidos, pues se entiende que la parte Recurrente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786946B8" w14:textId="77777777" w:rsidR="00400CC7" w:rsidRPr="006A70FC" w:rsidRDefault="00400CC7" w:rsidP="00400CC7">
      <w:pPr>
        <w:spacing w:before="240" w:after="36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 xml:space="preserve">“REVISIÓN EN AMPARO. LOS RESOLUTIVOS NO COMBATIDOS DEBEN DECLARARSE FIRMES. </w:t>
      </w:r>
      <w:r w:rsidRPr="006A70FC">
        <w:rPr>
          <w:rFonts w:ascii="Palatino Linotype" w:eastAsia="Palatino Linotype" w:hAnsi="Palatino Linotype" w:cs="Palatino Linotype"/>
          <w:i/>
          <w:sz w:val="22"/>
          <w:szCs w:val="22"/>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79CB0ADC" w14:textId="77777777" w:rsidR="00400CC7" w:rsidRPr="006A70FC" w:rsidRDefault="00400CC7" w:rsidP="00400CC7">
      <w:pPr>
        <w:spacing w:before="240" w:after="240" w:line="360" w:lineRule="auto"/>
        <w:jc w:val="both"/>
        <w:rPr>
          <w:rFonts w:ascii="Palatino Linotype" w:eastAsia="Palatino Linotype" w:hAnsi="Palatino Linotype" w:cs="Palatino Linotype"/>
          <w:sz w:val="22"/>
          <w:szCs w:val="22"/>
        </w:rPr>
      </w:pPr>
      <w:bookmarkStart w:id="10" w:name="_Hlk96451588"/>
      <w:r w:rsidRPr="006A70FC">
        <w:rPr>
          <w:rFonts w:ascii="Palatino Linotype" w:eastAsia="Palatino Linotype" w:hAnsi="Palatino Linotype" w:cs="Palatino Linotype"/>
          <w:sz w:val="22"/>
          <w:szCs w:val="22"/>
        </w:rPr>
        <w:t>Consecuentemente, se insiste, ante la falta de impugnación eficaz, la respuesta entregada debe declararse consentida por persona solicitante.</w:t>
      </w:r>
    </w:p>
    <w:bookmarkEnd w:id="10"/>
    <w:p w14:paraId="7D6C8A3C" w14:textId="77777777" w:rsidR="00400CC7" w:rsidRPr="006A70FC" w:rsidRDefault="00400CC7" w:rsidP="00400CC7">
      <w:pPr>
        <w:spacing w:before="240" w:after="240" w:line="360" w:lineRule="auto"/>
        <w:jc w:val="both"/>
        <w:rPr>
          <w:rFonts w:ascii="Palatino Linotype" w:hAnsi="Palatino Linotype"/>
          <w:sz w:val="22"/>
          <w:szCs w:val="22"/>
        </w:rPr>
      </w:pPr>
      <w:r w:rsidRPr="006A70FC">
        <w:rPr>
          <w:rFonts w:ascii="Palatino Linotype" w:hAnsi="Palatino Linotype" w:cs="Arial"/>
          <w:sz w:val="22"/>
          <w:szCs w:val="22"/>
        </w:rPr>
        <w:t>Sirve de sustento lo plasmado en el Criterio de interpretación con clave de control</w:t>
      </w:r>
      <w:r w:rsidRPr="006A70FC">
        <w:rPr>
          <w:rFonts w:ascii="Palatino Linotype" w:hAnsi="Palatino Linotype"/>
          <w:sz w:val="22"/>
          <w:szCs w:val="22"/>
        </w:rPr>
        <w:t xml:space="preserve"> SO/001/2020, emitido por el Pleno del Instituto Nacional de Transparencia, Acceso a la Información, y Protección de Datos Personales, INAI, que lleva por rubro y texto, lo siguiente: </w:t>
      </w:r>
    </w:p>
    <w:p w14:paraId="48002ACA" w14:textId="77777777" w:rsidR="00400CC7" w:rsidRPr="006A70FC" w:rsidRDefault="00400CC7" w:rsidP="00400CC7">
      <w:pPr>
        <w:pStyle w:val="Sinespaciado"/>
        <w:spacing w:before="120" w:after="120"/>
        <w:ind w:left="851" w:right="902"/>
        <w:jc w:val="both"/>
        <w:rPr>
          <w:rFonts w:ascii="Palatino Linotype" w:hAnsi="Palatino Linotype"/>
          <w:i/>
          <w:iCs/>
        </w:rPr>
      </w:pPr>
      <w:r w:rsidRPr="006A70FC">
        <w:rPr>
          <w:rFonts w:ascii="Palatino Linotype" w:hAnsi="Palatino Linotype"/>
          <w:i/>
          <w:iCs/>
        </w:rPr>
        <w:t>“</w:t>
      </w:r>
      <w:r w:rsidRPr="006A70FC">
        <w:rPr>
          <w:rFonts w:ascii="Palatino Linotype" w:hAnsi="Palatino Linotype" w:cs="Arial"/>
          <w:b/>
          <w:i/>
          <w:iCs/>
        </w:rPr>
        <w:t xml:space="preserve">Actos consentidos tácitamente. Improcedencia de su análisis. </w:t>
      </w:r>
      <w:r w:rsidRPr="006A70FC">
        <w:rPr>
          <w:rFonts w:ascii="Palatino Linotype" w:hAnsi="Palatino Linotype" w:cs="Arial"/>
          <w:i/>
          <w:iCs/>
        </w:rPr>
        <w:t>Si en su recurso de revisión, la persona recurrente no expresó inconformidad alguna con ciertas partes de la respuesta otorgada, se entienden tácitamente consentidas, por ende, no deben formar parte del estudio de fondo de la resolución que emite el Instituto.</w:t>
      </w:r>
      <w:r w:rsidRPr="006A70FC">
        <w:rPr>
          <w:rFonts w:ascii="Palatino Linotype" w:hAnsi="Palatino Linotype"/>
          <w:i/>
          <w:iCs/>
        </w:rPr>
        <w:t>”</w:t>
      </w:r>
    </w:p>
    <w:p w14:paraId="49765F20" w14:textId="77777777" w:rsidR="00400CC7" w:rsidRPr="006A70FC" w:rsidRDefault="00400CC7" w:rsidP="00400CC7">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Asimismo, resulta aplicable por analogía la tesis jurisprudencial número VI.3o.C. J/60, publicada en el Semanario Judicial de la Federación y su Gaceta bajo el número de registro 176,608 que a la letra dice:</w:t>
      </w:r>
    </w:p>
    <w:p w14:paraId="5D2C1D00" w14:textId="77777777" w:rsidR="00400CC7" w:rsidRPr="006A70FC" w:rsidRDefault="00400CC7" w:rsidP="00400CC7">
      <w:pPr>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mallCaps/>
          <w:sz w:val="22"/>
          <w:szCs w:val="22"/>
        </w:rPr>
        <w:t xml:space="preserve">“ACTOS CONSENTIDOS. SON LOS QUE NO SE IMPUGNAN MEDIANTE EL RECURSO IDÓNEO. </w:t>
      </w:r>
      <w:r w:rsidRPr="006A70FC">
        <w:rPr>
          <w:rFonts w:ascii="Palatino Linotype" w:eastAsia="Palatino Linotype" w:hAnsi="Palatino Linotype" w:cs="Palatino Linotype"/>
          <w:i/>
          <w:sz w:val="22"/>
          <w:szCs w:val="22"/>
        </w:rPr>
        <w:t xml:space="preserve">Debe reputarse como consentido el acto que no se impugnó por el medio establecido por la ley, </w:t>
      </w:r>
      <w:proofErr w:type="gramStart"/>
      <w:r w:rsidRPr="006A70FC">
        <w:rPr>
          <w:rFonts w:ascii="Palatino Linotype" w:eastAsia="Palatino Linotype" w:hAnsi="Palatino Linotype" w:cs="Palatino Linotype"/>
          <w:i/>
          <w:sz w:val="22"/>
          <w:szCs w:val="22"/>
        </w:rPr>
        <w:t>ya que</w:t>
      </w:r>
      <w:proofErr w:type="gramEnd"/>
      <w:r w:rsidRPr="006A70FC">
        <w:rPr>
          <w:rFonts w:ascii="Palatino Linotype" w:eastAsia="Palatino Linotype" w:hAnsi="Palatino Linotype" w:cs="Palatino Linotype"/>
          <w:i/>
          <w:sz w:val="22"/>
          <w:szCs w:val="22"/>
        </w:rPr>
        <w:t xml:space="preserv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BD33985" w14:textId="77777777" w:rsidR="00DB2FD9" w:rsidRPr="006A70FC" w:rsidRDefault="00DB2FD9" w:rsidP="00DB2FD9">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consecuencia, se insiste, ante la falta de impugnación eficaz, la respuesta entregada debe declararse consentida por la persona solicitante, </w:t>
      </w:r>
      <w:proofErr w:type="gramStart"/>
      <w:r w:rsidRPr="006A70FC">
        <w:rPr>
          <w:rFonts w:ascii="Palatino Linotype" w:eastAsia="Palatino Linotype" w:hAnsi="Palatino Linotype" w:cs="Palatino Linotype"/>
          <w:sz w:val="22"/>
          <w:szCs w:val="22"/>
        </w:rPr>
        <w:t>y</w:t>
      </w:r>
      <w:proofErr w:type="gramEnd"/>
      <w:r w:rsidRPr="006A70FC">
        <w:rPr>
          <w:rFonts w:ascii="Palatino Linotype" w:eastAsia="Palatino Linotype" w:hAnsi="Palatino Linotype" w:cs="Palatino Linotype"/>
          <w:sz w:val="22"/>
          <w:szCs w:val="22"/>
        </w:rPr>
        <w:t xml:space="preserve"> p</w:t>
      </w:r>
      <w:r w:rsidRPr="006A70FC">
        <w:rPr>
          <w:rFonts w:ascii="Palatino Linotype" w:hAnsi="Palatino Linotype" w:cs="Arial"/>
          <w:sz w:val="22"/>
          <w:szCs w:val="22"/>
        </w:rPr>
        <w:t>or consiguiente, no es procedente el análisis de fondo en la resolución.</w:t>
      </w:r>
    </w:p>
    <w:p w14:paraId="33C79C64" w14:textId="77777777" w:rsidR="00DB2FD9" w:rsidRPr="006A70FC" w:rsidRDefault="00DB2FD9" w:rsidP="00DB2FD9">
      <w:pPr>
        <w:spacing w:before="240" w:after="240" w:line="360" w:lineRule="auto"/>
        <w:ind w:right="49"/>
        <w:jc w:val="both"/>
        <w:rPr>
          <w:rFonts w:ascii="Palatino Linotype" w:eastAsia="Palatino Linotype" w:hAnsi="Palatino Linotype" w:cs="Palatino Linotype"/>
          <w:bCs/>
          <w:sz w:val="22"/>
          <w:szCs w:val="22"/>
        </w:rPr>
      </w:pPr>
      <w:r w:rsidRPr="006A70FC">
        <w:rPr>
          <w:rFonts w:ascii="Palatino Linotype" w:eastAsia="Palatino Linotype" w:hAnsi="Palatino Linotype" w:cs="Palatino Linotype"/>
          <w:sz w:val="22"/>
          <w:szCs w:val="22"/>
        </w:rPr>
        <w:t xml:space="preserve">En la etapa de manifestaciones el </w:t>
      </w:r>
      <w:r w:rsidRPr="006A70FC">
        <w:rPr>
          <w:rFonts w:ascii="Palatino Linotype" w:eastAsia="Palatino Linotype" w:hAnsi="Palatino Linotype" w:cs="Palatino Linotype"/>
          <w:b/>
          <w:sz w:val="22"/>
          <w:szCs w:val="22"/>
        </w:rPr>
        <w:t xml:space="preserve">Sujeto Obligado </w:t>
      </w:r>
      <w:r w:rsidRPr="006A70FC">
        <w:rPr>
          <w:rFonts w:ascii="Palatino Linotype" w:eastAsia="Palatino Linotype" w:hAnsi="Palatino Linotype" w:cs="Palatino Linotype"/>
          <w:sz w:val="22"/>
          <w:szCs w:val="22"/>
        </w:rPr>
        <w:t xml:space="preserve">ratificó en lo sustancial la respuesta proporcionada en primera instancia y la parte </w:t>
      </w:r>
      <w:r w:rsidRPr="006A70FC">
        <w:rPr>
          <w:rFonts w:ascii="Palatino Linotype" w:eastAsia="Palatino Linotype" w:hAnsi="Palatino Linotype" w:cs="Palatino Linotype"/>
          <w:b/>
          <w:sz w:val="22"/>
          <w:szCs w:val="22"/>
        </w:rPr>
        <w:t xml:space="preserve">Recurrente </w:t>
      </w:r>
      <w:r w:rsidRPr="006A70FC">
        <w:rPr>
          <w:rFonts w:ascii="Palatino Linotype" w:eastAsia="Palatino Linotype" w:hAnsi="Palatino Linotype" w:cs="Palatino Linotype"/>
          <w:bCs/>
          <w:sz w:val="22"/>
          <w:szCs w:val="22"/>
        </w:rPr>
        <w:t>reiteró en sus términos sus motivos de inconformidad.</w:t>
      </w:r>
    </w:p>
    <w:p w14:paraId="0687F4F7" w14:textId="77777777" w:rsidR="00E727B3" w:rsidRPr="006A70FC" w:rsidRDefault="00E727B3" w:rsidP="00E727B3">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En esta tesitura, de las constancias que integran el expediente electrónico  relacionado con el recurso de revisión materia de estudio, se colige que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no niega la competencia para conocer de la información solicitada, sino por el contrario, con la respuesta pronunciada asevera que es competente para conocer de la solicitud de información</w:t>
      </w:r>
      <w:r w:rsidRPr="006A70FC">
        <w:rPr>
          <w:rFonts w:ascii="Palatino Linotype" w:eastAsia="Palatino Linotype" w:hAnsi="Palatino Linotype" w:cs="Palatino Linotype"/>
          <w:i/>
          <w:sz w:val="22"/>
          <w:szCs w:val="22"/>
        </w:rPr>
        <w:t xml:space="preserve">, </w:t>
      </w:r>
      <w:r w:rsidRPr="006A70FC">
        <w:rPr>
          <w:rFonts w:ascii="Palatino Linotype" w:eastAsia="Palatino Linotype" w:hAnsi="Palatino Linotype" w:cs="Palatino Linotype"/>
          <w:sz w:val="22"/>
          <w:szCs w:val="22"/>
        </w:rPr>
        <w:t xml:space="preserve">lo anterior es así, ya que el estudio enunciado tiene por objeto determinar si </w:t>
      </w:r>
      <w:r w:rsidRPr="006A70FC">
        <w:rPr>
          <w:rFonts w:ascii="Palatino Linotype" w:hAnsi="Palatino Linotype"/>
          <w:sz w:val="22"/>
          <w:szCs w:val="22"/>
        </w:rPr>
        <w:t>los</w:t>
      </w:r>
      <w:r w:rsidRPr="006A70FC">
        <w:rPr>
          <w:rFonts w:ascii="Palatino Linotype" w:eastAsia="Palatino Linotype" w:hAnsi="Palatino Linotype" w:cs="Palatino Linotype"/>
          <w:sz w:val="22"/>
          <w:szCs w:val="22"/>
        </w:rPr>
        <w:t xml:space="preserve"> Sujeto</w:t>
      </w:r>
      <w:r w:rsidRPr="006A70FC">
        <w:rPr>
          <w:rFonts w:ascii="Palatino Linotype" w:hAnsi="Palatino Linotype"/>
          <w:sz w:val="22"/>
          <w:szCs w:val="22"/>
        </w:rPr>
        <w:t>s</w:t>
      </w:r>
      <w:r w:rsidRPr="006A70FC">
        <w:rPr>
          <w:rFonts w:ascii="Palatino Linotype" w:eastAsia="Palatino Linotype" w:hAnsi="Palatino Linotype" w:cs="Palatino Linotype"/>
          <w:sz w:val="22"/>
          <w:szCs w:val="22"/>
        </w:rPr>
        <w:t xml:space="preserve"> Obligado</w:t>
      </w:r>
      <w:r w:rsidRPr="006A70FC">
        <w:rPr>
          <w:rFonts w:ascii="Palatino Linotype" w:hAnsi="Palatino Linotype"/>
          <w:sz w:val="22"/>
          <w:szCs w:val="22"/>
        </w:rPr>
        <w:t>s</w:t>
      </w:r>
      <w:r w:rsidRPr="006A70FC">
        <w:rPr>
          <w:rFonts w:ascii="Palatino Linotype" w:eastAsia="Palatino Linotype" w:hAnsi="Palatino Linotype" w:cs="Palatino Linotype"/>
          <w:sz w:val="22"/>
          <w:szCs w:val="22"/>
        </w:rPr>
        <w:t xml:space="preserve"> generan, poseen o administran  la información solicitada, sin embargo, en aquellos casos en que </w:t>
      </w:r>
      <w:r w:rsidRPr="006A70FC">
        <w:rPr>
          <w:rFonts w:ascii="Palatino Linotype" w:hAnsi="Palatino Linotype"/>
          <w:sz w:val="22"/>
          <w:szCs w:val="22"/>
        </w:rPr>
        <w:t>e</w:t>
      </w:r>
      <w:r w:rsidRPr="006A70FC">
        <w:rPr>
          <w:rFonts w:ascii="Palatino Linotype" w:eastAsia="Palatino Linotype" w:hAnsi="Palatino Linotype" w:cs="Palatino Linotype"/>
          <w:sz w:val="22"/>
          <w:szCs w:val="22"/>
        </w:rPr>
        <w:t>st</w:t>
      </w:r>
      <w:r w:rsidRPr="006A70FC">
        <w:rPr>
          <w:rFonts w:ascii="Palatino Linotype" w:hAnsi="Palatino Linotype"/>
          <w:sz w:val="22"/>
          <w:szCs w:val="22"/>
        </w:rPr>
        <w:t xml:space="preserve">os </w:t>
      </w:r>
      <w:r w:rsidRPr="006A70FC">
        <w:rPr>
          <w:rFonts w:ascii="Palatino Linotype" w:eastAsia="Palatino Linotype" w:hAnsi="Palatino Linotype" w:cs="Palatino Linotype"/>
          <w:sz w:val="22"/>
          <w:szCs w:val="22"/>
        </w:rPr>
        <w:t>ha</w:t>
      </w:r>
      <w:r w:rsidRPr="006A70FC">
        <w:rPr>
          <w:rFonts w:ascii="Palatino Linotype" w:hAnsi="Palatino Linotype"/>
          <w:sz w:val="22"/>
          <w:szCs w:val="22"/>
        </w:rPr>
        <w:t>n</w:t>
      </w:r>
      <w:r w:rsidRPr="006A70FC">
        <w:rPr>
          <w:rFonts w:ascii="Palatino Linotype" w:eastAsia="Palatino Linotype" w:hAnsi="Palatino Linotype" w:cs="Palatino Linotype"/>
          <w:sz w:val="22"/>
          <w:szCs w:val="22"/>
        </w:rPr>
        <w:t xml:space="preserve"> asumido </w:t>
      </w:r>
      <w:r w:rsidRPr="006A70FC">
        <w:rPr>
          <w:rFonts w:ascii="Palatino Linotype" w:eastAsia="Palatino Linotype" w:hAnsi="Palatino Linotype" w:cs="Palatino Linotype"/>
          <w:b/>
          <w:sz w:val="22"/>
          <w:szCs w:val="22"/>
        </w:rPr>
        <w:t>la competencia</w:t>
      </w:r>
      <w:r w:rsidRPr="006A70FC">
        <w:rPr>
          <w:rFonts w:ascii="Palatino Linotype" w:eastAsia="Palatino Linotype" w:hAnsi="Palatino Linotype" w:cs="Palatino Linotype"/>
          <w:sz w:val="22"/>
          <w:szCs w:val="22"/>
        </w:rPr>
        <w:t xml:space="preserve">, sería ocioso y a nada práctico nos conduciría su estudio, ya que, se insiste, el ente obligado </w:t>
      </w:r>
      <w:r w:rsidRPr="006A70FC">
        <w:rPr>
          <w:rFonts w:ascii="Palatino Linotype" w:eastAsia="Palatino Linotype" w:hAnsi="Palatino Linotype" w:cs="Palatino Linotype"/>
          <w:b/>
          <w:sz w:val="22"/>
          <w:szCs w:val="22"/>
          <w:u w:val="single"/>
        </w:rPr>
        <w:t>asumió la competencia referida</w:t>
      </w:r>
      <w:r w:rsidRPr="006A70FC">
        <w:rPr>
          <w:rFonts w:ascii="Palatino Linotype" w:eastAsia="Palatino Linotype" w:hAnsi="Palatino Linotype" w:cs="Palatino Linotype"/>
          <w:sz w:val="22"/>
          <w:szCs w:val="22"/>
        </w:rPr>
        <w:t>, motivo por el cual se actualiza el supuesto previsto en el artículo 12 de la legislación aplicable en la materia, citado con antelación.</w:t>
      </w:r>
    </w:p>
    <w:p w14:paraId="28CD65B3" w14:textId="1A6B8A61" w:rsidR="00E727B3" w:rsidRPr="006A70FC" w:rsidRDefault="00E727B3" w:rsidP="00E727B3">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Por consiguiente, se procede al análisis del requerimiento combatido por la parte </w:t>
      </w:r>
      <w:r w:rsidRPr="006A70FC">
        <w:rPr>
          <w:rFonts w:ascii="Palatino Linotype" w:eastAsia="Palatino Linotype" w:hAnsi="Palatino Linotype" w:cs="Palatino Linotype"/>
          <w:b/>
          <w:bCs/>
          <w:sz w:val="22"/>
          <w:szCs w:val="22"/>
        </w:rPr>
        <w:t>Recurrente</w:t>
      </w:r>
      <w:r w:rsidR="00A20624" w:rsidRPr="006A70FC">
        <w:rPr>
          <w:rFonts w:ascii="Palatino Linotype" w:eastAsia="Palatino Linotype" w:hAnsi="Palatino Linotype" w:cs="Palatino Linotype"/>
          <w:sz w:val="22"/>
          <w:szCs w:val="22"/>
        </w:rPr>
        <w:t xml:space="preserve"> y </w:t>
      </w:r>
      <w:r w:rsidRPr="006A70FC">
        <w:rPr>
          <w:rFonts w:ascii="Palatino Linotype" w:eastAsia="Palatino Linotype" w:hAnsi="Palatino Linotype" w:cs="Palatino Linotype"/>
          <w:sz w:val="22"/>
          <w:szCs w:val="22"/>
        </w:rPr>
        <w:t xml:space="preserve">la respuesta proporcionada por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a efecto de determinar si el derecho de acceso se satisfizo con la misma, o en su defecto, señalar los documentos que en el ejercicio de sus atribuciones pudo haber generado, y que, de manera enunciativa más no limitativa, pudieran colmar dicho derecho. </w:t>
      </w:r>
    </w:p>
    <w:p w14:paraId="577993A1" w14:textId="77777777" w:rsidR="006C4B24" w:rsidRPr="006A70FC" w:rsidRDefault="004F6637" w:rsidP="006B519A">
      <w:pPr>
        <w:spacing w:before="240" w:after="240" w:line="360" w:lineRule="auto"/>
        <w:ind w:right="49"/>
        <w:jc w:val="both"/>
        <w:rPr>
          <w:rFonts w:ascii="Palatino Linotype" w:eastAsia="Palatino Linotype" w:hAnsi="Palatino Linotype" w:cs="Palatino Linotype"/>
          <w:bCs/>
          <w:sz w:val="22"/>
          <w:szCs w:val="22"/>
        </w:rPr>
      </w:pPr>
      <w:r w:rsidRPr="006A70FC">
        <w:rPr>
          <w:rFonts w:ascii="Palatino Linotype" w:eastAsia="Palatino Linotype" w:hAnsi="Palatino Linotype" w:cs="Palatino Linotype"/>
          <w:bCs/>
          <w:sz w:val="22"/>
          <w:szCs w:val="22"/>
        </w:rPr>
        <w:t xml:space="preserve">En esta línea de pensamiento, derivado de las constancias que obran en el expediente electrónico en el que se actúa </w:t>
      </w:r>
      <w:r w:rsidR="00F90951" w:rsidRPr="006A70FC">
        <w:rPr>
          <w:rFonts w:ascii="Palatino Linotype" w:eastAsia="Palatino Linotype" w:hAnsi="Palatino Linotype" w:cs="Palatino Linotype"/>
          <w:bCs/>
          <w:sz w:val="22"/>
          <w:szCs w:val="22"/>
        </w:rPr>
        <w:t xml:space="preserve">se </w:t>
      </w:r>
      <w:r w:rsidR="0066361F" w:rsidRPr="006A70FC">
        <w:rPr>
          <w:rFonts w:ascii="Palatino Linotype" w:eastAsia="Palatino Linotype" w:hAnsi="Palatino Linotype" w:cs="Palatino Linotype"/>
          <w:bCs/>
          <w:sz w:val="22"/>
          <w:szCs w:val="22"/>
        </w:rPr>
        <w:t>advierte que</w:t>
      </w:r>
      <w:r w:rsidR="00313224" w:rsidRPr="006A70FC">
        <w:rPr>
          <w:rFonts w:ascii="Palatino Linotype" w:eastAsia="Palatino Linotype" w:hAnsi="Palatino Linotype" w:cs="Palatino Linotype"/>
          <w:bCs/>
          <w:sz w:val="22"/>
          <w:szCs w:val="22"/>
        </w:rPr>
        <w:t xml:space="preserve"> los motivos de inconformidad devienen fundados, en virtud de que si bien, el </w:t>
      </w:r>
      <w:r w:rsidR="00313224" w:rsidRPr="006A70FC">
        <w:rPr>
          <w:rFonts w:ascii="Palatino Linotype" w:eastAsia="Palatino Linotype" w:hAnsi="Palatino Linotype" w:cs="Palatino Linotype"/>
          <w:b/>
          <w:sz w:val="22"/>
          <w:szCs w:val="22"/>
        </w:rPr>
        <w:t xml:space="preserve">Sujeto Obligado </w:t>
      </w:r>
      <w:r w:rsidR="00313224" w:rsidRPr="006A70FC">
        <w:rPr>
          <w:rFonts w:ascii="Palatino Linotype" w:eastAsia="Palatino Linotype" w:hAnsi="Palatino Linotype" w:cs="Palatino Linotype"/>
          <w:bCs/>
          <w:sz w:val="22"/>
          <w:szCs w:val="22"/>
        </w:rPr>
        <w:t>hizo entrega de</w:t>
      </w:r>
      <w:r w:rsidR="00E74992" w:rsidRPr="006A70FC">
        <w:rPr>
          <w:rFonts w:ascii="Palatino Linotype" w:eastAsia="Palatino Linotype" w:hAnsi="Palatino Linotype" w:cs="Palatino Linotype"/>
          <w:bCs/>
          <w:sz w:val="22"/>
          <w:szCs w:val="22"/>
        </w:rPr>
        <w:t xml:space="preserve">l padrón de beneficiarios de los programas sociales </w:t>
      </w:r>
      <w:r w:rsidR="00E74992" w:rsidRPr="006A70FC">
        <w:rPr>
          <w:rFonts w:ascii="Palatino Linotype" w:eastAsia="Palatino Linotype" w:hAnsi="Palatino Linotype" w:cs="Palatino Linotype"/>
          <w:sz w:val="22"/>
          <w:szCs w:val="22"/>
        </w:rPr>
        <w:t xml:space="preserve">"Desarrollo Indígena con Bienestar" y "Bienestar Cultural Indígena", y el monto que les fue entregado, especificando que </w:t>
      </w:r>
      <w:r w:rsidR="004E560F" w:rsidRPr="006A70FC">
        <w:rPr>
          <w:rFonts w:ascii="Palatino Linotype" w:eastAsia="Palatino Linotype" w:hAnsi="Palatino Linotype" w:cs="Palatino Linotype"/>
          <w:sz w:val="22"/>
          <w:szCs w:val="22"/>
        </w:rPr>
        <w:t>dicha información correspondía con los programas sociales del ejercicio 2024, NO proporcionó las fechas de entrega o recepción de los apoyos</w:t>
      </w:r>
      <w:r w:rsidR="006C4B24" w:rsidRPr="006A70FC">
        <w:rPr>
          <w:rFonts w:ascii="Palatino Linotype" w:eastAsia="Palatino Linotype" w:hAnsi="Palatino Linotype" w:cs="Palatino Linotype"/>
          <w:bCs/>
          <w:sz w:val="22"/>
          <w:szCs w:val="22"/>
        </w:rPr>
        <w:t>.</w:t>
      </w:r>
    </w:p>
    <w:p w14:paraId="487D4DE3" w14:textId="0DD7F276" w:rsidR="006B519A" w:rsidRPr="006A70FC" w:rsidRDefault="006C4B24" w:rsidP="006B519A">
      <w:pPr>
        <w:spacing w:before="240" w:after="240" w:line="360" w:lineRule="auto"/>
        <w:ind w:right="49"/>
        <w:jc w:val="both"/>
        <w:rPr>
          <w:rFonts w:ascii="Palatino Linotype" w:eastAsia="Palatino Linotype" w:hAnsi="Palatino Linotype" w:cs="Palatino Linotype"/>
          <w:bCs/>
          <w:sz w:val="22"/>
          <w:szCs w:val="22"/>
        </w:rPr>
      </w:pPr>
      <w:r w:rsidRPr="006A70FC">
        <w:rPr>
          <w:rFonts w:ascii="Palatino Linotype" w:eastAsia="Palatino Linotype" w:hAnsi="Palatino Linotype" w:cs="Palatino Linotype"/>
          <w:bCs/>
          <w:sz w:val="22"/>
          <w:szCs w:val="22"/>
        </w:rPr>
        <w:t>P</w:t>
      </w:r>
      <w:r w:rsidR="006B519A" w:rsidRPr="006A70FC">
        <w:rPr>
          <w:rFonts w:ascii="Palatino Linotype" w:eastAsia="Palatino Linotype" w:hAnsi="Palatino Linotype" w:cs="Palatino Linotype"/>
          <w:bCs/>
          <w:sz w:val="22"/>
          <w:szCs w:val="22"/>
        </w:rPr>
        <w:t xml:space="preserve">or consiguiente, no puede tenerse por satisfecho el Derecho de acceso de la parte </w:t>
      </w:r>
      <w:r w:rsidR="006B519A"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bCs/>
          <w:sz w:val="22"/>
          <w:szCs w:val="22"/>
        </w:rPr>
        <w:t>y para tales efectos es necesario que previa búsqueda exhaustiva y razonable se haga entrega del o los documentos que den cuenta de la fecha de entrega o recepción de los apoyos referidos en respuesta.</w:t>
      </w:r>
    </w:p>
    <w:p w14:paraId="6FFBA62C" w14:textId="77777777" w:rsidR="004F3CA8" w:rsidRPr="006A70FC" w:rsidRDefault="0048473F" w:rsidP="006B519A">
      <w:pPr>
        <w:spacing w:before="240" w:after="240" w:line="360" w:lineRule="auto"/>
        <w:ind w:right="49"/>
        <w:jc w:val="both"/>
        <w:rPr>
          <w:rFonts w:ascii="Palatino Linotype" w:eastAsia="Palatino Linotype" w:hAnsi="Palatino Linotype" w:cs="Palatino Linotype"/>
          <w:b/>
          <w:bCs/>
          <w:sz w:val="22"/>
          <w:szCs w:val="22"/>
        </w:rPr>
      </w:pPr>
      <w:r w:rsidRPr="006A70FC">
        <w:rPr>
          <w:rFonts w:ascii="Palatino Linotype" w:eastAsia="Palatino Linotype" w:hAnsi="Palatino Linotype" w:cs="Palatino Linotype"/>
          <w:bCs/>
          <w:sz w:val="22"/>
          <w:szCs w:val="22"/>
        </w:rPr>
        <w:t xml:space="preserve">No obsta mencionar que en las respectivas Convocatorias de los programas sociales </w:t>
      </w:r>
      <w:r w:rsidRPr="006A70FC">
        <w:rPr>
          <w:rFonts w:ascii="Palatino Linotype" w:eastAsia="Palatino Linotype" w:hAnsi="Palatino Linotype" w:cs="Palatino Linotype"/>
          <w:sz w:val="22"/>
          <w:szCs w:val="22"/>
        </w:rPr>
        <w:t xml:space="preserve">"Desarrollo Indígena con Bienestar" y "Bienestar Cultural Indígena", dispone que la Instancia Ejecutora dará a conocer a las personas beneficiarias que han sido aceptadas, </w:t>
      </w:r>
      <w:r w:rsidRPr="006A70FC">
        <w:rPr>
          <w:rFonts w:ascii="Palatino Linotype" w:eastAsia="Palatino Linotype" w:hAnsi="Palatino Linotype" w:cs="Palatino Linotype"/>
          <w:b/>
          <w:bCs/>
          <w:sz w:val="22"/>
          <w:szCs w:val="22"/>
        </w:rPr>
        <w:t>informándoles las fechas y lugares establecidos para recibir los apoyos correspondientes.</w:t>
      </w:r>
    </w:p>
    <w:p w14:paraId="51EDCBC7" w14:textId="77777777" w:rsidR="00611084" w:rsidRPr="006A70FC" w:rsidRDefault="0048473F" w:rsidP="00611084">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 </w:t>
      </w:r>
      <w:r w:rsidR="00611084" w:rsidRPr="006A70FC">
        <w:rPr>
          <w:rFonts w:ascii="Palatino Linotype" w:eastAsia="Palatino Linotype" w:hAnsi="Palatino Linotype" w:cs="Palatino Linotype"/>
          <w:sz w:val="22"/>
          <w:szCs w:val="22"/>
        </w:rPr>
        <w:t xml:space="preserve">Bajo esta línea de pensamiento, se concluye que Sujeto Obligado se encuentra en condiciones para atender de manera favorable la solicitud, toda vez que ha quedado demostrado que es competente para generar, administrar y/o poseer la información que es del interés de la persona solicitante, bajo la premisa de que, según lo dispuesto en los artículos 18, 24 fracción XXII y 160 párrafo primero de la Ley de Transparencia y Acceso a la Información Pública del Estado de México y Municipios, los Sujetos Obligados tienen el ineludible compromiso de documentar todos los actos que deriven de sus atribuciones, funciones y competencias considerando desde su origen la eventual publicidad de la información como a continuación se lee: </w:t>
      </w:r>
    </w:p>
    <w:p w14:paraId="2AAF6AD5" w14:textId="77777777" w:rsidR="00611084" w:rsidRPr="006A70FC" w:rsidRDefault="00611084" w:rsidP="004A68C0">
      <w:pPr>
        <w:spacing w:before="120" w:after="120"/>
        <w:ind w:left="851" w:right="902"/>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i/>
          <w:iCs/>
          <w:sz w:val="22"/>
          <w:szCs w:val="22"/>
        </w:rPr>
        <w:t>“</w:t>
      </w:r>
      <w:r w:rsidRPr="006A70FC">
        <w:rPr>
          <w:rFonts w:ascii="Palatino Linotype" w:eastAsia="Palatino Linotype" w:hAnsi="Palatino Linotype" w:cs="Palatino Linotype"/>
          <w:b/>
          <w:bCs/>
          <w:i/>
          <w:iCs/>
          <w:sz w:val="22"/>
          <w:szCs w:val="22"/>
        </w:rPr>
        <w:t>Artículo 18</w:t>
      </w:r>
      <w:r w:rsidRPr="006A70FC">
        <w:rPr>
          <w:rFonts w:ascii="Palatino Linotype" w:eastAsia="Palatino Linotype" w:hAnsi="Palatino Linotype" w:cs="Palatino Linotype"/>
          <w:i/>
          <w:iCs/>
          <w:sz w:val="22"/>
          <w:szCs w:val="22"/>
        </w:rPr>
        <w:t>. Los sujetos obligados deberán documentar todo acto que derive del ejercicio de sus facultades, competencias o funciones, considerando desde su origen la eventual publicidad y reutilización de la información que generen.</w:t>
      </w:r>
    </w:p>
    <w:p w14:paraId="26A2498B" w14:textId="77777777" w:rsidR="00611084" w:rsidRPr="006A70FC" w:rsidRDefault="00611084" w:rsidP="004A68C0">
      <w:pPr>
        <w:spacing w:before="120" w:after="120"/>
        <w:ind w:left="851" w:right="902"/>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i/>
          <w:iCs/>
          <w:sz w:val="22"/>
          <w:szCs w:val="22"/>
        </w:rPr>
        <w:t>…</w:t>
      </w:r>
    </w:p>
    <w:p w14:paraId="3AEC1D02" w14:textId="77777777" w:rsidR="00611084" w:rsidRPr="006A70FC" w:rsidRDefault="00611084" w:rsidP="004A68C0">
      <w:pPr>
        <w:spacing w:before="120" w:after="120"/>
        <w:ind w:left="851" w:right="902"/>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b/>
          <w:bCs/>
          <w:i/>
          <w:iCs/>
          <w:sz w:val="22"/>
          <w:szCs w:val="22"/>
        </w:rPr>
        <w:t>Artículo 24</w:t>
      </w:r>
      <w:r w:rsidRPr="006A70FC">
        <w:rPr>
          <w:rFonts w:ascii="Palatino Linotype" w:eastAsia="Palatino Linotype" w:hAnsi="Palatino Linotype" w:cs="Palatino Linotype"/>
          <w:i/>
          <w:iCs/>
          <w:sz w:val="22"/>
          <w:szCs w:val="22"/>
        </w:rPr>
        <w:t>. Para el cumplimiento de los objetivos de esta Ley, los sujetos obligados deberán cumplir con las siguientes obligaciones, según corresponda, de acuerdo a su naturaleza:</w:t>
      </w:r>
    </w:p>
    <w:p w14:paraId="0F21A275" w14:textId="77777777" w:rsidR="00611084" w:rsidRPr="006A70FC" w:rsidRDefault="00611084" w:rsidP="004A68C0">
      <w:pPr>
        <w:spacing w:before="120" w:after="120"/>
        <w:ind w:left="851" w:right="902"/>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b/>
          <w:bCs/>
          <w:i/>
          <w:iCs/>
          <w:sz w:val="22"/>
          <w:szCs w:val="22"/>
        </w:rPr>
        <w:t>XXII.</w:t>
      </w:r>
      <w:r w:rsidRPr="006A70FC">
        <w:rPr>
          <w:rFonts w:ascii="Palatino Linotype" w:eastAsia="Palatino Linotype" w:hAnsi="Palatino Linotype" w:cs="Palatino Linotype"/>
          <w:i/>
          <w:iCs/>
          <w:sz w:val="22"/>
          <w:szCs w:val="22"/>
        </w:rPr>
        <w:t xml:space="preserve"> Documentar todo acto que derive del ejercicio de sus facultades, competencias o funciones y abstenerse de destruirlos u ocultarlos, dentro de los que destacan los procesos deliberativos y de decisión definitiva;</w:t>
      </w:r>
    </w:p>
    <w:p w14:paraId="186215FB" w14:textId="77777777" w:rsidR="00611084" w:rsidRPr="006A70FC" w:rsidRDefault="00611084" w:rsidP="004A68C0">
      <w:pPr>
        <w:spacing w:before="120" w:after="120"/>
        <w:ind w:left="851" w:right="902"/>
        <w:jc w:val="both"/>
        <w:rPr>
          <w:rFonts w:ascii="Palatino Linotype" w:eastAsia="Palatino Linotype" w:hAnsi="Palatino Linotype" w:cs="Palatino Linotype"/>
          <w:i/>
          <w:iCs/>
          <w:sz w:val="22"/>
          <w:szCs w:val="22"/>
        </w:rPr>
      </w:pPr>
      <w:r w:rsidRPr="006A70FC">
        <w:rPr>
          <w:rFonts w:ascii="Palatino Linotype" w:eastAsia="Palatino Linotype" w:hAnsi="Palatino Linotype" w:cs="Palatino Linotype"/>
          <w:i/>
          <w:iCs/>
          <w:sz w:val="22"/>
          <w:szCs w:val="22"/>
        </w:rPr>
        <w:t>…</w:t>
      </w:r>
    </w:p>
    <w:p w14:paraId="05F20FDC" w14:textId="77777777" w:rsidR="00611084" w:rsidRPr="006A70FC" w:rsidRDefault="00611084" w:rsidP="004A68C0">
      <w:pPr>
        <w:spacing w:before="120" w:after="120"/>
        <w:ind w:left="851" w:right="902"/>
        <w:jc w:val="both"/>
        <w:rPr>
          <w:rFonts w:ascii="Palatino Linotype" w:eastAsia="Palatino Linotype" w:hAnsi="Palatino Linotype" w:cs="Palatino Linotype"/>
          <w:b/>
          <w:bCs/>
          <w:i/>
          <w:iCs/>
          <w:sz w:val="22"/>
          <w:szCs w:val="22"/>
        </w:rPr>
      </w:pPr>
      <w:r w:rsidRPr="006A70FC">
        <w:rPr>
          <w:rFonts w:ascii="Palatino Linotype" w:eastAsia="Palatino Linotype" w:hAnsi="Palatino Linotype" w:cs="Palatino Linotype"/>
          <w:b/>
          <w:bCs/>
          <w:i/>
          <w:iCs/>
          <w:sz w:val="22"/>
          <w:szCs w:val="22"/>
        </w:rPr>
        <w:t>Artículo 160</w:t>
      </w:r>
      <w:r w:rsidRPr="006A70FC">
        <w:rPr>
          <w:rFonts w:ascii="Palatino Linotype" w:eastAsia="Palatino Linotype" w:hAnsi="Palatino Linotype" w:cs="Palatino Linotype"/>
          <w:i/>
          <w:iCs/>
          <w:sz w:val="22"/>
          <w:szCs w:val="22"/>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DC421B5" w14:textId="19616627" w:rsidR="00187EEC" w:rsidRPr="006A70FC" w:rsidRDefault="00187EEC" w:rsidP="00187EEC">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De lo hasta aquí expuesto, se concluye que los motivos de inconformidad de la parte </w:t>
      </w:r>
      <w:r w:rsidRPr="006A70FC">
        <w:rPr>
          <w:rFonts w:ascii="Palatino Linotype" w:eastAsia="Palatino Linotype" w:hAnsi="Palatino Linotype" w:cs="Palatino Linotype"/>
          <w:b/>
          <w:sz w:val="22"/>
          <w:szCs w:val="22"/>
        </w:rPr>
        <w:t xml:space="preserve">Recurrente </w:t>
      </w:r>
      <w:r w:rsidRPr="006A70FC">
        <w:rPr>
          <w:rFonts w:ascii="Palatino Linotype" w:eastAsia="Palatino Linotype" w:hAnsi="Palatino Linotype" w:cs="Palatino Linotype"/>
          <w:sz w:val="22"/>
          <w:szCs w:val="22"/>
        </w:rPr>
        <w:t xml:space="preserve">devienen fundados, siendo procedente </w:t>
      </w:r>
      <w:r w:rsidR="00DC0ADC" w:rsidRPr="006A70FC">
        <w:rPr>
          <w:rFonts w:ascii="Palatino Linotype" w:eastAsia="Palatino Linotype" w:hAnsi="Palatino Linotype" w:cs="Palatino Linotype"/>
          <w:i/>
          <w:sz w:val="22"/>
          <w:szCs w:val="22"/>
        </w:rPr>
        <w:t>Modificar</w:t>
      </w:r>
      <w:r w:rsidRPr="006A70FC">
        <w:rPr>
          <w:rFonts w:ascii="Palatino Linotype" w:eastAsia="Palatino Linotype" w:hAnsi="Palatino Linotype" w:cs="Palatino Linotype"/>
          <w:i/>
          <w:sz w:val="22"/>
          <w:szCs w:val="22"/>
        </w:rPr>
        <w:t xml:space="preserve"> </w:t>
      </w:r>
      <w:r w:rsidRPr="006A70FC">
        <w:rPr>
          <w:rFonts w:ascii="Palatino Linotype" w:eastAsia="Palatino Linotype" w:hAnsi="Palatino Linotype" w:cs="Palatino Linotype"/>
          <w:sz w:val="22"/>
          <w:szCs w:val="22"/>
        </w:rPr>
        <w:t xml:space="preserve">la respuesta proporcionada por el </w:t>
      </w:r>
      <w:r w:rsidRPr="006A70FC">
        <w:rPr>
          <w:rFonts w:ascii="Palatino Linotype" w:eastAsia="Palatino Linotype" w:hAnsi="Palatino Linotype" w:cs="Palatino Linotype"/>
          <w:b/>
          <w:sz w:val="22"/>
          <w:szCs w:val="22"/>
        </w:rPr>
        <w:t xml:space="preserve">Sujeto Obligado </w:t>
      </w:r>
      <w:r w:rsidRPr="006A70FC">
        <w:rPr>
          <w:rFonts w:ascii="Palatino Linotype" w:eastAsia="Palatino Linotype" w:hAnsi="Palatino Linotype" w:cs="Palatino Linotype"/>
          <w:sz w:val="22"/>
          <w:szCs w:val="22"/>
        </w:rPr>
        <w:t>en términos del artículo 186 fracción III de la Ley de Transparencia y Acceso a la Información Pública del Estado de México y Municipios.</w:t>
      </w:r>
    </w:p>
    <w:p w14:paraId="484DF206" w14:textId="77777777" w:rsidR="00187EEC" w:rsidRPr="006A70FC" w:rsidRDefault="00187EEC" w:rsidP="00187EEC">
      <w:pPr>
        <w:spacing w:before="240" w:after="240" w:line="360" w:lineRule="auto"/>
        <w:ind w:right="51"/>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 xml:space="preserve">Quinto. Versión Pública. </w:t>
      </w:r>
      <w:r w:rsidRPr="006A70FC">
        <w:rPr>
          <w:rFonts w:ascii="Palatino Linotype" w:eastAsia="Palatino Linotype" w:hAnsi="Palatino Linotype" w:cs="Palatino Linotype"/>
          <w:sz w:val="22"/>
          <w:szCs w:val="22"/>
        </w:rPr>
        <w:t>Como fue debidamente apuntado,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714A9EC7" w14:textId="77777777" w:rsidR="00187EEC" w:rsidRPr="006A70FC" w:rsidRDefault="00187EEC" w:rsidP="00187EEC">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56BA26E3" w14:textId="77777777" w:rsidR="00187EEC" w:rsidRPr="006A70FC" w:rsidRDefault="00187EEC" w:rsidP="00187EEC">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3E72B033" w14:textId="77777777" w:rsidR="00187EEC" w:rsidRPr="006A70FC" w:rsidRDefault="00187EEC" w:rsidP="00187EEC">
      <w:pPr>
        <w:spacing w:before="240" w:after="240" w:line="360" w:lineRule="auto"/>
        <w:ind w:right="49"/>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50DE7748"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sz w:val="22"/>
          <w:szCs w:val="22"/>
        </w:rPr>
        <w:t> </w:t>
      </w: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Artículo 3.</w:t>
      </w:r>
      <w:r w:rsidRPr="006A70FC">
        <w:rPr>
          <w:rFonts w:ascii="Palatino Linotype" w:eastAsia="Palatino Linotype" w:hAnsi="Palatino Linotype" w:cs="Palatino Linotype"/>
          <w:i/>
          <w:sz w:val="22"/>
          <w:szCs w:val="22"/>
        </w:rPr>
        <w:t xml:space="preserve"> Para los efectos de la presente Ley se entenderá por:</w:t>
      </w:r>
    </w:p>
    <w:p w14:paraId="0192EE6F"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7CD1D3AA"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IX. Datos personales</w:t>
      </w:r>
      <w:r w:rsidRPr="006A70FC">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18B21B92"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03D863F8"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XX. Información clasificada</w:t>
      </w:r>
      <w:r w:rsidRPr="006A70FC">
        <w:rPr>
          <w:rFonts w:ascii="Palatino Linotype" w:eastAsia="Palatino Linotype" w:hAnsi="Palatino Linotype" w:cs="Palatino Linotype"/>
          <w:i/>
          <w:sz w:val="22"/>
          <w:szCs w:val="22"/>
        </w:rPr>
        <w:t>: Aquella considerada por la presente Ley como reservada o confidencial;</w:t>
      </w:r>
    </w:p>
    <w:p w14:paraId="1F7FCFDA"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XXI. Información confidencial</w:t>
      </w:r>
      <w:r w:rsidRPr="006A70FC">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5559EDD"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40BC2E65"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XXXII. Protección de Datos Personales</w:t>
      </w:r>
      <w:r w:rsidRPr="006A70FC">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0E4CB5AE"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2FE297A6" w14:textId="77777777" w:rsidR="00187EEC" w:rsidRPr="006A70FC"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XLV. Versión pública</w:t>
      </w:r>
      <w:r w:rsidRPr="006A70FC">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22E08111"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 Artículo 6</w:t>
      </w:r>
      <w:r w:rsidRPr="006A70FC">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9C420C6"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142A1D3B"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Artículo 91.</w:t>
      </w:r>
      <w:r w:rsidRPr="006A70FC">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6A70FC">
        <w:rPr>
          <w:rFonts w:ascii="Palatino Linotype" w:eastAsia="Palatino Linotype" w:hAnsi="Palatino Linotype" w:cs="Palatino Linotype"/>
          <w:i/>
          <w:sz w:val="22"/>
          <w:szCs w:val="22"/>
        </w:rPr>
        <w:br/>
        <w:t>…</w:t>
      </w:r>
    </w:p>
    <w:p w14:paraId="2EB016FC"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Artículo 132.</w:t>
      </w:r>
      <w:r w:rsidRPr="006A70FC">
        <w:rPr>
          <w:rFonts w:ascii="Palatino Linotype" w:eastAsia="Palatino Linotype" w:hAnsi="Palatino Linotype" w:cs="Palatino Linotype"/>
          <w:i/>
          <w:sz w:val="22"/>
          <w:szCs w:val="22"/>
        </w:rPr>
        <w:t xml:space="preserve"> La clasificación de la información se llevará a cabo en el momento en que:</w:t>
      </w:r>
    </w:p>
    <w:p w14:paraId="346E7E04"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w:t>
      </w:r>
      <w:r w:rsidRPr="006A70FC">
        <w:rPr>
          <w:rFonts w:ascii="Palatino Linotype" w:eastAsia="Palatino Linotype" w:hAnsi="Palatino Linotype" w:cs="Palatino Linotype"/>
          <w:i/>
          <w:sz w:val="22"/>
          <w:szCs w:val="22"/>
        </w:rPr>
        <w:t>. Se reciba una solicitud de acceso a la información;</w:t>
      </w:r>
    </w:p>
    <w:p w14:paraId="0DE52956"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w:t>
      </w:r>
      <w:r w:rsidRPr="006A70FC">
        <w:rPr>
          <w:rFonts w:ascii="Palatino Linotype" w:eastAsia="Palatino Linotype" w:hAnsi="Palatino Linotype" w:cs="Palatino Linotype"/>
          <w:i/>
          <w:sz w:val="22"/>
          <w:szCs w:val="22"/>
        </w:rPr>
        <w:t xml:space="preserve"> Se determine mediante resolución de autoridad competente; o</w:t>
      </w:r>
    </w:p>
    <w:p w14:paraId="2B6F7F77"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III.</w:t>
      </w:r>
      <w:r w:rsidRPr="006A70FC">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6F79CD0C"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w:t>
      </w:r>
    </w:p>
    <w:p w14:paraId="2EBC36E1"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Artículo 137.</w:t>
      </w:r>
      <w:r w:rsidRPr="006A70FC">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05921069"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 Artículo 143.</w:t>
      </w:r>
      <w:r w:rsidRPr="006A70FC">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4F8C483D"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w:t>
      </w:r>
      <w:r w:rsidRPr="006A70FC">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53BC198F" w14:textId="77777777" w:rsidR="00187EEC" w:rsidRPr="006A70FC" w:rsidRDefault="00187EEC" w:rsidP="00187EEC">
      <w:pPr>
        <w:spacing w:before="240" w:after="240" w:line="360" w:lineRule="auto"/>
        <w:ind w:right="50"/>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22D7523" w14:textId="77777777" w:rsidR="00187EEC" w:rsidRPr="006A70FC" w:rsidRDefault="00187EEC" w:rsidP="00187EEC">
      <w:pPr>
        <w:spacing w:before="240" w:after="240" w:line="360" w:lineRule="auto"/>
        <w:ind w:right="50"/>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250DF805" w14:textId="77777777" w:rsidR="00187EEC" w:rsidRPr="006A70FC" w:rsidRDefault="00187EEC" w:rsidP="00187EEC">
      <w:pPr>
        <w:spacing w:before="240" w:after="240" w:line="360" w:lineRule="auto"/>
        <w:ind w:right="50"/>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0F50508E" w14:textId="77777777" w:rsidR="004A68C0" w:rsidRPr="006A70FC" w:rsidRDefault="004A68C0" w:rsidP="004A68C0">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bCs/>
          <w:sz w:val="22"/>
          <w:szCs w:val="22"/>
          <w:u w:val="single"/>
        </w:rPr>
        <w:t>Por lo que respecta al domicilio particular, números de teléfono, ocupación, correo electrónico particular y firmas de ciudadanos beneficiarios de programas</w:t>
      </w:r>
      <w:r w:rsidRPr="006A70FC">
        <w:rPr>
          <w:rFonts w:ascii="Palatino Linotype" w:eastAsia="Palatino Linotype" w:hAnsi="Palatino Linotype" w:cs="Palatino Linotype"/>
          <w:sz w:val="22"/>
          <w:szCs w:val="22"/>
        </w:rPr>
        <w:t>, su divulgación no aporta a la transparencia o a la rendición de cuentas y sí provoca una transgresión a la vida privada e intimidad de la persona, por lo que, esta información también resulta ser de carácter confidencial.</w:t>
      </w:r>
    </w:p>
    <w:p w14:paraId="04F01DA8" w14:textId="77777777" w:rsidR="004A68C0" w:rsidRPr="006A70FC" w:rsidRDefault="004A68C0" w:rsidP="004A68C0">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En esa virtud, este Pleno determina que dicha información no puede ser del dominio público, toda vez que se podría dar un uso inadecuado a la misma. </w:t>
      </w:r>
    </w:p>
    <w:p w14:paraId="5312137F" w14:textId="77777777" w:rsidR="009D6DA7" w:rsidRPr="006A70FC" w:rsidRDefault="009D6DA7" w:rsidP="009D6DA7">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De igual manera la </w:t>
      </w:r>
      <w:r w:rsidRPr="006A70FC">
        <w:rPr>
          <w:rFonts w:ascii="Palatino Linotype" w:eastAsia="Palatino Linotype" w:hAnsi="Palatino Linotype" w:cs="Palatino Linotype"/>
          <w:b/>
          <w:sz w:val="22"/>
          <w:szCs w:val="22"/>
        </w:rPr>
        <w:t>Clave Única de Registro de Población</w:t>
      </w:r>
      <w:r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b/>
          <w:sz w:val="22"/>
          <w:szCs w:val="22"/>
        </w:rPr>
        <w:t>CURP,</w:t>
      </w:r>
      <w:r w:rsidRPr="006A70FC">
        <w:rPr>
          <w:rFonts w:ascii="Palatino Linotype" w:eastAsia="Palatino Linotype" w:hAnsi="Palatino Linotype" w:cs="Palatino Linotype"/>
          <w:sz w:val="22"/>
          <w:szCs w:val="22"/>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7782DAE1" w14:textId="77777777" w:rsidR="009D6DA7" w:rsidRPr="006A70FC" w:rsidRDefault="009D6DA7" w:rsidP="009D6DA7">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Argumento que se sustenta con el criterio orientador con clave de control SO/018/2017 emitido por el entonces Instituto Nacional de Transparencia, Acceso a la Información y Protección de Datos Personales, INAI, el cual refiere:</w:t>
      </w:r>
    </w:p>
    <w:p w14:paraId="7213F195" w14:textId="77777777" w:rsidR="009D6DA7" w:rsidRPr="006A70FC" w:rsidRDefault="009D6DA7" w:rsidP="009D6DA7">
      <w:pPr>
        <w:ind w:left="851" w:right="851"/>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 xml:space="preserve"> “Clave Única de Registro de Población (CURP). </w:t>
      </w:r>
      <w:r w:rsidRPr="006A70FC">
        <w:rPr>
          <w:rFonts w:ascii="Palatino Linotype" w:eastAsia="Palatino Linotype" w:hAnsi="Palatino Linotype" w:cs="Palatino Linotype"/>
          <w:i/>
          <w:sz w:val="22"/>
          <w:szCs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4868E51" w14:textId="77777777" w:rsidR="00187EEC" w:rsidRPr="006A70FC" w:rsidRDefault="00187EEC" w:rsidP="00187EEC">
      <w:pPr>
        <w:spacing w:before="240" w:after="240" w:line="360" w:lineRule="auto"/>
        <w:ind w:right="50"/>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90E79F0"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“Artículo 49.</w:t>
      </w:r>
      <w:r w:rsidRPr="006A70FC">
        <w:rPr>
          <w:rFonts w:ascii="Palatino Linotype" w:eastAsia="Palatino Linotype" w:hAnsi="Palatino Linotype" w:cs="Palatino Linotype"/>
          <w:i/>
          <w:sz w:val="22"/>
          <w:szCs w:val="22"/>
        </w:rPr>
        <w:t xml:space="preserve"> </w:t>
      </w:r>
      <w:r w:rsidRPr="006A70FC">
        <w:rPr>
          <w:rFonts w:ascii="Palatino Linotype" w:eastAsia="Palatino Linotype" w:hAnsi="Palatino Linotype" w:cs="Palatino Linotype"/>
          <w:b/>
          <w:i/>
          <w:sz w:val="22"/>
          <w:szCs w:val="22"/>
        </w:rPr>
        <w:t>Los Comités de Transparencia</w:t>
      </w:r>
      <w:r w:rsidRPr="006A70FC">
        <w:rPr>
          <w:rFonts w:ascii="Palatino Linotype" w:eastAsia="Palatino Linotype" w:hAnsi="Palatino Linotype" w:cs="Palatino Linotype"/>
          <w:i/>
          <w:sz w:val="22"/>
          <w:szCs w:val="22"/>
        </w:rPr>
        <w:t xml:space="preserve"> tendrán las siguientes atribuciones:</w:t>
      </w:r>
    </w:p>
    <w:p w14:paraId="1B68D517"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VIII. Aprobar, modificar o revocar la clasificación de la información</w:t>
      </w:r>
      <w:r w:rsidRPr="006A70FC">
        <w:rPr>
          <w:rFonts w:ascii="Palatino Linotype" w:eastAsia="Palatino Linotype" w:hAnsi="Palatino Linotype" w:cs="Palatino Linotype"/>
          <w:i/>
          <w:sz w:val="22"/>
          <w:szCs w:val="22"/>
        </w:rPr>
        <w:t>…”</w:t>
      </w:r>
    </w:p>
    <w:p w14:paraId="1FC39239"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Artículo 53.</w:t>
      </w:r>
      <w:r w:rsidRPr="006A70FC">
        <w:rPr>
          <w:rFonts w:ascii="Palatino Linotype" w:eastAsia="Palatino Linotype" w:hAnsi="Palatino Linotype" w:cs="Palatino Linotype"/>
          <w:i/>
          <w:sz w:val="22"/>
          <w:szCs w:val="22"/>
        </w:rPr>
        <w:t xml:space="preserve"> Las </w:t>
      </w:r>
      <w:r w:rsidRPr="006A70FC">
        <w:rPr>
          <w:rFonts w:ascii="Palatino Linotype" w:eastAsia="Palatino Linotype" w:hAnsi="Palatino Linotype" w:cs="Palatino Linotype"/>
          <w:b/>
          <w:i/>
          <w:sz w:val="22"/>
          <w:szCs w:val="22"/>
        </w:rPr>
        <w:t>Unidades de Transparencia</w:t>
      </w:r>
      <w:r w:rsidRPr="006A70FC">
        <w:rPr>
          <w:rFonts w:ascii="Palatino Linotype" w:eastAsia="Palatino Linotype" w:hAnsi="Palatino Linotype" w:cs="Palatino Linotype"/>
          <w:i/>
          <w:sz w:val="22"/>
          <w:szCs w:val="22"/>
        </w:rPr>
        <w:t xml:space="preserve"> tendrán las siguientes </w:t>
      </w:r>
      <w:r w:rsidRPr="006A70FC">
        <w:rPr>
          <w:rFonts w:ascii="Palatino Linotype" w:eastAsia="Palatino Linotype" w:hAnsi="Palatino Linotype" w:cs="Palatino Linotype"/>
          <w:b/>
          <w:i/>
          <w:sz w:val="22"/>
          <w:szCs w:val="22"/>
        </w:rPr>
        <w:t>funciones</w:t>
      </w:r>
      <w:r w:rsidRPr="006A70FC">
        <w:rPr>
          <w:rFonts w:ascii="Palatino Linotype" w:eastAsia="Palatino Linotype" w:hAnsi="Palatino Linotype" w:cs="Palatino Linotype"/>
          <w:i/>
          <w:sz w:val="22"/>
          <w:szCs w:val="22"/>
        </w:rPr>
        <w:t>:</w:t>
      </w:r>
    </w:p>
    <w:p w14:paraId="2CCD5765"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X. Presentar ante el Comité, el proyecto de clasificación de información</w:t>
      </w:r>
      <w:r w:rsidRPr="006A70FC">
        <w:rPr>
          <w:rFonts w:ascii="Palatino Linotype" w:eastAsia="Palatino Linotype" w:hAnsi="Palatino Linotype" w:cs="Palatino Linotype"/>
          <w:i/>
          <w:sz w:val="22"/>
          <w:szCs w:val="22"/>
        </w:rPr>
        <w:t xml:space="preserve">…” </w:t>
      </w:r>
    </w:p>
    <w:p w14:paraId="5C9E8A7E"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“Artículo 59.</w:t>
      </w:r>
      <w:r w:rsidRPr="006A70FC">
        <w:rPr>
          <w:rFonts w:ascii="Palatino Linotype" w:eastAsia="Palatino Linotype" w:hAnsi="Palatino Linotype" w:cs="Palatino Linotype"/>
          <w:i/>
          <w:sz w:val="22"/>
          <w:szCs w:val="22"/>
        </w:rPr>
        <w:t xml:space="preserve"> Los </w:t>
      </w:r>
      <w:r w:rsidRPr="006A70FC">
        <w:rPr>
          <w:rFonts w:ascii="Palatino Linotype" w:eastAsia="Palatino Linotype" w:hAnsi="Palatino Linotype" w:cs="Palatino Linotype"/>
          <w:b/>
          <w:i/>
          <w:sz w:val="22"/>
          <w:szCs w:val="22"/>
        </w:rPr>
        <w:t>servidores públicos habilitados</w:t>
      </w:r>
      <w:r w:rsidRPr="006A70FC">
        <w:rPr>
          <w:rFonts w:ascii="Palatino Linotype" w:eastAsia="Palatino Linotype" w:hAnsi="Palatino Linotype" w:cs="Palatino Linotype"/>
          <w:i/>
          <w:sz w:val="22"/>
          <w:szCs w:val="22"/>
        </w:rPr>
        <w:t xml:space="preserve"> tendrán las </w:t>
      </w:r>
      <w:r w:rsidRPr="006A70FC">
        <w:rPr>
          <w:rFonts w:ascii="Palatino Linotype" w:eastAsia="Palatino Linotype" w:hAnsi="Palatino Linotype" w:cs="Palatino Linotype"/>
          <w:b/>
          <w:i/>
          <w:sz w:val="22"/>
          <w:szCs w:val="22"/>
        </w:rPr>
        <w:t>funciones</w:t>
      </w:r>
      <w:r w:rsidRPr="006A70FC">
        <w:rPr>
          <w:rFonts w:ascii="Palatino Linotype" w:eastAsia="Palatino Linotype" w:hAnsi="Palatino Linotype" w:cs="Palatino Linotype"/>
          <w:i/>
          <w:sz w:val="22"/>
          <w:szCs w:val="22"/>
        </w:rPr>
        <w:t xml:space="preserve"> siguientes:</w:t>
      </w:r>
    </w:p>
    <w:p w14:paraId="4933E495"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6A70FC">
        <w:rPr>
          <w:rFonts w:ascii="Palatino Linotype" w:eastAsia="Palatino Linotype" w:hAnsi="Palatino Linotype" w:cs="Palatino Linotype"/>
          <w:i/>
          <w:sz w:val="22"/>
          <w:szCs w:val="22"/>
        </w:rPr>
        <w:t>, la cual tendrá los fundamentos y argumentos en que se basa dicha propuesta…”</w:t>
      </w:r>
    </w:p>
    <w:p w14:paraId="66D4F5AD" w14:textId="77777777" w:rsidR="00187EEC" w:rsidRPr="006A70FC" w:rsidRDefault="00187EEC" w:rsidP="00187EEC">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2E1EDFA" w14:textId="77777777" w:rsidR="00187EEC" w:rsidRPr="006A70FC" w:rsidRDefault="00187EEC" w:rsidP="00187EEC">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00735A87"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Artículo 149.</w:t>
      </w:r>
      <w:r w:rsidRPr="006A70FC">
        <w:rPr>
          <w:rFonts w:ascii="Palatino Linotype" w:eastAsia="Palatino Linotype" w:hAnsi="Palatino Linotype" w:cs="Palatino Linotype"/>
          <w:i/>
          <w:sz w:val="22"/>
          <w:szCs w:val="22"/>
        </w:rPr>
        <w:t xml:space="preserve"> El </w:t>
      </w:r>
      <w:r w:rsidRPr="006A70FC">
        <w:rPr>
          <w:rFonts w:ascii="Palatino Linotype" w:eastAsia="Palatino Linotype" w:hAnsi="Palatino Linotype" w:cs="Palatino Linotype"/>
          <w:b/>
          <w:i/>
          <w:sz w:val="22"/>
          <w:szCs w:val="22"/>
        </w:rPr>
        <w:t>acuerdo que clasifique la información como confidencial</w:t>
      </w:r>
      <w:r w:rsidRPr="006A70FC">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6464A430" w14:textId="77777777" w:rsidR="00187EEC" w:rsidRPr="006A70FC" w:rsidRDefault="00187EEC" w:rsidP="00187EEC">
      <w:pPr>
        <w:spacing w:before="240" w:after="240" w:line="360" w:lineRule="auto"/>
        <w:ind w:right="51"/>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Es decir,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03FBB9A8" w14:textId="77777777" w:rsidR="00187EEC" w:rsidRPr="006A70FC" w:rsidRDefault="00187EEC" w:rsidP="00187EEC">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B0E1667"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 xml:space="preserve"> “Quincuagésimo. </w:t>
      </w:r>
      <w:r w:rsidRPr="006A70FC">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167E6C59"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 xml:space="preserve">Quincuagésimo primero. </w:t>
      </w:r>
      <w:r w:rsidRPr="006A70FC">
        <w:rPr>
          <w:rFonts w:ascii="Palatino Linotype" w:eastAsia="Palatino Linotype" w:hAnsi="Palatino Linotype" w:cs="Palatino Linotype"/>
          <w:i/>
          <w:sz w:val="22"/>
          <w:szCs w:val="22"/>
        </w:rPr>
        <w:t xml:space="preserve">Toda acta del Comité de Transparencia deberá contener: </w:t>
      </w:r>
    </w:p>
    <w:p w14:paraId="0B0F60C9"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w:t>
      </w:r>
      <w:r w:rsidRPr="006A70FC">
        <w:rPr>
          <w:rFonts w:ascii="Palatino Linotype" w:eastAsia="Palatino Linotype" w:hAnsi="Palatino Linotype" w:cs="Palatino Linotype"/>
          <w:i/>
          <w:sz w:val="22"/>
          <w:szCs w:val="22"/>
        </w:rPr>
        <w:t xml:space="preserve"> El número de sesión y fecha; </w:t>
      </w:r>
    </w:p>
    <w:p w14:paraId="6800B950"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w:t>
      </w:r>
      <w:r w:rsidRPr="006A70FC">
        <w:rPr>
          <w:rFonts w:ascii="Palatino Linotype" w:eastAsia="Palatino Linotype" w:hAnsi="Palatino Linotype" w:cs="Palatino Linotype"/>
          <w:i/>
          <w:sz w:val="22"/>
          <w:szCs w:val="22"/>
        </w:rPr>
        <w:t xml:space="preserve">. El nombre del área que solicitó la clasificación de información; </w:t>
      </w:r>
    </w:p>
    <w:p w14:paraId="7ED21809"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III</w:t>
      </w:r>
      <w:r w:rsidRPr="006A70FC">
        <w:rPr>
          <w:rFonts w:ascii="Palatino Linotype" w:eastAsia="Palatino Linotype" w:hAnsi="Palatino Linotype" w:cs="Palatino Linotype"/>
          <w:i/>
          <w:sz w:val="22"/>
          <w:szCs w:val="22"/>
        </w:rPr>
        <w:t xml:space="preserve">. La fundamentación legal y motivación correspondiente; </w:t>
      </w:r>
    </w:p>
    <w:p w14:paraId="5CF119A3"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IV</w:t>
      </w:r>
      <w:r w:rsidRPr="006A70FC">
        <w:rPr>
          <w:rFonts w:ascii="Palatino Linotype" w:eastAsia="Palatino Linotype" w:hAnsi="Palatino Linotype" w:cs="Palatino Linotype"/>
          <w:i/>
          <w:sz w:val="22"/>
          <w:szCs w:val="22"/>
        </w:rPr>
        <w:t xml:space="preserve">. La resolución o resoluciones aprobadas; y </w:t>
      </w:r>
    </w:p>
    <w:p w14:paraId="28717289"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V</w:t>
      </w:r>
      <w:r w:rsidRPr="006A70FC">
        <w:rPr>
          <w:rFonts w:ascii="Palatino Linotype" w:eastAsia="Palatino Linotype" w:hAnsi="Palatino Linotype" w:cs="Palatino Linotype"/>
          <w:i/>
          <w:sz w:val="22"/>
          <w:szCs w:val="22"/>
        </w:rPr>
        <w:t xml:space="preserve">. La rúbrica o firma digital de cada integrante del Comité de Transparencia. </w:t>
      </w:r>
    </w:p>
    <w:p w14:paraId="2343AFF6"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76C24110"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w:t>
      </w:r>
      <w:r w:rsidRPr="006A70FC">
        <w:rPr>
          <w:rFonts w:ascii="Palatino Linotype" w:eastAsia="Palatino Linotype" w:hAnsi="Palatino Linotype" w:cs="Palatino Linotype"/>
          <w:i/>
          <w:sz w:val="22"/>
          <w:szCs w:val="22"/>
        </w:rPr>
        <w:t xml:space="preserve"> Los motivos y razonamientos que sustenten la confirmación o modificación de la prueba de daño;</w:t>
      </w:r>
    </w:p>
    <w:p w14:paraId="1546F4B5"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b/>
          <w:i/>
          <w:sz w:val="22"/>
          <w:szCs w:val="22"/>
        </w:rPr>
      </w:pPr>
      <w:r w:rsidRPr="006A70FC">
        <w:rPr>
          <w:rFonts w:ascii="Palatino Linotype" w:eastAsia="Palatino Linotype" w:hAnsi="Palatino Linotype" w:cs="Palatino Linotype"/>
          <w:b/>
          <w:i/>
          <w:sz w:val="22"/>
          <w:szCs w:val="22"/>
        </w:rPr>
        <w:t>II</w:t>
      </w:r>
      <w:r w:rsidRPr="006A70FC">
        <w:rPr>
          <w:rFonts w:ascii="Palatino Linotype" w:eastAsia="Palatino Linotype" w:hAnsi="Palatino Linotype" w:cs="Palatino Linotype"/>
          <w:i/>
          <w:sz w:val="22"/>
          <w:szCs w:val="22"/>
        </w:rPr>
        <w:t>. Descripción de las partes o secciones reservadas, en caso de clasificación parcial</w:t>
      </w:r>
      <w:r w:rsidRPr="006A70FC">
        <w:rPr>
          <w:rFonts w:ascii="Palatino Linotype" w:eastAsia="Palatino Linotype" w:hAnsi="Palatino Linotype" w:cs="Palatino Linotype"/>
          <w:b/>
          <w:i/>
          <w:sz w:val="22"/>
          <w:szCs w:val="22"/>
        </w:rPr>
        <w:t xml:space="preserve">; </w:t>
      </w:r>
    </w:p>
    <w:p w14:paraId="5E267AD3"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III.</w:t>
      </w:r>
      <w:r w:rsidRPr="006A70FC">
        <w:rPr>
          <w:rFonts w:ascii="Palatino Linotype" w:eastAsia="Palatino Linotype" w:hAnsi="Palatino Linotype" w:cs="Palatino Linotype"/>
          <w:i/>
          <w:sz w:val="22"/>
          <w:szCs w:val="22"/>
        </w:rPr>
        <w:t xml:space="preserve"> El periodo por el que mantendrá su clasificación y fecha de expiración; y </w:t>
      </w:r>
    </w:p>
    <w:p w14:paraId="0542DDE7"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IV.</w:t>
      </w:r>
      <w:r w:rsidRPr="006A70FC">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714793F2"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6203B17C" w14:textId="77777777" w:rsidR="00187EEC" w:rsidRPr="006A70FC"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2BCC494" w14:textId="77777777" w:rsidR="00187EEC" w:rsidRPr="006A70FC" w:rsidRDefault="00187EEC" w:rsidP="00187EEC">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5ECE3622"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r w:rsidRPr="006A70FC">
        <w:rPr>
          <w:rFonts w:ascii="Palatino Linotype" w:eastAsia="Palatino Linotype" w:hAnsi="Palatino Linotype" w:cs="Palatino Linotype"/>
          <w:b/>
          <w:i/>
          <w:sz w:val="22"/>
          <w:szCs w:val="22"/>
        </w:rPr>
        <w:t>Quincuagésimo segundo</w:t>
      </w:r>
      <w:r w:rsidRPr="006A70FC">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6A70FC">
        <w:rPr>
          <w:rFonts w:ascii="Palatino Linotype" w:eastAsia="Palatino Linotype" w:hAnsi="Palatino Linotype" w:cs="Palatino Linotype"/>
          <w:i/>
          <w:sz w:val="22"/>
          <w:szCs w:val="22"/>
        </w:rPr>
        <w:t>sobreposición</w:t>
      </w:r>
      <w:proofErr w:type="spellEnd"/>
      <w:r w:rsidRPr="006A70FC">
        <w:rPr>
          <w:rFonts w:ascii="Palatino Linotype" w:eastAsia="Palatino Linotype" w:hAnsi="Palatino Linotype" w:cs="Palatino Linotype"/>
          <w:i/>
          <w:sz w:val="22"/>
          <w:szCs w:val="22"/>
        </w:rPr>
        <w:t xml:space="preserve"> de contenido distinto al autorizado por el Comité.</w:t>
      </w:r>
    </w:p>
    <w:p w14:paraId="27FFA46C"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1553968F"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w:t>
      </w:r>
      <w:r w:rsidRPr="006A70FC">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42C39ED3"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w:t>
      </w:r>
      <w:r w:rsidRPr="006A70FC">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65B0EB4D"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III.</w:t>
      </w:r>
      <w:r w:rsidRPr="006A70FC">
        <w:rPr>
          <w:rFonts w:ascii="Palatino Linotype" w:eastAsia="Palatino Linotype" w:hAnsi="Palatino Linotype" w:cs="Palatino Linotype"/>
          <w:i/>
          <w:sz w:val="22"/>
          <w:szCs w:val="22"/>
        </w:rPr>
        <w:t xml:space="preserve"> Señalar las personas o instancias autorizadas a acceder a la información clasificada.</w:t>
      </w:r>
    </w:p>
    <w:p w14:paraId="4F3FE354" w14:textId="77777777" w:rsidR="00187EEC" w:rsidRPr="006A70FC" w:rsidRDefault="00187EEC" w:rsidP="00187EEC">
      <w:pP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100FF1B" w14:textId="77777777" w:rsidR="00187EEC" w:rsidRPr="006A70FC" w:rsidRDefault="00187EEC" w:rsidP="00187EEC">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w:t>
      </w:r>
    </w:p>
    <w:p w14:paraId="7E4796BB" w14:textId="77777777" w:rsidR="00187EEC" w:rsidRPr="006A70FC" w:rsidRDefault="00187EEC" w:rsidP="00187EEC">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6A70FC">
        <w:rPr>
          <w:rFonts w:ascii="Palatino Linotype" w:eastAsia="Palatino Linotype" w:hAnsi="Palatino Linotype" w:cs="Palatino Linotype"/>
          <w:b/>
          <w:i/>
          <w:sz w:val="22"/>
          <w:szCs w:val="22"/>
        </w:rPr>
        <w:t xml:space="preserve">Quincuagésimo cuarto. </w:t>
      </w:r>
      <w:r w:rsidRPr="006A70FC">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6A70FC">
        <w:rPr>
          <w:rFonts w:ascii="Palatino Linotype" w:eastAsia="Palatino Linotype" w:hAnsi="Palatino Linotype" w:cs="Palatino Linotype"/>
          <w:b/>
          <w:i/>
          <w:sz w:val="22"/>
          <w:szCs w:val="22"/>
        </w:rPr>
        <w:t xml:space="preserve"> </w:t>
      </w:r>
    </w:p>
    <w:p w14:paraId="1B6E81AA"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 xml:space="preserve">Quincuagésimo quinto. </w:t>
      </w:r>
      <w:r w:rsidRPr="006A70FC">
        <w:rPr>
          <w:rFonts w:ascii="Palatino Linotype" w:eastAsia="Palatino Linotype" w:hAnsi="Palatino Linotype" w:cs="Palatino Linotype"/>
          <w:i/>
          <w:sz w:val="22"/>
          <w:szCs w:val="22"/>
        </w:rPr>
        <w:t xml:space="preserve">Cada área del sujeto obligado podrá designar formalmente a una o más personas como responsables del </w:t>
      </w:r>
      <w:proofErr w:type="spellStart"/>
      <w:r w:rsidRPr="006A70FC">
        <w:rPr>
          <w:rFonts w:ascii="Palatino Linotype" w:eastAsia="Palatino Linotype" w:hAnsi="Palatino Linotype" w:cs="Palatino Linotype"/>
          <w:i/>
          <w:sz w:val="22"/>
          <w:szCs w:val="22"/>
        </w:rPr>
        <w:t>testado</w:t>
      </w:r>
      <w:proofErr w:type="spellEnd"/>
      <w:r w:rsidRPr="006A70FC">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97128CD" w14:textId="77777777" w:rsidR="00187EEC" w:rsidRPr="006A70FC" w:rsidRDefault="00187EEC" w:rsidP="00187EEC">
      <w:pPr>
        <w:spacing w:before="120" w:after="120"/>
        <w:ind w:left="851" w:right="902"/>
        <w:jc w:val="both"/>
        <w:rPr>
          <w:rFonts w:ascii="Palatino Linotype" w:eastAsia="Palatino Linotype" w:hAnsi="Palatino Linotype" w:cs="Palatino Linotype"/>
          <w:b/>
          <w:i/>
          <w:sz w:val="22"/>
          <w:szCs w:val="22"/>
        </w:rPr>
      </w:pPr>
      <w:r w:rsidRPr="006A70FC">
        <w:rPr>
          <w:rFonts w:ascii="Palatino Linotype" w:eastAsia="Palatino Linotype" w:hAnsi="Palatino Linotype" w:cs="Palatino Linotype"/>
          <w:b/>
          <w:i/>
          <w:sz w:val="22"/>
          <w:szCs w:val="22"/>
        </w:rPr>
        <w:t>...</w:t>
      </w:r>
    </w:p>
    <w:p w14:paraId="05373CB5"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Quincuagésimo séptimo</w:t>
      </w:r>
      <w:r w:rsidRPr="006A70FC">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3320A586"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w:t>
      </w:r>
      <w:r w:rsidRPr="006A70FC">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067AE13F"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w:t>
      </w:r>
      <w:r w:rsidRPr="006A70FC">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331FE004"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III</w:t>
      </w:r>
      <w:r w:rsidRPr="006A70FC">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8E1C0C8"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7ADB5DD" w14:textId="77777777" w:rsidR="00187EEC" w:rsidRPr="006A70FC" w:rsidRDefault="00187EEC" w:rsidP="00187EEC">
      <w:pPr>
        <w:spacing w:before="120" w:after="120"/>
        <w:ind w:left="851" w:right="902"/>
        <w:jc w:val="both"/>
        <w:rPr>
          <w:rFonts w:ascii="Palatino Linotype" w:eastAsia="Palatino Linotype" w:hAnsi="Palatino Linotype" w:cs="Palatino Linotype"/>
          <w:i/>
          <w:sz w:val="22"/>
          <w:szCs w:val="22"/>
        </w:rPr>
      </w:pPr>
      <w:r w:rsidRPr="006A70FC">
        <w:rPr>
          <w:rFonts w:ascii="Palatino Linotype" w:eastAsia="Palatino Linotype" w:hAnsi="Palatino Linotype" w:cs="Palatino Linotype"/>
          <w:b/>
          <w:i/>
          <w:sz w:val="22"/>
          <w:szCs w:val="22"/>
        </w:rPr>
        <w:t>Quincuagésimo octavo</w:t>
      </w:r>
      <w:r w:rsidRPr="006A70FC">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249F8269" w14:textId="7CAECB76" w:rsidR="007F6629" w:rsidRPr="006A70FC" w:rsidRDefault="00193AE1" w:rsidP="00193AE1">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Así, con fundamento en lo prescrito en los artículos </w:t>
      </w:r>
      <w:r w:rsidR="005D5DC9" w:rsidRPr="006A70FC">
        <w:rPr>
          <w:rFonts w:ascii="Palatino Linotype" w:eastAsia="Palatino Linotype" w:hAnsi="Palatino Linotype" w:cs="Palatino Linotype"/>
          <w:sz w:val="22"/>
          <w:szCs w:val="22"/>
        </w:rPr>
        <w:t xml:space="preserve">5 párrafos </w:t>
      </w:r>
      <w:r w:rsidR="000E700F" w:rsidRPr="006A70FC">
        <w:rPr>
          <w:rFonts w:ascii="Palatino Linotype" w:eastAsia="Palatino Linotype" w:hAnsi="Palatino Linotype" w:cs="Palatino Linotype"/>
          <w:sz w:val="22"/>
          <w:szCs w:val="22"/>
        </w:rPr>
        <w:t xml:space="preserve">cuadragésimo cuarto, cuadragésimo quinto cuadragésimo sexto, de la </w:t>
      </w:r>
      <w:r w:rsidR="005D5DC9" w:rsidRPr="006A70FC">
        <w:rPr>
          <w:rFonts w:ascii="Palatino Linotype" w:eastAsia="Palatino Linotype" w:hAnsi="Palatino Linotype" w:cs="Palatino Linotype"/>
          <w:sz w:val="22"/>
          <w:szCs w:val="22"/>
        </w:rPr>
        <w:t>Constitución Política del Estado Libre y Soberano de México; Transitorio Cuarto, párrafo segundo del Decreto número 198 de la “LXII” Legislatura del Estado de México;</w:t>
      </w:r>
      <w:r w:rsidRPr="006A70FC">
        <w:rPr>
          <w:rFonts w:ascii="Palatino Linotype" w:eastAsia="Palatino Linotype" w:hAnsi="Palatino Linotype" w:cs="Palatino Linotype"/>
          <w:sz w:val="22"/>
          <w:szCs w:val="22"/>
        </w:rPr>
        <w:t xml:space="preserve"> 2, fracción II; 29, 36 fracciones I y II; 176, 178, 181, 185 y 186 fracción II de la Ley de Transparencia y Acceso a la Información Pública del Estado de México y Municipios, este Pleno:</w:t>
      </w:r>
    </w:p>
    <w:p w14:paraId="0285A7B6" w14:textId="77777777" w:rsidR="00193AE1" w:rsidRPr="006A70FC" w:rsidRDefault="00193AE1" w:rsidP="00193AE1">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6A70FC">
        <w:rPr>
          <w:rFonts w:ascii="Palatino Linotype" w:eastAsia="Palatino Linotype" w:hAnsi="Palatino Linotype" w:cs="Palatino Linotype"/>
          <w:b/>
          <w:sz w:val="22"/>
          <w:szCs w:val="22"/>
        </w:rPr>
        <w:t>III. R E S U E L V E</w:t>
      </w:r>
    </w:p>
    <w:p w14:paraId="5C7FA26B" w14:textId="012B445B" w:rsidR="00193AE1" w:rsidRPr="006A70FC" w:rsidRDefault="00193AE1" w:rsidP="00193AE1">
      <w:pPr>
        <w:spacing w:before="240" w:after="240" w:line="360" w:lineRule="auto"/>
        <w:jc w:val="both"/>
        <w:rPr>
          <w:rFonts w:ascii="Palatino Linotype" w:eastAsia="Palatino Linotype" w:hAnsi="Palatino Linotype" w:cs="Palatino Linotype"/>
          <w:sz w:val="22"/>
          <w:szCs w:val="22"/>
        </w:rPr>
      </w:pPr>
      <w:bookmarkStart w:id="11" w:name="_heading=h.26in1rg" w:colFirst="0" w:colLast="0"/>
      <w:bookmarkEnd w:id="11"/>
      <w:r w:rsidRPr="006A70FC">
        <w:rPr>
          <w:rFonts w:ascii="Palatino Linotype" w:eastAsia="Palatino Linotype" w:hAnsi="Palatino Linotype" w:cs="Palatino Linotype"/>
          <w:b/>
          <w:sz w:val="22"/>
          <w:szCs w:val="22"/>
        </w:rPr>
        <w:t xml:space="preserve">Primero. </w:t>
      </w:r>
      <w:r w:rsidRPr="006A70FC">
        <w:rPr>
          <w:rFonts w:ascii="Palatino Linotype" w:eastAsia="Palatino Linotype" w:hAnsi="Palatino Linotype" w:cs="Palatino Linotype"/>
          <w:sz w:val="22"/>
          <w:szCs w:val="22"/>
        </w:rPr>
        <w:t>Resultan</w:t>
      </w:r>
      <w:r w:rsidRPr="006A70FC">
        <w:rPr>
          <w:rFonts w:ascii="Palatino Linotype" w:eastAsia="Palatino Linotype" w:hAnsi="Palatino Linotype" w:cs="Palatino Linotype"/>
          <w:b/>
          <w:sz w:val="22"/>
          <w:szCs w:val="22"/>
        </w:rPr>
        <w:t xml:space="preserve"> fundadas</w:t>
      </w:r>
      <w:r w:rsidRPr="006A70FC">
        <w:rPr>
          <w:rFonts w:ascii="Palatino Linotype" w:eastAsia="Palatino Linotype" w:hAnsi="Palatino Linotype" w:cs="Palatino Linotype"/>
          <w:sz w:val="22"/>
          <w:szCs w:val="22"/>
        </w:rPr>
        <w:t xml:space="preserve"> las razones o motivos de inconformidad hechos valer por la parte</w:t>
      </w:r>
      <w:r w:rsidRPr="006A70FC">
        <w:rPr>
          <w:rFonts w:ascii="Palatino Linotype" w:eastAsia="Palatino Linotype" w:hAnsi="Palatino Linotype" w:cs="Palatino Linotype"/>
          <w:b/>
          <w:sz w:val="22"/>
          <w:szCs w:val="22"/>
        </w:rPr>
        <w:t xml:space="preserve"> Recurrente</w:t>
      </w:r>
      <w:r w:rsidRPr="006A70FC">
        <w:rPr>
          <w:rFonts w:ascii="Palatino Linotype" w:eastAsia="Palatino Linotype" w:hAnsi="Palatino Linotype" w:cs="Palatino Linotype"/>
          <w:sz w:val="22"/>
          <w:szCs w:val="22"/>
        </w:rPr>
        <w:t xml:space="preserve"> en el recurso de revisión </w:t>
      </w:r>
      <w:r w:rsidR="00187EEC" w:rsidRPr="006A70FC">
        <w:rPr>
          <w:rFonts w:ascii="Palatino Linotype" w:eastAsia="Palatino Linotype" w:hAnsi="Palatino Linotype" w:cs="Palatino Linotype"/>
          <w:b/>
          <w:sz w:val="22"/>
          <w:szCs w:val="22"/>
        </w:rPr>
        <w:t>1</w:t>
      </w:r>
      <w:r w:rsidR="009D3043" w:rsidRPr="006A70FC">
        <w:rPr>
          <w:rFonts w:ascii="Palatino Linotype" w:eastAsia="Palatino Linotype" w:hAnsi="Palatino Linotype" w:cs="Palatino Linotype"/>
          <w:b/>
          <w:sz w:val="22"/>
          <w:szCs w:val="22"/>
        </w:rPr>
        <w:t>2379</w:t>
      </w:r>
      <w:r w:rsidRPr="006A70FC">
        <w:rPr>
          <w:rFonts w:ascii="Palatino Linotype" w:eastAsia="Palatino Linotype" w:hAnsi="Palatino Linotype" w:cs="Palatino Linotype"/>
          <w:b/>
          <w:sz w:val="22"/>
          <w:szCs w:val="22"/>
        </w:rPr>
        <w:t>/INFOEM/IP/RR/202</w:t>
      </w:r>
      <w:r w:rsidR="00625B99" w:rsidRPr="006A70FC">
        <w:rPr>
          <w:rFonts w:ascii="Palatino Linotype" w:eastAsia="Palatino Linotype" w:hAnsi="Palatino Linotype" w:cs="Palatino Linotype"/>
          <w:b/>
          <w:sz w:val="22"/>
          <w:szCs w:val="22"/>
        </w:rPr>
        <w:t>5</w:t>
      </w:r>
      <w:r w:rsidRPr="006A70FC">
        <w:rPr>
          <w:rFonts w:ascii="Palatino Linotype" w:eastAsia="Palatino Linotype" w:hAnsi="Palatino Linotype" w:cs="Palatino Linotype"/>
          <w:sz w:val="22"/>
          <w:szCs w:val="22"/>
        </w:rPr>
        <w:t xml:space="preserve">; por lo que, en términos del </w:t>
      </w:r>
      <w:r w:rsidRPr="006A70FC">
        <w:rPr>
          <w:rFonts w:ascii="Palatino Linotype" w:eastAsia="Palatino Linotype" w:hAnsi="Palatino Linotype" w:cs="Palatino Linotype"/>
          <w:bCs/>
          <w:sz w:val="22"/>
          <w:szCs w:val="22"/>
        </w:rPr>
        <w:t>Considerando</w:t>
      </w:r>
      <w:r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b/>
          <w:sz w:val="22"/>
          <w:szCs w:val="22"/>
        </w:rPr>
        <w:t xml:space="preserve">Cuarto </w:t>
      </w:r>
      <w:r w:rsidRPr="006A70FC">
        <w:rPr>
          <w:rFonts w:ascii="Palatino Linotype" w:eastAsia="Palatino Linotype" w:hAnsi="Palatino Linotype" w:cs="Palatino Linotype"/>
          <w:sz w:val="22"/>
          <w:szCs w:val="22"/>
        </w:rPr>
        <w:t xml:space="preserve">de esta resolución, se </w:t>
      </w:r>
      <w:r w:rsidR="009D3043" w:rsidRPr="006A70FC">
        <w:rPr>
          <w:rFonts w:ascii="Palatino Linotype" w:eastAsia="Palatino Linotype" w:hAnsi="Palatino Linotype" w:cs="Palatino Linotype"/>
          <w:b/>
          <w:sz w:val="22"/>
          <w:szCs w:val="22"/>
        </w:rPr>
        <w:t>Modifica</w:t>
      </w:r>
      <w:r w:rsidRPr="006A70FC">
        <w:rPr>
          <w:rFonts w:ascii="Palatino Linotype" w:eastAsia="Palatino Linotype" w:hAnsi="Palatino Linotype" w:cs="Palatino Linotype"/>
          <w:b/>
          <w:sz w:val="22"/>
          <w:szCs w:val="22"/>
        </w:rPr>
        <w:t xml:space="preserve"> </w:t>
      </w:r>
      <w:r w:rsidRPr="006A70FC">
        <w:rPr>
          <w:rFonts w:ascii="Palatino Linotype" w:eastAsia="Palatino Linotype" w:hAnsi="Palatino Linotype" w:cs="Palatino Linotype"/>
          <w:sz w:val="22"/>
          <w:szCs w:val="22"/>
        </w:rPr>
        <w:t xml:space="preserve">la respuesta emitida por el </w:t>
      </w:r>
      <w:r w:rsidRPr="006A70FC">
        <w:rPr>
          <w:rFonts w:ascii="Palatino Linotype" w:eastAsia="Palatino Linotype" w:hAnsi="Palatino Linotype" w:cs="Palatino Linotype"/>
          <w:b/>
          <w:sz w:val="22"/>
          <w:szCs w:val="22"/>
        </w:rPr>
        <w:t xml:space="preserve">Sujeto Obligado. </w:t>
      </w:r>
    </w:p>
    <w:p w14:paraId="332015FE" w14:textId="270399A2" w:rsidR="007B6326" w:rsidRPr="006A70FC" w:rsidRDefault="00193AE1" w:rsidP="00AC55D2">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 xml:space="preserve">Segundo. </w:t>
      </w:r>
      <w:r w:rsidRPr="006A70FC">
        <w:rPr>
          <w:rFonts w:ascii="Palatino Linotype" w:eastAsia="Palatino Linotype" w:hAnsi="Palatino Linotype" w:cs="Palatino Linotype"/>
          <w:sz w:val="22"/>
          <w:szCs w:val="22"/>
        </w:rPr>
        <w:t xml:space="preserve">Se </w:t>
      </w:r>
      <w:r w:rsidRPr="006A70FC">
        <w:rPr>
          <w:rFonts w:ascii="Palatino Linotype" w:eastAsia="Palatino Linotype" w:hAnsi="Palatino Linotype" w:cs="Palatino Linotype"/>
          <w:b/>
          <w:sz w:val="22"/>
          <w:szCs w:val="22"/>
        </w:rPr>
        <w:t>Ordena</w:t>
      </w:r>
      <w:r w:rsidRPr="006A70FC">
        <w:rPr>
          <w:rFonts w:ascii="Palatino Linotype" w:eastAsia="Palatino Linotype" w:hAnsi="Palatino Linotype" w:cs="Palatino Linotype"/>
          <w:sz w:val="22"/>
          <w:szCs w:val="22"/>
        </w:rPr>
        <w:t xml:space="preserve"> al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en términos de</w:t>
      </w:r>
      <w:r w:rsidR="009D3043" w:rsidRPr="006A70FC">
        <w:rPr>
          <w:rFonts w:ascii="Palatino Linotype" w:eastAsia="Palatino Linotype" w:hAnsi="Palatino Linotype" w:cs="Palatino Linotype"/>
          <w:sz w:val="22"/>
          <w:szCs w:val="22"/>
        </w:rPr>
        <w:t xml:space="preserve"> </w:t>
      </w:r>
      <w:proofErr w:type="spellStart"/>
      <w:r w:rsidR="00AC55D2" w:rsidRPr="006A70FC">
        <w:rPr>
          <w:rFonts w:ascii="Palatino Linotype" w:eastAsia="Palatino Linotype" w:hAnsi="Palatino Linotype" w:cs="Palatino Linotype"/>
          <w:sz w:val="22"/>
          <w:szCs w:val="22"/>
        </w:rPr>
        <w:t>l</w:t>
      </w:r>
      <w:r w:rsidR="009D3043" w:rsidRPr="006A70FC">
        <w:rPr>
          <w:rFonts w:ascii="Palatino Linotype" w:eastAsia="Palatino Linotype" w:hAnsi="Palatino Linotype" w:cs="Palatino Linotype"/>
          <w:sz w:val="22"/>
          <w:szCs w:val="22"/>
        </w:rPr>
        <w:t>o</w:t>
      </w:r>
      <w:proofErr w:type="spellEnd"/>
      <w:r w:rsidR="007F6629"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sz w:val="22"/>
          <w:szCs w:val="22"/>
        </w:rPr>
        <w:t>Considerando</w:t>
      </w:r>
      <w:r w:rsidR="009D3043" w:rsidRPr="006A70FC">
        <w:rPr>
          <w:rFonts w:ascii="Palatino Linotype" w:eastAsia="Palatino Linotype" w:hAnsi="Palatino Linotype" w:cs="Palatino Linotype"/>
          <w:sz w:val="22"/>
          <w:szCs w:val="22"/>
        </w:rPr>
        <w:t>s</w:t>
      </w:r>
      <w:r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b/>
          <w:sz w:val="22"/>
          <w:szCs w:val="22"/>
        </w:rPr>
        <w:t>Cuarto</w:t>
      </w:r>
      <w:r w:rsidR="009D3043" w:rsidRPr="006A70FC">
        <w:rPr>
          <w:rFonts w:ascii="Palatino Linotype" w:eastAsia="Palatino Linotype" w:hAnsi="Palatino Linotype" w:cs="Palatino Linotype"/>
          <w:b/>
          <w:sz w:val="22"/>
          <w:szCs w:val="22"/>
        </w:rPr>
        <w:t xml:space="preserve"> </w:t>
      </w:r>
      <w:r w:rsidR="009D3043" w:rsidRPr="006A70FC">
        <w:rPr>
          <w:rFonts w:ascii="Palatino Linotype" w:eastAsia="Palatino Linotype" w:hAnsi="Palatino Linotype" w:cs="Palatino Linotype"/>
          <w:bCs/>
          <w:sz w:val="22"/>
          <w:szCs w:val="22"/>
        </w:rPr>
        <w:t xml:space="preserve">y </w:t>
      </w:r>
      <w:r w:rsidR="009D3043" w:rsidRPr="006A70FC">
        <w:rPr>
          <w:rFonts w:ascii="Palatino Linotype" w:eastAsia="Palatino Linotype" w:hAnsi="Palatino Linotype" w:cs="Palatino Linotype"/>
          <w:b/>
          <w:sz w:val="22"/>
          <w:szCs w:val="22"/>
        </w:rPr>
        <w:t>Quinto</w:t>
      </w:r>
      <w:r w:rsidR="00A8793A" w:rsidRPr="006A70FC">
        <w:rPr>
          <w:rFonts w:ascii="Palatino Linotype" w:eastAsia="Palatino Linotype" w:hAnsi="Palatino Linotype" w:cs="Palatino Linotype"/>
          <w:b/>
          <w:sz w:val="22"/>
          <w:szCs w:val="22"/>
        </w:rPr>
        <w:t xml:space="preserve"> </w:t>
      </w:r>
      <w:r w:rsidR="007B6326" w:rsidRPr="006A70FC">
        <w:rPr>
          <w:rFonts w:ascii="Palatino Linotype" w:eastAsia="Palatino Linotype" w:hAnsi="Palatino Linotype" w:cs="Palatino Linotype"/>
          <w:sz w:val="22"/>
          <w:szCs w:val="22"/>
        </w:rPr>
        <w:t xml:space="preserve">de esta resolución, haga entrega, vía </w:t>
      </w:r>
      <w:r w:rsidR="007B6326" w:rsidRPr="006A70FC">
        <w:rPr>
          <w:rFonts w:ascii="Palatino Linotype" w:eastAsia="Palatino Linotype" w:hAnsi="Palatino Linotype" w:cs="Palatino Linotype"/>
          <w:b/>
          <w:sz w:val="22"/>
          <w:szCs w:val="22"/>
        </w:rPr>
        <w:t>SAIMEX</w:t>
      </w:r>
      <w:r w:rsidR="007B6326" w:rsidRPr="006A70FC">
        <w:rPr>
          <w:rFonts w:ascii="Palatino Linotype" w:eastAsia="Palatino Linotype" w:hAnsi="Palatino Linotype" w:cs="Palatino Linotype"/>
          <w:sz w:val="22"/>
          <w:szCs w:val="22"/>
        </w:rPr>
        <w:t>,</w:t>
      </w:r>
      <w:r w:rsidR="009D3043" w:rsidRPr="006A70FC">
        <w:rPr>
          <w:rFonts w:ascii="Palatino Linotype" w:eastAsia="Palatino Linotype" w:hAnsi="Palatino Linotype" w:cs="Palatino Linotype"/>
          <w:sz w:val="22"/>
          <w:szCs w:val="22"/>
        </w:rPr>
        <w:t xml:space="preserve"> previa búsqueda exhaustiva y razonable, en versión pública de ser necesario, </w:t>
      </w:r>
      <w:r w:rsidR="007B6326" w:rsidRPr="006A70FC">
        <w:rPr>
          <w:rFonts w:ascii="Palatino Linotype" w:eastAsia="Palatino Linotype" w:hAnsi="Palatino Linotype" w:cs="Palatino Linotype"/>
          <w:sz w:val="22"/>
          <w:szCs w:val="22"/>
        </w:rPr>
        <w:t>de lo siguiente:</w:t>
      </w:r>
    </w:p>
    <w:p w14:paraId="0134ABDD" w14:textId="5EBCD52F" w:rsidR="00187EEC" w:rsidRPr="006A70FC" w:rsidRDefault="00187EEC" w:rsidP="00187EEC">
      <w:pPr>
        <w:pBdr>
          <w:top w:val="nil"/>
          <w:left w:val="nil"/>
          <w:bottom w:val="nil"/>
          <w:right w:val="nil"/>
          <w:between w:val="nil"/>
        </w:pBdr>
        <w:spacing w:before="240" w:after="240" w:line="360" w:lineRule="auto"/>
        <w:ind w:left="284" w:right="-91"/>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1. </w:t>
      </w:r>
      <w:r w:rsidR="009D3043" w:rsidRPr="006A70FC">
        <w:rPr>
          <w:rFonts w:ascii="Palatino Linotype" w:eastAsia="Palatino Linotype" w:hAnsi="Palatino Linotype" w:cs="Palatino Linotype"/>
          <w:sz w:val="22"/>
          <w:szCs w:val="22"/>
        </w:rPr>
        <w:t>El o los documentos que den cuenta de las fechas de entrega o recepción de los apoyos derivados de los programas sociales “Desarrollo Indígena con Bienestar” y “Bienestar Cultural Indígena” referidos en respuesta.</w:t>
      </w:r>
    </w:p>
    <w:p w14:paraId="5CB1F63B" w14:textId="22416533" w:rsidR="00187EEC" w:rsidRPr="006A70FC" w:rsidRDefault="00187EEC" w:rsidP="00187EEC">
      <w:pPr>
        <w:spacing w:before="120" w:after="120"/>
        <w:ind w:left="284"/>
        <w:jc w:val="both"/>
        <w:rPr>
          <w:rFonts w:ascii="Palatino Linotype" w:eastAsia="Palatino Linotype" w:hAnsi="Palatino Linotype" w:cs="Palatino Linotype"/>
          <w:i/>
          <w:sz w:val="20"/>
          <w:szCs w:val="20"/>
        </w:rPr>
      </w:pPr>
      <w:r w:rsidRPr="006A70FC">
        <w:rPr>
          <w:rFonts w:ascii="Palatino Linotype" w:eastAsia="Palatino Linotype" w:hAnsi="Palatino Linotype" w:cs="Palatino Linotype"/>
          <w:i/>
          <w:sz w:val="20"/>
          <w:szCs w:val="20"/>
        </w:rPr>
        <w:t xml:space="preserve">Para la entrega de información en versión pública, se deberá emitir el Acuerdo del Comité de Transparencia de acuerdo con la Ley de Transparencia y Acceso a la Información Pública del Estado de México y Municipios, en el que funde y motive las razones sobre los datos que se supriman, mismo que también hará de conocimiento de la parte </w:t>
      </w:r>
      <w:r w:rsidRPr="006A70FC">
        <w:rPr>
          <w:rFonts w:ascii="Palatino Linotype" w:eastAsia="Palatino Linotype" w:hAnsi="Palatino Linotype" w:cs="Palatino Linotype"/>
          <w:b/>
          <w:i/>
          <w:sz w:val="20"/>
          <w:szCs w:val="20"/>
        </w:rPr>
        <w:t>Recurrente.</w:t>
      </w:r>
    </w:p>
    <w:p w14:paraId="6B12F0AC" w14:textId="7B79EEBD" w:rsidR="00193AE1" w:rsidRPr="006A70FC" w:rsidRDefault="00193AE1" w:rsidP="00193AE1">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b/>
          <w:sz w:val="22"/>
          <w:szCs w:val="22"/>
        </w:rPr>
        <w:t xml:space="preserve">Tercero. Notifíquese, </w:t>
      </w:r>
      <w:r w:rsidRPr="006A70FC">
        <w:rPr>
          <w:rFonts w:ascii="Palatino Linotype" w:eastAsia="Palatino Linotype" w:hAnsi="Palatino Linotype" w:cs="Palatino Linotype"/>
          <w:sz w:val="22"/>
          <w:szCs w:val="22"/>
        </w:rPr>
        <w:t xml:space="preserve">vía </w:t>
      </w:r>
      <w:r w:rsidRPr="006A70FC">
        <w:rPr>
          <w:rFonts w:ascii="Palatino Linotype" w:eastAsia="Palatino Linotype" w:hAnsi="Palatino Linotype" w:cs="Palatino Linotype"/>
          <w:b/>
          <w:sz w:val="22"/>
          <w:szCs w:val="22"/>
        </w:rPr>
        <w:t>SAIMEX</w:t>
      </w:r>
      <w:r w:rsidRPr="006A70FC">
        <w:rPr>
          <w:rFonts w:ascii="Palatino Linotype" w:eastAsia="Palatino Linotype" w:hAnsi="Palatino Linotype" w:cs="Palatino Linotype"/>
          <w:sz w:val="22"/>
          <w:szCs w:val="22"/>
        </w:rPr>
        <w:t xml:space="preserve">, al Titular de la Unidad de Transparencia del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A7DBDD" w14:textId="77777777" w:rsidR="00193AE1" w:rsidRPr="006A70FC" w:rsidRDefault="00193AE1" w:rsidP="00193AE1">
      <w:pPr>
        <w:spacing w:before="240" w:after="240" w:line="360" w:lineRule="auto"/>
        <w:jc w:val="both"/>
        <w:rPr>
          <w:rFonts w:ascii="Palatino Linotype" w:eastAsia="Palatino Linotype" w:hAnsi="Palatino Linotype" w:cs="Palatino Linotype"/>
          <w:sz w:val="22"/>
          <w:szCs w:val="22"/>
        </w:rPr>
      </w:pPr>
      <w:r w:rsidRPr="006A70FC">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6A70FC">
        <w:rPr>
          <w:rFonts w:ascii="Palatino Linotype" w:eastAsia="Palatino Linotype" w:hAnsi="Palatino Linotype" w:cs="Palatino Linotype"/>
          <w:b/>
          <w:sz w:val="22"/>
          <w:szCs w:val="22"/>
        </w:rPr>
        <w:t>Sujeto Obligado</w:t>
      </w:r>
      <w:r w:rsidRPr="006A70FC">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52AA7DFB" w14:textId="77777777" w:rsidR="00193AE1" w:rsidRPr="006A70FC" w:rsidRDefault="00193AE1" w:rsidP="00193AE1">
      <w:pPr>
        <w:spacing w:before="240" w:after="240" w:line="360" w:lineRule="auto"/>
        <w:jc w:val="both"/>
        <w:rPr>
          <w:rFonts w:ascii="Palatino Linotype" w:eastAsia="Palatino Linotype" w:hAnsi="Palatino Linotype" w:cs="Palatino Linotype"/>
          <w:sz w:val="22"/>
          <w:szCs w:val="22"/>
        </w:rPr>
      </w:pPr>
      <w:bookmarkStart w:id="12" w:name="_heading=h.17dp8vu" w:colFirst="0" w:colLast="0"/>
      <w:bookmarkEnd w:id="12"/>
      <w:r w:rsidRPr="006A70FC">
        <w:rPr>
          <w:rFonts w:ascii="Palatino Linotype" w:eastAsia="Palatino Linotype" w:hAnsi="Palatino Linotype" w:cs="Palatino Linotype"/>
          <w:b/>
          <w:sz w:val="22"/>
          <w:szCs w:val="22"/>
        </w:rPr>
        <w:t xml:space="preserve">Cuarto.  Notifíquese, </w:t>
      </w:r>
      <w:r w:rsidRPr="006A70FC">
        <w:rPr>
          <w:rFonts w:ascii="Palatino Linotype" w:eastAsia="Palatino Linotype" w:hAnsi="Palatino Linotype" w:cs="Palatino Linotype"/>
          <w:sz w:val="22"/>
          <w:szCs w:val="22"/>
        </w:rPr>
        <w:t xml:space="preserve">vía </w:t>
      </w:r>
      <w:r w:rsidRPr="006A70FC">
        <w:rPr>
          <w:rFonts w:ascii="Palatino Linotype" w:eastAsia="Palatino Linotype" w:hAnsi="Palatino Linotype" w:cs="Palatino Linotype"/>
          <w:b/>
          <w:sz w:val="22"/>
          <w:szCs w:val="22"/>
        </w:rPr>
        <w:t>SAIMEX</w:t>
      </w:r>
      <w:r w:rsidRPr="006A70FC">
        <w:rPr>
          <w:rFonts w:ascii="Palatino Linotype" w:eastAsia="Palatino Linotype" w:hAnsi="Palatino Linotype" w:cs="Palatino Linotype"/>
          <w:sz w:val="22"/>
          <w:szCs w:val="22"/>
        </w:rPr>
        <w:t xml:space="preserve">, a la parte </w:t>
      </w:r>
      <w:r w:rsidRPr="006A70FC">
        <w:rPr>
          <w:rFonts w:ascii="Palatino Linotype" w:eastAsia="Palatino Linotype" w:hAnsi="Palatino Linotype" w:cs="Palatino Linotype"/>
          <w:b/>
          <w:sz w:val="22"/>
          <w:szCs w:val="22"/>
        </w:rPr>
        <w:t>Recurrente</w:t>
      </w:r>
      <w:r w:rsidRPr="006A70FC">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D598642" w14:textId="052DA775" w:rsidR="00562A90" w:rsidRPr="006A70FC" w:rsidRDefault="0062255D">
      <w:pPr>
        <w:tabs>
          <w:tab w:val="left" w:pos="8647"/>
        </w:tabs>
        <w:spacing w:before="240" w:after="240" w:line="360" w:lineRule="auto"/>
        <w:ind w:right="51"/>
        <w:jc w:val="both"/>
        <w:rPr>
          <w:rFonts w:ascii="Palatino Linotype" w:eastAsia="Palatino Linotype" w:hAnsi="Palatino Linotype" w:cs="Palatino Linotype"/>
          <w:sz w:val="22"/>
          <w:szCs w:val="22"/>
        </w:rPr>
      </w:pPr>
      <w:bookmarkStart w:id="13" w:name="_heading=h.lnxbz9" w:colFirst="0" w:colLast="0"/>
      <w:bookmarkEnd w:id="13"/>
      <w:r w:rsidRPr="006A70FC">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06527" w:rsidRPr="006A70FC">
        <w:rPr>
          <w:rFonts w:ascii="Palatino Linotype" w:eastAsia="Palatino Linotype" w:hAnsi="Palatino Linotype" w:cs="Palatino Linotype"/>
          <w:sz w:val="22"/>
          <w:szCs w:val="22"/>
        </w:rPr>
        <w:t>OCTAVA</w:t>
      </w:r>
      <w:r w:rsidR="000F04D3"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sz w:val="22"/>
          <w:szCs w:val="22"/>
        </w:rPr>
        <w:t xml:space="preserve">SESIÓN ORDINARIA CELEBRADA EL </w:t>
      </w:r>
      <w:r w:rsidR="00706527" w:rsidRPr="006A70FC">
        <w:rPr>
          <w:rFonts w:ascii="Palatino Linotype" w:eastAsia="Palatino Linotype" w:hAnsi="Palatino Linotype" w:cs="Palatino Linotype"/>
          <w:sz w:val="22"/>
          <w:szCs w:val="22"/>
        </w:rPr>
        <w:t>CINCO DE MARZO</w:t>
      </w:r>
      <w:r w:rsidR="000F04D3" w:rsidRPr="006A70FC">
        <w:rPr>
          <w:rFonts w:ascii="Palatino Linotype" w:eastAsia="Palatino Linotype" w:hAnsi="Palatino Linotype" w:cs="Palatino Linotype"/>
          <w:sz w:val="22"/>
          <w:szCs w:val="22"/>
        </w:rPr>
        <w:t xml:space="preserve"> </w:t>
      </w:r>
      <w:r w:rsidRPr="006A70FC">
        <w:rPr>
          <w:rFonts w:ascii="Palatino Linotype" w:eastAsia="Palatino Linotype" w:hAnsi="Palatino Linotype" w:cs="Palatino Linotype"/>
          <w:sz w:val="22"/>
          <w:szCs w:val="22"/>
        </w:rPr>
        <w:t>DE DOS MIL VEINTI</w:t>
      </w:r>
      <w:r w:rsidR="00DB7822" w:rsidRPr="006A70FC">
        <w:rPr>
          <w:rFonts w:ascii="Palatino Linotype" w:eastAsia="Palatino Linotype" w:hAnsi="Palatino Linotype" w:cs="Palatino Linotype"/>
          <w:sz w:val="22"/>
          <w:szCs w:val="22"/>
        </w:rPr>
        <w:t>S</w:t>
      </w:r>
      <w:r w:rsidR="000F04D3" w:rsidRPr="006A70FC">
        <w:rPr>
          <w:rFonts w:ascii="Palatino Linotype" w:eastAsia="Palatino Linotype" w:hAnsi="Palatino Linotype" w:cs="Palatino Linotype"/>
          <w:sz w:val="22"/>
          <w:szCs w:val="22"/>
        </w:rPr>
        <w:t>ÉI</w:t>
      </w:r>
      <w:r w:rsidR="00DB7822" w:rsidRPr="006A70FC">
        <w:rPr>
          <w:rFonts w:ascii="Palatino Linotype" w:eastAsia="Palatino Linotype" w:hAnsi="Palatino Linotype" w:cs="Palatino Linotype"/>
          <w:sz w:val="22"/>
          <w:szCs w:val="22"/>
        </w:rPr>
        <w:t>S</w:t>
      </w:r>
      <w:r w:rsidRPr="006A70FC">
        <w:rPr>
          <w:rFonts w:ascii="Palatino Linotype" w:eastAsia="Palatino Linotype" w:hAnsi="Palatino Linotype" w:cs="Palatino Linotype"/>
          <w:sz w:val="22"/>
          <w:szCs w:val="22"/>
        </w:rPr>
        <w:t>, ANTE EL SECRETARIO TÉCNICO DEL PLENO ALEXIS TAPIA RAMÍREZ.</w:t>
      </w:r>
    </w:p>
    <w:p w14:paraId="7E80776D"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21728E8E" w14:textId="77777777" w:rsidR="00562A90" w:rsidRPr="006A70FC" w:rsidRDefault="00562A90">
      <w:pPr>
        <w:spacing w:line="360" w:lineRule="auto"/>
        <w:jc w:val="center"/>
        <w:rPr>
          <w:rFonts w:ascii="Palatino Linotype" w:eastAsia="Palatino Linotype" w:hAnsi="Palatino Linotype" w:cs="Palatino Linotype"/>
          <w:sz w:val="22"/>
          <w:szCs w:val="22"/>
        </w:rPr>
      </w:pPr>
    </w:p>
    <w:p w14:paraId="42D39E19"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4B650DFB"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7ED63B69"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7BB21431"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79BD8F1D"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78283A5A"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3A538169"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30987695"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6409F902"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6DA2BB7C"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16FF6442"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5EB5F424"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056403D1"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68F30A44"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4EDDCC63"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2DF6CB35"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6FDE708A"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4390587E" w14:textId="77777777" w:rsidR="00562A90" w:rsidRPr="006A70FC" w:rsidRDefault="00562A90">
      <w:pPr>
        <w:spacing w:line="360" w:lineRule="auto"/>
        <w:jc w:val="both"/>
        <w:rPr>
          <w:rFonts w:ascii="Palatino Linotype" w:eastAsia="Palatino Linotype" w:hAnsi="Palatino Linotype" w:cs="Palatino Linotype"/>
          <w:sz w:val="22"/>
          <w:szCs w:val="22"/>
        </w:rPr>
      </w:pPr>
    </w:p>
    <w:p w14:paraId="5F867AD1" w14:textId="77777777" w:rsidR="00CD09AE" w:rsidRPr="006A70FC" w:rsidRDefault="00CD09AE">
      <w:pPr>
        <w:spacing w:line="360" w:lineRule="auto"/>
        <w:jc w:val="both"/>
        <w:rPr>
          <w:rFonts w:ascii="Palatino Linotype" w:eastAsia="Palatino Linotype" w:hAnsi="Palatino Linotype" w:cs="Palatino Linotype"/>
          <w:sz w:val="22"/>
          <w:szCs w:val="22"/>
        </w:rPr>
      </w:pPr>
    </w:p>
    <w:p w14:paraId="45229870" w14:textId="77777777" w:rsidR="00CD09AE" w:rsidRPr="006A70FC" w:rsidRDefault="00CD09AE">
      <w:pPr>
        <w:spacing w:line="360" w:lineRule="auto"/>
        <w:jc w:val="both"/>
        <w:rPr>
          <w:rFonts w:ascii="Palatino Linotype" w:eastAsia="Palatino Linotype" w:hAnsi="Palatino Linotype" w:cs="Palatino Linotype"/>
          <w:sz w:val="22"/>
          <w:szCs w:val="22"/>
        </w:rPr>
      </w:pPr>
    </w:p>
    <w:p w14:paraId="5B3EEBD5" w14:textId="77777777" w:rsidR="00CD09AE" w:rsidRPr="006A70FC" w:rsidRDefault="00CD09AE">
      <w:pPr>
        <w:spacing w:line="360" w:lineRule="auto"/>
        <w:jc w:val="both"/>
        <w:rPr>
          <w:rFonts w:ascii="Palatino Linotype" w:eastAsia="Palatino Linotype" w:hAnsi="Palatino Linotype" w:cs="Palatino Linotype"/>
          <w:sz w:val="22"/>
          <w:szCs w:val="22"/>
        </w:rPr>
      </w:pPr>
    </w:p>
    <w:sectPr w:rsidR="00CD09AE" w:rsidRPr="006A70FC">
      <w:headerReference w:type="default" r:id="rId11"/>
      <w:footerReference w:type="default" r:id="rId12"/>
      <w:headerReference w:type="first" r:id="rId13"/>
      <w:footerReference w:type="first" r:id="rId14"/>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0933B" w14:textId="77777777" w:rsidR="00FC4D25" w:rsidRDefault="00FC4D25">
      <w:r>
        <w:separator/>
      </w:r>
    </w:p>
  </w:endnote>
  <w:endnote w:type="continuationSeparator" w:id="0">
    <w:p w14:paraId="1C95FBB9" w14:textId="77777777" w:rsidR="00FC4D25" w:rsidRDefault="00FC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2E014" w14:textId="56A96C56" w:rsidR="00823D02" w:rsidRDefault="00823D0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3031F">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3031F">
      <w:rPr>
        <w:rFonts w:ascii="Palatino Linotype" w:eastAsia="Palatino Linotype" w:hAnsi="Palatino Linotype" w:cs="Palatino Linotype"/>
        <w:b/>
        <w:noProof/>
        <w:color w:val="000000"/>
        <w:sz w:val="20"/>
        <w:szCs w:val="20"/>
      </w:rPr>
      <w:t>34</w:t>
    </w:r>
    <w:r>
      <w:rPr>
        <w:rFonts w:ascii="Palatino Linotype" w:eastAsia="Palatino Linotype" w:hAnsi="Palatino Linotype" w:cs="Palatino Linotype"/>
        <w:b/>
        <w:color w:val="000000"/>
        <w:sz w:val="20"/>
        <w:szCs w:val="20"/>
      </w:rPr>
      <w:fldChar w:fldCharType="end"/>
    </w:r>
  </w:p>
  <w:p w14:paraId="49CB52A8" w14:textId="77777777" w:rsidR="00823D02" w:rsidRDefault="00823D02">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9AB5" w14:textId="54B9DF4F" w:rsidR="00823D02" w:rsidRDefault="00823D0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3031F">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3031F">
      <w:rPr>
        <w:rFonts w:ascii="Palatino Linotype" w:eastAsia="Palatino Linotype" w:hAnsi="Palatino Linotype" w:cs="Palatino Linotype"/>
        <w:b/>
        <w:noProof/>
        <w:color w:val="000000"/>
        <w:sz w:val="20"/>
        <w:szCs w:val="20"/>
      </w:rPr>
      <w:t>34</w:t>
    </w:r>
    <w:r>
      <w:rPr>
        <w:rFonts w:ascii="Palatino Linotype" w:eastAsia="Palatino Linotype" w:hAnsi="Palatino Linotype" w:cs="Palatino Linotype"/>
        <w:b/>
        <w:color w:val="000000"/>
        <w:sz w:val="20"/>
        <w:szCs w:val="20"/>
      </w:rPr>
      <w:fldChar w:fldCharType="end"/>
    </w:r>
  </w:p>
  <w:p w14:paraId="21ECF124" w14:textId="77777777" w:rsidR="00823D02" w:rsidRDefault="00823D02">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A6AD2" w14:textId="77777777" w:rsidR="00FC4D25" w:rsidRDefault="00FC4D25">
      <w:r>
        <w:separator/>
      </w:r>
    </w:p>
  </w:footnote>
  <w:footnote w:type="continuationSeparator" w:id="0">
    <w:p w14:paraId="26C82C3F" w14:textId="77777777" w:rsidR="00FC4D25" w:rsidRDefault="00FC4D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AF42" w14:textId="77777777" w:rsidR="00823D02" w:rsidRDefault="00823D02">
    <w:pPr>
      <w:rPr>
        <w:rFonts w:ascii="Cambria" w:eastAsia="Cambria" w:hAnsi="Cambria" w:cs="Cambria"/>
        <w:color w:val="000000"/>
      </w:rPr>
    </w:pPr>
    <w:r>
      <w:rPr>
        <w:noProof/>
      </w:rPr>
      <w:drawing>
        <wp:anchor distT="0" distB="0" distL="0" distR="0" simplePos="0" relativeHeight="251658240" behindDoc="1" locked="0" layoutInCell="1" hidden="0" allowOverlap="1" wp14:anchorId="5A33C493" wp14:editId="0F090F1A">
          <wp:simplePos x="0" y="0"/>
          <wp:positionH relativeFrom="column">
            <wp:posOffset>-1080091</wp:posOffset>
          </wp:positionH>
          <wp:positionV relativeFrom="paragraph">
            <wp:posOffset>-488262</wp:posOffset>
          </wp:positionV>
          <wp:extent cx="7809865" cy="1016571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a"/>
      <w:tblW w:w="5953" w:type="dxa"/>
      <w:tblInd w:w="3261" w:type="dxa"/>
      <w:tblLayout w:type="fixed"/>
      <w:tblLook w:val="0400" w:firstRow="0" w:lastRow="0" w:firstColumn="0" w:lastColumn="0" w:noHBand="0" w:noVBand="1"/>
    </w:tblPr>
    <w:tblGrid>
      <w:gridCol w:w="2489"/>
      <w:gridCol w:w="3464"/>
    </w:tblGrid>
    <w:tr w:rsidR="00823D02" w14:paraId="4679E995" w14:textId="77777777">
      <w:tc>
        <w:tcPr>
          <w:tcW w:w="2489" w:type="dxa"/>
        </w:tcPr>
        <w:p w14:paraId="1CBA62BA"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56A34D7" w14:textId="4F943688" w:rsidR="00823D02" w:rsidRDefault="00982A43" w:rsidP="00C4559C">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w:t>
          </w:r>
          <w:r w:rsidR="00706527">
            <w:rPr>
              <w:rFonts w:ascii="Palatino Linotype" w:eastAsia="Palatino Linotype" w:hAnsi="Palatino Linotype" w:cs="Palatino Linotype"/>
              <w:b/>
              <w:sz w:val="22"/>
              <w:szCs w:val="22"/>
            </w:rPr>
            <w:t>2379</w:t>
          </w:r>
          <w:r w:rsidR="00823D02">
            <w:rPr>
              <w:rFonts w:ascii="Palatino Linotype" w:eastAsia="Palatino Linotype" w:hAnsi="Palatino Linotype" w:cs="Palatino Linotype"/>
              <w:b/>
              <w:sz w:val="22"/>
              <w:szCs w:val="22"/>
            </w:rPr>
            <w:t>/INFOEM/IP/RR/2025</w:t>
          </w:r>
        </w:p>
      </w:tc>
    </w:tr>
    <w:tr w:rsidR="00823D02" w14:paraId="6CFA67DE" w14:textId="77777777">
      <w:trPr>
        <w:trHeight w:val="228"/>
      </w:trPr>
      <w:tc>
        <w:tcPr>
          <w:tcW w:w="2489" w:type="dxa"/>
          <w:vAlign w:val="center"/>
        </w:tcPr>
        <w:p w14:paraId="4E02CBED"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5C5611EC" w14:textId="478ED50A" w:rsidR="00823D02" w:rsidRDefault="00706527">
          <w:pPr>
            <w:ind w:left="-45" w:right="176"/>
            <w:jc w:val="both"/>
            <w:rPr>
              <w:rFonts w:ascii="Palatino Linotype" w:eastAsia="Palatino Linotype" w:hAnsi="Palatino Linotype" w:cs="Palatino Linotype"/>
              <w:b/>
              <w:sz w:val="22"/>
              <w:szCs w:val="22"/>
            </w:rPr>
          </w:pPr>
          <w:r w:rsidRPr="00706527">
            <w:rPr>
              <w:rFonts w:ascii="Palatino Linotype" w:eastAsia="Palatino Linotype" w:hAnsi="Palatino Linotype" w:cs="Palatino Linotype"/>
              <w:b/>
              <w:sz w:val="22"/>
              <w:szCs w:val="22"/>
            </w:rPr>
            <w:t>Consejo Estatal para el Desarrollo Integral de Los Pueblos Indígenas del Estado de México</w:t>
          </w:r>
        </w:p>
      </w:tc>
    </w:tr>
    <w:tr w:rsidR="00823D02" w14:paraId="6FF09322" w14:textId="77777777">
      <w:tc>
        <w:tcPr>
          <w:tcW w:w="2489" w:type="dxa"/>
          <w:vAlign w:val="center"/>
        </w:tcPr>
        <w:p w14:paraId="5D6FA762" w14:textId="77777777" w:rsidR="00823D02" w:rsidRDefault="00823D02">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1F753EA2" w14:textId="77777777" w:rsidR="00823D02" w:rsidRDefault="00823D02">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B4967B9" w14:textId="77777777" w:rsidR="00823D02" w:rsidRDefault="00823D02">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5ECA" w14:textId="77777777" w:rsidR="00823D02" w:rsidRDefault="00823D0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69951343" wp14:editId="30AC9445">
          <wp:simplePos x="0" y="0"/>
          <wp:positionH relativeFrom="column">
            <wp:posOffset>-1080134</wp:posOffset>
          </wp:positionH>
          <wp:positionV relativeFrom="paragraph">
            <wp:posOffset>-369892</wp:posOffset>
          </wp:positionV>
          <wp:extent cx="7809865" cy="1016571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fb"/>
      <w:tblW w:w="5953" w:type="dxa"/>
      <w:tblInd w:w="3261" w:type="dxa"/>
      <w:tblLayout w:type="fixed"/>
      <w:tblLook w:val="0400" w:firstRow="0" w:lastRow="0" w:firstColumn="0" w:lastColumn="0" w:noHBand="0" w:noVBand="1"/>
    </w:tblPr>
    <w:tblGrid>
      <w:gridCol w:w="2489"/>
      <w:gridCol w:w="3464"/>
    </w:tblGrid>
    <w:tr w:rsidR="00823D02" w14:paraId="0800C61A" w14:textId="77777777">
      <w:tc>
        <w:tcPr>
          <w:tcW w:w="2489" w:type="dxa"/>
        </w:tcPr>
        <w:p w14:paraId="45AA4645"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056AB92" w14:textId="4CD5252F" w:rsidR="00823D02" w:rsidRDefault="00C4559C" w:rsidP="000F04D3">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w:t>
          </w:r>
          <w:r w:rsidR="00137117">
            <w:rPr>
              <w:rFonts w:ascii="Palatino Linotype" w:eastAsia="Palatino Linotype" w:hAnsi="Palatino Linotype" w:cs="Palatino Linotype"/>
              <w:b/>
              <w:sz w:val="22"/>
              <w:szCs w:val="22"/>
            </w:rPr>
            <w:t>2379</w:t>
          </w:r>
          <w:r w:rsidR="00823D02">
            <w:rPr>
              <w:rFonts w:ascii="Palatino Linotype" w:eastAsia="Palatino Linotype" w:hAnsi="Palatino Linotype" w:cs="Palatino Linotype"/>
              <w:b/>
              <w:sz w:val="22"/>
              <w:szCs w:val="22"/>
            </w:rPr>
            <w:t>/INFOEM/IP/RR/2025</w:t>
          </w:r>
        </w:p>
      </w:tc>
    </w:tr>
    <w:tr w:rsidR="00823D02" w14:paraId="62298F76" w14:textId="77777777">
      <w:tc>
        <w:tcPr>
          <w:tcW w:w="2489" w:type="dxa"/>
        </w:tcPr>
        <w:p w14:paraId="20BC808E"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7A9C8865" w14:textId="0090F510" w:rsidR="00823D02" w:rsidRPr="00606C35" w:rsidRDefault="00823D02" w:rsidP="00982A43">
          <w:pPr>
            <w:ind w:right="175"/>
            <w:jc w:val="both"/>
            <w:rPr>
              <w:rFonts w:ascii="Palatino Linotype" w:eastAsia="Palatino Linotype" w:hAnsi="Palatino Linotype" w:cs="Palatino Linotype"/>
              <w:b/>
              <w:sz w:val="22"/>
              <w:szCs w:val="22"/>
              <w:highlight w:val="yellow"/>
            </w:rPr>
          </w:pPr>
        </w:p>
      </w:tc>
    </w:tr>
    <w:tr w:rsidR="00823D02" w14:paraId="356DF698" w14:textId="77777777">
      <w:trPr>
        <w:trHeight w:val="228"/>
      </w:trPr>
      <w:tc>
        <w:tcPr>
          <w:tcW w:w="2489" w:type="dxa"/>
          <w:vAlign w:val="center"/>
        </w:tcPr>
        <w:p w14:paraId="6F719CF9"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49FE701" w14:textId="60EE5951" w:rsidR="00823D02" w:rsidRDefault="00706527">
          <w:pPr>
            <w:ind w:left="-45" w:right="176"/>
            <w:jc w:val="both"/>
            <w:rPr>
              <w:rFonts w:ascii="Palatino Linotype" w:eastAsia="Palatino Linotype" w:hAnsi="Palatino Linotype" w:cs="Palatino Linotype"/>
              <w:b/>
              <w:sz w:val="22"/>
              <w:szCs w:val="22"/>
            </w:rPr>
          </w:pPr>
          <w:r w:rsidRPr="00706527">
            <w:rPr>
              <w:rFonts w:ascii="Palatino Linotype" w:eastAsia="Palatino Linotype" w:hAnsi="Palatino Linotype" w:cs="Palatino Linotype"/>
              <w:b/>
              <w:sz w:val="22"/>
              <w:szCs w:val="22"/>
            </w:rPr>
            <w:t>Consejo Estatal para el Desarrollo Integral de Los Pueblos Indígenas del Estado de México</w:t>
          </w:r>
        </w:p>
      </w:tc>
    </w:tr>
    <w:tr w:rsidR="00823D02" w14:paraId="70857C53" w14:textId="77777777">
      <w:tc>
        <w:tcPr>
          <w:tcW w:w="2489" w:type="dxa"/>
          <w:vAlign w:val="center"/>
        </w:tcPr>
        <w:p w14:paraId="5699E7FB" w14:textId="77777777" w:rsidR="00823D02" w:rsidRDefault="00823D02">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69655BF4" w14:textId="77777777" w:rsidR="00823D02" w:rsidRDefault="00823D02">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BFF7071" w14:textId="77777777" w:rsidR="00823D02" w:rsidRDefault="00823D0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7F2618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7BECFB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D4E1E8B"/>
    <w:multiLevelType w:val="multilevel"/>
    <w:tmpl w:val="C9264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745E62"/>
    <w:multiLevelType w:val="hybridMultilevel"/>
    <w:tmpl w:val="817CDA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5329F5"/>
    <w:multiLevelType w:val="multilevel"/>
    <w:tmpl w:val="A6488AC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A915B4D"/>
    <w:multiLevelType w:val="multilevel"/>
    <w:tmpl w:val="DFECD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084782"/>
    <w:multiLevelType w:val="hybridMultilevel"/>
    <w:tmpl w:val="6A5CB0CE"/>
    <w:lvl w:ilvl="0" w:tplc="783622CA">
      <w:start w:val="1"/>
      <w:numFmt w:val="decimal"/>
      <w:lvlText w:val="%1."/>
      <w:lvlJc w:val="left"/>
      <w:pPr>
        <w:ind w:left="644" w:hanging="360"/>
      </w:pPr>
      <w:rPr>
        <w:rFonts w:hint="default"/>
        <w:b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7" w15:restartNumberingAfterBreak="0">
    <w:nsid w:val="278428E8"/>
    <w:multiLevelType w:val="multilevel"/>
    <w:tmpl w:val="05FE5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FA62C2"/>
    <w:multiLevelType w:val="multilevel"/>
    <w:tmpl w:val="DCC88850"/>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D706197"/>
    <w:multiLevelType w:val="multilevel"/>
    <w:tmpl w:val="5B7C3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7A7B25"/>
    <w:multiLevelType w:val="hybridMultilevel"/>
    <w:tmpl w:val="6B344ADE"/>
    <w:lvl w:ilvl="0" w:tplc="994C762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526C364D"/>
    <w:multiLevelType w:val="hybridMultilevel"/>
    <w:tmpl w:val="7B608ACC"/>
    <w:lvl w:ilvl="0" w:tplc="F676A41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49A655F"/>
    <w:multiLevelType w:val="multilevel"/>
    <w:tmpl w:val="5DBC5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4E1354D"/>
    <w:multiLevelType w:val="multilevel"/>
    <w:tmpl w:val="0270FEBC"/>
    <w:lvl w:ilvl="0">
      <w:start w:val="1"/>
      <w:numFmt w:val="bullet"/>
      <w:lvlText w:val="-"/>
      <w:lvlJc w:val="left"/>
      <w:pPr>
        <w:ind w:left="3195" w:hanging="359"/>
      </w:pPr>
      <w:rPr>
        <w:rFonts w:ascii="Palatino Linotype" w:eastAsia="Palatino Linotype" w:hAnsi="Palatino Linotype" w:cs="Palatino Linotype"/>
      </w:rPr>
    </w:lvl>
    <w:lvl w:ilvl="1">
      <w:start w:val="1"/>
      <w:numFmt w:val="bullet"/>
      <w:lvlText w:val="o"/>
      <w:lvlJc w:val="left"/>
      <w:pPr>
        <w:ind w:left="3915" w:hanging="360"/>
      </w:pPr>
      <w:rPr>
        <w:rFonts w:ascii="Courier New" w:eastAsia="Courier New" w:hAnsi="Courier New" w:cs="Courier New"/>
      </w:rPr>
    </w:lvl>
    <w:lvl w:ilvl="2">
      <w:start w:val="1"/>
      <w:numFmt w:val="bullet"/>
      <w:lvlText w:val="▪"/>
      <w:lvlJc w:val="left"/>
      <w:pPr>
        <w:ind w:left="4635" w:hanging="360"/>
      </w:pPr>
      <w:rPr>
        <w:rFonts w:ascii="Noto Sans Symbols" w:eastAsia="Noto Sans Symbols" w:hAnsi="Noto Sans Symbols" w:cs="Noto Sans Symbols"/>
      </w:rPr>
    </w:lvl>
    <w:lvl w:ilvl="3">
      <w:start w:val="1"/>
      <w:numFmt w:val="bullet"/>
      <w:lvlText w:val="●"/>
      <w:lvlJc w:val="left"/>
      <w:pPr>
        <w:ind w:left="5355" w:hanging="360"/>
      </w:pPr>
      <w:rPr>
        <w:rFonts w:ascii="Noto Sans Symbols" w:eastAsia="Noto Sans Symbols" w:hAnsi="Noto Sans Symbols" w:cs="Noto Sans Symbols"/>
      </w:rPr>
    </w:lvl>
    <w:lvl w:ilvl="4">
      <w:start w:val="1"/>
      <w:numFmt w:val="bullet"/>
      <w:lvlText w:val="o"/>
      <w:lvlJc w:val="left"/>
      <w:pPr>
        <w:ind w:left="6075" w:hanging="360"/>
      </w:pPr>
      <w:rPr>
        <w:rFonts w:ascii="Courier New" w:eastAsia="Courier New" w:hAnsi="Courier New" w:cs="Courier New"/>
      </w:rPr>
    </w:lvl>
    <w:lvl w:ilvl="5">
      <w:start w:val="1"/>
      <w:numFmt w:val="bullet"/>
      <w:lvlText w:val="▪"/>
      <w:lvlJc w:val="left"/>
      <w:pPr>
        <w:ind w:left="6795" w:hanging="360"/>
      </w:pPr>
      <w:rPr>
        <w:rFonts w:ascii="Noto Sans Symbols" w:eastAsia="Noto Sans Symbols" w:hAnsi="Noto Sans Symbols" w:cs="Noto Sans Symbols"/>
      </w:rPr>
    </w:lvl>
    <w:lvl w:ilvl="6">
      <w:start w:val="1"/>
      <w:numFmt w:val="bullet"/>
      <w:lvlText w:val="●"/>
      <w:lvlJc w:val="left"/>
      <w:pPr>
        <w:ind w:left="7515" w:hanging="360"/>
      </w:pPr>
      <w:rPr>
        <w:rFonts w:ascii="Noto Sans Symbols" w:eastAsia="Noto Sans Symbols" w:hAnsi="Noto Sans Symbols" w:cs="Noto Sans Symbols"/>
      </w:rPr>
    </w:lvl>
    <w:lvl w:ilvl="7">
      <w:start w:val="1"/>
      <w:numFmt w:val="bullet"/>
      <w:lvlText w:val="o"/>
      <w:lvlJc w:val="left"/>
      <w:pPr>
        <w:ind w:left="8235" w:hanging="360"/>
      </w:pPr>
      <w:rPr>
        <w:rFonts w:ascii="Courier New" w:eastAsia="Courier New" w:hAnsi="Courier New" w:cs="Courier New"/>
      </w:rPr>
    </w:lvl>
    <w:lvl w:ilvl="8">
      <w:start w:val="1"/>
      <w:numFmt w:val="bullet"/>
      <w:lvlText w:val="▪"/>
      <w:lvlJc w:val="left"/>
      <w:pPr>
        <w:ind w:left="8955" w:hanging="360"/>
      </w:pPr>
      <w:rPr>
        <w:rFonts w:ascii="Noto Sans Symbols" w:eastAsia="Noto Sans Symbols" w:hAnsi="Noto Sans Symbols" w:cs="Noto Sans Symbols"/>
      </w:rPr>
    </w:lvl>
  </w:abstractNum>
  <w:abstractNum w:abstractNumId="14" w15:restartNumberingAfterBreak="0">
    <w:nsid w:val="760A21EC"/>
    <w:multiLevelType w:val="hybridMultilevel"/>
    <w:tmpl w:val="52F2A082"/>
    <w:lvl w:ilvl="0" w:tplc="1E9A82B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5" w15:restartNumberingAfterBreak="0">
    <w:nsid w:val="7ED3330D"/>
    <w:multiLevelType w:val="multilevel"/>
    <w:tmpl w:val="7CAE87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8"/>
  </w:num>
  <w:num w:numId="2">
    <w:abstractNumId w:val="6"/>
  </w:num>
  <w:num w:numId="3">
    <w:abstractNumId w:val="4"/>
  </w:num>
  <w:num w:numId="4">
    <w:abstractNumId w:val="12"/>
  </w:num>
  <w:num w:numId="5">
    <w:abstractNumId w:val="13"/>
  </w:num>
  <w:num w:numId="6">
    <w:abstractNumId w:val="5"/>
  </w:num>
  <w:num w:numId="7">
    <w:abstractNumId w:val="11"/>
  </w:num>
  <w:num w:numId="8">
    <w:abstractNumId w:val="2"/>
  </w:num>
  <w:num w:numId="9">
    <w:abstractNumId w:val="1"/>
  </w:num>
  <w:num w:numId="10">
    <w:abstractNumId w:val="0"/>
  </w:num>
  <w:num w:numId="11">
    <w:abstractNumId w:val="3"/>
  </w:num>
  <w:num w:numId="12">
    <w:abstractNumId w:val="7"/>
  </w:num>
  <w:num w:numId="13">
    <w:abstractNumId w:val="9"/>
  </w:num>
  <w:num w:numId="14">
    <w:abstractNumId w:val="10"/>
  </w:num>
  <w:num w:numId="15">
    <w:abstractNumId w:val="1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90"/>
    <w:rsid w:val="00007B60"/>
    <w:rsid w:val="00010410"/>
    <w:rsid w:val="0001097C"/>
    <w:rsid w:val="00013B4C"/>
    <w:rsid w:val="000154BF"/>
    <w:rsid w:val="00016E26"/>
    <w:rsid w:val="0001741E"/>
    <w:rsid w:val="0002069B"/>
    <w:rsid w:val="00024E98"/>
    <w:rsid w:val="000301F3"/>
    <w:rsid w:val="00035057"/>
    <w:rsid w:val="000427D6"/>
    <w:rsid w:val="00042B5C"/>
    <w:rsid w:val="00044464"/>
    <w:rsid w:val="00044B18"/>
    <w:rsid w:val="000477B0"/>
    <w:rsid w:val="000517B9"/>
    <w:rsid w:val="000544D6"/>
    <w:rsid w:val="000546AF"/>
    <w:rsid w:val="00056BCC"/>
    <w:rsid w:val="00057964"/>
    <w:rsid w:val="00070C5F"/>
    <w:rsid w:val="0007137F"/>
    <w:rsid w:val="000723BC"/>
    <w:rsid w:val="00073703"/>
    <w:rsid w:val="00080D86"/>
    <w:rsid w:val="00080F70"/>
    <w:rsid w:val="00082489"/>
    <w:rsid w:val="00085150"/>
    <w:rsid w:val="000926B8"/>
    <w:rsid w:val="00092E73"/>
    <w:rsid w:val="00092F84"/>
    <w:rsid w:val="000A3026"/>
    <w:rsid w:val="000A48FE"/>
    <w:rsid w:val="000A6387"/>
    <w:rsid w:val="000B3672"/>
    <w:rsid w:val="000B73B6"/>
    <w:rsid w:val="000B7E15"/>
    <w:rsid w:val="000C2629"/>
    <w:rsid w:val="000C44A9"/>
    <w:rsid w:val="000D6A53"/>
    <w:rsid w:val="000D6DE3"/>
    <w:rsid w:val="000E37EB"/>
    <w:rsid w:val="000E4D56"/>
    <w:rsid w:val="000E598C"/>
    <w:rsid w:val="000E700F"/>
    <w:rsid w:val="000F046A"/>
    <w:rsid w:val="000F04D3"/>
    <w:rsid w:val="000F6357"/>
    <w:rsid w:val="000F7088"/>
    <w:rsid w:val="00102F29"/>
    <w:rsid w:val="0010347F"/>
    <w:rsid w:val="0010490E"/>
    <w:rsid w:val="001050DE"/>
    <w:rsid w:val="00105B4D"/>
    <w:rsid w:val="001062CC"/>
    <w:rsid w:val="001128C8"/>
    <w:rsid w:val="00116DA6"/>
    <w:rsid w:val="00117A90"/>
    <w:rsid w:val="0012179F"/>
    <w:rsid w:val="00123D9A"/>
    <w:rsid w:val="00130FEC"/>
    <w:rsid w:val="00137117"/>
    <w:rsid w:val="00142B50"/>
    <w:rsid w:val="00144F62"/>
    <w:rsid w:val="00145E45"/>
    <w:rsid w:val="0015439E"/>
    <w:rsid w:val="00154635"/>
    <w:rsid w:val="00155DE2"/>
    <w:rsid w:val="00163A18"/>
    <w:rsid w:val="00165889"/>
    <w:rsid w:val="00166F11"/>
    <w:rsid w:val="00172883"/>
    <w:rsid w:val="00173855"/>
    <w:rsid w:val="0017486E"/>
    <w:rsid w:val="001772A1"/>
    <w:rsid w:val="00177FD6"/>
    <w:rsid w:val="00185230"/>
    <w:rsid w:val="00187EDF"/>
    <w:rsid w:val="00187EEC"/>
    <w:rsid w:val="00191451"/>
    <w:rsid w:val="0019146A"/>
    <w:rsid w:val="00193AE1"/>
    <w:rsid w:val="0019402C"/>
    <w:rsid w:val="001945A3"/>
    <w:rsid w:val="00195067"/>
    <w:rsid w:val="00196087"/>
    <w:rsid w:val="0019691D"/>
    <w:rsid w:val="00197136"/>
    <w:rsid w:val="001A1A4D"/>
    <w:rsid w:val="001A23E1"/>
    <w:rsid w:val="001A41F7"/>
    <w:rsid w:val="001A60C5"/>
    <w:rsid w:val="001A7E45"/>
    <w:rsid w:val="001B0D75"/>
    <w:rsid w:val="001B39D2"/>
    <w:rsid w:val="001B46C6"/>
    <w:rsid w:val="001E2948"/>
    <w:rsid w:val="001E45D7"/>
    <w:rsid w:val="001E76A9"/>
    <w:rsid w:val="001F0BCC"/>
    <w:rsid w:val="001F0D0B"/>
    <w:rsid w:val="001F1281"/>
    <w:rsid w:val="001F3478"/>
    <w:rsid w:val="00200C63"/>
    <w:rsid w:val="002046D3"/>
    <w:rsid w:val="00212973"/>
    <w:rsid w:val="002217B7"/>
    <w:rsid w:val="002263A0"/>
    <w:rsid w:val="00227EDF"/>
    <w:rsid w:val="002305F2"/>
    <w:rsid w:val="002335D9"/>
    <w:rsid w:val="002362E4"/>
    <w:rsid w:val="002433C5"/>
    <w:rsid w:val="0024414D"/>
    <w:rsid w:val="00251581"/>
    <w:rsid w:val="00251917"/>
    <w:rsid w:val="00251F6A"/>
    <w:rsid w:val="00252EAE"/>
    <w:rsid w:val="00253125"/>
    <w:rsid w:val="00256BFD"/>
    <w:rsid w:val="00256D36"/>
    <w:rsid w:val="00257D93"/>
    <w:rsid w:val="002704DA"/>
    <w:rsid w:val="002733D6"/>
    <w:rsid w:val="00273853"/>
    <w:rsid w:val="00273FF8"/>
    <w:rsid w:val="00274F92"/>
    <w:rsid w:val="002759E8"/>
    <w:rsid w:val="00277C5E"/>
    <w:rsid w:val="00285665"/>
    <w:rsid w:val="00285C22"/>
    <w:rsid w:val="00286DF8"/>
    <w:rsid w:val="002905AC"/>
    <w:rsid w:val="00290744"/>
    <w:rsid w:val="00290CED"/>
    <w:rsid w:val="00291E03"/>
    <w:rsid w:val="002929C0"/>
    <w:rsid w:val="0029329E"/>
    <w:rsid w:val="002A7D22"/>
    <w:rsid w:val="002B3CD9"/>
    <w:rsid w:val="002B4E65"/>
    <w:rsid w:val="002B70DC"/>
    <w:rsid w:val="002B7925"/>
    <w:rsid w:val="002C4768"/>
    <w:rsid w:val="002C71C1"/>
    <w:rsid w:val="002C76D3"/>
    <w:rsid w:val="002C7F26"/>
    <w:rsid w:val="002D1405"/>
    <w:rsid w:val="002D1845"/>
    <w:rsid w:val="002D2C56"/>
    <w:rsid w:val="002D339B"/>
    <w:rsid w:val="002D3CA2"/>
    <w:rsid w:val="002E2127"/>
    <w:rsid w:val="002E233E"/>
    <w:rsid w:val="002E2779"/>
    <w:rsid w:val="002E4F59"/>
    <w:rsid w:val="002F09D0"/>
    <w:rsid w:val="002F0D5B"/>
    <w:rsid w:val="002F1DF9"/>
    <w:rsid w:val="002F76BE"/>
    <w:rsid w:val="002F7D86"/>
    <w:rsid w:val="00302D15"/>
    <w:rsid w:val="00313224"/>
    <w:rsid w:val="00316C2A"/>
    <w:rsid w:val="0031732B"/>
    <w:rsid w:val="0032051B"/>
    <w:rsid w:val="00320E15"/>
    <w:rsid w:val="00323E61"/>
    <w:rsid w:val="00327333"/>
    <w:rsid w:val="0033031F"/>
    <w:rsid w:val="00331EE8"/>
    <w:rsid w:val="00332040"/>
    <w:rsid w:val="003329F7"/>
    <w:rsid w:val="00335BF1"/>
    <w:rsid w:val="003366B5"/>
    <w:rsid w:val="00336B49"/>
    <w:rsid w:val="00337D82"/>
    <w:rsid w:val="00343411"/>
    <w:rsid w:val="00343DD1"/>
    <w:rsid w:val="003441C4"/>
    <w:rsid w:val="00344E58"/>
    <w:rsid w:val="0034706E"/>
    <w:rsid w:val="003525D9"/>
    <w:rsid w:val="003637C7"/>
    <w:rsid w:val="00365716"/>
    <w:rsid w:val="003659A8"/>
    <w:rsid w:val="003705B7"/>
    <w:rsid w:val="00370D9C"/>
    <w:rsid w:val="0037155B"/>
    <w:rsid w:val="003735D0"/>
    <w:rsid w:val="00374CBF"/>
    <w:rsid w:val="003773C4"/>
    <w:rsid w:val="003777A7"/>
    <w:rsid w:val="00381A61"/>
    <w:rsid w:val="00381B66"/>
    <w:rsid w:val="00383558"/>
    <w:rsid w:val="003846F2"/>
    <w:rsid w:val="0038512D"/>
    <w:rsid w:val="00386960"/>
    <w:rsid w:val="00397A1B"/>
    <w:rsid w:val="003A0AEB"/>
    <w:rsid w:val="003A3BA9"/>
    <w:rsid w:val="003A5391"/>
    <w:rsid w:val="003A559B"/>
    <w:rsid w:val="003B3D17"/>
    <w:rsid w:val="003B453E"/>
    <w:rsid w:val="003B5570"/>
    <w:rsid w:val="003B65A1"/>
    <w:rsid w:val="003C2C96"/>
    <w:rsid w:val="003C71C4"/>
    <w:rsid w:val="003D2118"/>
    <w:rsid w:val="003D2176"/>
    <w:rsid w:val="003D4903"/>
    <w:rsid w:val="003D5BB6"/>
    <w:rsid w:val="003D68F4"/>
    <w:rsid w:val="003E1AAB"/>
    <w:rsid w:val="003E43DE"/>
    <w:rsid w:val="003E6C03"/>
    <w:rsid w:val="003E6F36"/>
    <w:rsid w:val="003E764C"/>
    <w:rsid w:val="003F02BF"/>
    <w:rsid w:val="003F5943"/>
    <w:rsid w:val="00400CC7"/>
    <w:rsid w:val="00401C9C"/>
    <w:rsid w:val="0040335D"/>
    <w:rsid w:val="0040394B"/>
    <w:rsid w:val="00406C5D"/>
    <w:rsid w:val="00410A4F"/>
    <w:rsid w:val="00415A71"/>
    <w:rsid w:val="0042305D"/>
    <w:rsid w:val="00425597"/>
    <w:rsid w:val="00425F35"/>
    <w:rsid w:val="00426D44"/>
    <w:rsid w:val="00427BE0"/>
    <w:rsid w:val="004314C0"/>
    <w:rsid w:val="0044021A"/>
    <w:rsid w:val="00441300"/>
    <w:rsid w:val="00442099"/>
    <w:rsid w:val="004423E3"/>
    <w:rsid w:val="00442950"/>
    <w:rsid w:val="004442E6"/>
    <w:rsid w:val="00445C80"/>
    <w:rsid w:val="00445F56"/>
    <w:rsid w:val="00446A9F"/>
    <w:rsid w:val="00447DB1"/>
    <w:rsid w:val="00447FC0"/>
    <w:rsid w:val="0045092C"/>
    <w:rsid w:val="00453D2A"/>
    <w:rsid w:val="00464621"/>
    <w:rsid w:val="0047101A"/>
    <w:rsid w:val="00481FE9"/>
    <w:rsid w:val="00482F68"/>
    <w:rsid w:val="0048473F"/>
    <w:rsid w:val="0048548C"/>
    <w:rsid w:val="00485E09"/>
    <w:rsid w:val="004864B2"/>
    <w:rsid w:val="00487ECA"/>
    <w:rsid w:val="00487F13"/>
    <w:rsid w:val="004918B1"/>
    <w:rsid w:val="00492943"/>
    <w:rsid w:val="004A01CE"/>
    <w:rsid w:val="004A3940"/>
    <w:rsid w:val="004A5F1A"/>
    <w:rsid w:val="004A68C0"/>
    <w:rsid w:val="004B105A"/>
    <w:rsid w:val="004B31C3"/>
    <w:rsid w:val="004B50C3"/>
    <w:rsid w:val="004B7E6D"/>
    <w:rsid w:val="004C10EC"/>
    <w:rsid w:val="004C16DF"/>
    <w:rsid w:val="004C32ED"/>
    <w:rsid w:val="004C6885"/>
    <w:rsid w:val="004D456F"/>
    <w:rsid w:val="004D6A6F"/>
    <w:rsid w:val="004D6D53"/>
    <w:rsid w:val="004E05F5"/>
    <w:rsid w:val="004E07A1"/>
    <w:rsid w:val="004E3F9B"/>
    <w:rsid w:val="004E4C62"/>
    <w:rsid w:val="004E4E0D"/>
    <w:rsid w:val="004E560F"/>
    <w:rsid w:val="004F017B"/>
    <w:rsid w:val="004F262F"/>
    <w:rsid w:val="004F3270"/>
    <w:rsid w:val="004F3CA8"/>
    <w:rsid w:val="004F3F24"/>
    <w:rsid w:val="004F6637"/>
    <w:rsid w:val="004F7818"/>
    <w:rsid w:val="0050281B"/>
    <w:rsid w:val="00503188"/>
    <w:rsid w:val="00503745"/>
    <w:rsid w:val="005039C8"/>
    <w:rsid w:val="005045AC"/>
    <w:rsid w:val="00504B04"/>
    <w:rsid w:val="0051150E"/>
    <w:rsid w:val="00511ACC"/>
    <w:rsid w:val="00512DC5"/>
    <w:rsid w:val="00513620"/>
    <w:rsid w:val="00520D54"/>
    <w:rsid w:val="00527F51"/>
    <w:rsid w:val="00530E11"/>
    <w:rsid w:val="00531B5E"/>
    <w:rsid w:val="005374D2"/>
    <w:rsid w:val="005375DC"/>
    <w:rsid w:val="00544C53"/>
    <w:rsid w:val="005504B5"/>
    <w:rsid w:val="00553B63"/>
    <w:rsid w:val="00554CDE"/>
    <w:rsid w:val="005563E2"/>
    <w:rsid w:val="00560092"/>
    <w:rsid w:val="00561B43"/>
    <w:rsid w:val="005626F7"/>
    <w:rsid w:val="00562A90"/>
    <w:rsid w:val="0056342B"/>
    <w:rsid w:val="005725CD"/>
    <w:rsid w:val="005759CD"/>
    <w:rsid w:val="005777EE"/>
    <w:rsid w:val="005779AE"/>
    <w:rsid w:val="00581FC9"/>
    <w:rsid w:val="005833F1"/>
    <w:rsid w:val="00585B4C"/>
    <w:rsid w:val="005867AF"/>
    <w:rsid w:val="00590AB9"/>
    <w:rsid w:val="00593F06"/>
    <w:rsid w:val="00594299"/>
    <w:rsid w:val="005A35CA"/>
    <w:rsid w:val="005A5876"/>
    <w:rsid w:val="005A6803"/>
    <w:rsid w:val="005B13FC"/>
    <w:rsid w:val="005B1C0B"/>
    <w:rsid w:val="005B5B01"/>
    <w:rsid w:val="005B6B1B"/>
    <w:rsid w:val="005C0A55"/>
    <w:rsid w:val="005C40B8"/>
    <w:rsid w:val="005C7AE4"/>
    <w:rsid w:val="005D0945"/>
    <w:rsid w:val="005D261D"/>
    <w:rsid w:val="005D2646"/>
    <w:rsid w:val="005D4F9C"/>
    <w:rsid w:val="005D5307"/>
    <w:rsid w:val="005D59D7"/>
    <w:rsid w:val="005D5B9F"/>
    <w:rsid w:val="005D5DC9"/>
    <w:rsid w:val="005D6FB2"/>
    <w:rsid w:val="005D7519"/>
    <w:rsid w:val="005E19B5"/>
    <w:rsid w:val="005F0996"/>
    <w:rsid w:val="005F5898"/>
    <w:rsid w:val="005F5F2E"/>
    <w:rsid w:val="006014E6"/>
    <w:rsid w:val="0060250F"/>
    <w:rsid w:val="00602A56"/>
    <w:rsid w:val="006035E6"/>
    <w:rsid w:val="006058CA"/>
    <w:rsid w:val="00606953"/>
    <w:rsid w:val="00606C35"/>
    <w:rsid w:val="00611084"/>
    <w:rsid w:val="00611C4A"/>
    <w:rsid w:val="00613AEB"/>
    <w:rsid w:val="00616C68"/>
    <w:rsid w:val="00617CA2"/>
    <w:rsid w:val="00621F2F"/>
    <w:rsid w:val="0062255D"/>
    <w:rsid w:val="00623173"/>
    <w:rsid w:val="006241C9"/>
    <w:rsid w:val="00625B99"/>
    <w:rsid w:val="00630B2A"/>
    <w:rsid w:val="006339DE"/>
    <w:rsid w:val="006341A1"/>
    <w:rsid w:val="00634D1C"/>
    <w:rsid w:val="006422BD"/>
    <w:rsid w:val="00646416"/>
    <w:rsid w:val="00647320"/>
    <w:rsid w:val="006525F8"/>
    <w:rsid w:val="00652E8E"/>
    <w:rsid w:val="00656465"/>
    <w:rsid w:val="00660BE7"/>
    <w:rsid w:val="0066361F"/>
    <w:rsid w:val="00664EE6"/>
    <w:rsid w:val="006653FA"/>
    <w:rsid w:val="0066759F"/>
    <w:rsid w:val="0067401E"/>
    <w:rsid w:val="00680BBB"/>
    <w:rsid w:val="006852D2"/>
    <w:rsid w:val="00685FA0"/>
    <w:rsid w:val="0068770D"/>
    <w:rsid w:val="00690386"/>
    <w:rsid w:val="00691286"/>
    <w:rsid w:val="00693BB0"/>
    <w:rsid w:val="006A4CF1"/>
    <w:rsid w:val="006A70FC"/>
    <w:rsid w:val="006B37D2"/>
    <w:rsid w:val="006B396C"/>
    <w:rsid w:val="006B3E15"/>
    <w:rsid w:val="006B41DD"/>
    <w:rsid w:val="006B519A"/>
    <w:rsid w:val="006B5B3F"/>
    <w:rsid w:val="006B7FBA"/>
    <w:rsid w:val="006C1457"/>
    <w:rsid w:val="006C4B24"/>
    <w:rsid w:val="006C7553"/>
    <w:rsid w:val="006C755C"/>
    <w:rsid w:val="006D0042"/>
    <w:rsid w:val="006D08E6"/>
    <w:rsid w:val="006D1982"/>
    <w:rsid w:val="006D2D3A"/>
    <w:rsid w:val="006D6690"/>
    <w:rsid w:val="006D7A13"/>
    <w:rsid w:val="006E1160"/>
    <w:rsid w:val="006E1F52"/>
    <w:rsid w:val="006E4FFF"/>
    <w:rsid w:val="006E5288"/>
    <w:rsid w:val="006E70D6"/>
    <w:rsid w:val="006F619F"/>
    <w:rsid w:val="0070016E"/>
    <w:rsid w:val="0070132B"/>
    <w:rsid w:val="007014FE"/>
    <w:rsid w:val="00701A9C"/>
    <w:rsid w:val="00704BB0"/>
    <w:rsid w:val="00706527"/>
    <w:rsid w:val="0070764E"/>
    <w:rsid w:val="0071417D"/>
    <w:rsid w:val="007146B1"/>
    <w:rsid w:val="00714DB5"/>
    <w:rsid w:val="00715C4E"/>
    <w:rsid w:val="007169CC"/>
    <w:rsid w:val="00725A92"/>
    <w:rsid w:val="007271E9"/>
    <w:rsid w:val="00736B85"/>
    <w:rsid w:val="00736F00"/>
    <w:rsid w:val="00745EE8"/>
    <w:rsid w:val="00747E76"/>
    <w:rsid w:val="0075193B"/>
    <w:rsid w:val="00751EDF"/>
    <w:rsid w:val="00754910"/>
    <w:rsid w:val="007561CE"/>
    <w:rsid w:val="007610BD"/>
    <w:rsid w:val="007612BF"/>
    <w:rsid w:val="00762E00"/>
    <w:rsid w:val="0076666E"/>
    <w:rsid w:val="0076674E"/>
    <w:rsid w:val="007702A9"/>
    <w:rsid w:val="00776DCE"/>
    <w:rsid w:val="00780601"/>
    <w:rsid w:val="00781809"/>
    <w:rsid w:val="00782F9B"/>
    <w:rsid w:val="00792513"/>
    <w:rsid w:val="00792C4B"/>
    <w:rsid w:val="00794437"/>
    <w:rsid w:val="007A16C4"/>
    <w:rsid w:val="007A1919"/>
    <w:rsid w:val="007A1E0D"/>
    <w:rsid w:val="007A57B6"/>
    <w:rsid w:val="007A661E"/>
    <w:rsid w:val="007B37DB"/>
    <w:rsid w:val="007B46BD"/>
    <w:rsid w:val="007B6326"/>
    <w:rsid w:val="007C3697"/>
    <w:rsid w:val="007C51FC"/>
    <w:rsid w:val="007C556D"/>
    <w:rsid w:val="007C7BBE"/>
    <w:rsid w:val="007D0CA3"/>
    <w:rsid w:val="007D1B31"/>
    <w:rsid w:val="007D3F1C"/>
    <w:rsid w:val="007D4D64"/>
    <w:rsid w:val="007E0A49"/>
    <w:rsid w:val="007E3637"/>
    <w:rsid w:val="007E39EB"/>
    <w:rsid w:val="007E49A8"/>
    <w:rsid w:val="007E5B63"/>
    <w:rsid w:val="007E70A7"/>
    <w:rsid w:val="007F1E1C"/>
    <w:rsid w:val="007F4BD1"/>
    <w:rsid w:val="007F6629"/>
    <w:rsid w:val="007F72C3"/>
    <w:rsid w:val="00801532"/>
    <w:rsid w:val="00802B29"/>
    <w:rsid w:val="00804C97"/>
    <w:rsid w:val="00814FBE"/>
    <w:rsid w:val="00817D68"/>
    <w:rsid w:val="008203F2"/>
    <w:rsid w:val="008208C7"/>
    <w:rsid w:val="00823D02"/>
    <w:rsid w:val="00831010"/>
    <w:rsid w:val="00833C8D"/>
    <w:rsid w:val="008351FA"/>
    <w:rsid w:val="00835277"/>
    <w:rsid w:val="00835BDB"/>
    <w:rsid w:val="00835E7D"/>
    <w:rsid w:val="00836233"/>
    <w:rsid w:val="0083796A"/>
    <w:rsid w:val="00842F89"/>
    <w:rsid w:val="00847E7A"/>
    <w:rsid w:val="008525DE"/>
    <w:rsid w:val="0085269B"/>
    <w:rsid w:val="00856962"/>
    <w:rsid w:val="0086084C"/>
    <w:rsid w:val="00866013"/>
    <w:rsid w:val="008715C7"/>
    <w:rsid w:val="00871F31"/>
    <w:rsid w:val="00873066"/>
    <w:rsid w:val="0087690A"/>
    <w:rsid w:val="00877B8B"/>
    <w:rsid w:val="0088183C"/>
    <w:rsid w:val="008858E6"/>
    <w:rsid w:val="00885D6D"/>
    <w:rsid w:val="00891E94"/>
    <w:rsid w:val="008A065E"/>
    <w:rsid w:val="008A0E2E"/>
    <w:rsid w:val="008A13FF"/>
    <w:rsid w:val="008A72AC"/>
    <w:rsid w:val="008A7390"/>
    <w:rsid w:val="008A7B4A"/>
    <w:rsid w:val="008B0B99"/>
    <w:rsid w:val="008B0C1E"/>
    <w:rsid w:val="008B2E26"/>
    <w:rsid w:val="008B3D4B"/>
    <w:rsid w:val="008B686C"/>
    <w:rsid w:val="008C0285"/>
    <w:rsid w:val="008C1D45"/>
    <w:rsid w:val="008C3AAF"/>
    <w:rsid w:val="008C5299"/>
    <w:rsid w:val="008C5E87"/>
    <w:rsid w:val="008D0063"/>
    <w:rsid w:val="008D132F"/>
    <w:rsid w:val="008D3666"/>
    <w:rsid w:val="008D52CE"/>
    <w:rsid w:val="008D5E7B"/>
    <w:rsid w:val="008D6577"/>
    <w:rsid w:val="008D6B3E"/>
    <w:rsid w:val="008E3CA7"/>
    <w:rsid w:val="008F0AC1"/>
    <w:rsid w:val="008F1D4B"/>
    <w:rsid w:val="008F59A3"/>
    <w:rsid w:val="00900940"/>
    <w:rsid w:val="00902B90"/>
    <w:rsid w:val="00903B49"/>
    <w:rsid w:val="00904214"/>
    <w:rsid w:val="00904E27"/>
    <w:rsid w:val="00906AC0"/>
    <w:rsid w:val="009124A3"/>
    <w:rsid w:val="009158A3"/>
    <w:rsid w:val="00920130"/>
    <w:rsid w:val="00921BA8"/>
    <w:rsid w:val="00923B69"/>
    <w:rsid w:val="00925A66"/>
    <w:rsid w:val="009300FE"/>
    <w:rsid w:val="009339B6"/>
    <w:rsid w:val="00933D2E"/>
    <w:rsid w:val="00934D15"/>
    <w:rsid w:val="00935183"/>
    <w:rsid w:val="009374BB"/>
    <w:rsid w:val="00940B54"/>
    <w:rsid w:val="00940C41"/>
    <w:rsid w:val="00942873"/>
    <w:rsid w:val="009505F2"/>
    <w:rsid w:val="00950C06"/>
    <w:rsid w:val="0095162C"/>
    <w:rsid w:val="009544B1"/>
    <w:rsid w:val="00955078"/>
    <w:rsid w:val="009579EE"/>
    <w:rsid w:val="00957A5C"/>
    <w:rsid w:val="00957E45"/>
    <w:rsid w:val="0096182D"/>
    <w:rsid w:val="00962C60"/>
    <w:rsid w:val="00964506"/>
    <w:rsid w:val="00965B10"/>
    <w:rsid w:val="0096706F"/>
    <w:rsid w:val="009702EC"/>
    <w:rsid w:val="00971AD4"/>
    <w:rsid w:val="00971F18"/>
    <w:rsid w:val="00972387"/>
    <w:rsid w:val="009731A8"/>
    <w:rsid w:val="00973D56"/>
    <w:rsid w:val="00974192"/>
    <w:rsid w:val="00974587"/>
    <w:rsid w:val="00974B1D"/>
    <w:rsid w:val="00982A43"/>
    <w:rsid w:val="00985285"/>
    <w:rsid w:val="00987221"/>
    <w:rsid w:val="009923CC"/>
    <w:rsid w:val="009924A9"/>
    <w:rsid w:val="00992890"/>
    <w:rsid w:val="00995047"/>
    <w:rsid w:val="00997B09"/>
    <w:rsid w:val="009A0DF3"/>
    <w:rsid w:val="009A6CA6"/>
    <w:rsid w:val="009B0BBE"/>
    <w:rsid w:val="009B47F1"/>
    <w:rsid w:val="009B7ACC"/>
    <w:rsid w:val="009C1089"/>
    <w:rsid w:val="009C3A9B"/>
    <w:rsid w:val="009C557D"/>
    <w:rsid w:val="009D3043"/>
    <w:rsid w:val="009D40BF"/>
    <w:rsid w:val="009D56AE"/>
    <w:rsid w:val="009D5AC9"/>
    <w:rsid w:val="009D6DA7"/>
    <w:rsid w:val="009D7C71"/>
    <w:rsid w:val="009E597A"/>
    <w:rsid w:val="009E66E4"/>
    <w:rsid w:val="009E6F7B"/>
    <w:rsid w:val="009E7EAF"/>
    <w:rsid w:val="009F387F"/>
    <w:rsid w:val="009F5F94"/>
    <w:rsid w:val="009F66A2"/>
    <w:rsid w:val="009F704A"/>
    <w:rsid w:val="00A003FF"/>
    <w:rsid w:val="00A00FA7"/>
    <w:rsid w:val="00A0520F"/>
    <w:rsid w:val="00A14002"/>
    <w:rsid w:val="00A151D4"/>
    <w:rsid w:val="00A20624"/>
    <w:rsid w:val="00A211BA"/>
    <w:rsid w:val="00A21B6E"/>
    <w:rsid w:val="00A25741"/>
    <w:rsid w:val="00A25D66"/>
    <w:rsid w:val="00A3197C"/>
    <w:rsid w:val="00A332E5"/>
    <w:rsid w:val="00A43F2F"/>
    <w:rsid w:val="00A4550B"/>
    <w:rsid w:val="00A51913"/>
    <w:rsid w:val="00A51AA4"/>
    <w:rsid w:val="00A51B9D"/>
    <w:rsid w:val="00A51EEE"/>
    <w:rsid w:val="00A56BC6"/>
    <w:rsid w:val="00A570AA"/>
    <w:rsid w:val="00A57326"/>
    <w:rsid w:val="00A63029"/>
    <w:rsid w:val="00A73FD6"/>
    <w:rsid w:val="00A76C70"/>
    <w:rsid w:val="00A773C9"/>
    <w:rsid w:val="00A8219B"/>
    <w:rsid w:val="00A83C55"/>
    <w:rsid w:val="00A84BFD"/>
    <w:rsid w:val="00A86924"/>
    <w:rsid w:val="00A878CB"/>
    <w:rsid w:val="00A8793A"/>
    <w:rsid w:val="00A9435D"/>
    <w:rsid w:val="00AA4CD7"/>
    <w:rsid w:val="00AA5ECB"/>
    <w:rsid w:val="00AA70D8"/>
    <w:rsid w:val="00AB07A5"/>
    <w:rsid w:val="00AB1818"/>
    <w:rsid w:val="00AB2069"/>
    <w:rsid w:val="00AB6B90"/>
    <w:rsid w:val="00AC0676"/>
    <w:rsid w:val="00AC22B8"/>
    <w:rsid w:val="00AC52DB"/>
    <w:rsid w:val="00AC55D2"/>
    <w:rsid w:val="00AC59CE"/>
    <w:rsid w:val="00AC6C6C"/>
    <w:rsid w:val="00AC6FF0"/>
    <w:rsid w:val="00AC730A"/>
    <w:rsid w:val="00AD1EDD"/>
    <w:rsid w:val="00AD21B4"/>
    <w:rsid w:val="00AD5911"/>
    <w:rsid w:val="00AD607D"/>
    <w:rsid w:val="00AE156F"/>
    <w:rsid w:val="00AE2D6B"/>
    <w:rsid w:val="00AE2F40"/>
    <w:rsid w:val="00AE4EEE"/>
    <w:rsid w:val="00AF03E6"/>
    <w:rsid w:val="00AF0A6C"/>
    <w:rsid w:val="00AF200A"/>
    <w:rsid w:val="00AF3F55"/>
    <w:rsid w:val="00AF51BA"/>
    <w:rsid w:val="00AF52C8"/>
    <w:rsid w:val="00AF72B6"/>
    <w:rsid w:val="00B047DB"/>
    <w:rsid w:val="00B05698"/>
    <w:rsid w:val="00B163DC"/>
    <w:rsid w:val="00B20319"/>
    <w:rsid w:val="00B246E3"/>
    <w:rsid w:val="00B3138D"/>
    <w:rsid w:val="00B331A7"/>
    <w:rsid w:val="00B35DED"/>
    <w:rsid w:val="00B4006C"/>
    <w:rsid w:val="00B402D1"/>
    <w:rsid w:val="00B42DC6"/>
    <w:rsid w:val="00B4722A"/>
    <w:rsid w:val="00B506C5"/>
    <w:rsid w:val="00B51D4D"/>
    <w:rsid w:val="00B5501B"/>
    <w:rsid w:val="00B56904"/>
    <w:rsid w:val="00B63CDB"/>
    <w:rsid w:val="00B750F3"/>
    <w:rsid w:val="00B767CD"/>
    <w:rsid w:val="00B8412F"/>
    <w:rsid w:val="00B84F30"/>
    <w:rsid w:val="00B90458"/>
    <w:rsid w:val="00B906D5"/>
    <w:rsid w:val="00BA35E4"/>
    <w:rsid w:val="00BA39B7"/>
    <w:rsid w:val="00BA61EA"/>
    <w:rsid w:val="00BB0692"/>
    <w:rsid w:val="00BB2355"/>
    <w:rsid w:val="00BB55AD"/>
    <w:rsid w:val="00BB6C52"/>
    <w:rsid w:val="00BC4A18"/>
    <w:rsid w:val="00BC7C5E"/>
    <w:rsid w:val="00BD56A8"/>
    <w:rsid w:val="00BD5CEC"/>
    <w:rsid w:val="00BD775F"/>
    <w:rsid w:val="00BE2D94"/>
    <w:rsid w:val="00BE3ACA"/>
    <w:rsid w:val="00BF1DE2"/>
    <w:rsid w:val="00BF3965"/>
    <w:rsid w:val="00BF5462"/>
    <w:rsid w:val="00BF57BE"/>
    <w:rsid w:val="00BF650F"/>
    <w:rsid w:val="00BF691D"/>
    <w:rsid w:val="00C018C9"/>
    <w:rsid w:val="00C03654"/>
    <w:rsid w:val="00C03779"/>
    <w:rsid w:val="00C07426"/>
    <w:rsid w:val="00C109AF"/>
    <w:rsid w:val="00C10D3D"/>
    <w:rsid w:val="00C10F89"/>
    <w:rsid w:val="00C11552"/>
    <w:rsid w:val="00C13F03"/>
    <w:rsid w:val="00C1737F"/>
    <w:rsid w:val="00C24346"/>
    <w:rsid w:val="00C25549"/>
    <w:rsid w:val="00C3322F"/>
    <w:rsid w:val="00C3361A"/>
    <w:rsid w:val="00C41418"/>
    <w:rsid w:val="00C42014"/>
    <w:rsid w:val="00C42D18"/>
    <w:rsid w:val="00C43492"/>
    <w:rsid w:val="00C43D28"/>
    <w:rsid w:val="00C4409A"/>
    <w:rsid w:val="00C4559C"/>
    <w:rsid w:val="00C52BF5"/>
    <w:rsid w:val="00C53F55"/>
    <w:rsid w:val="00C54B21"/>
    <w:rsid w:val="00C553C6"/>
    <w:rsid w:val="00C574D8"/>
    <w:rsid w:val="00C602CE"/>
    <w:rsid w:val="00C60D3F"/>
    <w:rsid w:val="00C715CA"/>
    <w:rsid w:val="00C72AEB"/>
    <w:rsid w:val="00C7351B"/>
    <w:rsid w:val="00C754EE"/>
    <w:rsid w:val="00C76029"/>
    <w:rsid w:val="00C8383A"/>
    <w:rsid w:val="00C8412E"/>
    <w:rsid w:val="00C859A6"/>
    <w:rsid w:val="00C90DA2"/>
    <w:rsid w:val="00C91D47"/>
    <w:rsid w:val="00C93C73"/>
    <w:rsid w:val="00C972BE"/>
    <w:rsid w:val="00C97E1B"/>
    <w:rsid w:val="00C97E4A"/>
    <w:rsid w:val="00CA1F90"/>
    <w:rsid w:val="00CA4193"/>
    <w:rsid w:val="00CA763A"/>
    <w:rsid w:val="00CB0CA0"/>
    <w:rsid w:val="00CB0F0E"/>
    <w:rsid w:val="00CB25F3"/>
    <w:rsid w:val="00CB3D04"/>
    <w:rsid w:val="00CB4C53"/>
    <w:rsid w:val="00CB575B"/>
    <w:rsid w:val="00CB6CDB"/>
    <w:rsid w:val="00CC1CB0"/>
    <w:rsid w:val="00CC56B6"/>
    <w:rsid w:val="00CD068C"/>
    <w:rsid w:val="00CD09AE"/>
    <w:rsid w:val="00CD41CF"/>
    <w:rsid w:val="00CD56D7"/>
    <w:rsid w:val="00CE10FF"/>
    <w:rsid w:val="00CE31FD"/>
    <w:rsid w:val="00CE6AFA"/>
    <w:rsid w:val="00CF49DF"/>
    <w:rsid w:val="00CF6D5A"/>
    <w:rsid w:val="00D0028F"/>
    <w:rsid w:val="00D00363"/>
    <w:rsid w:val="00D00489"/>
    <w:rsid w:val="00D00D7C"/>
    <w:rsid w:val="00D01F23"/>
    <w:rsid w:val="00D02E63"/>
    <w:rsid w:val="00D03477"/>
    <w:rsid w:val="00D05004"/>
    <w:rsid w:val="00D11705"/>
    <w:rsid w:val="00D11783"/>
    <w:rsid w:val="00D11E90"/>
    <w:rsid w:val="00D12058"/>
    <w:rsid w:val="00D1310F"/>
    <w:rsid w:val="00D20443"/>
    <w:rsid w:val="00D23082"/>
    <w:rsid w:val="00D2332A"/>
    <w:rsid w:val="00D235E9"/>
    <w:rsid w:val="00D2649F"/>
    <w:rsid w:val="00D26CF2"/>
    <w:rsid w:val="00D276A6"/>
    <w:rsid w:val="00D31706"/>
    <w:rsid w:val="00D35F60"/>
    <w:rsid w:val="00D4252D"/>
    <w:rsid w:val="00D45573"/>
    <w:rsid w:val="00D459E1"/>
    <w:rsid w:val="00D5007D"/>
    <w:rsid w:val="00D50996"/>
    <w:rsid w:val="00D52C2D"/>
    <w:rsid w:val="00D54429"/>
    <w:rsid w:val="00D558D1"/>
    <w:rsid w:val="00D7059E"/>
    <w:rsid w:val="00D70645"/>
    <w:rsid w:val="00D7096C"/>
    <w:rsid w:val="00D73336"/>
    <w:rsid w:val="00D741C6"/>
    <w:rsid w:val="00D76B19"/>
    <w:rsid w:val="00D77405"/>
    <w:rsid w:val="00D800D2"/>
    <w:rsid w:val="00D82BF8"/>
    <w:rsid w:val="00D84874"/>
    <w:rsid w:val="00D84AE7"/>
    <w:rsid w:val="00D85CC5"/>
    <w:rsid w:val="00D97EA1"/>
    <w:rsid w:val="00DA16F6"/>
    <w:rsid w:val="00DA2EBC"/>
    <w:rsid w:val="00DA600D"/>
    <w:rsid w:val="00DB16AA"/>
    <w:rsid w:val="00DB18E5"/>
    <w:rsid w:val="00DB2FD9"/>
    <w:rsid w:val="00DB3A94"/>
    <w:rsid w:val="00DB5B9D"/>
    <w:rsid w:val="00DB7822"/>
    <w:rsid w:val="00DB7EEE"/>
    <w:rsid w:val="00DC0ADC"/>
    <w:rsid w:val="00DC246F"/>
    <w:rsid w:val="00DC662E"/>
    <w:rsid w:val="00DC69BC"/>
    <w:rsid w:val="00DC6C27"/>
    <w:rsid w:val="00DC6C75"/>
    <w:rsid w:val="00DD0D8E"/>
    <w:rsid w:val="00DD1979"/>
    <w:rsid w:val="00DD2A99"/>
    <w:rsid w:val="00DD5C6C"/>
    <w:rsid w:val="00DD773C"/>
    <w:rsid w:val="00DD7763"/>
    <w:rsid w:val="00DE191D"/>
    <w:rsid w:val="00DE1FB1"/>
    <w:rsid w:val="00DE3527"/>
    <w:rsid w:val="00DF0C0B"/>
    <w:rsid w:val="00DF1B7F"/>
    <w:rsid w:val="00DF42EC"/>
    <w:rsid w:val="00DF5DA7"/>
    <w:rsid w:val="00DF5E2A"/>
    <w:rsid w:val="00E02AE5"/>
    <w:rsid w:val="00E02B47"/>
    <w:rsid w:val="00E0731B"/>
    <w:rsid w:val="00E1304E"/>
    <w:rsid w:val="00E15347"/>
    <w:rsid w:val="00E15A1A"/>
    <w:rsid w:val="00E15DF2"/>
    <w:rsid w:val="00E202E6"/>
    <w:rsid w:val="00E2174F"/>
    <w:rsid w:val="00E25A27"/>
    <w:rsid w:val="00E30613"/>
    <w:rsid w:val="00E34062"/>
    <w:rsid w:val="00E35449"/>
    <w:rsid w:val="00E41769"/>
    <w:rsid w:val="00E4309D"/>
    <w:rsid w:val="00E50986"/>
    <w:rsid w:val="00E5253C"/>
    <w:rsid w:val="00E5266D"/>
    <w:rsid w:val="00E5485B"/>
    <w:rsid w:val="00E55C63"/>
    <w:rsid w:val="00E55F9B"/>
    <w:rsid w:val="00E61DE2"/>
    <w:rsid w:val="00E63879"/>
    <w:rsid w:val="00E669EA"/>
    <w:rsid w:val="00E6787E"/>
    <w:rsid w:val="00E70382"/>
    <w:rsid w:val="00E715FC"/>
    <w:rsid w:val="00E727B3"/>
    <w:rsid w:val="00E74627"/>
    <w:rsid w:val="00E748EC"/>
    <w:rsid w:val="00E74992"/>
    <w:rsid w:val="00E80390"/>
    <w:rsid w:val="00E85496"/>
    <w:rsid w:val="00E85564"/>
    <w:rsid w:val="00E85A81"/>
    <w:rsid w:val="00E904FD"/>
    <w:rsid w:val="00E9255D"/>
    <w:rsid w:val="00EA3726"/>
    <w:rsid w:val="00EB0315"/>
    <w:rsid w:val="00EB0F34"/>
    <w:rsid w:val="00EB26D7"/>
    <w:rsid w:val="00EB7E4F"/>
    <w:rsid w:val="00EC2F59"/>
    <w:rsid w:val="00EC3036"/>
    <w:rsid w:val="00EC3D3B"/>
    <w:rsid w:val="00EC4146"/>
    <w:rsid w:val="00EC7692"/>
    <w:rsid w:val="00ED0825"/>
    <w:rsid w:val="00ED37BB"/>
    <w:rsid w:val="00ED47F2"/>
    <w:rsid w:val="00EE7FA6"/>
    <w:rsid w:val="00EF0D72"/>
    <w:rsid w:val="00EF5073"/>
    <w:rsid w:val="00EF6084"/>
    <w:rsid w:val="00EF6EA6"/>
    <w:rsid w:val="00F013DA"/>
    <w:rsid w:val="00F05851"/>
    <w:rsid w:val="00F0658B"/>
    <w:rsid w:val="00F07312"/>
    <w:rsid w:val="00F14BC9"/>
    <w:rsid w:val="00F16F95"/>
    <w:rsid w:val="00F2456A"/>
    <w:rsid w:val="00F25F84"/>
    <w:rsid w:val="00F31CEB"/>
    <w:rsid w:val="00F31F7C"/>
    <w:rsid w:val="00F34997"/>
    <w:rsid w:val="00F3783B"/>
    <w:rsid w:val="00F378E3"/>
    <w:rsid w:val="00F4372C"/>
    <w:rsid w:val="00F456A7"/>
    <w:rsid w:val="00F550B5"/>
    <w:rsid w:val="00F6238C"/>
    <w:rsid w:val="00F64878"/>
    <w:rsid w:val="00F64CE4"/>
    <w:rsid w:val="00F65DCF"/>
    <w:rsid w:val="00F6604C"/>
    <w:rsid w:val="00F66594"/>
    <w:rsid w:val="00F67440"/>
    <w:rsid w:val="00F70E31"/>
    <w:rsid w:val="00F83945"/>
    <w:rsid w:val="00F841F3"/>
    <w:rsid w:val="00F8454B"/>
    <w:rsid w:val="00F84D2C"/>
    <w:rsid w:val="00F84EDF"/>
    <w:rsid w:val="00F866FE"/>
    <w:rsid w:val="00F86742"/>
    <w:rsid w:val="00F8691F"/>
    <w:rsid w:val="00F869F7"/>
    <w:rsid w:val="00F87495"/>
    <w:rsid w:val="00F87545"/>
    <w:rsid w:val="00F90951"/>
    <w:rsid w:val="00F92386"/>
    <w:rsid w:val="00F952FA"/>
    <w:rsid w:val="00FA10C4"/>
    <w:rsid w:val="00FA1BC1"/>
    <w:rsid w:val="00FA71B7"/>
    <w:rsid w:val="00FB07CB"/>
    <w:rsid w:val="00FB1EDA"/>
    <w:rsid w:val="00FB3D2C"/>
    <w:rsid w:val="00FC24CD"/>
    <w:rsid w:val="00FC4D25"/>
    <w:rsid w:val="00FD0ED3"/>
    <w:rsid w:val="00FD2ABB"/>
    <w:rsid w:val="00FD47D1"/>
    <w:rsid w:val="00FD60CA"/>
    <w:rsid w:val="00FE3757"/>
    <w:rsid w:val="00FE39F9"/>
    <w:rsid w:val="00FF0C43"/>
    <w:rsid w:val="00FF2516"/>
    <w:rsid w:val="00FF3183"/>
    <w:rsid w:val="00FF3429"/>
    <w:rsid w:val="00FF6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218B14"/>
  <w15:docId w15:val="{416C2562-28EE-4A6C-AC10-AB1C5EB5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a">
    <w:basedOn w:val="TableNormalf1"/>
    <w:tblPr>
      <w:tblStyleRowBandSize w:val="1"/>
      <w:tblStyleColBandSize w:val="1"/>
      <w:tblCellMar>
        <w:left w:w="115" w:type="dxa"/>
        <w:right w:w="115" w:type="dxa"/>
      </w:tblCellMar>
    </w:tblPr>
  </w:style>
  <w:style w:type="table" w:customStyle="1" w:styleId="a0">
    <w:basedOn w:val="TableNormalf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0"/>
    <w:tblPr>
      <w:tblStyleRowBandSize w:val="1"/>
      <w:tblStyleColBandSize w:val="1"/>
      <w:tblCellMar>
        <w:left w:w="115" w:type="dxa"/>
        <w:right w:w="115" w:type="dxa"/>
      </w:tblCellMar>
    </w:tblPr>
  </w:style>
  <w:style w:type="table" w:customStyle="1" w:styleId="a4">
    <w:basedOn w:val="TableNormalf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
    <w:tblPr>
      <w:tblStyleRowBandSize w:val="1"/>
      <w:tblStyleColBandSize w:val="1"/>
      <w:tblCellMar>
        <w:left w:w="108" w:type="dxa"/>
        <w:right w:w="108" w:type="dxa"/>
      </w:tblCellMar>
    </w:tblPr>
  </w:style>
  <w:style w:type="table" w:customStyle="1" w:styleId="a6">
    <w:basedOn w:val="TableNormalf"/>
    <w:tblPr>
      <w:tblStyleRowBandSize w:val="1"/>
      <w:tblStyleColBandSize w:val="1"/>
      <w:tblCellMar>
        <w:left w:w="108" w:type="dxa"/>
        <w:right w:w="108" w:type="dxa"/>
      </w:tblCellMar>
    </w:tblPr>
  </w:style>
  <w:style w:type="table" w:customStyle="1" w:styleId="a7">
    <w:basedOn w:val="TableNormalf"/>
    <w:tblPr>
      <w:tblStyleRowBandSize w:val="1"/>
      <w:tblStyleColBandSize w:val="1"/>
      <w:tblCellMar>
        <w:left w:w="108" w:type="dxa"/>
        <w:right w:w="108" w:type="dxa"/>
      </w:tblCellMar>
    </w:tblPr>
  </w:style>
  <w:style w:type="table" w:customStyle="1" w:styleId="a8">
    <w:basedOn w:val="TableNormalf"/>
    <w:tblPr>
      <w:tblStyleRowBandSize w:val="1"/>
      <w:tblStyleColBandSize w:val="1"/>
      <w:tblCellMar>
        <w:left w:w="108" w:type="dxa"/>
        <w:right w:w="108" w:type="dxa"/>
      </w:tblCellMar>
    </w:tblPr>
  </w:style>
  <w:style w:type="table" w:customStyle="1" w:styleId="a9">
    <w:basedOn w:val="TableNormalf"/>
    <w:tblPr>
      <w:tblStyleRowBandSize w:val="1"/>
      <w:tblStyleColBandSize w:val="1"/>
      <w:tblCellMar>
        <w:left w:w="108" w:type="dxa"/>
        <w:right w:w="108" w:type="dxa"/>
      </w:tblCellMar>
    </w:tblPr>
  </w:style>
  <w:style w:type="table" w:customStyle="1" w:styleId="aa">
    <w:basedOn w:val="TableNormalf"/>
    <w:tblPr>
      <w:tblStyleRowBandSize w:val="1"/>
      <w:tblStyleColBandSize w:val="1"/>
      <w:tblCellMar>
        <w:left w:w="115" w:type="dxa"/>
        <w:right w:w="115" w:type="dxa"/>
      </w:tblCellMar>
    </w:tblPr>
  </w:style>
  <w:style w:type="table" w:customStyle="1" w:styleId="ab">
    <w:basedOn w:val="TableNormalf"/>
    <w:tblPr>
      <w:tblStyleRowBandSize w:val="1"/>
      <w:tblStyleColBandSize w:val="1"/>
      <w:tblCellMar>
        <w:left w:w="115" w:type="dxa"/>
        <w:right w:w="115" w:type="dxa"/>
      </w:tblCellMar>
    </w:tblPr>
  </w:style>
  <w:style w:type="table" w:customStyle="1" w:styleId="ac">
    <w:basedOn w:val="TableNormale"/>
    <w:tblPr>
      <w:tblStyleRowBandSize w:val="1"/>
      <w:tblStyleColBandSize w:val="1"/>
      <w:tblCellMar>
        <w:left w:w="108" w:type="dxa"/>
        <w:right w:w="108" w:type="dxa"/>
      </w:tblCellMar>
    </w:tblPr>
  </w:style>
  <w:style w:type="table" w:customStyle="1" w:styleId="ad">
    <w:basedOn w:val="TableNormale"/>
    <w:tblPr>
      <w:tblStyleRowBandSize w:val="1"/>
      <w:tblStyleColBandSize w:val="1"/>
      <w:tblCellMar>
        <w:left w:w="115" w:type="dxa"/>
        <w:right w:w="115" w:type="dxa"/>
      </w:tblCellMar>
    </w:tblPr>
  </w:style>
  <w:style w:type="table" w:customStyle="1" w:styleId="ae">
    <w:basedOn w:val="TableNormale"/>
    <w:tblPr>
      <w:tblStyleRowBandSize w:val="1"/>
      <w:tblStyleColBandSize w:val="1"/>
      <w:tblCellMar>
        <w:left w:w="115" w:type="dxa"/>
        <w:right w:w="115" w:type="dxa"/>
      </w:tblCellMar>
    </w:tblPr>
  </w:style>
  <w:style w:type="table" w:customStyle="1" w:styleId="af">
    <w:basedOn w:val="TableNormald"/>
    <w:tblPr>
      <w:tblStyleRowBandSize w:val="1"/>
      <w:tblStyleColBandSize w:val="1"/>
      <w:tblCellMar>
        <w:left w:w="115" w:type="dxa"/>
        <w:right w:w="115" w:type="dxa"/>
      </w:tblCellMar>
    </w:tblPr>
  </w:style>
  <w:style w:type="table" w:customStyle="1" w:styleId="af0">
    <w:basedOn w:val="TableNormald"/>
    <w:tblPr>
      <w:tblStyleRowBandSize w:val="1"/>
      <w:tblStyleColBandSize w:val="1"/>
      <w:tblCellMar>
        <w:left w:w="115" w:type="dxa"/>
        <w:right w:w="115" w:type="dxa"/>
      </w:tblCellMar>
    </w:tblPr>
  </w:style>
  <w:style w:type="table" w:customStyle="1" w:styleId="af1">
    <w:basedOn w:val="TableNormald"/>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b"/>
    <w:tblPr>
      <w:tblStyleRowBandSize w:val="1"/>
      <w:tblStyleColBandSize w:val="1"/>
      <w:tblCellMar>
        <w:left w:w="115" w:type="dxa"/>
        <w:right w:w="115" w:type="dxa"/>
      </w:tblCellMar>
    </w:tblPr>
  </w:style>
  <w:style w:type="table" w:customStyle="1" w:styleId="af5">
    <w:basedOn w:val="TableNormalb"/>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9"/>
    <w:tblPr>
      <w:tblStyleRowBandSize w:val="1"/>
      <w:tblStyleColBandSize w:val="1"/>
      <w:tblCellMar>
        <w:left w:w="115" w:type="dxa"/>
        <w:right w:w="115"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8"/>
    <w:tblPr>
      <w:tblStyleRowBandSize w:val="1"/>
      <w:tblStyleColBandSize w:val="1"/>
      <w:tblCellMar>
        <w:left w:w="115" w:type="dxa"/>
        <w:right w:w="115" w:type="dxa"/>
      </w:tblCellMar>
    </w:tblPr>
  </w:style>
  <w:style w:type="table" w:customStyle="1" w:styleId="afb">
    <w:basedOn w:val="TableNormal8"/>
    <w:tblPr>
      <w:tblStyleRowBandSize w:val="1"/>
      <w:tblStyleColBandSize w:val="1"/>
      <w:tblCellMar>
        <w:left w:w="115" w:type="dxa"/>
        <w:right w:w="115" w:type="dxa"/>
      </w:tblCellMar>
    </w:tblPr>
  </w:style>
  <w:style w:type="table" w:customStyle="1" w:styleId="afc">
    <w:basedOn w:val="TableNormal7"/>
    <w:tblPr>
      <w:tblStyleRowBandSize w:val="1"/>
      <w:tblStyleColBandSize w:val="1"/>
      <w:tblCellMar>
        <w:left w:w="115" w:type="dxa"/>
        <w:right w:w="115" w:type="dxa"/>
      </w:tblCellMar>
    </w:tblPr>
  </w:style>
  <w:style w:type="table" w:customStyle="1" w:styleId="afd">
    <w:basedOn w:val="TableNormal7"/>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6"/>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paragraph" w:styleId="Lista">
    <w:name w:val="List"/>
    <w:basedOn w:val="Normal"/>
    <w:uiPriority w:val="99"/>
    <w:unhideWhenUsed/>
    <w:rsid w:val="00AD21B4"/>
    <w:pPr>
      <w:ind w:left="283" w:hanging="283"/>
      <w:contextualSpacing/>
    </w:pPr>
  </w:style>
  <w:style w:type="paragraph" w:styleId="Lista2">
    <w:name w:val="List 2"/>
    <w:basedOn w:val="Normal"/>
    <w:uiPriority w:val="99"/>
    <w:unhideWhenUsed/>
    <w:rsid w:val="00AD21B4"/>
    <w:pPr>
      <w:ind w:left="566" w:hanging="283"/>
      <w:contextualSpacing/>
    </w:pPr>
  </w:style>
  <w:style w:type="paragraph" w:styleId="Lista3">
    <w:name w:val="List 3"/>
    <w:basedOn w:val="Normal"/>
    <w:uiPriority w:val="99"/>
    <w:unhideWhenUsed/>
    <w:rsid w:val="00AD21B4"/>
    <w:pPr>
      <w:ind w:left="849" w:hanging="283"/>
      <w:contextualSpacing/>
    </w:pPr>
  </w:style>
  <w:style w:type="paragraph" w:styleId="Lista4">
    <w:name w:val="List 4"/>
    <w:basedOn w:val="Normal"/>
    <w:uiPriority w:val="99"/>
    <w:unhideWhenUsed/>
    <w:rsid w:val="00AD21B4"/>
    <w:pPr>
      <w:ind w:left="1132" w:hanging="283"/>
      <w:contextualSpacing/>
    </w:pPr>
  </w:style>
  <w:style w:type="paragraph" w:styleId="Lista5">
    <w:name w:val="List 5"/>
    <w:basedOn w:val="Normal"/>
    <w:uiPriority w:val="99"/>
    <w:unhideWhenUsed/>
    <w:rsid w:val="00AD21B4"/>
    <w:pPr>
      <w:ind w:left="1415" w:hanging="283"/>
      <w:contextualSpacing/>
    </w:pPr>
  </w:style>
  <w:style w:type="paragraph" w:styleId="Listaconvietas">
    <w:name w:val="List Bullet"/>
    <w:basedOn w:val="Normal"/>
    <w:uiPriority w:val="99"/>
    <w:unhideWhenUsed/>
    <w:rsid w:val="00AD21B4"/>
    <w:pPr>
      <w:numPr>
        <w:numId w:val="9"/>
      </w:numPr>
      <w:contextualSpacing/>
    </w:pPr>
  </w:style>
  <w:style w:type="paragraph" w:styleId="Listaconvietas2">
    <w:name w:val="List Bullet 2"/>
    <w:basedOn w:val="Normal"/>
    <w:uiPriority w:val="99"/>
    <w:unhideWhenUsed/>
    <w:rsid w:val="00AD21B4"/>
    <w:pPr>
      <w:numPr>
        <w:numId w:val="10"/>
      </w:numPr>
      <w:contextualSpacing/>
    </w:pPr>
  </w:style>
  <w:style w:type="paragraph" w:styleId="Textoindependiente">
    <w:name w:val="Body Text"/>
    <w:basedOn w:val="Normal"/>
    <w:link w:val="TextoindependienteCar"/>
    <w:uiPriority w:val="99"/>
    <w:unhideWhenUsed/>
    <w:rsid w:val="00AD21B4"/>
    <w:pPr>
      <w:spacing w:after="120"/>
    </w:pPr>
  </w:style>
  <w:style w:type="character" w:customStyle="1" w:styleId="TextoindependienteCar">
    <w:name w:val="Texto independiente Car"/>
    <w:basedOn w:val="Fuentedeprrafopredeter"/>
    <w:link w:val="Textoindependiente"/>
    <w:uiPriority w:val="99"/>
    <w:rsid w:val="00AD21B4"/>
  </w:style>
  <w:style w:type="paragraph" w:styleId="Sangradetextonormal">
    <w:name w:val="Body Text Indent"/>
    <w:basedOn w:val="Normal"/>
    <w:link w:val="SangradetextonormalCar"/>
    <w:uiPriority w:val="99"/>
    <w:unhideWhenUsed/>
    <w:rsid w:val="00AD21B4"/>
    <w:pPr>
      <w:spacing w:after="120"/>
      <w:ind w:left="283"/>
    </w:pPr>
  </w:style>
  <w:style w:type="character" w:customStyle="1" w:styleId="SangradetextonormalCar">
    <w:name w:val="Sangría de texto normal Car"/>
    <w:basedOn w:val="Fuentedeprrafopredeter"/>
    <w:link w:val="Sangradetextonormal"/>
    <w:uiPriority w:val="99"/>
    <w:rsid w:val="00AD21B4"/>
  </w:style>
  <w:style w:type="paragraph" w:styleId="Textoindependienteprimerasangra2">
    <w:name w:val="Body Text First Indent 2"/>
    <w:basedOn w:val="Sangradetextonormal"/>
    <w:link w:val="Textoindependienteprimerasangra2Car"/>
    <w:uiPriority w:val="99"/>
    <w:unhideWhenUsed/>
    <w:rsid w:val="00AD21B4"/>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D2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91269">
      <w:bodyDiv w:val="1"/>
      <w:marLeft w:val="0"/>
      <w:marRight w:val="0"/>
      <w:marTop w:val="0"/>
      <w:marBottom w:val="0"/>
      <w:divBdr>
        <w:top w:val="none" w:sz="0" w:space="0" w:color="auto"/>
        <w:left w:val="none" w:sz="0" w:space="0" w:color="auto"/>
        <w:bottom w:val="none" w:sz="0" w:space="0" w:color="auto"/>
        <w:right w:val="none" w:sz="0" w:space="0" w:color="auto"/>
      </w:divBdr>
    </w:div>
    <w:div w:id="160622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wJaCJCy7O9JGy830EkbZ7Q/Jg==">CgMxLjAyCWguM3JkY3JqbjIOaC5kYWozajJ4bzZxNjYyCGguZ2pkZ3hzMgloLjNkeTZ2a20yCWguMzBqMHpsbDIJaC4yczhleW8xMghoLnR5amN3dDIJaC4yZXQ5MnAwMg5oLmgydzd1eXAyZDU5YjIJaC4xdDNoNXNmMgloLjFmb2I5dGUyDmguaG56eHNjaDVneXN6Mg5oLm90M3FxNnZ4YTA4ZjIIaC5sbnhiejk4AHIhMUFJNmZEOE5kY3VESlVnRFJaeWo0bThuWmExSndnbU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C554DF-B2E1-4DD0-B866-BF9EC5FE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9003</Words>
  <Characters>49518</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dcterms:created xsi:type="dcterms:W3CDTF">2026-04-07T18:44:00Z</dcterms:created>
  <dcterms:modified xsi:type="dcterms:W3CDTF">2026-04-07T18:44:00Z</dcterms:modified>
</cp:coreProperties>
</file>