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imes New Roman" w:cs="Times New Roman"/>
          <w:b w:val="0"/>
          <w:color w:val="FF0000"/>
          <w:szCs w:val="22"/>
          <w:lang w:val="es-ES" w:eastAsia="es-ES"/>
        </w:rPr>
        <w:id w:val="309064069"/>
        <w:docPartObj>
          <w:docPartGallery w:val="Table of Contents"/>
          <w:docPartUnique/>
        </w:docPartObj>
      </w:sdtPr>
      <w:sdtEndPr>
        <w:rPr>
          <w:rFonts w:eastAsia="Palatino Linotype" w:cs="Palatino Linotype"/>
          <w:bCs/>
          <w:lang w:eastAsia="es-MX"/>
        </w:rPr>
      </w:sdtEndPr>
      <w:sdtContent>
        <w:p w14:paraId="4FE5274D" w14:textId="77777777" w:rsidR="00B413AB" w:rsidRPr="00B413AB" w:rsidRDefault="00B413AB" w:rsidP="00B413AB">
          <w:pPr>
            <w:pStyle w:val="TtulodeTDC"/>
            <w:spacing w:line="360" w:lineRule="auto"/>
            <w:rPr>
              <w:rFonts w:eastAsia="Times New Roman" w:cs="Times New Roman"/>
              <w:b w:val="0"/>
              <w:color w:val="FF0000"/>
              <w:szCs w:val="22"/>
              <w:lang w:val="es-ES" w:eastAsia="es-ES"/>
            </w:rPr>
          </w:pPr>
        </w:p>
        <w:p w14:paraId="13E94DCE" w14:textId="77777777" w:rsidR="00B413AB" w:rsidRPr="00B413AB" w:rsidRDefault="00B413AB" w:rsidP="00B413AB">
          <w:pPr>
            <w:pStyle w:val="TtulodeTDC"/>
            <w:spacing w:line="360" w:lineRule="auto"/>
            <w:rPr>
              <w:rFonts w:eastAsia="Times New Roman" w:cs="Times New Roman"/>
              <w:b w:val="0"/>
              <w:color w:val="FF0000"/>
              <w:szCs w:val="22"/>
              <w:lang w:val="es-ES" w:eastAsia="es-ES"/>
            </w:rPr>
          </w:pPr>
        </w:p>
        <w:p w14:paraId="475CAE2E" w14:textId="77777777" w:rsidR="00B413AB" w:rsidRPr="00B413AB" w:rsidRDefault="00B413AB" w:rsidP="00B413AB">
          <w:pPr>
            <w:pStyle w:val="TtulodeTDC"/>
            <w:spacing w:line="360" w:lineRule="auto"/>
            <w:rPr>
              <w:rFonts w:eastAsia="Times New Roman" w:cs="Times New Roman"/>
              <w:b w:val="0"/>
              <w:color w:val="FF0000"/>
              <w:szCs w:val="22"/>
              <w:lang w:val="es-ES" w:eastAsia="es-ES"/>
            </w:rPr>
          </w:pPr>
        </w:p>
        <w:p w14:paraId="56A25ACB" w14:textId="785A9D97" w:rsidR="00B413AB" w:rsidRPr="00B413AB" w:rsidRDefault="00B413AB" w:rsidP="00B413AB">
          <w:pPr>
            <w:pStyle w:val="TtulodeTDC"/>
            <w:spacing w:line="360" w:lineRule="auto"/>
            <w:rPr>
              <w:b w:val="0"/>
              <w:bCs/>
              <w:color w:val="auto"/>
              <w:szCs w:val="22"/>
              <w:lang w:val="es-ES"/>
            </w:rPr>
          </w:pPr>
          <w:r w:rsidRPr="00B413AB">
            <w:rPr>
              <w:b w:val="0"/>
              <w:bCs/>
              <w:color w:val="auto"/>
              <w:szCs w:val="22"/>
              <w:lang w:val="es-ES"/>
            </w:rPr>
            <w:t>RESOLUCIÓN DEL RECURSO DE REVISIÓN 02971/INFOEM/IP/RR/2026</w:t>
          </w:r>
        </w:p>
        <w:p w14:paraId="2D81F809" w14:textId="77777777" w:rsidR="00B413AB" w:rsidRPr="00B413AB" w:rsidRDefault="00B413AB" w:rsidP="00B413AB">
          <w:pPr>
            <w:spacing w:line="360" w:lineRule="auto"/>
            <w:rPr>
              <w:color w:val="FF0000"/>
              <w:lang w:val="es-ES"/>
            </w:rPr>
          </w:pPr>
        </w:p>
        <w:p w14:paraId="2C14B645" w14:textId="3207AA50" w:rsidR="00B413AB" w:rsidRPr="00B413AB" w:rsidRDefault="00B413AB">
          <w:pPr>
            <w:pStyle w:val="TDC1"/>
            <w:rPr>
              <w:rFonts w:ascii="Palatino Linotype" w:eastAsiaTheme="minorEastAsia" w:hAnsi="Palatino Linotype" w:cstheme="minorBidi"/>
              <w:noProof/>
              <w:kern w:val="2"/>
              <w:sz w:val="22"/>
              <w:szCs w:val="22"/>
              <w:lang w:eastAsia="es-MX"/>
              <w14:ligatures w14:val="standardContextual"/>
            </w:rPr>
          </w:pPr>
          <w:r w:rsidRPr="00B413AB">
            <w:rPr>
              <w:rFonts w:ascii="Palatino Linotype" w:hAnsi="Palatino Linotype"/>
              <w:bCs/>
              <w:color w:val="FF0000"/>
              <w:sz w:val="22"/>
              <w:szCs w:val="22"/>
            </w:rPr>
            <w:fldChar w:fldCharType="begin"/>
          </w:r>
          <w:r w:rsidRPr="00B413AB">
            <w:rPr>
              <w:rFonts w:ascii="Palatino Linotype" w:hAnsi="Palatino Linotype"/>
              <w:bCs/>
              <w:color w:val="FF0000"/>
              <w:sz w:val="22"/>
              <w:szCs w:val="22"/>
            </w:rPr>
            <w:instrText xml:space="preserve"> TOC \o "1-3" \h \z \u </w:instrText>
          </w:r>
          <w:r w:rsidRPr="00B413AB">
            <w:rPr>
              <w:rFonts w:ascii="Palatino Linotype" w:hAnsi="Palatino Linotype"/>
              <w:bCs/>
              <w:color w:val="FF0000"/>
              <w:sz w:val="22"/>
              <w:szCs w:val="22"/>
            </w:rPr>
            <w:fldChar w:fldCharType="separate"/>
          </w:r>
          <w:hyperlink w:anchor="_Toc226641913" w:history="1">
            <w:r w:rsidRPr="00B413AB">
              <w:rPr>
                <w:rStyle w:val="Hipervnculo"/>
                <w:rFonts w:ascii="Palatino Linotype" w:hAnsi="Palatino Linotype"/>
                <w:noProof/>
                <w:sz w:val="22"/>
                <w:szCs w:val="22"/>
              </w:rPr>
              <w:t>A N T E C E D E N T E S</w:t>
            </w:r>
            <w:r w:rsidRPr="00B413AB">
              <w:rPr>
                <w:rFonts w:ascii="Palatino Linotype" w:hAnsi="Palatino Linotype"/>
                <w:noProof/>
                <w:webHidden/>
                <w:sz w:val="22"/>
                <w:szCs w:val="22"/>
              </w:rPr>
              <w:tab/>
            </w:r>
            <w:r w:rsidRPr="00B413AB">
              <w:rPr>
                <w:rFonts w:ascii="Palatino Linotype" w:hAnsi="Palatino Linotype"/>
                <w:noProof/>
                <w:webHidden/>
                <w:sz w:val="22"/>
                <w:szCs w:val="22"/>
              </w:rPr>
              <w:fldChar w:fldCharType="begin"/>
            </w:r>
            <w:r w:rsidRPr="00B413AB">
              <w:rPr>
                <w:rFonts w:ascii="Palatino Linotype" w:hAnsi="Palatino Linotype"/>
                <w:noProof/>
                <w:webHidden/>
                <w:sz w:val="22"/>
                <w:szCs w:val="22"/>
              </w:rPr>
              <w:instrText xml:space="preserve"> PAGEREF _Toc226641913 \h </w:instrText>
            </w:r>
            <w:r w:rsidRPr="00B413AB">
              <w:rPr>
                <w:rFonts w:ascii="Palatino Linotype" w:hAnsi="Palatino Linotype"/>
                <w:noProof/>
                <w:webHidden/>
                <w:sz w:val="22"/>
                <w:szCs w:val="22"/>
              </w:rPr>
            </w:r>
            <w:r w:rsidRPr="00B413AB">
              <w:rPr>
                <w:rFonts w:ascii="Palatino Linotype" w:hAnsi="Palatino Linotype"/>
                <w:noProof/>
                <w:webHidden/>
                <w:sz w:val="22"/>
                <w:szCs w:val="22"/>
              </w:rPr>
              <w:fldChar w:fldCharType="separate"/>
            </w:r>
            <w:r w:rsidR="00EB34AD">
              <w:rPr>
                <w:rFonts w:ascii="Palatino Linotype" w:hAnsi="Palatino Linotype"/>
                <w:noProof/>
                <w:webHidden/>
                <w:sz w:val="22"/>
                <w:szCs w:val="22"/>
              </w:rPr>
              <w:t>2</w:t>
            </w:r>
            <w:r w:rsidRPr="00B413AB">
              <w:rPr>
                <w:rFonts w:ascii="Palatino Linotype" w:hAnsi="Palatino Linotype"/>
                <w:noProof/>
                <w:webHidden/>
                <w:sz w:val="22"/>
                <w:szCs w:val="22"/>
              </w:rPr>
              <w:fldChar w:fldCharType="end"/>
            </w:r>
          </w:hyperlink>
        </w:p>
        <w:p w14:paraId="31A1344F" w14:textId="614D2565" w:rsidR="00B413AB" w:rsidRPr="00B413AB" w:rsidRDefault="004C525E">
          <w:pPr>
            <w:pStyle w:val="TDC2"/>
            <w:tabs>
              <w:tab w:val="right" w:leader="dot" w:pos="8921"/>
            </w:tabs>
            <w:rPr>
              <w:rFonts w:ascii="Palatino Linotype" w:eastAsiaTheme="minorEastAsia" w:hAnsi="Palatino Linotype" w:cstheme="minorBidi"/>
              <w:noProof/>
              <w:kern w:val="2"/>
              <w:sz w:val="22"/>
              <w:szCs w:val="22"/>
              <w:lang w:eastAsia="es-MX"/>
              <w14:ligatures w14:val="standardContextual"/>
            </w:rPr>
          </w:pPr>
          <w:hyperlink w:anchor="_Toc226641914" w:history="1">
            <w:r w:rsidR="00B413AB" w:rsidRPr="00B413AB">
              <w:rPr>
                <w:rStyle w:val="Hipervnculo"/>
                <w:rFonts w:ascii="Palatino Linotype" w:hAnsi="Palatino Linotype"/>
                <w:noProof/>
                <w:sz w:val="22"/>
                <w:szCs w:val="22"/>
              </w:rPr>
              <w:t>I. Presentación de las solicitudes de información</w:t>
            </w:r>
            <w:r w:rsidR="00B413AB" w:rsidRPr="00B413AB">
              <w:rPr>
                <w:rFonts w:ascii="Palatino Linotype" w:hAnsi="Palatino Linotype"/>
                <w:noProof/>
                <w:webHidden/>
                <w:sz w:val="22"/>
                <w:szCs w:val="22"/>
              </w:rPr>
              <w:tab/>
            </w:r>
            <w:r w:rsidR="00B413AB" w:rsidRPr="00B413AB">
              <w:rPr>
                <w:rFonts w:ascii="Palatino Linotype" w:hAnsi="Palatino Linotype"/>
                <w:noProof/>
                <w:webHidden/>
                <w:sz w:val="22"/>
                <w:szCs w:val="22"/>
              </w:rPr>
              <w:fldChar w:fldCharType="begin"/>
            </w:r>
            <w:r w:rsidR="00B413AB" w:rsidRPr="00B413AB">
              <w:rPr>
                <w:rFonts w:ascii="Palatino Linotype" w:hAnsi="Palatino Linotype"/>
                <w:noProof/>
                <w:webHidden/>
                <w:sz w:val="22"/>
                <w:szCs w:val="22"/>
              </w:rPr>
              <w:instrText xml:space="preserve"> PAGEREF _Toc226641914 \h </w:instrText>
            </w:r>
            <w:r w:rsidR="00B413AB" w:rsidRPr="00B413AB">
              <w:rPr>
                <w:rFonts w:ascii="Palatino Linotype" w:hAnsi="Palatino Linotype"/>
                <w:noProof/>
                <w:webHidden/>
                <w:sz w:val="22"/>
                <w:szCs w:val="22"/>
              </w:rPr>
            </w:r>
            <w:r w:rsidR="00B413AB" w:rsidRPr="00B413AB">
              <w:rPr>
                <w:rFonts w:ascii="Palatino Linotype" w:hAnsi="Palatino Linotype"/>
                <w:noProof/>
                <w:webHidden/>
                <w:sz w:val="22"/>
                <w:szCs w:val="22"/>
              </w:rPr>
              <w:fldChar w:fldCharType="separate"/>
            </w:r>
            <w:r w:rsidR="00EB34AD">
              <w:rPr>
                <w:rFonts w:ascii="Palatino Linotype" w:hAnsi="Palatino Linotype"/>
                <w:noProof/>
                <w:webHidden/>
                <w:sz w:val="22"/>
                <w:szCs w:val="22"/>
              </w:rPr>
              <w:t>2</w:t>
            </w:r>
            <w:r w:rsidR="00B413AB" w:rsidRPr="00B413AB">
              <w:rPr>
                <w:rFonts w:ascii="Palatino Linotype" w:hAnsi="Palatino Linotype"/>
                <w:noProof/>
                <w:webHidden/>
                <w:sz w:val="22"/>
                <w:szCs w:val="22"/>
              </w:rPr>
              <w:fldChar w:fldCharType="end"/>
            </w:r>
          </w:hyperlink>
        </w:p>
        <w:p w14:paraId="106079DE" w14:textId="5EA6C744" w:rsidR="00B413AB" w:rsidRPr="00B413AB" w:rsidRDefault="004C525E">
          <w:pPr>
            <w:pStyle w:val="TDC2"/>
            <w:tabs>
              <w:tab w:val="right" w:leader="dot" w:pos="8921"/>
            </w:tabs>
            <w:rPr>
              <w:rFonts w:ascii="Palatino Linotype" w:eastAsiaTheme="minorEastAsia" w:hAnsi="Palatino Linotype" w:cstheme="minorBidi"/>
              <w:noProof/>
              <w:kern w:val="2"/>
              <w:sz w:val="22"/>
              <w:szCs w:val="22"/>
              <w:lang w:eastAsia="es-MX"/>
              <w14:ligatures w14:val="standardContextual"/>
            </w:rPr>
          </w:pPr>
          <w:hyperlink w:anchor="_Toc226641915" w:history="1">
            <w:r w:rsidR="00B413AB" w:rsidRPr="00B413AB">
              <w:rPr>
                <w:rStyle w:val="Hipervnculo"/>
                <w:rFonts w:ascii="Palatino Linotype" w:hAnsi="Palatino Linotype"/>
                <w:noProof/>
                <w:sz w:val="22"/>
                <w:szCs w:val="22"/>
              </w:rPr>
              <w:t>II. Respuesta del Sujeto Obligado</w:t>
            </w:r>
            <w:r w:rsidR="00B413AB" w:rsidRPr="00B413AB">
              <w:rPr>
                <w:rFonts w:ascii="Palatino Linotype" w:hAnsi="Palatino Linotype"/>
                <w:noProof/>
                <w:webHidden/>
                <w:sz w:val="22"/>
                <w:szCs w:val="22"/>
              </w:rPr>
              <w:tab/>
            </w:r>
            <w:r w:rsidR="00B413AB" w:rsidRPr="00B413AB">
              <w:rPr>
                <w:rFonts w:ascii="Palatino Linotype" w:hAnsi="Palatino Linotype"/>
                <w:noProof/>
                <w:webHidden/>
                <w:sz w:val="22"/>
                <w:szCs w:val="22"/>
              </w:rPr>
              <w:fldChar w:fldCharType="begin"/>
            </w:r>
            <w:r w:rsidR="00B413AB" w:rsidRPr="00B413AB">
              <w:rPr>
                <w:rFonts w:ascii="Palatino Linotype" w:hAnsi="Palatino Linotype"/>
                <w:noProof/>
                <w:webHidden/>
                <w:sz w:val="22"/>
                <w:szCs w:val="22"/>
              </w:rPr>
              <w:instrText xml:space="preserve"> PAGEREF _Toc226641915 \h </w:instrText>
            </w:r>
            <w:r w:rsidR="00B413AB" w:rsidRPr="00B413AB">
              <w:rPr>
                <w:rFonts w:ascii="Palatino Linotype" w:hAnsi="Palatino Linotype"/>
                <w:noProof/>
                <w:webHidden/>
                <w:sz w:val="22"/>
                <w:szCs w:val="22"/>
              </w:rPr>
            </w:r>
            <w:r w:rsidR="00B413AB" w:rsidRPr="00B413AB">
              <w:rPr>
                <w:rFonts w:ascii="Palatino Linotype" w:hAnsi="Palatino Linotype"/>
                <w:noProof/>
                <w:webHidden/>
                <w:sz w:val="22"/>
                <w:szCs w:val="22"/>
              </w:rPr>
              <w:fldChar w:fldCharType="separate"/>
            </w:r>
            <w:r w:rsidR="00EB34AD">
              <w:rPr>
                <w:rFonts w:ascii="Palatino Linotype" w:hAnsi="Palatino Linotype"/>
                <w:noProof/>
                <w:webHidden/>
                <w:sz w:val="22"/>
                <w:szCs w:val="22"/>
              </w:rPr>
              <w:t>3</w:t>
            </w:r>
            <w:r w:rsidR="00B413AB" w:rsidRPr="00B413AB">
              <w:rPr>
                <w:rFonts w:ascii="Palatino Linotype" w:hAnsi="Palatino Linotype"/>
                <w:noProof/>
                <w:webHidden/>
                <w:sz w:val="22"/>
                <w:szCs w:val="22"/>
              </w:rPr>
              <w:fldChar w:fldCharType="end"/>
            </w:r>
          </w:hyperlink>
        </w:p>
        <w:p w14:paraId="602FF1D8" w14:textId="5C235602" w:rsidR="00B413AB" w:rsidRPr="00B413AB" w:rsidRDefault="004C525E">
          <w:pPr>
            <w:pStyle w:val="TDC2"/>
            <w:tabs>
              <w:tab w:val="right" w:leader="dot" w:pos="8921"/>
            </w:tabs>
            <w:rPr>
              <w:rFonts w:ascii="Palatino Linotype" w:eastAsiaTheme="minorEastAsia" w:hAnsi="Palatino Linotype" w:cstheme="minorBidi"/>
              <w:noProof/>
              <w:kern w:val="2"/>
              <w:sz w:val="22"/>
              <w:szCs w:val="22"/>
              <w:lang w:eastAsia="es-MX"/>
              <w14:ligatures w14:val="standardContextual"/>
            </w:rPr>
          </w:pPr>
          <w:hyperlink w:anchor="_Toc226641916" w:history="1">
            <w:r w:rsidR="00B413AB" w:rsidRPr="00B413AB">
              <w:rPr>
                <w:rStyle w:val="Hipervnculo"/>
                <w:rFonts w:ascii="Palatino Linotype" w:hAnsi="Palatino Linotype"/>
                <w:noProof/>
                <w:sz w:val="22"/>
                <w:szCs w:val="22"/>
              </w:rPr>
              <w:t>III. Interposición del Recurso de Revisión</w:t>
            </w:r>
            <w:r w:rsidR="00B413AB" w:rsidRPr="00B413AB">
              <w:rPr>
                <w:rFonts w:ascii="Palatino Linotype" w:hAnsi="Palatino Linotype"/>
                <w:noProof/>
                <w:webHidden/>
                <w:sz w:val="22"/>
                <w:szCs w:val="22"/>
              </w:rPr>
              <w:tab/>
            </w:r>
            <w:r w:rsidR="00B413AB" w:rsidRPr="00B413AB">
              <w:rPr>
                <w:rFonts w:ascii="Palatino Linotype" w:hAnsi="Palatino Linotype"/>
                <w:noProof/>
                <w:webHidden/>
                <w:sz w:val="22"/>
                <w:szCs w:val="22"/>
              </w:rPr>
              <w:fldChar w:fldCharType="begin"/>
            </w:r>
            <w:r w:rsidR="00B413AB" w:rsidRPr="00B413AB">
              <w:rPr>
                <w:rFonts w:ascii="Palatino Linotype" w:hAnsi="Palatino Linotype"/>
                <w:noProof/>
                <w:webHidden/>
                <w:sz w:val="22"/>
                <w:szCs w:val="22"/>
              </w:rPr>
              <w:instrText xml:space="preserve"> PAGEREF _Toc226641916 \h </w:instrText>
            </w:r>
            <w:r w:rsidR="00B413AB" w:rsidRPr="00B413AB">
              <w:rPr>
                <w:rFonts w:ascii="Palatino Linotype" w:hAnsi="Palatino Linotype"/>
                <w:noProof/>
                <w:webHidden/>
                <w:sz w:val="22"/>
                <w:szCs w:val="22"/>
              </w:rPr>
            </w:r>
            <w:r w:rsidR="00B413AB" w:rsidRPr="00B413AB">
              <w:rPr>
                <w:rFonts w:ascii="Palatino Linotype" w:hAnsi="Palatino Linotype"/>
                <w:noProof/>
                <w:webHidden/>
                <w:sz w:val="22"/>
                <w:szCs w:val="22"/>
              </w:rPr>
              <w:fldChar w:fldCharType="separate"/>
            </w:r>
            <w:r w:rsidR="00EB34AD">
              <w:rPr>
                <w:rFonts w:ascii="Palatino Linotype" w:hAnsi="Palatino Linotype"/>
                <w:noProof/>
                <w:webHidden/>
                <w:sz w:val="22"/>
                <w:szCs w:val="22"/>
              </w:rPr>
              <w:t>7</w:t>
            </w:r>
            <w:r w:rsidR="00B413AB" w:rsidRPr="00B413AB">
              <w:rPr>
                <w:rFonts w:ascii="Palatino Linotype" w:hAnsi="Palatino Linotype"/>
                <w:noProof/>
                <w:webHidden/>
                <w:sz w:val="22"/>
                <w:szCs w:val="22"/>
              </w:rPr>
              <w:fldChar w:fldCharType="end"/>
            </w:r>
          </w:hyperlink>
        </w:p>
        <w:p w14:paraId="2A5DCE27" w14:textId="75E23AAF" w:rsidR="00B413AB" w:rsidRPr="00B413AB" w:rsidRDefault="004C525E">
          <w:pPr>
            <w:pStyle w:val="TDC2"/>
            <w:tabs>
              <w:tab w:val="right" w:leader="dot" w:pos="8921"/>
            </w:tabs>
            <w:rPr>
              <w:rFonts w:ascii="Palatino Linotype" w:eastAsiaTheme="minorEastAsia" w:hAnsi="Palatino Linotype" w:cstheme="minorBidi"/>
              <w:noProof/>
              <w:kern w:val="2"/>
              <w:sz w:val="22"/>
              <w:szCs w:val="22"/>
              <w:lang w:eastAsia="es-MX"/>
              <w14:ligatures w14:val="standardContextual"/>
            </w:rPr>
          </w:pPr>
          <w:hyperlink w:anchor="_Toc226641917" w:history="1">
            <w:r w:rsidR="00B413AB" w:rsidRPr="00B413AB">
              <w:rPr>
                <w:rStyle w:val="Hipervnculo"/>
                <w:rFonts w:ascii="Palatino Linotype" w:hAnsi="Palatino Linotype"/>
                <w:noProof/>
                <w:sz w:val="22"/>
                <w:szCs w:val="22"/>
              </w:rPr>
              <w:t>IV. Trámite del Recurso de Revisión ante este Instituto</w:t>
            </w:r>
            <w:r w:rsidR="00B413AB" w:rsidRPr="00B413AB">
              <w:rPr>
                <w:rFonts w:ascii="Palatino Linotype" w:hAnsi="Palatino Linotype"/>
                <w:noProof/>
                <w:webHidden/>
                <w:sz w:val="22"/>
                <w:szCs w:val="22"/>
              </w:rPr>
              <w:tab/>
            </w:r>
            <w:r w:rsidR="00B413AB" w:rsidRPr="00B413AB">
              <w:rPr>
                <w:rFonts w:ascii="Palatino Linotype" w:hAnsi="Palatino Linotype"/>
                <w:noProof/>
                <w:webHidden/>
                <w:sz w:val="22"/>
                <w:szCs w:val="22"/>
              </w:rPr>
              <w:fldChar w:fldCharType="begin"/>
            </w:r>
            <w:r w:rsidR="00B413AB" w:rsidRPr="00B413AB">
              <w:rPr>
                <w:rFonts w:ascii="Palatino Linotype" w:hAnsi="Palatino Linotype"/>
                <w:noProof/>
                <w:webHidden/>
                <w:sz w:val="22"/>
                <w:szCs w:val="22"/>
              </w:rPr>
              <w:instrText xml:space="preserve"> PAGEREF _Toc226641917 \h </w:instrText>
            </w:r>
            <w:r w:rsidR="00B413AB" w:rsidRPr="00B413AB">
              <w:rPr>
                <w:rFonts w:ascii="Palatino Linotype" w:hAnsi="Palatino Linotype"/>
                <w:noProof/>
                <w:webHidden/>
                <w:sz w:val="22"/>
                <w:szCs w:val="22"/>
              </w:rPr>
            </w:r>
            <w:r w:rsidR="00B413AB" w:rsidRPr="00B413AB">
              <w:rPr>
                <w:rFonts w:ascii="Palatino Linotype" w:hAnsi="Palatino Linotype"/>
                <w:noProof/>
                <w:webHidden/>
                <w:sz w:val="22"/>
                <w:szCs w:val="22"/>
              </w:rPr>
              <w:fldChar w:fldCharType="separate"/>
            </w:r>
            <w:r w:rsidR="00EB34AD">
              <w:rPr>
                <w:rFonts w:ascii="Palatino Linotype" w:hAnsi="Palatino Linotype"/>
                <w:noProof/>
                <w:webHidden/>
                <w:sz w:val="22"/>
                <w:szCs w:val="22"/>
              </w:rPr>
              <w:t>9</w:t>
            </w:r>
            <w:r w:rsidR="00B413AB" w:rsidRPr="00B413AB">
              <w:rPr>
                <w:rFonts w:ascii="Palatino Linotype" w:hAnsi="Palatino Linotype"/>
                <w:noProof/>
                <w:webHidden/>
                <w:sz w:val="22"/>
                <w:szCs w:val="22"/>
              </w:rPr>
              <w:fldChar w:fldCharType="end"/>
            </w:r>
          </w:hyperlink>
        </w:p>
        <w:p w14:paraId="6BBA6A1C" w14:textId="4EE78C7F" w:rsidR="00B413AB" w:rsidRPr="00B413AB" w:rsidRDefault="004C525E">
          <w:pPr>
            <w:pStyle w:val="TDC1"/>
            <w:rPr>
              <w:rFonts w:ascii="Palatino Linotype" w:eastAsiaTheme="minorEastAsia" w:hAnsi="Palatino Linotype" w:cstheme="minorBidi"/>
              <w:noProof/>
              <w:kern w:val="2"/>
              <w:sz w:val="22"/>
              <w:szCs w:val="22"/>
              <w:lang w:eastAsia="es-MX"/>
              <w14:ligatures w14:val="standardContextual"/>
            </w:rPr>
          </w:pPr>
          <w:hyperlink w:anchor="_Toc226641918" w:history="1">
            <w:r w:rsidR="00B413AB" w:rsidRPr="00B413AB">
              <w:rPr>
                <w:rStyle w:val="Hipervnculo"/>
                <w:rFonts w:ascii="Palatino Linotype" w:hAnsi="Palatino Linotype"/>
                <w:noProof/>
                <w:sz w:val="22"/>
                <w:szCs w:val="22"/>
              </w:rPr>
              <w:t>C O N S I D E R A N D O S</w:t>
            </w:r>
            <w:r w:rsidR="00B413AB" w:rsidRPr="00B413AB">
              <w:rPr>
                <w:rFonts w:ascii="Palatino Linotype" w:hAnsi="Palatino Linotype"/>
                <w:noProof/>
                <w:webHidden/>
                <w:sz w:val="22"/>
                <w:szCs w:val="22"/>
              </w:rPr>
              <w:tab/>
            </w:r>
            <w:r w:rsidR="00B413AB" w:rsidRPr="00B413AB">
              <w:rPr>
                <w:rFonts w:ascii="Palatino Linotype" w:hAnsi="Palatino Linotype"/>
                <w:noProof/>
                <w:webHidden/>
                <w:sz w:val="22"/>
                <w:szCs w:val="22"/>
              </w:rPr>
              <w:fldChar w:fldCharType="begin"/>
            </w:r>
            <w:r w:rsidR="00B413AB" w:rsidRPr="00B413AB">
              <w:rPr>
                <w:rFonts w:ascii="Palatino Linotype" w:hAnsi="Palatino Linotype"/>
                <w:noProof/>
                <w:webHidden/>
                <w:sz w:val="22"/>
                <w:szCs w:val="22"/>
              </w:rPr>
              <w:instrText xml:space="preserve"> PAGEREF _Toc226641918 \h </w:instrText>
            </w:r>
            <w:r w:rsidR="00B413AB" w:rsidRPr="00B413AB">
              <w:rPr>
                <w:rFonts w:ascii="Palatino Linotype" w:hAnsi="Palatino Linotype"/>
                <w:noProof/>
                <w:webHidden/>
                <w:sz w:val="22"/>
                <w:szCs w:val="22"/>
              </w:rPr>
            </w:r>
            <w:r w:rsidR="00B413AB" w:rsidRPr="00B413AB">
              <w:rPr>
                <w:rFonts w:ascii="Palatino Linotype" w:hAnsi="Palatino Linotype"/>
                <w:noProof/>
                <w:webHidden/>
                <w:sz w:val="22"/>
                <w:szCs w:val="22"/>
              </w:rPr>
              <w:fldChar w:fldCharType="separate"/>
            </w:r>
            <w:r w:rsidR="00EB34AD">
              <w:rPr>
                <w:rFonts w:ascii="Palatino Linotype" w:hAnsi="Palatino Linotype"/>
                <w:noProof/>
                <w:webHidden/>
                <w:sz w:val="22"/>
                <w:szCs w:val="22"/>
              </w:rPr>
              <w:t>11</w:t>
            </w:r>
            <w:r w:rsidR="00B413AB" w:rsidRPr="00B413AB">
              <w:rPr>
                <w:rFonts w:ascii="Palatino Linotype" w:hAnsi="Palatino Linotype"/>
                <w:noProof/>
                <w:webHidden/>
                <w:sz w:val="22"/>
                <w:szCs w:val="22"/>
              </w:rPr>
              <w:fldChar w:fldCharType="end"/>
            </w:r>
          </w:hyperlink>
        </w:p>
        <w:p w14:paraId="698599FF" w14:textId="7AFF2B0D" w:rsidR="00B413AB" w:rsidRPr="00B413AB" w:rsidRDefault="004C525E">
          <w:pPr>
            <w:pStyle w:val="TDC2"/>
            <w:tabs>
              <w:tab w:val="right" w:leader="dot" w:pos="8921"/>
            </w:tabs>
            <w:rPr>
              <w:rFonts w:ascii="Palatino Linotype" w:eastAsiaTheme="minorEastAsia" w:hAnsi="Palatino Linotype" w:cstheme="minorBidi"/>
              <w:noProof/>
              <w:kern w:val="2"/>
              <w:sz w:val="22"/>
              <w:szCs w:val="22"/>
              <w:lang w:eastAsia="es-MX"/>
              <w14:ligatures w14:val="standardContextual"/>
            </w:rPr>
          </w:pPr>
          <w:hyperlink w:anchor="_Toc226641919" w:history="1">
            <w:r w:rsidR="00B413AB" w:rsidRPr="00B413AB">
              <w:rPr>
                <w:rStyle w:val="Hipervnculo"/>
                <w:rFonts w:ascii="Palatino Linotype" w:hAnsi="Palatino Linotype"/>
                <w:noProof/>
                <w:sz w:val="22"/>
                <w:szCs w:val="22"/>
              </w:rPr>
              <w:t>PRIMERO. Competencia</w:t>
            </w:r>
            <w:r w:rsidR="00B413AB" w:rsidRPr="00B413AB">
              <w:rPr>
                <w:rFonts w:ascii="Palatino Linotype" w:hAnsi="Palatino Linotype"/>
                <w:noProof/>
                <w:webHidden/>
                <w:sz w:val="22"/>
                <w:szCs w:val="22"/>
              </w:rPr>
              <w:tab/>
            </w:r>
            <w:r w:rsidR="00B413AB" w:rsidRPr="00B413AB">
              <w:rPr>
                <w:rFonts w:ascii="Palatino Linotype" w:hAnsi="Palatino Linotype"/>
                <w:noProof/>
                <w:webHidden/>
                <w:sz w:val="22"/>
                <w:szCs w:val="22"/>
              </w:rPr>
              <w:fldChar w:fldCharType="begin"/>
            </w:r>
            <w:r w:rsidR="00B413AB" w:rsidRPr="00B413AB">
              <w:rPr>
                <w:rFonts w:ascii="Palatino Linotype" w:hAnsi="Palatino Linotype"/>
                <w:noProof/>
                <w:webHidden/>
                <w:sz w:val="22"/>
                <w:szCs w:val="22"/>
              </w:rPr>
              <w:instrText xml:space="preserve"> PAGEREF _Toc226641919 \h </w:instrText>
            </w:r>
            <w:r w:rsidR="00B413AB" w:rsidRPr="00B413AB">
              <w:rPr>
                <w:rFonts w:ascii="Palatino Linotype" w:hAnsi="Palatino Linotype"/>
                <w:noProof/>
                <w:webHidden/>
                <w:sz w:val="22"/>
                <w:szCs w:val="22"/>
              </w:rPr>
            </w:r>
            <w:r w:rsidR="00B413AB" w:rsidRPr="00B413AB">
              <w:rPr>
                <w:rFonts w:ascii="Palatino Linotype" w:hAnsi="Palatino Linotype"/>
                <w:noProof/>
                <w:webHidden/>
                <w:sz w:val="22"/>
                <w:szCs w:val="22"/>
              </w:rPr>
              <w:fldChar w:fldCharType="separate"/>
            </w:r>
            <w:r w:rsidR="00EB34AD">
              <w:rPr>
                <w:rFonts w:ascii="Palatino Linotype" w:hAnsi="Palatino Linotype"/>
                <w:noProof/>
                <w:webHidden/>
                <w:sz w:val="22"/>
                <w:szCs w:val="22"/>
              </w:rPr>
              <w:t>11</w:t>
            </w:r>
            <w:r w:rsidR="00B413AB" w:rsidRPr="00B413AB">
              <w:rPr>
                <w:rFonts w:ascii="Palatino Linotype" w:hAnsi="Palatino Linotype"/>
                <w:noProof/>
                <w:webHidden/>
                <w:sz w:val="22"/>
                <w:szCs w:val="22"/>
              </w:rPr>
              <w:fldChar w:fldCharType="end"/>
            </w:r>
          </w:hyperlink>
        </w:p>
        <w:p w14:paraId="4571C625" w14:textId="6A164A3D" w:rsidR="00B413AB" w:rsidRPr="00B413AB" w:rsidRDefault="004C525E">
          <w:pPr>
            <w:pStyle w:val="TDC2"/>
            <w:tabs>
              <w:tab w:val="right" w:leader="dot" w:pos="8921"/>
            </w:tabs>
            <w:rPr>
              <w:rFonts w:ascii="Palatino Linotype" w:eastAsiaTheme="minorEastAsia" w:hAnsi="Palatino Linotype" w:cstheme="minorBidi"/>
              <w:noProof/>
              <w:kern w:val="2"/>
              <w:sz w:val="22"/>
              <w:szCs w:val="22"/>
              <w:lang w:eastAsia="es-MX"/>
              <w14:ligatures w14:val="standardContextual"/>
            </w:rPr>
          </w:pPr>
          <w:hyperlink w:anchor="_Toc226641920" w:history="1">
            <w:r w:rsidR="00B413AB" w:rsidRPr="00B413AB">
              <w:rPr>
                <w:rStyle w:val="Hipervnculo"/>
                <w:rFonts w:ascii="Palatino Linotype" w:hAnsi="Palatino Linotype"/>
                <w:noProof/>
                <w:sz w:val="22"/>
                <w:szCs w:val="22"/>
              </w:rPr>
              <w:t>SEGUNDO. Causales de improcedencia y sobreseimiento</w:t>
            </w:r>
            <w:r w:rsidR="00B413AB" w:rsidRPr="00B413AB">
              <w:rPr>
                <w:rFonts w:ascii="Palatino Linotype" w:hAnsi="Palatino Linotype"/>
                <w:noProof/>
                <w:webHidden/>
                <w:sz w:val="22"/>
                <w:szCs w:val="22"/>
              </w:rPr>
              <w:tab/>
            </w:r>
            <w:r w:rsidR="00B413AB" w:rsidRPr="00B413AB">
              <w:rPr>
                <w:rFonts w:ascii="Palatino Linotype" w:hAnsi="Palatino Linotype"/>
                <w:noProof/>
                <w:webHidden/>
                <w:sz w:val="22"/>
                <w:szCs w:val="22"/>
              </w:rPr>
              <w:fldChar w:fldCharType="begin"/>
            </w:r>
            <w:r w:rsidR="00B413AB" w:rsidRPr="00B413AB">
              <w:rPr>
                <w:rFonts w:ascii="Palatino Linotype" w:hAnsi="Palatino Linotype"/>
                <w:noProof/>
                <w:webHidden/>
                <w:sz w:val="22"/>
                <w:szCs w:val="22"/>
              </w:rPr>
              <w:instrText xml:space="preserve"> PAGEREF _Toc226641920 \h </w:instrText>
            </w:r>
            <w:r w:rsidR="00B413AB" w:rsidRPr="00B413AB">
              <w:rPr>
                <w:rFonts w:ascii="Palatino Linotype" w:hAnsi="Palatino Linotype"/>
                <w:noProof/>
                <w:webHidden/>
                <w:sz w:val="22"/>
                <w:szCs w:val="22"/>
              </w:rPr>
            </w:r>
            <w:r w:rsidR="00B413AB" w:rsidRPr="00B413AB">
              <w:rPr>
                <w:rFonts w:ascii="Palatino Linotype" w:hAnsi="Palatino Linotype"/>
                <w:noProof/>
                <w:webHidden/>
                <w:sz w:val="22"/>
                <w:szCs w:val="22"/>
              </w:rPr>
              <w:fldChar w:fldCharType="separate"/>
            </w:r>
            <w:r w:rsidR="00EB34AD">
              <w:rPr>
                <w:rFonts w:ascii="Palatino Linotype" w:hAnsi="Palatino Linotype"/>
                <w:noProof/>
                <w:webHidden/>
                <w:sz w:val="22"/>
                <w:szCs w:val="22"/>
              </w:rPr>
              <w:t>12</w:t>
            </w:r>
            <w:r w:rsidR="00B413AB" w:rsidRPr="00B413AB">
              <w:rPr>
                <w:rFonts w:ascii="Palatino Linotype" w:hAnsi="Palatino Linotype"/>
                <w:noProof/>
                <w:webHidden/>
                <w:sz w:val="22"/>
                <w:szCs w:val="22"/>
              </w:rPr>
              <w:fldChar w:fldCharType="end"/>
            </w:r>
          </w:hyperlink>
        </w:p>
        <w:p w14:paraId="38CB529B" w14:textId="76135F07" w:rsidR="00B413AB" w:rsidRPr="00B413AB" w:rsidRDefault="004C525E">
          <w:pPr>
            <w:pStyle w:val="TDC2"/>
            <w:tabs>
              <w:tab w:val="right" w:leader="dot" w:pos="8921"/>
            </w:tabs>
            <w:rPr>
              <w:rFonts w:ascii="Palatino Linotype" w:eastAsiaTheme="minorEastAsia" w:hAnsi="Palatino Linotype" w:cstheme="minorBidi"/>
              <w:noProof/>
              <w:kern w:val="2"/>
              <w:sz w:val="22"/>
              <w:szCs w:val="22"/>
              <w:lang w:eastAsia="es-MX"/>
              <w14:ligatures w14:val="standardContextual"/>
            </w:rPr>
          </w:pPr>
          <w:hyperlink w:anchor="_Toc226641921" w:history="1">
            <w:r w:rsidR="00B413AB" w:rsidRPr="00B413AB">
              <w:rPr>
                <w:rStyle w:val="Hipervnculo"/>
                <w:rFonts w:ascii="Palatino Linotype" w:hAnsi="Palatino Linotype"/>
                <w:noProof/>
                <w:sz w:val="22"/>
                <w:szCs w:val="22"/>
              </w:rPr>
              <w:t>TERCERO. Determinación de la Controversia</w:t>
            </w:r>
            <w:r w:rsidR="00B413AB" w:rsidRPr="00B413AB">
              <w:rPr>
                <w:rFonts w:ascii="Palatino Linotype" w:hAnsi="Palatino Linotype"/>
                <w:noProof/>
                <w:webHidden/>
                <w:sz w:val="22"/>
                <w:szCs w:val="22"/>
              </w:rPr>
              <w:tab/>
            </w:r>
            <w:r w:rsidR="00B413AB" w:rsidRPr="00B413AB">
              <w:rPr>
                <w:rFonts w:ascii="Palatino Linotype" w:hAnsi="Palatino Linotype"/>
                <w:noProof/>
                <w:webHidden/>
                <w:sz w:val="22"/>
                <w:szCs w:val="22"/>
              </w:rPr>
              <w:fldChar w:fldCharType="begin"/>
            </w:r>
            <w:r w:rsidR="00B413AB" w:rsidRPr="00B413AB">
              <w:rPr>
                <w:rFonts w:ascii="Palatino Linotype" w:hAnsi="Palatino Linotype"/>
                <w:noProof/>
                <w:webHidden/>
                <w:sz w:val="22"/>
                <w:szCs w:val="22"/>
              </w:rPr>
              <w:instrText xml:space="preserve"> PAGEREF _Toc226641921 \h </w:instrText>
            </w:r>
            <w:r w:rsidR="00B413AB" w:rsidRPr="00B413AB">
              <w:rPr>
                <w:rFonts w:ascii="Palatino Linotype" w:hAnsi="Palatino Linotype"/>
                <w:noProof/>
                <w:webHidden/>
                <w:sz w:val="22"/>
                <w:szCs w:val="22"/>
              </w:rPr>
            </w:r>
            <w:r w:rsidR="00B413AB" w:rsidRPr="00B413AB">
              <w:rPr>
                <w:rFonts w:ascii="Palatino Linotype" w:hAnsi="Palatino Linotype"/>
                <w:noProof/>
                <w:webHidden/>
                <w:sz w:val="22"/>
                <w:szCs w:val="22"/>
              </w:rPr>
              <w:fldChar w:fldCharType="separate"/>
            </w:r>
            <w:r w:rsidR="00EB34AD">
              <w:rPr>
                <w:rFonts w:ascii="Palatino Linotype" w:hAnsi="Palatino Linotype"/>
                <w:noProof/>
                <w:webHidden/>
                <w:sz w:val="22"/>
                <w:szCs w:val="22"/>
              </w:rPr>
              <w:t>14</w:t>
            </w:r>
            <w:r w:rsidR="00B413AB" w:rsidRPr="00B413AB">
              <w:rPr>
                <w:rFonts w:ascii="Palatino Linotype" w:hAnsi="Palatino Linotype"/>
                <w:noProof/>
                <w:webHidden/>
                <w:sz w:val="22"/>
                <w:szCs w:val="22"/>
              </w:rPr>
              <w:fldChar w:fldCharType="end"/>
            </w:r>
          </w:hyperlink>
        </w:p>
        <w:p w14:paraId="6B2CE3FD" w14:textId="5F4D292D" w:rsidR="00B413AB" w:rsidRPr="00B413AB" w:rsidRDefault="004C525E">
          <w:pPr>
            <w:pStyle w:val="TDC2"/>
            <w:tabs>
              <w:tab w:val="right" w:leader="dot" w:pos="8921"/>
            </w:tabs>
            <w:rPr>
              <w:rFonts w:ascii="Palatino Linotype" w:eastAsiaTheme="minorEastAsia" w:hAnsi="Palatino Linotype" w:cstheme="minorBidi"/>
              <w:noProof/>
              <w:kern w:val="2"/>
              <w:sz w:val="22"/>
              <w:szCs w:val="22"/>
              <w:lang w:eastAsia="es-MX"/>
              <w14:ligatures w14:val="standardContextual"/>
            </w:rPr>
          </w:pPr>
          <w:hyperlink w:anchor="_Toc226641922" w:history="1">
            <w:r w:rsidR="00B413AB" w:rsidRPr="00B413AB">
              <w:rPr>
                <w:rStyle w:val="Hipervnculo"/>
                <w:rFonts w:ascii="Palatino Linotype" w:hAnsi="Palatino Linotype"/>
                <w:noProof/>
                <w:sz w:val="22"/>
                <w:szCs w:val="22"/>
              </w:rPr>
              <w:t>CUARTO. Marco normativo aplicable en materia de transparencia y acceso a la información pública</w:t>
            </w:r>
            <w:r w:rsidR="00B413AB" w:rsidRPr="00B413AB">
              <w:rPr>
                <w:rFonts w:ascii="Palatino Linotype" w:hAnsi="Palatino Linotype"/>
                <w:noProof/>
                <w:webHidden/>
                <w:sz w:val="22"/>
                <w:szCs w:val="22"/>
              </w:rPr>
              <w:tab/>
            </w:r>
            <w:r w:rsidR="00B413AB" w:rsidRPr="00B413AB">
              <w:rPr>
                <w:rFonts w:ascii="Palatino Linotype" w:hAnsi="Palatino Linotype"/>
                <w:noProof/>
                <w:webHidden/>
                <w:sz w:val="22"/>
                <w:szCs w:val="22"/>
              </w:rPr>
              <w:fldChar w:fldCharType="begin"/>
            </w:r>
            <w:r w:rsidR="00B413AB" w:rsidRPr="00B413AB">
              <w:rPr>
                <w:rFonts w:ascii="Palatino Linotype" w:hAnsi="Palatino Linotype"/>
                <w:noProof/>
                <w:webHidden/>
                <w:sz w:val="22"/>
                <w:szCs w:val="22"/>
              </w:rPr>
              <w:instrText xml:space="preserve"> PAGEREF _Toc226641922 \h </w:instrText>
            </w:r>
            <w:r w:rsidR="00B413AB" w:rsidRPr="00B413AB">
              <w:rPr>
                <w:rFonts w:ascii="Palatino Linotype" w:hAnsi="Palatino Linotype"/>
                <w:noProof/>
                <w:webHidden/>
                <w:sz w:val="22"/>
                <w:szCs w:val="22"/>
              </w:rPr>
            </w:r>
            <w:r w:rsidR="00B413AB" w:rsidRPr="00B413AB">
              <w:rPr>
                <w:rFonts w:ascii="Palatino Linotype" w:hAnsi="Palatino Linotype"/>
                <w:noProof/>
                <w:webHidden/>
                <w:sz w:val="22"/>
                <w:szCs w:val="22"/>
              </w:rPr>
              <w:fldChar w:fldCharType="separate"/>
            </w:r>
            <w:r w:rsidR="00EB34AD">
              <w:rPr>
                <w:rFonts w:ascii="Palatino Linotype" w:hAnsi="Palatino Linotype"/>
                <w:noProof/>
                <w:webHidden/>
                <w:sz w:val="22"/>
                <w:szCs w:val="22"/>
              </w:rPr>
              <w:t>14</w:t>
            </w:r>
            <w:r w:rsidR="00B413AB" w:rsidRPr="00B413AB">
              <w:rPr>
                <w:rFonts w:ascii="Palatino Linotype" w:hAnsi="Palatino Linotype"/>
                <w:noProof/>
                <w:webHidden/>
                <w:sz w:val="22"/>
                <w:szCs w:val="22"/>
              </w:rPr>
              <w:fldChar w:fldCharType="end"/>
            </w:r>
          </w:hyperlink>
        </w:p>
        <w:p w14:paraId="34335F64" w14:textId="3BDFB998" w:rsidR="00B413AB" w:rsidRPr="00B413AB" w:rsidRDefault="004C525E">
          <w:pPr>
            <w:pStyle w:val="TDC2"/>
            <w:tabs>
              <w:tab w:val="right" w:leader="dot" w:pos="8921"/>
            </w:tabs>
            <w:rPr>
              <w:rFonts w:ascii="Palatino Linotype" w:eastAsiaTheme="minorEastAsia" w:hAnsi="Palatino Linotype" w:cstheme="minorBidi"/>
              <w:noProof/>
              <w:kern w:val="2"/>
              <w:sz w:val="22"/>
              <w:szCs w:val="22"/>
              <w:lang w:eastAsia="es-MX"/>
              <w14:ligatures w14:val="standardContextual"/>
            </w:rPr>
          </w:pPr>
          <w:hyperlink w:anchor="_Toc226641923" w:history="1">
            <w:r w:rsidR="00B413AB" w:rsidRPr="00B413AB">
              <w:rPr>
                <w:rStyle w:val="Hipervnculo"/>
                <w:rFonts w:ascii="Palatino Linotype" w:hAnsi="Palatino Linotype"/>
                <w:noProof/>
                <w:sz w:val="22"/>
                <w:szCs w:val="22"/>
              </w:rPr>
              <w:t>QUINTO. Estudio de Fondo</w:t>
            </w:r>
            <w:r w:rsidR="00B413AB" w:rsidRPr="00B413AB">
              <w:rPr>
                <w:rFonts w:ascii="Palatino Linotype" w:hAnsi="Palatino Linotype"/>
                <w:noProof/>
                <w:webHidden/>
                <w:sz w:val="22"/>
                <w:szCs w:val="22"/>
              </w:rPr>
              <w:tab/>
            </w:r>
            <w:r w:rsidR="00B413AB" w:rsidRPr="00B413AB">
              <w:rPr>
                <w:rFonts w:ascii="Palatino Linotype" w:hAnsi="Palatino Linotype"/>
                <w:noProof/>
                <w:webHidden/>
                <w:sz w:val="22"/>
                <w:szCs w:val="22"/>
              </w:rPr>
              <w:fldChar w:fldCharType="begin"/>
            </w:r>
            <w:r w:rsidR="00B413AB" w:rsidRPr="00B413AB">
              <w:rPr>
                <w:rFonts w:ascii="Palatino Linotype" w:hAnsi="Palatino Linotype"/>
                <w:noProof/>
                <w:webHidden/>
                <w:sz w:val="22"/>
                <w:szCs w:val="22"/>
              </w:rPr>
              <w:instrText xml:space="preserve"> PAGEREF _Toc226641923 \h </w:instrText>
            </w:r>
            <w:r w:rsidR="00B413AB" w:rsidRPr="00B413AB">
              <w:rPr>
                <w:rFonts w:ascii="Palatino Linotype" w:hAnsi="Palatino Linotype"/>
                <w:noProof/>
                <w:webHidden/>
                <w:sz w:val="22"/>
                <w:szCs w:val="22"/>
              </w:rPr>
            </w:r>
            <w:r w:rsidR="00B413AB" w:rsidRPr="00B413AB">
              <w:rPr>
                <w:rFonts w:ascii="Palatino Linotype" w:hAnsi="Palatino Linotype"/>
                <w:noProof/>
                <w:webHidden/>
                <w:sz w:val="22"/>
                <w:szCs w:val="22"/>
              </w:rPr>
              <w:fldChar w:fldCharType="separate"/>
            </w:r>
            <w:r w:rsidR="00EB34AD">
              <w:rPr>
                <w:rFonts w:ascii="Palatino Linotype" w:hAnsi="Palatino Linotype"/>
                <w:noProof/>
                <w:webHidden/>
                <w:sz w:val="22"/>
                <w:szCs w:val="22"/>
              </w:rPr>
              <w:t>15</w:t>
            </w:r>
            <w:r w:rsidR="00B413AB" w:rsidRPr="00B413AB">
              <w:rPr>
                <w:rFonts w:ascii="Palatino Linotype" w:hAnsi="Palatino Linotype"/>
                <w:noProof/>
                <w:webHidden/>
                <w:sz w:val="22"/>
                <w:szCs w:val="22"/>
              </w:rPr>
              <w:fldChar w:fldCharType="end"/>
            </w:r>
          </w:hyperlink>
        </w:p>
        <w:p w14:paraId="31DF4A2F" w14:textId="56ECCEC2" w:rsidR="00B413AB" w:rsidRPr="00B413AB" w:rsidRDefault="004C525E">
          <w:pPr>
            <w:pStyle w:val="TDC2"/>
            <w:tabs>
              <w:tab w:val="right" w:leader="dot" w:pos="8921"/>
            </w:tabs>
            <w:rPr>
              <w:rFonts w:ascii="Palatino Linotype" w:eastAsiaTheme="minorEastAsia" w:hAnsi="Palatino Linotype" w:cstheme="minorBidi"/>
              <w:noProof/>
              <w:kern w:val="2"/>
              <w:sz w:val="22"/>
              <w:szCs w:val="22"/>
              <w:lang w:eastAsia="es-MX"/>
              <w14:ligatures w14:val="standardContextual"/>
            </w:rPr>
          </w:pPr>
          <w:hyperlink w:anchor="_Toc226641924" w:history="1">
            <w:r w:rsidR="00B413AB" w:rsidRPr="00B413AB">
              <w:rPr>
                <w:rStyle w:val="Hipervnculo"/>
                <w:rFonts w:ascii="Palatino Linotype" w:hAnsi="Palatino Linotype"/>
                <w:noProof/>
                <w:sz w:val="22"/>
                <w:szCs w:val="22"/>
              </w:rPr>
              <w:t>SEXTO. Decisión</w:t>
            </w:r>
            <w:r w:rsidR="00B413AB" w:rsidRPr="00B413AB">
              <w:rPr>
                <w:rFonts w:ascii="Palatino Linotype" w:hAnsi="Palatino Linotype"/>
                <w:noProof/>
                <w:webHidden/>
                <w:sz w:val="22"/>
                <w:szCs w:val="22"/>
              </w:rPr>
              <w:tab/>
            </w:r>
            <w:r w:rsidR="00B413AB" w:rsidRPr="00B413AB">
              <w:rPr>
                <w:rFonts w:ascii="Palatino Linotype" w:hAnsi="Palatino Linotype"/>
                <w:noProof/>
                <w:webHidden/>
                <w:sz w:val="22"/>
                <w:szCs w:val="22"/>
              </w:rPr>
              <w:fldChar w:fldCharType="begin"/>
            </w:r>
            <w:r w:rsidR="00B413AB" w:rsidRPr="00B413AB">
              <w:rPr>
                <w:rFonts w:ascii="Palatino Linotype" w:hAnsi="Palatino Linotype"/>
                <w:noProof/>
                <w:webHidden/>
                <w:sz w:val="22"/>
                <w:szCs w:val="22"/>
              </w:rPr>
              <w:instrText xml:space="preserve"> PAGEREF _Toc226641924 \h </w:instrText>
            </w:r>
            <w:r w:rsidR="00B413AB" w:rsidRPr="00B413AB">
              <w:rPr>
                <w:rFonts w:ascii="Palatino Linotype" w:hAnsi="Palatino Linotype"/>
                <w:noProof/>
                <w:webHidden/>
                <w:sz w:val="22"/>
                <w:szCs w:val="22"/>
              </w:rPr>
            </w:r>
            <w:r w:rsidR="00B413AB" w:rsidRPr="00B413AB">
              <w:rPr>
                <w:rFonts w:ascii="Palatino Linotype" w:hAnsi="Palatino Linotype"/>
                <w:noProof/>
                <w:webHidden/>
                <w:sz w:val="22"/>
                <w:szCs w:val="22"/>
              </w:rPr>
              <w:fldChar w:fldCharType="separate"/>
            </w:r>
            <w:r w:rsidR="00EB34AD">
              <w:rPr>
                <w:rFonts w:ascii="Palatino Linotype" w:hAnsi="Palatino Linotype"/>
                <w:noProof/>
                <w:webHidden/>
                <w:sz w:val="22"/>
                <w:szCs w:val="22"/>
              </w:rPr>
              <w:t>24</w:t>
            </w:r>
            <w:r w:rsidR="00B413AB" w:rsidRPr="00B413AB">
              <w:rPr>
                <w:rFonts w:ascii="Palatino Linotype" w:hAnsi="Palatino Linotype"/>
                <w:noProof/>
                <w:webHidden/>
                <w:sz w:val="22"/>
                <w:szCs w:val="22"/>
              </w:rPr>
              <w:fldChar w:fldCharType="end"/>
            </w:r>
          </w:hyperlink>
        </w:p>
        <w:p w14:paraId="5E2DB228" w14:textId="490327F9" w:rsidR="00B413AB" w:rsidRPr="00B413AB" w:rsidRDefault="004C525E">
          <w:pPr>
            <w:pStyle w:val="TDC1"/>
            <w:rPr>
              <w:rFonts w:ascii="Palatino Linotype" w:eastAsiaTheme="minorEastAsia" w:hAnsi="Palatino Linotype" w:cstheme="minorBidi"/>
              <w:noProof/>
              <w:kern w:val="2"/>
              <w:sz w:val="22"/>
              <w:szCs w:val="22"/>
              <w:lang w:eastAsia="es-MX"/>
              <w14:ligatures w14:val="standardContextual"/>
            </w:rPr>
          </w:pPr>
          <w:hyperlink w:anchor="_Toc226641925" w:history="1">
            <w:r w:rsidR="00B413AB" w:rsidRPr="00B413AB">
              <w:rPr>
                <w:rStyle w:val="Hipervnculo"/>
                <w:rFonts w:ascii="Palatino Linotype" w:hAnsi="Palatino Linotype"/>
                <w:noProof/>
                <w:sz w:val="22"/>
                <w:szCs w:val="22"/>
              </w:rPr>
              <w:t>R E S U E L V E</w:t>
            </w:r>
            <w:r w:rsidR="00B413AB" w:rsidRPr="00B413AB">
              <w:rPr>
                <w:rFonts w:ascii="Palatino Linotype" w:hAnsi="Palatino Linotype"/>
                <w:noProof/>
                <w:webHidden/>
                <w:sz w:val="22"/>
                <w:szCs w:val="22"/>
              </w:rPr>
              <w:tab/>
            </w:r>
            <w:r w:rsidR="00B413AB" w:rsidRPr="00B413AB">
              <w:rPr>
                <w:rFonts w:ascii="Palatino Linotype" w:hAnsi="Palatino Linotype"/>
                <w:noProof/>
                <w:webHidden/>
                <w:sz w:val="22"/>
                <w:szCs w:val="22"/>
              </w:rPr>
              <w:fldChar w:fldCharType="begin"/>
            </w:r>
            <w:r w:rsidR="00B413AB" w:rsidRPr="00B413AB">
              <w:rPr>
                <w:rFonts w:ascii="Palatino Linotype" w:hAnsi="Palatino Linotype"/>
                <w:noProof/>
                <w:webHidden/>
                <w:sz w:val="22"/>
                <w:szCs w:val="22"/>
              </w:rPr>
              <w:instrText xml:space="preserve"> PAGEREF _Toc226641925 \h </w:instrText>
            </w:r>
            <w:r w:rsidR="00B413AB" w:rsidRPr="00B413AB">
              <w:rPr>
                <w:rFonts w:ascii="Palatino Linotype" w:hAnsi="Palatino Linotype"/>
                <w:noProof/>
                <w:webHidden/>
                <w:sz w:val="22"/>
                <w:szCs w:val="22"/>
              </w:rPr>
            </w:r>
            <w:r w:rsidR="00B413AB" w:rsidRPr="00B413AB">
              <w:rPr>
                <w:rFonts w:ascii="Palatino Linotype" w:hAnsi="Palatino Linotype"/>
                <w:noProof/>
                <w:webHidden/>
                <w:sz w:val="22"/>
                <w:szCs w:val="22"/>
              </w:rPr>
              <w:fldChar w:fldCharType="separate"/>
            </w:r>
            <w:r w:rsidR="00EB34AD">
              <w:rPr>
                <w:rFonts w:ascii="Palatino Linotype" w:hAnsi="Palatino Linotype"/>
                <w:noProof/>
                <w:webHidden/>
                <w:sz w:val="22"/>
                <w:szCs w:val="22"/>
              </w:rPr>
              <w:t>24</w:t>
            </w:r>
            <w:r w:rsidR="00B413AB" w:rsidRPr="00B413AB">
              <w:rPr>
                <w:rFonts w:ascii="Palatino Linotype" w:hAnsi="Palatino Linotype"/>
                <w:noProof/>
                <w:webHidden/>
                <w:sz w:val="22"/>
                <w:szCs w:val="22"/>
              </w:rPr>
              <w:fldChar w:fldCharType="end"/>
            </w:r>
          </w:hyperlink>
        </w:p>
        <w:p w14:paraId="57F598A8" w14:textId="1A189481" w:rsidR="00B413AB" w:rsidRDefault="00B413AB" w:rsidP="00B413AB">
          <w:pPr>
            <w:spacing w:after="0" w:line="360" w:lineRule="auto"/>
            <w:rPr>
              <w:bCs/>
              <w:color w:val="FF0000"/>
              <w:lang w:val="es-ES"/>
            </w:rPr>
          </w:pPr>
          <w:r w:rsidRPr="00B413AB">
            <w:rPr>
              <w:bCs/>
              <w:color w:val="FF0000"/>
              <w:lang w:val="es-ES"/>
            </w:rPr>
            <w:fldChar w:fldCharType="end"/>
          </w:r>
        </w:p>
      </w:sdtContent>
    </w:sdt>
    <w:p w14:paraId="1CC2D1ED" w14:textId="77777777" w:rsidR="00AE624F" w:rsidRDefault="00AE624F">
      <w:pPr>
        <w:tabs>
          <w:tab w:val="left" w:pos="8931"/>
        </w:tabs>
        <w:spacing w:after="0" w:line="360" w:lineRule="auto"/>
      </w:pPr>
    </w:p>
    <w:p w14:paraId="78FC41A4" w14:textId="77777777" w:rsidR="00AE624F" w:rsidRDefault="00AE624F">
      <w:pPr>
        <w:tabs>
          <w:tab w:val="left" w:pos="8931"/>
        </w:tabs>
        <w:spacing w:after="0" w:line="360" w:lineRule="auto"/>
      </w:pPr>
    </w:p>
    <w:p w14:paraId="006F3AE6" w14:textId="77777777" w:rsidR="00AE624F" w:rsidRDefault="00AE624F">
      <w:pPr>
        <w:tabs>
          <w:tab w:val="left" w:pos="8931"/>
        </w:tabs>
        <w:spacing w:after="0" w:line="360" w:lineRule="auto"/>
      </w:pPr>
    </w:p>
    <w:p w14:paraId="46334905" w14:textId="77777777" w:rsidR="00AE624F" w:rsidRDefault="00AE624F">
      <w:pPr>
        <w:tabs>
          <w:tab w:val="left" w:pos="8931"/>
        </w:tabs>
        <w:spacing w:after="0" w:line="360" w:lineRule="auto"/>
      </w:pPr>
    </w:p>
    <w:p w14:paraId="388518E3" w14:textId="77777777" w:rsidR="00AE624F" w:rsidRDefault="00AE624F">
      <w:pPr>
        <w:tabs>
          <w:tab w:val="left" w:pos="8931"/>
        </w:tabs>
        <w:spacing w:after="0" w:line="360" w:lineRule="auto"/>
      </w:pPr>
    </w:p>
    <w:p w14:paraId="65189A20" w14:textId="77777777" w:rsidR="00AE624F" w:rsidRDefault="00AE624F">
      <w:pPr>
        <w:tabs>
          <w:tab w:val="left" w:pos="8931"/>
        </w:tabs>
        <w:spacing w:after="0" w:line="360" w:lineRule="auto"/>
      </w:pPr>
    </w:p>
    <w:p w14:paraId="7BDD9969" w14:textId="77777777" w:rsidR="00AE624F" w:rsidRDefault="00AE624F">
      <w:pPr>
        <w:tabs>
          <w:tab w:val="left" w:pos="8931"/>
        </w:tabs>
        <w:spacing w:after="0" w:line="360" w:lineRule="auto"/>
      </w:pPr>
    </w:p>
    <w:p w14:paraId="7F533E89" w14:textId="77777777" w:rsidR="00AE624F" w:rsidRDefault="00AE624F">
      <w:pPr>
        <w:tabs>
          <w:tab w:val="left" w:pos="8931"/>
        </w:tabs>
        <w:spacing w:after="0" w:line="360" w:lineRule="auto"/>
      </w:pPr>
    </w:p>
    <w:p w14:paraId="37931577" w14:textId="77777777" w:rsidR="00AE624F" w:rsidRDefault="00AB43E7">
      <w:pPr>
        <w:tabs>
          <w:tab w:val="left" w:pos="8931"/>
        </w:tabs>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ocho de abril de dos mil veinticinco. </w:t>
      </w:r>
    </w:p>
    <w:p w14:paraId="20AB4E46" w14:textId="77777777" w:rsidR="00AE624F" w:rsidRDefault="00AE624F">
      <w:pPr>
        <w:spacing w:after="0" w:line="360" w:lineRule="auto"/>
        <w:rPr>
          <w:b/>
          <w:bCs/>
        </w:rPr>
      </w:pPr>
    </w:p>
    <w:p w14:paraId="66E69750" w14:textId="049B2A2D" w:rsidR="00AE624F" w:rsidRDefault="00AB43E7">
      <w:pPr>
        <w:spacing w:after="0" w:line="360" w:lineRule="auto"/>
        <w:rPr>
          <w:color w:val="0D0D0D"/>
        </w:rPr>
      </w:pPr>
      <w:r>
        <w:rPr>
          <w:b/>
          <w:bCs/>
        </w:rPr>
        <w:t xml:space="preserve">VISTO </w:t>
      </w:r>
      <w:r>
        <w:t xml:space="preserve">el expediente electrónico conformado con motivo del Recurso de Revisión </w:t>
      </w:r>
      <w:r w:rsidRPr="00963FB7">
        <w:rPr>
          <w:b/>
        </w:rPr>
        <w:t xml:space="preserve">02971/INFOEM/IP/RR/2026, 02972/INFOEM/IP/RR/2026, 02973/INFOEM/IP/RR/2026 y 02974/INFOEM/IP/RR/2026, </w:t>
      </w:r>
      <w:r>
        <w:t xml:space="preserve">interpuesto por </w:t>
      </w:r>
      <w:bookmarkStart w:id="0" w:name="_GoBack"/>
      <w:bookmarkEnd w:id="0"/>
      <w:r w:rsidR="00D31FFD" w:rsidRPr="00D31FFD">
        <w:rPr>
          <w:highlight w:val="black"/>
        </w:rPr>
        <w:t>XXXXXXXXXXXXXXXXXXXXXXXXXXXX</w:t>
      </w:r>
      <w:r>
        <w:t xml:space="preserve">, quien será la persona </w:t>
      </w:r>
      <w:r>
        <w:rPr>
          <w:color w:val="0D0D0D"/>
        </w:rPr>
        <w:t xml:space="preserve">Recurrente o Particular, en contra de la respuesta del Sujeto Obligado, </w:t>
      </w:r>
      <w:r w:rsidRPr="00963FB7">
        <w:rPr>
          <w:b/>
        </w:rPr>
        <w:t>Ayuntamiento de Nextlalpan</w:t>
      </w:r>
      <w:r>
        <w:t>,</w:t>
      </w:r>
      <w:r>
        <w:rPr>
          <w:color w:val="0D0D0D"/>
        </w:rPr>
        <w:t xml:space="preserve"> a las solicitudes de acceso a la información pública </w:t>
      </w:r>
      <w:r>
        <w:t>00006/NEXTLAL/IP/2026, 00007/NEXTLAL/IP/2026</w:t>
      </w:r>
      <w:r>
        <w:rPr>
          <w:color w:val="000000"/>
        </w:rPr>
        <w:t xml:space="preserve">, </w:t>
      </w:r>
      <w:r>
        <w:t>00008/NEXTLAL/IP/2026 y 00009/NEXTLAL/IP/2026</w:t>
      </w:r>
      <w:r>
        <w:rPr>
          <w:color w:val="000000"/>
        </w:rPr>
        <w:t xml:space="preserve"> </w:t>
      </w:r>
      <w:r>
        <w:rPr>
          <w:color w:val="0D0D0D"/>
        </w:rPr>
        <w:t>se emite la presente Resolución, con base en los Antecedentes y Considerandos que se exponen a continuación:</w:t>
      </w:r>
    </w:p>
    <w:p w14:paraId="3747C7A2" w14:textId="77777777" w:rsidR="00AE624F" w:rsidRDefault="00AE624F">
      <w:pPr>
        <w:spacing w:after="0" w:line="360" w:lineRule="auto"/>
        <w:rPr>
          <w:b/>
          <w:bCs/>
        </w:rPr>
      </w:pPr>
    </w:p>
    <w:p w14:paraId="57C25716" w14:textId="77777777" w:rsidR="00AE624F" w:rsidRDefault="00AB43E7">
      <w:pPr>
        <w:pStyle w:val="Ttulo1"/>
        <w:spacing w:before="0" w:after="0" w:line="360" w:lineRule="auto"/>
        <w:jc w:val="center"/>
        <w:rPr>
          <w:sz w:val="22"/>
          <w:szCs w:val="22"/>
        </w:rPr>
      </w:pPr>
      <w:bookmarkStart w:id="1" w:name="_Toc226641913"/>
      <w:r>
        <w:rPr>
          <w:sz w:val="22"/>
          <w:szCs w:val="22"/>
        </w:rPr>
        <w:t>A N T E C E D E N T E S</w:t>
      </w:r>
      <w:bookmarkEnd w:id="1"/>
    </w:p>
    <w:p w14:paraId="5593BA89" w14:textId="77777777" w:rsidR="00AE624F" w:rsidRDefault="00AE624F">
      <w:pPr>
        <w:spacing w:after="0" w:line="360" w:lineRule="auto"/>
        <w:jc w:val="center"/>
        <w:rPr>
          <w:b/>
          <w:bCs/>
        </w:rPr>
      </w:pPr>
    </w:p>
    <w:p w14:paraId="1F6807EB" w14:textId="77777777" w:rsidR="00AE624F" w:rsidRDefault="00AB43E7">
      <w:pPr>
        <w:pStyle w:val="Ttulo2"/>
        <w:spacing w:before="0" w:after="0" w:line="360" w:lineRule="auto"/>
        <w:rPr>
          <w:sz w:val="22"/>
          <w:szCs w:val="22"/>
        </w:rPr>
      </w:pPr>
      <w:bookmarkStart w:id="2" w:name="_Toc226641914"/>
      <w:r>
        <w:rPr>
          <w:sz w:val="22"/>
          <w:szCs w:val="22"/>
        </w:rPr>
        <w:t>I. Presentación de las solicitudes de información</w:t>
      </w:r>
      <w:bookmarkEnd w:id="2"/>
    </w:p>
    <w:p w14:paraId="7504764B" w14:textId="77777777" w:rsidR="00AE624F" w:rsidRDefault="00AE624F">
      <w:pPr>
        <w:tabs>
          <w:tab w:val="left" w:pos="567"/>
        </w:tabs>
        <w:spacing w:after="0" w:line="360" w:lineRule="auto"/>
      </w:pPr>
    </w:p>
    <w:p w14:paraId="473B16BA" w14:textId="77777777" w:rsidR="00AE624F" w:rsidRDefault="00AB43E7">
      <w:pPr>
        <w:spacing w:after="0" w:line="360" w:lineRule="auto"/>
      </w:pPr>
      <w:r>
        <w:t>El dieciséis de febrero de dos mil veintiséis, el Particular presentó cuatro solicitudes de acceso a la información pública, a través del Sistema de Acceso a la Información Mexiquense (SAIMEX), ante el Ayuntamiento de Nextlalpan</w:t>
      </w:r>
      <w:r>
        <w:rPr>
          <w:color w:val="000000"/>
        </w:rPr>
        <w:t>,</w:t>
      </w:r>
      <w:r>
        <w:t xml:space="preserve"> en los siguientes términos: </w:t>
      </w:r>
    </w:p>
    <w:p w14:paraId="40E3C499" w14:textId="77777777" w:rsidR="00AE624F" w:rsidRDefault="00AE624F">
      <w:pPr>
        <w:spacing w:after="0" w:line="360" w:lineRule="auto"/>
      </w:pPr>
    </w:p>
    <w:tbl>
      <w:tblPr>
        <w:tblStyle w:val="a"/>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7"/>
        <w:gridCol w:w="6209"/>
      </w:tblGrid>
      <w:tr w:rsidR="00AE624F" w14:paraId="5DEBFC69" w14:textId="77777777">
        <w:tc>
          <w:tcPr>
            <w:tcW w:w="2717" w:type="dxa"/>
            <w:tcBorders>
              <w:top w:val="single" w:sz="4" w:space="0" w:color="000000"/>
              <w:left w:val="single" w:sz="4" w:space="0" w:color="000000"/>
              <w:bottom w:val="single" w:sz="4" w:space="0" w:color="000000"/>
              <w:right w:val="single" w:sz="4" w:space="0" w:color="000000"/>
            </w:tcBorders>
            <w:shd w:val="clear" w:color="auto" w:fill="DDD9C4"/>
          </w:tcPr>
          <w:p w14:paraId="7CF9F20D" w14:textId="77777777" w:rsidR="00AE624F" w:rsidRDefault="00AB43E7">
            <w:pPr>
              <w:tabs>
                <w:tab w:val="left" w:pos="567"/>
              </w:tabs>
              <w:spacing w:line="360" w:lineRule="auto"/>
              <w:ind w:right="-28"/>
              <w:rPr>
                <w:b/>
                <w:bCs/>
                <w:sz w:val="20"/>
                <w:szCs w:val="20"/>
              </w:rPr>
            </w:pPr>
            <w:r>
              <w:rPr>
                <w:b/>
                <w:bCs/>
                <w:sz w:val="20"/>
                <w:szCs w:val="20"/>
              </w:rPr>
              <w:t>FOLIO DE SOLICITUD</w:t>
            </w:r>
          </w:p>
        </w:tc>
        <w:tc>
          <w:tcPr>
            <w:tcW w:w="6209" w:type="dxa"/>
            <w:tcBorders>
              <w:top w:val="single" w:sz="4" w:space="0" w:color="000000"/>
              <w:left w:val="single" w:sz="4" w:space="0" w:color="000000"/>
              <w:bottom w:val="single" w:sz="4" w:space="0" w:color="000000"/>
              <w:right w:val="single" w:sz="4" w:space="0" w:color="000000"/>
            </w:tcBorders>
            <w:shd w:val="clear" w:color="auto" w:fill="DDD9C4"/>
          </w:tcPr>
          <w:p w14:paraId="1BC7E013" w14:textId="77777777" w:rsidR="00AE624F" w:rsidRDefault="00AB43E7">
            <w:pPr>
              <w:tabs>
                <w:tab w:val="left" w:pos="567"/>
              </w:tabs>
              <w:spacing w:line="360" w:lineRule="auto"/>
              <w:rPr>
                <w:b/>
                <w:bCs/>
                <w:sz w:val="20"/>
                <w:szCs w:val="20"/>
              </w:rPr>
            </w:pPr>
            <w:r>
              <w:rPr>
                <w:b/>
                <w:bCs/>
                <w:sz w:val="20"/>
                <w:szCs w:val="20"/>
              </w:rPr>
              <w:t>DESCRIPCIÓN CLARA Y PRECISA DE LA INFORMACIÓN SOLICITADA</w:t>
            </w:r>
          </w:p>
        </w:tc>
      </w:tr>
      <w:tr w:rsidR="00AE624F" w14:paraId="1E32ACE4" w14:textId="77777777">
        <w:tc>
          <w:tcPr>
            <w:tcW w:w="2717" w:type="dxa"/>
            <w:tcBorders>
              <w:top w:val="single" w:sz="4" w:space="0" w:color="000000"/>
              <w:left w:val="single" w:sz="4" w:space="0" w:color="000000"/>
              <w:bottom w:val="single" w:sz="4" w:space="0" w:color="000000"/>
              <w:right w:val="single" w:sz="4" w:space="0" w:color="000000"/>
            </w:tcBorders>
          </w:tcPr>
          <w:p w14:paraId="413F3B3C" w14:textId="77777777" w:rsidR="00AE624F" w:rsidRDefault="00AB43E7">
            <w:pPr>
              <w:tabs>
                <w:tab w:val="left" w:pos="567"/>
              </w:tabs>
              <w:spacing w:line="360" w:lineRule="auto"/>
              <w:ind w:right="-28"/>
              <w:rPr>
                <w:b/>
                <w:bCs/>
                <w:sz w:val="20"/>
                <w:szCs w:val="20"/>
              </w:rPr>
            </w:pPr>
            <w:r>
              <w:rPr>
                <w:b/>
                <w:bCs/>
                <w:i/>
                <w:iCs/>
                <w:sz w:val="20"/>
                <w:szCs w:val="20"/>
              </w:rPr>
              <w:t>00006/NEXTLAL/IP/2026</w:t>
            </w:r>
          </w:p>
        </w:tc>
        <w:tc>
          <w:tcPr>
            <w:tcW w:w="6209" w:type="dxa"/>
            <w:tcBorders>
              <w:top w:val="single" w:sz="4" w:space="0" w:color="000000"/>
              <w:left w:val="single" w:sz="4" w:space="0" w:color="000000"/>
              <w:bottom w:val="single" w:sz="4" w:space="0" w:color="000000"/>
              <w:right w:val="single" w:sz="4" w:space="0" w:color="000000"/>
            </w:tcBorders>
          </w:tcPr>
          <w:p w14:paraId="31D046A3" w14:textId="77777777" w:rsidR="00AE624F" w:rsidRDefault="00AB43E7">
            <w:pPr>
              <w:tabs>
                <w:tab w:val="left" w:pos="567"/>
              </w:tabs>
              <w:spacing w:line="360" w:lineRule="auto"/>
              <w:rPr>
                <w:b/>
                <w:bCs/>
                <w:sz w:val="20"/>
                <w:szCs w:val="20"/>
              </w:rPr>
            </w:pPr>
            <w:r>
              <w:rPr>
                <w:i/>
                <w:iCs/>
                <w:color w:val="000000"/>
                <w:sz w:val="20"/>
                <w:szCs w:val="20"/>
              </w:rPr>
              <w:t>El formato PbRM-04a Presupuesto de Egresos Detallado, del ejercicio fiscal dos mil veintitrés</w:t>
            </w:r>
          </w:p>
        </w:tc>
      </w:tr>
      <w:tr w:rsidR="00AE624F" w14:paraId="05A98EC7" w14:textId="77777777">
        <w:tc>
          <w:tcPr>
            <w:tcW w:w="2717" w:type="dxa"/>
            <w:tcBorders>
              <w:top w:val="single" w:sz="4" w:space="0" w:color="000000"/>
              <w:left w:val="single" w:sz="4" w:space="0" w:color="000000"/>
              <w:bottom w:val="single" w:sz="4" w:space="0" w:color="000000"/>
              <w:right w:val="single" w:sz="4" w:space="0" w:color="000000"/>
            </w:tcBorders>
          </w:tcPr>
          <w:p w14:paraId="191F59DB" w14:textId="77777777" w:rsidR="00AE624F" w:rsidRDefault="00AB43E7">
            <w:pPr>
              <w:spacing w:line="360" w:lineRule="auto"/>
              <w:rPr>
                <w:b/>
                <w:bCs/>
                <w:i/>
                <w:iCs/>
                <w:sz w:val="20"/>
                <w:szCs w:val="20"/>
              </w:rPr>
            </w:pPr>
            <w:r>
              <w:rPr>
                <w:b/>
                <w:bCs/>
                <w:i/>
                <w:iCs/>
                <w:sz w:val="20"/>
                <w:szCs w:val="20"/>
              </w:rPr>
              <w:t>00007/NEXTLAL/IP/2026</w:t>
            </w:r>
          </w:p>
        </w:tc>
        <w:tc>
          <w:tcPr>
            <w:tcW w:w="6209" w:type="dxa"/>
            <w:tcBorders>
              <w:top w:val="single" w:sz="4" w:space="0" w:color="000000"/>
              <w:left w:val="single" w:sz="4" w:space="0" w:color="000000"/>
              <w:bottom w:val="single" w:sz="4" w:space="0" w:color="000000"/>
              <w:right w:val="single" w:sz="4" w:space="0" w:color="000000"/>
            </w:tcBorders>
          </w:tcPr>
          <w:p w14:paraId="62C6F4C8" w14:textId="77777777" w:rsidR="00AE624F" w:rsidRDefault="00AB43E7">
            <w:pPr>
              <w:tabs>
                <w:tab w:val="left" w:pos="567"/>
              </w:tabs>
              <w:spacing w:line="360" w:lineRule="auto"/>
              <w:rPr>
                <w:i/>
                <w:iCs/>
                <w:color w:val="000000"/>
                <w:sz w:val="20"/>
                <w:szCs w:val="20"/>
              </w:rPr>
            </w:pPr>
            <w:r>
              <w:rPr>
                <w:i/>
                <w:iCs/>
                <w:color w:val="000000"/>
                <w:sz w:val="20"/>
                <w:szCs w:val="20"/>
              </w:rPr>
              <w:t>El formato PbRM-04a Presupuesto de Egresos Detallado, del ejercicio fiscal dos mil veintidós</w:t>
            </w:r>
          </w:p>
        </w:tc>
      </w:tr>
      <w:tr w:rsidR="00AE624F" w14:paraId="225245C7" w14:textId="77777777">
        <w:tc>
          <w:tcPr>
            <w:tcW w:w="2717" w:type="dxa"/>
            <w:tcBorders>
              <w:top w:val="single" w:sz="4" w:space="0" w:color="000000"/>
              <w:left w:val="single" w:sz="4" w:space="0" w:color="000000"/>
              <w:bottom w:val="single" w:sz="4" w:space="0" w:color="000000"/>
              <w:right w:val="single" w:sz="4" w:space="0" w:color="000000"/>
            </w:tcBorders>
          </w:tcPr>
          <w:p w14:paraId="54D70DE8" w14:textId="77777777" w:rsidR="00AE624F" w:rsidRDefault="00AB43E7">
            <w:pPr>
              <w:spacing w:line="360" w:lineRule="auto"/>
              <w:rPr>
                <w:b/>
                <w:bCs/>
                <w:i/>
                <w:iCs/>
                <w:sz w:val="20"/>
                <w:szCs w:val="20"/>
              </w:rPr>
            </w:pPr>
            <w:r>
              <w:rPr>
                <w:b/>
                <w:bCs/>
                <w:i/>
                <w:iCs/>
                <w:sz w:val="20"/>
                <w:szCs w:val="20"/>
              </w:rPr>
              <w:t>00008/NEXTLAL/IP/2026</w:t>
            </w:r>
          </w:p>
        </w:tc>
        <w:tc>
          <w:tcPr>
            <w:tcW w:w="6209" w:type="dxa"/>
            <w:tcBorders>
              <w:top w:val="single" w:sz="4" w:space="0" w:color="000000"/>
              <w:left w:val="single" w:sz="4" w:space="0" w:color="000000"/>
              <w:bottom w:val="single" w:sz="4" w:space="0" w:color="000000"/>
              <w:right w:val="single" w:sz="4" w:space="0" w:color="000000"/>
            </w:tcBorders>
          </w:tcPr>
          <w:p w14:paraId="593D5E2A" w14:textId="77777777" w:rsidR="00AE624F" w:rsidRDefault="00AB43E7">
            <w:pPr>
              <w:tabs>
                <w:tab w:val="left" w:pos="567"/>
              </w:tabs>
              <w:spacing w:line="360" w:lineRule="auto"/>
              <w:rPr>
                <w:i/>
                <w:iCs/>
                <w:color w:val="000000"/>
                <w:sz w:val="20"/>
                <w:szCs w:val="20"/>
              </w:rPr>
            </w:pPr>
            <w:r>
              <w:rPr>
                <w:i/>
                <w:iCs/>
                <w:color w:val="000000"/>
                <w:sz w:val="20"/>
                <w:szCs w:val="20"/>
              </w:rPr>
              <w:t>El formato PbRM-04a Presupuesto de Egresos Detallado, del ejercicio fiscal dos mil veintiuno</w:t>
            </w:r>
          </w:p>
        </w:tc>
      </w:tr>
      <w:tr w:rsidR="00AE624F" w14:paraId="73E4FCB0" w14:textId="77777777">
        <w:tc>
          <w:tcPr>
            <w:tcW w:w="2717" w:type="dxa"/>
            <w:tcBorders>
              <w:top w:val="single" w:sz="4" w:space="0" w:color="000000"/>
              <w:left w:val="single" w:sz="4" w:space="0" w:color="000000"/>
              <w:bottom w:val="single" w:sz="4" w:space="0" w:color="000000"/>
              <w:right w:val="single" w:sz="4" w:space="0" w:color="000000"/>
            </w:tcBorders>
          </w:tcPr>
          <w:p w14:paraId="494BB8F0" w14:textId="77777777" w:rsidR="00AE624F" w:rsidRDefault="00AB43E7">
            <w:pPr>
              <w:spacing w:line="360" w:lineRule="auto"/>
              <w:rPr>
                <w:b/>
                <w:bCs/>
                <w:i/>
                <w:iCs/>
                <w:sz w:val="20"/>
                <w:szCs w:val="20"/>
              </w:rPr>
            </w:pPr>
            <w:r>
              <w:rPr>
                <w:b/>
                <w:bCs/>
                <w:i/>
                <w:iCs/>
                <w:sz w:val="20"/>
                <w:szCs w:val="20"/>
              </w:rPr>
              <w:t>00009/NEXTLAL/IP/2026</w:t>
            </w:r>
          </w:p>
        </w:tc>
        <w:tc>
          <w:tcPr>
            <w:tcW w:w="6209" w:type="dxa"/>
            <w:tcBorders>
              <w:top w:val="single" w:sz="4" w:space="0" w:color="000000"/>
              <w:left w:val="single" w:sz="4" w:space="0" w:color="000000"/>
              <w:bottom w:val="single" w:sz="4" w:space="0" w:color="000000"/>
              <w:right w:val="single" w:sz="4" w:space="0" w:color="000000"/>
            </w:tcBorders>
          </w:tcPr>
          <w:p w14:paraId="79029A43" w14:textId="77777777" w:rsidR="00AE624F" w:rsidRDefault="00AB43E7">
            <w:pPr>
              <w:tabs>
                <w:tab w:val="left" w:pos="567"/>
              </w:tabs>
              <w:spacing w:line="360" w:lineRule="auto"/>
              <w:rPr>
                <w:i/>
                <w:iCs/>
                <w:color w:val="000000"/>
                <w:sz w:val="20"/>
                <w:szCs w:val="20"/>
              </w:rPr>
            </w:pPr>
            <w:r>
              <w:rPr>
                <w:i/>
                <w:iCs/>
                <w:color w:val="000000"/>
                <w:sz w:val="20"/>
                <w:szCs w:val="20"/>
              </w:rPr>
              <w:t>El formato PbRM-04a Presupuesto de Egresos Detallado, del ejercicio fiscal dos mil veinte</w:t>
            </w:r>
          </w:p>
        </w:tc>
      </w:tr>
    </w:tbl>
    <w:p w14:paraId="32BEF1FC" w14:textId="77777777" w:rsidR="00AE624F" w:rsidRDefault="00AE624F">
      <w:pPr>
        <w:tabs>
          <w:tab w:val="left" w:pos="4667"/>
        </w:tabs>
        <w:spacing w:after="0" w:line="360" w:lineRule="auto"/>
        <w:ind w:left="567" w:right="567"/>
        <w:rPr>
          <w:b/>
          <w:bCs/>
          <w:i/>
          <w:iCs/>
          <w:sz w:val="20"/>
          <w:szCs w:val="20"/>
        </w:rPr>
      </w:pPr>
    </w:p>
    <w:p w14:paraId="625628BC" w14:textId="77777777" w:rsidR="00AE624F" w:rsidRDefault="00AB43E7">
      <w:pPr>
        <w:tabs>
          <w:tab w:val="left" w:pos="4667"/>
        </w:tabs>
        <w:spacing w:after="0" w:line="360" w:lineRule="auto"/>
        <w:ind w:left="567" w:right="567"/>
        <w:rPr>
          <w:b/>
          <w:bCs/>
          <w:i/>
          <w:iCs/>
          <w:sz w:val="20"/>
          <w:szCs w:val="20"/>
        </w:rPr>
      </w:pPr>
      <w:r>
        <w:rPr>
          <w:b/>
          <w:bCs/>
          <w:i/>
          <w:iCs/>
          <w:sz w:val="20"/>
          <w:szCs w:val="20"/>
        </w:rPr>
        <w:t>“MODALIDAD DE ENTREGA</w:t>
      </w:r>
    </w:p>
    <w:p w14:paraId="1E65AC7C" w14:textId="77777777" w:rsidR="00AE624F" w:rsidRDefault="00AB43E7">
      <w:pPr>
        <w:spacing w:after="0" w:line="360" w:lineRule="auto"/>
        <w:ind w:left="567" w:right="567"/>
        <w:rPr>
          <w:i/>
          <w:iCs/>
          <w:sz w:val="20"/>
          <w:szCs w:val="20"/>
        </w:rPr>
      </w:pPr>
      <w:r>
        <w:rPr>
          <w:i/>
          <w:iCs/>
          <w:sz w:val="20"/>
          <w:szCs w:val="20"/>
        </w:rPr>
        <w:t>A través del SAIMEX”</w:t>
      </w:r>
    </w:p>
    <w:p w14:paraId="3D96D203" w14:textId="77777777" w:rsidR="00AE624F" w:rsidRDefault="00AE624F">
      <w:pPr>
        <w:spacing w:after="0" w:line="360" w:lineRule="auto"/>
        <w:ind w:right="567"/>
        <w:rPr>
          <w:i/>
          <w:iCs/>
          <w:sz w:val="20"/>
          <w:szCs w:val="20"/>
        </w:rPr>
      </w:pPr>
    </w:p>
    <w:p w14:paraId="5E038312" w14:textId="77777777" w:rsidR="00AE624F" w:rsidRDefault="00AB43E7">
      <w:pPr>
        <w:pStyle w:val="Ttulo2"/>
        <w:spacing w:before="0" w:after="0" w:line="360" w:lineRule="auto"/>
        <w:rPr>
          <w:sz w:val="22"/>
          <w:szCs w:val="22"/>
        </w:rPr>
      </w:pPr>
      <w:bookmarkStart w:id="3" w:name="_Toc226641915"/>
      <w:r>
        <w:rPr>
          <w:sz w:val="22"/>
          <w:szCs w:val="22"/>
        </w:rPr>
        <w:t>II. Respuesta del Sujeto Obligado</w:t>
      </w:r>
      <w:bookmarkEnd w:id="3"/>
    </w:p>
    <w:p w14:paraId="47C83C67" w14:textId="77777777" w:rsidR="00AE624F" w:rsidRDefault="00AE624F">
      <w:pPr>
        <w:spacing w:after="0" w:line="360" w:lineRule="auto"/>
        <w:rPr>
          <w:b/>
          <w:bCs/>
        </w:rPr>
      </w:pPr>
    </w:p>
    <w:p w14:paraId="67C226B7" w14:textId="77777777" w:rsidR="00AE624F" w:rsidRDefault="00AB43E7">
      <w:pPr>
        <w:spacing w:after="0" w:line="360" w:lineRule="auto"/>
      </w:pPr>
      <w:r>
        <w:t>El veinticinco de febrero de dos mil veinticinco, el Sujeto Obligado notificó, a través del Sistema de Acceso a la Información Mexiquense (SAIMEX), la respuesta a las solicitudes de acceso a la información pública, a través de la digitalización de los siguientes documentos:</w:t>
      </w:r>
    </w:p>
    <w:p w14:paraId="1E541885" w14:textId="77777777" w:rsidR="00AE624F" w:rsidRDefault="00AE624F">
      <w:pPr>
        <w:spacing w:after="0" w:line="360" w:lineRule="auto"/>
      </w:pPr>
    </w:p>
    <w:p w14:paraId="1B3D5839" w14:textId="77777777" w:rsidR="00AE624F" w:rsidRDefault="00AB43E7">
      <w:pPr>
        <w:spacing w:after="0" w:line="360" w:lineRule="auto"/>
        <w:rPr>
          <w:b/>
          <w:bCs/>
        </w:rPr>
      </w:pPr>
      <w:r>
        <w:rPr>
          <w:b/>
          <w:bCs/>
        </w:rPr>
        <w:t>Solicitud de información 00006/NEXTLAL/IP/2026</w:t>
      </w:r>
    </w:p>
    <w:p w14:paraId="1B6E3523" w14:textId="77777777" w:rsidR="00AE624F" w:rsidRDefault="00AE624F">
      <w:pPr>
        <w:spacing w:after="0" w:line="360" w:lineRule="auto"/>
      </w:pPr>
    </w:p>
    <w:p w14:paraId="6DF93C8E" w14:textId="77777777" w:rsidR="00AE624F" w:rsidRDefault="00AB43E7">
      <w:pPr>
        <w:spacing w:after="0" w:line="360" w:lineRule="auto"/>
      </w:pPr>
      <w:r>
        <w:t>i. Oficio con número NEX/UTAIPPDP/EXT/009/2026, del veinticinco de febrero de dos mil veintiséis, suscritos por la Responsable de la Unidad de Transparencia, Acceso a la Información Pública y Protección de Datos Personales y dirigido a la persona Solicitante, por medio del cual precisa que proporciona la respuesta brindada por la Tesorería Municipal.</w:t>
      </w:r>
    </w:p>
    <w:p w14:paraId="0D95004F" w14:textId="77777777" w:rsidR="00AE624F" w:rsidRDefault="00AE624F">
      <w:pPr>
        <w:spacing w:after="0" w:line="360" w:lineRule="auto"/>
      </w:pPr>
    </w:p>
    <w:p w14:paraId="28399FC2" w14:textId="77777777" w:rsidR="00AE624F" w:rsidRDefault="00AB43E7">
      <w:pPr>
        <w:spacing w:after="0" w:line="360" w:lineRule="auto"/>
      </w:pPr>
      <w:r>
        <w:t>ii. Oficio con número TESMUN/123/2026, del veinticuatro de febrero de dos mil veintiséis, suscrito por la Tesorera Municipal, por medio del cual mencionó lo siguiente:</w:t>
      </w:r>
    </w:p>
    <w:p w14:paraId="45B28CC6" w14:textId="77777777" w:rsidR="00AE624F" w:rsidRDefault="00AE624F">
      <w:pPr>
        <w:spacing w:after="0" w:line="360" w:lineRule="auto"/>
      </w:pPr>
    </w:p>
    <w:p w14:paraId="6DCF63B7" w14:textId="77777777" w:rsidR="00AE624F" w:rsidRDefault="00AB43E7">
      <w:pPr>
        <w:spacing w:after="0" w:line="360" w:lineRule="auto"/>
        <w:ind w:left="567" w:right="567"/>
        <w:rPr>
          <w:i/>
          <w:iCs/>
          <w:sz w:val="20"/>
          <w:szCs w:val="20"/>
        </w:rPr>
      </w:pPr>
      <w:r>
        <w:rPr>
          <w:i/>
          <w:iCs/>
          <w:sz w:val="20"/>
          <w:szCs w:val="20"/>
        </w:rPr>
        <w:t>“…Resultando entonces que, " El formato PbRM-04a Presupuesto de Egresos Detallado, del ejercicio fiscal dos mil veintitrés", conlleva a tener que realizar el escaneo y digitalización de dicho documento, por lo tanto, encuadra en la hipótesis normativa de realizar el pago de derechos establecido en el artículo 148 fracción V del Código Financiero del Estado de México y Municipio, por ello, es necesario se realice el pago correspondiente por la cantidad de $22.52 (veintidós pesos 52/100 M.N), determinados a los valores de la Unidad de Medida y Actualización (UMA) vigentes a partir del 1 de febrero del año 2026, de $117.31 diarios, los cuales al ser multiplicados por el costo de escaneo y digitalización de una hoja 0.008, nos arroja la cantidad de $0.93848, siendo así que por las 24 fojas que integran la información solicitada, nos da la cantidad de $22.52 (veintidós pesos 52/100 M.N), los cuales deberá de pagar en la caja de recaudación de la Tesorería Municipal de Nextlalpan, ubicada en la planta baja del "Centro Cultural Bicentenario de la Independencia de México", con domicilio en Avenida Juárez, esquina Callejón de la Perla, Sin Número, Barrio Central, Nextlalpan, C. P. 55790, en un horario de 08:00 horas a 17:00 horas y en virtud que existe una responsabilidad legal y obligatoria de cobrar y pagar las contribuciones antes señaladas, por ello, se insiste que, una vez realizado el pago se hará entrega, a través del Sistema de Acceso a la Información Mexiquense (SAIMEX), en versión integra, "el formato PbRM-04a Presupuesto de Egresos Detallado, del ejercicio fiscal dos mil veinte".…”</w:t>
      </w:r>
    </w:p>
    <w:p w14:paraId="483150E0" w14:textId="77777777" w:rsidR="00AE624F" w:rsidRDefault="00AE624F">
      <w:pPr>
        <w:spacing w:after="0" w:line="360" w:lineRule="auto"/>
        <w:rPr>
          <w:i/>
          <w:iCs/>
          <w:sz w:val="20"/>
          <w:szCs w:val="20"/>
        </w:rPr>
      </w:pPr>
    </w:p>
    <w:p w14:paraId="26F882B5" w14:textId="77777777" w:rsidR="00AE624F" w:rsidRDefault="00AB43E7">
      <w:pPr>
        <w:spacing w:after="0" w:line="360" w:lineRule="auto"/>
        <w:rPr>
          <w:b/>
          <w:bCs/>
        </w:rPr>
      </w:pPr>
      <w:r>
        <w:rPr>
          <w:b/>
          <w:bCs/>
        </w:rPr>
        <w:t>Solicitud de información 00007/NEXTLAL/IP/2026</w:t>
      </w:r>
    </w:p>
    <w:p w14:paraId="26BB31B9" w14:textId="77777777" w:rsidR="00AE624F" w:rsidRDefault="00AE624F">
      <w:pPr>
        <w:spacing w:after="0" w:line="360" w:lineRule="auto"/>
      </w:pPr>
    </w:p>
    <w:p w14:paraId="766F431F" w14:textId="77777777" w:rsidR="00AE624F" w:rsidRDefault="00AB43E7">
      <w:pPr>
        <w:spacing w:after="0" w:line="360" w:lineRule="auto"/>
      </w:pPr>
      <w:r>
        <w:t>i. Oficio con número NEX/UTAIPPDP/EXT/010/2026, del veinticinco de febrero de dos mil veintiséis, suscritos por la Responsable de la Unidad de Transparencia, Acceso a la Información Pública y Protección de Datos Personales y dirigido a la persona Solicitante, por medio del cual precisa que proporciona la respuesta brindada por la Tesorería Municipal.</w:t>
      </w:r>
    </w:p>
    <w:p w14:paraId="256EEFF4" w14:textId="77777777" w:rsidR="00AE624F" w:rsidRDefault="00AE624F">
      <w:pPr>
        <w:spacing w:after="0" w:line="360" w:lineRule="auto"/>
      </w:pPr>
    </w:p>
    <w:p w14:paraId="2BF82880" w14:textId="77777777" w:rsidR="00AE624F" w:rsidRDefault="00AB43E7">
      <w:pPr>
        <w:spacing w:after="0" w:line="360" w:lineRule="auto"/>
      </w:pPr>
      <w:r>
        <w:t>ii. Oficio con número TESMUN/124/2026, del veinticuatro de febrero de dos mil veintiséis, suscrito por la Tesorera Municipal, por medio del cual mencionó lo siguiente:</w:t>
      </w:r>
    </w:p>
    <w:p w14:paraId="6A368D90" w14:textId="77777777" w:rsidR="00AE624F" w:rsidRDefault="00AE624F">
      <w:pPr>
        <w:spacing w:after="0" w:line="360" w:lineRule="auto"/>
      </w:pPr>
    </w:p>
    <w:p w14:paraId="49E1D010" w14:textId="77777777" w:rsidR="00AE624F" w:rsidRDefault="00AB43E7">
      <w:pPr>
        <w:spacing w:after="0" w:line="360" w:lineRule="auto"/>
        <w:ind w:left="567" w:right="567"/>
        <w:rPr>
          <w:i/>
          <w:iCs/>
          <w:sz w:val="20"/>
          <w:szCs w:val="20"/>
        </w:rPr>
      </w:pPr>
      <w:r>
        <w:rPr>
          <w:i/>
          <w:iCs/>
          <w:sz w:val="20"/>
          <w:szCs w:val="20"/>
        </w:rPr>
        <w:t>“…Resultando entonces que, " El formato PbRM-04a Presupuesto de Egresos Detallado, del ejercicio fiscal dos mil veintidós", conlleva a tener que realizar el escaneo y digitalización de dicho documento, por lo tanto, encuadra en la hipótesis normativa de realizar el pago de derechos establecido en el artículo 148 fracción V del Código Financiero del Estado de México y Municipio, por ello, es necesario se realice el pago correspondiente por la cantidad de $19.70 (diecinueve pesos 70/100 M.N), determinados a los valores de la Unidad de Medida y Actualización (UMA) vigentes a partir del 1 de febrero del año 2026, de $117.31 diarios, los cuales al ser multiplicados por el costo de escaneo y digitalización de una hoja 0.008, nos arroja la cantidad de $0.93848, siendo así que por las 21 fojas que integran la información solicitada, nos da la cantidad de $19.70 (diecinueve pesos 70/100 M.N), los cuales deberá de pagar en la caja de recaudación de la Tesorería Municipal de Nextlalpan, ubicada en la planta baja del "Centro Cultural Bicentenario de la Independencia de México", con domicilio en Avenida Juárez, esquina Callejón de la Perla, Sin Número, Barrio Central, Nextlalpan, C. P. 55790, en un horario de 08:00 horas a 17:00 horas y en virtud que existe una responsabilidad legal y obligatoria de cobrar y pagar las contribuciones antes señaladas, por ello, se insiste que, una vez realizado el pago se hará entrega, a través del Sistema de Acceso a la Información Mexiquense (SAIMEX), en versión integra, "el formato PbRM-04a Presupuesto de Egresos Detallado, del ejercicio fiscal dos mil veintidós…”</w:t>
      </w:r>
    </w:p>
    <w:p w14:paraId="76F7CE3A" w14:textId="77777777" w:rsidR="00AE624F" w:rsidRDefault="00AE624F">
      <w:pPr>
        <w:spacing w:after="0" w:line="360" w:lineRule="auto"/>
        <w:rPr>
          <w:i/>
          <w:iCs/>
          <w:sz w:val="20"/>
          <w:szCs w:val="20"/>
        </w:rPr>
      </w:pPr>
    </w:p>
    <w:p w14:paraId="1BAF6DCD" w14:textId="77777777" w:rsidR="00AE624F" w:rsidRDefault="00AB43E7">
      <w:pPr>
        <w:spacing w:after="0" w:line="360" w:lineRule="auto"/>
        <w:rPr>
          <w:b/>
          <w:bCs/>
        </w:rPr>
      </w:pPr>
      <w:r>
        <w:rPr>
          <w:b/>
          <w:bCs/>
        </w:rPr>
        <w:t>Solicitud de información 00008/NEXTLAL/IP/2026</w:t>
      </w:r>
    </w:p>
    <w:p w14:paraId="34140626" w14:textId="77777777" w:rsidR="00AE624F" w:rsidRDefault="00AE624F">
      <w:pPr>
        <w:spacing w:after="0" w:line="360" w:lineRule="auto"/>
      </w:pPr>
    </w:p>
    <w:p w14:paraId="7F3CADE0" w14:textId="77777777" w:rsidR="00AE624F" w:rsidRDefault="00AB43E7">
      <w:pPr>
        <w:spacing w:after="0" w:line="360" w:lineRule="auto"/>
      </w:pPr>
      <w:r>
        <w:t>i. Oficio con número NEX/UTAIPPDP/EXT/011/2026, del veinticinco de febrero de dos mil veintiséis, suscritos por la Responsable de la Unidad de Transparencia, Acceso a la Información Pública y Protección de Datos Personales y dirigido a la persona Solicitante, por medio del cual precisa que proporciona la respuesta brindada por la Tesorería Municipal.</w:t>
      </w:r>
    </w:p>
    <w:p w14:paraId="55E774EB" w14:textId="77777777" w:rsidR="00AE624F" w:rsidRDefault="00AE624F">
      <w:pPr>
        <w:spacing w:after="0" w:line="360" w:lineRule="auto"/>
      </w:pPr>
    </w:p>
    <w:p w14:paraId="2B7D2FAB" w14:textId="77777777" w:rsidR="00AE624F" w:rsidRDefault="00AB43E7">
      <w:pPr>
        <w:spacing w:after="0" w:line="360" w:lineRule="auto"/>
      </w:pPr>
      <w:r>
        <w:t>ii. Oficio con número TESMUN/125/2026, del veinticuatro de febrero de dos mil veintiséis, suscrito por la Tesorera Municipal, por medio del cual mencionó lo siguiente:</w:t>
      </w:r>
    </w:p>
    <w:p w14:paraId="7C9A73DB" w14:textId="77777777" w:rsidR="00AE624F" w:rsidRDefault="00AE624F">
      <w:pPr>
        <w:spacing w:after="0" w:line="360" w:lineRule="auto"/>
      </w:pPr>
    </w:p>
    <w:p w14:paraId="4C5B965D" w14:textId="77777777" w:rsidR="00AE624F" w:rsidRDefault="00AB43E7">
      <w:pPr>
        <w:spacing w:after="0" w:line="360" w:lineRule="auto"/>
        <w:ind w:left="567" w:right="567"/>
        <w:rPr>
          <w:i/>
          <w:iCs/>
          <w:sz w:val="20"/>
          <w:szCs w:val="20"/>
        </w:rPr>
      </w:pPr>
      <w:r>
        <w:rPr>
          <w:i/>
          <w:iCs/>
          <w:sz w:val="20"/>
          <w:szCs w:val="20"/>
        </w:rPr>
        <w:t>“…Resultando entonces que, " El formato PbRM-04a Presupuesto de Egresos Detallado, del ejercicio fiscal dos mil veintiuno", conlleva a tener que realizar el escaneo y digitalización de dicho documento, por lo tanto, encuadra en la hipótesis normativa de realizar el pago de derechos establecido en el artículo 148 fracción V del Código Financiero del Estado de México y Municipio, por ello, es necesario se realice el pago correspondiente por la cantidad de $20.64 (veinte pesos 64/100 M.N), determinados a los valores de la Unidad de Medida y Actualización (UMA) vigentes a partir del 1 de febrero del año 2026, de $117.31 diarios, los cuales al ser multiplicados por el costo de escaneo y digitalización de una hoja 0.008, nos arroja la cantidad de $0.93848, siendo así que por las 22 fojas que integran la información solicitada, nos da la cantidad de $20.64 (veinte pesos 64/100 M.N), los cuales deberá de pagar en la caja de recaudación de la Tesorería Municipal de Nextlalpan, ubicada en la planta baja del "Centro Cultural Bicentenario de la Independencia de México", con domicilio en Avenida Juárez, esquina Callejón de la Perla, Sin Número, Barrio Central, Nextlalpan, C. P. 55790, en un horario de 08:00 horas a 17:00 horas y en virtud que existe una responsabilidad legal y obligatoria de cobrar y pagar las contribuciones antes señaladas, por ello, se insiste que, una vez realizado el pago se hará entrega, a través del Sistema de Acceso a la Información Mexiquense (SAIMEX), en versión integra, "el formato PbRM-04a Presupuesto de Egresos Detallado, del ejercicio fiscal dos mil veintiuno…”</w:t>
      </w:r>
    </w:p>
    <w:p w14:paraId="70A446B9" w14:textId="77777777" w:rsidR="00AE624F" w:rsidRDefault="00AE624F">
      <w:pPr>
        <w:spacing w:after="0" w:line="360" w:lineRule="auto"/>
        <w:rPr>
          <w:i/>
          <w:iCs/>
          <w:sz w:val="20"/>
          <w:szCs w:val="20"/>
        </w:rPr>
      </w:pPr>
    </w:p>
    <w:p w14:paraId="693A1859" w14:textId="77777777" w:rsidR="00AE624F" w:rsidRDefault="00AB43E7">
      <w:pPr>
        <w:spacing w:after="0" w:line="360" w:lineRule="auto"/>
        <w:rPr>
          <w:b/>
          <w:bCs/>
        </w:rPr>
      </w:pPr>
      <w:r>
        <w:rPr>
          <w:b/>
          <w:bCs/>
        </w:rPr>
        <w:t>Solicitud de información 00009/NEXTLAL/IP/2026</w:t>
      </w:r>
    </w:p>
    <w:p w14:paraId="74C4F2F5" w14:textId="77777777" w:rsidR="00AE624F" w:rsidRDefault="00AE624F">
      <w:pPr>
        <w:spacing w:after="0" w:line="360" w:lineRule="auto"/>
      </w:pPr>
    </w:p>
    <w:p w14:paraId="42A99F09" w14:textId="77777777" w:rsidR="00AE624F" w:rsidRDefault="00AB43E7">
      <w:pPr>
        <w:spacing w:after="0" w:line="360" w:lineRule="auto"/>
      </w:pPr>
      <w:r>
        <w:t>i. Oficio con número NEX/UTAIPPDP/EXT/012/2026, del veinticinco de febrero de dos mil veintiséis, suscritos por la Responsable de la Unidad de Transparencia, Acceso a la Información Pública y Protección de Datos Personales y dirigido a la persona Solicitante, por medio del cual precisa que proporciona la respuesta brindada por la Tesorería Municipal.</w:t>
      </w:r>
    </w:p>
    <w:p w14:paraId="0046E3D5" w14:textId="77777777" w:rsidR="00AE624F" w:rsidRDefault="00AE624F">
      <w:pPr>
        <w:spacing w:after="0" w:line="360" w:lineRule="auto"/>
      </w:pPr>
    </w:p>
    <w:p w14:paraId="3A9F0166" w14:textId="77777777" w:rsidR="00AE624F" w:rsidRDefault="00AB43E7">
      <w:pPr>
        <w:spacing w:after="0" w:line="360" w:lineRule="auto"/>
      </w:pPr>
      <w:r>
        <w:t>ii. Oficio con número TESMUN/126/2026, del veinticuatro de febrero de dos mil veintiséis, suscrito por la Tesorera Municipal, por medio del cual mencionó lo siguiente:</w:t>
      </w:r>
    </w:p>
    <w:p w14:paraId="0105878B" w14:textId="77777777" w:rsidR="00AE624F" w:rsidRDefault="00AE624F">
      <w:pPr>
        <w:spacing w:after="0" w:line="360" w:lineRule="auto"/>
      </w:pPr>
    </w:p>
    <w:p w14:paraId="4C2D870F" w14:textId="77777777" w:rsidR="00AE624F" w:rsidRDefault="00AB43E7">
      <w:pPr>
        <w:spacing w:after="0" w:line="360" w:lineRule="auto"/>
        <w:ind w:left="567" w:right="567"/>
        <w:rPr>
          <w:i/>
          <w:iCs/>
          <w:sz w:val="20"/>
          <w:szCs w:val="20"/>
        </w:rPr>
      </w:pPr>
      <w:r>
        <w:rPr>
          <w:i/>
          <w:iCs/>
          <w:sz w:val="20"/>
          <w:szCs w:val="20"/>
        </w:rPr>
        <w:t>“…Resultando entonces que, "El formato PbRM-04a Presupuesto de Egresos Detallado, del ejercicio fiscal dos mil veintitrés", conlleva a tener que realizar el escaneo y digitalización de dicho documento, por lo tanto, encuadra en la hipótesis normativa de realizar el pago de derechos establecido en el artículo 148 fracción V del Código Financiero del Estado de México y Municipio, por ello, es necesario se realice el pago correspondiente por la cantidad de $24.40 (veinticuatro pesos 40/100 M.N), determinados a los valores de la Unidad de Medida y Actualización (UMA) vigentes a partir del 1 de febrero del año 2026, de $117.31 diarios, los cuales al ser multiplicados por el costo de escaneo y digitalización de una hoja 0.008, nos arroja la cantidad de $0.93848, siendo así que por las 26 fojas que integran la información solicitada, nos da la cantidad de $24.40 (veinticuatro pesos 40/100 M.N), los cuales deberá de pagar en la caja de recaudación de la Tesorería Municipal de Nextlalpan, ubicada en la planta baja del "Centro Cultural Bicentenario de la Independencia de México", con domicilio en Avenida Juárez, esquina Callejón de la Perla, Sin Número, Barrio Central, Nextlalpan, C. P. 55790, en un horario de 08:00 horas a 17:00 horas y en virtud que existe una responsabilidad legal y obligatoria de cobrar y pagar las contribuciones antes señaladas, por ello, se insiste que, una vez realizado el pago se hará entrega, a través del Sistema de Acceso a la Información Mexiquense (SAIMEX), en versión integra, "el formato PbRM-04a Presupuesto de Egresos Detallado, del ejercicio fiscal dos mil veinte".…”</w:t>
      </w:r>
    </w:p>
    <w:p w14:paraId="09A320B2" w14:textId="77777777" w:rsidR="00AE624F" w:rsidRDefault="00AE624F">
      <w:pPr>
        <w:spacing w:after="0" w:line="360" w:lineRule="auto"/>
        <w:rPr>
          <w:i/>
          <w:iCs/>
          <w:sz w:val="20"/>
          <w:szCs w:val="20"/>
        </w:rPr>
      </w:pPr>
    </w:p>
    <w:p w14:paraId="522A0E3A" w14:textId="77777777" w:rsidR="00AE624F" w:rsidRDefault="00AB43E7">
      <w:pPr>
        <w:pStyle w:val="Ttulo2"/>
        <w:spacing w:before="0" w:after="0" w:line="360" w:lineRule="auto"/>
        <w:rPr>
          <w:sz w:val="22"/>
          <w:szCs w:val="22"/>
        </w:rPr>
      </w:pPr>
      <w:bookmarkStart w:id="4" w:name="_Toc226641916"/>
      <w:r>
        <w:rPr>
          <w:sz w:val="22"/>
          <w:szCs w:val="22"/>
        </w:rPr>
        <w:t>III. Interposición del Recurso de Revisión</w:t>
      </w:r>
      <w:bookmarkEnd w:id="4"/>
    </w:p>
    <w:p w14:paraId="32709E70" w14:textId="77777777" w:rsidR="00AE624F" w:rsidRDefault="00AE624F">
      <w:pPr>
        <w:spacing w:after="0" w:line="360" w:lineRule="auto"/>
        <w:rPr>
          <w:b/>
          <w:bCs/>
        </w:rPr>
      </w:pPr>
    </w:p>
    <w:p w14:paraId="257B0096" w14:textId="77777777" w:rsidR="00AE624F" w:rsidRDefault="00AB43E7">
      <w:pPr>
        <w:spacing w:after="0" w:line="360" w:lineRule="auto"/>
      </w:pPr>
      <w:r>
        <w:t>El cuatro de marzo de dos mil veintiséis, se recibió en este Instituto, a través del Sistema de Acceso a la Información Mexiquense (SAIMEX), cuatro Recursos de Revisión interpuestos por la persona Recurrente, en contra de la respuesta por el Sujeto Obligado, a las solicitudes de información, en los siguientes términos:</w:t>
      </w:r>
    </w:p>
    <w:p w14:paraId="7AD2426C" w14:textId="77777777" w:rsidR="00AE624F" w:rsidRDefault="00AE624F">
      <w:pPr>
        <w:spacing w:after="0" w:line="360" w:lineRule="auto"/>
        <w:ind w:left="567" w:right="567"/>
        <w:rPr>
          <w:b/>
          <w:bCs/>
          <w:i/>
          <w:iCs/>
          <w:sz w:val="20"/>
          <w:szCs w:val="20"/>
        </w:rPr>
      </w:pPr>
    </w:p>
    <w:p w14:paraId="6F4B1175" w14:textId="77777777" w:rsidR="00AE624F" w:rsidRDefault="00AB43E7">
      <w:pPr>
        <w:spacing w:after="0" w:line="360" w:lineRule="auto"/>
        <w:ind w:left="567" w:right="567"/>
        <w:rPr>
          <w:b/>
          <w:bCs/>
          <w:i/>
          <w:iCs/>
          <w:sz w:val="20"/>
          <w:szCs w:val="20"/>
        </w:rPr>
      </w:pPr>
      <w:r>
        <w:rPr>
          <w:b/>
          <w:bCs/>
          <w:i/>
          <w:iCs/>
          <w:sz w:val="20"/>
          <w:szCs w:val="20"/>
        </w:rPr>
        <w:t>00006/NEXTLAL/IP/2026</w:t>
      </w:r>
    </w:p>
    <w:p w14:paraId="2DE9A8D2" w14:textId="77777777" w:rsidR="00AE624F" w:rsidRDefault="00AB43E7">
      <w:pPr>
        <w:spacing w:after="0" w:line="360" w:lineRule="auto"/>
        <w:ind w:left="567" w:right="567"/>
        <w:rPr>
          <w:i/>
          <w:iCs/>
          <w:sz w:val="20"/>
          <w:szCs w:val="20"/>
        </w:rPr>
      </w:pPr>
      <w:r>
        <w:rPr>
          <w:b/>
          <w:bCs/>
          <w:i/>
          <w:iCs/>
          <w:sz w:val="20"/>
          <w:szCs w:val="20"/>
        </w:rPr>
        <w:t>‘’ACTO IMPUGNADO</w:t>
      </w:r>
    </w:p>
    <w:p w14:paraId="77FE48BE" w14:textId="77777777" w:rsidR="00AE624F" w:rsidRDefault="00AB43E7">
      <w:pPr>
        <w:spacing w:after="0" w:line="360" w:lineRule="auto"/>
        <w:ind w:left="567" w:right="567"/>
        <w:rPr>
          <w:i/>
          <w:iCs/>
          <w:sz w:val="20"/>
          <w:szCs w:val="20"/>
        </w:rPr>
      </w:pPr>
      <w:r>
        <w:rPr>
          <w:i/>
          <w:iCs/>
          <w:sz w:val="20"/>
          <w:szCs w:val="20"/>
        </w:rPr>
        <w:t>El formato PbRM-04a Presupuesto de Egresos Detallado, del ejercicio fiscal dos mil veintitrés”(Sic.)</w:t>
      </w:r>
    </w:p>
    <w:p w14:paraId="713993A9" w14:textId="77777777" w:rsidR="00AE624F" w:rsidRDefault="00AE624F">
      <w:pPr>
        <w:spacing w:after="0" w:line="360" w:lineRule="auto"/>
        <w:ind w:left="567" w:right="567"/>
        <w:rPr>
          <w:i/>
          <w:iCs/>
          <w:sz w:val="20"/>
          <w:szCs w:val="20"/>
        </w:rPr>
      </w:pPr>
    </w:p>
    <w:p w14:paraId="48E2B74D" w14:textId="77777777" w:rsidR="00AE624F" w:rsidRDefault="00AB43E7">
      <w:pPr>
        <w:spacing w:after="0" w:line="360" w:lineRule="auto"/>
        <w:ind w:left="567" w:right="567"/>
        <w:rPr>
          <w:b/>
          <w:bCs/>
          <w:i/>
          <w:iCs/>
          <w:sz w:val="20"/>
          <w:szCs w:val="20"/>
        </w:rPr>
      </w:pPr>
      <w:r>
        <w:rPr>
          <w:b/>
          <w:bCs/>
          <w:i/>
          <w:iCs/>
          <w:sz w:val="20"/>
          <w:szCs w:val="20"/>
        </w:rPr>
        <w:t>‘’RAZONES O MOTIVOS DE LA INCONFORMIDAD</w:t>
      </w:r>
    </w:p>
    <w:p w14:paraId="3C9ED705" w14:textId="77777777" w:rsidR="00AE624F" w:rsidRDefault="00AB43E7">
      <w:pPr>
        <w:spacing w:after="0" w:line="360" w:lineRule="auto"/>
        <w:ind w:left="567" w:right="567"/>
        <w:rPr>
          <w:i/>
          <w:iCs/>
          <w:sz w:val="20"/>
          <w:szCs w:val="20"/>
        </w:rPr>
      </w:pPr>
      <w:r>
        <w:rPr>
          <w:i/>
          <w:iCs/>
          <w:sz w:val="20"/>
          <w:szCs w:val="20"/>
        </w:rPr>
        <w:t>Su argumento para no PROPORCIONAR la información pública es que aducen que "existe una responsabilidad legal y obligatoria de cobrar y pagar contribuciones" (sic); cuando la modalidad de la puesta a disposición es vía SAIMEX. Este pretexto ha sido utilizado de forma recurrente para omitir sus responsabilidades con la Transparencia.” (Sic.)</w:t>
      </w:r>
    </w:p>
    <w:p w14:paraId="34ABB0AF" w14:textId="77777777" w:rsidR="00AE624F" w:rsidRDefault="00AE624F">
      <w:pPr>
        <w:spacing w:after="0" w:line="360" w:lineRule="auto"/>
        <w:ind w:left="567" w:right="567"/>
        <w:rPr>
          <w:i/>
          <w:iCs/>
          <w:sz w:val="20"/>
          <w:szCs w:val="20"/>
        </w:rPr>
      </w:pPr>
    </w:p>
    <w:p w14:paraId="39A6098F" w14:textId="77777777" w:rsidR="00AE624F" w:rsidRDefault="00AB43E7">
      <w:pPr>
        <w:spacing w:after="0" w:line="360" w:lineRule="auto"/>
        <w:ind w:left="567" w:right="567"/>
        <w:rPr>
          <w:b/>
          <w:bCs/>
          <w:i/>
          <w:iCs/>
          <w:sz w:val="20"/>
          <w:szCs w:val="20"/>
        </w:rPr>
      </w:pPr>
      <w:r>
        <w:rPr>
          <w:b/>
          <w:bCs/>
          <w:i/>
          <w:iCs/>
          <w:sz w:val="20"/>
          <w:szCs w:val="20"/>
        </w:rPr>
        <w:t>00007/NEXTLAL/IP/2026</w:t>
      </w:r>
    </w:p>
    <w:p w14:paraId="31C98093" w14:textId="77777777" w:rsidR="00AE624F" w:rsidRDefault="00AB43E7">
      <w:pPr>
        <w:spacing w:after="0" w:line="360" w:lineRule="auto"/>
        <w:ind w:left="567" w:right="567"/>
        <w:rPr>
          <w:i/>
          <w:iCs/>
          <w:sz w:val="20"/>
          <w:szCs w:val="20"/>
        </w:rPr>
      </w:pPr>
      <w:r>
        <w:rPr>
          <w:b/>
          <w:bCs/>
          <w:i/>
          <w:iCs/>
          <w:sz w:val="20"/>
          <w:szCs w:val="20"/>
        </w:rPr>
        <w:t>‘’ACTO IMPUGNADO</w:t>
      </w:r>
    </w:p>
    <w:p w14:paraId="1A566823" w14:textId="77777777" w:rsidR="00AE624F" w:rsidRDefault="00AB43E7">
      <w:pPr>
        <w:spacing w:after="0" w:line="360" w:lineRule="auto"/>
        <w:ind w:left="567" w:right="567"/>
        <w:rPr>
          <w:i/>
          <w:iCs/>
          <w:sz w:val="20"/>
          <w:szCs w:val="20"/>
        </w:rPr>
      </w:pPr>
      <w:r>
        <w:rPr>
          <w:i/>
          <w:iCs/>
          <w:sz w:val="20"/>
          <w:szCs w:val="20"/>
        </w:rPr>
        <w:t>El formato PbRM-04a Presupuesto de Egresos Detallado, del ejercicio fiscal dos mil veintidós”(Sic.)</w:t>
      </w:r>
    </w:p>
    <w:p w14:paraId="7FE5CD4B" w14:textId="77777777" w:rsidR="00AE624F" w:rsidRDefault="00AE624F">
      <w:pPr>
        <w:spacing w:after="0" w:line="360" w:lineRule="auto"/>
        <w:ind w:left="567" w:right="567"/>
        <w:rPr>
          <w:i/>
          <w:iCs/>
          <w:sz w:val="20"/>
          <w:szCs w:val="20"/>
        </w:rPr>
      </w:pPr>
    </w:p>
    <w:p w14:paraId="2E01BA7F" w14:textId="77777777" w:rsidR="00AE624F" w:rsidRDefault="00AB43E7">
      <w:pPr>
        <w:spacing w:after="0" w:line="360" w:lineRule="auto"/>
        <w:ind w:left="567" w:right="567"/>
        <w:rPr>
          <w:b/>
          <w:bCs/>
          <w:i/>
          <w:iCs/>
          <w:sz w:val="20"/>
          <w:szCs w:val="20"/>
        </w:rPr>
      </w:pPr>
      <w:r>
        <w:rPr>
          <w:b/>
          <w:bCs/>
          <w:i/>
          <w:iCs/>
          <w:sz w:val="20"/>
          <w:szCs w:val="20"/>
        </w:rPr>
        <w:t>‘’RAZONES O MOTIVOS DE LA INCONFORMIDAD</w:t>
      </w:r>
    </w:p>
    <w:p w14:paraId="135C648B" w14:textId="77777777" w:rsidR="00AE624F" w:rsidRDefault="00AB43E7">
      <w:pPr>
        <w:spacing w:after="0" w:line="360" w:lineRule="auto"/>
        <w:ind w:left="567" w:right="567"/>
        <w:rPr>
          <w:i/>
          <w:iCs/>
          <w:sz w:val="20"/>
          <w:szCs w:val="20"/>
        </w:rPr>
      </w:pPr>
      <w:r>
        <w:rPr>
          <w:i/>
          <w:iCs/>
          <w:sz w:val="20"/>
          <w:szCs w:val="20"/>
        </w:rPr>
        <w:t>Su argumento para no PROPORCIONAR la información pública es que aducen que "existe una responsabilidad legal y obligatoria de cobrar y pagar contribuciones" (sic); cuando la modalidad de la puesta a disposición es vía SAIMEX. Este pretexto ha sido utilizado de forma recurrente para omitir sus responsabilidades con la Transparencia.” (Sic.)</w:t>
      </w:r>
    </w:p>
    <w:p w14:paraId="5A89EA22" w14:textId="77777777" w:rsidR="00AE624F" w:rsidRDefault="00AE624F">
      <w:pPr>
        <w:spacing w:after="0" w:line="360" w:lineRule="auto"/>
        <w:ind w:left="567" w:right="567"/>
        <w:rPr>
          <w:i/>
          <w:iCs/>
          <w:sz w:val="20"/>
          <w:szCs w:val="20"/>
        </w:rPr>
      </w:pPr>
    </w:p>
    <w:p w14:paraId="77E7F8AF" w14:textId="77777777" w:rsidR="00AE624F" w:rsidRDefault="00AB43E7">
      <w:pPr>
        <w:spacing w:after="0" w:line="360" w:lineRule="auto"/>
        <w:ind w:left="567" w:right="567"/>
        <w:rPr>
          <w:b/>
          <w:bCs/>
          <w:i/>
          <w:iCs/>
          <w:sz w:val="20"/>
          <w:szCs w:val="20"/>
        </w:rPr>
      </w:pPr>
      <w:r>
        <w:rPr>
          <w:b/>
          <w:bCs/>
          <w:i/>
          <w:iCs/>
          <w:sz w:val="20"/>
          <w:szCs w:val="20"/>
        </w:rPr>
        <w:t>00008/NEXTLAL/IP/2026</w:t>
      </w:r>
    </w:p>
    <w:p w14:paraId="193C45B7" w14:textId="77777777" w:rsidR="00AE624F" w:rsidRDefault="00AB43E7">
      <w:pPr>
        <w:spacing w:after="0" w:line="360" w:lineRule="auto"/>
        <w:ind w:left="567" w:right="567"/>
        <w:rPr>
          <w:i/>
          <w:iCs/>
          <w:sz w:val="20"/>
          <w:szCs w:val="20"/>
        </w:rPr>
      </w:pPr>
      <w:r>
        <w:rPr>
          <w:b/>
          <w:bCs/>
          <w:i/>
          <w:iCs/>
          <w:sz w:val="20"/>
          <w:szCs w:val="20"/>
        </w:rPr>
        <w:t>‘’ACTO IMPUGNADO</w:t>
      </w:r>
    </w:p>
    <w:p w14:paraId="384B45F0" w14:textId="77777777" w:rsidR="00AE624F" w:rsidRDefault="00AB43E7">
      <w:pPr>
        <w:spacing w:after="0" w:line="360" w:lineRule="auto"/>
        <w:ind w:left="567" w:right="567"/>
        <w:rPr>
          <w:i/>
          <w:iCs/>
          <w:sz w:val="20"/>
          <w:szCs w:val="20"/>
        </w:rPr>
      </w:pPr>
      <w:r>
        <w:rPr>
          <w:i/>
          <w:iCs/>
          <w:sz w:val="20"/>
          <w:szCs w:val="20"/>
        </w:rPr>
        <w:t>El formato PbRM-04a Presupuesto de Egresos Detallado, del ejercicio fiscal dos mil veintiuno”(Sic.)</w:t>
      </w:r>
    </w:p>
    <w:p w14:paraId="3AC6D477" w14:textId="77777777" w:rsidR="00AE624F" w:rsidRDefault="00AE624F">
      <w:pPr>
        <w:spacing w:after="0" w:line="360" w:lineRule="auto"/>
        <w:ind w:left="567" w:right="567"/>
        <w:rPr>
          <w:i/>
          <w:iCs/>
          <w:sz w:val="20"/>
          <w:szCs w:val="20"/>
        </w:rPr>
      </w:pPr>
    </w:p>
    <w:p w14:paraId="78D1AF9F" w14:textId="77777777" w:rsidR="00AE624F" w:rsidRDefault="00AB43E7">
      <w:pPr>
        <w:spacing w:after="0" w:line="360" w:lineRule="auto"/>
        <w:ind w:left="567" w:right="567"/>
        <w:rPr>
          <w:b/>
          <w:bCs/>
          <w:i/>
          <w:iCs/>
          <w:sz w:val="20"/>
          <w:szCs w:val="20"/>
        </w:rPr>
      </w:pPr>
      <w:r>
        <w:rPr>
          <w:b/>
          <w:bCs/>
          <w:i/>
          <w:iCs/>
          <w:sz w:val="20"/>
          <w:szCs w:val="20"/>
        </w:rPr>
        <w:t>‘’RAZONES O MOTIVOS DE LA INCONFORMIDAD</w:t>
      </w:r>
    </w:p>
    <w:p w14:paraId="1F4B512A" w14:textId="77777777" w:rsidR="00AE624F" w:rsidRDefault="00AB43E7">
      <w:pPr>
        <w:spacing w:after="0" w:line="360" w:lineRule="auto"/>
        <w:ind w:left="567" w:right="567"/>
        <w:rPr>
          <w:i/>
          <w:iCs/>
          <w:sz w:val="20"/>
          <w:szCs w:val="20"/>
        </w:rPr>
      </w:pPr>
      <w:r>
        <w:rPr>
          <w:i/>
          <w:iCs/>
          <w:sz w:val="20"/>
          <w:szCs w:val="20"/>
        </w:rPr>
        <w:t>Su argumento para no PROPORCIONAR la información pública es que aducen que "existe una responsabilidad legal y obligatoria de cobrar y pagar contribuciones" (sic); cuando la modalidad de la puesta a disposición es vía SAIMEX. Este pretexto ha sido utilizado de forma recurrente para omitir sus responsabilidades con la Transparencia.” (Sic.)</w:t>
      </w:r>
    </w:p>
    <w:p w14:paraId="2775690A" w14:textId="77777777" w:rsidR="00AE624F" w:rsidRDefault="00AE624F">
      <w:pPr>
        <w:spacing w:after="0" w:line="360" w:lineRule="auto"/>
        <w:ind w:left="567" w:right="567"/>
        <w:rPr>
          <w:i/>
          <w:iCs/>
          <w:sz w:val="20"/>
          <w:szCs w:val="20"/>
        </w:rPr>
      </w:pPr>
    </w:p>
    <w:p w14:paraId="5E4B619F" w14:textId="77777777" w:rsidR="00AE624F" w:rsidRDefault="00AB43E7">
      <w:pPr>
        <w:spacing w:after="0" w:line="360" w:lineRule="auto"/>
        <w:ind w:left="567" w:right="567"/>
        <w:rPr>
          <w:b/>
          <w:bCs/>
          <w:i/>
          <w:iCs/>
          <w:sz w:val="20"/>
          <w:szCs w:val="20"/>
        </w:rPr>
      </w:pPr>
      <w:r>
        <w:rPr>
          <w:b/>
          <w:bCs/>
          <w:i/>
          <w:iCs/>
          <w:sz w:val="20"/>
          <w:szCs w:val="20"/>
        </w:rPr>
        <w:t>00006/NEXTLAL/IP/2026</w:t>
      </w:r>
    </w:p>
    <w:p w14:paraId="0CED0B6C" w14:textId="77777777" w:rsidR="00AE624F" w:rsidRDefault="00AB43E7">
      <w:pPr>
        <w:spacing w:after="0" w:line="360" w:lineRule="auto"/>
        <w:ind w:left="567" w:right="567"/>
        <w:rPr>
          <w:i/>
          <w:iCs/>
          <w:sz w:val="20"/>
          <w:szCs w:val="20"/>
        </w:rPr>
      </w:pPr>
      <w:r>
        <w:rPr>
          <w:b/>
          <w:bCs/>
          <w:i/>
          <w:iCs/>
          <w:sz w:val="20"/>
          <w:szCs w:val="20"/>
        </w:rPr>
        <w:t>‘’ACTO IMPUGNADO</w:t>
      </w:r>
    </w:p>
    <w:p w14:paraId="7CDBEEF8" w14:textId="77777777" w:rsidR="00AE624F" w:rsidRDefault="00AB43E7">
      <w:pPr>
        <w:spacing w:after="0" w:line="360" w:lineRule="auto"/>
        <w:ind w:left="567" w:right="567"/>
        <w:rPr>
          <w:i/>
          <w:iCs/>
          <w:sz w:val="20"/>
          <w:szCs w:val="20"/>
        </w:rPr>
      </w:pPr>
      <w:r>
        <w:rPr>
          <w:i/>
          <w:iCs/>
          <w:sz w:val="20"/>
          <w:szCs w:val="20"/>
        </w:rPr>
        <w:t>El formato PbRM-04a Presupuesto de Egresos Detallado, del ejercicio fiscal dos mil veinte”(Sic.)</w:t>
      </w:r>
    </w:p>
    <w:p w14:paraId="1C6B9DE7" w14:textId="77777777" w:rsidR="00AE624F" w:rsidRDefault="00AE624F">
      <w:pPr>
        <w:spacing w:after="0" w:line="360" w:lineRule="auto"/>
        <w:ind w:left="567" w:right="567"/>
        <w:rPr>
          <w:i/>
          <w:iCs/>
          <w:sz w:val="20"/>
          <w:szCs w:val="20"/>
        </w:rPr>
      </w:pPr>
    </w:p>
    <w:p w14:paraId="6795597E" w14:textId="77777777" w:rsidR="00AE624F" w:rsidRDefault="00AB43E7">
      <w:pPr>
        <w:spacing w:after="0" w:line="360" w:lineRule="auto"/>
        <w:ind w:left="567" w:right="567"/>
        <w:rPr>
          <w:b/>
          <w:bCs/>
          <w:i/>
          <w:iCs/>
          <w:sz w:val="20"/>
          <w:szCs w:val="20"/>
        </w:rPr>
      </w:pPr>
      <w:r>
        <w:rPr>
          <w:b/>
          <w:bCs/>
          <w:i/>
          <w:iCs/>
          <w:sz w:val="20"/>
          <w:szCs w:val="20"/>
        </w:rPr>
        <w:t>‘’RAZONES O MOTIVOS DE LA INCONFORMIDAD</w:t>
      </w:r>
    </w:p>
    <w:p w14:paraId="679727EA" w14:textId="77777777" w:rsidR="00AE624F" w:rsidRDefault="00AB43E7">
      <w:pPr>
        <w:spacing w:after="0" w:line="360" w:lineRule="auto"/>
        <w:ind w:left="567" w:right="567"/>
        <w:rPr>
          <w:i/>
          <w:iCs/>
          <w:sz w:val="20"/>
          <w:szCs w:val="20"/>
        </w:rPr>
      </w:pPr>
      <w:r>
        <w:rPr>
          <w:i/>
          <w:iCs/>
          <w:sz w:val="20"/>
          <w:szCs w:val="20"/>
        </w:rPr>
        <w:t>Su argumento para no PROPORCIONAR la información pública es que aducen que "existe una responsabilidad legal y obligatoria de cobrar y pagar contribuciones" (sic); cuando la modalidad de la puesta a disposición es vía SAIMEX. Este pretexto ha sido utilizado de forma recurrente para omitir sus responsabilidades con la Transparencia.” (Sic.)</w:t>
      </w:r>
    </w:p>
    <w:p w14:paraId="2CE3207D" w14:textId="77777777" w:rsidR="00AE624F" w:rsidRDefault="00AE624F">
      <w:pPr>
        <w:spacing w:after="0" w:line="360" w:lineRule="auto"/>
        <w:ind w:left="567" w:right="567"/>
        <w:rPr>
          <w:i/>
          <w:iCs/>
          <w:sz w:val="20"/>
          <w:szCs w:val="20"/>
        </w:rPr>
      </w:pPr>
    </w:p>
    <w:p w14:paraId="20622524" w14:textId="77777777" w:rsidR="00AE624F" w:rsidRDefault="00AB43E7">
      <w:pPr>
        <w:pStyle w:val="Ttulo2"/>
        <w:spacing w:before="0" w:after="0" w:line="360" w:lineRule="auto"/>
        <w:rPr>
          <w:sz w:val="22"/>
          <w:szCs w:val="22"/>
        </w:rPr>
      </w:pPr>
      <w:bookmarkStart w:id="5" w:name="_Toc226641917"/>
      <w:r>
        <w:rPr>
          <w:sz w:val="22"/>
          <w:szCs w:val="22"/>
        </w:rPr>
        <w:t>IV. Trámite del Recurso de Revisión ante este Instituto</w:t>
      </w:r>
      <w:bookmarkEnd w:id="5"/>
    </w:p>
    <w:p w14:paraId="7037A5B9" w14:textId="77777777" w:rsidR="00AE624F" w:rsidRDefault="00AE624F">
      <w:pPr>
        <w:spacing w:after="0" w:line="360" w:lineRule="auto"/>
        <w:rPr>
          <w:b/>
          <w:bCs/>
        </w:rPr>
      </w:pPr>
    </w:p>
    <w:p w14:paraId="21DDADA2" w14:textId="77777777" w:rsidR="00AE624F" w:rsidRDefault="00AB43E7">
      <w:pPr>
        <w:spacing w:after="0" w:line="360" w:lineRule="auto"/>
      </w:pPr>
      <w:r>
        <w:rPr>
          <w:b/>
          <w:bCs/>
        </w:rPr>
        <w:t>a) Turno del Medio de Impugnación.</w:t>
      </w:r>
      <w:r>
        <w:t xml:space="preserve"> El cuatro de marzo de dos mil veintiséis, el Sistema de Acceso a la Información Mexiquense (SAIMEX), asignó los números de expediente 02971/INFOEM/IP/RR/2026, 02972/INFOEM/IP/RR/2026, 02973/INFOEM/IP/RR/2026 y 02974/INFOEM/IP/RR/2026, a los medios de impugnación que nos ocupa, con base en el sistema aprobado por el Pleno de este Organismo Garante y lo turnó a los Comisionados María del Rosario Mejía Ayala, Sharon Cristina Morales Martínez, Luis Gustavo Parra Noriega y Guadalupe Ramírez Peña, respectivamente, para los efectos del artículo 185, fracción I de la Ley de Transparencia y Acceso a la Información Pública del Estado de México y Municipios.</w:t>
      </w:r>
    </w:p>
    <w:p w14:paraId="505AEA68" w14:textId="77777777" w:rsidR="00AE624F" w:rsidRDefault="00AE624F">
      <w:pPr>
        <w:spacing w:after="0" w:line="360" w:lineRule="auto"/>
        <w:rPr>
          <w:b/>
          <w:bCs/>
        </w:rPr>
      </w:pPr>
    </w:p>
    <w:p w14:paraId="4ADF675B" w14:textId="77777777" w:rsidR="00AE624F" w:rsidRDefault="00AB43E7">
      <w:pPr>
        <w:spacing w:after="0" w:line="360" w:lineRule="auto"/>
      </w:pPr>
      <w:r>
        <w:rPr>
          <w:b/>
          <w:bCs/>
        </w:rPr>
        <w:t xml:space="preserve">b) Admisión del Recurso de Revisión. </w:t>
      </w:r>
      <w:r>
        <w:t>El cinco, seis y nueve de marzo de dos mil veintiséis,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778CE426" w14:textId="77777777" w:rsidR="00AE624F" w:rsidRDefault="00AB43E7">
      <w:pPr>
        <w:spacing w:after="0" w:line="360" w:lineRule="auto"/>
      </w:pPr>
      <w:r>
        <w:rPr>
          <w:b/>
          <w:bCs/>
        </w:rPr>
        <w:t xml:space="preserve">c) Informe Justificado. </w:t>
      </w:r>
      <w:r>
        <w:t>El once de marzo de dos mil veintiséis, se recibió en este Instituto, a través del Sistema de Acceso a la Información Mexiquense (SAIMEX), el Informe Justificado del Sujeto Obligado, por medio de los siguientes documentos:</w:t>
      </w:r>
    </w:p>
    <w:p w14:paraId="73197AB1" w14:textId="77777777" w:rsidR="00AE624F" w:rsidRDefault="00AE624F">
      <w:pPr>
        <w:spacing w:after="0" w:line="360" w:lineRule="auto"/>
      </w:pPr>
    </w:p>
    <w:p w14:paraId="3384BFED" w14:textId="77777777" w:rsidR="00AE624F" w:rsidRDefault="00AB43E7">
      <w:pPr>
        <w:spacing w:after="0" w:line="360" w:lineRule="auto"/>
      </w:pPr>
      <w:r>
        <w:t>i) Oficios con número NEX/UTAIPPDP/EXT/013/2026, NEX/UTAIPPDP/EXT/014/2026, NEX/UTAIPPDP/EXT/015/2026 y NEX/UTAIPPDP/EXT/016/2026, de la misma fecha, suscritos por la Responsable de la Unidad de Transparencia, Acceso a la Información Pública y Protección de Datos Personales, por medio del cual precisa que proporciona la respuesta brindada por la Tesorería Municipal.</w:t>
      </w:r>
    </w:p>
    <w:p w14:paraId="06C3C908" w14:textId="77777777" w:rsidR="00AE624F" w:rsidRDefault="00AE624F">
      <w:pPr>
        <w:spacing w:after="0" w:line="360" w:lineRule="auto"/>
      </w:pPr>
    </w:p>
    <w:p w14:paraId="2003FAE5" w14:textId="77777777" w:rsidR="00AE624F" w:rsidRDefault="00AB43E7">
      <w:pPr>
        <w:spacing w:after="0" w:line="360" w:lineRule="auto"/>
      </w:pPr>
      <w:r>
        <w:t>ii) Oficios con número TESMUN/151/2026, TESMUN/152/2026, TESMUN/153/2026 y TESMUN/154/2026, del diez de marzo de dos mil veintiséis, suscrito por la Tesorera Municipal, por medio del cual ratifica los costos de reproducción referidos en respuesta.</w:t>
      </w:r>
    </w:p>
    <w:p w14:paraId="53BCE581" w14:textId="77777777" w:rsidR="00AE624F" w:rsidRDefault="00AE624F">
      <w:pPr>
        <w:spacing w:after="0" w:line="360" w:lineRule="auto"/>
      </w:pPr>
    </w:p>
    <w:p w14:paraId="10BD5631" w14:textId="77777777" w:rsidR="00AE624F" w:rsidRDefault="00AB43E7">
      <w:pPr>
        <w:spacing w:after="0" w:line="360" w:lineRule="auto"/>
        <w:rPr>
          <w:b/>
          <w:bCs/>
          <w:color w:val="0D0D0D"/>
        </w:rPr>
      </w:pPr>
      <w:r>
        <w:rPr>
          <w:b/>
          <w:bCs/>
          <w:color w:val="000000"/>
        </w:rPr>
        <w:t xml:space="preserve">d) Acumulación de los asuntos. </w:t>
      </w:r>
      <w:r>
        <w:t xml:space="preserve">El diecinueve de marzo de dos mil veintiséis,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se </w:t>
      </w:r>
      <w:r>
        <w:rPr>
          <w:b/>
          <w:bCs/>
        </w:rPr>
        <w:t>acordó</w:t>
      </w:r>
      <w:r>
        <w:t xml:space="preserve"> la acumulación de los Recursos de Revisión </w:t>
      </w:r>
      <w:r>
        <w:rPr>
          <w:b/>
          <w:bCs/>
          <w:color w:val="0D0D0D"/>
        </w:rPr>
        <w:t>02972/INFOEM/IP/RR/2026, 02973/INFOEM/IP/RR/2026 y 02974/INFOEM/IP/RR/2026</w:t>
      </w:r>
      <w:r>
        <w:rPr>
          <w:b/>
          <w:bCs/>
        </w:rPr>
        <w:t xml:space="preserve"> </w:t>
      </w:r>
      <w:r>
        <w:t>al diverso</w:t>
      </w:r>
      <w:r>
        <w:rPr>
          <w:b/>
          <w:bCs/>
        </w:rPr>
        <w:t xml:space="preserve"> 02971/INFOEM/IP/RR/2026</w:t>
      </w:r>
      <w:r>
        <w:rPr>
          <w:b/>
          <w:bCs/>
          <w:color w:val="0D0D0D"/>
        </w:rPr>
        <w:t xml:space="preserve">, </w:t>
      </w:r>
      <w:r>
        <w:t>por ser este último el más antiguo, sustanciado bajo el índice de esta Ponencia, al advertir conexidad entre estos, ya que fueron promovidos por la misma persona, en los que se señaló como Sujeto Obligado recurrido Ayuntamiento de Toluca y en los cuales, además, se manifestaron idénticos actos recurridos.</w:t>
      </w:r>
    </w:p>
    <w:p w14:paraId="4AA03E7D" w14:textId="77777777" w:rsidR="00AE624F" w:rsidRDefault="00AE624F">
      <w:pPr>
        <w:spacing w:after="0" w:line="360" w:lineRule="auto"/>
        <w:rPr>
          <w:b/>
          <w:bCs/>
          <w:color w:val="000000"/>
        </w:rPr>
      </w:pPr>
    </w:p>
    <w:p w14:paraId="008A0D18" w14:textId="77777777" w:rsidR="00AE624F" w:rsidRDefault="00AB43E7">
      <w:pPr>
        <w:spacing w:after="0" w:line="360" w:lineRule="auto"/>
        <w:rPr>
          <w:i/>
          <w:iCs/>
        </w:rPr>
      </w:pPr>
      <w:r>
        <w:rPr>
          <w:b/>
          <w:bCs/>
        </w:rPr>
        <w:t>e) Vista del Informe Justificado.</w:t>
      </w:r>
      <w:r>
        <w:t xml:space="preserve"> El veinticuatro de marzo de dos mil veintiséis, se dictó acuerdo mediante el cual se puso a la vista del Particular el Informe Justificado, entregado por el Sujeto Obligado, así como los documentos adjuntos, el cual fue notificado a las partes, a través del Sistema de Acceso a la Información Mexiquense (SAIMEX). </w:t>
      </w:r>
      <w:r>
        <w:rPr>
          <w:b/>
          <w:bCs/>
        </w:rPr>
        <w:t>Cabe señalar que el Particular fue omiso en realizar manifestación alguna.</w:t>
      </w:r>
    </w:p>
    <w:p w14:paraId="4B24F05D" w14:textId="77777777" w:rsidR="00AE624F" w:rsidRDefault="00AE624F">
      <w:pPr>
        <w:spacing w:after="0" w:line="360" w:lineRule="auto"/>
        <w:rPr>
          <w:b/>
          <w:bCs/>
          <w:color w:val="000000"/>
        </w:rPr>
      </w:pPr>
    </w:p>
    <w:p w14:paraId="632604CA" w14:textId="77777777" w:rsidR="00AE624F" w:rsidRDefault="00AB43E7">
      <w:pPr>
        <w:spacing w:after="0" w:line="360" w:lineRule="auto"/>
      </w:pPr>
      <w:r>
        <w:rPr>
          <w:b/>
          <w:bCs/>
        </w:rPr>
        <w:t xml:space="preserve">f) Manifestaciones de la persona Recurrente: </w:t>
      </w:r>
      <w:r>
        <w:t>El seis de abril de dos mil veinticinco, se recibieron cuatro escritos libres, del tres de dicho mes y año, emitidos por la persona Solicitante, por medio del cual ratifica su inconformidad.</w:t>
      </w:r>
    </w:p>
    <w:p w14:paraId="449298FE" w14:textId="77777777" w:rsidR="00AE624F" w:rsidRDefault="00AE624F">
      <w:pPr>
        <w:spacing w:after="0" w:line="360" w:lineRule="auto"/>
        <w:rPr>
          <w:b/>
          <w:bCs/>
        </w:rPr>
      </w:pPr>
    </w:p>
    <w:p w14:paraId="4704196C" w14:textId="5B4ED626" w:rsidR="00AE624F" w:rsidRDefault="00AB43E7">
      <w:pPr>
        <w:spacing w:after="0" w:line="360" w:lineRule="auto"/>
      </w:pPr>
      <w:r>
        <w:rPr>
          <w:b/>
          <w:bCs/>
        </w:rPr>
        <w:t>g) Cierre de instrucción.</w:t>
      </w:r>
      <w:r>
        <w:t xml:space="preserve"> El </w:t>
      </w:r>
      <w:r w:rsidR="00B413AB">
        <w:t>ocho</w:t>
      </w:r>
      <w:r>
        <w:t xml:space="preserve"> de abril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03501336" w14:textId="77777777" w:rsidR="00AE624F" w:rsidRDefault="00AE624F">
      <w:pPr>
        <w:spacing w:after="0" w:line="360" w:lineRule="auto"/>
        <w:rPr>
          <w:b/>
          <w:bCs/>
        </w:rPr>
      </w:pPr>
    </w:p>
    <w:p w14:paraId="31FDC354" w14:textId="77777777" w:rsidR="00AE624F" w:rsidRDefault="00AB43E7">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6F3B36A5" w14:textId="77777777" w:rsidR="00AE624F" w:rsidRDefault="00AE624F">
      <w:pPr>
        <w:spacing w:after="0" w:line="360" w:lineRule="auto"/>
        <w:rPr>
          <w:color w:val="000000"/>
        </w:rPr>
      </w:pPr>
    </w:p>
    <w:p w14:paraId="4DAC5393" w14:textId="77777777" w:rsidR="00AE624F" w:rsidRDefault="00AB43E7">
      <w:pPr>
        <w:pStyle w:val="Ttulo1"/>
        <w:spacing w:before="0" w:after="0" w:line="360" w:lineRule="auto"/>
        <w:jc w:val="center"/>
        <w:rPr>
          <w:sz w:val="22"/>
          <w:szCs w:val="22"/>
        </w:rPr>
      </w:pPr>
      <w:bookmarkStart w:id="6" w:name="_Toc226641918"/>
      <w:r>
        <w:rPr>
          <w:sz w:val="22"/>
          <w:szCs w:val="22"/>
        </w:rPr>
        <w:t>C O N S I D E R A N D O S</w:t>
      </w:r>
      <w:bookmarkEnd w:id="6"/>
    </w:p>
    <w:p w14:paraId="670EFD26" w14:textId="77777777" w:rsidR="00AE624F" w:rsidRDefault="00AE624F">
      <w:pPr>
        <w:spacing w:after="0" w:line="360" w:lineRule="auto"/>
        <w:jc w:val="center"/>
        <w:rPr>
          <w:b/>
          <w:bCs/>
          <w:color w:val="000000"/>
        </w:rPr>
      </w:pPr>
    </w:p>
    <w:p w14:paraId="45129756" w14:textId="77777777" w:rsidR="00AE624F" w:rsidRDefault="00AB43E7">
      <w:pPr>
        <w:pStyle w:val="Ttulo2"/>
        <w:spacing w:before="0" w:after="0" w:line="360" w:lineRule="auto"/>
        <w:rPr>
          <w:sz w:val="22"/>
          <w:szCs w:val="22"/>
        </w:rPr>
      </w:pPr>
      <w:bookmarkStart w:id="7" w:name="_Toc226641919"/>
      <w:r>
        <w:rPr>
          <w:sz w:val="22"/>
          <w:szCs w:val="22"/>
        </w:rPr>
        <w:t>PRIMERO. Competencia</w:t>
      </w:r>
      <w:bookmarkEnd w:id="7"/>
    </w:p>
    <w:p w14:paraId="754493BC" w14:textId="77777777" w:rsidR="00AE624F" w:rsidRDefault="00AE624F">
      <w:pPr>
        <w:spacing w:after="0" w:line="360" w:lineRule="auto"/>
      </w:pPr>
      <w:bookmarkStart w:id="8" w:name="_heading=h.30j0zll" w:colFirst="0" w:colLast="0"/>
      <w:bookmarkEnd w:id="8"/>
    </w:p>
    <w:p w14:paraId="62E476CD" w14:textId="77777777" w:rsidR="00AE624F" w:rsidRDefault="00AB43E7">
      <w:pPr>
        <w:spacing w:after="0" w:line="360" w:lineRule="auto"/>
      </w:pPr>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1AE78B3" w14:textId="77777777" w:rsidR="00AE624F" w:rsidRDefault="00AE624F">
      <w:pPr>
        <w:spacing w:after="0" w:line="360" w:lineRule="auto"/>
        <w:rPr>
          <w:b/>
          <w:bCs/>
          <w:color w:val="000000"/>
        </w:rPr>
      </w:pPr>
    </w:p>
    <w:p w14:paraId="4D597040" w14:textId="77777777" w:rsidR="00AE624F" w:rsidRDefault="00AB43E7">
      <w:pPr>
        <w:pStyle w:val="Ttulo2"/>
        <w:spacing w:before="0" w:after="0" w:line="360" w:lineRule="auto"/>
        <w:rPr>
          <w:sz w:val="22"/>
          <w:szCs w:val="22"/>
        </w:rPr>
      </w:pPr>
      <w:bookmarkStart w:id="9" w:name="_Toc226641920"/>
      <w:r>
        <w:rPr>
          <w:sz w:val="22"/>
          <w:szCs w:val="22"/>
        </w:rPr>
        <w:t>SEGUNDO. Causales de improcedencia y sobreseimiento</w:t>
      </w:r>
      <w:bookmarkEnd w:id="9"/>
    </w:p>
    <w:p w14:paraId="7B341F96" w14:textId="77777777" w:rsidR="00AE624F" w:rsidRDefault="00AE624F">
      <w:pPr>
        <w:spacing w:after="0" w:line="360" w:lineRule="auto"/>
        <w:rPr>
          <w:color w:val="000000"/>
        </w:rPr>
      </w:pPr>
    </w:p>
    <w:p w14:paraId="19ACC39E" w14:textId="77777777" w:rsidR="00AE624F" w:rsidRDefault="00AB43E7">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13D93D46" w14:textId="77777777" w:rsidR="00AE624F" w:rsidRDefault="00AE624F">
      <w:pPr>
        <w:spacing w:after="0" w:line="360" w:lineRule="auto"/>
        <w:rPr>
          <w:color w:val="000000"/>
        </w:rPr>
      </w:pPr>
    </w:p>
    <w:p w14:paraId="101054BD" w14:textId="77777777" w:rsidR="00AE624F" w:rsidRDefault="00AB43E7">
      <w:pPr>
        <w:spacing w:after="0" w:line="360" w:lineRule="auto"/>
        <w:rPr>
          <w:b/>
          <w:bCs/>
        </w:rPr>
      </w:pPr>
      <w:r>
        <w:rPr>
          <w:b/>
          <w:bCs/>
        </w:rPr>
        <w:t>Causales de improcedencia</w:t>
      </w:r>
    </w:p>
    <w:p w14:paraId="5D8F93E0" w14:textId="77777777" w:rsidR="00AE624F" w:rsidRDefault="00AE624F">
      <w:pPr>
        <w:spacing w:after="0" w:line="360" w:lineRule="auto"/>
        <w:rPr>
          <w:b/>
          <w:bCs/>
        </w:rPr>
      </w:pPr>
    </w:p>
    <w:p w14:paraId="6828E192" w14:textId="77777777" w:rsidR="00AE624F" w:rsidRDefault="00AB43E7">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3629F25" w14:textId="77777777" w:rsidR="00AE624F" w:rsidRDefault="00AE624F">
      <w:pPr>
        <w:spacing w:after="0" w:line="360" w:lineRule="auto"/>
        <w:rPr>
          <w:color w:val="000000"/>
        </w:rPr>
      </w:pPr>
    </w:p>
    <w:p w14:paraId="798000A4" w14:textId="77777777" w:rsidR="00AE624F" w:rsidRDefault="00AB43E7">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3EA5883E" w14:textId="77777777" w:rsidR="00AE624F" w:rsidRDefault="00AE624F">
      <w:pPr>
        <w:spacing w:after="0" w:line="360" w:lineRule="auto"/>
        <w:rPr>
          <w:color w:val="000000"/>
        </w:rPr>
      </w:pPr>
    </w:p>
    <w:p w14:paraId="6F688551" w14:textId="77777777" w:rsidR="00AE624F" w:rsidRDefault="00AB43E7">
      <w:pPr>
        <w:spacing w:after="0" w:line="360" w:lineRule="auto"/>
      </w:pPr>
      <w:r>
        <w:t>Por lo cual, se actualiza la causal de procedencia del Recurso de Revisión señalada en el artículo 179, fracción X, de la Ley en cita, pues la persona Recurrente se inconformó de los costos de entrega de la información.</w:t>
      </w:r>
    </w:p>
    <w:p w14:paraId="17CF699E" w14:textId="77777777" w:rsidR="00AE624F" w:rsidRDefault="00AE624F">
      <w:pPr>
        <w:spacing w:after="0" w:line="360" w:lineRule="auto"/>
      </w:pPr>
    </w:p>
    <w:p w14:paraId="0B13892D" w14:textId="77777777" w:rsidR="00AE624F" w:rsidRDefault="00AB43E7">
      <w:pPr>
        <w:spacing w:after="0" w:line="360" w:lineRule="auto"/>
        <w:rPr>
          <w:color w:val="0D0D0D"/>
        </w:rPr>
      </w:pPr>
      <w:r>
        <w:rPr>
          <w:b/>
          <w:bCs/>
          <w:color w:val="0D0D0D"/>
        </w:rPr>
        <w:t>Causales de sobreseimiento</w:t>
      </w:r>
    </w:p>
    <w:p w14:paraId="07822E5C" w14:textId="77777777" w:rsidR="00AE624F" w:rsidRDefault="00AE624F">
      <w:pPr>
        <w:spacing w:after="0" w:line="360" w:lineRule="auto"/>
        <w:rPr>
          <w:color w:val="0D0D0D"/>
        </w:rPr>
      </w:pPr>
    </w:p>
    <w:p w14:paraId="28393CF1" w14:textId="77777777" w:rsidR="00AE624F" w:rsidRDefault="00AB43E7">
      <w:pPr>
        <w:spacing w:after="0" w:line="360" w:lineRule="auto"/>
        <w:rPr>
          <w:color w:val="0D0D0D"/>
        </w:rPr>
      </w:pPr>
      <w:r>
        <w:rPr>
          <w:color w:val="0D0D0D"/>
        </w:rPr>
        <w:t>Por ser de previo y especial pronunciamiento, este Instituto analiza si se actualiza alguna causal de sobreseimiento.</w:t>
      </w:r>
    </w:p>
    <w:p w14:paraId="36E3A1E6" w14:textId="77777777" w:rsidR="00AE624F" w:rsidRDefault="00AE624F">
      <w:pPr>
        <w:spacing w:after="0" w:line="360" w:lineRule="auto"/>
        <w:rPr>
          <w:color w:val="0D0D0D"/>
        </w:rPr>
      </w:pPr>
    </w:p>
    <w:p w14:paraId="55C6BECF" w14:textId="77777777" w:rsidR="00AE624F" w:rsidRDefault="00AB43E7">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4492E543" w14:textId="77777777" w:rsidR="00AE624F" w:rsidRDefault="00AE624F">
      <w:pPr>
        <w:spacing w:after="0" w:line="360" w:lineRule="auto"/>
        <w:rPr>
          <w:color w:val="000000"/>
        </w:rPr>
      </w:pPr>
    </w:p>
    <w:p w14:paraId="527221EA" w14:textId="77777777" w:rsidR="00AE624F" w:rsidRDefault="00AB43E7">
      <w:pPr>
        <w:spacing w:after="0" w:line="360" w:lineRule="auto"/>
        <w:rPr>
          <w:color w:val="0D0D0D"/>
        </w:rPr>
      </w:pPr>
      <w:r>
        <w:rPr>
          <w:color w:val="0D0D0D"/>
        </w:rPr>
        <w:t>Por tales motivos, se considera procedente entrar al fondo del presente asunto.</w:t>
      </w:r>
    </w:p>
    <w:p w14:paraId="7F8C0165" w14:textId="77777777" w:rsidR="00AE624F" w:rsidRDefault="00AE624F">
      <w:pPr>
        <w:spacing w:after="0" w:line="360" w:lineRule="auto"/>
        <w:rPr>
          <w:b/>
          <w:bCs/>
          <w:color w:val="000000"/>
        </w:rPr>
      </w:pPr>
    </w:p>
    <w:p w14:paraId="391E7568" w14:textId="77777777" w:rsidR="00AE624F" w:rsidRDefault="00AB43E7">
      <w:pPr>
        <w:pStyle w:val="Ttulo2"/>
        <w:spacing w:before="0" w:after="0" w:line="360" w:lineRule="auto"/>
        <w:rPr>
          <w:sz w:val="22"/>
          <w:szCs w:val="22"/>
        </w:rPr>
      </w:pPr>
      <w:bookmarkStart w:id="10" w:name="_Toc226641921"/>
      <w:r>
        <w:rPr>
          <w:sz w:val="22"/>
          <w:szCs w:val="22"/>
        </w:rPr>
        <w:t>TERCERO. Determinación de la Controversia</w:t>
      </w:r>
      <w:bookmarkEnd w:id="10"/>
    </w:p>
    <w:p w14:paraId="608AD80B" w14:textId="77777777" w:rsidR="00AE624F" w:rsidRDefault="00AE624F">
      <w:pPr>
        <w:spacing w:after="0" w:line="360" w:lineRule="auto"/>
        <w:rPr>
          <w:b/>
          <w:bCs/>
          <w:color w:val="000000"/>
        </w:rPr>
      </w:pPr>
    </w:p>
    <w:p w14:paraId="498EFFDA" w14:textId="77777777" w:rsidR="00AE624F" w:rsidRDefault="00AB43E7">
      <w:pPr>
        <w:spacing w:after="0" w:line="360" w:lineRule="auto"/>
      </w:pPr>
      <w:r>
        <w:t>Con el objetivo de ilustrar la controversia planteada, resulta conveniente precisar, que una vez realizado el estudio de las constancias que integran el expediente en el que se actúa, se desprende que el Particular requirió el formato PbRM-04a Presupuesto de Egresos Detallado, del ejercicio fiscal dos mil veinte, dos mil veintiuno, dos mil veintidós y dos mil veintitrés.</w:t>
      </w:r>
    </w:p>
    <w:p w14:paraId="0DFA3094" w14:textId="77777777" w:rsidR="00AE624F" w:rsidRDefault="00AE624F">
      <w:pPr>
        <w:spacing w:after="0" w:line="360" w:lineRule="auto"/>
      </w:pPr>
    </w:p>
    <w:p w14:paraId="52266433" w14:textId="77777777" w:rsidR="00AE624F" w:rsidRDefault="00AB43E7">
      <w:pPr>
        <w:spacing w:after="0" w:line="360" w:lineRule="auto"/>
      </w:pPr>
      <w:r>
        <w:rPr>
          <w:color w:val="000000"/>
        </w:rPr>
        <w:t xml:space="preserve">En respuesta, el Sujeto Obligado, a través de la Tesorera Municipal mencionó que para la obtención de los formatos solicitados, debía ser escaneado y digitalizado por lo que, previo a su entrega se debía cubrir los pagos correspondientes; </w:t>
      </w:r>
      <w:r>
        <w:t>ante dicha circunstancia, el Particular se inconformó de los costos de entrega de la información, al mencionar que piden pago para entregar la información, lo cual actualiza la causal de procedencia prevista en la fracción X, del artículo 179 de la Ley de Transparencia y Acceso a la Información Pública del Estado de México y Municipios</w:t>
      </w:r>
      <w:r>
        <w:rPr>
          <w:color w:val="0D0D0D"/>
        </w:rPr>
        <w:t xml:space="preserve">. </w:t>
      </w:r>
      <w:r>
        <w:t>Así, las cosas, una vez admitido y notificado el Recurso de Revisión a las partes, el Sujeto Obligado ratificó la respuesta, mientras que el Recurrente rectificó su inconformidad.</w:t>
      </w:r>
    </w:p>
    <w:p w14:paraId="25DEC87A" w14:textId="77777777" w:rsidR="00AE624F" w:rsidRDefault="00AE624F">
      <w:pPr>
        <w:tabs>
          <w:tab w:val="left" w:pos="4962"/>
        </w:tabs>
        <w:spacing w:after="0" w:line="360" w:lineRule="auto"/>
      </w:pPr>
    </w:p>
    <w:p w14:paraId="6EBDC2E4" w14:textId="77777777" w:rsidR="00AE624F" w:rsidRDefault="00AB43E7">
      <w:pPr>
        <w:tabs>
          <w:tab w:val="left" w:pos="4962"/>
        </w:tabs>
        <w:spacing w:after="0" w:line="360" w:lineRule="auto"/>
      </w:pPr>
      <w:r>
        <w:t>Lo anterior, se desprende de las documentales que obran en el expediente de referencia, materia de la presente resolución, consistente en: las solicitudes de acceso a la información; la respuesta entregada; los escritos recursales; el Informe Justificado y las manifestaciones del particular; instrumentales que se toman en cuenta a efecto de resolver el presente medio de impugnación, conforme a lo dispuesto por el artículo 185, fracción IV, de la Ley de Transparencia y Acceso a la Información Pública del Estado de México y Municipios.</w:t>
      </w:r>
    </w:p>
    <w:p w14:paraId="00EA851D" w14:textId="77777777" w:rsidR="00AE624F" w:rsidRDefault="00AE624F">
      <w:pPr>
        <w:pStyle w:val="Ttulo2"/>
        <w:spacing w:before="0" w:after="0" w:line="360" w:lineRule="auto"/>
        <w:rPr>
          <w:sz w:val="22"/>
          <w:szCs w:val="22"/>
        </w:rPr>
      </w:pPr>
    </w:p>
    <w:p w14:paraId="40016CBF" w14:textId="77777777" w:rsidR="00AE624F" w:rsidRDefault="00AB43E7">
      <w:pPr>
        <w:pStyle w:val="Ttulo2"/>
        <w:spacing w:before="0" w:after="0" w:line="360" w:lineRule="auto"/>
        <w:rPr>
          <w:sz w:val="22"/>
          <w:szCs w:val="22"/>
        </w:rPr>
      </w:pPr>
      <w:bookmarkStart w:id="11" w:name="_Toc226641922"/>
      <w:r>
        <w:rPr>
          <w:sz w:val="22"/>
          <w:szCs w:val="22"/>
        </w:rPr>
        <w:t>CUARTO. Marco normativo aplicable en materia de transparencia y acceso a la información pública</w:t>
      </w:r>
      <w:bookmarkEnd w:id="11"/>
    </w:p>
    <w:p w14:paraId="11B5B29C" w14:textId="77777777" w:rsidR="00AE624F" w:rsidRDefault="00AE624F">
      <w:pPr>
        <w:spacing w:after="0" w:line="360" w:lineRule="auto"/>
        <w:rPr>
          <w:color w:val="000000"/>
        </w:rPr>
      </w:pPr>
    </w:p>
    <w:p w14:paraId="0291B3BD" w14:textId="77777777" w:rsidR="00AE624F" w:rsidRDefault="00AB43E7">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AA8FB74" w14:textId="77777777" w:rsidR="00AE624F" w:rsidRDefault="00AE624F">
      <w:pPr>
        <w:spacing w:after="0" w:line="360" w:lineRule="auto"/>
        <w:rPr>
          <w:color w:val="000000"/>
        </w:rPr>
      </w:pPr>
    </w:p>
    <w:p w14:paraId="2FC367E9" w14:textId="77777777" w:rsidR="00AE624F" w:rsidRDefault="00AB43E7">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6762D28" w14:textId="77777777" w:rsidR="00AE624F" w:rsidRDefault="00AE624F">
      <w:pPr>
        <w:spacing w:after="0" w:line="360" w:lineRule="auto"/>
        <w:rPr>
          <w:color w:val="000000"/>
        </w:rPr>
      </w:pPr>
    </w:p>
    <w:p w14:paraId="2EAF5DBB" w14:textId="77777777" w:rsidR="00AE624F" w:rsidRDefault="00AB43E7">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18AB8EB3" w14:textId="77777777" w:rsidR="00AE624F" w:rsidRDefault="00AE624F">
      <w:pPr>
        <w:spacing w:after="0" w:line="360" w:lineRule="auto"/>
        <w:rPr>
          <w:color w:val="000000"/>
        </w:rPr>
      </w:pPr>
    </w:p>
    <w:p w14:paraId="088E329C" w14:textId="77777777" w:rsidR="00AE624F" w:rsidRDefault="00AB43E7">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52384C62" w14:textId="77777777" w:rsidR="00AE624F" w:rsidRDefault="00AE624F">
      <w:pPr>
        <w:spacing w:after="0" w:line="360" w:lineRule="auto"/>
        <w:rPr>
          <w:color w:val="000000"/>
        </w:rPr>
      </w:pPr>
    </w:p>
    <w:p w14:paraId="54D730E7" w14:textId="77777777" w:rsidR="00AE624F" w:rsidRDefault="00AB43E7">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5E7BFDEF" w14:textId="77777777" w:rsidR="00AE624F" w:rsidRDefault="00AE624F">
      <w:pPr>
        <w:widowControl w:val="0"/>
        <w:spacing w:after="0" w:line="360" w:lineRule="auto"/>
        <w:rPr>
          <w:color w:val="000000"/>
        </w:rPr>
      </w:pPr>
    </w:p>
    <w:p w14:paraId="55C9A8DE" w14:textId="77777777" w:rsidR="00AE624F" w:rsidRDefault="00AB43E7">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4602DD5" w14:textId="77777777" w:rsidR="00AE624F" w:rsidRDefault="00AE624F">
      <w:pPr>
        <w:spacing w:after="0" w:line="360" w:lineRule="auto"/>
      </w:pPr>
    </w:p>
    <w:p w14:paraId="68CB0E68" w14:textId="77777777" w:rsidR="00AE624F" w:rsidRDefault="00AB43E7">
      <w:pPr>
        <w:pStyle w:val="Ttulo2"/>
        <w:spacing w:before="0" w:after="0" w:line="360" w:lineRule="auto"/>
        <w:rPr>
          <w:sz w:val="22"/>
          <w:szCs w:val="22"/>
        </w:rPr>
      </w:pPr>
      <w:bookmarkStart w:id="12" w:name="_Toc226641923"/>
      <w:r>
        <w:rPr>
          <w:sz w:val="22"/>
          <w:szCs w:val="22"/>
        </w:rPr>
        <w:t>QUINTO. Estudio de Fondo</w:t>
      </w:r>
      <w:bookmarkEnd w:id="12"/>
    </w:p>
    <w:p w14:paraId="50F4974D" w14:textId="77777777" w:rsidR="00AE624F" w:rsidRDefault="00AE624F">
      <w:pPr>
        <w:spacing w:after="0" w:line="360" w:lineRule="auto"/>
        <w:rPr>
          <w:b/>
          <w:bCs/>
          <w:color w:val="000000"/>
        </w:rPr>
      </w:pPr>
    </w:p>
    <w:p w14:paraId="525D57E9" w14:textId="77777777" w:rsidR="00AE624F" w:rsidRDefault="00AB43E7">
      <w:pPr>
        <w:spacing w:after="0" w:line="360" w:lineRule="auto"/>
      </w:pPr>
      <w:r>
        <w:rPr>
          <w:color w:val="000000"/>
        </w:rPr>
        <w:t>Expuestas las posturas de las partes, se procede al análisis de los agravios hechos valer por la persona Recurrente</w:t>
      </w:r>
      <w:r>
        <w:t>, por lo que, en principio es necesario contextualizar la solicitud de información.</w:t>
      </w:r>
    </w:p>
    <w:p w14:paraId="620277E9" w14:textId="77777777" w:rsidR="00AE624F" w:rsidRDefault="00AE624F">
      <w:pPr>
        <w:spacing w:after="0" w:line="360" w:lineRule="auto"/>
      </w:pPr>
    </w:p>
    <w:p w14:paraId="13BEFF90" w14:textId="77777777" w:rsidR="00AE624F" w:rsidRDefault="00AB43E7">
      <w:pPr>
        <w:spacing w:after="0" w:line="360" w:lineRule="auto"/>
        <w:ind w:right="-93"/>
        <w:rPr>
          <w:color w:val="000000"/>
        </w:rPr>
      </w:pPr>
      <w:r>
        <w:rPr>
          <w:color w:val="000000"/>
        </w:rPr>
        <w:t xml:space="preserve">Al respecto, el artículo 285, del Código Financiero del Estado de México y Municipios, que precisa que el Ayuntamiento es el encargado de aprobar el Presupuesto de Egresos del Municipio. </w:t>
      </w:r>
    </w:p>
    <w:p w14:paraId="215EE997" w14:textId="77777777" w:rsidR="00AE624F" w:rsidRDefault="00AE624F">
      <w:pPr>
        <w:spacing w:after="0" w:line="360" w:lineRule="auto"/>
        <w:ind w:right="-93"/>
        <w:rPr>
          <w:color w:val="000000"/>
        </w:rPr>
      </w:pPr>
    </w:p>
    <w:p w14:paraId="51341B20" w14:textId="77777777" w:rsidR="00AE624F" w:rsidRDefault="00AB43E7">
      <w:pPr>
        <w:spacing w:after="0" w:line="360" w:lineRule="auto"/>
        <w:ind w:right="-93"/>
        <w:rPr>
          <w:color w:val="000000"/>
        </w:rPr>
      </w:pPr>
      <w:r>
        <w:rPr>
          <w:color w:val="000000"/>
        </w:rPr>
        <w:t>En el mismo sentido, el artículo 31, fracción XIX, de la Ley Orgánica Municipal del Estado de México, establece que los Ayuntamientos serán los encargados de aprobar anualmente, el Presupuesto de Egresos, en base a los ingresos presupuestados para el ejercicio de corresponda.</w:t>
      </w:r>
    </w:p>
    <w:p w14:paraId="57016939" w14:textId="77777777" w:rsidR="00AE624F" w:rsidRDefault="00AE624F">
      <w:pPr>
        <w:spacing w:after="0" w:line="360" w:lineRule="auto"/>
        <w:ind w:right="-93"/>
        <w:rPr>
          <w:color w:val="000000"/>
        </w:rPr>
      </w:pPr>
    </w:p>
    <w:p w14:paraId="6C2E9E4C" w14:textId="77777777" w:rsidR="00AE624F" w:rsidRDefault="00AB43E7">
      <w:pPr>
        <w:spacing w:after="0" w:line="360" w:lineRule="auto"/>
        <w:ind w:right="-93"/>
        <w:rPr>
          <w:b/>
          <w:bCs/>
          <w:color w:val="000000"/>
        </w:rPr>
      </w:pPr>
      <w:r>
        <w:rPr>
          <w:color w:val="000000"/>
        </w:rPr>
        <w:t>Además, los diversos 100 y 101, fracción II, de dicho ordenamiento jurídico, prevén que el Presupuesto de Egresos, deberá contener las previsiones de gasto público y se conformará, entre otras cosas, por los programas en que se señalen objetivos, metas y unidades responsables para su ejecución, así como la valuación estimada del programa.</w:t>
      </w:r>
    </w:p>
    <w:p w14:paraId="537BCDB5" w14:textId="77777777" w:rsidR="00AE624F" w:rsidRDefault="00AE624F">
      <w:pPr>
        <w:spacing w:after="0" w:line="360" w:lineRule="auto"/>
        <w:rPr>
          <w:color w:val="000000"/>
        </w:rPr>
      </w:pPr>
    </w:p>
    <w:p w14:paraId="4F8F7B95" w14:textId="77777777" w:rsidR="00AE624F" w:rsidRDefault="00AB43E7">
      <w:pPr>
        <w:spacing w:after="0" w:line="360" w:lineRule="auto"/>
        <w:rPr>
          <w:color w:val="000000"/>
        </w:rPr>
      </w:pPr>
      <w:r>
        <w:rPr>
          <w:color w:val="000000"/>
        </w:rPr>
        <w:t>En ese contexto, el Glosario de Términos del</w:t>
      </w:r>
      <w:r>
        <w:t xml:space="preserve"> </w:t>
      </w:r>
      <w:r>
        <w:rPr>
          <w:color w:val="000000"/>
        </w:rPr>
        <w:t>Manual para la planeación, programación y Presupuesto de Egresos Municipal para el ejercicio fiscal 2020, del Manual para la planeación, programación y Presupuesto de Egresos Municipal para el ejercicio fiscal 2021, del Manual para la planeación, programación y presupuesto de egresos municipal para el ejercicio fiscal 2022 y del Manual para la Planeación, Programación y Presupuesto de Egresos Municipal para el Ejercicio Fiscal 2023, establecen que el Presupuesto de Egresos Municipal es el documento jurídico y de política económica aprobado por el Cabildo, en el que se consigna de acuerdo con su naturaleza y cuantía, el gasto público que ejercerán las dependencias generales y auxiliares, en cumplimiento de sus funciones y programas derivados del Plan de Desarrollo Municipal, durante un ejercicio fiscal.</w:t>
      </w:r>
    </w:p>
    <w:p w14:paraId="4E84F35F" w14:textId="77777777" w:rsidR="00AE624F" w:rsidRDefault="00AE624F">
      <w:pPr>
        <w:spacing w:after="0" w:line="360" w:lineRule="auto"/>
      </w:pPr>
    </w:p>
    <w:p w14:paraId="5D796118" w14:textId="77777777" w:rsidR="00AE624F" w:rsidRDefault="00AB43E7">
      <w:pPr>
        <w:spacing w:after="0" w:line="360" w:lineRule="auto"/>
      </w:pPr>
      <w:r>
        <w:t>Asimismo, los Manuales mencionados, señalan que el Presupuesto basado en Resultados (PbR), es un instrumento que consiste en un conjunto de actividades y herramientas orientados a que las decisiones involucradas en el proceso presupuestario incorporen, sistemáticamente, consideraciones sobre los resultados obtenidos y esperados de la aplicación de los recursos públicos, y que motiven a las dependencias y entidades a lograrlos, con el objeto de mejorar la calidad del gasto público y la rendición de cuentas</w:t>
      </w:r>
    </w:p>
    <w:p w14:paraId="148ED0E7" w14:textId="77777777" w:rsidR="00AE624F" w:rsidRDefault="00AB43E7">
      <w:pPr>
        <w:spacing w:after="0" w:line="360" w:lineRule="auto"/>
      </w:pPr>
      <w:r>
        <w:t> </w:t>
      </w:r>
    </w:p>
    <w:p w14:paraId="45F0F912" w14:textId="77777777" w:rsidR="00AE624F" w:rsidRDefault="00AB43E7">
      <w:pPr>
        <w:spacing w:after="0" w:line="360" w:lineRule="auto"/>
      </w:pPr>
      <w:r>
        <w:t>Dicho documento contempla que para asegurar la integración del anteproyecto-proyecto de presupuesto, en cumplimiento a lo que establece el artículo 134 de la Constitución Política de los Estados Unidos Mexicanos, se deberá trabajar haciendo uso del método de PbR, que identifique los logros o resultados del actuar de la administración municipal, mismo que está dado por su concepción en la aplicación de los recursos en los logros previstos.</w:t>
      </w:r>
    </w:p>
    <w:p w14:paraId="4890087F" w14:textId="77777777" w:rsidR="00AE624F" w:rsidRDefault="00AE624F">
      <w:pPr>
        <w:spacing w:after="0" w:line="360" w:lineRule="auto"/>
      </w:pPr>
    </w:p>
    <w:p w14:paraId="58A2CB9F" w14:textId="77777777" w:rsidR="00AE624F" w:rsidRDefault="00AB43E7">
      <w:pPr>
        <w:spacing w:after="0" w:line="360" w:lineRule="auto"/>
      </w:pPr>
      <w:r>
        <w:t xml:space="preserve">En ese sentido, los Manuales de los Ejercicios referidos, establecen que, de forma específica, </w:t>
      </w:r>
      <w:r>
        <w:rPr>
          <w:b/>
          <w:bCs/>
        </w:rPr>
        <w:t>las Dependencias y Organismos Municipales</w:t>
      </w:r>
      <w:r>
        <w:t xml:space="preserve">, a través de la Tesorería, Dependencias Generales y la Unidad de Información, Planeación, Programación y Evaluación (UIPPE), deberá generar y entregar a más tardar el último día hábil anterior al 15 de octubre a la Tesorería para su revisión,  el Anteproyecto de Presupuesto de Egresos, mismo que integrará el formato </w:t>
      </w:r>
      <w:r>
        <w:rPr>
          <w:b/>
          <w:bCs/>
        </w:rPr>
        <w:t>PbRM-04a</w:t>
      </w:r>
      <w:r>
        <w:t xml:space="preserve"> </w:t>
      </w:r>
      <w:r>
        <w:rPr>
          <w:b/>
          <w:bCs/>
        </w:rPr>
        <w:t xml:space="preserve">“Presupuesto de Egresos Detallado”,  </w:t>
      </w:r>
      <w:r>
        <w:t>el cual deberá registrar los proyectos por partida de gasto, identificando los montos por P</w:t>
      </w:r>
      <w:r>
        <w:rPr>
          <w:b/>
          <w:bCs/>
        </w:rPr>
        <w:t>artida Específica, Partida Genérica, Concepto y Capítulo del Gasto</w:t>
      </w:r>
      <w:r>
        <w:t>, de cada proyecto a nivel de Dependencia General y Auxiliar, como se muestra en el extracto siguiente:</w:t>
      </w:r>
    </w:p>
    <w:p w14:paraId="786A8AA5" w14:textId="77777777" w:rsidR="00AE624F" w:rsidRDefault="00AE624F">
      <w:pPr>
        <w:spacing w:after="0" w:line="360" w:lineRule="auto"/>
      </w:pPr>
    </w:p>
    <w:p w14:paraId="2A55CDC2" w14:textId="77777777" w:rsidR="00AE624F" w:rsidRDefault="00AB43E7">
      <w:pPr>
        <w:spacing w:after="0" w:line="360" w:lineRule="auto"/>
        <w:jc w:val="center"/>
      </w:pPr>
      <w:r>
        <w:rPr>
          <w:noProof/>
        </w:rPr>
        <w:drawing>
          <wp:inline distT="0" distB="0" distL="0" distR="0" wp14:anchorId="560EF216" wp14:editId="166A269D">
            <wp:extent cx="5368510" cy="409920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9554" b="7248"/>
                    <a:stretch>
                      <a:fillRect/>
                    </a:stretch>
                  </pic:blipFill>
                  <pic:spPr>
                    <a:xfrm>
                      <a:off x="0" y="0"/>
                      <a:ext cx="5368510" cy="4099204"/>
                    </a:xfrm>
                    <a:prstGeom prst="rect">
                      <a:avLst/>
                    </a:prstGeom>
                    <a:ln/>
                  </pic:spPr>
                </pic:pic>
              </a:graphicData>
            </a:graphic>
          </wp:inline>
        </w:drawing>
      </w:r>
    </w:p>
    <w:p w14:paraId="38C36205" w14:textId="77777777" w:rsidR="00AE624F" w:rsidRDefault="00AE624F">
      <w:pPr>
        <w:spacing w:after="0" w:line="360" w:lineRule="auto"/>
        <w:jc w:val="center"/>
      </w:pPr>
    </w:p>
    <w:p w14:paraId="3A942BCA" w14:textId="77777777" w:rsidR="00AE624F" w:rsidRDefault="00AB43E7">
      <w:pPr>
        <w:spacing w:after="0" w:line="360" w:lineRule="auto"/>
      </w:pPr>
      <w:r>
        <w:t>Ahora bien, los artículos 38, 44 y 47, del Bando Municipal de Nextlalpan, dos mil veinticinco, establecen que, para el ejercicio de sus atribuciones y responsabilidades ejecutivas, el Ayuntamiento se auxiliará de una Tesorería Municipal órgano recaudador y fiscalizador, responsable de administrar las finanzas y la hacienda pública municipal, recaudar los ingresos y realizar las erogaciones que efectúe la administración pública municipal, que se encargará de proporcionar oportunamente al Ayuntamiento todos los datos o informes que sean necesarios para la formulación del presupuesto de egresos municipales, vigilando que se ajuste a las disposiciones de este bando y otros ordenamientos aplicables.</w:t>
      </w:r>
    </w:p>
    <w:p w14:paraId="6160B348" w14:textId="77777777" w:rsidR="00AE624F" w:rsidRDefault="00AE624F">
      <w:pPr>
        <w:spacing w:after="0" w:line="360" w:lineRule="auto"/>
      </w:pPr>
    </w:p>
    <w:p w14:paraId="55CAB542" w14:textId="77777777" w:rsidR="00AE624F" w:rsidRDefault="00AB43E7">
      <w:pPr>
        <w:spacing w:after="0" w:line="360" w:lineRule="auto"/>
      </w:pPr>
      <w:r>
        <w:t>Conforme a lo anterior, se logra vislumbrar que la pretensión de la persona Recurrente es obtener, el PbRM-04a Presupuesto de Egresos Detallado de los ejercicios fiscales dos mil veinte, dos mil veintiuno, dos mil veintidós y dos mil veintitrés.</w:t>
      </w:r>
    </w:p>
    <w:p w14:paraId="5C989897" w14:textId="77777777" w:rsidR="00AE624F" w:rsidRDefault="00AE624F">
      <w:pPr>
        <w:spacing w:after="0" w:line="360" w:lineRule="auto"/>
      </w:pPr>
    </w:p>
    <w:p w14:paraId="6522BD1C" w14:textId="77777777" w:rsidR="00AE624F" w:rsidRDefault="00AB43E7">
      <w:pPr>
        <w:spacing w:after="0" w:line="360" w:lineRule="auto"/>
      </w:pPr>
      <w:r>
        <w:t>Establecida dicha circunstancia, de las constancias que obran en el expediente electrónico, se advierte que el Sujeto Obligado turno la solicitud de información a la Tesorería Municipal;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00BDB65D" w14:textId="77777777" w:rsidR="00AE624F" w:rsidRDefault="00AE624F">
      <w:pPr>
        <w:spacing w:after="0" w:line="360" w:lineRule="auto"/>
      </w:pPr>
    </w:p>
    <w:p w14:paraId="0909C370" w14:textId="77777777" w:rsidR="00AE624F" w:rsidRDefault="00AB43E7">
      <w:pPr>
        <w:spacing w:after="0" w:line="360" w:lineRule="auto"/>
      </w:pPr>
      <w:r>
        <w:t>Así y de lo plasmado en párrafos anteriores, se logra colegir que el Sujeto Obligado cumplió con el procedimiento de búsqueda establecido en el artículo 162 de la Ley de Transparencia y Acceso a la Información Pública del Estado de México y Municipios, toda vez que turno la solicitud de información al área competente de generar los recibos de nómina.</w:t>
      </w:r>
    </w:p>
    <w:p w14:paraId="569B5543" w14:textId="77777777" w:rsidR="00AE624F" w:rsidRDefault="00AE624F">
      <w:pPr>
        <w:spacing w:after="0" w:line="360" w:lineRule="auto"/>
      </w:pPr>
    </w:p>
    <w:p w14:paraId="2022CBD0" w14:textId="77777777" w:rsidR="00AE624F" w:rsidRDefault="00AB43E7">
      <w:pPr>
        <w:spacing w:after="0" w:line="360" w:lineRule="auto"/>
        <w:rPr>
          <w:color w:val="000000"/>
        </w:rPr>
      </w:pPr>
      <w:r>
        <w:t xml:space="preserve">Ahora bien, en respuesta, la Tesorería Municipal mencionó que para la entrega del </w:t>
      </w:r>
      <w:r>
        <w:rPr>
          <w:color w:val="000000"/>
        </w:rPr>
        <w:t>formato PbRM-04a Presupuesto de Egresos Detallado de los cuatro ejercicios solicitados, se debía escanear y digitalizar cada uno, por lo que, previó a su entrega debía realizar el pago por los costos de reproducción.</w:t>
      </w:r>
    </w:p>
    <w:p w14:paraId="71F1ABE6" w14:textId="77777777" w:rsidR="00AE624F" w:rsidRDefault="00AE624F">
      <w:pPr>
        <w:spacing w:after="0" w:line="360" w:lineRule="auto"/>
      </w:pPr>
    </w:p>
    <w:p w14:paraId="5F5C7F61" w14:textId="77777777" w:rsidR="00AE624F" w:rsidRDefault="00AB43E7">
      <w:pPr>
        <w:spacing w:after="0" w:line="360" w:lineRule="auto"/>
      </w:pPr>
      <w:r>
        <w:t xml:space="preserve">Sobre el tema, resulta necesario traer a colación el artículo 148 del Código Financiero del Estado de México, que establece que para la expedición de documentos se pagarán 0.008 veces el valor diario de la unidad de medida por el escaneo y digitalización de cada hoja relativa a los documentos que sean entregados por algún medio electrónico; además, precisa que el Solicitante, en ejercicio del derecho a la información pública, podrá aportar el medio magnético o disco compacto, para que le sea proporcionada sin costo dicha información. </w:t>
      </w:r>
    </w:p>
    <w:p w14:paraId="7A8F8A92" w14:textId="77777777" w:rsidR="00AE624F" w:rsidRDefault="00AE624F">
      <w:pPr>
        <w:spacing w:after="0" w:line="360" w:lineRule="auto"/>
      </w:pPr>
    </w:p>
    <w:p w14:paraId="6FC3F72D" w14:textId="77777777" w:rsidR="00AE624F" w:rsidRDefault="00AB43E7">
      <w:pPr>
        <w:spacing w:after="0" w:line="360" w:lineRule="auto"/>
      </w:pPr>
      <w:r>
        <w:t xml:space="preserve">Por otra parte, el artículo 2°, fracción II, de la Ley de Transparencia y Acceso a la Información Pública del Estado de México y Municipios, establece como objetivo en materia de transparencia, el de proveer lo necesario para garantizar a toda persona el derecho de acceso a la información pública a través de procedimientos sencillos, expeditos, oportunos y gratuitos. Asimismo, el artículo 9°, fracción III, de la Ley de la materia, precisa que el Principio de Gratuidad consiste en que el acceso a la información pública no generará costo alguno para los solicitantes y sólo podrá requerirse el cobro correspondiente a la modalidad de reproducción y entrega solicitada. </w:t>
      </w:r>
    </w:p>
    <w:p w14:paraId="4BEE682B" w14:textId="77777777" w:rsidR="00AE624F" w:rsidRDefault="00AE624F">
      <w:pPr>
        <w:spacing w:after="0" w:line="360" w:lineRule="auto"/>
      </w:pPr>
    </w:p>
    <w:p w14:paraId="141F05FA" w14:textId="77777777" w:rsidR="00AE624F" w:rsidRDefault="00AB43E7">
      <w:pPr>
        <w:spacing w:after="0" w:line="360" w:lineRule="auto"/>
      </w:pPr>
      <w:r>
        <w:t xml:space="preserve">En ese orden de ideas, los artículos 17 y 150, del ordenamiento jurídico referido, prevén que la búsqueda y acceso a la información es gratuita y sólo se cubrirán en su caso, los gastos de reproducción por la modalidad de entrega solicitada o por el envío, de conformidad con los derechos, productos y aprovechamientos establecidos en la legislación aplicable; además, toda vez que el procedimiento de acceso a la información es la garantía primaria del derecho en cuestión y se rige por los principios de simplicidad, rapidez, gratuidad, auxilio y orientación a los particulares, en virtud de que constituye el primer paso para integrar activamente a la ciudadanía en la acción gubernamental, ya que con la información proporcionada por medio de las políticas de transparencia, los ciudadanos son participes de las acciones de gobierno, lo que favorece la rendición de cuentas. </w:t>
      </w:r>
    </w:p>
    <w:p w14:paraId="0534FED2" w14:textId="77777777" w:rsidR="00AE624F" w:rsidRDefault="00AE624F">
      <w:pPr>
        <w:spacing w:after="0" w:line="360" w:lineRule="auto"/>
      </w:pPr>
    </w:p>
    <w:p w14:paraId="5D207E34" w14:textId="77777777" w:rsidR="00AE624F" w:rsidRDefault="00AB43E7">
      <w:pPr>
        <w:spacing w:after="0" w:line="360" w:lineRule="auto"/>
      </w:pPr>
      <w:r>
        <w:t xml:space="preserve">En ese orden de ideas, el artículo 174 de la Ley de la materia, establece que, en los casos de existir costos para obtener la información, deberán cubrirse de manera previa y nunca deberán ser superiores a la suma de los costos de los materiales utilizados, envío y certificación, en su caso; además, que dichos montos deberán permitir o facilitar el ejercicio del derecho de acceso a la información. </w:t>
      </w:r>
    </w:p>
    <w:p w14:paraId="42966868" w14:textId="77777777" w:rsidR="00AE624F" w:rsidRDefault="00AE624F">
      <w:pPr>
        <w:spacing w:after="0" w:line="360" w:lineRule="auto"/>
      </w:pPr>
    </w:p>
    <w:p w14:paraId="1F303D9E" w14:textId="77777777" w:rsidR="00AE624F" w:rsidRDefault="00AB43E7">
      <w:pPr>
        <w:spacing w:after="0" w:line="360" w:lineRule="auto"/>
      </w:pPr>
      <w:r>
        <w:t xml:space="preserve">De tal manera, por regla general la entrega de la información solicitada en ejercicio del derecho de acceso a la información pública, deberá ser en completa congruencia con el Principio de Gratuidad y solamente en casos excepcionales, se procederá al cobro para la entrega de la información, lo cual ocurrirá en caso de que se tenga que generar un gasto por la reproducción, por la modalidad de entrega solicitada o por su envió; sin embargo, en el caso concreto no se estima que se actualice ninguno de esos supuestos, por lo que, ello únicamente implica la digitalización o escaneo de la información a entregar, lo cual no conlleva la utilización de materiales que generen un costo para el Sujeto Obligado, como es el caso, de la emisión de copias (simples o certificadas); así tampoco se genera un gasto por el envío de la información, ya que una de las finalidades de la utilización del sistema de  referencia es evitar la generación de gastos, tanto para los solicitantes como para los sujetos obligados. </w:t>
      </w:r>
    </w:p>
    <w:p w14:paraId="18B89617" w14:textId="77777777" w:rsidR="00AE624F" w:rsidRDefault="00AE624F">
      <w:pPr>
        <w:spacing w:after="0" w:line="360" w:lineRule="auto"/>
      </w:pPr>
    </w:p>
    <w:p w14:paraId="7C62B2F7" w14:textId="77777777" w:rsidR="00AE624F" w:rsidRDefault="00AB43E7">
      <w:pPr>
        <w:spacing w:after="0" w:line="360" w:lineRule="auto"/>
      </w:pPr>
      <w:r>
        <w:t xml:space="preserve">En ese contexto, si bien el Código Financiero del Estado de México, permite a los sujetos obligados cobrar por la digitalización y escaneo de la información que obre en sus archivos, también lo es que deben guiarse por el Principio de Gratuidad y solo excepcionalmente podrán cobrar, cuando se utilicen materiales para su reproducción, lo cual no acontece con el escaneo y la digitalización de la información. </w:t>
      </w:r>
    </w:p>
    <w:p w14:paraId="717899ED" w14:textId="77777777" w:rsidR="00AE624F" w:rsidRDefault="00AE624F">
      <w:pPr>
        <w:spacing w:after="0" w:line="360" w:lineRule="auto"/>
      </w:pPr>
    </w:p>
    <w:p w14:paraId="3AB5FE07" w14:textId="77777777" w:rsidR="00AE624F" w:rsidRDefault="00AB43E7">
      <w:pPr>
        <w:spacing w:after="0" w:line="360" w:lineRule="auto"/>
      </w:pPr>
      <w:r>
        <w:t xml:space="preserve">De tales circunstancias, se considera que en el presente caso no procede un cobro por la digitalización de la información, toda vez que no implica la utilización de materiales, tales como papel o tinta, sino únicamente la utilización de un equipo tecnológico para llevar a cabo la entrega de la misma, además, el formato solicitado ya se encuentra en medio electrónico pues forma parte del Anteproyecto de Presupuesto de Egresos, mismo que se genera de manera electrónica, </w:t>
      </w:r>
      <w:r>
        <w:rPr>
          <w:color w:val="000000"/>
        </w:rPr>
        <w:t xml:space="preserve">lo cual da como resultado que el agravio sea </w:t>
      </w:r>
      <w:r>
        <w:rPr>
          <w:b/>
          <w:bCs/>
          <w:color w:val="000000"/>
        </w:rPr>
        <w:t>FUNDADO.</w:t>
      </w:r>
    </w:p>
    <w:p w14:paraId="72DF1FCB" w14:textId="77777777" w:rsidR="00AE624F" w:rsidRDefault="00AE624F">
      <w:pPr>
        <w:spacing w:after="0" w:line="360" w:lineRule="auto"/>
        <w:rPr>
          <w:b/>
          <w:bCs/>
          <w:color w:val="000000"/>
        </w:rPr>
      </w:pPr>
    </w:p>
    <w:p w14:paraId="74D392FF" w14:textId="77777777" w:rsidR="00AE624F" w:rsidRDefault="00AB43E7">
      <w:pPr>
        <w:spacing w:after="0" w:line="360" w:lineRule="auto"/>
      </w:pPr>
      <w:r>
        <w:t>Por tal circunstancia, p</w:t>
      </w:r>
      <w:r>
        <w:rPr>
          <w:color w:val="000000"/>
        </w:rPr>
        <w:t xml:space="preserve">ara atender el requerimiento de la información, el Sujeto Obligado deberá realizar una búsqueda exhaustiva y razonable, en los archivos de la Tesorería Municipal, que a efecto de que proporcione, </w:t>
      </w:r>
      <w:r>
        <w:t>el PbRM-04a “Presupuesto de Egresos Detallado” de los ejercicios fiscales dos mil veinte, dos mil veintiuno, dos mil veintidós y dos mil veintitrés; 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73BB4256" w14:textId="77777777" w:rsidR="00AE624F" w:rsidRDefault="00AE624F">
      <w:pPr>
        <w:widowControl w:val="0"/>
        <w:spacing w:after="0" w:line="360" w:lineRule="auto"/>
      </w:pPr>
    </w:p>
    <w:p w14:paraId="71ECC743" w14:textId="77777777" w:rsidR="00AE624F" w:rsidRDefault="00AB43E7">
      <w:pPr>
        <w:widowControl w:val="0"/>
        <w:spacing w:after="0" w:line="360" w:lineRule="auto"/>
      </w:pPr>
      <w:r>
        <w:t xml:space="preserve">De esta manera, el derecho de acceso a la información pública se satisface en aquellos casos en que se entregue el soporte documental en el que conste la información solicitada, sin necesidad de elaborar documentos </w:t>
      </w:r>
      <w:r>
        <w:rPr>
          <w:i/>
          <w:iCs/>
        </w:rPr>
        <w:t>ad hoc</w:t>
      </w:r>
      <w:r>
        <w:t>,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23A55671" w14:textId="77777777" w:rsidR="00AE624F" w:rsidRDefault="00AE624F">
      <w:pPr>
        <w:widowControl w:val="0"/>
        <w:spacing w:after="0" w:line="360" w:lineRule="auto"/>
      </w:pPr>
    </w:p>
    <w:p w14:paraId="18F205B2" w14:textId="77777777" w:rsidR="00AE624F" w:rsidRDefault="00AB43E7">
      <w:pPr>
        <w:spacing w:after="0" w:line="360" w:lineRule="auto"/>
        <w:rPr>
          <w:color w:val="0D0D0D"/>
        </w:rPr>
      </w:pPr>
      <w: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el formato solicitado, </w:t>
      </w:r>
      <w:r>
        <w:rPr>
          <w:color w:val="0D0D0D"/>
        </w:rPr>
        <w:t>además, de la revisión del formato, se observa que no contiene datos clasificados como confidenciales, por lo que, se deberán entregar de manera íntegra, tal como lo hizo del conocimiento la propia Tesorería Municipal.</w:t>
      </w:r>
    </w:p>
    <w:p w14:paraId="17D12C92" w14:textId="77777777" w:rsidR="00AE624F" w:rsidRDefault="00AE624F">
      <w:pPr>
        <w:spacing w:after="0" w:line="360" w:lineRule="auto"/>
        <w:rPr>
          <w:color w:val="0D0D0D"/>
        </w:rPr>
      </w:pPr>
    </w:p>
    <w:p w14:paraId="4EA7ABA3" w14:textId="77777777" w:rsidR="00AE624F" w:rsidRDefault="00AB43E7">
      <w:pPr>
        <w:spacing w:after="0" w:line="360" w:lineRule="auto"/>
        <w:rPr>
          <w:color w:val="000000"/>
        </w:rPr>
      </w:pPr>
      <w:r>
        <w:rPr>
          <w:color w:val="000000"/>
        </w:rPr>
        <w:t>Finalmente, no pasa desapercibido, que el ahora Recurrente, requirió que se diera vista a la autoridad correspondiente, a efecto de que se iniciara un procedimiento de responsabilidades en contra de los servidores públicos. Al respecto, en el artículo 36, fracción X, de la Ley de Transparencia y Acceso a la Información Pública del Estado de México y Municipios, se establece que es atribución de este Instituto hacer del conocimiento del Órgano Interno de Control o equivalente de cada Sujeto Obligado las infracciones a esta Ley.</w:t>
      </w:r>
    </w:p>
    <w:p w14:paraId="11707AD0" w14:textId="77777777" w:rsidR="00AE624F" w:rsidRDefault="00AE624F">
      <w:pPr>
        <w:spacing w:after="0" w:line="360" w:lineRule="auto"/>
        <w:rPr>
          <w:color w:val="000000"/>
        </w:rPr>
      </w:pPr>
    </w:p>
    <w:p w14:paraId="232434F0" w14:textId="77777777" w:rsidR="00AE624F" w:rsidRDefault="00AB43E7">
      <w:pPr>
        <w:spacing w:after="0" w:line="360" w:lineRule="auto"/>
        <w:rPr>
          <w:color w:val="000000"/>
        </w:rPr>
      </w:pPr>
      <w:r>
        <w:rPr>
          <w:color w:val="000000"/>
        </w:rPr>
        <w:t xml:space="preserve">En ese sentido, de conformidad con lo previsto en el artículo 222, fracción III, de dicho ordenamiento, son causas de sanción por incumplimiento de las obligaciones establecida en la Ley de la materia, entre otras conductas, el actuar con negligencia, dolo o mala fe en la clasificación y desclasificación de la información. </w:t>
      </w:r>
    </w:p>
    <w:p w14:paraId="3F0F9795" w14:textId="77777777" w:rsidR="00AE624F" w:rsidRDefault="00AE624F">
      <w:pPr>
        <w:spacing w:after="0" w:line="360" w:lineRule="auto"/>
        <w:rPr>
          <w:color w:val="000000"/>
        </w:rPr>
      </w:pPr>
    </w:p>
    <w:p w14:paraId="5436F20A" w14:textId="77777777" w:rsidR="00AE624F" w:rsidRDefault="00AB43E7">
      <w:pPr>
        <w:spacing w:after="0" w:line="360" w:lineRule="auto"/>
        <w:rPr>
          <w:color w:val="000000"/>
        </w:rPr>
      </w:pPr>
      <w:r>
        <w:rPr>
          <w:color w:val="000000"/>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5AF04B57" w14:textId="77777777" w:rsidR="00AE624F" w:rsidRDefault="00AE624F">
      <w:pPr>
        <w:spacing w:after="0" w:line="360" w:lineRule="auto"/>
        <w:rPr>
          <w:color w:val="000000"/>
        </w:rPr>
      </w:pPr>
    </w:p>
    <w:p w14:paraId="4F871D0D" w14:textId="77777777" w:rsidR="00AE624F" w:rsidRDefault="00AB43E7">
      <w:pPr>
        <w:spacing w:after="0" w:line="360" w:lineRule="auto"/>
        <w:rPr>
          <w:color w:val="000000"/>
        </w:rPr>
      </w:pPr>
      <w:r>
        <w:rPr>
          <w:color w:val="000000"/>
        </w:rPr>
        <w:t xml:space="preserve">En el presente caso, este Instituto no cuenta con elementos necesarios para indicar que el actuar del Sujeto Obligado actuó con negligencia, dolo o mala fe al atender la solicitud de información, tan es así que proporcionó información relacionada con lo peticionado; por lo que, no resulta procedente dar vista en el presente asunto. </w:t>
      </w:r>
    </w:p>
    <w:p w14:paraId="0D724A67" w14:textId="77777777" w:rsidR="00AE624F" w:rsidRDefault="00AE624F">
      <w:pPr>
        <w:spacing w:after="0" w:line="360" w:lineRule="auto"/>
        <w:rPr>
          <w:color w:val="000000"/>
        </w:rPr>
      </w:pPr>
    </w:p>
    <w:p w14:paraId="749CFA40" w14:textId="77777777" w:rsidR="00AE624F" w:rsidRDefault="00AB43E7">
      <w:pPr>
        <w:spacing w:after="0" w:line="360" w:lineRule="auto"/>
        <w:rPr>
          <w:color w:val="000000"/>
        </w:rPr>
      </w:pPr>
      <w:r>
        <w:rPr>
          <w:color w:val="000000"/>
        </w:rPr>
        <w:t>Sin embargo, se dejan a salvo los derechos del Particular, para que dé así requerirlo, presente la queja o denuncia, ante el Órgano Interno de Control u homólogo del Sujeto Obligado.</w:t>
      </w:r>
    </w:p>
    <w:p w14:paraId="4539693A" w14:textId="77777777" w:rsidR="00AE624F" w:rsidRDefault="00AE624F">
      <w:pPr>
        <w:spacing w:after="0" w:line="360" w:lineRule="auto"/>
        <w:rPr>
          <w:color w:val="000000"/>
        </w:rPr>
      </w:pPr>
    </w:p>
    <w:p w14:paraId="4686B933" w14:textId="77777777" w:rsidR="00AE624F" w:rsidRDefault="00AB43E7">
      <w:pPr>
        <w:pStyle w:val="Ttulo2"/>
        <w:spacing w:before="0" w:after="0" w:line="360" w:lineRule="auto"/>
        <w:rPr>
          <w:sz w:val="22"/>
          <w:szCs w:val="22"/>
        </w:rPr>
      </w:pPr>
      <w:bookmarkStart w:id="13" w:name="_Toc226641924"/>
      <w:r>
        <w:rPr>
          <w:sz w:val="22"/>
          <w:szCs w:val="22"/>
        </w:rPr>
        <w:t>SEXTO. Decisión</w:t>
      </w:r>
      <w:bookmarkEnd w:id="13"/>
    </w:p>
    <w:p w14:paraId="397BBF48" w14:textId="77777777" w:rsidR="00AE624F" w:rsidRDefault="00AE624F">
      <w:pPr>
        <w:spacing w:after="0" w:line="360" w:lineRule="auto"/>
        <w:rPr>
          <w:b/>
          <w:bCs/>
        </w:rPr>
      </w:pPr>
    </w:p>
    <w:p w14:paraId="5B65FA42" w14:textId="77777777" w:rsidR="00AE624F" w:rsidRDefault="00AB43E7">
      <w:pPr>
        <w:spacing w:after="0" w:line="360" w:lineRule="auto"/>
      </w:pPr>
      <w:r>
        <w:t xml:space="preserve">De acuerdo con lo expuesto y, con fundamento en el artículo 186, fracción III, de la Ley de Transparencia y Acceso a la Información Pública del Estado de México y Municipios, este Instituto considera procedente </w:t>
      </w:r>
      <w:r>
        <w:rPr>
          <w:b/>
          <w:bCs/>
        </w:rPr>
        <w:t xml:space="preserve">MODIFICAR </w:t>
      </w:r>
      <w:r>
        <w:t>la respuesta del Ayuntamiento de Nextlalpan</w:t>
      </w:r>
      <w:r>
        <w:rPr>
          <w:b/>
          <w:bCs/>
        </w:rPr>
        <w:t xml:space="preserve">, </w:t>
      </w:r>
      <w:r>
        <w:t>a efecto de que entregue la información solicitada.</w:t>
      </w:r>
    </w:p>
    <w:p w14:paraId="723E8C4B" w14:textId="77777777" w:rsidR="00AE624F" w:rsidRDefault="00AE624F">
      <w:pPr>
        <w:spacing w:after="0" w:line="360" w:lineRule="auto"/>
      </w:pPr>
    </w:p>
    <w:p w14:paraId="6498FCAD" w14:textId="77777777" w:rsidR="00AE624F" w:rsidRDefault="00AB43E7">
      <w:pPr>
        <w:spacing w:after="0" w:line="360" w:lineRule="auto"/>
        <w:rPr>
          <w:b/>
          <w:bCs/>
        </w:rPr>
      </w:pPr>
      <w:r>
        <w:rPr>
          <w:b/>
          <w:bCs/>
        </w:rPr>
        <w:t>Términos de la Resolución para conocimiento del Particular</w:t>
      </w:r>
    </w:p>
    <w:p w14:paraId="5C22542F" w14:textId="77777777" w:rsidR="00AE624F" w:rsidRDefault="00AE624F">
      <w:pPr>
        <w:spacing w:after="0" w:line="360" w:lineRule="auto"/>
        <w:rPr>
          <w:b/>
          <w:bCs/>
        </w:rPr>
      </w:pPr>
    </w:p>
    <w:p w14:paraId="2C047906" w14:textId="77777777" w:rsidR="00AE624F" w:rsidRDefault="00AB43E7">
      <w:pPr>
        <w:spacing w:after="0" w:line="360" w:lineRule="auto"/>
      </w:pPr>
      <w:r>
        <w:t>Se le hace del conocimiento a la persona Recurrente que, en el presente asunto, se le da la razón, pues si bien el Sujeto Obligado dio respuesta, pretendió realizar un cobro para la entrega de la información, por lo que, no procede el cobro y deberá entregar la información solicitada.</w:t>
      </w:r>
    </w:p>
    <w:p w14:paraId="42A3AEE0" w14:textId="77777777" w:rsidR="00AE624F" w:rsidRDefault="00AE624F">
      <w:pPr>
        <w:spacing w:after="0" w:line="360" w:lineRule="auto"/>
      </w:pPr>
    </w:p>
    <w:p w14:paraId="1C789D18" w14:textId="77777777" w:rsidR="00AE624F" w:rsidRDefault="00AB43E7">
      <w:pPr>
        <w:spacing w:after="0" w:line="360" w:lineRule="auto"/>
      </w:pPr>
      <w: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5A2F73C4" w14:textId="77777777" w:rsidR="00AE624F" w:rsidRDefault="00AE624F">
      <w:pPr>
        <w:spacing w:after="0" w:line="360" w:lineRule="auto"/>
      </w:pPr>
    </w:p>
    <w:p w14:paraId="6978FC12" w14:textId="77777777" w:rsidR="00AE624F" w:rsidRDefault="00AB43E7">
      <w:pPr>
        <w:spacing w:after="0" w:line="360" w:lineRule="auto"/>
      </w:pPr>
      <w:r>
        <w:t>Por lo expuesto y fundado, este Pleno:</w:t>
      </w:r>
    </w:p>
    <w:p w14:paraId="616B1E85" w14:textId="77777777" w:rsidR="00AE624F" w:rsidRDefault="00AE624F">
      <w:pPr>
        <w:spacing w:after="0" w:line="360" w:lineRule="auto"/>
      </w:pPr>
    </w:p>
    <w:p w14:paraId="657EC84E" w14:textId="77777777" w:rsidR="00AE624F" w:rsidRDefault="00AB43E7">
      <w:pPr>
        <w:pStyle w:val="Ttulo1"/>
        <w:spacing w:before="0" w:after="0" w:line="360" w:lineRule="auto"/>
        <w:jc w:val="center"/>
        <w:rPr>
          <w:sz w:val="22"/>
          <w:szCs w:val="22"/>
        </w:rPr>
      </w:pPr>
      <w:bookmarkStart w:id="14" w:name="_Toc226641925"/>
      <w:r>
        <w:rPr>
          <w:sz w:val="22"/>
          <w:szCs w:val="22"/>
        </w:rPr>
        <w:t>R E S U E L V E</w:t>
      </w:r>
      <w:bookmarkEnd w:id="14"/>
    </w:p>
    <w:p w14:paraId="4BD73911" w14:textId="77777777" w:rsidR="00AE624F" w:rsidRDefault="00AE624F">
      <w:pPr>
        <w:spacing w:after="0" w:line="360" w:lineRule="auto"/>
        <w:rPr>
          <w:b/>
          <w:bCs/>
        </w:rPr>
      </w:pPr>
    </w:p>
    <w:p w14:paraId="1AB52E20" w14:textId="77777777" w:rsidR="00AE624F" w:rsidRDefault="00AB43E7">
      <w:pPr>
        <w:spacing w:after="0" w:line="360" w:lineRule="auto"/>
      </w:pPr>
      <w:r>
        <w:rPr>
          <w:b/>
          <w:bCs/>
        </w:rPr>
        <w:t xml:space="preserve">PRIMERO. </w:t>
      </w:r>
      <w:r>
        <w:t xml:space="preserve">Se </w:t>
      </w:r>
      <w:r>
        <w:rPr>
          <w:b/>
          <w:bCs/>
        </w:rPr>
        <w:t xml:space="preserve">MODIFICA </w:t>
      </w:r>
      <w:r>
        <w:t>la respuesta entregada por el Ayuntamiento de Nextlalpan, a las solicitudes de información 00006/NEXTLAL/IP/2026, 00007/NEXTLAL/IP/2026</w:t>
      </w:r>
      <w:r>
        <w:rPr>
          <w:color w:val="000000"/>
        </w:rPr>
        <w:t xml:space="preserve">, </w:t>
      </w:r>
      <w:r>
        <w:t xml:space="preserve">00008/NEXTLAL/IP/2026 y 00009/NEXTLAL/IP/2026, por resultar </w:t>
      </w:r>
      <w:r>
        <w:rPr>
          <w:b/>
          <w:bCs/>
        </w:rPr>
        <w:t xml:space="preserve">FUNDADAS </w:t>
      </w:r>
      <w:r>
        <w:t>las razones o motivos de inconformidad hechos valer por el Recurrente, en términos de los considerandos QUINTO y SEXTO de la presente Resolución.</w:t>
      </w:r>
    </w:p>
    <w:p w14:paraId="33B73926" w14:textId="77777777" w:rsidR="00AE624F" w:rsidRDefault="00AE624F">
      <w:pPr>
        <w:spacing w:after="0" w:line="360" w:lineRule="auto"/>
      </w:pPr>
    </w:p>
    <w:p w14:paraId="17183123" w14:textId="77777777" w:rsidR="00AE624F" w:rsidRDefault="00AB43E7">
      <w:pPr>
        <w:spacing w:after="0" w:line="360" w:lineRule="auto"/>
      </w:pPr>
      <w:r>
        <w:rPr>
          <w:b/>
          <w:bCs/>
        </w:rPr>
        <w:t xml:space="preserve">SEGUNDO. </w:t>
      </w:r>
      <w:r>
        <w:t xml:space="preserve">Se </w:t>
      </w:r>
      <w:r>
        <w:rPr>
          <w:b/>
          <w:bCs/>
        </w:rPr>
        <w:t>ORDENA</w:t>
      </w:r>
      <w:r>
        <w:t xml:space="preserve"> al Ente Recurrido</w:t>
      </w:r>
      <w:r>
        <w:rPr>
          <w:b/>
          <w:bCs/>
        </w:rPr>
        <w:t xml:space="preserve">, </w:t>
      </w:r>
      <w:r>
        <w:t>a efecto de que entregue, a través del Sistema de Acceso a la Información Mexiquense (SAIMEX), en versión íntegra, lo siguiente:</w:t>
      </w:r>
    </w:p>
    <w:p w14:paraId="1621C663" w14:textId="77777777" w:rsidR="00AE624F" w:rsidRDefault="00AE624F">
      <w:pPr>
        <w:spacing w:after="0" w:line="360" w:lineRule="auto"/>
      </w:pPr>
    </w:p>
    <w:p w14:paraId="28C4800F" w14:textId="77777777" w:rsidR="00AE624F" w:rsidRDefault="00AB43E7">
      <w:pPr>
        <w:numPr>
          <w:ilvl w:val="0"/>
          <w:numId w:val="1"/>
        </w:numPr>
        <w:pBdr>
          <w:top w:val="nil"/>
          <w:left w:val="nil"/>
          <w:bottom w:val="nil"/>
          <w:right w:val="nil"/>
          <w:between w:val="nil"/>
        </w:pBdr>
        <w:spacing w:after="0" w:line="360" w:lineRule="auto"/>
        <w:ind w:right="-28"/>
      </w:pPr>
      <w:r>
        <w:rPr>
          <w:color w:val="000000"/>
        </w:rPr>
        <w:t>El formato PbRM-04a “Presupuesto de Egresos Detallado”, de los ejercicios fiscales dos mil veinte, dos mil veintiuno, dos mil veintidós y dos mil veintitrés, aludidos en respuesta.</w:t>
      </w:r>
    </w:p>
    <w:p w14:paraId="15718CDA" w14:textId="77777777" w:rsidR="00AE624F" w:rsidRDefault="00AE624F">
      <w:pPr>
        <w:pBdr>
          <w:top w:val="nil"/>
          <w:left w:val="nil"/>
          <w:bottom w:val="nil"/>
          <w:right w:val="nil"/>
          <w:between w:val="nil"/>
        </w:pBdr>
        <w:spacing w:after="0" w:line="360" w:lineRule="auto"/>
        <w:ind w:left="720" w:right="-28"/>
        <w:rPr>
          <w:color w:val="000000"/>
        </w:rPr>
      </w:pPr>
    </w:p>
    <w:p w14:paraId="40355306" w14:textId="77777777" w:rsidR="00AE624F" w:rsidRDefault="00AB43E7">
      <w:pPr>
        <w:spacing w:after="0" w:line="360" w:lineRule="auto"/>
        <w:ind w:right="-28"/>
      </w:pPr>
      <w:r>
        <w:rPr>
          <w:b/>
          <w:bCs/>
        </w:rPr>
        <w:t xml:space="preserve">TERCERO. NOTIFÍQUESE POR SAIMEX </w:t>
      </w:r>
      <w: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8BEE020" w14:textId="77777777" w:rsidR="00AE624F" w:rsidRDefault="00AE624F">
      <w:pPr>
        <w:spacing w:after="0" w:line="360" w:lineRule="auto"/>
        <w:ind w:right="-28"/>
      </w:pPr>
    </w:p>
    <w:p w14:paraId="2DA90863" w14:textId="77777777" w:rsidR="00AE624F" w:rsidRDefault="00AB43E7">
      <w:pPr>
        <w:spacing w:after="0" w:line="360" w:lineRule="auto"/>
        <w:ind w:right="-28"/>
      </w:pPr>
      <w:r>
        <w:rPr>
          <w:color w:val="000000"/>
        </w:rPr>
        <w:t xml:space="preserve">De conformidad con el artículo 198 de la </w:t>
      </w:r>
      <w:r>
        <w:t>Ley de Transparencia y Acceso a la Información Pública del Estado de México y Municipios</w:t>
      </w:r>
      <w:r>
        <w:rPr>
          <w:color w:val="000000"/>
        </w:rPr>
        <w:t>, de considerarlo procedente, el Sujeto Obligado de manera fundada y motivada, podrá solicitar una ampliación de plazo para el cumplimiento de la presente resolución.</w:t>
      </w:r>
    </w:p>
    <w:p w14:paraId="48B392DC" w14:textId="77777777" w:rsidR="00AE624F" w:rsidRDefault="00AE624F">
      <w:pPr>
        <w:spacing w:after="0" w:line="360" w:lineRule="auto"/>
        <w:rPr>
          <w:color w:val="000000"/>
        </w:rPr>
      </w:pPr>
    </w:p>
    <w:p w14:paraId="2C15D40B" w14:textId="77777777" w:rsidR="00AE624F" w:rsidRDefault="00AB43E7">
      <w:pPr>
        <w:spacing w:after="0" w:line="360" w:lineRule="auto"/>
      </w:pPr>
      <w:r>
        <w:rPr>
          <w:b/>
          <w:bCs/>
        </w:rPr>
        <w:t>CUARTO. NOTIFÍQUESE POR SAIMEX</w:t>
      </w:r>
      <w: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C7486D5" w14:textId="77777777" w:rsidR="00AE624F" w:rsidRDefault="00AE624F">
      <w:pPr>
        <w:spacing w:after="0" w:line="360" w:lineRule="auto"/>
        <w:rPr>
          <w:b/>
          <w:bCs/>
        </w:rPr>
      </w:pPr>
    </w:p>
    <w:p w14:paraId="7D65753D" w14:textId="77777777" w:rsidR="00AE624F" w:rsidRDefault="00AB43E7">
      <w:pPr>
        <w:spacing w:after="0" w:line="360" w:lineRule="auto"/>
        <w:rPr>
          <w:b/>
          <w:bCs/>
        </w:rPr>
      </w:pPr>
      <w:r>
        <w:t>ASÍ LO RESUELVE, POR </w:t>
      </w:r>
      <w:r>
        <w:rPr>
          <w:b/>
          <w:bCs/>
        </w:rPr>
        <w:t>UNANIMIDAD</w:t>
      </w:r>
      <w: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OCHO DE ABRIL DE DOS MIL VEINTISÉIS, ANTE EL SECRETARIO TÉCNICO DEL PLENO, ALEXIS TAPIA RAMÍREZ.</w:t>
      </w:r>
    </w:p>
    <w:p w14:paraId="384F9986" w14:textId="77777777" w:rsidR="00AE624F" w:rsidRDefault="00AE624F">
      <w:pPr>
        <w:spacing w:after="0" w:line="360" w:lineRule="auto"/>
        <w:ind w:right="-28"/>
        <w:rPr>
          <w:color w:val="000000"/>
        </w:rPr>
      </w:pPr>
    </w:p>
    <w:p w14:paraId="60C186F7" w14:textId="77777777" w:rsidR="00AE624F" w:rsidRDefault="00AE624F">
      <w:pPr>
        <w:spacing w:after="0" w:line="360" w:lineRule="auto"/>
        <w:rPr>
          <w:b/>
          <w:bCs/>
        </w:rPr>
      </w:pPr>
    </w:p>
    <w:p w14:paraId="7B639109" w14:textId="77777777" w:rsidR="00AE624F" w:rsidRDefault="00AE624F">
      <w:pPr>
        <w:spacing w:after="0" w:line="360" w:lineRule="auto"/>
        <w:rPr>
          <w:b/>
          <w:bCs/>
        </w:rPr>
      </w:pPr>
    </w:p>
    <w:p w14:paraId="35C00845" w14:textId="77777777" w:rsidR="00AE624F" w:rsidRDefault="00AE624F">
      <w:pPr>
        <w:spacing w:after="0" w:line="360" w:lineRule="auto"/>
        <w:rPr>
          <w:color w:val="000000"/>
        </w:rPr>
      </w:pPr>
    </w:p>
    <w:p w14:paraId="230A1E9A" w14:textId="77777777" w:rsidR="00AE624F" w:rsidRDefault="00AE624F">
      <w:pPr>
        <w:spacing w:after="0" w:line="360" w:lineRule="auto"/>
        <w:rPr>
          <w:color w:val="000000"/>
        </w:rPr>
      </w:pPr>
    </w:p>
    <w:p w14:paraId="5644C420" w14:textId="77777777" w:rsidR="00AE624F" w:rsidRDefault="00AE624F">
      <w:pPr>
        <w:spacing w:after="0" w:line="360" w:lineRule="auto"/>
      </w:pPr>
    </w:p>
    <w:p w14:paraId="2724D2B9" w14:textId="77777777" w:rsidR="00AE624F" w:rsidRDefault="00AE624F">
      <w:pPr>
        <w:spacing w:after="0" w:line="360" w:lineRule="auto"/>
      </w:pPr>
    </w:p>
    <w:p w14:paraId="4AB4C78B" w14:textId="77777777" w:rsidR="00AE624F" w:rsidRDefault="00AE624F">
      <w:pPr>
        <w:spacing w:after="0" w:line="360" w:lineRule="auto"/>
        <w:rPr>
          <w:color w:val="000000"/>
        </w:rPr>
      </w:pPr>
    </w:p>
    <w:p w14:paraId="1457EC27" w14:textId="77777777" w:rsidR="00AE624F" w:rsidRDefault="00AE624F">
      <w:pPr>
        <w:spacing w:after="0" w:line="360" w:lineRule="auto"/>
        <w:rPr>
          <w:color w:val="000000"/>
        </w:rPr>
      </w:pPr>
    </w:p>
    <w:p w14:paraId="0C0B40AE" w14:textId="77777777" w:rsidR="00AE624F" w:rsidRDefault="00AE624F">
      <w:pPr>
        <w:tabs>
          <w:tab w:val="right" w:pos="8931"/>
        </w:tabs>
        <w:spacing w:after="0" w:line="360" w:lineRule="auto"/>
      </w:pPr>
    </w:p>
    <w:p w14:paraId="26BD02A4" w14:textId="77777777" w:rsidR="00AE624F" w:rsidRDefault="00AE624F">
      <w:pPr>
        <w:tabs>
          <w:tab w:val="right" w:pos="8931"/>
        </w:tabs>
        <w:spacing w:after="0" w:line="360" w:lineRule="auto"/>
      </w:pPr>
    </w:p>
    <w:p w14:paraId="3C1B2698" w14:textId="77777777" w:rsidR="00AE624F" w:rsidRDefault="00AE624F">
      <w:pPr>
        <w:spacing w:after="0" w:line="360" w:lineRule="auto"/>
      </w:pPr>
    </w:p>
    <w:p w14:paraId="78A466F6" w14:textId="77777777" w:rsidR="00AE624F" w:rsidRDefault="00AE624F">
      <w:pPr>
        <w:spacing w:after="0" w:line="360" w:lineRule="auto"/>
      </w:pPr>
    </w:p>
    <w:p w14:paraId="193850E0" w14:textId="77777777" w:rsidR="004F4010" w:rsidRDefault="004F4010">
      <w:pPr>
        <w:spacing w:after="0" w:line="360" w:lineRule="auto"/>
      </w:pPr>
    </w:p>
    <w:p w14:paraId="6C2100EC" w14:textId="77777777" w:rsidR="004F4010" w:rsidRDefault="004F4010">
      <w:pPr>
        <w:spacing w:after="0" w:line="360" w:lineRule="auto"/>
      </w:pPr>
    </w:p>
    <w:p w14:paraId="695795F0" w14:textId="77777777" w:rsidR="004F4010" w:rsidRDefault="004F4010">
      <w:pPr>
        <w:spacing w:after="0" w:line="360" w:lineRule="auto"/>
      </w:pPr>
    </w:p>
    <w:p w14:paraId="4A1828B7" w14:textId="77777777" w:rsidR="004F4010" w:rsidRDefault="004F4010">
      <w:pPr>
        <w:spacing w:after="0" w:line="360" w:lineRule="auto"/>
      </w:pPr>
    </w:p>
    <w:sectPr w:rsidR="004F4010">
      <w:headerReference w:type="even" r:id="rId9"/>
      <w:headerReference w:type="default" r:id="rId10"/>
      <w:footerReference w:type="even" r:id="rId11"/>
      <w:footerReference w:type="default" r:id="rId12"/>
      <w:headerReference w:type="first" r:id="rId13"/>
      <w:footerReference w:type="first" r:id="rId14"/>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553A31" w14:textId="77777777" w:rsidR="004C525E" w:rsidRDefault="004C525E">
      <w:pPr>
        <w:spacing w:after="0" w:line="240" w:lineRule="auto"/>
      </w:pPr>
      <w:r>
        <w:separator/>
      </w:r>
    </w:p>
  </w:endnote>
  <w:endnote w:type="continuationSeparator" w:id="0">
    <w:p w14:paraId="48B4B0D0" w14:textId="77777777" w:rsidR="004C525E" w:rsidRDefault="004C5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E858B54B-FBB4-44C9-BBDE-FA7EB5E3ADC9}"/>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7E9848BC-8E48-4217-B4D3-F5C872A824C7}"/>
    <w:embedBold r:id="rId3" w:fontKey="{C0CD8F1E-1FEF-4219-BD4C-6060CF4F5923}"/>
    <w:embedItalic r:id="rId4" w:fontKey="{D5F72257-E760-4717-B60E-7F1FA46D207D}"/>
    <w:embedBoldItalic r:id="rId5" w:fontKey="{068D3815-306E-4274-8EE6-C5CF770DC22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2D05040F-9576-4A10-BEEC-8DB74B7BE125}"/>
  </w:font>
  <w:font w:name="Calibri">
    <w:panose1 w:val="020F0502020204030204"/>
    <w:charset w:val="00"/>
    <w:family w:val="swiss"/>
    <w:pitch w:val="variable"/>
    <w:sig w:usb0="E4002EFF" w:usb1="C200247B" w:usb2="00000009" w:usb3="00000000" w:csb0="000001FF" w:csb1="00000000"/>
    <w:embedRegular r:id="rId7" w:fontKey="{D2E9B169-8106-459B-B225-9C915F0281B0}"/>
  </w:font>
  <w:font w:name="Cambria">
    <w:panose1 w:val="02040503050406030204"/>
    <w:charset w:val="00"/>
    <w:family w:val="roman"/>
    <w:pitch w:val="variable"/>
    <w:sig w:usb0="E00006FF" w:usb1="420024FF" w:usb2="02000000" w:usb3="00000000" w:csb0="0000019F" w:csb1="00000000"/>
    <w:embedRegular r:id="rId8" w:fontKey="{59D1BEE2-8BE8-42E2-AAB6-30B49D1E1C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84D45" w14:textId="77777777" w:rsidR="00AE624F" w:rsidRDefault="00AB43E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EB34AD">
      <w:rPr>
        <w:b/>
        <w:bCs/>
        <w:noProof/>
        <w:color w:val="000000"/>
        <w:sz w:val="24"/>
        <w:szCs w:val="24"/>
      </w:rPr>
      <w:t>27</w:t>
    </w:r>
    <w:r>
      <w:rPr>
        <w:b/>
        <w:bCs/>
        <w:color w:val="000000"/>
        <w:sz w:val="24"/>
        <w:szCs w:val="24"/>
      </w:rPr>
      <w:fldChar w:fldCharType="end"/>
    </w:r>
  </w:p>
  <w:p w14:paraId="0D191BD3" w14:textId="77777777" w:rsidR="00AE624F" w:rsidRDefault="00AE624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8F897" w14:textId="77777777" w:rsidR="00AE624F" w:rsidRDefault="00AB43E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D31FFD">
      <w:rPr>
        <w:b/>
        <w:bCs/>
        <w:noProof/>
        <w:color w:val="000000"/>
        <w:sz w:val="24"/>
        <w:szCs w:val="24"/>
      </w:rPr>
      <w:t>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D31FFD">
      <w:rPr>
        <w:b/>
        <w:bCs/>
        <w:noProof/>
        <w:color w:val="000000"/>
        <w:sz w:val="24"/>
        <w:szCs w:val="24"/>
      </w:rPr>
      <w:t>27</w:t>
    </w:r>
    <w:r>
      <w:rPr>
        <w:b/>
        <w:bCs/>
        <w:color w:val="000000"/>
        <w:sz w:val="24"/>
        <w:szCs w:val="24"/>
      </w:rPr>
      <w:fldChar w:fldCharType="end"/>
    </w:r>
  </w:p>
  <w:p w14:paraId="3E956703" w14:textId="77777777" w:rsidR="00AE624F" w:rsidRDefault="00AE624F">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1C934" w14:textId="77777777" w:rsidR="00AE624F" w:rsidRDefault="00AB43E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C525E">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C525E">
      <w:rPr>
        <w:b/>
        <w:bCs/>
        <w:noProof/>
        <w:color w:val="000000"/>
        <w:sz w:val="24"/>
        <w:szCs w:val="24"/>
      </w:rPr>
      <w:t>1</w:t>
    </w:r>
    <w:r>
      <w:rPr>
        <w:b/>
        <w:bCs/>
        <w:color w:val="000000"/>
        <w:sz w:val="24"/>
        <w:szCs w:val="24"/>
      </w:rPr>
      <w:fldChar w:fldCharType="end"/>
    </w:r>
  </w:p>
  <w:p w14:paraId="64909DBD" w14:textId="77777777" w:rsidR="00AE624F" w:rsidRDefault="00AE624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371C3E" w14:textId="77777777" w:rsidR="004C525E" w:rsidRDefault="004C525E">
      <w:pPr>
        <w:spacing w:after="0" w:line="240" w:lineRule="auto"/>
      </w:pPr>
      <w:r>
        <w:separator/>
      </w:r>
    </w:p>
  </w:footnote>
  <w:footnote w:type="continuationSeparator" w:id="0">
    <w:p w14:paraId="3B446170" w14:textId="77777777" w:rsidR="004C525E" w:rsidRDefault="004C52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D7618" w14:textId="77777777" w:rsidR="00AE624F" w:rsidRDefault="00AE624F">
    <w:pPr>
      <w:widowControl w:val="0"/>
      <w:pBdr>
        <w:top w:val="nil"/>
        <w:left w:val="nil"/>
        <w:bottom w:val="nil"/>
        <w:right w:val="nil"/>
        <w:between w:val="nil"/>
      </w:pBdr>
      <w:spacing w:after="0" w:line="276" w:lineRule="auto"/>
      <w:jc w:val="left"/>
      <w:rPr>
        <w:color w:val="000000"/>
      </w:rPr>
    </w:pPr>
  </w:p>
  <w:tbl>
    <w:tblPr>
      <w:tblStyle w:val="a0"/>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AE624F" w14:paraId="68B7B521" w14:textId="77777777">
      <w:trPr>
        <w:trHeight w:val="132"/>
      </w:trPr>
      <w:tc>
        <w:tcPr>
          <w:tcW w:w="2691" w:type="dxa"/>
        </w:tcPr>
        <w:p w14:paraId="3FE8464B" w14:textId="77777777" w:rsidR="00AE624F" w:rsidRDefault="00AB43E7">
          <w:pPr>
            <w:tabs>
              <w:tab w:val="right" w:pos="8838"/>
            </w:tabs>
            <w:ind w:right="-105"/>
            <w:rPr>
              <w:b/>
              <w:bCs/>
            </w:rPr>
          </w:pPr>
          <w:r>
            <w:rPr>
              <w:b/>
              <w:bCs/>
            </w:rPr>
            <w:t>Recurso de Revisión:</w:t>
          </w:r>
        </w:p>
      </w:tc>
      <w:tc>
        <w:tcPr>
          <w:tcW w:w="3405" w:type="dxa"/>
        </w:tcPr>
        <w:p w14:paraId="4CDD8157" w14:textId="77777777" w:rsidR="00AE624F" w:rsidRDefault="00AB43E7">
          <w:pPr>
            <w:tabs>
              <w:tab w:val="right" w:pos="8838"/>
            </w:tabs>
            <w:ind w:left="-28" w:right="-32"/>
          </w:pPr>
          <w:r>
            <w:t>03846/INFOEM/IP/RR/2020</w:t>
          </w:r>
        </w:p>
      </w:tc>
    </w:tr>
    <w:tr w:rsidR="00AE624F" w14:paraId="740FBF35" w14:textId="77777777">
      <w:trPr>
        <w:trHeight w:val="261"/>
      </w:trPr>
      <w:tc>
        <w:tcPr>
          <w:tcW w:w="2691" w:type="dxa"/>
        </w:tcPr>
        <w:p w14:paraId="6AAC9A9D" w14:textId="77777777" w:rsidR="00AE624F" w:rsidRDefault="00AB43E7">
          <w:pPr>
            <w:tabs>
              <w:tab w:val="right" w:pos="8838"/>
            </w:tabs>
            <w:ind w:right="-105"/>
            <w:rPr>
              <w:b/>
              <w:bCs/>
            </w:rPr>
          </w:pPr>
          <w:r>
            <w:rPr>
              <w:b/>
              <w:bCs/>
            </w:rPr>
            <w:t>Sujeto Obligado:</w:t>
          </w:r>
        </w:p>
      </w:tc>
      <w:tc>
        <w:tcPr>
          <w:tcW w:w="3405" w:type="dxa"/>
        </w:tcPr>
        <w:p w14:paraId="7AB45AE3" w14:textId="77777777" w:rsidR="00AE624F" w:rsidRDefault="00AB43E7">
          <w:pPr>
            <w:tabs>
              <w:tab w:val="right" w:pos="8838"/>
            </w:tabs>
            <w:ind w:right="-32"/>
          </w:pPr>
          <w:r>
            <w:t>Ayuntamiento de Temascalcingo</w:t>
          </w:r>
        </w:p>
      </w:tc>
    </w:tr>
    <w:tr w:rsidR="00AE624F" w14:paraId="5A6765D1" w14:textId="77777777">
      <w:trPr>
        <w:trHeight w:val="261"/>
      </w:trPr>
      <w:tc>
        <w:tcPr>
          <w:tcW w:w="2691" w:type="dxa"/>
        </w:tcPr>
        <w:p w14:paraId="1B274121" w14:textId="77777777" w:rsidR="00AE624F" w:rsidRDefault="00AB43E7">
          <w:pPr>
            <w:tabs>
              <w:tab w:val="right" w:pos="8838"/>
            </w:tabs>
            <w:ind w:right="-105"/>
            <w:rPr>
              <w:b/>
              <w:bCs/>
            </w:rPr>
          </w:pPr>
          <w:r>
            <w:rPr>
              <w:b/>
              <w:bCs/>
            </w:rPr>
            <w:t>Comisionado Ponente:</w:t>
          </w:r>
        </w:p>
      </w:tc>
      <w:tc>
        <w:tcPr>
          <w:tcW w:w="3405" w:type="dxa"/>
        </w:tcPr>
        <w:p w14:paraId="4BFA3F9E" w14:textId="77777777" w:rsidR="00AE624F" w:rsidRDefault="00AB43E7">
          <w:pPr>
            <w:tabs>
              <w:tab w:val="right" w:pos="8838"/>
            </w:tabs>
            <w:ind w:right="-32"/>
            <w:rPr>
              <w:b/>
              <w:bCs/>
            </w:rPr>
          </w:pPr>
          <w:r>
            <w:t>Luis Gustavo Parra Noriega</w:t>
          </w:r>
        </w:p>
      </w:tc>
    </w:tr>
  </w:tbl>
  <w:p w14:paraId="4BB9DF76" w14:textId="77777777" w:rsidR="00AE624F" w:rsidRDefault="004C525E">
    <w:pPr>
      <w:pBdr>
        <w:top w:val="nil"/>
        <w:left w:val="nil"/>
        <w:bottom w:val="nil"/>
        <w:right w:val="nil"/>
        <w:between w:val="nil"/>
      </w:pBdr>
      <w:tabs>
        <w:tab w:val="center" w:pos="4419"/>
        <w:tab w:val="right" w:pos="8838"/>
      </w:tabs>
      <w:spacing w:after="0" w:line="240" w:lineRule="auto"/>
      <w:rPr>
        <w:color w:val="000000"/>
      </w:rPr>
    </w:pPr>
    <w:r>
      <w:rPr>
        <w:color w:val="000000"/>
      </w:rPr>
      <w:pict w14:anchorId="6B0983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27AD5" w14:textId="77777777" w:rsidR="00AE624F" w:rsidRDefault="004C525E">
    <w:pPr>
      <w:widowControl w:val="0"/>
      <w:pBdr>
        <w:top w:val="nil"/>
        <w:left w:val="nil"/>
        <w:bottom w:val="nil"/>
        <w:right w:val="nil"/>
        <w:between w:val="nil"/>
      </w:pBdr>
      <w:spacing w:after="0" w:line="276" w:lineRule="auto"/>
      <w:jc w:val="left"/>
    </w:pPr>
    <w:r>
      <w:rPr>
        <w:color w:val="000000"/>
      </w:rPr>
      <w:pict w14:anchorId="67128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1"/>
      <w:tblW w:w="6804" w:type="dxa"/>
      <w:tblInd w:w="2410" w:type="dxa"/>
      <w:tblBorders>
        <w:top w:val="nil"/>
        <w:left w:val="nil"/>
        <w:bottom w:val="nil"/>
        <w:right w:val="nil"/>
        <w:insideH w:val="nil"/>
        <w:insideV w:val="nil"/>
      </w:tblBorders>
      <w:tblLayout w:type="fixed"/>
      <w:tblLook w:val="0400" w:firstRow="0" w:lastRow="0" w:firstColumn="0" w:lastColumn="0" w:noHBand="0" w:noVBand="1"/>
    </w:tblPr>
    <w:tblGrid>
      <w:gridCol w:w="2268"/>
      <w:gridCol w:w="4536"/>
    </w:tblGrid>
    <w:tr w:rsidR="00AE624F" w14:paraId="3F8416CA" w14:textId="77777777">
      <w:trPr>
        <w:trHeight w:val="138"/>
      </w:trPr>
      <w:tc>
        <w:tcPr>
          <w:tcW w:w="2268" w:type="dxa"/>
          <w:vAlign w:val="center"/>
        </w:tcPr>
        <w:p w14:paraId="218EF2BB" w14:textId="77777777" w:rsidR="00AE624F" w:rsidRDefault="00AE624F">
          <w:pPr>
            <w:tabs>
              <w:tab w:val="right" w:pos="8838"/>
            </w:tabs>
            <w:ind w:left="-108" w:right="-105"/>
            <w:jc w:val="left"/>
            <w:rPr>
              <w:b/>
              <w:bCs/>
            </w:rPr>
          </w:pPr>
        </w:p>
        <w:p w14:paraId="0402B000" w14:textId="77777777" w:rsidR="00AE624F" w:rsidRDefault="00AB43E7">
          <w:pPr>
            <w:tabs>
              <w:tab w:val="right" w:pos="8838"/>
            </w:tabs>
            <w:ind w:left="-108" w:right="-105"/>
            <w:jc w:val="left"/>
            <w:rPr>
              <w:b/>
              <w:bCs/>
            </w:rPr>
          </w:pPr>
          <w:r>
            <w:rPr>
              <w:b/>
              <w:bCs/>
            </w:rPr>
            <w:t>Recurso de Revisión:</w:t>
          </w:r>
        </w:p>
      </w:tc>
      <w:tc>
        <w:tcPr>
          <w:tcW w:w="4536" w:type="dxa"/>
        </w:tcPr>
        <w:p w14:paraId="7626AF16" w14:textId="77777777" w:rsidR="00AE624F" w:rsidRDefault="00AE624F">
          <w:pPr>
            <w:tabs>
              <w:tab w:val="right" w:pos="8838"/>
            </w:tabs>
            <w:ind w:right="57"/>
          </w:pPr>
        </w:p>
        <w:p w14:paraId="4517DCF2" w14:textId="77777777" w:rsidR="00AE624F" w:rsidRDefault="00AB43E7">
          <w:pPr>
            <w:tabs>
              <w:tab w:val="right" w:pos="8838"/>
            </w:tabs>
            <w:ind w:right="57"/>
          </w:pPr>
          <w:r>
            <w:t>02971/INFOEM/IP/RR/2026 y acumulados</w:t>
          </w:r>
        </w:p>
      </w:tc>
    </w:tr>
    <w:tr w:rsidR="00AE624F" w14:paraId="0F51B7A8" w14:textId="77777777">
      <w:trPr>
        <w:trHeight w:val="273"/>
      </w:trPr>
      <w:tc>
        <w:tcPr>
          <w:tcW w:w="2268" w:type="dxa"/>
        </w:tcPr>
        <w:p w14:paraId="496B2C48" w14:textId="77777777" w:rsidR="00AE624F" w:rsidRDefault="00AB43E7">
          <w:pPr>
            <w:tabs>
              <w:tab w:val="right" w:pos="8838"/>
            </w:tabs>
            <w:ind w:left="-108" w:right="-105"/>
            <w:rPr>
              <w:b/>
              <w:bCs/>
            </w:rPr>
          </w:pPr>
          <w:r>
            <w:rPr>
              <w:b/>
              <w:bCs/>
            </w:rPr>
            <w:t>Sujeto Obligado:</w:t>
          </w:r>
        </w:p>
      </w:tc>
      <w:tc>
        <w:tcPr>
          <w:tcW w:w="4536" w:type="dxa"/>
        </w:tcPr>
        <w:p w14:paraId="2F8EAB63" w14:textId="77777777" w:rsidR="00AE624F" w:rsidRDefault="00AB43E7">
          <w:pPr>
            <w:tabs>
              <w:tab w:val="right" w:pos="8838"/>
            </w:tabs>
            <w:ind w:right="180"/>
          </w:pPr>
          <w:r>
            <w:t>Ayuntamiento de Nextlalpan</w:t>
          </w:r>
        </w:p>
      </w:tc>
    </w:tr>
    <w:tr w:rsidR="00AE624F" w14:paraId="1CEF11EF" w14:textId="77777777">
      <w:trPr>
        <w:trHeight w:val="273"/>
      </w:trPr>
      <w:tc>
        <w:tcPr>
          <w:tcW w:w="2268" w:type="dxa"/>
        </w:tcPr>
        <w:p w14:paraId="4CFF4E78" w14:textId="77777777" w:rsidR="00AE624F" w:rsidRDefault="00AB43E7">
          <w:pPr>
            <w:tabs>
              <w:tab w:val="right" w:pos="8838"/>
            </w:tabs>
            <w:ind w:left="-108" w:right="-105"/>
            <w:rPr>
              <w:b/>
              <w:bCs/>
            </w:rPr>
          </w:pPr>
          <w:r>
            <w:rPr>
              <w:b/>
              <w:bCs/>
            </w:rPr>
            <w:t>Comisionado Ponente:</w:t>
          </w:r>
        </w:p>
      </w:tc>
      <w:tc>
        <w:tcPr>
          <w:tcW w:w="4536" w:type="dxa"/>
        </w:tcPr>
        <w:p w14:paraId="79723266" w14:textId="77777777" w:rsidR="00AE624F" w:rsidRDefault="00AB43E7">
          <w:pPr>
            <w:tabs>
              <w:tab w:val="right" w:pos="8838"/>
            </w:tabs>
            <w:ind w:right="-170"/>
          </w:pPr>
          <w:r>
            <w:t>Luis Gustavo Parra Noriega</w:t>
          </w:r>
        </w:p>
        <w:p w14:paraId="2D0466F8" w14:textId="77777777" w:rsidR="00AE624F" w:rsidRDefault="00AE624F">
          <w:pPr>
            <w:tabs>
              <w:tab w:val="right" w:pos="8838"/>
            </w:tabs>
            <w:ind w:right="-170"/>
            <w:rPr>
              <w:b/>
              <w:bCs/>
            </w:rPr>
          </w:pPr>
        </w:p>
      </w:tc>
    </w:tr>
  </w:tbl>
  <w:p w14:paraId="1A8FCF80" w14:textId="77777777" w:rsidR="00AE624F" w:rsidRDefault="00AE624F">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51561" w14:textId="77777777" w:rsidR="00AE624F" w:rsidRDefault="00AE624F">
    <w:pPr>
      <w:widowControl w:val="0"/>
      <w:pBdr>
        <w:top w:val="nil"/>
        <w:left w:val="nil"/>
        <w:bottom w:val="nil"/>
        <w:right w:val="nil"/>
        <w:between w:val="nil"/>
      </w:pBdr>
      <w:spacing w:after="0" w:line="276" w:lineRule="auto"/>
      <w:jc w:val="left"/>
      <w:rPr>
        <w:color w:val="000000"/>
      </w:rPr>
    </w:pPr>
  </w:p>
  <w:tbl>
    <w:tblPr>
      <w:tblStyle w:val="a2"/>
      <w:tblW w:w="7229" w:type="dxa"/>
      <w:tblInd w:w="2127" w:type="dxa"/>
      <w:tblBorders>
        <w:top w:val="nil"/>
        <w:left w:val="nil"/>
        <w:bottom w:val="nil"/>
        <w:right w:val="nil"/>
        <w:insideH w:val="nil"/>
        <w:insideV w:val="nil"/>
      </w:tblBorders>
      <w:tblLayout w:type="fixed"/>
      <w:tblLook w:val="0400" w:firstRow="0" w:lastRow="0" w:firstColumn="0" w:lastColumn="0" w:noHBand="0" w:noVBand="1"/>
    </w:tblPr>
    <w:tblGrid>
      <w:gridCol w:w="2551"/>
      <w:gridCol w:w="4678"/>
    </w:tblGrid>
    <w:tr w:rsidR="00AE624F" w14:paraId="202D4B97" w14:textId="77777777">
      <w:trPr>
        <w:trHeight w:val="132"/>
      </w:trPr>
      <w:tc>
        <w:tcPr>
          <w:tcW w:w="2551" w:type="dxa"/>
        </w:tcPr>
        <w:p w14:paraId="2B11FB2A" w14:textId="77777777" w:rsidR="00AE624F" w:rsidRDefault="00AB43E7">
          <w:pPr>
            <w:tabs>
              <w:tab w:val="right" w:pos="8838"/>
            </w:tabs>
            <w:ind w:right="-105"/>
            <w:rPr>
              <w:b/>
              <w:bCs/>
            </w:rPr>
          </w:pPr>
          <w:r>
            <w:rPr>
              <w:b/>
              <w:bCs/>
            </w:rPr>
            <w:t>Recurso de Revisión:</w:t>
          </w:r>
        </w:p>
      </w:tc>
      <w:tc>
        <w:tcPr>
          <w:tcW w:w="4678" w:type="dxa"/>
        </w:tcPr>
        <w:p w14:paraId="6BDD3453" w14:textId="77777777" w:rsidR="00AE624F" w:rsidRDefault="00AB43E7">
          <w:r>
            <w:t>02971/INFOEM/IP/RR/2026 y acumulados</w:t>
          </w:r>
        </w:p>
      </w:tc>
    </w:tr>
    <w:tr w:rsidR="00AE624F" w14:paraId="06A42570" w14:textId="77777777">
      <w:trPr>
        <w:trHeight w:val="132"/>
      </w:trPr>
      <w:tc>
        <w:tcPr>
          <w:tcW w:w="2551" w:type="dxa"/>
        </w:tcPr>
        <w:p w14:paraId="04B9A804" w14:textId="77777777" w:rsidR="00AE624F" w:rsidRDefault="00AB43E7">
          <w:pPr>
            <w:tabs>
              <w:tab w:val="left" w:pos="1875"/>
            </w:tabs>
            <w:ind w:right="-105"/>
            <w:rPr>
              <w:b/>
              <w:bCs/>
            </w:rPr>
          </w:pPr>
          <w:r>
            <w:rPr>
              <w:b/>
              <w:bCs/>
            </w:rPr>
            <w:t>Recurrente:</w:t>
          </w:r>
          <w:r>
            <w:rPr>
              <w:b/>
              <w:bCs/>
            </w:rPr>
            <w:tab/>
          </w:r>
        </w:p>
      </w:tc>
      <w:tc>
        <w:tcPr>
          <w:tcW w:w="4678" w:type="dxa"/>
        </w:tcPr>
        <w:p w14:paraId="616F51DB" w14:textId="0BDBBE2D" w:rsidR="00AE624F" w:rsidRDefault="00AB43E7" w:rsidP="00D31FFD">
          <w:pPr>
            <w:tabs>
              <w:tab w:val="right" w:pos="8838"/>
            </w:tabs>
            <w:ind w:right="-250"/>
          </w:pPr>
          <w:r>
            <w:t xml:space="preserve"> </w:t>
          </w:r>
          <w:r w:rsidR="00D31FFD" w:rsidRPr="00D31FFD">
            <w:rPr>
              <w:highlight w:val="black"/>
            </w:rPr>
            <w:t>XXXXXXXXXXXXXXXXXXXXXXXXXXXXX</w:t>
          </w:r>
        </w:p>
      </w:tc>
    </w:tr>
    <w:tr w:rsidR="00AE624F" w14:paraId="4C61E8E0" w14:textId="77777777">
      <w:trPr>
        <w:trHeight w:val="261"/>
      </w:trPr>
      <w:tc>
        <w:tcPr>
          <w:tcW w:w="2551" w:type="dxa"/>
        </w:tcPr>
        <w:p w14:paraId="623CFC39" w14:textId="77777777" w:rsidR="00AE624F" w:rsidRDefault="00AB43E7">
          <w:pPr>
            <w:tabs>
              <w:tab w:val="right" w:pos="8838"/>
            </w:tabs>
            <w:ind w:right="-105"/>
            <w:rPr>
              <w:b/>
              <w:bCs/>
            </w:rPr>
          </w:pPr>
          <w:r>
            <w:rPr>
              <w:b/>
              <w:bCs/>
            </w:rPr>
            <w:t>Sujeto Obligado:</w:t>
          </w:r>
        </w:p>
      </w:tc>
      <w:tc>
        <w:tcPr>
          <w:tcW w:w="4678" w:type="dxa"/>
        </w:tcPr>
        <w:p w14:paraId="58A4FBEF" w14:textId="77777777" w:rsidR="00AE624F" w:rsidRDefault="00AB43E7">
          <w:r>
            <w:t>Ayuntamiento de Nextlalpan</w:t>
          </w:r>
        </w:p>
      </w:tc>
    </w:tr>
    <w:tr w:rsidR="00AE624F" w14:paraId="42C4E515" w14:textId="77777777">
      <w:trPr>
        <w:trHeight w:val="261"/>
      </w:trPr>
      <w:tc>
        <w:tcPr>
          <w:tcW w:w="2551" w:type="dxa"/>
        </w:tcPr>
        <w:p w14:paraId="632FA62D" w14:textId="77777777" w:rsidR="00AE624F" w:rsidRDefault="00AB43E7">
          <w:pPr>
            <w:tabs>
              <w:tab w:val="right" w:pos="8838"/>
            </w:tabs>
            <w:ind w:right="-105"/>
            <w:rPr>
              <w:b/>
              <w:bCs/>
            </w:rPr>
          </w:pPr>
          <w:r>
            <w:rPr>
              <w:b/>
              <w:bCs/>
            </w:rPr>
            <w:t>Comisionado Ponente:</w:t>
          </w:r>
        </w:p>
      </w:tc>
      <w:tc>
        <w:tcPr>
          <w:tcW w:w="4678" w:type="dxa"/>
        </w:tcPr>
        <w:p w14:paraId="3606ED28" w14:textId="77777777" w:rsidR="00AE624F" w:rsidRDefault="00AB43E7">
          <w:pPr>
            <w:tabs>
              <w:tab w:val="right" w:pos="8838"/>
            </w:tabs>
            <w:ind w:right="-32"/>
            <w:rPr>
              <w:b/>
              <w:bCs/>
            </w:rPr>
          </w:pPr>
          <w:r>
            <w:t>Luis Gustavo Parra Noriega</w:t>
          </w:r>
        </w:p>
      </w:tc>
    </w:tr>
  </w:tbl>
  <w:p w14:paraId="16953065" w14:textId="77777777" w:rsidR="00AE624F" w:rsidRDefault="004C525E">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4C1E9A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501593"/>
    <w:multiLevelType w:val="multilevel"/>
    <w:tmpl w:val="A5D0B8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24F"/>
    <w:rsid w:val="004C525E"/>
    <w:rsid w:val="004F4010"/>
    <w:rsid w:val="00963FB7"/>
    <w:rsid w:val="00A34482"/>
    <w:rsid w:val="00AB43E7"/>
    <w:rsid w:val="00AE624F"/>
    <w:rsid w:val="00B413AB"/>
    <w:rsid w:val="00D31FFD"/>
    <w:rsid w:val="00EB34AD"/>
    <w:rsid w:val="00F356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2924F1"/>
  <w15:docId w15:val="{3F76BA61-0198-45B0-ADDE-AFB7900BA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rsid w:val="00B413AB"/>
    <w:rPr>
      <w:color w:val="0000FF" w:themeColor="hyperlink"/>
      <w:u w:val="single"/>
    </w:rPr>
  </w:style>
  <w:style w:type="paragraph" w:styleId="TtulodeTDC">
    <w:name w:val="TOC Heading"/>
    <w:basedOn w:val="Ttulo1"/>
    <w:next w:val="Normal"/>
    <w:uiPriority w:val="39"/>
    <w:unhideWhenUsed/>
    <w:qFormat/>
    <w:rsid w:val="00B413AB"/>
    <w:pPr>
      <w:spacing w:before="0" w:after="0" w:line="259" w:lineRule="auto"/>
      <w:jc w:val="center"/>
      <w:outlineLvl w:val="9"/>
    </w:pPr>
    <w:rPr>
      <w:rFonts w:eastAsiaTheme="majorEastAsia" w:cstheme="majorBidi"/>
      <w:bCs w:val="0"/>
      <w:color w:val="000000" w:themeColor="text1"/>
      <w:sz w:val="22"/>
      <w:szCs w:val="32"/>
    </w:rPr>
  </w:style>
  <w:style w:type="paragraph" w:styleId="TDC1">
    <w:name w:val="toc 1"/>
    <w:basedOn w:val="Normal"/>
    <w:next w:val="Normal"/>
    <w:autoRedefine/>
    <w:uiPriority w:val="39"/>
    <w:unhideWhenUsed/>
    <w:rsid w:val="00B413AB"/>
    <w:pPr>
      <w:tabs>
        <w:tab w:val="right" w:leader="dot" w:pos="9034"/>
      </w:tabs>
      <w:spacing w:after="100" w:line="360" w:lineRule="auto"/>
    </w:pPr>
    <w:rPr>
      <w:rFonts w:ascii="Times New Roman" w:eastAsia="Times New Roman" w:hAnsi="Times New Roman" w:cs="Times New Roman"/>
      <w:sz w:val="20"/>
      <w:szCs w:val="20"/>
      <w:lang w:eastAsia="es-ES"/>
    </w:rPr>
  </w:style>
  <w:style w:type="paragraph" w:styleId="TDC2">
    <w:name w:val="toc 2"/>
    <w:basedOn w:val="Normal"/>
    <w:next w:val="Normal"/>
    <w:autoRedefine/>
    <w:uiPriority w:val="39"/>
    <w:unhideWhenUsed/>
    <w:rsid w:val="00B413AB"/>
    <w:pPr>
      <w:spacing w:after="100" w:line="240" w:lineRule="auto"/>
      <w:ind w:left="200"/>
      <w:jc w:val="left"/>
    </w:pPr>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v6TWTBFU+jLcBav3dR6lXLrO5A==">CgMxLjAyDmgubnlrOGJxajJkMzZ5Mg5oLmZ6cGd1Nzh4YTAwdzIOaC5yZjA4cXoybzl6cTAyDmgud2dsbmdzZXpsNzAwMg5oLnVqc29iaHd5NDB4NDIOaC5kN3k3eWJrYjkzZnEyDmguZ2p6eXBwN2RsNTloMgloLjMwajB6bGwyDmguMWcwZ2w5dnRsMjN0Mg5oLjRnbHlhOWNkMHRqczIOaC5kMDJ5dnNsdTd2d2kyDmgudmR5emtoNmd2Y2xqMg5oLmR0Z2pkeG5hbG14ZjIOaC5jM3R3Ymx0YjJ1M3o4AHIhMW83cmxfa1BESF9Gc3Z0dDBOQXUxQ1VrUDdaeGtHQ2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6802</Words>
  <Characters>37417</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 Gs</dc:creator>
  <cp:lastModifiedBy>ROX</cp:lastModifiedBy>
  <cp:revision>4</cp:revision>
  <cp:lastPrinted>2026-04-10T16:47:00Z</cp:lastPrinted>
  <dcterms:created xsi:type="dcterms:W3CDTF">2026-04-10T16:47:00Z</dcterms:created>
  <dcterms:modified xsi:type="dcterms:W3CDTF">2026-04-27T15:53:00Z</dcterms:modified>
</cp:coreProperties>
</file>