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E6AF6" w14:textId="77777777" w:rsidR="00475197" w:rsidRPr="003D7AFF" w:rsidRDefault="00DE3EBB">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3D7AF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3D7AFF">
        <w:rPr>
          <w:rFonts w:ascii="Palatino Linotype" w:eastAsia="Palatino Linotype" w:hAnsi="Palatino Linotype" w:cs="Palatino Linotype"/>
          <w:b/>
          <w:bCs/>
          <w:sz w:val="22"/>
          <w:szCs w:val="22"/>
        </w:rPr>
        <w:t>a once de febrero de dos mil veintiséis</w:t>
      </w:r>
      <w:r w:rsidRPr="003D7AFF">
        <w:rPr>
          <w:rFonts w:ascii="Palatino Linotype" w:eastAsia="Palatino Linotype" w:hAnsi="Palatino Linotype" w:cs="Palatino Linotype"/>
          <w:sz w:val="22"/>
          <w:szCs w:val="22"/>
        </w:rPr>
        <w:t xml:space="preserve">. </w:t>
      </w:r>
    </w:p>
    <w:p w14:paraId="15CA2EB8" w14:textId="77777777" w:rsidR="00475197" w:rsidRPr="003D7AFF" w:rsidRDefault="00DE3EBB">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3D7AFF">
        <w:rPr>
          <w:rFonts w:ascii="Palatino Linotype" w:eastAsia="Palatino Linotype" w:hAnsi="Palatino Linotype" w:cs="Palatino Linotype"/>
          <w:b/>
          <w:bCs/>
          <w:sz w:val="22"/>
          <w:szCs w:val="22"/>
        </w:rPr>
        <w:t>Visto</w:t>
      </w:r>
      <w:r w:rsidRPr="003D7AFF">
        <w:rPr>
          <w:rFonts w:ascii="Palatino Linotype" w:eastAsia="Palatino Linotype" w:hAnsi="Palatino Linotype" w:cs="Palatino Linotype"/>
          <w:sz w:val="22"/>
          <w:szCs w:val="22"/>
        </w:rPr>
        <w:t xml:space="preserve"> el expediente formado con motivo del recurso de revisión </w:t>
      </w:r>
      <w:r w:rsidRPr="003D7AFF">
        <w:rPr>
          <w:rFonts w:ascii="Palatino Linotype" w:eastAsia="Palatino Linotype" w:hAnsi="Palatino Linotype" w:cs="Palatino Linotype"/>
          <w:b/>
          <w:bCs/>
          <w:sz w:val="22"/>
          <w:szCs w:val="22"/>
        </w:rPr>
        <w:t>10759/INFOEM/IP/RR/2025</w:t>
      </w:r>
      <w:r w:rsidRPr="003D7AFF">
        <w:rPr>
          <w:rFonts w:ascii="Palatino Linotype" w:eastAsia="Palatino Linotype" w:hAnsi="Palatino Linotype" w:cs="Palatino Linotype"/>
          <w:sz w:val="22"/>
          <w:szCs w:val="22"/>
        </w:rPr>
        <w:t>, interpuesto por</w:t>
      </w:r>
      <w:r w:rsidRPr="003D7AFF">
        <w:t xml:space="preserve"> </w:t>
      </w:r>
      <w:r w:rsidRPr="003D7AFF">
        <w:rPr>
          <w:rFonts w:ascii="Palatino Linotype" w:eastAsia="Palatino Linotype" w:hAnsi="Palatino Linotype" w:cs="Palatino Linotype"/>
          <w:b/>
          <w:bCs/>
          <w:sz w:val="22"/>
          <w:szCs w:val="22"/>
        </w:rPr>
        <w:t>una persona usuaria del Sistema de Acceso a la Información Mexiquense que no proporcionó nombre,</w:t>
      </w:r>
      <w:r w:rsidRPr="003D7AFF">
        <w:rPr>
          <w:rFonts w:ascii="Palatino Linotype" w:eastAsia="Palatino Linotype" w:hAnsi="Palatino Linotype" w:cs="Palatino Linotype"/>
          <w:sz w:val="22"/>
          <w:szCs w:val="22"/>
        </w:rPr>
        <w:t xml:space="preserve"> en lo sucesivo</w:t>
      </w:r>
      <w:r w:rsidRPr="003D7AFF">
        <w:rPr>
          <w:rFonts w:ascii="Palatino Linotype" w:eastAsia="Palatino Linotype" w:hAnsi="Palatino Linotype" w:cs="Palatino Linotype"/>
          <w:b/>
          <w:bCs/>
          <w:sz w:val="22"/>
          <w:szCs w:val="22"/>
        </w:rPr>
        <w:t xml:space="preserve"> 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en contra de la respuesta a su solicitud por parte del </w:t>
      </w:r>
      <w:r w:rsidRPr="003D7AFF">
        <w:rPr>
          <w:rFonts w:ascii="Palatino Linotype" w:eastAsia="Palatino Linotype" w:hAnsi="Palatino Linotype" w:cs="Palatino Linotype"/>
          <w:b/>
          <w:bCs/>
          <w:sz w:val="22"/>
          <w:szCs w:val="22"/>
        </w:rPr>
        <w:t xml:space="preserve">Ayuntamiento de </w:t>
      </w:r>
      <w:proofErr w:type="spellStart"/>
      <w:r w:rsidRPr="003D7AFF">
        <w:rPr>
          <w:rFonts w:ascii="Palatino Linotype" w:eastAsia="Palatino Linotype" w:hAnsi="Palatino Linotype" w:cs="Palatino Linotype"/>
          <w:b/>
          <w:bCs/>
          <w:sz w:val="22"/>
          <w:szCs w:val="22"/>
        </w:rPr>
        <w:t>Temoaya</w:t>
      </w:r>
      <w:proofErr w:type="spellEnd"/>
      <w:r w:rsidRPr="003D7AFF">
        <w:rPr>
          <w:rFonts w:ascii="Palatino Linotype" w:eastAsia="Palatino Linotype" w:hAnsi="Palatino Linotype" w:cs="Palatino Linotype"/>
          <w:b/>
          <w:bCs/>
          <w:sz w:val="22"/>
          <w:szCs w:val="22"/>
        </w:rPr>
        <w:t xml:space="preserve">, </w:t>
      </w:r>
      <w:r w:rsidRPr="003D7AFF">
        <w:rPr>
          <w:rFonts w:ascii="Palatino Linotype" w:eastAsia="Palatino Linotype" w:hAnsi="Palatino Linotype" w:cs="Palatino Linotype"/>
          <w:sz w:val="22"/>
          <w:szCs w:val="22"/>
        </w:rPr>
        <w:t xml:space="preserve">en lo sucesivo el </w:t>
      </w:r>
      <w:r w:rsidRPr="003D7AFF">
        <w:rPr>
          <w:rFonts w:ascii="Palatino Linotype" w:eastAsia="Palatino Linotype" w:hAnsi="Palatino Linotype" w:cs="Palatino Linotype"/>
          <w:b/>
          <w:bCs/>
          <w:sz w:val="22"/>
          <w:szCs w:val="22"/>
        </w:rPr>
        <w:t xml:space="preserve">Sujeto Obligado, </w:t>
      </w:r>
      <w:r w:rsidRPr="003D7AFF">
        <w:rPr>
          <w:rFonts w:ascii="Palatino Linotype" w:eastAsia="Palatino Linotype" w:hAnsi="Palatino Linotype" w:cs="Palatino Linotype"/>
          <w:sz w:val="22"/>
          <w:szCs w:val="22"/>
        </w:rPr>
        <w:t xml:space="preserve">se procede a dictar la presente resolución con base en los siguientes: </w:t>
      </w:r>
    </w:p>
    <w:p w14:paraId="086F0A09" w14:textId="77777777" w:rsidR="00475197" w:rsidRPr="003D7AFF" w:rsidRDefault="00DE3EBB">
      <w:pPr>
        <w:spacing w:before="240" w:after="240" w:line="360" w:lineRule="auto"/>
        <w:jc w:val="center"/>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t>I. A N T E C E D E N T E S</w:t>
      </w:r>
    </w:p>
    <w:p w14:paraId="26E0AFCC" w14:textId="77777777" w:rsidR="00475197" w:rsidRPr="003D7AFF" w:rsidRDefault="00DE3EBB">
      <w:pPr>
        <w:spacing w:before="240" w:after="240"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1. Solicitud de acceso a la información.</w:t>
      </w:r>
      <w:r w:rsidRPr="003D7AFF">
        <w:rPr>
          <w:rFonts w:ascii="Palatino Linotype" w:eastAsia="Palatino Linotype" w:hAnsi="Palatino Linotype" w:cs="Palatino Linotype"/>
          <w:sz w:val="22"/>
          <w:szCs w:val="22"/>
        </w:rPr>
        <w:t xml:space="preserve"> El </w:t>
      </w:r>
      <w:r w:rsidRPr="003D7AFF">
        <w:rPr>
          <w:rFonts w:ascii="Palatino Linotype" w:eastAsia="Palatino Linotype" w:hAnsi="Palatino Linotype" w:cs="Palatino Linotype"/>
          <w:b/>
          <w:bCs/>
          <w:sz w:val="22"/>
          <w:szCs w:val="22"/>
        </w:rPr>
        <w:t>diecinueve de agosto de dos mil veinticinco,</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 xml:space="preserve">Recurrente </w:t>
      </w:r>
      <w:r w:rsidRPr="003D7AFF">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la solicitud de acceso a la información pública a la que se le asignó el número</w:t>
      </w:r>
      <w:r w:rsidRPr="003D7AFF">
        <w:t xml:space="preserve"> </w:t>
      </w:r>
      <w:r w:rsidRPr="003D7AFF">
        <w:rPr>
          <w:rFonts w:ascii="Palatino Linotype" w:eastAsia="Palatino Linotype" w:hAnsi="Palatino Linotype" w:cs="Palatino Linotype"/>
          <w:b/>
          <w:bCs/>
          <w:sz w:val="22"/>
          <w:szCs w:val="22"/>
        </w:rPr>
        <w:t>00170/TEMOAYA/IP/2025;</w:t>
      </w:r>
      <w:r w:rsidRPr="003D7AFF">
        <w:rPr>
          <w:rFonts w:ascii="Palatino Linotype" w:eastAsia="Palatino Linotype" w:hAnsi="Palatino Linotype" w:cs="Palatino Linotype"/>
          <w:sz w:val="22"/>
          <w:szCs w:val="22"/>
        </w:rPr>
        <w:t xml:space="preserve"> mediante la cual requirió la información siguiente: </w:t>
      </w:r>
    </w:p>
    <w:p w14:paraId="14C4E540" w14:textId="77777777" w:rsidR="00475197" w:rsidRPr="003D7AFF" w:rsidRDefault="00DE3EBB">
      <w:pPr>
        <w:spacing w:before="240" w:after="240"/>
        <w:ind w:left="567" w:right="474"/>
        <w:jc w:val="both"/>
        <w:rPr>
          <w:rFonts w:ascii="Palatino Linotype" w:eastAsia="Palatino Linotype" w:hAnsi="Palatino Linotype" w:cs="Palatino Linotype"/>
          <w:i/>
          <w:iCs/>
          <w:sz w:val="22"/>
          <w:szCs w:val="22"/>
        </w:rPr>
      </w:pPr>
      <w:bookmarkStart w:id="3" w:name="_heading=h.gjdgxs" w:colFirst="0" w:colLast="0"/>
      <w:bookmarkEnd w:id="3"/>
      <w:r w:rsidRPr="003D7AFF">
        <w:rPr>
          <w:rFonts w:ascii="Palatino Linotype" w:eastAsia="Palatino Linotype" w:hAnsi="Palatino Linotype" w:cs="Palatino Linotype"/>
          <w:i/>
          <w:iCs/>
          <w:sz w:val="22"/>
          <w:szCs w:val="22"/>
        </w:rPr>
        <w:t xml:space="preserve">“Solicito en versión pública y a través de la plataforma en la que hago la solicitud, </w:t>
      </w:r>
      <w:r w:rsidRPr="003D7AFF">
        <w:rPr>
          <w:rFonts w:ascii="Palatino Linotype" w:eastAsia="Palatino Linotype" w:hAnsi="Palatino Linotype" w:cs="Palatino Linotype"/>
          <w:b/>
          <w:bCs/>
          <w:i/>
          <w:iCs/>
          <w:sz w:val="22"/>
          <w:szCs w:val="22"/>
        </w:rPr>
        <w:t>los nombramientos de encargados de cada una de las áreas que integran la Administración Pública municipal del Ayuntamiento</w:t>
      </w:r>
      <w:r w:rsidRPr="003D7AFF">
        <w:rPr>
          <w:rFonts w:ascii="Palatino Linotype" w:eastAsia="Palatino Linotype" w:hAnsi="Palatino Linotype" w:cs="Palatino Linotype"/>
          <w:i/>
          <w:iCs/>
          <w:sz w:val="22"/>
          <w:szCs w:val="22"/>
        </w:rPr>
        <w:t xml:space="preserve">, de acuerdo a los tiempos establecidos para dejar como encargados </w:t>
      </w:r>
      <w:r w:rsidRPr="003D7AFF">
        <w:rPr>
          <w:rFonts w:ascii="Palatino Linotype" w:eastAsia="Palatino Linotype" w:hAnsi="Palatino Linotype" w:cs="Palatino Linotype"/>
          <w:b/>
          <w:bCs/>
          <w:i/>
          <w:iCs/>
          <w:sz w:val="22"/>
          <w:szCs w:val="22"/>
        </w:rPr>
        <w:t>y las veces en las que se les haya renovado el nombramiento de encargados. después de que se venció el plazo de conformidad con lo que dice la Ley Orgánica municipal del Estado de México,</w:t>
      </w:r>
      <w:r w:rsidRPr="003D7AFF">
        <w:rPr>
          <w:rFonts w:ascii="Palatino Linotype" w:eastAsia="Palatino Linotype" w:hAnsi="Palatino Linotype" w:cs="Palatino Linotype"/>
          <w:i/>
          <w:iCs/>
          <w:sz w:val="22"/>
          <w:szCs w:val="22"/>
        </w:rPr>
        <w:t xml:space="preserve"> </w:t>
      </w:r>
      <w:r w:rsidRPr="003D7AFF">
        <w:rPr>
          <w:rFonts w:ascii="Palatino Linotype" w:eastAsia="Palatino Linotype" w:hAnsi="Palatino Linotype" w:cs="Palatino Linotype"/>
          <w:b/>
          <w:bCs/>
          <w:i/>
          <w:iCs/>
          <w:sz w:val="22"/>
          <w:szCs w:val="22"/>
        </w:rPr>
        <w:t>o en su defecto ya los nombramientos como titulares de las áreas ya sea subdirecciones, coordinaciones, jefaturas de departamento o titulares</w:t>
      </w:r>
      <w:r w:rsidRPr="003D7AFF">
        <w:rPr>
          <w:rFonts w:ascii="Palatino Linotype" w:eastAsia="Palatino Linotype" w:hAnsi="Palatino Linotype" w:cs="Palatino Linotype"/>
          <w:i/>
          <w:iCs/>
          <w:sz w:val="22"/>
          <w:szCs w:val="22"/>
        </w:rPr>
        <w:t xml:space="preserve">.” (Sic) </w:t>
      </w:r>
    </w:p>
    <w:p w14:paraId="609B8E4E" w14:textId="77777777" w:rsidR="00475197" w:rsidRPr="003D7AFF" w:rsidRDefault="00DE3EBB">
      <w:pPr>
        <w:spacing w:before="240" w:after="240"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lastRenderedPageBreak/>
        <w:t>Modalidad de Entrega:</w:t>
      </w:r>
      <w:r w:rsidRPr="003D7AFF">
        <w:rPr>
          <w:rFonts w:ascii="Palatino Linotype" w:eastAsia="Palatino Linotype" w:hAnsi="Palatino Linotype" w:cs="Palatino Linotype"/>
          <w:sz w:val="22"/>
          <w:szCs w:val="22"/>
        </w:rPr>
        <w:t xml:space="preserve"> a través del Sistema de Acceso a la Información Mexiquense (SAIMEX).</w:t>
      </w:r>
    </w:p>
    <w:p w14:paraId="4AAF402B" w14:textId="77777777" w:rsidR="00475197" w:rsidRPr="003D7AFF" w:rsidRDefault="00DE3EBB">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3D7AFF">
        <w:rPr>
          <w:rFonts w:ascii="Palatino Linotype" w:eastAsia="Palatino Linotype" w:hAnsi="Palatino Linotype" w:cs="Palatino Linotype"/>
          <w:b/>
          <w:bCs/>
          <w:sz w:val="22"/>
          <w:szCs w:val="22"/>
        </w:rPr>
        <w:t>2.</w:t>
      </w:r>
      <w:r w:rsidRPr="003D7AFF">
        <w:rPr>
          <w:rFonts w:ascii="Palatino Linotype" w:eastAsia="Palatino Linotype" w:hAnsi="Palatino Linotype" w:cs="Palatino Linotype"/>
          <w:b/>
          <w:bCs/>
        </w:rPr>
        <w:t xml:space="preserve"> </w:t>
      </w:r>
      <w:r w:rsidRPr="003D7AFF">
        <w:rPr>
          <w:rFonts w:ascii="Palatino Linotype" w:eastAsia="Palatino Linotype" w:hAnsi="Palatino Linotype" w:cs="Palatino Linotype"/>
          <w:b/>
          <w:bCs/>
          <w:sz w:val="22"/>
          <w:szCs w:val="22"/>
        </w:rPr>
        <w:t xml:space="preserve">Respuesta. </w:t>
      </w:r>
      <w:r w:rsidRPr="003D7AFF">
        <w:rPr>
          <w:rFonts w:ascii="Palatino Linotype" w:eastAsia="Palatino Linotype" w:hAnsi="Palatino Linotype" w:cs="Palatino Linotype"/>
          <w:sz w:val="22"/>
          <w:szCs w:val="22"/>
        </w:rPr>
        <w:t xml:space="preserve">El </w:t>
      </w:r>
      <w:r w:rsidRPr="003D7AFF">
        <w:rPr>
          <w:rFonts w:ascii="Palatino Linotype" w:eastAsia="Palatino Linotype" w:hAnsi="Palatino Linotype" w:cs="Palatino Linotype"/>
          <w:b/>
          <w:bCs/>
          <w:sz w:val="22"/>
          <w:szCs w:val="22"/>
        </w:rPr>
        <w:t>diez de septiembre de dos mil veinticinco</w:t>
      </w:r>
      <w:r w:rsidRPr="003D7AFF">
        <w:rPr>
          <w:rFonts w:ascii="Palatino Linotype" w:eastAsia="Palatino Linotype" w:hAnsi="Palatino Linotype" w:cs="Palatino Linotype"/>
          <w:sz w:val="22"/>
          <w:szCs w:val="22"/>
        </w:rPr>
        <w:t xml:space="preserve">, el </w:t>
      </w:r>
      <w:r w:rsidRPr="003D7AFF">
        <w:rPr>
          <w:rFonts w:ascii="Palatino Linotype" w:eastAsia="Palatino Linotype" w:hAnsi="Palatino Linotype" w:cs="Palatino Linotype"/>
          <w:b/>
          <w:bCs/>
          <w:sz w:val="22"/>
          <w:szCs w:val="22"/>
        </w:rPr>
        <w:t xml:space="preserve">Sujeto Obligado </w:t>
      </w:r>
      <w:r w:rsidRPr="003D7AFF">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403D98CC" w14:textId="77777777" w:rsidR="00475197" w:rsidRPr="003D7AFF" w:rsidRDefault="00DE3EBB">
      <w:pPr>
        <w:spacing w:before="240" w:after="240"/>
        <w:ind w:left="567" w:right="902"/>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“Se adjunta en formato </w:t>
      </w:r>
      <w:proofErr w:type="spellStart"/>
      <w:r w:rsidRPr="003D7AFF">
        <w:rPr>
          <w:rFonts w:ascii="Palatino Linotype" w:eastAsia="Palatino Linotype" w:hAnsi="Palatino Linotype" w:cs="Palatino Linotype"/>
          <w:i/>
          <w:iCs/>
          <w:sz w:val="22"/>
          <w:szCs w:val="22"/>
        </w:rPr>
        <w:t>pdf</w:t>
      </w:r>
      <w:proofErr w:type="spellEnd"/>
      <w:r w:rsidRPr="003D7AFF">
        <w:rPr>
          <w:rFonts w:ascii="Palatino Linotype" w:eastAsia="Palatino Linotype" w:hAnsi="Palatino Linotype" w:cs="Palatino Linotype"/>
          <w:i/>
          <w:iCs/>
          <w:sz w:val="22"/>
          <w:szCs w:val="22"/>
        </w:rPr>
        <w:t xml:space="preserve"> la respuesta emitida por el departamento de Recursos Humanos del Ayuntamiento de </w:t>
      </w:r>
      <w:proofErr w:type="spellStart"/>
      <w:r w:rsidRPr="003D7AFF">
        <w:rPr>
          <w:rFonts w:ascii="Palatino Linotype" w:eastAsia="Palatino Linotype" w:hAnsi="Palatino Linotype" w:cs="Palatino Linotype"/>
          <w:i/>
          <w:iCs/>
          <w:sz w:val="22"/>
          <w:szCs w:val="22"/>
        </w:rPr>
        <w:t>Temoaya</w:t>
      </w:r>
      <w:proofErr w:type="spellEnd"/>
      <w:r w:rsidRPr="003D7AFF">
        <w:rPr>
          <w:rFonts w:ascii="Palatino Linotype" w:eastAsia="Palatino Linotype" w:hAnsi="Palatino Linotype" w:cs="Palatino Linotype"/>
          <w:i/>
          <w:iCs/>
          <w:sz w:val="22"/>
          <w:szCs w:val="22"/>
        </w:rPr>
        <w:t>” (Sic)</w:t>
      </w:r>
    </w:p>
    <w:p w14:paraId="161BA886" w14:textId="77777777" w:rsidR="00475197" w:rsidRPr="003D7AFF" w:rsidRDefault="00DE3EB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Adjunto a la respuesta, el </w:t>
      </w:r>
      <w:r w:rsidRPr="003D7AFF">
        <w:rPr>
          <w:rFonts w:ascii="Palatino Linotype" w:eastAsia="Palatino Linotype" w:hAnsi="Palatino Linotype" w:cs="Palatino Linotype"/>
          <w:b/>
          <w:bCs/>
          <w:sz w:val="22"/>
          <w:szCs w:val="22"/>
        </w:rPr>
        <w:t xml:space="preserve">Sujeto Obligado </w:t>
      </w:r>
      <w:r w:rsidRPr="003D7AFF">
        <w:rPr>
          <w:rFonts w:ascii="Palatino Linotype" w:eastAsia="Palatino Linotype" w:hAnsi="Palatino Linotype" w:cs="Palatino Linotype"/>
          <w:sz w:val="22"/>
          <w:szCs w:val="22"/>
        </w:rPr>
        <w:t>hizo entrega de la siguiente información:</w:t>
      </w:r>
    </w:p>
    <w:p w14:paraId="3E1CCB10" w14:textId="77777777" w:rsidR="00475197" w:rsidRPr="003D7AFF" w:rsidRDefault="004751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1A6E8FF" w14:textId="77777777" w:rsidR="00475197" w:rsidRPr="003D7AFF" w:rsidRDefault="00DE3EBB">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Oficio del 01 de septiembre de 2025, a través del cual la Encargada del Departamento de Recursos Humanos refiere que con relación al requerimiento relativo a los nombramientos de los encargados de las áreas que integran la Administración Pública Municipal, adjunta los nombramientos vigentes de los encargados de dichas áreas.</w:t>
      </w:r>
    </w:p>
    <w:p w14:paraId="2B4563B7" w14:textId="77777777" w:rsidR="00475197" w:rsidRPr="003D7AFF" w:rsidRDefault="00DE3EBB">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Se adjuntaron 21 nombramientos de los actuales encargados de las siguientes áreas: Coordinación de Autoridades Auxiliares, Coordinación de Giras y Logística, del Departamento de Auditoría, del Departamento de Investigación, de la Consejería Jurídica y Consultiva, de la Dirección de Gobernación, Subdirección de Ingresos, Subdirección de Egresos, del Departamento de Catastro, Dirección de Administración y Desarrollo del Personal, del Departamento de Recursos Humanos, de la Dirección de Desarrollo Económico, Dirección de Desarrollo Rural, Subdirección de Cultura, Dirección de Educación, Subdirección de Servicios Públicos, Dirección de Medio Ambiente y Desarrollo Sostenible, Subdirección de Proyectos Ecológicos, Subdirección Operativa Forestal, Dirección de la Juventud y Dirección de la Mujer.</w:t>
      </w:r>
    </w:p>
    <w:p w14:paraId="200F3EAC" w14:textId="77777777" w:rsidR="00475197" w:rsidRPr="003D7AFF" w:rsidRDefault="00DE3EB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 </w:t>
      </w:r>
    </w:p>
    <w:p w14:paraId="03E40223" w14:textId="77777777" w:rsidR="00475197" w:rsidRPr="003D7AFF" w:rsidRDefault="00DE3EBB">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t xml:space="preserve">3. Interposición del recurso de revisión. </w:t>
      </w:r>
      <w:r w:rsidRPr="003D7AFF">
        <w:rPr>
          <w:rFonts w:ascii="Palatino Linotype" w:eastAsia="Palatino Linotype" w:hAnsi="Palatino Linotype" w:cs="Palatino Linotype"/>
          <w:sz w:val="22"/>
          <w:szCs w:val="22"/>
        </w:rPr>
        <w:t xml:space="preserve">Inconforme con los términos de la respuesta emitida por parte del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el</w:t>
      </w:r>
      <w:r w:rsidRPr="003D7AFF">
        <w:rPr>
          <w:rFonts w:ascii="Palatino Linotype" w:eastAsia="Palatino Linotype" w:hAnsi="Palatino Linotype" w:cs="Palatino Linotype"/>
          <w:b/>
          <w:bCs/>
          <w:sz w:val="22"/>
          <w:szCs w:val="22"/>
        </w:rPr>
        <w:t xml:space="preserve"> once de septiembre de dos mil veinticinco,</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interpuso el recurso de revisión a través de </w:t>
      </w:r>
      <w:r w:rsidRPr="003D7AFF">
        <w:rPr>
          <w:rFonts w:ascii="Palatino Linotype" w:eastAsia="Palatino Linotype" w:hAnsi="Palatino Linotype" w:cs="Palatino Linotype"/>
          <w:b/>
          <w:bCs/>
          <w:sz w:val="22"/>
          <w:szCs w:val="22"/>
        </w:rPr>
        <w:t xml:space="preserve">SAIMEX, </w:t>
      </w:r>
      <w:r w:rsidRPr="003D7AFF">
        <w:rPr>
          <w:rFonts w:ascii="Palatino Linotype" w:eastAsia="Palatino Linotype" w:hAnsi="Palatino Linotype" w:cs="Palatino Linotype"/>
          <w:sz w:val="22"/>
          <w:szCs w:val="22"/>
        </w:rPr>
        <w:t>en donde se manifestó de la siguiente manera:</w:t>
      </w:r>
    </w:p>
    <w:p w14:paraId="5D32AE4A" w14:textId="77777777" w:rsidR="00475197" w:rsidRPr="003D7AFF" w:rsidRDefault="00DE3EBB">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lastRenderedPageBreak/>
        <w:t xml:space="preserve">a) Acto impugnado: </w:t>
      </w: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Los nombramientos que adjuntan son los últimos, y el requerimiento es "las veces en las que se les haya renovado el nombramiento de encargados. después de que se venció el plazo de conformidad con lo que dice la Ley Orgánica municipal del Estado de México, o en su defecto ya los nombramientos como titulares de las áreas ya sea subdirecciones, coordinaciones, jefaturas de departamento o titulares"</w:t>
      </w:r>
      <w:r w:rsidRPr="003D7AFF">
        <w:rPr>
          <w:rFonts w:ascii="Palatino Linotype" w:eastAsia="Palatino Linotype" w:hAnsi="Palatino Linotype" w:cs="Palatino Linotype"/>
          <w:i/>
          <w:iCs/>
          <w:sz w:val="22"/>
          <w:szCs w:val="22"/>
        </w:rPr>
        <w:t>.” (Sic)</w:t>
      </w:r>
    </w:p>
    <w:p w14:paraId="7C5521D9" w14:textId="77777777" w:rsidR="00475197" w:rsidRPr="003D7AFF" w:rsidRDefault="00DE3EBB">
      <w:pPr>
        <w:spacing w:line="276" w:lineRule="auto"/>
        <w:ind w:left="567" w:right="900"/>
        <w:jc w:val="both"/>
        <w:rPr>
          <w:rFonts w:ascii="Palatino Linotype" w:eastAsia="Palatino Linotype" w:hAnsi="Palatino Linotype" w:cs="Palatino Linotype"/>
          <w:i/>
          <w:iCs/>
          <w:sz w:val="22"/>
          <w:szCs w:val="22"/>
        </w:rPr>
      </w:pPr>
      <w:bookmarkStart w:id="5" w:name="_heading=h.30j0zll" w:colFirst="0" w:colLast="0"/>
      <w:bookmarkEnd w:id="5"/>
      <w:r w:rsidRPr="003D7AFF">
        <w:rPr>
          <w:rFonts w:ascii="Palatino Linotype" w:eastAsia="Palatino Linotype" w:hAnsi="Palatino Linotype" w:cs="Palatino Linotype"/>
          <w:b/>
          <w:bCs/>
          <w:sz w:val="22"/>
          <w:szCs w:val="22"/>
        </w:rPr>
        <w:t>b) Razones o motivos de inconformidad</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i/>
          <w:iCs/>
          <w:sz w:val="22"/>
          <w:szCs w:val="22"/>
        </w:rPr>
        <w:t>“No entrego la información solicitada son opacos” (Sic)</w:t>
      </w:r>
    </w:p>
    <w:p w14:paraId="69008148" w14:textId="77777777" w:rsidR="00475197" w:rsidRPr="003D7AFF" w:rsidRDefault="00475197">
      <w:pPr>
        <w:spacing w:line="276" w:lineRule="auto"/>
        <w:ind w:right="900"/>
        <w:jc w:val="both"/>
        <w:rPr>
          <w:rFonts w:ascii="Palatino Linotype" w:eastAsia="Palatino Linotype" w:hAnsi="Palatino Linotype" w:cs="Palatino Linotype"/>
          <w:i/>
          <w:iCs/>
          <w:sz w:val="22"/>
          <w:szCs w:val="22"/>
        </w:rPr>
      </w:pPr>
    </w:p>
    <w:p w14:paraId="536CA64F" w14:textId="77777777" w:rsidR="00475197" w:rsidRPr="003D7AFF" w:rsidRDefault="00DE3EBB">
      <w:pPr>
        <w:spacing w:line="360" w:lineRule="auto"/>
        <w:ind w:right="51"/>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 xml:space="preserve">4. Turno. </w:t>
      </w:r>
      <w:r w:rsidRPr="003D7AF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D7AFF">
        <w:rPr>
          <w:rFonts w:ascii="Palatino Linotype" w:eastAsia="Palatino Linotype" w:hAnsi="Palatino Linotype" w:cs="Palatino Linotype"/>
          <w:b/>
          <w:bCs/>
          <w:sz w:val="22"/>
          <w:szCs w:val="22"/>
        </w:rPr>
        <w:t xml:space="preserve">Guadalupe Ramírez Peña, </w:t>
      </w:r>
      <w:r w:rsidRPr="003D7AFF">
        <w:rPr>
          <w:rFonts w:ascii="Palatino Linotype" w:eastAsia="Palatino Linotype" w:hAnsi="Palatino Linotype" w:cs="Palatino Linotype"/>
          <w:sz w:val="22"/>
          <w:szCs w:val="22"/>
        </w:rPr>
        <w:t xml:space="preserve">a efecto de que analizara sobre su admisión o su </w:t>
      </w:r>
      <w:proofErr w:type="spellStart"/>
      <w:r w:rsidRPr="003D7AFF">
        <w:rPr>
          <w:rFonts w:ascii="Palatino Linotype" w:eastAsia="Palatino Linotype" w:hAnsi="Palatino Linotype" w:cs="Palatino Linotype"/>
          <w:sz w:val="22"/>
          <w:szCs w:val="22"/>
        </w:rPr>
        <w:t>desechamiento</w:t>
      </w:r>
      <w:proofErr w:type="spellEnd"/>
      <w:r w:rsidRPr="003D7AFF">
        <w:rPr>
          <w:rFonts w:ascii="Palatino Linotype" w:eastAsia="Palatino Linotype" w:hAnsi="Palatino Linotype" w:cs="Palatino Linotype"/>
          <w:sz w:val="22"/>
          <w:szCs w:val="22"/>
        </w:rPr>
        <w:t>.</w:t>
      </w:r>
    </w:p>
    <w:p w14:paraId="0A3507E8" w14:textId="77777777" w:rsidR="00475197" w:rsidRPr="003D7AFF" w:rsidRDefault="00475197">
      <w:pPr>
        <w:spacing w:line="360" w:lineRule="auto"/>
        <w:ind w:right="51"/>
        <w:jc w:val="both"/>
        <w:rPr>
          <w:rFonts w:ascii="Palatino Linotype" w:eastAsia="Palatino Linotype" w:hAnsi="Palatino Linotype" w:cs="Palatino Linotype"/>
          <w:sz w:val="22"/>
          <w:szCs w:val="22"/>
        </w:rPr>
      </w:pPr>
    </w:p>
    <w:p w14:paraId="2F7D15A4"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5. Admisión del Recurso de revisión.</w:t>
      </w:r>
      <w:r w:rsidRPr="003D7AFF">
        <w:rPr>
          <w:rFonts w:ascii="Palatino Linotype" w:eastAsia="Palatino Linotype" w:hAnsi="Palatino Linotype" w:cs="Palatino Linotype"/>
          <w:sz w:val="22"/>
          <w:szCs w:val="22"/>
        </w:rPr>
        <w:t xml:space="preserve"> El </w:t>
      </w:r>
      <w:r w:rsidRPr="003D7AFF">
        <w:rPr>
          <w:rFonts w:ascii="Palatino Linotype" w:eastAsia="Palatino Linotype" w:hAnsi="Palatino Linotype" w:cs="Palatino Linotype"/>
          <w:b/>
          <w:bCs/>
          <w:sz w:val="22"/>
          <w:szCs w:val="22"/>
        </w:rPr>
        <w:t xml:space="preserve">diecisiete de septiembre de dos mil veinticinco, </w:t>
      </w:r>
      <w:r w:rsidRPr="003D7AF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D7AFF">
        <w:rPr>
          <w:rFonts w:ascii="Palatino Linotype" w:eastAsia="Palatino Linotype" w:hAnsi="Palatino Linotype" w:cs="Palatino Linotype"/>
          <w:b/>
          <w:bCs/>
          <w:sz w:val="22"/>
          <w:szCs w:val="22"/>
        </w:rPr>
        <w:t xml:space="preserve">Sujeto Obligado </w:t>
      </w:r>
      <w:r w:rsidRPr="003D7AFF">
        <w:rPr>
          <w:rFonts w:ascii="Palatino Linotype" w:eastAsia="Palatino Linotype" w:hAnsi="Palatino Linotype" w:cs="Palatino Linotype"/>
          <w:sz w:val="22"/>
          <w:szCs w:val="22"/>
        </w:rPr>
        <w:t>presentara su informe justificado.</w:t>
      </w:r>
    </w:p>
    <w:p w14:paraId="6CB3FD8E"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50132DA4" w14:textId="77777777" w:rsidR="00475197" w:rsidRPr="003D7AFF" w:rsidRDefault="00DE3EB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3D7AFF">
        <w:rPr>
          <w:rFonts w:ascii="Palatino Linotype" w:eastAsia="Palatino Linotype" w:hAnsi="Palatino Linotype" w:cs="Palatino Linotype"/>
          <w:b/>
          <w:bCs/>
          <w:sz w:val="22"/>
          <w:szCs w:val="22"/>
        </w:rPr>
        <w:t>6. Manifestaciones</w:t>
      </w:r>
      <w:r w:rsidRPr="003D7AFF">
        <w:rPr>
          <w:rFonts w:ascii="Palatino Linotype" w:eastAsia="Palatino Linotype" w:hAnsi="Palatino Linotype" w:cs="Palatino Linotype"/>
          <w:sz w:val="22"/>
          <w:szCs w:val="22"/>
        </w:rPr>
        <w:t>. De las constancias que integran el expediente en que se actúa se advierte que las partes fueron omisas en hacer valer manifestaciones, como se muestra:</w:t>
      </w:r>
    </w:p>
    <w:p w14:paraId="0ACACC91" w14:textId="77777777" w:rsidR="00475197" w:rsidRPr="003D7AFF" w:rsidRDefault="0047519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1167DF1" w14:textId="77777777" w:rsidR="00475197" w:rsidRPr="003D7AFF" w:rsidRDefault="00DE3EB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noProof/>
          <w:sz w:val="22"/>
          <w:szCs w:val="22"/>
        </w:rPr>
        <w:drawing>
          <wp:inline distT="0" distB="0" distL="0" distR="0" wp14:anchorId="2AC13E2D" wp14:editId="527B181E">
            <wp:extent cx="5612130" cy="1525905"/>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525905"/>
                    </a:xfrm>
                    <a:prstGeom prst="rect">
                      <a:avLst/>
                    </a:prstGeom>
                    <a:ln/>
                  </pic:spPr>
                </pic:pic>
              </a:graphicData>
            </a:graphic>
          </wp:inline>
        </w:drawing>
      </w:r>
    </w:p>
    <w:p w14:paraId="76EA40EB" w14:textId="77777777" w:rsidR="00475197" w:rsidRPr="003D7AFF" w:rsidRDefault="0047519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13C96452" w14:textId="77777777" w:rsidR="00475197" w:rsidRPr="003D7AFF" w:rsidRDefault="00DE3EB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 xml:space="preserve">7. Cierre de instrucción. </w:t>
      </w:r>
      <w:r w:rsidRPr="003D7AF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3D7AFF">
        <w:rPr>
          <w:rFonts w:ascii="Palatino Linotype" w:eastAsia="Palatino Linotype" w:hAnsi="Palatino Linotype" w:cs="Palatino Linotype"/>
          <w:b/>
          <w:bCs/>
          <w:sz w:val="22"/>
          <w:szCs w:val="22"/>
        </w:rPr>
        <w:t>tres de febrero de dos mil veintiséis,</w:t>
      </w:r>
      <w:r w:rsidRPr="003D7AF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01A5576" w14:textId="77777777" w:rsidR="00475197" w:rsidRPr="003D7AFF" w:rsidRDefault="0047519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D4D6821" w14:textId="77777777" w:rsidR="00475197" w:rsidRPr="003D7AFF" w:rsidRDefault="00DE3EB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 xml:space="preserve">8. Ampliación del término para resolver. </w:t>
      </w:r>
      <w:r w:rsidRPr="003D7AFF">
        <w:rPr>
          <w:rFonts w:ascii="Palatino Linotype" w:eastAsia="Palatino Linotype" w:hAnsi="Palatino Linotype" w:cs="Palatino Linotype"/>
          <w:sz w:val="22"/>
          <w:szCs w:val="22"/>
        </w:rPr>
        <w:t xml:space="preserve">Mediante acuerdo del </w:t>
      </w:r>
      <w:r w:rsidRPr="003D7AFF">
        <w:rPr>
          <w:rFonts w:ascii="Palatino Linotype" w:eastAsia="Palatino Linotype" w:hAnsi="Palatino Linotype" w:cs="Palatino Linotype"/>
          <w:b/>
          <w:bCs/>
          <w:sz w:val="22"/>
          <w:szCs w:val="22"/>
        </w:rPr>
        <w:t>tres de febrero de dos mil veintiséis</w:t>
      </w:r>
      <w:r w:rsidRPr="003D7AF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DA0B925" w14:textId="77777777" w:rsidR="00475197" w:rsidRPr="003D7AFF" w:rsidRDefault="0047519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39EB7D5C"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A34FFC0"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7E442D9B"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Por ello, es menester precisar </w:t>
      </w:r>
      <w:proofErr w:type="gramStart"/>
      <w:r w:rsidRPr="003D7AFF">
        <w:rPr>
          <w:rFonts w:ascii="Palatino Linotype" w:eastAsia="Palatino Linotype" w:hAnsi="Palatino Linotype" w:cs="Palatino Linotype"/>
          <w:sz w:val="22"/>
          <w:szCs w:val="22"/>
        </w:rPr>
        <w:t>que</w:t>
      </w:r>
      <w:proofErr w:type="gramEnd"/>
      <w:r w:rsidRPr="003D7AFF">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89690BE"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633B7F32"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8B8783"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0FDAB171"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D5F179"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519D9C5A"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6840A07" w14:textId="77777777" w:rsidR="00475197" w:rsidRPr="003D7AFF" w:rsidRDefault="00475197">
      <w:pPr>
        <w:spacing w:line="360" w:lineRule="auto"/>
        <w:jc w:val="both"/>
        <w:rPr>
          <w:rFonts w:ascii="Palatino Linotype" w:eastAsia="Palatino Linotype" w:hAnsi="Palatino Linotype" w:cs="Palatino Linotype"/>
          <w:strike/>
          <w:sz w:val="22"/>
          <w:szCs w:val="22"/>
        </w:rPr>
      </w:pPr>
    </w:p>
    <w:p w14:paraId="32818683" w14:textId="77777777" w:rsidR="00475197" w:rsidRPr="003D7AFF" w:rsidRDefault="00DE3EB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Complejidad del Asunto:</w:t>
      </w:r>
      <w:r w:rsidRPr="003D7AF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E120C82" w14:textId="77777777" w:rsidR="00475197" w:rsidRPr="003D7AFF" w:rsidRDefault="00DE3EB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Actividad Procesal del interesado</w:t>
      </w:r>
      <w:r w:rsidRPr="003D7AFF">
        <w:rPr>
          <w:rFonts w:ascii="Palatino Linotype" w:eastAsia="Palatino Linotype" w:hAnsi="Palatino Linotype" w:cs="Palatino Linotype"/>
          <w:sz w:val="22"/>
          <w:szCs w:val="22"/>
        </w:rPr>
        <w:t>. Acciones u omisiones del interesado.</w:t>
      </w:r>
    </w:p>
    <w:p w14:paraId="0576A48E" w14:textId="77777777" w:rsidR="00475197" w:rsidRPr="003D7AFF" w:rsidRDefault="00DE3EB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Conducta de la Autoridad:</w:t>
      </w:r>
      <w:r w:rsidRPr="003D7AF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393A072" w14:textId="77777777" w:rsidR="00475197" w:rsidRPr="003D7AFF" w:rsidRDefault="00DE3EB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La afectación generada en la situación jurídica de la persona involucrada en el proceso:</w:t>
      </w:r>
      <w:r w:rsidRPr="003D7AFF">
        <w:rPr>
          <w:rFonts w:ascii="Palatino Linotype" w:eastAsia="Palatino Linotype" w:hAnsi="Palatino Linotype" w:cs="Palatino Linotype"/>
          <w:sz w:val="22"/>
          <w:szCs w:val="22"/>
        </w:rPr>
        <w:t xml:space="preserve"> Violación a sus derechos humanos.</w:t>
      </w:r>
    </w:p>
    <w:p w14:paraId="417F0C7B" w14:textId="77777777" w:rsidR="00475197" w:rsidRPr="003D7AFF" w:rsidRDefault="00475197">
      <w:pPr>
        <w:tabs>
          <w:tab w:val="left" w:pos="993"/>
        </w:tabs>
        <w:spacing w:line="360" w:lineRule="auto"/>
        <w:ind w:left="567" w:right="900"/>
        <w:jc w:val="both"/>
        <w:rPr>
          <w:rFonts w:ascii="Palatino Linotype" w:eastAsia="Palatino Linotype" w:hAnsi="Palatino Linotype" w:cs="Palatino Linotype"/>
          <w:sz w:val="22"/>
          <w:szCs w:val="22"/>
        </w:rPr>
      </w:pPr>
    </w:p>
    <w:p w14:paraId="420EA712"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2C35F4"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061EB85F"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D7AFF">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3D7AFF">
        <w:rPr>
          <w:rFonts w:ascii="Palatino Linotype" w:eastAsia="Palatino Linotype" w:hAnsi="Palatino Linotype" w:cs="Palatino Linotype"/>
          <w:sz w:val="22"/>
          <w:szCs w:val="22"/>
        </w:rPr>
        <w:t>, visible en la Gaceta del Seminario Judicial de la Federación con el registro digital 205635.</w:t>
      </w:r>
    </w:p>
    <w:p w14:paraId="6393C91C" w14:textId="77777777" w:rsidR="00475197" w:rsidRPr="003D7AFF" w:rsidRDefault="00475197">
      <w:pPr>
        <w:spacing w:line="360" w:lineRule="auto"/>
        <w:jc w:val="both"/>
        <w:rPr>
          <w:rFonts w:ascii="Palatino Linotype" w:eastAsia="Palatino Linotype" w:hAnsi="Palatino Linotype" w:cs="Palatino Linotype"/>
          <w:b/>
          <w:bCs/>
          <w:sz w:val="22"/>
          <w:szCs w:val="22"/>
        </w:rPr>
      </w:pPr>
    </w:p>
    <w:p w14:paraId="379724A5"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658FE1"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1F4D7E96"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AFDFDC8"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7CFDD1D2" w14:textId="77777777" w:rsidR="00475197" w:rsidRPr="003D7AFF" w:rsidRDefault="00DE3EBB">
      <w:pPr>
        <w:spacing w:line="360" w:lineRule="auto"/>
        <w:ind w:left="851" w:right="90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sz w:val="22"/>
          <w:szCs w:val="22"/>
        </w:rPr>
        <w:t xml:space="preserve"> consultable en el Seminario Judicial de la Federación y su gaceta, con el registro digital 2002351.</w:t>
      </w:r>
    </w:p>
    <w:p w14:paraId="30676258" w14:textId="77777777" w:rsidR="00475197" w:rsidRPr="003D7AFF" w:rsidRDefault="00DE3EBB">
      <w:pPr>
        <w:spacing w:line="360" w:lineRule="auto"/>
        <w:ind w:left="851" w:right="90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3D7AFF">
        <w:rPr>
          <w:rFonts w:ascii="Palatino Linotype" w:eastAsia="Palatino Linotype" w:hAnsi="Palatino Linotype" w:cs="Palatino Linotype"/>
          <w:sz w:val="22"/>
          <w:szCs w:val="22"/>
        </w:rPr>
        <w:t>, visible en el Seminario Judicial de la Federación y su gaceta, con el registro digital 2002350.</w:t>
      </w:r>
    </w:p>
    <w:p w14:paraId="0934A9F5" w14:textId="77777777" w:rsidR="00475197" w:rsidRPr="003D7AFF" w:rsidRDefault="00475197">
      <w:pPr>
        <w:spacing w:line="360" w:lineRule="auto"/>
        <w:ind w:left="851" w:right="900"/>
        <w:jc w:val="both"/>
        <w:rPr>
          <w:rFonts w:ascii="Palatino Linotype" w:eastAsia="Palatino Linotype" w:hAnsi="Palatino Linotype" w:cs="Palatino Linotype"/>
          <w:sz w:val="22"/>
          <w:szCs w:val="22"/>
        </w:rPr>
      </w:pPr>
    </w:p>
    <w:p w14:paraId="4468C344" w14:textId="77777777" w:rsidR="00475197" w:rsidRPr="003D7AFF" w:rsidRDefault="00DE3EB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w:t>
      </w:r>
      <w:proofErr w:type="gramStart"/>
      <w:r w:rsidRPr="003D7AFF">
        <w:rPr>
          <w:rFonts w:ascii="Palatino Linotype" w:eastAsia="Palatino Linotype" w:hAnsi="Palatino Linotype" w:cs="Palatino Linotype"/>
          <w:sz w:val="22"/>
          <w:szCs w:val="22"/>
        </w:rPr>
        <w:t>de  carácter</w:t>
      </w:r>
      <w:proofErr w:type="gramEnd"/>
      <w:r w:rsidRPr="003D7AFF">
        <w:rPr>
          <w:rFonts w:ascii="Palatino Linotype" w:eastAsia="Palatino Linotype" w:hAnsi="Palatino Linotype" w:cs="Palatino Linotype"/>
          <w:sz w:val="22"/>
          <w:szCs w:val="22"/>
        </w:rPr>
        <w:t xml:space="preserve"> excepcional.</w:t>
      </w:r>
    </w:p>
    <w:p w14:paraId="0217E871" w14:textId="77777777" w:rsidR="00475197" w:rsidRPr="003D7AFF" w:rsidRDefault="0047519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6A3CD745" w14:textId="77777777" w:rsidR="00475197" w:rsidRPr="003D7AFF" w:rsidRDefault="00DE3EB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B1B4FF4" w14:textId="77777777" w:rsidR="00475197" w:rsidRPr="003D7AFF" w:rsidRDefault="00DE3EBB">
      <w:pPr>
        <w:widowControl w:val="0"/>
        <w:spacing w:before="240" w:after="240" w:line="360" w:lineRule="auto"/>
        <w:jc w:val="center"/>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t>II. C O N S I D E R A N D O S</w:t>
      </w:r>
    </w:p>
    <w:p w14:paraId="21D724FA"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Primero. Competencia.</w:t>
      </w:r>
      <w:r w:rsidRPr="003D7AF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5B23C6C"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31C4DE84" w14:textId="77777777" w:rsidR="00475197" w:rsidRPr="003D7AFF" w:rsidRDefault="00DE3EBB">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3D7AFF">
        <w:rPr>
          <w:rFonts w:ascii="Palatino Linotype" w:eastAsia="Palatino Linotype" w:hAnsi="Palatino Linotype" w:cs="Palatino Linotype"/>
          <w:b/>
          <w:bCs/>
          <w:sz w:val="22"/>
          <w:szCs w:val="22"/>
        </w:rPr>
        <w:t xml:space="preserve">Segundo. Oportunidad y </w:t>
      </w:r>
      <w:proofErr w:type="spellStart"/>
      <w:r w:rsidRPr="003D7AFF">
        <w:rPr>
          <w:rFonts w:ascii="Palatino Linotype" w:eastAsia="Palatino Linotype" w:hAnsi="Palatino Linotype" w:cs="Palatino Linotype"/>
          <w:b/>
          <w:bCs/>
          <w:sz w:val="22"/>
          <w:szCs w:val="22"/>
        </w:rPr>
        <w:t>Procedibilidad</w:t>
      </w:r>
      <w:proofErr w:type="spellEnd"/>
      <w:r w:rsidRPr="003D7AFF">
        <w:rPr>
          <w:rFonts w:ascii="Palatino Linotype" w:eastAsia="Palatino Linotype" w:hAnsi="Palatino Linotype" w:cs="Palatino Linotype"/>
          <w:b/>
          <w:bCs/>
          <w:sz w:val="22"/>
          <w:szCs w:val="22"/>
        </w:rPr>
        <w:t xml:space="preserve"> del Recurso de Revisión</w:t>
      </w:r>
      <w:r w:rsidRPr="003D7AFF">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3D7AFF">
        <w:rPr>
          <w:rFonts w:ascii="Palatino Linotype" w:eastAsia="Palatino Linotype" w:hAnsi="Palatino Linotype" w:cs="Palatino Linotype"/>
          <w:sz w:val="22"/>
          <w:szCs w:val="22"/>
        </w:rPr>
        <w:t>procedibilidad</w:t>
      </w:r>
      <w:proofErr w:type="spellEnd"/>
      <w:r w:rsidRPr="003D7AFF">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8993B47"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5983FE04"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D7AFF">
        <w:rPr>
          <w:rFonts w:ascii="Palatino Linotype" w:eastAsia="Palatino Linotype" w:hAnsi="Palatino Linotype" w:cs="Palatino Linotype"/>
          <w:b/>
          <w:bCs/>
          <w:sz w:val="22"/>
          <w:szCs w:val="22"/>
        </w:rPr>
        <w:t xml:space="preserve">Sujeto Obligado </w:t>
      </w:r>
      <w:r w:rsidRPr="003D7AFF">
        <w:rPr>
          <w:rFonts w:ascii="Palatino Linotype" w:eastAsia="Palatino Linotype" w:hAnsi="Palatino Linotype" w:cs="Palatino Linotype"/>
          <w:sz w:val="22"/>
          <w:szCs w:val="22"/>
        </w:rPr>
        <w:t>remitió la respuesta a la solicitud de información el</w:t>
      </w:r>
      <w:r w:rsidRPr="003D7AFF">
        <w:t xml:space="preserve"> </w:t>
      </w:r>
      <w:r w:rsidRPr="003D7AFF">
        <w:rPr>
          <w:rFonts w:ascii="Palatino Linotype" w:eastAsia="Palatino Linotype" w:hAnsi="Palatino Linotype" w:cs="Palatino Linotype"/>
          <w:b/>
          <w:bCs/>
          <w:sz w:val="22"/>
          <w:szCs w:val="22"/>
        </w:rPr>
        <w:t xml:space="preserve">diez de septiembre de dos mil veinticinco, </w:t>
      </w:r>
      <w:r w:rsidRPr="003D7AFF">
        <w:rPr>
          <w:rFonts w:ascii="Palatino Linotype" w:eastAsia="Palatino Linotype" w:hAnsi="Palatino Linotype" w:cs="Palatino Linotype"/>
          <w:sz w:val="22"/>
          <w:szCs w:val="22"/>
        </w:rPr>
        <w:t xml:space="preserve">mientras que el recurso de revisión interpuesto por </w:t>
      </w:r>
      <w:r w:rsidRPr="003D7AFF">
        <w:rPr>
          <w:rFonts w:ascii="Palatino Linotype" w:eastAsia="Palatino Linotype" w:hAnsi="Palatino Linotype" w:cs="Palatino Linotype"/>
          <w:b/>
          <w:bCs/>
          <w:sz w:val="22"/>
          <w:szCs w:val="22"/>
        </w:rPr>
        <w:t>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se tuvo por presentado el </w:t>
      </w:r>
      <w:r w:rsidRPr="003D7AFF">
        <w:rPr>
          <w:rFonts w:ascii="Palatino Linotype" w:eastAsia="Palatino Linotype" w:hAnsi="Palatino Linotype" w:cs="Palatino Linotype"/>
          <w:b/>
          <w:bCs/>
          <w:sz w:val="22"/>
          <w:szCs w:val="22"/>
        </w:rPr>
        <w:t>once de septiembre de dos mil veinticinco</w:t>
      </w:r>
      <w:r w:rsidRPr="003D7AFF">
        <w:rPr>
          <w:rFonts w:ascii="Palatino Linotype" w:eastAsia="Palatino Linotype" w:hAnsi="Palatino Linotype" w:cs="Palatino Linotype"/>
          <w:sz w:val="22"/>
          <w:szCs w:val="22"/>
        </w:rPr>
        <w:t xml:space="preserve"> esto es, al </w:t>
      </w:r>
      <w:r w:rsidRPr="003D7AFF">
        <w:rPr>
          <w:rFonts w:ascii="Palatino Linotype" w:eastAsia="Palatino Linotype" w:hAnsi="Palatino Linotype" w:cs="Palatino Linotype"/>
          <w:b/>
          <w:bCs/>
          <w:sz w:val="22"/>
          <w:szCs w:val="22"/>
          <w:u w:val="single"/>
        </w:rPr>
        <w:t>primer</w:t>
      </w:r>
      <w:r w:rsidRPr="003D7AFF">
        <w:rPr>
          <w:rFonts w:ascii="Palatino Linotype" w:eastAsia="Palatino Linotype" w:hAnsi="Palatino Linotype" w:cs="Palatino Linotype"/>
          <w:sz w:val="22"/>
          <w:szCs w:val="22"/>
        </w:rPr>
        <w:t xml:space="preserve"> día hábil siguiente a aquel </w:t>
      </w:r>
      <w:r w:rsidRPr="003D7AFF">
        <w:rPr>
          <w:rFonts w:ascii="Palatino Linotype" w:eastAsia="Palatino Linotype" w:hAnsi="Palatino Linotype" w:cs="Palatino Linotype"/>
          <w:b/>
          <w:bCs/>
          <w:sz w:val="22"/>
          <w:szCs w:val="22"/>
        </w:rPr>
        <w:t>en que se tuvo conocimiento de la respuesta impugnada</w:t>
      </w:r>
      <w:r w:rsidRPr="003D7AFF">
        <w:rPr>
          <w:rFonts w:ascii="Palatino Linotype" w:eastAsia="Palatino Linotype" w:hAnsi="Palatino Linotype" w:cs="Palatino Linotype"/>
          <w:sz w:val="22"/>
          <w:szCs w:val="22"/>
        </w:rPr>
        <w:t xml:space="preserve">. </w:t>
      </w:r>
    </w:p>
    <w:p w14:paraId="37B4B685"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2ACAE8B4"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454E19CE"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6040DA90" w14:textId="77777777" w:rsidR="00475197" w:rsidRPr="003D7AFF" w:rsidRDefault="00DE3EBB">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3D7AFF">
        <w:rPr>
          <w:rFonts w:ascii="Palatino Linotype" w:eastAsia="Palatino Linotype" w:hAnsi="Palatino Linotype" w:cs="Palatino Linotype"/>
          <w:sz w:val="22"/>
          <w:szCs w:val="22"/>
        </w:rPr>
        <w:t xml:space="preserve">Al mismo tiempo, por cuanto hace a la </w:t>
      </w:r>
      <w:proofErr w:type="spellStart"/>
      <w:r w:rsidRPr="003D7AFF">
        <w:rPr>
          <w:rFonts w:ascii="Palatino Linotype" w:eastAsia="Palatino Linotype" w:hAnsi="Palatino Linotype" w:cs="Palatino Linotype"/>
          <w:sz w:val="22"/>
          <w:szCs w:val="22"/>
        </w:rPr>
        <w:t>procedibilidad</w:t>
      </w:r>
      <w:proofErr w:type="spellEnd"/>
      <w:r w:rsidRPr="003D7AFF">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30DA147" w14:textId="77777777" w:rsidR="00475197" w:rsidRPr="003D7AFF" w:rsidRDefault="00475197">
      <w:pPr>
        <w:tabs>
          <w:tab w:val="left" w:pos="7938"/>
        </w:tabs>
        <w:spacing w:line="360" w:lineRule="auto"/>
        <w:jc w:val="both"/>
        <w:rPr>
          <w:rFonts w:ascii="Palatino Linotype" w:eastAsia="Palatino Linotype" w:hAnsi="Palatino Linotype" w:cs="Palatino Linotype"/>
          <w:sz w:val="22"/>
          <w:szCs w:val="22"/>
        </w:rPr>
      </w:pPr>
    </w:p>
    <w:p w14:paraId="2CF0E7E7"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Por otro lado, es de suma importancia mencionar que, si bien la parte</w:t>
      </w:r>
      <w:r w:rsidRPr="003D7AFF">
        <w:rPr>
          <w:rFonts w:ascii="Palatino Linotype" w:eastAsia="Palatino Linotype" w:hAnsi="Palatino Linotype" w:cs="Palatino Linotype"/>
          <w:b/>
          <w:bCs/>
          <w:sz w:val="22"/>
          <w:szCs w:val="22"/>
        </w:rPr>
        <w:t xml:space="preserve"> Recurrente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no</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proporcionó nombre,</w:t>
      </w:r>
      <w:r w:rsidRPr="003D7AFF">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0FD4ADB"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002D8768" w14:textId="77777777" w:rsidR="00475197" w:rsidRPr="003D7AFF" w:rsidRDefault="00DE3EBB">
      <w:pPr>
        <w:spacing w:line="276" w:lineRule="auto"/>
        <w:ind w:left="851" w:right="902"/>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 xml:space="preserve">Las solicitudes </w:t>
      </w:r>
      <w:r w:rsidRPr="003D7AFF">
        <w:rPr>
          <w:rFonts w:ascii="Palatino Linotype" w:eastAsia="Palatino Linotype" w:hAnsi="Palatino Linotype" w:cs="Palatino Linotype"/>
          <w:b/>
          <w:bCs/>
          <w:i/>
          <w:iCs/>
          <w:sz w:val="22"/>
          <w:szCs w:val="22"/>
          <w:u w:val="single"/>
        </w:rPr>
        <w:t>anónimas</w:t>
      </w:r>
      <w:r w:rsidRPr="003D7AFF">
        <w:rPr>
          <w:rFonts w:ascii="Palatino Linotype" w:eastAsia="Palatino Linotype" w:hAnsi="Palatino Linotype" w:cs="Palatino Linotype"/>
          <w:i/>
          <w:iCs/>
          <w:sz w:val="22"/>
          <w:szCs w:val="22"/>
        </w:rPr>
        <w:t>, con nombre incompleto o seudónimo </w:t>
      </w:r>
      <w:r w:rsidRPr="003D7AFF">
        <w:rPr>
          <w:rFonts w:ascii="Palatino Linotype" w:eastAsia="Palatino Linotype" w:hAnsi="Palatino Linotype" w:cs="Palatino Linotype"/>
          <w:b/>
          <w:bCs/>
          <w:i/>
          <w:iCs/>
          <w:sz w:val="22"/>
          <w:szCs w:val="22"/>
        </w:rPr>
        <w:t>serán procedentes para su trámite por parte del sujeto obligado ante quien se presente</w:t>
      </w:r>
      <w:r w:rsidRPr="003D7AFF">
        <w:rPr>
          <w:rFonts w:ascii="Palatino Linotype" w:eastAsia="Palatino Linotype" w:hAnsi="Palatino Linotype" w:cs="Palatino Linotype"/>
          <w:i/>
          <w:iCs/>
          <w:sz w:val="22"/>
          <w:szCs w:val="22"/>
        </w:rPr>
        <w:t>. No podrá requerirse información adicional con motivo del nombre proporcionado por el solicitante."</w:t>
      </w:r>
    </w:p>
    <w:p w14:paraId="6DB05E12" w14:textId="77777777" w:rsidR="00475197" w:rsidRPr="003D7AFF" w:rsidRDefault="00475197">
      <w:pPr>
        <w:tabs>
          <w:tab w:val="left" w:pos="7938"/>
        </w:tabs>
        <w:spacing w:line="360" w:lineRule="auto"/>
        <w:jc w:val="both"/>
        <w:rPr>
          <w:rFonts w:ascii="Palatino Linotype" w:eastAsia="Palatino Linotype" w:hAnsi="Palatino Linotype" w:cs="Palatino Linotype"/>
          <w:sz w:val="22"/>
          <w:szCs w:val="22"/>
        </w:rPr>
      </w:pPr>
    </w:p>
    <w:p w14:paraId="2215C8B6"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D7AFF">
        <w:rPr>
          <w:rFonts w:ascii="Palatino Linotype" w:eastAsia="Palatino Linotype" w:hAnsi="Palatino Linotype" w:cs="Palatino Linotype"/>
          <w:b/>
          <w:bCs/>
          <w:sz w:val="22"/>
          <w:szCs w:val="22"/>
        </w:rPr>
        <w:t>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38C1ACD5"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7910427D" w14:textId="77777777" w:rsidR="00475197" w:rsidRPr="003D7AFF" w:rsidRDefault="00DE3EBB">
      <w:pPr>
        <w:ind w:left="567" w:right="902"/>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Artículo 179.</w:t>
      </w:r>
      <w:r w:rsidRPr="003D7AFF">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7FD3B0D0" w14:textId="77777777" w:rsidR="00475197" w:rsidRPr="003D7AFF" w:rsidRDefault="00DE3EBB">
      <w:pPr>
        <w:ind w:left="567" w:right="902"/>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i/>
          <w:iCs/>
          <w:sz w:val="22"/>
          <w:szCs w:val="22"/>
        </w:rPr>
        <w:t>[…]</w:t>
      </w:r>
    </w:p>
    <w:p w14:paraId="7733220E" w14:textId="77777777" w:rsidR="00475197" w:rsidRPr="003D7AFF" w:rsidRDefault="00DE3EBB">
      <w:pPr>
        <w:ind w:left="567" w:right="902"/>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i/>
          <w:iCs/>
          <w:sz w:val="22"/>
          <w:szCs w:val="22"/>
        </w:rPr>
        <w:t>V. La entrega de información incompleta;</w:t>
      </w:r>
    </w:p>
    <w:p w14:paraId="7FAE7515" w14:textId="77777777" w:rsidR="00475197" w:rsidRPr="003D7AFF" w:rsidRDefault="00DE3EBB">
      <w:pPr>
        <w:ind w:left="567" w:right="902"/>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62CEAC86" w14:textId="77777777" w:rsidR="00475197" w:rsidRPr="003D7AFF" w:rsidRDefault="00475197">
      <w:pPr>
        <w:ind w:left="567"/>
        <w:rPr>
          <w:rFonts w:ascii="Palatino Linotype" w:eastAsia="Palatino Linotype" w:hAnsi="Palatino Linotype" w:cs="Palatino Linotype"/>
          <w:b/>
          <w:bCs/>
          <w:i/>
          <w:iCs/>
          <w:sz w:val="22"/>
          <w:szCs w:val="22"/>
        </w:rPr>
      </w:pPr>
    </w:p>
    <w:p w14:paraId="2DBD814C" w14:textId="77777777" w:rsidR="00475197" w:rsidRPr="003D7AFF" w:rsidRDefault="00DE3EBB">
      <w:pPr>
        <w:ind w:left="567" w:right="900"/>
        <w:jc w:val="right"/>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 xml:space="preserve"> </w:t>
      </w:r>
      <w:r w:rsidRPr="003D7AFF">
        <w:rPr>
          <w:rFonts w:ascii="Palatino Linotype" w:eastAsia="Palatino Linotype" w:hAnsi="Palatino Linotype" w:cs="Palatino Linotype"/>
          <w:i/>
          <w:iCs/>
          <w:sz w:val="22"/>
          <w:szCs w:val="22"/>
        </w:rPr>
        <w:t>(Énfasis añadido)</w:t>
      </w:r>
    </w:p>
    <w:p w14:paraId="5A161AAC" w14:textId="77777777" w:rsidR="00475197" w:rsidRPr="003D7AFF" w:rsidRDefault="00475197">
      <w:pPr>
        <w:ind w:left="567" w:right="900"/>
        <w:jc w:val="right"/>
        <w:rPr>
          <w:rFonts w:ascii="Palatino Linotype" w:eastAsia="Palatino Linotype" w:hAnsi="Palatino Linotype" w:cs="Palatino Linotype"/>
          <w:b/>
          <w:bCs/>
          <w:i/>
          <w:iCs/>
          <w:sz w:val="22"/>
          <w:szCs w:val="22"/>
        </w:rPr>
      </w:pPr>
    </w:p>
    <w:p w14:paraId="1D0A1F10" w14:textId="77777777" w:rsidR="00475197" w:rsidRPr="003D7AFF" w:rsidRDefault="00DE3EBB">
      <w:pPr>
        <w:spacing w:line="360" w:lineRule="auto"/>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t xml:space="preserve">Tercero. Materia de la revisión. </w:t>
      </w:r>
      <w:r w:rsidRPr="003D7AF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D7AFF">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3D7AFF">
        <w:rPr>
          <w:rFonts w:ascii="Palatino Linotype" w:eastAsia="Palatino Linotype" w:hAnsi="Palatino Linotype" w:cs="Palatino Linotype"/>
          <w:sz w:val="22"/>
          <w:szCs w:val="22"/>
        </w:rPr>
        <w:t xml:space="preserve"> o en su defecto, en caso de ser procedente, ordenar la entrega de la información oportuna.</w:t>
      </w:r>
    </w:p>
    <w:p w14:paraId="285675D7"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17F38875" w14:textId="77777777" w:rsidR="00475197" w:rsidRPr="003D7AFF" w:rsidRDefault="00DE3EB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 xml:space="preserve">Cuarto. Estudio del asunto. </w:t>
      </w:r>
      <w:r w:rsidRPr="003D7AFF">
        <w:rPr>
          <w:rFonts w:ascii="Palatino Linotype" w:eastAsia="Palatino Linotype" w:hAnsi="Palatino Linotype" w:cs="Palatino Linotype"/>
          <w:sz w:val="22"/>
          <w:szCs w:val="22"/>
        </w:rPr>
        <w:t xml:space="preserve">Antes de entrar al análisis de los pronunciamientos del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C6B1B0" w14:textId="77777777" w:rsidR="00475197" w:rsidRPr="003D7AFF" w:rsidRDefault="004751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9BAE31"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Artículo 4</w:t>
      </w:r>
      <w:r w:rsidRPr="003D7AFF">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0764E04" w14:textId="77777777" w:rsidR="00475197" w:rsidRPr="003D7AFF" w:rsidRDefault="00475197">
      <w:pPr>
        <w:spacing w:line="276" w:lineRule="auto"/>
        <w:ind w:left="851" w:right="843"/>
        <w:jc w:val="both"/>
        <w:rPr>
          <w:rFonts w:ascii="Palatino Linotype" w:eastAsia="Palatino Linotype" w:hAnsi="Palatino Linotype" w:cs="Palatino Linotype"/>
          <w:i/>
          <w:iCs/>
          <w:sz w:val="22"/>
          <w:szCs w:val="22"/>
        </w:rPr>
      </w:pPr>
    </w:p>
    <w:p w14:paraId="159BBC7B"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3D7AFF">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9A8A09" w14:textId="77777777" w:rsidR="00475197" w:rsidRPr="003D7AFF" w:rsidRDefault="00475197">
      <w:pPr>
        <w:spacing w:line="276" w:lineRule="auto"/>
        <w:ind w:left="851" w:right="843"/>
        <w:jc w:val="both"/>
        <w:rPr>
          <w:rFonts w:ascii="Palatino Linotype" w:eastAsia="Palatino Linotype" w:hAnsi="Palatino Linotype" w:cs="Palatino Linotype"/>
          <w:i/>
          <w:iCs/>
          <w:sz w:val="22"/>
          <w:szCs w:val="22"/>
        </w:rPr>
      </w:pPr>
    </w:p>
    <w:p w14:paraId="4DAE3C75"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3D7AFF">
        <w:rPr>
          <w:rFonts w:ascii="Palatino Linotype" w:eastAsia="Palatino Linotype" w:hAnsi="Palatino Linotype" w:cs="Palatino Linotype"/>
          <w:i/>
          <w:iCs/>
          <w:sz w:val="22"/>
          <w:szCs w:val="22"/>
        </w:rPr>
        <w:t>.”</w:t>
      </w:r>
    </w:p>
    <w:p w14:paraId="30522F65"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5BF0F5D4"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613B270"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7CB14627" w14:textId="77777777" w:rsidR="00475197" w:rsidRPr="003D7AFF" w:rsidRDefault="00DE3EBB">
      <w:pPr>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Artículo 12.-</w:t>
      </w:r>
      <w:r w:rsidRPr="003D7AFF">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37DD53B5" w14:textId="77777777" w:rsidR="00475197" w:rsidRPr="003D7AFF" w:rsidRDefault="00475197">
      <w:pPr>
        <w:ind w:left="851" w:right="843"/>
        <w:jc w:val="both"/>
        <w:rPr>
          <w:rFonts w:ascii="Palatino Linotype" w:eastAsia="Palatino Linotype" w:hAnsi="Palatino Linotype" w:cs="Palatino Linotype"/>
          <w:i/>
          <w:iCs/>
          <w:sz w:val="22"/>
          <w:szCs w:val="22"/>
        </w:rPr>
      </w:pPr>
    </w:p>
    <w:p w14:paraId="40E1253D" w14:textId="77777777" w:rsidR="00475197" w:rsidRPr="003D7AFF" w:rsidRDefault="00DE3EBB">
      <w:pPr>
        <w:ind w:left="851" w:right="843"/>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3D7AFF">
        <w:rPr>
          <w:rFonts w:ascii="Palatino Linotype" w:eastAsia="Palatino Linotype" w:hAnsi="Palatino Linotype" w:cs="Palatino Linotype"/>
          <w:i/>
          <w:iCs/>
          <w:sz w:val="22"/>
          <w:szCs w:val="22"/>
        </w:rPr>
        <w:t xml:space="preserve">. </w:t>
      </w:r>
      <w:r w:rsidRPr="003D7AFF">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85E70E0" w14:textId="77777777" w:rsidR="00475197" w:rsidRPr="003D7AFF" w:rsidRDefault="00475197">
      <w:pPr>
        <w:spacing w:line="360" w:lineRule="auto"/>
        <w:ind w:left="567" w:right="616"/>
        <w:jc w:val="both"/>
        <w:rPr>
          <w:rFonts w:ascii="Palatino Linotype" w:eastAsia="Palatino Linotype" w:hAnsi="Palatino Linotype" w:cs="Palatino Linotype"/>
          <w:i/>
          <w:iCs/>
          <w:sz w:val="22"/>
          <w:szCs w:val="22"/>
        </w:rPr>
      </w:pPr>
    </w:p>
    <w:p w14:paraId="7A1D016F" w14:textId="77777777" w:rsidR="00475197" w:rsidRPr="003D7AFF" w:rsidRDefault="00DE3EBB">
      <w:pPr>
        <w:spacing w:line="360" w:lineRule="auto"/>
        <w:ind w:right="-93"/>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5CD0B24" w14:textId="77777777" w:rsidR="00475197" w:rsidRPr="003D7AFF" w:rsidRDefault="00475197">
      <w:pPr>
        <w:spacing w:line="360" w:lineRule="auto"/>
        <w:ind w:right="-93"/>
        <w:jc w:val="both"/>
        <w:rPr>
          <w:rFonts w:ascii="Palatino Linotype" w:eastAsia="Palatino Linotype" w:hAnsi="Palatino Linotype" w:cs="Palatino Linotype"/>
          <w:sz w:val="22"/>
          <w:szCs w:val="22"/>
        </w:rPr>
      </w:pPr>
    </w:p>
    <w:p w14:paraId="66313BD1" w14:textId="77777777" w:rsidR="00475197" w:rsidRPr="003D7AFF" w:rsidRDefault="00DE3EBB">
      <w:pPr>
        <w:spacing w:line="360" w:lineRule="auto"/>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D7AFF">
        <w:rPr>
          <w:rFonts w:ascii="Palatino Linotype" w:eastAsia="Palatino Linotype" w:hAnsi="Palatino Linotype" w:cs="Palatino Linotype"/>
          <w:b/>
          <w:bCs/>
          <w:sz w:val="22"/>
          <w:szCs w:val="22"/>
        </w:rPr>
        <w:t xml:space="preserve"> </w:t>
      </w:r>
    </w:p>
    <w:p w14:paraId="09D0B5AB" w14:textId="77777777" w:rsidR="00475197" w:rsidRPr="003D7AFF" w:rsidRDefault="00475197">
      <w:pPr>
        <w:spacing w:line="360" w:lineRule="auto"/>
        <w:jc w:val="both"/>
        <w:rPr>
          <w:rFonts w:ascii="Palatino Linotype" w:eastAsia="Palatino Linotype" w:hAnsi="Palatino Linotype" w:cs="Palatino Linotype"/>
          <w:b/>
          <w:bCs/>
          <w:sz w:val="22"/>
          <w:szCs w:val="22"/>
        </w:rPr>
      </w:pPr>
    </w:p>
    <w:p w14:paraId="26D61473"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3D7AFF">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DDB4382" w14:textId="77777777" w:rsidR="00475197" w:rsidRPr="003D7AFF" w:rsidRDefault="00475197">
      <w:pPr>
        <w:spacing w:line="360" w:lineRule="auto"/>
        <w:ind w:right="-93"/>
        <w:jc w:val="both"/>
        <w:rPr>
          <w:rFonts w:ascii="Palatino Linotype" w:eastAsia="Palatino Linotype" w:hAnsi="Palatino Linotype" w:cs="Palatino Linotype"/>
          <w:sz w:val="22"/>
          <w:szCs w:val="22"/>
        </w:rPr>
      </w:pPr>
    </w:p>
    <w:p w14:paraId="5FB9DA38"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7F58A41"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21C5DFBE"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F2546E1"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141CEAD3"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4696643"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4A84E85D"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 xml:space="preserve">Artículo 3. </w:t>
      </w:r>
      <w:r w:rsidRPr="003D7AFF">
        <w:rPr>
          <w:rFonts w:ascii="Palatino Linotype" w:eastAsia="Palatino Linotype" w:hAnsi="Palatino Linotype" w:cs="Palatino Linotype"/>
          <w:i/>
          <w:iCs/>
          <w:sz w:val="22"/>
          <w:szCs w:val="22"/>
        </w:rPr>
        <w:t>Para los efectos de la presente Ley se entenderá por:</w:t>
      </w:r>
    </w:p>
    <w:p w14:paraId="67D31153"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274C7951"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XI. Documento:</w:t>
      </w:r>
      <w:r w:rsidRPr="003D7AFF">
        <w:rPr>
          <w:rFonts w:ascii="Palatino Linotype" w:eastAsia="Palatino Linotype" w:hAnsi="Palatino Linotype" w:cs="Palatino Linotype"/>
          <w:i/>
          <w:iCs/>
          <w:sz w:val="22"/>
          <w:szCs w:val="22"/>
        </w:rPr>
        <w:t xml:space="preserve"> Los expedientes, reportes, estudios, actas</w:t>
      </w:r>
      <w:r w:rsidRPr="003D7AFF">
        <w:rPr>
          <w:rFonts w:ascii="Palatino Linotype" w:eastAsia="Palatino Linotype" w:hAnsi="Palatino Linotype" w:cs="Palatino Linotype"/>
          <w:b/>
          <w:bCs/>
          <w:i/>
          <w:iCs/>
          <w:sz w:val="22"/>
          <w:szCs w:val="22"/>
        </w:rPr>
        <w:t>,</w:t>
      </w:r>
      <w:r w:rsidRPr="003D7AFF">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BD6DBF0" w14:textId="77777777" w:rsidR="00475197" w:rsidRPr="003D7AFF" w:rsidRDefault="00475197">
      <w:pPr>
        <w:spacing w:line="360" w:lineRule="auto"/>
        <w:ind w:left="851" w:right="899"/>
        <w:jc w:val="both"/>
        <w:rPr>
          <w:rFonts w:ascii="Palatino Linotype" w:eastAsia="Palatino Linotype" w:hAnsi="Palatino Linotype" w:cs="Palatino Linotype"/>
          <w:sz w:val="22"/>
          <w:szCs w:val="22"/>
        </w:rPr>
      </w:pPr>
    </w:p>
    <w:p w14:paraId="3CC052EA"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939B4D9"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75DBBA80" w14:textId="77777777" w:rsidR="00475197" w:rsidRPr="003D7AFF" w:rsidRDefault="00DE3EBB">
      <w:pPr>
        <w:spacing w:line="276" w:lineRule="auto"/>
        <w:ind w:left="851" w:right="843"/>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sz w:val="22"/>
          <w:szCs w:val="22"/>
        </w:rPr>
        <w:t>“</w:t>
      </w:r>
      <w:r w:rsidRPr="003D7AFF">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3D7AFF">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8EC042"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En </w:t>
      </w:r>
      <w:proofErr w:type="gramStart"/>
      <w:r w:rsidRPr="003D7AFF">
        <w:rPr>
          <w:rFonts w:ascii="Palatino Linotype" w:eastAsia="Palatino Linotype" w:hAnsi="Palatino Linotype" w:cs="Palatino Linotype"/>
          <w:i/>
          <w:iCs/>
          <w:sz w:val="22"/>
          <w:szCs w:val="22"/>
        </w:rPr>
        <w:t>consecuencia</w:t>
      </w:r>
      <w:proofErr w:type="gramEnd"/>
      <w:r w:rsidRPr="003D7AFF">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44724BEA" w14:textId="77777777" w:rsidR="00475197" w:rsidRPr="003D7AFF" w:rsidRDefault="00DE3EBB">
      <w:pPr>
        <w:spacing w:line="276" w:lineRule="auto"/>
        <w:ind w:left="851" w:right="843"/>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3D7AFF">
        <w:rPr>
          <w:rFonts w:ascii="Palatino Linotype" w:eastAsia="Palatino Linotype" w:hAnsi="Palatino Linotype" w:cs="Palatino Linotype"/>
          <w:i/>
          <w:iCs/>
          <w:sz w:val="22"/>
          <w:szCs w:val="22"/>
        </w:rPr>
        <w:t>que</w:t>
      </w:r>
      <w:proofErr w:type="gramEnd"/>
      <w:r w:rsidRPr="003D7AFF">
        <w:rPr>
          <w:rFonts w:ascii="Palatino Linotype" w:eastAsia="Palatino Linotype" w:hAnsi="Palatino Linotype" w:cs="Palatino Linotype"/>
          <w:i/>
          <w:iCs/>
          <w:sz w:val="22"/>
          <w:szCs w:val="22"/>
        </w:rPr>
        <w:t xml:space="preserve"> en ejercicio de las atribuciones conferidas, sea generada por los Sujetos Obligados;</w:t>
      </w:r>
    </w:p>
    <w:p w14:paraId="6FD722BA" w14:textId="77777777" w:rsidR="00475197" w:rsidRPr="003D7AFF" w:rsidRDefault="00DE3EBB">
      <w:pPr>
        <w:spacing w:line="276" w:lineRule="auto"/>
        <w:ind w:left="851" w:right="843"/>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3D7AFF">
        <w:rPr>
          <w:rFonts w:ascii="Palatino Linotype" w:eastAsia="Palatino Linotype" w:hAnsi="Palatino Linotype" w:cs="Palatino Linotype"/>
          <w:b/>
          <w:bCs/>
          <w:i/>
          <w:iCs/>
          <w:sz w:val="22"/>
          <w:szCs w:val="22"/>
        </w:rPr>
        <w:t>que</w:t>
      </w:r>
      <w:proofErr w:type="gramEnd"/>
      <w:r w:rsidRPr="003D7AFF">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2B5C27CB" w14:textId="77777777" w:rsidR="00475197" w:rsidRPr="003D7AFF" w:rsidRDefault="00DE3EBB">
      <w:pPr>
        <w:spacing w:line="276" w:lineRule="auto"/>
        <w:ind w:left="851" w:right="843"/>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3D7AFF">
        <w:rPr>
          <w:rFonts w:ascii="Palatino Linotype" w:eastAsia="Palatino Linotype" w:hAnsi="Palatino Linotype" w:cs="Palatino Linotype"/>
          <w:b/>
          <w:bCs/>
          <w:i/>
          <w:iCs/>
          <w:sz w:val="22"/>
          <w:szCs w:val="22"/>
        </w:rPr>
        <w:t>que</w:t>
      </w:r>
      <w:proofErr w:type="gramEnd"/>
      <w:r w:rsidRPr="003D7AFF">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14:paraId="096F51B8" w14:textId="77777777" w:rsidR="00475197" w:rsidRPr="003D7AFF" w:rsidRDefault="00475197">
      <w:pPr>
        <w:spacing w:line="276" w:lineRule="auto"/>
        <w:ind w:left="567" w:right="616"/>
        <w:jc w:val="both"/>
        <w:rPr>
          <w:rFonts w:ascii="Palatino Linotype" w:eastAsia="Palatino Linotype" w:hAnsi="Palatino Linotype" w:cs="Palatino Linotype"/>
          <w:b/>
          <w:bCs/>
          <w:i/>
          <w:iCs/>
          <w:sz w:val="22"/>
          <w:szCs w:val="22"/>
        </w:rPr>
      </w:pPr>
    </w:p>
    <w:p w14:paraId="0E9EB173"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De ahí que 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D7AFF">
        <w:rPr>
          <w:rFonts w:ascii="Palatino Linotype" w:eastAsia="Palatino Linotype" w:hAnsi="Palatino Linotype" w:cs="Palatino Linotype"/>
          <w:sz w:val="22"/>
          <w:szCs w:val="22"/>
          <w:vertAlign w:val="superscript"/>
        </w:rPr>
        <w:footnoteReference w:id="1"/>
      </w:r>
      <w:r w:rsidRPr="003D7AFF">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D7AFF">
        <w:rPr>
          <w:rFonts w:ascii="Palatino Linotype" w:eastAsia="Palatino Linotype" w:hAnsi="Palatino Linotype" w:cs="Palatino Linotype"/>
          <w:sz w:val="22"/>
          <w:szCs w:val="22"/>
          <w:vertAlign w:val="superscript"/>
        </w:rPr>
        <w:footnoteReference w:id="2"/>
      </w:r>
      <w:r w:rsidRPr="003D7AF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90A45B1" w14:textId="77777777" w:rsidR="00475197" w:rsidRPr="003D7AFF" w:rsidRDefault="004751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A208AFE" w14:textId="77777777" w:rsidR="00475197" w:rsidRPr="003D7AFF" w:rsidRDefault="00DE3EB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Dicho lo anterior, en el caso se analizará el agravio hecho valer por la parte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que actualiza la causal de procedencia prevista en la fracción V del artículo 179 de la Ley de Transparencia y Acceso a la Información del Estado de México y Municipios, relativa a </w:t>
      </w:r>
      <w:r w:rsidRPr="003D7AFF">
        <w:rPr>
          <w:rFonts w:ascii="Palatino Linotype" w:eastAsia="Palatino Linotype" w:hAnsi="Palatino Linotype" w:cs="Palatino Linotype"/>
          <w:b/>
          <w:bCs/>
          <w:sz w:val="22"/>
          <w:szCs w:val="22"/>
          <w:u w:val="single"/>
        </w:rPr>
        <w:t>la entrega de información incompleta.</w:t>
      </w:r>
    </w:p>
    <w:p w14:paraId="6D80F721" w14:textId="77777777" w:rsidR="00475197" w:rsidRPr="003D7AFF" w:rsidRDefault="004751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795AA6C" w14:textId="77777777" w:rsidR="00475197" w:rsidRPr="003D7AFF" w:rsidRDefault="00DE3EB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Para ello, conviene iniciar el presente estudio señalando que la persona solicitante requirió del </w:t>
      </w:r>
      <w:r w:rsidRPr="003D7AFF">
        <w:rPr>
          <w:rFonts w:ascii="Palatino Linotype" w:eastAsia="Palatino Linotype" w:hAnsi="Palatino Linotype" w:cs="Palatino Linotype"/>
          <w:b/>
          <w:bCs/>
          <w:sz w:val="22"/>
          <w:szCs w:val="22"/>
        </w:rPr>
        <w:t xml:space="preserve">Sujeto Obligado, </w:t>
      </w:r>
      <w:r w:rsidRPr="003D7AFF">
        <w:rPr>
          <w:rFonts w:ascii="Palatino Linotype" w:eastAsia="Palatino Linotype" w:hAnsi="Palatino Linotype" w:cs="Palatino Linotype"/>
          <w:sz w:val="22"/>
          <w:szCs w:val="22"/>
        </w:rPr>
        <w:t>lo siguiente:</w:t>
      </w:r>
    </w:p>
    <w:p w14:paraId="13B7A769" w14:textId="77777777" w:rsidR="00475197" w:rsidRPr="003D7AFF" w:rsidRDefault="004751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79E2723" w14:textId="77777777" w:rsidR="00475197" w:rsidRPr="003D7AFF" w:rsidRDefault="00DE3EBB">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t xml:space="preserve">Los nombramientos </w:t>
      </w:r>
      <w:r w:rsidRPr="003D7AFF">
        <w:rPr>
          <w:rFonts w:ascii="Palatino Linotype" w:eastAsia="Palatino Linotype" w:hAnsi="Palatino Linotype" w:cs="Palatino Linotype"/>
          <w:b/>
          <w:bCs/>
          <w:sz w:val="22"/>
          <w:szCs w:val="22"/>
          <w:u w:val="single"/>
        </w:rPr>
        <w:t>de los encargados</w:t>
      </w:r>
      <w:r w:rsidRPr="003D7AFF">
        <w:rPr>
          <w:rFonts w:ascii="Palatino Linotype" w:eastAsia="Palatino Linotype" w:hAnsi="Palatino Linotype" w:cs="Palatino Linotype"/>
          <w:b/>
          <w:bCs/>
          <w:sz w:val="22"/>
          <w:szCs w:val="22"/>
        </w:rPr>
        <w:t xml:space="preserve"> de las áreas que integran la actual Administración Pública Municipal vigentes a la fecha de la solicitud, esto es al 19 de agosto de 2025.</w:t>
      </w:r>
    </w:p>
    <w:p w14:paraId="595021D6" w14:textId="77777777" w:rsidR="00475197" w:rsidRPr="003D7AFF" w:rsidRDefault="00DE3EBB">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t>Los nombramientos que les fueron renovados a los encargados de las áreas, señalados en el punto anterior, después de vencido el plazo previsto en la Ley Orgánica Municipal del Estado de México.</w:t>
      </w:r>
    </w:p>
    <w:p w14:paraId="722EEA74" w14:textId="77777777" w:rsidR="00475197" w:rsidRPr="003D7AFF" w:rsidRDefault="00DE3EBB">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b/>
          <w:bCs/>
          <w:sz w:val="22"/>
          <w:szCs w:val="22"/>
        </w:rPr>
        <w:t>Los nombramientos como Titulares de Área, de los servidores públicos que habiendo sido nombrados como encargados de área en la actual Administración Pública Municipal 2025-2027, a la fecha de la solicitud (19 de agosto de 2025) ya han sido designados como titulares.</w:t>
      </w:r>
    </w:p>
    <w:p w14:paraId="0CE54A92" w14:textId="77777777" w:rsidR="00475197" w:rsidRPr="003D7AFF" w:rsidRDefault="004751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36A8234" w14:textId="77777777" w:rsidR="00475197" w:rsidRPr="003D7AFF" w:rsidRDefault="00DE3EB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9" w:name="_heading=h.1y810tw" w:colFirst="0" w:colLast="0"/>
      <w:bookmarkEnd w:id="9"/>
      <w:r w:rsidRPr="003D7AFF">
        <w:rPr>
          <w:rFonts w:ascii="Palatino Linotype" w:eastAsia="Palatino Linotype" w:hAnsi="Palatino Linotype" w:cs="Palatino Linotype"/>
          <w:sz w:val="22"/>
          <w:szCs w:val="22"/>
        </w:rPr>
        <w:t xml:space="preserve">En respuesta </w:t>
      </w:r>
      <w:r w:rsidRPr="003D7AFF">
        <w:rPr>
          <w:rFonts w:ascii="Palatino Linotype" w:eastAsia="Palatino Linotype" w:hAnsi="Palatino Linotype" w:cs="Palatino Linotype"/>
          <w:b/>
          <w:bCs/>
          <w:sz w:val="22"/>
          <w:szCs w:val="22"/>
        </w:rPr>
        <w:t xml:space="preserve">el Sujeto Obligado </w:t>
      </w:r>
      <w:r w:rsidRPr="003D7AFF">
        <w:rPr>
          <w:rFonts w:ascii="Palatino Linotype" w:eastAsia="Palatino Linotype" w:hAnsi="Palatino Linotype" w:cs="Palatino Linotype"/>
          <w:sz w:val="22"/>
          <w:szCs w:val="22"/>
        </w:rPr>
        <w:t>se pronunció por conducto de la Encargada del Departamento de Recursos Humanos con relación al requerimiento relativo a los nombramientos de los encargados de las áreas que integran la actual Administración Pública Municipal, remitió 21 nombramientos de los servidores públicos que actualmente son encargados de las siguientes áreas: Coordinación de Autoridades Auxiliares, Coordinación de Giras y Logística, del Departamento de Auditoría, del Departamento de Investigación, de la Consejería Jurídica y Consultiva, de la Dirección de Gobernación, Subdirección de Ingresos, Subdirección de Egresos, del Departamento de Catastro, Dirección de Administración y Desarrollo del Personal, del Departamento de Recursos Humanos, de la Dirección de Desarrollo Económico, Dirección de Desarrollo Rural, Subdirección de Cultura, Dirección de Educación, Subdirección de Servicios Públicos, Dirección de Medio Ambiente y Desarrollo Sostenible, Subdirección de Proyectos Ecológicos, Subdirección Operativa Forestal, Dirección de la Juventud y Dirección de la Mujer.</w:t>
      </w:r>
    </w:p>
    <w:p w14:paraId="3811E373" w14:textId="77777777" w:rsidR="00475197" w:rsidRPr="003D7AFF" w:rsidRDefault="004751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14F9576" w14:textId="77777777" w:rsidR="00475197" w:rsidRPr="003D7AFF" w:rsidRDefault="00DE3EBB">
      <w:pPr>
        <w:spacing w:line="360" w:lineRule="auto"/>
        <w:ind w:right="49"/>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sz w:val="22"/>
          <w:szCs w:val="22"/>
        </w:rPr>
        <w:t xml:space="preserve">Inconforme con la respuesta, la parte </w:t>
      </w:r>
      <w:r w:rsidRPr="003D7AFF">
        <w:rPr>
          <w:rFonts w:ascii="Palatino Linotype" w:eastAsia="Palatino Linotype" w:hAnsi="Palatino Linotype" w:cs="Palatino Linotype"/>
          <w:b/>
          <w:bCs/>
          <w:sz w:val="22"/>
          <w:szCs w:val="22"/>
        </w:rPr>
        <w:t xml:space="preserve">Recurrente </w:t>
      </w:r>
      <w:r w:rsidRPr="003D7AFF">
        <w:rPr>
          <w:rFonts w:ascii="Palatino Linotype" w:eastAsia="Palatino Linotype" w:hAnsi="Palatino Linotype" w:cs="Palatino Linotype"/>
          <w:sz w:val="22"/>
          <w:szCs w:val="22"/>
        </w:rPr>
        <w:t xml:space="preserve">promovió el presente recurso de revisión en el que a manera de motivos de inconformidad </w:t>
      </w:r>
      <w:r w:rsidRPr="003D7AFF">
        <w:rPr>
          <w:rFonts w:ascii="Palatino Linotype" w:eastAsia="Palatino Linotype" w:hAnsi="Palatino Linotype" w:cs="Palatino Linotype"/>
          <w:b/>
          <w:bCs/>
          <w:sz w:val="22"/>
          <w:szCs w:val="22"/>
        </w:rPr>
        <w:t>se adolece medularmente de la entrega de información incompleta, en razón que el particular refiere que le entregaron los últimos nombramientos de los encargados, haciendo falta la entrega de los nombramientos renovados a los servidores públicos que fungían como encargados o, en su defecto sus nombramientos como titulares de las diferentes áreas del ente público.</w:t>
      </w:r>
    </w:p>
    <w:p w14:paraId="05258BD0"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0C716A08"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Admitido el presente recurso de revisión, en términos del artículo 185 fracción II</w:t>
      </w:r>
      <w:r w:rsidRPr="003D7AFF">
        <w:rPr>
          <w:rFonts w:ascii="Palatino Linotype" w:eastAsia="Palatino Linotype" w:hAnsi="Palatino Linotype" w:cs="Palatino Linotype"/>
          <w:sz w:val="22"/>
          <w:szCs w:val="22"/>
          <w:vertAlign w:val="superscript"/>
        </w:rPr>
        <w:footnoteReference w:id="3"/>
      </w:r>
      <w:r w:rsidRPr="003D7AFF">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5FD629C"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14BCF33C"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De las constancias que integran el expediente en que se actúa se advierte que las partes fueron omisas en hacer valer manifestaciones.</w:t>
      </w:r>
    </w:p>
    <w:p w14:paraId="2FCC0250"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408195C6" w14:textId="77777777" w:rsidR="00475197" w:rsidRPr="003D7AFF" w:rsidRDefault="00DE3EB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Acotado lo anterior, en el caso no pasa por desapercibido que </w:t>
      </w:r>
      <w:r w:rsidRPr="003D7AFF">
        <w:rPr>
          <w:rFonts w:ascii="Palatino Linotype" w:eastAsia="Palatino Linotype" w:hAnsi="Palatino Linotype" w:cs="Palatino Linotype"/>
          <w:b/>
          <w:bCs/>
          <w:sz w:val="22"/>
          <w:szCs w:val="22"/>
        </w:rPr>
        <w:t>los motivos de inconformidad no versan sobre la totalidad de la información requerida</w:t>
      </w:r>
      <w:r w:rsidRPr="003D7AFF">
        <w:rPr>
          <w:rFonts w:ascii="Palatino Linotype" w:eastAsia="Palatino Linotype" w:hAnsi="Palatino Linotype" w:cs="Palatino Linotype"/>
          <w:sz w:val="22"/>
          <w:szCs w:val="22"/>
        </w:rPr>
        <w:t xml:space="preserve">, sino de que </w:t>
      </w:r>
      <w:r w:rsidRPr="003D7AFF">
        <w:rPr>
          <w:rFonts w:ascii="Palatino Linotype" w:eastAsia="Palatino Linotype" w:hAnsi="Palatino Linotype" w:cs="Palatino Linotype"/>
          <w:b/>
          <w:bCs/>
          <w:sz w:val="22"/>
          <w:szCs w:val="22"/>
        </w:rPr>
        <w:t>no se proporcionaron los nombramientos renovados a los servidores públicos que fungían como encargados o, en su defecto sus nombramientos como titulares de las diferentes áreas del ente público.</w:t>
      </w:r>
    </w:p>
    <w:p w14:paraId="465B972F" w14:textId="77777777" w:rsidR="00475197" w:rsidRPr="003D7AFF" w:rsidRDefault="00475197">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42C3C023" w14:textId="77777777" w:rsidR="00475197" w:rsidRPr="003D7AFF" w:rsidRDefault="00DE3EB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En consecuencia, en el caso se considera que el particular en primer lugar consintió la entrega de los </w:t>
      </w:r>
      <w:r w:rsidRPr="003D7AFF">
        <w:rPr>
          <w:rFonts w:ascii="Palatino Linotype" w:eastAsia="Palatino Linotype" w:hAnsi="Palatino Linotype" w:cs="Palatino Linotype"/>
          <w:b/>
          <w:bCs/>
          <w:sz w:val="22"/>
          <w:szCs w:val="22"/>
        </w:rPr>
        <w:t>nombramientos de los encargados de área, proporcionados en respuesta.</w:t>
      </w:r>
    </w:p>
    <w:p w14:paraId="6AAEE54A" w14:textId="77777777" w:rsidR="00475197" w:rsidRPr="003D7AFF" w:rsidRDefault="004751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29F3B46"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Lo anterior es así, debido a que cuando la parte </w:t>
      </w:r>
      <w:r w:rsidRPr="003D7AFF">
        <w:rPr>
          <w:rFonts w:ascii="Palatino Linotype" w:eastAsia="Palatino Linotype" w:hAnsi="Palatino Linotype" w:cs="Palatino Linotype"/>
          <w:b/>
          <w:bCs/>
          <w:sz w:val="22"/>
          <w:szCs w:val="22"/>
        </w:rPr>
        <w:t xml:space="preserve">Recurrente </w:t>
      </w:r>
      <w:r w:rsidRPr="003D7AFF">
        <w:rPr>
          <w:rFonts w:ascii="Palatino Linotype" w:eastAsia="Palatino Linotype" w:hAnsi="Palatino Linotype" w:cs="Palatino Linotype"/>
          <w:sz w:val="22"/>
          <w:szCs w:val="22"/>
        </w:rPr>
        <w:t xml:space="preserve">impugna la respuesta del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1B1BBC7"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5A7DA8D8" w14:textId="77777777" w:rsidR="00475197" w:rsidRPr="003D7AFF" w:rsidRDefault="00DE3EBB">
      <w:pPr>
        <w:spacing w:line="276" w:lineRule="auto"/>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 xml:space="preserve">“REVISIÓN EN AMPARO. LOS RESOLUTIVOS NO COMBATIDOS DEBEN DECLARARSE FIRMES. </w:t>
      </w:r>
      <w:r w:rsidRPr="003D7AFF">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1C3415C" w14:textId="77777777" w:rsidR="00475197" w:rsidRPr="003D7AFF" w:rsidRDefault="00475197">
      <w:pPr>
        <w:spacing w:line="276" w:lineRule="auto"/>
        <w:ind w:left="567" w:right="616"/>
        <w:jc w:val="both"/>
        <w:rPr>
          <w:rFonts w:ascii="Palatino Linotype" w:eastAsia="Palatino Linotype" w:hAnsi="Palatino Linotype" w:cs="Palatino Linotype"/>
          <w:i/>
          <w:iCs/>
          <w:sz w:val="22"/>
          <w:szCs w:val="22"/>
        </w:rPr>
      </w:pPr>
    </w:p>
    <w:p w14:paraId="5AAF268F"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Consecuentemente, se insiste, ante la falta de impugnación eficaz de todos los rubros solicitados, </w:t>
      </w:r>
      <w:r w:rsidRPr="003D7AFF">
        <w:rPr>
          <w:rFonts w:ascii="Palatino Linotype" w:eastAsia="Palatino Linotype" w:hAnsi="Palatino Linotype" w:cs="Palatino Linotype"/>
          <w:b/>
          <w:bCs/>
          <w:sz w:val="22"/>
          <w:szCs w:val="22"/>
        </w:rPr>
        <w:t>los no impugnados deben declararse consentidos.</w:t>
      </w:r>
    </w:p>
    <w:p w14:paraId="0C672860"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6C8497FB"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35C75F5C"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3CA22AE8" w14:textId="77777777" w:rsidR="00475197" w:rsidRPr="003D7AFF" w:rsidRDefault="00DE3EBB">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 xml:space="preserve">Actos consentidos tácitamente. Improcedencia de su análisis. </w:t>
      </w:r>
      <w:r w:rsidRPr="003D7AFF">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454E1FF" w14:textId="77777777" w:rsidR="00475197" w:rsidRPr="003D7AFF" w:rsidRDefault="00475197">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376EB3B4"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2CF0BF7B" w14:textId="77777777" w:rsidR="00475197" w:rsidRPr="003D7AFF" w:rsidRDefault="00475197">
      <w:pPr>
        <w:spacing w:line="360" w:lineRule="auto"/>
        <w:ind w:left="851" w:right="900"/>
        <w:jc w:val="both"/>
        <w:rPr>
          <w:rFonts w:ascii="Palatino Linotype" w:eastAsia="Palatino Linotype" w:hAnsi="Palatino Linotype" w:cs="Palatino Linotype"/>
          <w:b/>
          <w:bCs/>
          <w:i/>
          <w:iCs/>
          <w:smallCaps/>
          <w:sz w:val="22"/>
          <w:szCs w:val="22"/>
        </w:rPr>
      </w:pPr>
    </w:p>
    <w:p w14:paraId="2AEEA947" w14:textId="77777777" w:rsidR="00475197" w:rsidRPr="003D7AFF" w:rsidRDefault="00DE3EBB">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i/>
          <w:iCs/>
          <w:smallCaps/>
          <w:sz w:val="22"/>
          <w:szCs w:val="22"/>
        </w:rPr>
        <w:t xml:space="preserve">“ACTOS CONSENTIDOS. SON LOS QUE NO SE IMPUGNAN MEDIANTE EL RECURSO IDÓNEO. </w:t>
      </w:r>
      <w:r w:rsidRPr="003D7AFF">
        <w:rPr>
          <w:rFonts w:ascii="Palatino Linotype" w:eastAsia="Palatino Linotype" w:hAnsi="Palatino Linotype" w:cs="Palatino Linotype"/>
          <w:i/>
          <w:iCs/>
          <w:sz w:val="22"/>
          <w:szCs w:val="22"/>
        </w:rPr>
        <w:t xml:space="preserve">Debe reputarse como consentido el acto que no se impugnó por el medio establecido por la ley, </w:t>
      </w:r>
      <w:proofErr w:type="gramStart"/>
      <w:r w:rsidRPr="003D7AFF">
        <w:rPr>
          <w:rFonts w:ascii="Palatino Linotype" w:eastAsia="Palatino Linotype" w:hAnsi="Palatino Linotype" w:cs="Palatino Linotype"/>
          <w:i/>
          <w:iCs/>
          <w:sz w:val="22"/>
          <w:szCs w:val="22"/>
        </w:rPr>
        <w:t>ya que</w:t>
      </w:r>
      <w:proofErr w:type="gramEnd"/>
      <w:r w:rsidRPr="003D7AFF">
        <w:rPr>
          <w:rFonts w:ascii="Palatino Linotype" w:eastAsia="Palatino Linotype" w:hAnsi="Palatino Linotype" w:cs="Palatino Linotype"/>
          <w:i/>
          <w:iCs/>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E0C93C" w14:textId="77777777" w:rsidR="00475197" w:rsidRPr="003D7AFF" w:rsidRDefault="004751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94BE5D"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Por tanto, el presente estudio versara únicamente respecto a la falta de entrega de </w:t>
      </w:r>
      <w:r w:rsidRPr="003D7AFF">
        <w:rPr>
          <w:rFonts w:ascii="Palatino Linotype" w:eastAsia="Palatino Linotype" w:hAnsi="Palatino Linotype" w:cs="Palatino Linotype"/>
          <w:b/>
          <w:bCs/>
          <w:sz w:val="22"/>
          <w:szCs w:val="22"/>
        </w:rPr>
        <w:t>los nombramientos renovados a los servidores públicos que fungían como encargados de área en la actual Administración Pública Municipal y de los nombramientos como titulares de área de los servidores públicos que habiendo sido nombrados como encargados de área en la actual Administración Pública Municipal, a la fecha de la solicitud (19 de agosto de 2025) ya hayan sido designados como titulares.</w:t>
      </w:r>
    </w:p>
    <w:p w14:paraId="6757DF22" w14:textId="77777777" w:rsidR="00475197" w:rsidRPr="003D7AFF" w:rsidRDefault="00475197"/>
    <w:p w14:paraId="31180407"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Expuestas las posturas de las partes, en el caso es de recordar que quien se pronunció sobre lo requerido fue la Encargada del Departamento de Recursos Humanos, quien se presume es la unidad administrativa competente, en razón de que es la encargada de integrar y mantener actualizados los expedientes laborales del personal adscrito al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w:t>
      </w:r>
    </w:p>
    <w:p w14:paraId="015F50DF"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40AE23B3" w14:textId="77777777" w:rsidR="00475197" w:rsidRPr="003D7AFF" w:rsidRDefault="00DE3EBB">
      <w:pPr>
        <w:widowControl w:val="0"/>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En consecuencia, se pronunció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39C55B4" w14:textId="77777777" w:rsidR="00475197" w:rsidRPr="003D7AFF" w:rsidRDefault="00475197"/>
    <w:p w14:paraId="4F90D13A" w14:textId="77777777" w:rsidR="00475197" w:rsidRPr="003D7AFF" w:rsidRDefault="00DE3EBB">
      <w:pPr>
        <w:pBdr>
          <w:top w:val="nil"/>
          <w:left w:val="nil"/>
          <w:bottom w:val="nil"/>
          <w:right w:val="nil"/>
          <w:between w:val="nil"/>
        </w:pBdr>
        <w:ind w:left="864" w:right="864"/>
        <w:jc w:val="both"/>
      </w:pPr>
      <w:r w:rsidRPr="003D7AFF">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1B77B36" w14:textId="77777777" w:rsidR="00475197" w:rsidRPr="003D7AFF" w:rsidRDefault="00475197"/>
    <w:p w14:paraId="76FE719F" w14:textId="77777777" w:rsidR="00475197" w:rsidRPr="003D7AFF" w:rsidRDefault="00DE3EBB">
      <w:pPr>
        <w:pBdr>
          <w:top w:val="nil"/>
          <w:left w:val="nil"/>
          <w:bottom w:val="nil"/>
          <w:right w:val="nil"/>
          <w:between w:val="nil"/>
        </w:pBdr>
        <w:shd w:val="clear" w:color="auto" w:fill="FFFFFF"/>
        <w:spacing w:line="360" w:lineRule="auto"/>
        <w:jc w:val="both"/>
        <w:rPr>
          <w:sz w:val="22"/>
          <w:szCs w:val="22"/>
        </w:rPr>
      </w:pPr>
      <w:r w:rsidRPr="003D7AFF">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A59EB02" w14:textId="77777777" w:rsidR="00475197" w:rsidRPr="003D7AFF" w:rsidRDefault="00475197"/>
    <w:p w14:paraId="06997B14" w14:textId="77777777" w:rsidR="00475197" w:rsidRPr="003D7AFF" w:rsidRDefault="00DE3EBB">
      <w:pPr>
        <w:pBdr>
          <w:top w:val="nil"/>
          <w:left w:val="nil"/>
          <w:bottom w:val="nil"/>
          <w:right w:val="nil"/>
          <w:between w:val="nil"/>
        </w:pBdr>
        <w:ind w:left="864" w:right="864"/>
        <w:jc w:val="both"/>
      </w:pPr>
      <w:r w:rsidRPr="003D7AFF">
        <w:rPr>
          <w:rFonts w:ascii="Palatino Linotype" w:eastAsia="Palatino Linotype" w:hAnsi="Palatino Linotype" w:cs="Palatino Linotype"/>
          <w:i/>
          <w:iCs/>
          <w:sz w:val="22"/>
          <w:szCs w:val="22"/>
        </w:rPr>
        <w:t xml:space="preserve">“Artículo 162. Las unidades de transparencia deberán garantizar que las solicitudes </w:t>
      </w:r>
      <w:r w:rsidRPr="003D7AFF">
        <w:rPr>
          <w:rFonts w:ascii="Palatino Linotype" w:eastAsia="Palatino Linotype" w:hAnsi="Palatino Linotype" w:cs="Palatino Linotype"/>
          <w:b/>
          <w:bCs/>
          <w:i/>
          <w:iCs/>
          <w:sz w:val="22"/>
          <w:szCs w:val="22"/>
        </w:rPr>
        <w:t xml:space="preserve">se turnen a todas las Áreas competentes </w:t>
      </w:r>
      <w:r w:rsidRPr="003D7AFF">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49136F74"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09A79008"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Ahora, atendiendo la naturaleza de la información requerida, conviene traer a contexto el contenido de los artículos 31 fracción XVII y 41 de la Ley Orgánica Municipal del Estado de México, que disponen lo siguiente:</w:t>
      </w:r>
    </w:p>
    <w:p w14:paraId="7C4D430B"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3B11E96B" w14:textId="77777777" w:rsidR="00475197" w:rsidRPr="003D7AFF" w:rsidRDefault="00DE3EBB">
      <w:pPr>
        <w:spacing w:line="276" w:lineRule="auto"/>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 “Artículo 31.- Son atribuciones de los ayuntamientos:</w:t>
      </w:r>
    </w:p>
    <w:p w14:paraId="3934816B" w14:textId="77777777" w:rsidR="00475197" w:rsidRPr="003D7AFF" w:rsidRDefault="00DE3EBB">
      <w:pPr>
        <w:spacing w:line="276" w:lineRule="auto"/>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2E55ADA7" w14:textId="77777777" w:rsidR="00475197" w:rsidRPr="003D7AFF" w:rsidRDefault="00DE3EBB">
      <w:pPr>
        <w:spacing w:line="276" w:lineRule="auto"/>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 xml:space="preserve">XVII. Nombrar y remover a las personas titulares </w:t>
      </w:r>
      <w:r w:rsidRPr="003D7AFF">
        <w:rPr>
          <w:rFonts w:ascii="Palatino Linotype" w:eastAsia="Palatino Linotype" w:hAnsi="Palatino Linotype" w:cs="Palatino Linotype"/>
          <w:i/>
          <w:iCs/>
          <w:sz w:val="22"/>
          <w:szCs w:val="22"/>
        </w:rPr>
        <w:t xml:space="preserve">de la secretaría, tesorería, </w:t>
      </w:r>
      <w:r w:rsidRPr="003D7AFF">
        <w:rPr>
          <w:rFonts w:ascii="Palatino Linotype" w:eastAsia="Palatino Linotype" w:hAnsi="Palatino Linotype" w:cs="Palatino Linotype"/>
          <w:b/>
          <w:bCs/>
          <w:i/>
          <w:iCs/>
          <w:sz w:val="22"/>
          <w:szCs w:val="22"/>
        </w:rPr>
        <w:t>de las unidades administrativas</w:t>
      </w:r>
      <w:r w:rsidRPr="003D7AFF">
        <w:rPr>
          <w:rFonts w:ascii="Palatino Linotype" w:eastAsia="Palatino Linotype" w:hAnsi="Palatino Linotype" w:cs="Palatino Linotype"/>
          <w:i/>
          <w:iCs/>
          <w:sz w:val="22"/>
          <w:szCs w:val="22"/>
        </w:rPr>
        <w:t xml:space="preserve"> y de los organismos auxiliares a propuesta de la persona titular de la presidencia municipal; para la designación de estas se preferirá en igualdad de circunstancias a la ciudadanía del Estado, vecina del municipio; observando los principios de igualdad y equidad y garantizando la paridad de género.</w:t>
      </w:r>
    </w:p>
    <w:p w14:paraId="27F3B9F5"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4C31C11F"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2BCAA94A"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“Artículo 41.- Las faltas temporales del presidente municipal, que no excedan de quince días, las cubrirá el secretario del ayuntamiento, como encargado del despacho; las que excedan de este plazo y hasta por 100 días serán cubiertas por un regidor del propio ayuntamiento que se designe por acuerdo del cabildo, a propuesta del presidente municipal, quien fungirá como presidente municipal por ministerio de ley. </w:t>
      </w:r>
    </w:p>
    <w:p w14:paraId="18CD4C5C"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16F71C0C"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Las faltas temporales de los síndicos serán suplidas por el miembro del ayuntamiento que éste designe, cuando sólo haya un síndico; y cuando haya más de uno, la ausencia será cubierta por el que le siga en número. </w:t>
      </w:r>
    </w:p>
    <w:p w14:paraId="20FBBBCC"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746046DD"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Las faltas de los regidores no se cubrirán, cuando no excedan de quince días y haya el número suficiente de miembros que marca la ley para que los actos del ayuntamiento tengan validez; cuando no haya ese número, o las faltas excedieran el plazo indicado, se llamará al suplente respectivo. </w:t>
      </w:r>
    </w:p>
    <w:p w14:paraId="2C8B909C"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01378220"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Para cubrir las faltas definitivas de los miembros de los ayuntamientos, serán llamados los suplentes respectivos. Si faltase también el suplente para cubrir la vacante que corresponda, la Legislatura, a propuesta del Ejecutivo, designará a los sustitutos. </w:t>
      </w:r>
    </w:p>
    <w:p w14:paraId="4987A3BF"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73A1B0F9" w14:textId="77777777" w:rsidR="00475197" w:rsidRPr="003D7AFF" w:rsidRDefault="00DE3EBB">
      <w:pPr>
        <w:ind w:left="567" w:right="616"/>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i/>
          <w:iCs/>
          <w:sz w:val="22"/>
          <w:szCs w:val="22"/>
        </w:rPr>
        <w:t xml:space="preserve">Las faltas de los servidores públicos titulares de las dependencias y entidades de la administración pública municipal, que no excedan de quince días naturales, se cubrirán conforme se establezca en el reglamento municipal respectivo, o en su caso, con la designación que realice el servidor público que se deba ausentar. En cualquier </w:t>
      </w:r>
      <w:proofErr w:type="gramStart"/>
      <w:r w:rsidRPr="003D7AFF">
        <w:rPr>
          <w:rFonts w:ascii="Palatino Linotype" w:eastAsia="Palatino Linotype" w:hAnsi="Palatino Linotype" w:cs="Palatino Linotype"/>
          <w:b/>
          <w:bCs/>
          <w:i/>
          <w:iCs/>
          <w:sz w:val="22"/>
          <w:szCs w:val="22"/>
        </w:rPr>
        <w:t>caso</w:t>
      </w:r>
      <w:proofErr w:type="gramEnd"/>
      <w:r w:rsidRPr="003D7AFF">
        <w:rPr>
          <w:rFonts w:ascii="Palatino Linotype" w:eastAsia="Palatino Linotype" w:hAnsi="Palatino Linotype" w:cs="Palatino Linotype"/>
          <w:b/>
          <w:bCs/>
          <w:i/>
          <w:iCs/>
          <w:sz w:val="22"/>
          <w:szCs w:val="22"/>
        </w:rPr>
        <w:t xml:space="preserve"> la designación será con el carácter de encargado del despacho y con la aprobación del presidente municipal. </w:t>
      </w:r>
    </w:p>
    <w:p w14:paraId="1D0F3CEA"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6CA0AB9B"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6AE447E7"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52A746A7" w14:textId="77777777" w:rsidR="00475197" w:rsidRPr="003D7AFF" w:rsidRDefault="00DE3EBB">
      <w:pPr>
        <w:ind w:left="567" w:right="616"/>
        <w:jc w:val="both"/>
        <w:rPr>
          <w:rFonts w:ascii="Palatino Linotype" w:eastAsia="Palatino Linotype" w:hAnsi="Palatino Linotype" w:cs="Palatino Linotype"/>
          <w:b/>
          <w:bCs/>
          <w:i/>
          <w:iCs/>
          <w:sz w:val="22"/>
          <w:szCs w:val="22"/>
        </w:rPr>
      </w:pPr>
      <w:r w:rsidRPr="003D7AFF">
        <w:rPr>
          <w:rFonts w:ascii="Palatino Linotype" w:eastAsia="Palatino Linotype" w:hAnsi="Palatino Linotype" w:cs="Palatino Linotype"/>
          <w:b/>
          <w:bCs/>
          <w:i/>
          <w:iCs/>
          <w:sz w:val="22"/>
          <w:szCs w:val="22"/>
        </w:rPr>
        <w:t xml:space="preserve">Si la falta temporal se </w:t>
      </w:r>
      <w:proofErr w:type="gramStart"/>
      <w:r w:rsidRPr="003D7AFF">
        <w:rPr>
          <w:rFonts w:ascii="Palatino Linotype" w:eastAsia="Palatino Linotype" w:hAnsi="Palatino Linotype" w:cs="Palatino Linotype"/>
          <w:b/>
          <w:bCs/>
          <w:i/>
          <w:iCs/>
          <w:sz w:val="22"/>
          <w:szCs w:val="22"/>
        </w:rPr>
        <w:t>convierte</w:t>
      </w:r>
      <w:proofErr w:type="gramEnd"/>
      <w:r w:rsidRPr="003D7AFF">
        <w:rPr>
          <w:rFonts w:ascii="Palatino Linotype" w:eastAsia="Palatino Linotype" w:hAnsi="Palatino Linotype" w:cs="Palatino Linotype"/>
          <w:b/>
          <w:bCs/>
          <w:i/>
          <w:iCs/>
          <w:sz w:val="22"/>
          <w:szCs w:val="22"/>
        </w:rPr>
        <w:t xml:space="preserve"> en definitiva, se procederá conforme lo dispone el artículo 31 fracción XVII de esta Ley. </w:t>
      </w:r>
    </w:p>
    <w:p w14:paraId="764E577F"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367F9361"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Para desempeñarse como encargado de despacho, es necesario reunir los mismos requisitos señalados en el reglamento respectivo para ser titular de las dependencias del ayuntamiento. </w:t>
      </w:r>
    </w:p>
    <w:p w14:paraId="5745CDF9"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2BFBAC37"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Ninguna dependencia o entidad municipal podrá tener un encargado de despacho por un plazo que exceda de sesenta días naturales</w:t>
      </w:r>
      <w:r w:rsidRPr="003D7AFF">
        <w:rPr>
          <w:rFonts w:ascii="Palatino Linotype" w:eastAsia="Palatino Linotype" w:hAnsi="Palatino Linotype" w:cs="Palatino Linotype"/>
          <w:i/>
          <w:iCs/>
          <w:sz w:val="22"/>
          <w:szCs w:val="22"/>
        </w:rPr>
        <w:t>.”</w:t>
      </w:r>
    </w:p>
    <w:p w14:paraId="710A7CE4"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3A661889" w14:textId="77777777" w:rsidR="00475197" w:rsidRPr="003D7AFF" w:rsidRDefault="00DE3EBB">
      <w:pPr>
        <w:ind w:left="567" w:right="616"/>
        <w:jc w:val="right"/>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(Énfasis añadido)</w:t>
      </w:r>
    </w:p>
    <w:p w14:paraId="79C81436" w14:textId="77777777" w:rsidR="00475197" w:rsidRPr="003D7AFF" w:rsidRDefault="00475197">
      <w:pPr>
        <w:ind w:right="616"/>
        <w:jc w:val="both"/>
        <w:rPr>
          <w:rFonts w:ascii="Palatino Linotype" w:eastAsia="Palatino Linotype" w:hAnsi="Palatino Linotype" w:cs="Palatino Linotype"/>
          <w:i/>
          <w:iCs/>
          <w:sz w:val="22"/>
          <w:szCs w:val="22"/>
        </w:rPr>
      </w:pPr>
    </w:p>
    <w:p w14:paraId="0BBC50A9"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De los preceptos legales invocados se desprende que, l</w:t>
      </w:r>
      <w:r w:rsidRPr="003D7AFF">
        <w:rPr>
          <w:rFonts w:ascii="Palatino Linotype" w:eastAsia="Palatino Linotype" w:hAnsi="Palatino Linotype" w:cs="Palatino Linotype"/>
          <w:b/>
          <w:bCs/>
          <w:sz w:val="22"/>
          <w:szCs w:val="22"/>
        </w:rPr>
        <w:t>as faltas de los servidores públicos titulares de las dependencias y entidades de la administración pública municipal, que no excedan de quince días naturales, se cubrirán mediante la designación correspondiente con el carácter de encargado de despacho con la aprobación del presidente municipal.</w:t>
      </w:r>
    </w:p>
    <w:p w14:paraId="526F0C61"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093ACCCB"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proofErr w:type="gramStart"/>
      <w:r w:rsidRPr="003D7AFF">
        <w:rPr>
          <w:rFonts w:ascii="Palatino Linotype" w:eastAsia="Palatino Linotype" w:hAnsi="Palatino Linotype" w:cs="Palatino Linotype"/>
          <w:sz w:val="22"/>
          <w:szCs w:val="22"/>
        </w:rPr>
        <w:t>Asimismo</w:t>
      </w:r>
      <w:proofErr w:type="gramEnd"/>
      <w:r w:rsidRPr="003D7AFF">
        <w:rPr>
          <w:rFonts w:ascii="Palatino Linotype" w:eastAsia="Palatino Linotype" w:hAnsi="Palatino Linotype" w:cs="Palatino Linotype"/>
          <w:sz w:val="22"/>
          <w:szCs w:val="22"/>
        </w:rPr>
        <w:t xml:space="preserve"> se dispone que ninguna dependencia de la Administración Pública Municipal podrá tener un encargado de despacho por un plazo que exceda de sesenta días naturales.</w:t>
      </w:r>
    </w:p>
    <w:p w14:paraId="2FCF3C46"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3C480992"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 xml:space="preserve">Consecuentemente, se indica que, si la falta temporal se </w:t>
      </w:r>
      <w:proofErr w:type="gramStart"/>
      <w:r w:rsidRPr="003D7AFF">
        <w:rPr>
          <w:rFonts w:ascii="Palatino Linotype" w:eastAsia="Palatino Linotype" w:hAnsi="Palatino Linotype" w:cs="Palatino Linotype"/>
          <w:b/>
          <w:bCs/>
          <w:sz w:val="22"/>
          <w:szCs w:val="22"/>
        </w:rPr>
        <w:t>convierte</w:t>
      </w:r>
      <w:proofErr w:type="gramEnd"/>
      <w:r w:rsidRPr="003D7AFF">
        <w:rPr>
          <w:rFonts w:ascii="Palatino Linotype" w:eastAsia="Palatino Linotype" w:hAnsi="Palatino Linotype" w:cs="Palatino Linotype"/>
          <w:b/>
          <w:bCs/>
          <w:sz w:val="22"/>
          <w:szCs w:val="22"/>
        </w:rPr>
        <w:t xml:space="preserve"> en definitiva, se procederá a emitir el nombramiento como titular de la unidad administrativa correspondiente</w:t>
      </w:r>
      <w:r w:rsidRPr="003D7AFF">
        <w:rPr>
          <w:rFonts w:ascii="Palatino Linotype" w:eastAsia="Palatino Linotype" w:hAnsi="Palatino Linotype" w:cs="Palatino Linotype"/>
          <w:sz w:val="22"/>
          <w:szCs w:val="22"/>
        </w:rPr>
        <w:t xml:space="preserve">, conforme lo dispone el artículo 31 fracción XVII de la Ley Orgánica en análisis. </w:t>
      </w:r>
    </w:p>
    <w:p w14:paraId="32A3EC19"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55A54E8D"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Precisado lo anterior, se procede al análisis de los requerimientos de información, así como la información entregada en respuesta a efecto de determinar si se garantizó el derecho de acceso a la información pública del particular, o en su defecto ordenar la información faltante.</w:t>
      </w:r>
    </w:p>
    <w:p w14:paraId="41C35E66"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7F094D76"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En esa tesitura, con relación al requerimiento relativo a “</w:t>
      </w:r>
      <w:r w:rsidRPr="003D7AFF">
        <w:rPr>
          <w:rFonts w:ascii="Palatino Linotype" w:eastAsia="Palatino Linotype" w:hAnsi="Palatino Linotype" w:cs="Palatino Linotype"/>
          <w:b/>
          <w:bCs/>
          <w:i/>
          <w:iCs/>
          <w:sz w:val="22"/>
          <w:szCs w:val="22"/>
        </w:rPr>
        <w:t>los</w:t>
      </w:r>
      <w:r w:rsidRPr="003D7AFF">
        <w:rPr>
          <w:rFonts w:ascii="Palatino Linotype" w:eastAsia="Palatino Linotype" w:hAnsi="Palatino Linotype" w:cs="Palatino Linotype"/>
          <w:i/>
          <w:iCs/>
          <w:sz w:val="22"/>
          <w:szCs w:val="22"/>
        </w:rPr>
        <w:t xml:space="preserve"> </w:t>
      </w:r>
      <w:r w:rsidRPr="003D7AFF">
        <w:rPr>
          <w:rFonts w:ascii="Palatino Linotype" w:eastAsia="Palatino Linotype" w:hAnsi="Palatino Linotype" w:cs="Palatino Linotype"/>
          <w:b/>
          <w:bCs/>
          <w:i/>
          <w:iCs/>
          <w:sz w:val="22"/>
          <w:szCs w:val="22"/>
        </w:rPr>
        <w:t>nombramientos que les fueron renovados a los encargados de las áreas, señalados en el punto anterior, después de vencido el plazo previsto en la Ley Orgánica Municipal del Estado de México</w:t>
      </w:r>
      <w:r w:rsidRPr="003D7AFF">
        <w:rPr>
          <w:rFonts w:ascii="Palatino Linotype" w:eastAsia="Palatino Linotype" w:hAnsi="Palatino Linotype" w:cs="Palatino Linotype"/>
          <w:sz w:val="22"/>
          <w:szCs w:val="22"/>
        </w:rPr>
        <w:t xml:space="preserve">”, es de indicar que, </w:t>
      </w:r>
      <w:r w:rsidRPr="003D7AFF">
        <w:rPr>
          <w:rFonts w:ascii="Palatino Linotype" w:eastAsia="Palatino Linotype" w:hAnsi="Palatino Linotype" w:cs="Palatino Linotype"/>
          <w:b/>
          <w:bCs/>
          <w:sz w:val="22"/>
          <w:szCs w:val="22"/>
          <w:u w:val="single"/>
        </w:rPr>
        <w:t>si bien</w:t>
      </w:r>
      <w:r w:rsidRPr="003D7AFF">
        <w:rPr>
          <w:rFonts w:ascii="Palatino Linotype" w:eastAsia="Palatino Linotype" w:hAnsi="Palatino Linotype" w:cs="Palatino Linotype"/>
          <w:sz w:val="22"/>
          <w:szCs w:val="22"/>
        </w:rPr>
        <w:t xml:space="preserve"> conforme la normatividad antes precisada, ninguna dependencia de la administración pública municipal puede tener un encargado de despacho por un plazo que exceda de sesenta días naturales, </w:t>
      </w:r>
      <w:r w:rsidRPr="003D7AFF">
        <w:rPr>
          <w:rFonts w:ascii="Palatino Linotype" w:eastAsia="Palatino Linotype" w:hAnsi="Palatino Linotype" w:cs="Palatino Linotype"/>
          <w:b/>
          <w:bCs/>
          <w:sz w:val="22"/>
          <w:szCs w:val="22"/>
          <w:u w:val="single"/>
        </w:rPr>
        <w:t>también lo es que</w:t>
      </w:r>
      <w:r w:rsidRPr="003D7AFF">
        <w:rPr>
          <w:rFonts w:ascii="Palatino Linotype" w:eastAsia="Palatino Linotype" w:hAnsi="Palatino Linotype" w:cs="Palatino Linotype"/>
          <w:sz w:val="22"/>
          <w:szCs w:val="22"/>
        </w:rPr>
        <w:t xml:space="preserve"> no se advierte fuente obligacional para que los nombramientos de encargado de despacho sean renovados, pues en todo caso si la falta temporal se convierte en definitiva, se debe proceder a la emisión del nombramiento como titular del área correspondiente.</w:t>
      </w:r>
    </w:p>
    <w:p w14:paraId="22EDA2FA"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11921515"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De ahí que no sea procedente ordenar la entrega de información alguna para atender el requerimiento antes indicado.</w:t>
      </w:r>
    </w:p>
    <w:p w14:paraId="2C3F8C50"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1CF6B00F"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Finalmente, con relación al requerimiento relativo a “</w:t>
      </w:r>
      <w:r w:rsidRPr="003D7AFF">
        <w:rPr>
          <w:rFonts w:ascii="Palatino Linotype" w:eastAsia="Palatino Linotype" w:hAnsi="Palatino Linotype" w:cs="Palatino Linotype"/>
          <w:b/>
          <w:bCs/>
          <w:i/>
          <w:iCs/>
          <w:sz w:val="22"/>
          <w:szCs w:val="22"/>
        </w:rPr>
        <w:t>nombramientos como Titulares de Área, de los servidores públicos que habiendo sido nombrados como encargados de área en la actual Administración Pública Municipal 2025-2027, a la fecha de la solicitud (19 de agosto de 2025) ya habían sido designados como titulares</w:t>
      </w:r>
      <w:r w:rsidRPr="003D7AFF">
        <w:rPr>
          <w:rFonts w:ascii="Palatino Linotype" w:eastAsia="Palatino Linotype" w:hAnsi="Palatino Linotype" w:cs="Palatino Linotype"/>
          <w:sz w:val="22"/>
          <w:szCs w:val="22"/>
        </w:rPr>
        <w:t>”, del análisis a la respuesta se advierte que el ente obligado únicamente remitió los nombramientos de los servidores públicos que a la fecha de la solicitud se encuentran como encargados de área, sin hacer pronunciamiento alguno sobre los nombramientos de los titulares de área que al inicio de actual Administración Pública Municipal habían sido nombrados como encargados de área/despacho.</w:t>
      </w:r>
    </w:p>
    <w:p w14:paraId="3ECCDE81"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5480D766"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De ahí que la respuesta del servidor público habilitado competente carezca de los principios de congruencia y exhaustividad.</w:t>
      </w:r>
    </w:p>
    <w:p w14:paraId="6DD44A67"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04375645" w14:textId="77777777" w:rsidR="00475197" w:rsidRPr="003D7AFF" w:rsidRDefault="00DE3EB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En tal sentido, resulta aplicable el Criterio orientador 02/17 emitido por el Pleno del entonces Instituto Nacional de Transparencia y Acceso a la Información y Protección de Datos Personales, de título y texto siguientes:</w:t>
      </w:r>
    </w:p>
    <w:p w14:paraId="59F54A7D" w14:textId="77777777" w:rsidR="00475197" w:rsidRPr="003D7AFF" w:rsidRDefault="00475197">
      <w:pPr>
        <w:pBdr>
          <w:top w:val="nil"/>
          <w:left w:val="nil"/>
          <w:bottom w:val="nil"/>
          <w:right w:val="nil"/>
          <w:between w:val="nil"/>
        </w:pBdr>
        <w:spacing w:line="360" w:lineRule="auto"/>
        <w:jc w:val="both"/>
      </w:pPr>
    </w:p>
    <w:p w14:paraId="32378ACE" w14:textId="77777777" w:rsidR="00475197" w:rsidRPr="003D7AFF" w:rsidRDefault="00DE3EBB">
      <w:pPr>
        <w:pBdr>
          <w:top w:val="nil"/>
          <w:left w:val="nil"/>
          <w:bottom w:val="nil"/>
          <w:right w:val="nil"/>
          <w:between w:val="nil"/>
        </w:pBdr>
        <w:ind w:left="851" w:right="851"/>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 xml:space="preserve">“Congruencia y exhaustividad. Sus alcances para garantizar el derecho de acceso a la información. </w:t>
      </w:r>
      <w:r w:rsidRPr="003D7AFF">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D7AFF">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sidRPr="003D7AFF">
        <w:rPr>
          <w:rFonts w:ascii="Palatino Linotype" w:eastAsia="Palatino Linotype" w:hAnsi="Palatino Linotype" w:cs="Palatino Linotype"/>
          <w:i/>
          <w:iCs/>
          <w:sz w:val="22"/>
          <w:szCs w:val="22"/>
        </w:rPr>
        <w:t xml:space="preserve">; mientras que </w:t>
      </w:r>
      <w:r w:rsidRPr="003D7AFF">
        <w:rPr>
          <w:rFonts w:ascii="Palatino Linotype" w:eastAsia="Palatino Linotype" w:hAnsi="Palatino Linotype" w:cs="Palatino Linotype"/>
          <w:b/>
          <w:bCs/>
          <w:i/>
          <w:iCs/>
          <w:sz w:val="22"/>
          <w:szCs w:val="22"/>
        </w:rPr>
        <w:t>la exhaustividad significa que dicha respuesta se refiera expresamente a cada uno de los puntos solicitados</w:t>
      </w:r>
      <w:r w:rsidRPr="003D7AFF">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7D4E22C" w14:textId="77777777" w:rsidR="00475197" w:rsidRPr="003D7AFF" w:rsidRDefault="00475197">
      <w:pPr>
        <w:spacing w:line="360" w:lineRule="auto"/>
        <w:ind w:right="-7"/>
        <w:jc w:val="both"/>
        <w:rPr>
          <w:rFonts w:ascii="Palatino Linotype" w:eastAsia="Palatino Linotype" w:hAnsi="Palatino Linotype" w:cs="Palatino Linotype"/>
        </w:rPr>
      </w:pPr>
    </w:p>
    <w:p w14:paraId="5CF56396"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Bajo las consideraciones expuestas, al advertirse un cumplimiento parcial, resulta procedente </w:t>
      </w:r>
      <w:r w:rsidRPr="003D7AFF">
        <w:rPr>
          <w:rFonts w:ascii="Palatino Linotype" w:eastAsia="Palatino Linotype" w:hAnsi="Palatino Linotype" w:cs="Palatino Linotype"/>
          <w:b/>
          <w:bCs/>
          <w:sz w:val="22"/>
          <w:szCs w:val="22"/>
        </w:rPr>
        <w:t xml:space="preserve">Modificar </w:t>
      </w:r>
      <w:r w:rsidRPr="003D7AFF">
        <w:rPr>
          <w:rFonts w:ascii="Palatino Linotype" w:eastAsia="Palatino Linotype" w:hAnsi="Palatino Linotype" w:cs="Palatino Linotype"/>
          <w:sz w:val="22"/>
          <w:szCs w:val="22"/>
        </w:rPr>
        <w:t xml:space="preserve">la respuesta del ente obligado, y ordenar, previa búsqueda exhaustiva y razonable, de ser procedente en versión pública, los documentos donde consten: </w:t>
      </w:r>
      <w:r w:rsidRPr="003D7AFF">
        <w:rPr>
          <w:rFonts w:ascii="Palatino Linotype" w:eastAsia="Palatino Linotype" w:hAnsi="Palatino Linotype" w:cs="Palatino Linotype"/>
          <w:b/>
          <w:bCs/>
          <w:sz w:val="22"/>
          <w:szCs w:val="22"/>
        </w:rPr>
        <w:t>los nombramientos faltantes como Titulares de Área, de los servidores públicos que habiendo sido nombrados como encargados de área en la actual Administración Pública Municipal 2025-2027, a la fecha de la solicitud (19 de agosto de 2025) ya habían sido designados como titulares.</w:t>
      </w:r>
    </w:p>
    <w:p w14:paraId="4CFA54C6"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3A92FD42"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 xml:space="preserve">Sin embargo, para el caso de que posterior a la búsqueda exhaustiva y razonable no se localice la información que se ordena en los archivos del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en razón de que a la fecha de la solicitud no se designaron como titulares de área, a servidores públicos que en la actual Administración Pública Municipal habían sido nombrados como encargados de despacho</w:t>
      </w:r>
      <w:r w:rsidRPr="003D7AFF">
        <w:rPr>
          <w:rFonts w:ascii="Palatino Linotype" w:eastAsia="Palatino Linotype" w:hAnsi="Palatino Linotype" w:cs="Palatino Linotype"/>
          <w:sz w:val="22"/>
          <w:szCs w:val="22"/>
        </w:rPr>
        <w:t xml:space="preserve">, bastará con que así lo haga del conocimiento de la parte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340A91D6"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148995D0"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7D450295"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5B810CE8"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 xml:space="preserve">Quinto. Versión Pública. </w:t>
      </w:r>
      <w:r w:rsidRPr="003D7AFF">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00D90703"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20EEB2B1" w14:textId="77777777" w:rsidR="00475197" w:rsidRPr="003D7AFF" w:rsidRDefault="00DE3EBB">
      <w:pPr>
        <w:spacing w:line="360" w:lineRule="auto"/>
        <w:ind w:right="50"/>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0049F76A" w14:textId="77777777" w:rsidR="00475197" w:rsidRPr="003D7AFF" w:rsidRDefault="00475197">
      <w:pPr>
        <w:spacing w:line="360" w:lineRule="auto"/>
        <w:ind w:right="50"/>
        <w:jc w:val="both"/>
        <w:rPr>
          <w:rFonts w:ascii="Palatino Linotype" w:eastAsia="Palatino Linotype" w:hAnsi="Palatino Linotype" w:cs="Palatino Linotype"/>
          <w:sz w:val="22"/>
          <w:szCs w:val="22"/>
        </w:rPr>
      </w:pPr>
    </w:p>
    <w:p w14:paraId="30A54496"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Artículo 3.</w:t>
      </w:r>
      <w:r w:rsidRPr="003D7AFF">
        <w:rPr>
          <w:rFonts w:ascii="Palatino Linotype" w:eastAsia="Palatino Linotype" w:hAnsi="Palatino Linotype" w:cs="Palatino Linotype"/>
          <w:i/>
          <w:iCs/>
          <w:sz w:val="22"/>
          <w:szCs w:val="22"/>
        </w:rPr>
        <w:t xml:space="preserve"> Para los efectos de la presente Ley se entenderá por:</w:t>
      </w:r>
    </w:p>
    <w:p w14:paraId="4F44EA9F"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21E9C838"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20B2BE19"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XX. Información clasificada: Aquella considerada por la presente Ley como reservada o confidencial;</w:t>
      </w:r>
    </w:p>
    <w:p w14:paraId="04338FF0"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925AF45"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45C1D60A"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383D0DA8"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Artículo 91.</w:t>
      </w:r>
      <w:r w:rsidRPr="003D7AFF">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941BF93"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Artículo 132.</w:t>
      </w:r>
      <w:r w:rsidRPr="003D7AFF">
        <w:rPr>
          <w:rFonts w:ascii="Palatino Linotype" w:eastAsia="Palatino Linotype" w:hAnsi="Palatino Linotype" w:cs="Palatino Linotype"/>
          <w:i/>
          <w:iCs/>
          <w:sz w:val="22"/>
          <w:szCs w:val="22"/>
        </w:rPr>
        <w:t xml:space="preserve"> La clasificación de la información se llevará a cabo en el momento en que:</w:t>
      </w:r>
    </w:p>
    <w:p w14:paraId="0A5F2034" w14:textId="77777777" w:rsidR="00475197" w:rsidRPr="003D7AFF" w:rsidRDefault="00DE3EBB">
      <w:pPr>
        <w:tabs>
          <w:tab w:val="left" w:pos="1134"/>
        </w:tabs>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 Se reciba una solicitud de acceso a la información;</w:t>
      </w:r>
    </w:p>
    <w:p w14:paraId="7E632E66" w14:textId="77777777" w:rsidR="00475197" w:rsidRPr="003D7AFF" w:rsidRDefault="00DE3EBB">
      <w:pPr>
        <w:tabs>
          <w:tab w:val="left" w:pos="1134"/>
        </w:tabs>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II. Se determine mediante resolución de autoridad competente; o</w:t>
      </w:r>
    </w:p>
    <w:p w14:paraId="3DF7F225" w14:textId="77777777" w:rsidR="00475197" w:rsidRPr="003D7AFF" w:rsidRDefault="00DE3EBB">
      <w:pPr>
        <w:tabs>
          <w:tab w:val="left" w:pos="1134"/>
        </w:tabs>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6C114F47"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6F1B4ED3"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Artículo 143</w:t>
      </w:r>
      <w:r w:rsidRPr="003D7AFF">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05ABF48F"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30D1C7D3"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AEBB421"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3F6A44F5"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6AE4454A"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5243235D" w14:textId="77777777" w:rsidR="00475197" w:rsidRPr="003D7AFF" w:rsidRDefault="00475197">
      <w:pPr>
        <w:ind w:left="567" w:right="616"/>
        <w:jc w:val="both"/>
        <w:rPr>
          <w:rFonts w:ascii="Palatino Linotype" w:eastAsia="Palatino Linotype" w:hAnsi="Palatino Linotype" w:cs="Palatino Linotype"/>
          <w:i/>
          <w:iCs/>
          <w:sz w:val="22"/>
          <w:szCs w:val="22"/>
        </w:rPr>
      </w:pPr>
    </w:p>
    <w:p w14:paraId="74B08DCF"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43D3509" w14:textId="77777777" w:rsidR="00475197" w:rsidRPr="003D7AFF" w:rsidRDefault="00475197">
      <w:pPr>
        <w:jc w:val="both"/>
        <w:rPr>
          <w:rFonts w:ascii="Palatino Linotype" w:eastAsia="Palatino Linotype" w:hAnsi="Palatino Linotype" w:cs="Palatino Linotype"/>
          <w:sz w:val="22"/>
          <w:szCs w:val="22"/>
        </w:rPr>
      </w:pPr>
    </w:p>
    <w:p w14:paraId="2B287768"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4A79A227"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374E960C"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 “</w:t>
      </w:r>
      <w:r w:rsidRPr="003D7AFF">
        <w:rPr>
          <w:rFonts w:ascii="Palatino Linotype" w:eastAsia="Palatino Linotype" w:hAnsi="Palatino Linotype" w:cs="Palatino Linotype"/>
          <w:b/>
          <w:bCs/>
          <w:i/>
          <w:iCs/>
          <w:sz w:val="22"/>
          <w:szCs w:val="22"/>
        </w:rPr>
        <w:t>Quincuagésimo</w:t>
      </w:r>
      <w:r w:rsidRPr="003D7AFF">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CDF2911"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Quincuagésimo primero.</w:t>
      </w:r>
      <w:r w:rsidRPr="003D7AFF">
        <w:rPr>
          <w:rFonts w:ascii="Palatino Linotype" w:eastAsia="Palatino Linotype" w:hAnsi="Palatino Linotype" w:cs="Palatino Linotype"/>
          <w:i/>
          <w:iCs/>
          <w:sz w:val="22"/>
          <w:szCs w:val="22"/>
        </w:rPr>
        <w:t xml:space="preserve"> Toda acta del Comité de Transparencia deberá contener: </w:t>
      </w:r>
    </w:p>
    <w:p w14:paraId="783761CA"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 El número de sesión y fecha; </w:t>
      </w:r>
    </w:p>
    <w:p w14:paraId="7FAF82CE"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II. El nombre del área que solicitó la clasificación de información; </w:t>
      </w:r>
    </w:p>
    <w:p w14:paraId="0B3A25EE"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III. La fundamentación legal y motivación correspondiente; </w:t>
      </w:r>
    </w:p>
    <w:p w14:paraId="50CDD023"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IV. La resolución o resoluciones aprobadas; y </w:t>
      </w:r>
    </w:p>
    <w:p w14:paraId="02B69CCB"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V. La rúbrica o firma digital de cada integrante del Comité de Transparencia. </w:t>
      </w:r>
    </w:p>
    <w:p w14:paraId="32A9D590"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3872C989"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 Los motivos y razonamientos que sustenten la confirmación o modificación de la prueba de daño;</w:t>
      </w:r>
    </w:p>
    <w:p w14:paraId="26AA5D8B"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II. Descripción de las partes o secciones reservadas, en caso de clasificación parcial; </w:t>
      </w:r>
    </w:p>
    <w:p w14:paraId="70D36FFD"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III. El periodo por el que mantendrá su clasificación y fecha de expiración; y </w:t>
      </w:r>
    </w:p>
    <w:p w14:paraId="7A7C3C96"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0B2D341E"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60350C7B"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E2CC39E"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Quincuagésimo segundo.</w:t>
      </w:r>
      <w:r w:rsidRPr="003D7AFF">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D7AFF">
        <w:rPr>
          <w:rFonts w:ascii="Palatino Linotype" w:eastAsia="Palatino Linotype" w:hAnsi="Palatino Linotype" w:cs="Palatino Linotype"/>
          <w:i/>
          <w:iCs/>
          <w:sz w:val="22"/>
          <w:szCs w:val="22"/>
        </w:rPr>
        <w:t>sobreposición</w:t>
      </w:r>
      <w:proofErr w:type="spellEnd"/>
      <w:r w:rsidRPr="003D7AFF">
        <w:rPr>
          <w:rFonts w:ascii="Palatino Linotype" w:eastAsia="Palatino Linotype" w:hAnsi="Palatino Linotype" w:cs="Palatino Linotype"/>
          <w:i/>
          <w:iCs/>
          <w:sz w:val="22"/>
          <w:szCs w:val="22"/>
        </w:rPr>
        <w:t xml:space="preserve"> de contenido distinto al autorizado por el Comité.</w:t>
      </w:r>
    </w:p>
    <w:p w14:paraId="465964AE"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6E7850C8"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18C0063D"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19BC161F"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III. Señalar las personas o instancias autorizadas a acceder a la información clasificada.</w:t>
      </w:r>
    </w:p>
    <w:p w14:paraId="5FA9736F"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02BE50CE"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5A2E9C64"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493292F4"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343C7754" w14:textId="77777777" w:rsidR="00475197" w:rsidRPr="003D7AFF" w:rsidRDefault="00DE3EB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r w:rsidRPr="003D7AFF">
        <w:rPr>
          <w:rFonts w:ascii="Palatino Linotype" w:eastAsia="Palatino Linotype" w:hAnsi="Palatino Linotype" w:cs="Palatino Linotype"/>
          <w:b/>
          <w:bCs/>
          <w:i/>
          <w:iCs/>
          <w:sz w:val="22"/>
          <w:szCs w:val="22"/>
        </w:rPr>
        <w:t>Quincuagésimo cuarto.</w:t>
      </w:r>
      <w:r w:rsidRPr="003D7AFF">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0EBA9F72"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Quincuagésimo quinto.</w:t>
      </w:r>
      <w:r w:rsidRPr="003D7AFF">
        <w:rPr>
          <w:rFonts w:ascii="Palatino Linotype" w:eastAsia="Palatino Linotype" w:hAnsi="Palatino Linotype" w:cs="Palatino Linotype"/>
          <w:i/>
          <w:iCs/>
          <w:sz w:val="22"/>
          <w:szCs w:val="22"/>
        </w:rPr>
        <w:t xml:space="preserve"> Cada área del sujeto obligado podrá designar formalmente a una o más personas como responsables del </w:t>
      </w:r>
      <w:proofErr w:type="spellStart"/>
      <w:r w:rsidRPr="003D7AFF">
        <w:rPr>
          <w:rFonts w:ascii="Palatino Linotype" w:eastAsia="Palatino Linotype" w:hAnsi="Palatino Linotype" w:cs="Palatino Linotype"/>
          <w:i/>
          <w:iCs/>
          <w:sz w:val="22"/>
          <w:szCs w:val="22"/>
        </w:rPr>
        <w:t>testado</w:t>
      </w:r>
      <w:proofErr w:type="spellEnd"/>
      <w:r w:rsidRPr="003D7AFF">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883884C"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w:t>
      </w:r>
    </w:p>
    <w:p w14:paraId="591081B5"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b/>
          <w:bCs/>
          <w:i/>
          <w:iCs/>
          <w:sz w:val="22"/>
          <w:szCs w:val="22"/>
        </w:rPr>
        <w:t>Quincuagésimo séptimo.</w:t>
      </w:r>
      <w:r w:rsidRPr="003D7AFF">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694CDC23"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44A60D52"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3159DE21"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FAB5B92"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4BE4EA19" w14:textId="77777777" w:rsidR="00475197" w:rsidRPr="003D7AFF" w:rsidRDefault="00DE3EBB">
      <w:pPr>
        <w:ind w:left="567" w:right="616"/>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27F596CD"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13A70886" w14:textId="77777777" w:rsidR="00475197" w:rsidRPr="003D7AFF"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09FEAC30"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0A206710" w14:textId="77777777" w:rsidR="00475197" w:rsidRPr="003D7AFF" w:rsidRDefault="00DE3EBB">
      <w:pPr>
        <w:spacing w:line="360" w:lineRule="auto"/>
        <w:ind w:right="49"/>
        <w:jc w:val="both"/>
        <w:rPr>
          <w:rFonts w:ascii="Palatino Linotype" w:eastAsia="Palatino Linotype" w:hAnsi="Palatino Linotype" w:cs="Palatino Linotype"/>
          <w:b/>
          <w:bCs/>
          <w:sz w:val="22"/>
          <w:szCs w:val="22"/>
        </w:rPr>
      </w:pPr>
      <w:r w:rsidRPr="003D7AFF">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w:t>
      </w:r>
      <w:r w:rsidRPr="003D7AFF">
        <w:rPr>
          <w:rFonts w:ascii="Palatino Linotype" w:eastAsia="Palatino Linotype" w:hAnsi="Palatino Linotype" w:cs="Palatino Linotype"/>
          <w:b/>
          <w:bCs/>
          <w:sz w:val="22"/>
          <w:szCs w:val="22"/>
        </w:rPr>
        <w:t>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dentro del recurso de revisión </w:t>
      </w:r>
      <w:r w:rsidRPr="003D7AFF">
        <w:rPr>
          <w:rFonts w:ascii="Palatino Linotype" w:eastAsia="Palatino Linotype" w:hAnsi="Palatino Linotype" w:cs="Palatino Linotype"/>
          <w:b/>
          <w:bCs/>
          <w:sz w:val="22"/>
          <w:szCs w:val="22"/>
        </w:rPr>
        <w:t>10759/INFOEM/IP/RR/2025</w:t>
      </w:r>
      <w:r w:rsidRPr="003D7AFF">
        <w:rPr>
          <w:rFonts w:ascii="Palatino Linotype" w:eastAsia="Palatino Linotype" w:hAnsi="Palatino Linotype" w:cs="Palatino Linotype"/>
          <w:sz w:val="22"/>
          <w:szCs w:val="22"/>
        </w:rPr>
        <w:t>; por ello, y con fundamento en la fracción III del numeral 186 de la Ley de Transparencia y Acceso a la Información Pública del Estado de México y Municipios, se</w:t>
      </w:r>
      <w:r w:rsidRPr="003D7AFF">
        <w:rPr>
          <w:rFonts w:ascii="Palatino Linotype" w:eastAsia="Palatino Linotype" w:hAnsi="Palatino Linotype" w:cs="Palatino Linotype"/>
          <w:b/>
          <w:bCs/>
          <w:sz w:val="22"/>
          <w:szCs w:val="22"/>
        </w:rPr>
        <w:t xml:space="preserve"> MODIFICA </w:t>
      </w:r>
      <w:r w:rsidRPr="003D7AFF">
        <w:rPr>
          <w:rFonts w:ascii="Palatino Linotype" w:eastAsia="Palatino Linotype" w:hAnsi="Palatino Linotype" w:cs="Palatino Linotype"/>
          <w:sz w:val="22"/>
          <w:szCs w:val="22"/>
        </w:rPr>
        <w:t>la respuesta a la solicitud de información número</w:t>
      </w:r>
      <w:r w:rsidRPr="003D7AFF">
        <w:rPr>
          <w:rFonts w:ascii="Palatino Linotype" w:eastAsia="Palatino Linotype" w:hAnsi="Palatino Linotype" w:cs="Palatino Linotype"/>
          <w:b/>
          <w:bCs/>
          <w:sz w:val="22"/>
          <w:szCs w:val="22"/>
        </w:rPr>
        <w:t xml:space="preserve">. </w:t>
      </w:r>
    </w:p>
    <w:p w14:paraId="181E7814" w14:textId="77777777" w:rsidR="00475197" w:rsidRPr="003D7AFF" w:rsidRDefault="00475197">
      <w:pPr>
        <w:spacing w:line="360" w:lineRule="auto"/>
        <w:jc w:val="both"/>
        <w:rPr>
          <w:rFonts w:ascii="Palatino Linotype" w:eastAsia="Palatino Linotype" w:hAnsi="Palatino Linotype" w:cs="Palatino Linotype"/>
          <w:sz w:val="22"/>
          <w:szCs w:val="22"/>
        </w:rPr>
      </w:pPr>
    </w:p>
    <w:p w14:paraId="63F151A2" w14:textId="77777777" w:rsidR="00475197" w:rsidRPr="003D7AFF" w:rsidRDefault="00DE3EB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3BD5A0CC" w14:textId="77777777" w:rsidR="00475197" w:rsidRPr="003D7AFF" w:rsidRDefault="00475197">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0D868FFF" w14:textId="77777777" w:rsidR="00475197" w:rsidRPr="003D7AFF" w:rsidRDefault="00DE3EB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0" w:name="_heading=h.ijv98pntcd5s" w:colFirst="0" w:colLast="0"/>
      <w:bookmarkEnd w:id="10"/>
      <w:r w:rsidRPr="003D7AFF">
        <w:rPr>
          <w:rFonts w:ascii="Palatino Linotype" w:eastAsia="Palatino Linotype" w:hAnsi="Palatino Linotype" w:cs="Palatino Linotype"/>
          <w:b/>
          <w:bCs/>
          <w:sz w:val="22"/>
          <w:szCs w:val="22"/>
        </w:rPr>
        <w:t>III. R E S U E L V E</w:t>
      </w:r>
    </w:p>
    <w:p w14:paraId="7E4EF3F6" w14:textId="77777777" w:rsidR="00475197" w:rsidRPr="003D7AFF" w:rsidRDefault="00475197">
      <w:pPr>
        <w:spacing w:line="360" w:lineRule="auto"/>
        <w:jc w:val="both"/>
        <w:rPr>
          <w:rFonts w:ascii="Palatino Linotype" w:eastAsia="Palatino Linotype" w:hAnsi="Palatino Linotype" w:cs="Palatino Linotype"/>
          <w:b/>
          <w:bCs/>
          <w:sz w:val="22"/>
          <w:szCs w:val="22"/>
        </w:rPr>
      </w:pPr>
      <w:bookmarkStart w:id="11" w:name="_heading=h.26in1rg" w:colFirst="0" w:colLast="0"/>
      <w:bookmarkEnd w:id="11"/>
    </w:p>
    <w:p w14:paraId="35F22BC3"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bookmarkStart w:id="12" w:name="_heading=h.h7nzb79wlra" w:colFirst="0" w:colLast="0"/>
      <w:bookmarkEnd w:id="12"/>
      <w:r w:rsidRPr="003D7AFF">
        <w:rPr>
          <w:rFonts w:ascii="Palatino Linotype" w:eastAsia="Palatino Linotype" w:hAnsi="Palatino Linotype" w:cs="Palatino Linotype"/>
          <w:b/>
          <w:bCs/>
          <w:sz w:val="22"/>
          <w:szCs w:val="22"/>
        </w:rPr>
        <w:t>Primero.</w:t>
      </w:r>
      <w:r w:rsidRPr="003D7AFF">
        <w:rPr>
          <w:rFonts w:ascii="Palatino Linotype" w:eastAsia="Palatino Linotype" w:hAnsi="Palatino Linotype" w:cs="Palatino Linotype"/>
          <w:sz w:val="22"/>
          <w:szCs w:val="22"/>
        </w:rPr>
        <w:t xml:space="preserve"> Resultan</w:t>
      </w:r>
      <w:r w:rsidRPr="003D7AFF">
        <w:rPr>
          <w:rFonts w:ascii="Palatino Linotype" w:eastAsia="Palatino Linotype" w:hAnsi="Palatino Linotype" w:cs="Palatino Linotype"/>
          <w:b/>
          <w:bCs/>
          <w:sz w:val="22"/>
          <w:szCs w:val="22"/>
        </w:rPr>
        <w:t xml:space="preserve"> parcialmente fundados</w:t>
      </w:r>
      <w:r w:rsidRPr="003D7AFF">
        <w:rPr>
          <w:rFonts w:ascii="Palatino Linotype" w:eastAsia="Palatino Linotype" w:hAnsi="Palatino Linotype" w:cs="Palatino Linotype"/>
          <w:sz w:val="22"/>
          <w:szCs w:val="22"/>
        </w:rPr>
        <w:t xml:space="preserve"> los motivos de inconformidad hechos valer por </w:t>
      </w:r>
      <w:r w:rsidRPr="003D7AFF">
        <w:rPr>
          <w:rFonts w:ascii="Palatino Linotype" w:eastAsia="Palatino Linotype" w:hAnsi="Palatino Linotype" w:cs="Palatino Linotype"/>
          <w:b/>
          <w:bCs/>
          <w:sz w:val="22"/>
          <w:szCs w:val="22"/>
        </w:rPr>
        <w:t>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Recurrente</w:t>
      </w:r>
      <w:r w:rsidRPr="003D7AFF">
        <w:rPr>
          <w:rFonts w:ascii="Palatino Linotype" w:eastAsia="Palatino Linotype" w:hAnsi="Palatino Linotype" w:cs="Palatino Linotype"/>
          <w:sz w:val="22"/>
          <w:szCs w:val="22"/>
        </w:rPr>
        <w:t xml:space="preserve"> en el Recurso de Revisión </w:t>
      </w:r>
      <w:r w:rsidRPr="003D7AFF">
        <w:rPr>
          <w:rFonts w:ascii="Palatino Linotype" w:eastAsia="Palatino Linotype" w:hAnsi="Palatino Linotype" w:cs="Palatino Linotype"/>
          <w:b/>
          <w:bCs/>
          <w:sz w:val="22"/>
          <w:szCs w:val="22"/>
        </w:rPr>
        <w:t>10759/INFOEM/IP/RR/2025</w:t>
      </w:r>
      <w:r w:rsidRPr="003D7AFF">
        <w:rPr>
          <w:rFonts w:ascii="Palatino Linotype" w:eastAsia="Palatino Linotype" w:hAnsi="Palatino Linotype" w:cs="Palatino Linotype"/>
          <w:sz w:val="22"/>
          <w:szCs w:val="22"/>
        </w:rPr>
        <w:t xml:space="preserve">, por lo que, en términos del </w:t>
      </w:r>
      <w:r w:rsidRPr="003D7AFF">
        <w:rPr>
          <w:rFonts w:ascii="Palatino Linotype" w:eastAsia="Palatino Linotype" w:hAnsi="Palatino Linotype" w:cs="Palatino Linotype"/>
          <w:b/>
          <w:bCs/>
          <w:sz w:val="22"/>
          <w:szCs w:val="22"/>
        </w:rPr>
        <w:t>Considerando Cuarto</w:t>
      </w:r>
      <w:r w:rsidRPr="003D7AFF">
        <w:rPr>
          <w:rFonts w:ascii="Palatino Linotype" w:eastAsia="Palatino Linotype" w:hAnsi="Palatino Linotype" w:cs="Palatino Linotype"/>
          <w:sz w:val="22"/>
          <w:szCs w:val="22"/>
        </w:rPr>
        <w:t xml:space="preserve"> de esta resolución, se </w:t>
      </w:r>
      <w:r w:rsidRPr="003D7AFF">
        <w:rPr>
          <w:rFonts w:ascii="Palatino Linotype" w:eastAsia="Palatino Linotype" w:hAnsi="Palatino Linotype" w:cs="Palatino Linotype"/>
          <w:b/>
          <w:bCs/>
          <w:sz w:val="22"/>
          <w:szCs w:val="22"/>
        </w:rPr>
        <w:t xml:space="preserve">MODIFICA </w:t>
      </w:r>
      <w:r w:rsidRPr="003D7AFF">
        <w:rPr>
          <w:rFonts w:ascii="Palatino Linotype" w:eastAsia="Palatino Linotype" w:hAnsi="Palatino Linotype" w:cs="Palatino Linotype"/>
          <w:sz w:val="22"/>
          <w:szCs w:val="22"/>
        </w:rPr>
        <w:t xml:space="preserve">la respuesta emitida por 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w:t>
      </w:r>
    </w:p>
    <w:p w14:paraId="2685BA5F"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734BA2E1"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Segundo</w:t>
      </w:r>
      <w:r w:rsidRPr="003D7AFF">
        <w:rPr>
          <w:rFonts w:ascii="Palatino Linotype" w:eastAsia="Palatino Linotype" w:hAnsi="Palatino Linotype" w:cs="Palatino Linotype"/>
          <w:sz w:val="22"/>
          <w:szCs w:val="22"/>
        </w:rPr>
        <w:t xml:space="preserve">. Se </w:t>
      </w:r>
      <w:r w:rsidRPr="003D7AFF">
        <w:rPr>
          <w:rFonts w:ascii="Palatino Linotype" w:eastAsia="Palatino Linotype" w:hAnsi="Palatino Linotype" w:cs="Palatino Linotype"/>
          <w:b/>
          <w:bCs/>
          <w:sz w:val="22"/>
          <w:szCs w:val="22"/>
        </w:rPr>
        <w:t>ORDENA</w:t>
      </w:r>
      <w:r w:rsidRPr="003D7AFF">
        <w:rPr>
          <w:rFonts w:ascii="Palatino Linotype" w:eastAsia="Palatino Linotype" w:hAnsi="Palatino Linotype" w:cs="Palatino Linotype"/>
          <w:sz w:val="22"/>
          <w:szCs w:val="22"/>
        </w:rPr>
        <w:t xml:space="preserve"> al </w:t>
      </w:r>
      <w:r w:rsidRPr="003D7AFF">
        <w:rPr>
          <w:rFonts w:ascii="Palatino Linotype" w:eastAsia="Palatino Linotype" w:hAnsi="Palatino Linotype" w:cs="Palatino Linotype"/>
          <w:b/>
          <w:bCs/>
          <w:sz w:val="22"/>
          <w:szCs w:val="22"/>
        </w:rPr>
        <w:t xml:space="preserve">Sujeto Obligado </w:t>
      </w:r>
      <w:r w:rsidRPr="003D7AFF">
        <w:rPr>
          <w:rFonts w:ascii="Palatino Linotype" w:eastAsia="Palatino Linotype" w:hAnsi="Palatino Linotype" w:cs="Palatino Linotype"/>
          <w:sz w:val="22"/>
          <w:szCs w:val="22"/>
        </w:rPr>
        <w:t xml:space="preserve">a que, en observancia de los </w:t>
      </w:r>
      <w:r w:rsidRPr="003D7AFF">
        <w:rPr>
          <w:rFonts w:ascii="Palatino Linotype" w:eastAsia="Palatino Linotype" w:hAnsi="Palatino Linotype" w:cs="Palatino Linotype"/>
          <w:b/>
          <w:bCs/>
          <w:sz w:val="22"/>
          <w:szCs w:val="22"/>
        </w:rPr>
        <w:t>Considerandos Cuarto y Quinto</w:t>
      </w:r>
      <w:r w:rsidRPr="003D7AFF">
        <w:rPr>
          <w:rFonts w:ascii="Palatino Linotype" w:eastAsia="Palatino Linotype" w:hAnsi="Palatino Linotype" w:cs="Palatino Linotype"/>
          <w:sz w:val="22"/>
          <w:szCs w:val="22"/>
        </w:rPr>
        <w:t xml:space="preserve">, hagan entrega vía Sistema de Acceso a la Información Mexiquense </w:t>
      </w:r>
      <w:r w:rsidRPr="003D7AFF">
        <w:rPr>
          <w:rFonts w:ascii="Palatino Linotype" w:eastAsia="Palatino Linotype" w:hAnsi="Palatino Linotype" w:cs="Palatino Linotype"/>
          <w:b/>
          <w:bCs/>
          <w:sz w:val="22"/>
          <w:szCs w:val="22"/>
        </w:rPr>
        <w:t>(SAIMEX)</w:t>
      </w:r>
      <w:r w:rsidRPr="003D7AFF">
        <w:rPr>
          <w:rFonts w:ascii="Palatino Linotype" w:eastAsia="Palatino Linotype" w:hAnsi="Palatino Linotype" w:cs="Palatino Linotype"/>
          <w:sz w:val="22"/>
          <w:szCs w:val="22"/>
        </w:rPr>
        <w:t>, previa búsqueda exhaustiva y razonable, de ser procedente en versión pública, los documentos donde conste lo siguiente:</w:t>
      </w:r>
    </w:p>
    <w:p w14:paraId="37B47FCF"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2297FB99" w14:textId="77777777" w:rsidR="00475197" w:rsidRPr="003D7AFF" w:rsidRDefault="00DE3EB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Los nombramientos faltantes como Titulares de Área, de los servidores públicos que habiendo sido nombrados como encargados de área en la actual Administración Pública Municipal 2025-2027, a la fecha de la solicitud (19 de agosto de 2025) ya hayan sido designados como titulares.</w:t>
      </w:r>
    </w:p>
    <w:p w14:paraId="3B9BD66D"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647DF620" w14:textId="77777777" w:rsidR="00475197" w:rsidRPr="003D7AFF" w:rsidRDefault="00DE3EBB">
      <w:pPr>
        <w:ind w:right="49"/>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 xml:space="preserve">Sin embargo, para el caso de que posterior a la búsqueda exhaustiva y razonable no se localice la información que se ordena en los archivos del </w:t>
      </w:r>
      <w:r w:rsidRPr="003D7AFF">
        <w:rPr>
          <w:rFonts w:ascii="Palatino Linotype" w:eastAsia="Palatino Linotype" w:hAnsi="Palatino Linotype" w:cs="Palatino Linotype"/>
          <w:b/>
          <w:bCs/>
          <w:i/>
          <w:iCs/>
          <w:sz w:val="22"/>
          <w:szCs w:val="22"/>
        </w:rPr>
        <w:t>Sujeto Obligado</w:t>
      </w:r>
      <w:r w:rsidRPr="003D7AFF">
        <w:rPr>
          <w:rFonts w:ascii="Palatino Linotype" w:eastAsia="Palatino Linotype" w:hAnsi="Palatino Linotype" w:cs="Palatino Linotype"/>
          <w:i/>
          <w:iCs/>
          <w:sz w:val="22"/>
          <w:szCs w:val="22"/>
        </w:rPr>
        <w:t xml:space="preserve">, </w:t>
      </w:r>
      <w:r w:rsidRPr="003D7AFF">
        <w:rPr>
          <w:rFonts w:ascii="Palatino Linotype" w:eastAsia="Palatino Linotype" w:hAnsi="Palatino Linotype" w:cs="Palatino Linotype"/>
          <w:b/>
          <w:bCs/>
          <w:i/>
          <w:iCs/>
          <w:sz w:val="22"/>
          <w:szCs w:val="22"/>
        </w:rPr>
        <w:t>en razón de que a la fecha de la solicitud no se designaron como titulares de área a servidores públicos que en la actual Administración Pública Municipal habían sido nombrados como encargados de despacho</w:t>
      </w:r>
      <w:r w:rsidRPr="003D7AFF">
        <w:rPr>
          <w:rFonts w:ascii="Palatino Linotype" w:eastAsia="Palatino Linotype" w:hAnsi="Palatino Linotype" w:cs="Palatino Linotype"/>
          <w:i/>
          <w:iCs/>
          <w:sz w:val="22"/>
          <w:szCs w:val="22"/>
        </w:rPr>
        <w:t xml:space="preserve">, bastará con que así lo haga del conocimiento de la parte </w:t>
      </w:r>
      <w:r w:rsidRPr="003D7AFF">
        <w:rPr>
          <w:rFonts w:ascii="Palatino Linotype" w:eastAsia="Palatino Linotype" w:hAnsi="Palatino Linotype" w:cs="Palatino Linotype"/>
          <w:b/>
          <w:bCs/>
          <w:i/>
          <w:iCs/>
          <w:sz w:val="22"/>
          <w:szCs w:val="22"/>
        </w:rPr>
        <w:t>Recurrente</w:t>
      </w:r>
      <w:r w:rsidRPr="003D7AFF">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4F58245B" w14:textId="77777777" w:rsidR="00475197" w:rsidRPr="003D7AFF" w:rsidRDefault="00475197">
      <w:p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p>
    <w:p w14:paraId="0377A522" w14:textId="77777777" w:rsidR="00475197" w:rsidRPr="003D7AFF" w:rsidRDefault="00DE3EBB">
      <w:pPr>
        <w:pBdr>
          <w:top w:val="nil"/>
          <w:left w:val="nil"/>
          <w:bottom w:val="nil"/>
          <w:right w:val="nil"/>
          <w:between w:val="nil"/>
        </w:pBdr>
        <w:ind w:right="49"/>
        <w:jc w:val="both"/>
        <w:rPr>
          <w:rFonts w:ascii="Palatino Linotype" w:eastAsia="Palatino Linotype" w:hAnsi="Palatino Linotype" w:cs="Palatino Linotype"/>
          <w:i/>
          <w:iCs/>
          <w:sz w:val="22"/>
          <w:szCs w:val="22"/>
        </w:rPr>
      </w:pPr>
      <w:r w:rsidRPr="003D7AFF">
        <w:rPr>
          <w:rFonts w:ascii="Palatino Linotype" w:eastAsia="Palatino Linotype" w:hAnsi="Palatino Linotype" w:cs="Palatino Linotype"/>
          <w:i/>
          <w:iCs/>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2006B650" w14:textId="77777777" w:rsidR="00475197" w:rsidRPr="003D7AFF" w:rsidRDefault="00475197">
      <w:pPr>
        <w:pBdr>
          <w:top w:val="nil"/>
          <w:left w:val="nil"/>
          <w:bottom w:val="nil"/>
          <w:right w:val="nil"/>
          <w:between w:val="nil"/>
        </w:pBdr>
        <w:ind w:left="567" w:right="49"/>
        <w:jc w:val="both"/>
        <w:rPr>
          <w:rFonts w:ascii="Palatino Linotype" w:eastAsia="Palatino Linotype" w:hAnsi="Palatino Linotype" w:cs="Palatino Linotype"/>
          <w:sz w:val="22"/>
          <w:szCs w:val="22"/>
        </w:rPr>
      </w:pPr>
    </w:p>
    <w:p w14:paraId="3C8CCDF0" w14:textId="77777777" w:rsidR="00475197" w:rsidRPr="003D7AFF" w:rsidRDefault="00475197">
      <w:pPr>
        <w:pBdr>
          <w:top w:val="nil"/>
          <w:left w:val="nil"/>
          <w:bottom w:val="nil"/>
          <w:right w:val="nil"/>
          <w:between w:val="nil"/>
        </w:pBdr>
        <w:tabs>
          <w:tab w:val="left" w:pos="567"/>
          <w:tab w:val="left" w:pos="993"/>
        </w:tabs>
        <w:ind w:right="560"/>
        <w:jc w:val="both"/>
        <w:rPr>
          <w:rFonts w:ascii="Palatino Linotype" w:eastAsia="Palatino Linotype" w:hAnsi="Palatino Linotype" w:cs="Palatino Linotype"/>
          <w:b/>
          <w:bCs/>
          <w:i/>
          <w:iCs/>
          <w:sz w:val="22"/>
          <w:szCs w:val="22"/>
        </w:rPr>
      </w:pPr>
    </w:p>
    <w:p w14:paraId="00C556D8"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Tercero.</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 xml:space="preserve">Notifíquese vía SAIMEX </w:t>
      </w:r>
      <w:r w:rsidRPr="003D7AFF">
        <w:rPr>
          <w:rFonts w:ascii="Palatino Linotype" w:eastAsia="Palatino Linotype" w:hAnsi="Palatino Linotype" w:cs="Palatino Linotype"/>
          <w:sz w:val="22"/>
          <w:szCs w:val="22"/>
        </w:rPr>
        <w:t>la presente resolución al T</w:t>
      </w:r>
      <w:r w:rsidRPr="003D7AFF">
        <w:rPr>
          <w:rFonts w:ascii="Palatino Linotype" w:eastAsia="Palatino Linotype" w:hAnsi="Palatino Linotype" w:cs="Palatino Linotype"/>
          <w:b/>
          <w:bCs/>
          <w:sz w:val="22"/>
          <w:szCs w:val="22"/>
        </w:rPr>
        <w:t xml:space="preserve">itular de la Unidad de Transparencia </w:t>
      </w:r>
      <w:r w:rsidRPr="003D7AFF">
        <w:rPr>
          <w:rFonts w:ascii="Palatino Linotype" w:eastAsia="Palatino Linotype" w:hAnsi="Palatino Linotype" w:cs="Palatino Linotype"/>
          <w:sz w:val="22"/>
          <w:szCs w:val="22"/>
        </w:rPr>
        <w:t xml:space="preserve">del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DA14A1A"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1FA492AD"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Cuarto.</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Notifíquese vía SAIMEX</w:t>
      </w:r>
      <w:r w:rsidRPr="003D7AFF">
        <w:rPr>
          <w:rFonts w:ascii="Palatino Linotype" w:eastAsia="Palatino Linotype" w:hAnsi="Palatino Linotype" w:cs="Palatino Linotype"/>
          <w:sz w:val="22"/>
          <w:szCs w:val="22"/>
        </w:rPr>
        <w:t xml:space="preserve"> a </w:t>
      </w:r>
      <w:r w:rsidRPr="003D7AFF">
        <w:rPr>
          <w:rFonts w:ascii="Palatino Linotype" w:eastAsia="Palatino Linotype" w:hAnsi="Palatino Linotype" w:cs="Palatino Linotype"/>
          <w:b/>
          <w:bCs/>
          <w:sz w:val="22"/>
          <w:szCs w:val="22"/>
        </w:rPr>
        <w:t>la parte</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 xml:space="preserve">Recurrente </w:t>
      </w:r>
      <w:r w:rsidRPr="003D7AFF">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79BC3EA" w14:textId="77777777" w:rsidR="00475197" w:rsidRPr="003D7AFF" w:rsidRDefault="00475197">
      <w:pPr>
        <w:spacing w:line="360" w:lineRule="auto"/>
        <w:ind w:right="49"/>
        <w:jc w:val="both"/>
        <w:rPr>
          <w:rFonts w:ascii="Palatino Linotype" w:eastAsia="Palatino Linotype" w:hAnsi="Palatino Linotype" w:cs="Palatino Linotype"/>
          <w:sz w:val="22"/>
          <w:szCs w:val="22"/>
        </w:rPr>
      </w:pPr>
    </w:p>
    <w:p w14:paraId="7DB7A7A8" w14:textId="77777777" w:rsidR="00475197" w:rsidRPr="003D7AFF" w:rsidRDefault="00DE3EBB">
      <w:pPr>
        <w:spacing w:line="360" w:lineRule="auto"/>
        <w:ind w:right="49"/>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b/>
          <w:bCs/>
          <w:sz w:val="22"/>
          <w:szCs w:val="22"/>
        </w:rPr>
        <w:t>Quinto.</w:t>
      </w:r>
      <w:r w:rsidRPr="003D7AFF">
        <w:rPr>
          <w:rFonts w:ascii="Palatino Linotype" w:eastAsia="Palatino Linotype" w:hAnsi="Palatino Linotype" w:cs="Palatino Linotype"/>
          <w:sz w:val="22"/>
          <w:szCs w:val="22"/>
        </w:rPr>
        <w:t xml:space="preserve"> </w:t>
      </w:r>
      <w:r w:rsidRPr="003D7AFF">
        <w:rPr>
          <w:rFonts w:ascii="Palatino Linotype" w:eastAsia="Palatino Linotype" w:hAnsi="Palatino Linotype" w:cs="Palatino Linotype"/>
          <w:b/>
          <w:bCs/>
          <w:sz w:val="22"/>
          <w:szCs w:val="22"/>
        </w:rPr>
        <w:t xml:space="preserve">Notifíquese vía SAIMEX </w:t>
      </w:r>
      <w:r w:rsidRPr="003D7AFF">
        <w:rPr>
          <w:rFonts w:ascii="Palatino Linotype" w:eastAsia="Palatino Linotype" w:hAnsi="Palatino Linotype" w:cs="Palatino Linotype"/>
          <w:sz w:val="22"/>
          <w:szCs w:val="22"/>
        </w:rPr>
        <w:t>la presente resolución al T</w:t>
      </w:r>
      <w:r w:rsidRPr="003D7AFF">
        <w:rPr>
          <w:rFonts w:ascii="Palatino Linotype" w:eastAsia="Palatino Linotype" w:hAnsi="Palatino Linotype" w:cs="Palatino Linotype"/>
          <w:b/>
          <w:bCs/>
          <w:sz w:val="22"/>
          <w:szCs w:val="22"/>
        </w:rPr>
        <w:t xml:space="preserve">itular de la Unidad de Transparencia </w:t>
      </w:r>
      <w:r w:rsidRPr="003D7AFF">
        <w:rPr>
          <w:rFonts w:ascii="Palatino Linotype" w:eastAsia="Palatino Linotype" w:hAnsi="Palatino Linotype" w:cs="Palatino Linotype"/>
          <w:sz w:val="22"/>
          <w:szCs w:val="22"/>
        </w:rPr>
        <w:t xml:space="preserve">del </w:t>
      </w:r>
      <w:r w:rsidRPr="003D7AFF">
        <w:rPr>
          <w:rFonts w:ascii="Palatino Linotype" w:eastAsia="Palatino Linotype" w:hAnsi="Palatino Linotype" w:cs="Palatino Linotype"/>
          <w:b/>
          <w:bCs/>
          <w:sz w:val="22"/>
          <w:szCs w:val="22"/>
        </w:rPr>
        <w:t>Sujeto Obligado</w:t>
      </w:r>
      <w:r w:rsidRPr="003D7AFF">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09A7D0B5" w14:textId="77777777" w:rsidR="00475197" w:rsidRPr="003D7AFF" w:rsidRDefault="00475197">
      <w:pPr>
        <w:spacing w:line="360" w:lineRule="auto"/>
        <w:ind w:right="49"/>
        <w:jc w:val="both"/>
        <w:rPr>
          <w:rFonts w:ascii="Palatino Linotype" w:eastAsia="Palatino Linotype" w:hAnsi="Palatino Linotype" w:cs="Palatino Linotype"/>
        </w:rPr>
      </w:pPr>
    </w:p>
    <w:p w14:paraId="05FE6495" w14:textId="77777777" w:rsidR="00475197" w:rsidRPr="00097A2C" w:rsidRDefault="00DE3EBB">
      <w:pPr>
        <w:spacing w:line="360" w:lineRule="auto"/>
        <w:jc w:val="both"/>
        <w:rPr>
          <w:rFonts w:ascii="Palatino Linotype" w:eastAsia="Palatino Linotype" w:hAnsi="Palatino Linotype" w:cs="Palatino Linotype"/>
          <w:sz w:val="22"/>
          <w:szCs w:val="22"/>
        </w:rPr>
      </w:pPr>
      <w:r w:rsidRPr="003D7AF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r w:rsidRPr="00097A2C">
        <w:rPr>
          <w:rFonts w:ascii="Palatino Linotype" w:eastAsia="Palatino Linotype" w:hAnsi="Palatino Linotype" w:cs="Palatino Linotype"/>
          <w:sz w:val="22"/>
          <w:szCs w:val="22"/>
        </w:rPr>
        <w:t xml:space="preserve"> </w:t>
      </w:r>
    </w:p>
    <w:p w14:paraId="0B655DC8"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4ACB773B" w14:textId="77777777" w:rsidR="00475197" w:rsidRPr="00097A2C" w:rsidRDefault="00475197">
      <w:pPr>
        <w:rPr>
          <w:rFonts w:ascii="Palatino Linotype" w:eastAsia="Palatino Linotype" w:hAnsi="Palatino Linotype" w:cs="Palatino Linotype"/>
          <w:sz w:val="22"/>
          <w:szCs w:val="22"/>
        </w:rPr>
      </w:pPr>
      <w:bookmarkStart w:id="13" w:name="_heading=h.17dp8vu" w:colFirst="0" w:colLast="0"/>
      <w:bookmarkEnd w:id="13"/>
    </w:p>
    <w:p w14:paraId="7AA9E766" w14:textId="77777777" w:rsidR="00475197" w:rsidRPr="00097A2C" w:rsidRDefault="00475197">
      <w:pPr>
        <w:rPr>
          <w:rFonts w:ascii="Palatino Linotype" w:eastAsia="Palatino Linotype" w:hAnsi="Palatino Linotype" w:cs="Palatino Linotype"/>
          <w:sz w:val="22"/>
          <w:szCs w:val="22"/>
        </w:rPr>
      </w:pPr>
    </w:p>
    <w:p w14:paraId="631F3382" w14:textId="77777777" w:rsidR="00475197" w:rsidRPr="00097A2C" w:rsidRDefault="00475197">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3F07DB04"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2B6A0BA9" w14:textId="77777777" w:rsidR="00475197" w:rsidRPr="00097A2C" w:rsidRDefault="00475197">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1E4E18C1"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35186D18"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051E086A"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6C35840D"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5C17D3BE"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192304F4"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6F81D1D0"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625B1C36"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5C562300"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6F89999A"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0CD6AAA6"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225D65F8"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741D8F64"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2D12E74A"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493FD461"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30C3668E"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53421CD8"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2A595A58"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40EBAD92" w14:textId="77777777" w:rsidR="00475197" w:rsidRPr="00097A2C" w:rsidRDefault="00475197">
      <w:pPr>
        <w:spacing w:line="360" w:lineRule="auto"/>
        <w:jc w:val="both"/>
        <w:rPr>
          <w:rFonts w:ascii="Palatino Linotype" w:eastAsia="Palatino Linotype" w:hAnsi="Palatino Linotype" w:cs="Palatino Linotype"/>
          <w:sz w:val="22"/>
          <w:szCs w:val="22"/>
        </w:rPr>
      </w:pPr>
    </w:p>
    <w:p w14:paraId="2C6E9E72" w14:textId="77777777" w:rsidR="00475197" w:rsidRPr="00097A2C" w:rsidRDefault="00475197">
      <w:pPr>
        <w:spacing w:line="360" w:lineRule="auto"/>
        <w:jc w:val="both"/>
        <w:rPr>
          <w:rFonts w:ascii="Palatino Linotype" w:eastAsia="Palatino Linotype" w:hAnsi="Palatino Linotype" w:cs="Palatino Linotype"/>
          <w:sz w:val="22"/>
          <w:szCs w:val="22"/>
        </w:rPr>
      </w:pPr>
      <w:bookmarkStart w:id="16" w:name="_heading=h.j3n4p8diq5p1" w:colFirst="0" w:colLast="0"/>
      <w:bookmarkEnd w:id="16"/>
    </w:p>
    <w:sectPr w:rsidR="00475197" w:rsidRPr="00097A2C">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3DAE9" w14:textId="77777777" w:rsidR="004E36D5" w:rsidRDefault="004E36D5">
      <w:r>
        <w:separator/>
      </w:r>
    </w:p>
  </w:endnote>
  <w:endnote w:type="continuationSeparator" w:id="0">
    <w:p w14:paraId="4C6922FB" w14:textId="77777777" w:rsidR="004E36D5" w:rsidRDefault="004E3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E0F01D62-D5D6-4C72-88DA-2590E8F9EA5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F2949D-97D9-4CFF-BCE3-378A7D9553D2}"/>
    <w:embedBold r:id="rId3" w:fontKey="{BEF543E0-4A3B-4660-BF59-0CD7D0419101}"/>
  </w:font>
  <w:font w:name="Cambria">
    <w:panose1 w:val="02040503050406030204"/>
    <w:charset w:val="00"/>
    <w:family w:val="roman"/>
    <w:pitch w:val="variable"/>
    <w:sig w:usb0="E00006FF" w:usb1="420024FF" w:usb2="02000000" w:usb3="00000000" w:csb0="0000019F" w:csb1="00000000"/>
    <w:embedRegular r:id="rId4" w:fontKey="{11712381-EF2D-4739-B010-A98F2E27119C}"/>
    <w:embedBold r:id="rId5" w:fontKey="{0F33C020-DADC-4DA3-87DD-81977BB01366}"/>
    <w:embedBoldItalic r:id="rId6" w:fontKey="{CDC603F5-8429-4198-80E0-611C62EB296B}"/>
  </w:font>
  <w:font w:name="Segoe UI">
    <w:panose1 w:val="020B0502040204020203"/>
    <w:charset w:val="00"/>
    <w:family w:val="swiss"/>
    <w:pitch w:val="variable"/>
    <w:sig w:usb0="E4002EFF" w:usb1="C000E47F" w:usb2="00000009" w:usb3="00000000" w:csb0="000001FF" w:csb1="00000000"/>
    <w:embedRegular r:id="rId7" w:fontKey="{9DC0068B-0A0C-4CD7-B18E-BE5E5C78CA97}"/>
  </w:font>
  <w:font w:name="Georgia">
    <w:panose1 w:val="02040502050405020303"/>
    <w:charset w:val="00"/>
    <w:family w:val="roman"/>
    <w:pitch w:val="variable"/>
    <w:sig w:usb0="00000287" w:usb1="00000000" w:usb2="00000000" w:usb3="00000000" w:csb0="0000009F" w:csb1="00000000"/>
    <w:embedItalic r:id="rId8" w:fontKey="{7C1D9261-ADA7-4D9C-8873-FCA848B83AAF}"/>
  </w:font>
  <w:font w:name="Palatino Linotype">
    <w:panose1 w:val="02040502050505030304"/>
    <w:charset w:val="00"/>
    <w:family w:val="roman"/>
    <w:pitch w:val="variable"/>
    <w:sig w:usb0="E0000287" w:usb1="40000013" w:usb2="00000000" w:usb3="00000000" w:csb0="0000019F" w:csb1="00000000"/>
    <w:embedRegular r:id="rId9" w:fontKey="{BA7D3972-6008-45E1-A429-696B6E1A48CF}"/>
    <w:embedBold r:id="rId10" w:fontKey="{2CA3A85A-AE8F-4FB8-B690-A316EC8287B2}"/>
    <w:embedItalic r:id="rId11" w:fontKey="{50F9D33B-EAC0-4829-A393-1DAECC51D7B2}"/>
    <w:embedBoldItalic r:id="rId12" w:fontKey="{5E00872D-DFC2-458D-A918-D10868DD7A3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E1421" w14:textId="5896CED5" w:rsidR="00475197" w:rsidRDefault="00DE3E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06805">
      <w:rPr>
        <w:rFonts w:ascii="Palatino Linotype" w:eastAsia="Palatino Linotype" w:hAnsi="Palatino Linotype" w:cs="Palatino Linotype"/>
        <w:b/>
        <w:bCs/>
        <w:noProof/>
        <w:color w:val="000000"/>
        <w:sz w:val="20"/>
        <w:szCs w:val="20"/>
      </w:rPr>
      <w:t>21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06805">
      <w:rPr>
        <w:rFonts w:ascii="Palatino Linotype" w:eastAsia="Palatino Linotype" w:hAnsi="Palatino Linotype" w:cs="Palatino Linotype"/>
        <w:b/>
        <w:bCs/>
        <w:noProof/>
        <w:color w:val="000000"/>
        <w:sz w:val="20"/>
        <w:szCs w:val="20"/>
      </w:rPr>
      <w:t>31</w:t>
    </w:r>
    <w:r>
      <w:rPr>
        <w:rFonts w:ascii="Palatino Linotype" w:eastAsia="Palatino Linotype" w:hAnsi="Palatino Linotype" w:cs="Palatino Linotype"/>
        <w:b/>
        <w:bCs/>
        <w:color w:val="000000"/>
        <w:sz w:val="20"/>
        <w:szCs w:val="20"/>
      </w:rPr>
      <w:fldChar w:fldCharType="end"/>
    </w:r>
  </w:p>
  <w:p w14:paraId="56072568" w14:textId="77777777" w:rsidR="00475197" w:rsidRDefault="0047519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6E83A" w14:textId="7D4A0E58" w:rsidR="00475197" w:rsidRDefault="00DE3E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06805">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06805">
      <w:rPr>
        <w:rFonts w:ascii="Palatino Linotype" w:eastAsia="Palatino Linotype" w:hAnsi="Palatino Linotype" w:cs="Palatino Linotype"/>
        <w:b/>
        <w:bCs/>
        <w:noProof/>
        <w:color w:val="000000"/>
        <w:sz w:val="20"/>
        <w:szCs w:val="20"/>
      </w:rPr>
      <w:t>31</w:t>
    </w:r>
    <w:r>
      <w:rPr>
        <w:rFonts w:ascii="Palatino Linotype" w:eastAsia="Palatino Linotype" w:hAnsi="Palatino Linotype" w:cs="Palatino Linotype"/>
        <w:b/>
        <w:bCs/>
        <w:color w:val="000000"/>
        <w:sz w:val="20"/>
        <w:szCs w:val="20"/>
      </w:rPr>
      <w:fldChar w:fldCharType="end"/>
    </w:r>
  </w:p>
  <w:p w14:paraId="72A7CFC2" w14:textId="77777777" w:rsidR="00475197" w:rsidRDefault="0047519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90024" w14:textId="77777777" w:rsidR="004E36D5" w:rsidRDefault="004E36D5">
      <w:r>
        <w:separator/>
      </w:r>
    </w:p>
  </w:footnote>
  <w:footnote w:type="continuationSeparator" w:id="0">
    <w:p w14:paraId="54FD86C4" w14:textId="77777777" w:rsidR="004E36D5" w:rsidRDefault="004E36D5">
      <w:r>
        <w:continuationSeparator/>
      </w:r>
    </w:p>
  </w:footnote>
  <w:footnote w:id="1">
    <w:p w14:paraId="00B802C1" w14:textId="77777777" w:rsidR="00475197" w:rsidRDefault="00DE3EB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E4E4D74" w14:textId="77777777" w:rsidR="00475197" w:rsidRDefault="00DE3EB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CFE1C7C" w14:textId="77777777" w:rsidR="00475197" w:rsidRDefault="00DE3EB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B9768A6" w14:textId="77777777" w:rsidR="00475197" w:rsidRDefault="00DE3EB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CDF9B" w14:textId="77777777" w:rsidR="00475197" w:rsidRDefault="00475197">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475197" w14:paraId="64DA07B9" w14:textId="77777777">
      <w:tc>
        <w:tcPr>
          <w:tcW w:w="2489" w:type="dxa"/>
          <w:shd w:val="clear" w:color="auto" w:fill="auto"/>
        </w:tcPr>
        <w:p w14:paraId="640B1306" w14:textId="77777777" w:rsidR="00475197" w:rsidRDefault="00DE3EB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17E5C598" w14:textId="77777777" w:rsidR="00475197" w:rsidRDefault="00DE3EB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10759/INFOEM/IP/RR/2025</w:t>
          </w:r>
          <w:r>
            <w:rPr>
              <w:noProof/>
            </w:rPr>
            <w:drawing>
              <wp:anchor distT="0" distB="0" distL="0" distR="0" simplePos="0" relativeHeight="251658240" behindDoc="1" locked="0" layoutInCell="1" hidden="0" allowOverlap="1" wp14:anchorId="67C039A2" wp14:editId="546FE86C">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475197" w14:paraId="747BEB54" w14:textId="77777777">
      <w:trPr>
        <w:trHeight w:val="228"/>
      </w:trPr>
      <w:tc>
        <w:tcPr>
          <w:tcW w:w="2489" w:type="dxa"/>
          <w:shd w:val="clear" w:color="auto" w:fill="auto"/>
          <w:vAlign w:val="center"/>
        </w:tcPr>
        <w:p w14:paraId="1B672431" w14:textId="77777777" w:rsidR="00475197" w:rsidRDefault="00DE3EB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5EE4396D" w14:textId="77777777" w:rsidR="00475197" w:rsidRDefault="00DE3EBB">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w:t>
          </w:r>
          <w:proofErr w:type="spellStart"/>
          <w:r>
            <w:rPr>
              <w:rFonts w:ascii="Palatino Linotype" w:eastAsia="Palatino Linotype" w:hAnsi="Palatino Linotype" w:cs="Palatino Linotype"/>
              <w:b/>
              <w:bCs/>
              <w:sz w:val="22"/>
              <w:szCs w:val="22"/>
            </w:rPr>
            <w:t>Temoaya</w:t>
          </w:r>
          <w:proofErr w:type="spellEnd"/>
        </w:p>
      </w:tc>
    </w:tr>
    <w:tr w:rsidR="00475197" w14:paraId="1ED2C430" w14:textId="77777777">
      <w:tc>
        <w:tcPr>
          <w:tcW w:w="2489" w:type="dxa"/>
          <w:shd w:val="clear" w:color="auto" w:fill="auto"/>
          <w:vAlign w:val="center"/>
        </w:tcPr>
        <w:p w14:paraId="50FFE276" w14:textId="77777777" w:rsidR="00475197" w:rsidRDefault="00DE3EB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039FA6E8" w14:textId="77777777" w:rsidR="00475197" w:rsidRDefault="00DE3EB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6BD17DE" w14:textId="77777777" w:rsidR="00475197" w:rsidRDefault="00DE3EB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57EB6" w14:textId="77777777" w:rsidR="00475197" w:rsidRDefault="00DE3EB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43458A4" wp14:editId="47396A83">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475197" w14:paraId="1DD63C7A" w14:textId="77777777">
      <w:tc>
        <w:tcPr>
          <w:tcW w:w="2551" w:type="dxa"/>
          <w:shd w:val="clear" w:color="auto" w:fill="auto"/>
          <w:vAlign w:val="center"/>
        </w:tcPr>
        <w:p w14:paraId="288ACF2E" w14:textId="77777777" w:rsidR="00475197" w:rsidRDefault="00DE3EB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703AE0FD" w14:textId="77777777" w:rsidR="00475197" w:rsidRDefault="00DE3EBB">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10759/INFOEM/IP/RR/2025</w:t>
          </w:r>
        </w:p>
      </w:tc>
    </w:tr>
    <w:tr w:rsidR="00475197" w14:paraId="5D2FBB27" w14:textId="77777777">
      <w:trPr>
        <w:trHeight w:val="130"/>
      </w:trPr>
      <w:tc>
        <w:tcPr>
          <w:tcW w:w="2551" w:type="dxa"/>
          <w:shd w:val="clear" w:color="auto" w:fill="auto"/>
          <w:vAlign w:val="center"/>
        </w:tcPr>
        <w:p w14:paraId="3EDAE3D2" w14:textId="77777777" w:rsidR="00475197" w:rsidRDefault="00DE3EB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6E62BE69" w14:textId="77777777" w:rsidR="00475197" w:rsidRDefault="00475197">
          <w:pPr>
            <w:ind w:left="-45" w:right="1444"/>
            <w:jc w:val="both"/>
            <w:rPr>
              <w:rFonts w:ascii="Palatino Linotype" w:eastAsia="Palatino Linotype" w:hAnsi="Palatino Linotype" w:cs="Palatino Linotype"/>
              <w:b/>
              <w:bCs/>
              <w:sz w:val="22"/>
              <w:szCs w:val="22"/>
            </w:rPr>
          </w:pPr>
        </w:p>
      </w:tc>
    </w:tr>
    <w:tr w:rsidR="00475197" w14:paraId="04F4E5C4" w14:textId="77777777">
      <w:trPr>
        <w:trHeight w:val="228"/>
      </w:trPr>
      <w:tc>
        <w:tcPr>
          <w:tcW w:w="2551" w:type="dxa"/>
          <w:shd w:val="clear" w:color="auto" w:fill="auto"/>
          <w:vAlign w:val="center"/>
        </w:tcPr>
        <w:p w14:paraId="0B2BAE7F" w14:textId="77777777" w:rsidR="00475197" w:rsidRDefault="00DE3EB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25D2041F" w14:textId="77777777" w:rsidR="00475197" w:rsidRDefault="00DE3EBB">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w:t>
          </w:r>
          <w:proofErr w:type="spellStart"/>
          <w:r>
            <w:rPr>
              <w:rFonts w:ascii="Palatino Linotype" w:eastAsia="Palatino Linotype" w:hAnsi="Palatino Linotype" w:cs="Palatino Linotype"/>
              <w:b/>
              <w:bCs/>
              <w:sz w:val="22"/>
              <w:szCs w:val="22"/>
            </w:rPr>
            <w:t>Temoaya</w:t>
          </w:r>
          <w:proofErr w:type="spellEnd"/>
        </w:p>
      </w:tc>
    </w:tr>
    <w:tr w:rsidR="00475197" w14:paraId="18408705" w14:textId="77777777">
      <w:tc>
        <w:tcPr>
          <w:tcW w:w="2551" w:type="dxa"/>
          <w:shd w:val="clear" w:color="auto" w:fill="auto"/>
          <w:vAlign w:val="center"/>
        </w:tcPr>
        <w:p w14:paraId="421F5523" w14:textId="77777777" w:rsidR="00475197" w:rsidRDefault="00DE3EB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4711FDC0" w14:textId="77777777" w:rsidR="00475197" w:rsidRDefault="00DE3EBB">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E887D3D" w14:textId="77777777" w:rsidR="00475197" w:rsidRDefault="00475197">
    <w:pPr>
      <w:pBdr>
        <w:top w:val="nil"/>
        <w:left w:val="nil"/>
        <w:bottom w:val="nil"/>
        <w:right w:val="nil"/>
        <w:between w:val="nil"/>
      </w:pBdr>
      <w:tabs>
        <w:tab w:val="center" w:pos="4252"/>
        <w:tab w:val="right" w:pos="8504"/>
      </w:tabs>
      <w:rPr>
        <w:rFonts w:ascii="Cambria" w:eastAsia="Cambria" w:hAnsi="Cambria" w:cs="Cambria"/>
        <w:color w:val="000000"/>
      </w:rPr>
    </w:pPr>
  </w:p>
  <w:p w14:paraId="553996BA" w14:textId="77777777" w:rsidR="00475197" w:rsidRDefault="0047519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068B9"/>
    <w:multiLevelType w:val="multilevel"/>
    <w:tmpl w:val="A1F0ED92"/>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9FD312D"/>
    <w:multiLevelType w:val="multilevel"/>
    <w:tmpl w:val="8D0803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9E752BC"/>
    <w:multiLevelType w:val="multilevel"/>
    <w:tmpl w:val="8E2CA766"/>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197"/>
    <w:rsid w:val="00097A2C"/>
    <w:rsid w:val="003D7AFF"/>
    <w:rsid w:val="00475197"/>
    <w:rsid w:val="004E36D5"/>
    <w:rsid w:val="00DE3EBB"/>
    <w:rsid w:val="00F06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D8A1D"/>
  <w15:docId w15:val="{A4FBDEDE-E48A-4582-A401-BAC952A7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ZspHN/EZtu5yCpXLyKlF+15mAA==">CgMxLjAyCWguMWZvYjl0ZTIJaC40ZDM0b2c4MghoLmdqZGd4czIJaC4zZHk2dmttMgloLjMwajB6bGwyCWguMnM4ZXlvMTIIaC50eWpjd3QyCWguM3pueXNoNzIJaC4xeTgxMHR3Mg5oLmlqdjk4cG50Y2Q1czIJaC4yNmluMXJnMg1oLmg3bnpiNzl3bHJhMgloLjE3ZHA4dnUyCWguM3JkY3JqbjIJaC4xdDNoNXNmMg5oLmozbjRwOGRpcTVwMTgAciExVzhFUkJUQjN5VUdiQjJYelFLUFBVcXJwLWR3RGdzO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8593</Words>
  <Characters>47263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2026-02-13T16:41:00Z</cp:lastPrinted>
  <dcterms:created xsi:type="dcterms:W3CDTF">2026-04-06T17:16:00Z</dcterms:created>
  <dcterms:modified xsi:type="dcterms:W3CDTF">2026-04-06T17:16:00Z</dcterms:modified>
</cp:coreProperties>
</file>