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BA" w:rsidRPr="00905DCA" w:rsidRDefault="00EF53BA" w:rsidP="00EF53BA">
      <w:pPr>
        <w:tabs>
          <w:tab w:val="left" w:pos="3465"/>
        </w:tabs>
        <w:spacing w:line="360" w:lineRule="auto"/>
        <w:jc w:val="both"/>
        <w:rPr>
          <w:rFonts w:ascii="Palatino Linotype" w:eastAsia="Palatino Linotype" w:hAnsi="Palatino Linotype" w:cs="Palatino Linotype"/>
          <w:b/>
          <w:sz w:val="24"/>
          <w:szCs w:val="24"/>
        </w:rPr>
      </w:pPr>
      <w:r w:rsidRPr="002E186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905DCA">
        <w:rPr>
          <w:rFonts w:ascii="Palatino Linotype" w:eastAsia="Palatino Linotype" w:hAnsi="Palatino Linotype" w:cs="Palatino Linotype"/>
          <w:b/>
          <w:sz w:val="24"/>
          <w:szCs w:val="24"/>
        </w:rPr>
        <w:t>de</w:t>
      </w:r>
      <w:r w:rsidR="00905DCA" w:rsidRPr="00905DCA">
        <w:rPr>
          <w:rFonts w:ascii="Palatino Linotype" w:eastAsia="Palatino Linotype" w:hAnsi="Palatino Linotype" w:cs="Palatino Linotype"/>
          <w:b/>
          <w:sz w:val="24"/>
          <w:szCs w:val="24"/>
        </w:rPr>
        <w:t xml:space="preserve"> fecha</w:t>
      </w:r>
      <w:r w:rsidRPr="00905DCA">
        <w:rPr>
          <w:rFonts w:ascii="Palatino Linotype" w:eastAsia="Palatino Linotype" w:hAnsi="Palatino Linotype" w:cs="Palatino Linotype"/>
          <w:b/>
          <w:sz w:val="24"/>
          <w:szCs w:val="24"/>
        </w:rPr>
        <w:t xml:space="preserve"> </w:t>
      </w:r>
      <w:r w:rsidR="00E94C0D" w:rsidRPr="00905DCA">
        <w:rPr>
          <w:rFonts w:ascii="Palatino Linotype" w:eastAsia="Palatino Linotype" w:hAnsi="Palatino Linotype" w:cs="Palatino Linotype"/>
          <w:b/>
          <w:sz w:val="24"/>
          <w:szCs w:val="24"/>
        </w:rPr>
        <w:t>cinco</w:t>
      </w:r>
      <w:r w:rsidR="00254C18" w:rsidRPr="00905DCA">
        <w:rPr>
          <w:rFonts w:ascii="Palatino Linotype" w:eastAsia="Palatino Linotype" w:hAnsi="Palatino Linotype" w:cs="Palatino Linotype"/>
          <w:b/>
          <w:sz w:val="24"/>
          <w:szCs w:val="24"/>
        </w:rPr>
        <w:t xml:space="preserve"> </w:t>
      </w:r>
      <w:r w:rsidR="00905DCA" w:rsidRPr="00905DCA">
        <w:rPr>
          <w:rFonts w:ascii="Palatino Linotype" w:eastAsia="Palatino Linotype" w:hAnsi="Palatino Linotype" w:cs="Palatino Linotype"/>
          <w:b/>
          <w:sz w:val="24"/>
          <w:szCs w:val="24"/>
        </w:rPr>
        <w:t xml:space="preserve">(05) </w:t>
      </w:r>
      <w:r w:rsidR="00254C18" w:rsidRPr="00905DCA">
        <w:rPr>
          <w:rFonts w:ascii="Palatino Linotype" w:eastAsia="Palatino Linotype" w:hAnsi="Palatino Linotype" w:cs="Palatino Linotype"/>
          <w:b/>
          <w:sz w:val="24"/>
          <w:szCs w:val="24"/>
        </w:rPr>
        <w:t>de febrero</w:t>
      </w:r>
      <w:r w:rsidRPr="00905DCA">
        <w:rPr>
          <w:rFonts w:ascii="Palatino Linotype" w:eastAsia="Palatino Linotype" w:hAnsi="Palatino Linotype" w:cs="Palatino Linotype"/>
          <w:b/>
          <w:sz w:val="24"/>
          <w:szCs w:val="24"/>
        </w:rPr>
        <w:t xml:space="preserve"> de dos mil veintiséis.</w:t>
      </w:r>
    </w:p>
    <w:p w:rsidR="00EF53BA" w:rsidRPr="002E1864" w:rsidRDefault="00EF53BA" w:rsidP="00EF53BA">
      <w:pPr>
        <w:tabs>
          <w:tab w:val="left" w:pos="3465"/>
        </w:tabs>
        <w:spacing w:line="360" w:lineRule="auto"/>
        <w:jc w:val="both"/>
        <w:rPr>
          <w:rFonts w:ascii="Palatino Linotype" w:eastAsia="Palatino Linotype" w:hAnsi="Palatino Linotype" w:cs="Palatino Linotype"/>
          <w:b/>
          <w:sz w:val="24"/>
          <w:szCs w:val="24"/>
        </w:rPr>
      </w:pPr>
    </w:p>
    <w:p w:rsidR="00EF53BA" w:rsidRPr="002E1864" w:rsidRDefault="00EF53BA" w:rsidP="00EF53BA">
      <w:pPr>
        <w:spacing w:line="360" w:lineRule="auto"/>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b/>
          <w:sz w:val="24"/>
          <w:szCs w:val="24"/>
        </w:rPr>
        <w:t>VISTO</w:t>
      </w:r>
      <w:r w:rsidRPr="002E1864">
        <w:rPr>
          <w:rFonts w:ascii="Palatino Linotype" w:eastAsia="Palatino Linotype" w:hAnsi="Palatino Linotype" w:cs="Palatino Linotype"/>
          <w:sz w:val="24"/>
          <w:szCs w:val="24"/>
        </w:rPr>
        <w:t xml:space="preserve"> el expediente electrónico formado con motivo del recurso de revisión </w:t>
      </w:r>
      <w:r w:rsidRPr="002E1864">
        <w:rPr>
          <w:rFonts w:ascii="Palatino Linotype" w:eastAsia="Palatino Linotype" w:hAnsi="Palatino Linotype" w:cs="Palatino Linotype"/>
          <w:b/>
          <w:sz w:val="24"/>
          <w:szCs w:val="24"/>
        </w:rPr>
        <w:t xml:space="preserve">  </w:t>
      </w:r>
      <w:r w:rsidR="00254C18" w:rsidRPr="002E1864">
        <w:rPr>
          <w:rFonts w:ascii="Palatino Linotype" w:eastAsia="Palatino Linotype" w:hAnsi="Palatino Linotype" w:cs="Palatino Linotype"/>
          <w:b/>
          <w:bCs/>
          <w:sz w:val="24"/>
          <w:szCs w:val="24"/>
        </w:rPr>
        <w:t>08763/INFOEM/IP/RR/2025</w:t>
      </w:r>
      <w:r w:rsidRPr="002E1864">
        <w:rPr>
          <w:rFonts w:ascii="Palatino Linotype" w:eastAsia="Palatino Linotype" w:hAnsi="Palatino Linotype" w:cs="Palatino Linotype"/>
          <w:sz w:val="24"/>
          <w:szCs w:val="24"/>
        </w:rPr>
        <w:t>,</w:t>
      </w:r>
      <w:r w:rsidRPr="002E1864">
        <w:rPr>
          <w:rFonts w:ascii="Palatino Linotype" w:eastAsia="Palatino Linotype" w:hAnsi="Palatino Linotype" w:cs="Palatino Linotype"/>
          <w:b/>
          <w:sz w:val="24"/>
          <w:szCs w:val="24"/>
        </w:rPr>
        <w:t xml:space="preserve"> </w:t>
      </w:r>
      <w:r w:rsidRPr="002E1864">
        <w:rPr>
          <w:rFonts w:ascii="Palatino Linotype" w:eastAsia="Palatino Linotype" w:hAnsi="Palatino Linotype" w:cs="Palatino Linotype"/>
          <w:sz w:val="24"/>
          <w:szCs w:val="24"/>
        </w:rPr>
        <w:t xml:space="preserve">promovido por </w:t>
      </w:r>
      <w:r w:rsidR="00F2262C">
        <w:rPr>
          <w:rFonts w:ascii="Palatino Linotype" w:eastAsia="Palatino Linotype" w:hAnsi="Palatino Linotype" w:cs="Palatino Linotype"/>
          <w:b/>
          <w:sz w:val="24"/>
          <w:szCs w:val="24"/>
        </w:rPr>
        <w:t>XXXX</w:t>
      </w:r>
      <w:r w:rsidRPr="002E1864">
        <w:rPr>
          <w:rFonts w:ascii="Palatino Linotype" w:eastAsia="Palatino Linotype" w:hAnsi="Palatino Linotype" w:cs="Palatino Linotype"/>
          <w:b/>
          <w:sz w:val="24"/>
          <w:szCs w:val="24"/>
        </w:rPr>
        <w:t>,</w:t>
      </w:r>
      <w:r w:rsidRPr="002E1864">
        <w:rPr>
          <w:rFonts w:ascii="Palatino Linotype" w:eastAsia="Palatino Linotype" w:hAnsi="Palatino Linotype" w:cs="Palatino Linotype"/>
          <w:sz w:val="24"/>
          <w:szCs w:val="24"/>
        </w:rPr>
        <w:t xml:space="preserve"> a quien en lo sucesivo se le identificará como </w:t>
      </w:r>
      <w:r w:rsidRPr="002E1864">
        <w:rPr>
          <w:rFonts w:ascii="Palatino Linotype" w:eastAsia="Palatino Linotype" w:hAnsi="Palatino Linotype" w:cs="Palatino Linotype"/>
          <w:b/>
          <w:sz w:val="24"/>
          <w:szCs w:val="24"/>
        </w:rPr>
        <w:t>EL RECURRENTE</w:t>
      </w:r>
      <w:r w:rsidRPr="002E1864">
        <w:rPr>
          <w:rFonts w:ascii="Palatino Linotype" w:eastAsia="Palatino Linotype" w:hAnsi="Palatino Linotype" w:cs="Palatino Linotype"/>
          <w:sz w:val="24"/>
          <w:szCs w:val="24"/>
        </w:rPr>
        <w:t xml:space="preserve">, en contra de la respuesta del </w:t>
      </w:r>
      <w:r w:rsidR="00C75644" w:rsidRPr="002E1864">
        <w:rPr>
          <w:rFonts w:ascii="Palatino Linotype" w:eastAsia="Palatino Linotype" w:hAnsi="Palatino Linotype" w:cs="Palatino Linotype"/>
          <w:b/>
          <w:bCs/>
          <w:sz w:val="24"/>
          <w:szCs w:val="24"/>
        </w:rPr>
        <w:t>Ayuntamiento de Villa Victoria</w:t>
      </w:r>
      <w:r w:rsidRPr="002E1864">
        <w:rPr>
          <w:rFonts w:ascii="Palatino Linotype" w:eastAsia="Palatino Linotype" w:hAnsi="Palatino Linotype" w:cs="Palatino Linotype"/>
          <w:b/>
          <w:sz w:val="24"/>
          <w:szCs w:val="24"/>
        </w:rPr>
        <w:t xml:space="preserve">, </w:t>
      </w:r>
      <w:r w:rsidRPr="002E1864">
        <w:rPr>
          <w:rFonts w:ascii="Palatino Linotype" w:eastAsia="Palatino Linotype" w:hAnsi="Palatino Linotype" w:cs="Palatino Linotype"/>
          <w:sz w:val="24"/>
          <w:szCs w:val="24"/>
        </w:rPr>
        <w:t>en lo sucesivo el</w:t>
      </w:r>
      <w:r w:rsidRPr="002E1864">
        <w:rPr>
          <w:rFonts w:ascii="Palatino Linotype" w:eastAsia="Palatino Linotype" w:hAnsi="Palatino Linotype" w:cs="Palatino Linotype"/>
          <w:b/>
          <w:sz w:val="24"/>
          <w:szCs w:val="24"/>
        </w:rPr>
        <w:t xml:space="preserve"> SUJETO OBLIGADO</w:t>
      </w:r>
      <w:r w:rsidRPr="002E1864">
        <w:rPr>
          <w:rFonts w:ascii="Palatino Linotype" w:eastAsia="Palatino Linotype" w:hAnsi="Palatino Linotype" w:cs="Palatino Linotype"/>
          <w:sz w:val="24"/>
          <w:szCs w:val="24"/>
        </w:rPr>
        <w:t>, se procede a dictar la presente resolución, con base en los siguientes:</w:t>
      </w:r>
    </w:p>
    <w:p w:rsidR="00EF53BA" w:rsidRPr="002E1864" w:rsidRDefault="00EF53BA" w:rsidP="00EF53BA">
      <w:pPr>
        <w:spacing w:line="360" w:lineRule="auto"/>
        <w:jc w:val="both"/>
        <w:rPr>
          <w:rFonts w:ascii="Palatino Linotype" w:eastAsia="Palatino Linotype" w:hAnsi="Palatino Linotype" w:cs="Palatino Linotype"/>
          <w:b/>
          <w:sz w:val="24"/>
          <w:szCs w:val="24"/>
        </w:rPr>
      </w:pPr>
    </w:p>
    <w:p w:rsidR="00EF53BA" w:rsidRDefault="00EF53BA" w:rsidP="00EF53BA">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2E1864">
        <w:rPr>
          <w:rFonts w:ascii="Palatino Linotype" w:eastAsia="Palatino Linotype" w:hAnsi="Palatino Linotype" w:cs="Palatino Linotype"/>
          <w:b/>
          <w:color w:val="000000"/>
          <w:sz w:val="24"/>
          <w:szCs w:val="24"/>
        </w:rPr>
        <w:t>A</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N</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T</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E</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C</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E</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D</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E</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N</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T</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E</w:t>
      </w:r>
      <w:r w:rsidR="00905DCA">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S</w:t>
      </w:r>
      <w:r w:rsidR="00905DCA">
        <w:rPr>
          <w:rFonts w:ascii="Palatino Linotype" w:eastAsia="Palatino Linotype" w:hAnsi="Palatino Linotype" w:cs="Palatino Linotype"/>
          <w:b/>
          <w:color w:val="000000"/>
          <w:sz w:val="24"/>
          <w:szCs w:val="24"/>
        </w:rPr>
        <w:t xml:space="preserve"> </w:t>
      </w:r>
    </w:p>
    <w:p w:rsidR="00905DCA" w:rsidRPr="00905DCA" w:rsidRDefault="00905DCA" w:rsidP="00905DCA">
      <w:pPr>
        <w:rPr>
          <w:lang w:val="es-ES_tradnl" w:eastAsia="es-ES"/>
        </w:rPr>
      </w:pPr>
    </w:p>
    <w:p w:rsidR="00EF53BA"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El</w:t>
      </w:r>
      <w:r w:rsidRPr="002E1864">
        <w:rPr>
          <w:rFonts w:ascii="Palatino Linotype" w:eastAsia="Palatino Linotype" w:hAnsi="Palatino Linotype" w:cs="Palatino Linotype"/>
          <w:b/>
          <w:color w:val="000000"/>
          <w:sz w:val="24"/>
          <w:szCs w:val="24"/>
        </w:rPr>
        <w:t xml:space="preserve"> </w:t>
      </w:r>
      <w:r w:rsidR="00C75644" w:rsidRPr="002E1864">
        <w:rPr>
          <w:rFonts w:ascii="Palatino Linotype" w:eastAsia="Palatino Linotype" w:hAnsi="Palatino Linotype" w:cs="Palatino Linotype"/>
          <w:b/>
          <w:color w:val="000000"/>
          <w:sz w:val="24"/>
          <w:szCs w:val="24"/>
        </w:rPr>
        <w:t xml:space="preserve">quince de julio </w:t>
      </w:r>
      <w:r w:rsidRPr="002E1864">
        <w:rPr>
          <w:rFonts w:ascii="Palatino Linotype" w:eastAsia="Palatino Linotype" w:hAnsi="Palatino Linotype" w:cs="Palatino Linotype"/>
          <w:b/>
          <w:color w:val="000000"/>
          <w:sz w:val="24"/>
          <w:szCs w:val="24"/>
        </w:rPr>
        <w:t xml:space="preserve">de dos mil veinticinco, </w:t>
      </w:r>
      <w:r w:rsidRPr="002E1864">
        <w:rPr>
          <w:rFonts w:ascii="Palatino Linotype" w:eastAsia="Palatino Linotype" w:hAnsi="Palatino Linotype" w:cs="Palatino Linotype"/>
          <w:color w:val="000000"/>
          <w:sz w:val="24"/>
          <w:szCs w:val="24"/>
        </w:rPr>
        <w:t xml:space="preserve">se presentó ante el </w:t>
      </w:r>
      <w:r w:rsidRPr="002E1864">
        <w:rPr>
          <w:rFonts w:ascii="Palatino Linotype" w:eastAsia="Palatino Linotype" w:hAnsi="Palatino Linotype" w:cs="Palatino Linotype"/>
          <w:b/>
          <w:color w:val="000000"/>
          <w:sz w:val="24"/>
          <w:szCs w:val="24"/>
        </w:rPr>
        <w:t>SUJETO OBLIGADO</w:t>
      </w:r>
      <w:r w:rsidRPr="002E1864">
        <w:rPr>
          <w:rFonts w:ascii="Palatino Linotype" w:eastAsia="Palatino Linotype" w:hAnsi="Palatino Linotype" w:cs="Palatino Linotype"/>
          <w:color w:val="000000"/>
          <w:sz w:val="24"/>
          <w:szCs w:val="24"/>
        </w:rPr>
        <w:t xml:space="preserve"> a través del SAIMEX, la solicitud de información pública registrada con el número</w:t>
      </w:r>
      <w:r w:rsidR="00C75644" w:rsidRPr="002E1864">
        <w:rPr>
          <w:rFonts w:ascii="Palatino Linotype" w:eastAsia="Palatino Linotype" w:hAnsi="Palatino Linotype" w:cs="Palatino Linotype"/>
          <w:b/>
          <w:color w:val="000000"/>
          <w:sz w:val="24"/>
          <w:szCs w:val="24"/>
        </w:rPr>
        <w:t xml:space="preserve"> </w:t>
      </w:r>
      <w:r w:rsidR="00C75644" w:rsidRPr="002E1864">
        <w:rPr>
          <w:rFonts w:ascii="Palatino Linotype" w:eastAsia="Palatino Linotype" w:hAnsi="Palatino Linotype" w:cs="Palatino Linotype"/>
          <w:b/>
          <w:bCs/>
          <w:color w:val="000000"/>
          <w:sz w:val="24"/>
          <w:szCs w:val="24"/>
        </w:rPr>
        <w:t>00022/VIVICTOR/IP/2025</w:t>
      </w:r>
      <w:r w:rsidRPr="002E1864">
        <w:rPr>
          <w:rFonts w:ascii="Palatino Linotype" w:eastAsia="Palatino Linotype" w:hAnsi="Palatino Linotype" w:cs="Palatino Linotype"/>
          <w:b/>
          <w:color w:val="000000"/>
          <w:sz w:val="24"/>
          <w:szCs w:val="24"/>
        </w:rPr>
        <w:t xml:space="preserve">; </w:t>
      </w:r>
      <w:r w:rsidR="00F2262C">
        <w:rPr>
          <w:rFonts w:ascii="Palatino Linotype" w:eastAsia="Palatino Linotype" w:hAnsi="Palatino Linotype" w:cs="Palatino Linotype"/>
          <w:color w:val="000000"/>
          <w:sz w:val="24"/>
          <w:szCs w:val="24"/>
        </w:rPr>
        <w:t>en la que</w:t>
      </w:r>
      <w:r w:rsidRPr="002E1864">
        <w:rPr>
          <w:rFonts w:ascii="Palatino Linotype" w:eastAsia="Palatino Linotype" w:hAnsi="Palatino Linotype" w:cs="Palatino Linotype"/>
          <w:color w:val="000000"/>
          <w:sz w:val="24"/>
          <w:szCs w:val="24"/>
        </w:rPr>
        <w:t xml:space="preserve"> se solicitó la siguiente información:</w:t>
      </w:r>
    </w:p>
    <w:p w:rsidR="00EF53BA" w:rsidRPr="002E1864" w:rsidRDefault="00EF53BA" w:rsidP="00EF53B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EF53BA">
      <w:pPr>
        <w:pBdr>
          <w:top w:val="nil"/>
          <w:left w:val="nil"/>
          <w:bottom w:val="nil"/>
          <w:right w:val="nil"/>
          <w:between w:val="nil"/>
        </w:pBdr>
        <w:spacing w:after="0" w:line="360" w:lineRule="auto"/>
        <w:ind w:left="709" w:right="476"/>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w:t>
      </w:r>
      <w:r w:rsidR="00C75644" w:rsidRPr="002E1864">
        <w:rPr>
          <w:rFonts w:ascii="Palatino Linotype" w:eastAsia="Palatino Linotype" w:hAnsi="Palatino Linotype" w:cs="Palatino Linotype"/>
          <w:i/>
          <w:color w:val="000000"/>
          <w:sz w:val="24"/>
          <w:szCs w:val="24"/>
        </w:rPr>
        <w:t>quiero saber con que servicios médicos cuenta el ayuntamiento, el CV del o los médicos, los costos de consulta y los requisitos para acudir a consulta</w:t>
      </w:r>
      <w:r w:rsidRPr="002E1864">
        <w:rPr>
          <w:rFonts w:ascii="Palatino Linotype" w:eastAsia="Palatino Linotype" w:hAnsi="Palatino Linotype" w:cs="Palatino Linotype"/>
          <w:i/>
          <w:color w:val="000000"/>
          <w:sz w:val="24"/>
          <w:szCs w:val="24"/>
        </w:rPr>
        <w:t>” (Sic)</w:t>
      </w:r>
    </w:p>
    <w:p w:rsidR="00EF53BA" w:rsidRDefault="00EF53BA" w:rsidP="00EF53BA">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rsidR="00905DCA" w:rsidRPr="002E1864" w:rsidRDefault="00905DCA" w:rsidP="00EF53BA">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rsidR="00EF53BA" w:rsidRPr="002E1864" w:rsidRDefault="00EF53BA" w:rsidP="00905DCA">
      <w:pPr>
        <w:numPr>
          <w:ilvl w:val="0"/>
          <w:numId w:val="2"/>
        </w:numPr>
        <w:pBdr>
          <w:top w:val="nil"/>
          <w:left w:val="nil"/>
          <w:bottom w:val="nil"/>
          <w:right w:val="nil"/>
          <w:between w:val="nil"/>
        </w:pBdr>
        <w:spacing w:after="0" w:line="360" w:lineRule="auto"/>
        <w:ind w:left="0" w:right="474"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Se eligió como modalidad de entrega de la información: A través del </w:t>
      </w:r>
      <w:r w:rsidRPr="002E1864">
        <w:rPr>
          <w:rFonts w:ascii="Palatino Linotype" w:eastAsia="Palatino Linotype" w:hAnsi="Palatino Linotype" w:cs="Palatino Linotype"/>
          <w:b/>
          <w:color w:val="000000"/>
          <w:sz w:val="24"/>
          <w:szCs w:val="24"/>
        </w:rPr>
        <w:t>SAIMEX.</w:t>
      </w:r>
    </w:p>
    <w:p w:rsidR="00EF53BA" w:rsidRPr="002E1864" w:rsidRDefault="00EF53BA" w:rsidP="00EF53BA">
      <w:pPr>
        <w:pBdr>
          <w:top w:val="nil"/>
          <w:left w:val="nil"/>
          <w:bottom w:val="nil"/>
          <w:right w:val="nil"/>
          <w:between w:val="nil"/>
        </w:pBdr>
        <w:spacing w:after="0" w:line="360" w:lineRule="auto"/>
        <w:ind w:left="851" w:right="474"/>
        <w:jc w:val="both"/>
        <w:rPr>
          <w:rFonts w:ascii="Palatino Linotype" w:eastAsia="Palatino Linotype" w:hAnsi="Palatino Linotype" w:cs="Palatino Linotype"/>
          <w:color w:val="000000"/>
          <w:sz w:val="24"/>
          <w:szCs w:val="24"/>
        </w:rPr>
      </w:pPr>
    </w:p>
    <w:p w:rsidR="00EF53BA" w:rsidRPr="002E1864" w:rsidRDefault="00EF53BA" w:rsidP="00EF53BA">
      <w:pPr>
        <w:rPr>
          <w:rFonts w:ascii="Palatino Linotype" w:eastAsia="Palatino Linotype" w:hAnsi="Palatino Linotype" w:cs="Palatino Linotype"/>
          <w:sz w:val="24"/>
          <w:szCs w:val="24"/>
        </w:rPr>
      </w:pPr>
    </w:p>
    <w:p w:rsidR="00C75644"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E1864">
        <w:rPr>
          <w:rFonts w:ascii="Palatino Linotype" w:eastAsia="Palatino Linotype" w:hAnsi="Palatino Linotype" w:cs="Palatino Linotype"/>
          <w:color w:val="000000"/>
          <w:sz w:val="24"/>
          <w:szCs w:val="24"/>
        </w:rPr>
        <w:lastRenderedPageBreak/>
        <w:t xml:space="preserve">El </w:t>
      </w:r>
      <w:r w:rsidR="00C75644" w:rsidRPr="002E1864">
        <w:rPr>
          <w:rFonts w:ascii="Palatino Linotype" w:eastAsia="Palatino Linotype" w:hAnsi="Palatino Linotype" w:cs="Palatino Linotype"/>
          <w:b/>
          <w:color w:val="000000"/>
          <w:sz w:val="24"/>
          <w:szCs w:val="24"/>
        </w:rPr>
        <w:t>dieciocho de julio</w:t>
      </w:r>
      <w:r w:rsidRPr="002E1864">
        <w:rPr>
          <w:rFonts w:ascii="Palatino Linotype" w:eastAsia="Palatino Linotype" w:hAnsi="Palatino Linotype" w:cs="Palatino Linotype"/>
          <w:b/>
          <w:color w:val="000000"/>
          <w:sz w:val="24"/>
          <w:szCs w:val="24"/>
        </w:rPr>
        <w:t xml:space="preserve"> de dos mil veinticinco,</w:t>
      </w:r>
      <w:r w:rsidR="00C75644" w:rsidRPr="002E1864">
        <w:rPr>
          <w:rFonts w:ascii="Palatino Linotype" w:eastAsia="Palatino Linotype" w:hAnsi="Palatino Linotype" w:cs="Palatino Linotype"/>
          <w:b/>
          <w:color w:val="000000"/>
          <w:sz w:val="24"/>
          <w:szCs w:val="24"/>
        </w:rPr>
        <w:t xml:space="preserve"> </w:t>
      </w:r>
      <w:r w:rsidR="00C75644" w:rsidRPr="002E1864">
        <w:rPr>
          <w:rFonts w:ascii="Palatino Linotype" w:eastAsia="Palatino Linotype" w:hAnsi="Palatino Linotype" w:cs="Palatino Linotype"/>
          <w:color w:val="000000"/>
          <w:sz w:val="24"/>
          <w:szCs w:val="24"/>
        </w:rPr>
        <w:t xml:space="preserve">el </w:t>
      </w:r>
      <w:r w:rsidR="00C75644" w:rsidRPr="002E1864">
        <w:rPr>
          <w:rFonts w:ascii="Palatino Linotype" w:eastAsia="Palatino Linotype" w:hAnsi="Palatino Linotype" w:cs="Palatino Linotype"/>
          <w:b/>
          <w:color w:val="000000"/>
          <w:sz w:val="24"/>
          <w:szCs w:val="24"/>
        </w:rPr>
        <w:t xml:space="preserve">SUJETO OBLIGADO, </w:t>
      </w:r>
      <w:r w:rsidR="00C75644" w:rsidRPr="002E1864">
        <w:rPr>
          <w:rFonts w:ascii="Palatino Linotype" w:eastAsia="Palatino Linotype" w:hAnsi="Palatino Linotype" w:cs="Palatino Linotype"/>
          <w:color w:val="000000"/>
          <w:sz w:val="24"/>
          <w:szCs w:val="24"/>
        </w:rPr>
        <w:t>declinó incompetencia parcial, en el tenor siguiente:</w:t>
      </w:r>
    </w:p>
    <w:p w:rsidR="00C75644" w:rsidRPr="002E1864" w:rsidRDefault="00C75644" w:rsidP="00C75644">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E1864">
        <w:rPr>
          <w:rFonts w:ascii="Palatino Linotype" w:eastAsia="Palatino Linotype" w:hAnsi="Palatino Linotype" w:cs="Palatino Linotype"/>
          <w:b/>
          <w:color w:val="000000"/>
        </w:rPr>
        <w:t>Incompetencia Parcial.pdf</w:t>
      </w:r>
    </w:p>
    <w:p w:rsidR="00C75644" w:rsidRPr="002E1864" w:rsidRDefault="00C75644" w:rsidP="00C75644">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 xml:space="preserve"> Se le hace de conocimiento que los costos de consulta y los demás requisitos para acudir a la misma son de competencia del DIF para lo cual se le sugiere solicitar dicha información al DIF de este Ayuntamiento</w:t>
      </w:r>
    </w:p>
    <w:p w:rsidR="00EF53BA" w:rsidRPr="002E1864" w:rsidRDefault="00EF53BA" w:rsidP="00C7564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C75644" w:rsidRPr="002E1864" w:rsidRDefault="00EF53BA" w:rsidP="00C75644">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El </w:t>
      </w:r>
      <w:r w:rsidR="00C75644" w:rsidRPr="002E1864">
        <w:rPr>
          <w:rFonts w:ascii="Palatino Linotype" w:eastAsia="Palatino Linotype" w:hAnsi="Palatino Linotype" w:cs="Palatino Linotype"/>
          <w:b/>
          <w:color w:val="000000"/>
          <w:sz w:val="24"/>
          <w:szCs w:val="24"/>
        </w:rPr>
        <w:t>dieciocho de julio</w:t>
      </w:r>
      <w:r w:rsidRPr="002E1864">
        <w:rPr>
          <w:rFonts w:ascii="Palatino Linotype" w:eastAsia="Palatino Linotype" w:hAnsi="Palatino Linotype" w:cs="Palatino Linotype"/>
          <w:b/>
          <w:color w:val="000000"/>
          <w:sz w:val="24"/>
          <w:szCs w:val="24"/>
        </w:rPr>
        <w:t xml:space="preserve"> de dos mil veinticinco,</w:t>
      </w:r>
      <w:r w:rsidRPr="002E1864">
        <w:rPr>
          <w:rFonts w:ascii="Palatino Linotype" w:eastAsia="Palatino Linotype" w:hAnsi="Palatino Linotype" w:cs="Palatino Linotype"/>
          <w:color w:val="000000"/>
          <w:sz w:val="24"/>
          <w:szCs w:val="24"/>
        </w:rPr>
        <w:t xml:space="preserve"> el </w:t>
      </w:r>
      <w:r w:rsidRPr="002E1864">
        <w:rPr>
          <w:rFonts w:ascii="Palatino Linotype" w:eastAsia="Palatino Linotype" w:hAnsi="Palatino Linotype" w:cs="Palatino Linotype"/>
          <w:b/>
          <w:color w:val="000000"/>
          <w:sz w:val="24"/>
          <w:szCs w:val="24"/>
        </w:rPr>
        <w:t xml:space="preserve">SUJETO OBLIGADO, </w:t>
      </w:r>
      <w:r w:rsidRPr="002E1864">
        <w:rPr>
          <w:rFonts w:ascii="Palatino Linotype" w:eastAsia="Palatino Linotype" w:hAnsi="Palatino Linotype" w:cs="Palatino Linotype"/>
          <w:color w:val="000000"/>
          <w:sz w:val="24"/>
          <w:szCs w:val="24"/>
        </w:rPr>
        <w:t xml:space="preserve">dio respuesta a través </w:t>
      </w:r>
      <w:r w:rsidR="00C75644" w:rsidRPr="002E1864">
        <w:rPr>
          <w:rFonts w:ascii="Palatino Linotype" w:eastAsia="Palatino Linotype" w:hAnsi="Palatino Linotype" w:cs="Palatino Linotype"/>
          <w:color w:val="000000"/>
          <w:sz w:val="24"/>
          <w:szCs w:val="24"/>
        </w:rPr>
        <w:t>de los archivos siguientes:</w:t>
      </w:r>
    </w:p>
    <w:p w:rsidR="00C75644" w:rsidRPr="002E1864" w:rsidRDefault="00FF7ADB" w:rsidP="00C75644">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hyperlink r:id="rId7" w:tgtFrame="_blank" w:history="1">
        <w:r w:rsidR="006462CD" w:rsidRPr="002E1864">
          <w:rPr>
            <w:rStyle w:val="Hipervnculo"/>
            <w:rFonts w:ascii="Palatino Linotype" w:eastAsia="Palatino Linotype" w:hAnsi="Palatino Linotype" w:cs="Palatino Linotype"/>
            <w:b/>
            <w:bCs/>
            <w:color w:val="auto"/>
            <w:sz w:val="24"/>
            <w:szCs w:val="24"/>
          </w:rPr>
          <w:t>CV DOCTORES.pdf</w:t>
        </w:r>
      </w:hyperlink>
      <w:r w:rsidR="00C75644" w:rsidRPr="002E1864">
        <w:rPr>
          <w:rFonts w:ascii="Palatino Linotype" w:eastAsia="Palatino Linotype" w:hAnsi="Palatino Linotype" w:cs="Palatino Linotype"/>
          <w:b/>
          <w:sz w:val="24"/>
          <w:szCs w:val="24"/>
        </w:rPr>
        <w:t>:</w:t>
      </w:r>
      <w:bookmarkStart w:id="1" w:name="_GoBack"/>
      <w:bookmarkEnd w:id="1"/>
    </w:p>
    <w:p w:rsidR="00C75644" w:rsidRPr="002E1864" w:rsidRDefault="00C75644" w:rsidP="00C75644">
      <w:p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Curriculum vitae de:</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Cesar Gianni Bautista Velasco</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Perla Reyna</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Yaneli Ramírez Álvarez</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José Eduardo Ocampo Zagal</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Marcela Valdez Garfias</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Laura Itzel Huerta Garduño</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Ana Alejandra Solís Domínguez (dejó domicilio particular y estado civil a la vista)</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Ángel de Jesús Victoria Bárcenas.</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Jannet Arias Rosas (se dejó firma a la vista)</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Iveth Anayanci Bastida Albarrán</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Raúl Varas González.</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José Nazaret Salinas Vivero </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Daniel Vilchis Ryes (se dejó domicilio particular a la vista)</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Victoria Cristina Montes de Oca Fuentes.</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Leobardo Felipe Segundo (se dejó domicilio particular a la vista)</w:t>
      </w:r>
    </w:p>
    <w:p w:rsidR="00002E56" w:rsidRPr="002E1864" w:rsidRDefault="006462C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Dina Roseli Castillo Jaimes.</w:t>
      </w:r>
    </w:p>
    <w:p w:rsidR="00002E56" w:rsidRPr="002E1864" w:rsidRDefault="00FD1BED" w:rsidP="00C75644">
      <w:pPr>
        <w:numPr>
          <w:ilvl w:val="0"/>
          <w:numId w:val="11"/>
        </w:numPr>
        <w:pBdr>
          <w:top w:val="nil"/>
          <w:left w:val="nil"/>
          <w:bottom w:val="nil"/>
          <w:right w:val="nil"/>
          <w:between w:val="nil"/>
        </w:pBdr>
        <w:spacing w:after="0" w:line="240" w:lineRule="auto"/>
        <w:ind w:left="709"/>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Eduardo Camacho Sánchez</w:t>
      </w:r>
      <w:r w:rsidR="006462CD" w:rsidRPr="002E1864">
        <w:rPr>
          <w:rFonts w:ascii="Palatino Linotype" w:eastAsia="Palatino Linotype" w:hAnsi="Palatino Linotype" w:cs="Palatino Linotype"/>
          <w:color w:val="000000"/>
          <w:sz w:val="24"/>
          <w:szCs w:val="24"/>
        </w:rPr>
        <w:t xml:space="preserve">, </w:t>
      </w:r>
      <w:r w:rsidRPr="002E1864">
        <w:rPr>
          <w:rFonts w:ascii="Palatino Linotype" w:eastAsia="Palatino Linotype" w:hAnsi="Palatino Linotype" w:cs="Palatino Linotype"/>
          <w:color w:val="000000"/>
          <w:sz w:val="24"/>
          <w:szCs w:val="24"/>
        </w:rPr>
        <w:t>se dejó a la vista</w:t>
      </w:r>
      <w:r w:rsidR="006462CD" w:rsidRPr="002E1864">
        <w:rPr>
          <w:rFonts w:ascii="Palatino Linotype" w:eastAsia="Palatino Linotype" w:hAnsi="Palatino Linotype" w:cs="Palatino Linotype"/>
          <w:color w:val="000000"/>
          <w:sz w:val="24"/>
          <w:szCs w:val="24"/>
        </w:rPr>
        <w:t xml:space="preserve"> la edad, estado civil, y RFC  a la vista.</w:t>
      </w:r>
    </w:p>
    <w:p w:rsidR="00002E56" w:rsidRDefault="00002E56" w:rsidP="00C756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05DCA" w:rsidRPr="002E1864" w:rsidRDefault="00905DCA" w:rsidP="00C756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002E56" w:rsidRPr="002E1864" w:rsidRDefault="00FF7ADB" w:rsidP="00C75644">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hyperlink r:id="rId8" w:tgtFrame="_blank" w:history="1">
        <w:r w:rsidR="006462CD" w:rsidRPr="002E1864">
          <w:rPr>
            <w:rStyle w:val="Hipervnculo"/>
            <w:rFonts w:ascii="Palatino Linotype" w:eastAsia="Palatino Linotype" w:hAnsi="Palatino Linotype" w:cs="Palatino Linotype"/>
            <w:b/>
            <w:bCs/>
            <w:color w:val="auto"/>
            <w:sz w:val="24"/>
            <w:szCs w:val="24"/>
          </w:rPr>
          <w:t>OFICIO DE RESPUESTA AL FOLIO 00022.pdf</w:t>
        </w:r>
      </w:hyperlink>
    </w:p>
    <w:p w:rsidR="00C75644" w:rsidRPr="002E1864" w:rsidRDefault="00C75644" w:rsidP="00C75644">
      <w:pPr>
        <w:pBdr>
          <w:top w:val="nil"/>
          <w:left w:val="nil"/>
          <w:bottom w:val="nil"/>
          <w:right w:val="nil"/>
          <w:between w:val="nil"/>
        </w:pBdr>
        <w:spacing w:after="0" w:line="276" w:lineRule="auto"/>
        <w:ind w:left="426" w:right="616"/>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Oficio firmado por el Director de Administración Municipal, por el que informo que solo puede curbir el apartado de los CV, y la información adicional corresponde al Sistema DIF Municipal, ya que ahí es donde se brindan los servicios. </w:t>
      </w:r>
    </w:p>
    <w:p w:rsidR="00C75644" w:rsidRPr="002E1864" w:rsidRDefault="00C75644" w:rsidP="00C75644">
      <w:pPr>
        <w:pBdr>
          <w:top w:val="nil"/>
          <w:left w:val="nil"/>
          <w:bottom w:val="nil"/>
          <w:right w:val="nil"/>
          <w:between w:val="nil"/>
        </w:pBdr>
        <w:spacing w:after="0" w:line="276" w:lineRule="auto"/>
        <w:ind w:right="616"/>
        <w:jc w:val="both"/>
        <w:rPr>
          <w:rFonts w:ascii="Palatino Linotype" w:eastAsia="Palatino Linotype" w:hAnsi="Palatino Linotype" w:cs="Palatino Linotype"/>
          <w:color w:val="000000"/>
          <w:sz w:val="24"/>
          <w:szCs w:val="24"/>
        </w:rPr>
      </w:pPr>
    </w:p>
    <w:p w:rsidR="00C75644" w:rsidRPr="002E1864" w:rsidRDefault="00C75644" w:rsidP="00C75644">
      <w:pPr>
        <w:pBdr>
          <w:top w:val="nil"/>
          <w:left w:val="nil"/>
          <w:bottom w:val="nil"/>
          <w:right w:val="nil"/>
          <w:between w:val="nil"/>
        </w:pBdr>
        <w:spacing w:after="0" w:line="276" w:lineRule="auto"/>
        <w:ind w:left="426" w:right="616"/>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Informó que se remiten los siguientes Curriculum en formato pdf. </w:t>
      </w:r>
    </w:p>
    <w:p w:rsidR="00C75644" w:rsidRPr="002E1864" w:rsidRDefault="00C75644" w:rsidP="00C75644">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rPr>
      </w:pPr>
    </w:p>
    <w:p w:rsidR="00C75644" w:rsidRPr="002E1864" w:rsidRDefault="00C75644" w:rsidP="00C7564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E1864">
        <w:rPr>
          <w:rFonts w:ascii="Palatino Linotype" w:eastAsia="Palatino Linotype" w:hAnsi="Palatino Linotype" w:cs="Palatino Linotype"/>
          <w:b/>
          <w:noProof/>
          <w:color w:val="000000"/>
          <w:sz w:val="24"/>
          <w:szCs w:val="24"/>
        </w:rPr>
        <w:drawing>
          <wp:inline distT="0" distB="0" distL="0" distR="0" wp14:anchorId="34FB6963" wp14:editId="2C06C1A0">
            <wp:extent cx="5612130" cy="11074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07440"/>
                    </a:xfrm>
                    <a:prstGeom prst="rect">
                      <a:avLst/>
                    </a:prstGeom>
                  </pic:spPr>
                </pic:pic>
              </a:graphicData>
            </a:graphic>
          </wp:inline>
        </w:drawing>
      </w:r>
    </w:p>
    <w:p w:rsidR="00C75644" w:rsidRPr="002E1864" w:rsidRDefault="00C75644" w:rsidP="00C7564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EF53BA" w:rsidRPr="002E1864" w:rsidRDefault="00EF53BA" w:rsidP="00EF53B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color w:val="000000"/>
          <w:sz w:val="24"/>
          <w:szCs w:val="24"/>
        </w:rPr>
        <w:t xml:space="preserve">Inconforme con lo anterior, el </w:t>
      </w:r>
      <w:r w:rsidRPr="002E1864">
        <w:rPr>
          <w:rFonts w:ascii="Palatino Linotype" w:eastAsia="Palatino Linotype" w:hAnsi="Palatino Linotype" w:cs="Palatino Linotype"/>
          <w:b/>
          <w:color w:val="000000"/>
          <w:sz w:val="24"/>
          <w:szCs w:val="24"/>
        </w:rPr>
        <w:t>d</w:t>
      </w:r>
      <w:r w:rsidR="00C75644" w:rsidRPr="002E1864">
        <w:rPr>
          <w:rFonts w:ascii="Palatino Linotype" w:eastAsia="Palatino Linotype" w:hAnsi="Palatino Linotype" w:cs="Palatino Linotype"/>
          <w:b/>
          <w:color w:val="000000"/>
          <w:sz w:val="24"/>
          <w:szCs w:val="24"/>
        </w:rPr>
        <w:t xml:space="preserve">ieciocho </w:t>
      </w:r>
      <w:r w:rsidRPr="002E1864">
        <w:rPr>
          <w:rFonts w:ascii="Palatino Linotype" w:eastAsia="Palatino Linotype" w:hAnsi="Palatino Linotype" w:cs="Palatino Linotype"/>
          <w:b/>
          <w:color w:val="000000"/>
          <w:sz w:val="24"/>
          <w:szCs w:val="24"/>
        </w:rPr>
        <w:t>de julio de dos mil veinticinco</w:t>
      </w:r>
      <w:r w:rsidRPr="002E1864">
        <w:rPr>
          <w:rFonts w:ascii="Palatino Linotype" w:eastAsia="Palatino Linotype" w:hAnsi="Palatino Linotype" w:cs="Palatino Linotype"/>
          <w:color w:val="000000"/>
          <w:sz w:val="24"/>
          <w:szCs w:val="24"/>
        </w:rPr>
        <w:t xml:space="preserve">, el hoy </w:t>
      </w:r>
      <w:r w:rsidRPr="002E1864">
        <w:rPr>
          <w:rFonts w:ascii="Palatino Linotype" w:eastAsia="Palatino Linotype" w:hAnsi="Palatino Linotype" w:cs="Palatino Linotype"/>
          <w:b/>
          <w:color w:val="000000"/>
          <w:sz w:val="24"/>
          <w:szCs w:val="24"/>
        </w:rPr>
        <w:t xml:space="preserve">RECURRENTE, </w:t>
      </w:r>
      <w:r w:rsidRPr="002E1864">
        <w:rPr>
          <w:rFonts w:ascii="Palatino Linotype" w:eastAsia="Palatino Linotype" w:hAnsi="Palatino Linotype" w:cs="Palatino Linotype"/>
          <w:color w:val="000000"/>
          <w:sz w:val="24"/>
          <w:szCs w:val="24"/>
        </w:rPr>
        <w:t xml:space="preserve">interpuso recurso de revisión en contra de la respuesta emitida por el </w:t>
      </w:r>
      <w:r w:rsidRPr="002E1864">
        <w:rPr>
          <w:rFonts w:ascii="Palatino Linotype" w:eastAsia="Palatino Linotype" w:hAnsi="Palatino Linotype" w:cs="Palatino Linotype"/>
          <w:b/>
          <w:color w:val="000000"/>
          <w:sz w:val="24"/>
          <w:szCs w:val="24"/>
        </w:rPr>
        <w:t>SUJETO OBLIGADO</w:t>
      </w:r>
      <w:r w:rsidRPr="002E1864">
        <w:rPr>
          <w:rFonts w:ascii="Palatino Linotype" w:eastAsia="Palatino Linotype" w:hAnsi="Palatino Linotype" w:cs="Palatino Linotype"/>
          <w:color w:val="000000"/>
          <w:sz w:val="24"/>
          <w:szCs w:val="24"/>
        </w:rPr>
        <w:t>, manifestando las siguientes razones o motivos de inconformidad:</w:t>
      </w:r>
    </w:p>
    <w:p w:rsidR="00EF53BA" w:rsidRPr="002E1864" w:rsidRDefault="00EF53BA" w:rsidP="00EF53BA">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rsidR="00EF53BA" w:rsidRPr="002E1864" w:rsidRDefault="006B5FE7" w:rsidP="00C75644">
      <w:pPr>
        <w:numPr>
          <w:ilvl w:val="0"/>
          <w:numId w:val="2"/>
        </w:numPr>
        <w:pBdr>
          <w:top w:val="nil"/>
          <w:left w:val="nil"/>
          <w:bottom w:val="nil"/>
          <w:right w:val="nil"/>
          <w:between w:val="nil"/>
        </w:pBdr>
        <w:spacing w:after="0" w:line="240" w:lineRule="auto"/>
        <w:ind w:left="993" w:right="333" w:firstLine="0"/>
        <w:jc w:val="both"/>
        <w:rPr>
          <w:rFonts w:ascii="Palatino Linotype" w:eastAsia="Palatino Linotype" w:hAnsi="Palatino Linotype" w:cs="Palatino Linotype"/>
          <w:i/>
          <w:color w:val="000000"/>
          <w:sz w:val="24"/>
          <w:szCs w:val="24"/>
        </w:rPr>
      </w:pPr>
      <w:bookmarkStart w:id="2" w:name="_heading=h.sz4sngxvcrxd" w:colFirst="0" w:colLast="0"/>
      <w:bookmarkEnd w:id="2"/>
      <w:r w:rsidRPr="002E1864">
        <w:rPr>
          <w:rFonts w:ascii="Palatino Linotype" w:eastAsia="Palatino Linotype" w:hAnsi="Palatino Linotype" w:cs="Palatino Linotype"/>
          <w:b/>
          <w:color w:val="000000"/>
          <w:sz w:val="24"/>
          <w:szCs w:val="24"/>
        </w:rPr>
        <w:t>ACTO IMPUGNADO</w:t>
      </w:r>
      <w:r w:rsidR="00EF53BA" w:rsidRPr="002E1864">
        <w:rPr>
          <w:rFonts w:ascii="Palatino Linotype" w:eastAsia="Palatino Linotype" w:hAnsi="Palatino Linotype" w:cs="Palatino Linotype"/>
          <w:b/>
          <w:color w:val="000000"/>
          <w:sz w:val="24"/>
          <w:szCs w:val="24"/>
        </w:rPr>
        <w:t xml:space="preserve">: </w:t>
      </w:r>
      <w:r w:rsidR="00EF53BA" w:rsidRPr="002E1864">
        <w:rPr>
          <w:rFonts w:ascii="Palatino Linotype" w:eastAsia="Palatino Linotype" w:hAnsi="Palatino Linotype" w:cs="Palatino Linotype"/>
          <w:i/>
          <w:color w:val="000000"/>
          <w:sz w:val="24"/>
          <w:szCs w:val="24"/>
        </w:rPr>
        <w:t>“</w:t>
      </w:r>
      <w:r w:rsidR="00C75644" w:rsidRPr="002E1864">
        <w:rPr>
          <w:rFonts w:ascii="Palatino Linotype" w:eastAsia="Palatino Linotype" w:hAnsi="Palatino Linotype" w:cs="Palatino Linotype"/>
          <w:i/>
          <w:color w:val="000000"/>
          <w:sz w:val="24"/>
          <w:szCs w:val="24"/>
        </w:rPr>
        <w:t>No menciona en que sesión sel Comité de transparencia se realizó el testado de los documentos, ni entrega oficio de contestación firmado por el Titular</w:t>
      </w:r>
      <w:r w:rsidR="00EF53BA" w:rsidRPr="002E1864">
        <w:rPr>
          <w:rFonts w:ascii="Palatino Linotype" w:eastAsia="Palatino Linotype" w:hAnsi="Palatino Linotype" w:cs="Palatino Linotype"/>
          <w:i/>
          <w:color w:val="000000"/>
          <w:sz w:val="24"/>
          <w:szCs w:val="24"/>
        </w:rPr>
        <w:t>”</w:t>
      </w:r>
    </w:p>
    <w:p w:rsidR="00C75644" w:rsidRPr="002E1864" w:rsidRDefault="00C75644" w:rsidP="00C75644">
      <w:pPr>
        <w:pBdr>
          <w:top w:val="nil"/>
          <w:left w:val="nil"/>
          <w:bottom w:val="nil"/>
          <w:right w:val="nil"/>
          <w:between w:val="nil"/>
        </w:pBdr>
        <w:spacing w:after="0" w:line="240" w:lineRule="auto"/>
        <w:ind w:left="993" w:right="333"/>
        <w:jc w:val="both"/>
        <w:rPr>
          <w:rFonts w:ascii="Palatino Linotype" w:eastAsia="Palatino Linotype" w:hAnsi="Palatino Linotype" w:cs="Palatino Linotype"/>
          <w:i/>
          <w:color w:val="000000"/>
          <w:sz w:val="24"/>
          <w:szCs w:val="24"/>
        </w:rPr>
      </w:pPr>
    </w:p>
    <w:p w:rsidR="00EF53BA" w:rsidRPr="002E1864" w:rsidRDefault="006B5FE7" w:rsidP="00C75644">
      <w:pPr>
        <w:numPr>
          <w:ilvl w:val="0"/>
          <w:numId w:val="2"/>
        </w:numPr>
        <w:pBdr>
          <w:top w:val="nil"/>
          <w:left w:val="nil"/>
          <w:bottom w:val="nil"/>
          <w:right w:val="nil"/>
          <w:between w:val="nil"/>
        </w:pBdr>
        <w:spacing w:after="0" w:line="240" w:lineRule="auto"/>
        <w:ind w:left="993" w:right="333" w:firstLine="0"/>
        <w:jc w:val="both"/>
        <w:rPr>
          <w:rFonts w:ascii="Palatino Linotype" w:eastAsia="Palatino Linotype" w:hAnsi="Palatino Linotype" w:cs="Palatino Linotype"/>
          <w:i/>
          <w:color w:val="000000"/>
          <w:sz w:val="24"/>
          <w:szCs w:val="24"/>
        </w:rPr>
      </w:pPr>
      <w:bookmarkStart w:id="3" w:name="_heading=h.q4ny55z1g6bu" w:colFirst="0" w:colLast="0"/>
      <w:bookmarkEnd w:id="3"/>
      <w:r w:rsidRPr="002E1864">
        <w:rPr>
          <w:rFonts w:ascii="Palatino Linotype" w:eastAsia="Palatino Linotype" w:hAnsi="Palatino Linotype" w:cs="Palatino Linotype"/>
          <w:b/>
          <w:color w:val="000000"/>
          <w:sz w:val="24"/>
          <w:szCs w:val="24"/>
        </w:rPr>
        <w:t>RAZONES O MOTIVOS DE INCONFORMIDAD</w:t>
      </w:r>
      <w:r w:rsidR="00EF53BA" w:rsidRPr="002E1864">
        <w:rPr>
          <w:rFonts w:ascii="Palatino Linotype" w:eastAsia="Palatino Linotype" w:hAnsi="Palatino Linotype" w:cs="Palatino Linotype"/>
          <w:b/>
          <w:color w:val="000000"/>
          <w:sz w:val="24"/>
          <w:szCs w:val="24"/>
        </w:rPr>
        <w:t>: “</w:t>
      </w:r>
      <w:r w:rsidR="00C75644" w:rsidRPr="002E1864">
        <w:rPr>
          <w:rFonts w:ascii="Palatino Linotype" w:eastAsia="Palatino Linotype" w:hAnsi="Palatino Linotype" w:cs="Palatino Linotype"/>
          <w:i/>
          <w:color w:val="000000"/>
          <w:sz w:val="24"/>
          <w:szCs w:val="24"/>
        </w:rPr>
        <w:t>No testa la información como lo marca la ley</w:t>
      </w:r>
      <w:r w:rsidR="00EF53BA" w:rsidRPr="002E1864">
        <w:rPr>
          <w:rFonts w:ascii="Palatino Linotype" w:eastAsia="Palatino Linotype" w:hAnsi="Palatino Linotype" w:cs="Palatino Linotype"/>
          <w:color w:val="000000"/>
          <w:sz w:val="24"/>
          <w:szCs w:val="24"/>
        </w:rPr>
        <w:t>”</w:t>
      </w:r>
    </w:p>
    <w:p w:rsidR="00883B74" w:rsidRPr="002E1864" w:rsidRDefault="00883B74" w:rsidP="00883B74">
      <w:pPr>
        <w:pStyle w:val="Prrafodelista"/>
        <w:rPr>
          <w:rFonts w:ascii="Palatino Linotype" w:eastAsia="Palatino Linotype" w:hAnsi="Palatino Linotype" w:cs="Palatino Linotype"/>
          <w:i/>
          <w:color w:val="000000"/>
        </w:rPr>
      </w:pPr>
    </w:p>
    <w:p w:rsidR="00883B74" w:rsidRPr="002E1864" w:rsidRDefault="00883B74" w:rsidP="00883B74">
      <w:pPr>
        <w:pBdr>
          <w:top w:val="nil"/>
          <w:left w:val="nil"/>
          <w:bottom w:val="nil"/>
          <w:right w:val="nil"/>
          <w:between w:val="nil"/>
        </w:pBdr>
        <w:spacing w:after="0" w:line="240" w:lineRule="auto"/>
        <w:ind w:right="333"/>
        <w:jc w:val="both"/>
        <w:rPr>
          <w:rFonts w:ascii="Palatino Linotype" w:eastAsia="Palatino Linotype" w:hAnsi="Palatino Linotype" w:cs="Palatino Linotype"/>
          <w:i/>
          <w:color w:val="000000"/>
          <w:sz w:val="24"/>
          <w:szCs w:val="24"/>
        </w:rPr>
      </w:pPr>
    </w:p>
    <w:p w:rsidR="00883B74" w:rsidRPr="002E1864" w:rsidRDefault="00883B74" w:rsidP="006B5FE7">
      <w:pPr>
        <w:numPr>
          <w:ilvl w:val="0"/>
          <w:numId w:val="18"/>
        </w:numPr>
        <w:pBdr>
          <w:top w:val="nil"/>
          <w:left w:val="nil"/>
          <w:bottom w:val="nil"/>
          <w:right w:val="nil"/>
          <w:between w:val="nil"/>
        </w:pBdr>
        <w:tabs>
          <w:tab w:val="clear" w:pos="720"/>
        </w:tabs>
        <w:spacing w:after="0" w:line="240" w:lineRule="auto"/>
        <w:ind w:left="0" w:right="333"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Al recurso de revisión, adjunto el archivo </w:t>
      </w:r>
      <w:hyperlink r:id="rId10" w:tgtFrame="_blank" w:history="1">
        <w:r w:rsidRPr="002E1864">
          <w:rPr>
            <w:rStyle w:val="Hipervnculo"/>
            <w:rFonts w:ascii="Palatino Linotype" w:eastAsia="Palatino Linotype" w:hAnsi="Palatino Linotype" w:cs="Palatino Linotype"/>
            <w:b/>
            <w:bCs/>
            <w:color w:val="auto"/>
            <w:sz w:val="24"/>
            <w:szCs w:val="24"/>
            <w:u w:val="none"/>
          </w:rPr>
          <w:t>CV DOCTORES.pdf</w:t>
        </w:r>
      </w:hyperlink>
      <w:r w:rsidRPr="002E1864">
        <w:rPr>
          <w:rFonts w:ascii="Palatino Linotype" w:eastAsia="Palatino Linotype" w:hAnsi="Palatino Linotype" w:cs="Palatino Linotype"/>
          <w:sz w:val="24"/>
          <w:szCs w:val="24"/>
        </w:rPr>
        <w:t xml:space="preserve">, </w:t>
      </w:r>
      <w:r w:rsidRPr="002E1864">
        <w:rPr>
          <w:rFonts w:ascii="Palatino Linotype" w:eastAsia="Palatino Linotype" w:hAnsi="Palatino Linotype" w:cs="Palatino Linotype"/>
          <w:color w:val="000000"/>
          <w:sz w:val="24"/>
          <w:szCs w:val="24"/>
        </w:rPr>
        <w:t xml:space="preserve">remitido en respuesta. </w:t>
      </w:r>
    </w:p>
    <w:p w:rsidR="00883B74" w:rsidRPr="002E1864" w:rsidRDefault="00883B74" w:rsidP="00883B74">
      <w:pPr>
        <w:pBdr>
          <w:top w:val="nil"/>
          <w:left w:val="nil"/>
          <w:bottom w:val="nil"/>
          <w:right w:val="nil"/>
          <w:between w:val="nil"/>
        </w:pBdr>
        <w:spacing w:after="0" w:line="240" w:lineRule="auto"/>
        <w:ind w:right="333"/>
        <w:jc w:val="both"/>
        <w:rPr>
          <w:rFonts w:ascii="Palatino Linotype" w:eastAsia="Palatino Linotype" w:hAnsi="Palatino Linotype" w:cs="Palatino Linotype"/>
          <w:color w:val="000000"/>
          <w:sz w:val="24"/>
          <w:szCs w:val="24"/>
        </w:rPr>
      </w:pPr>
    </w:p>
    <w:p w:rsidR="00EF53BA" w:rsidRPr="002E1864" w:rsidRDefault="00EF53BA" w:rsidP="00EF53BA">
      <w:pPr>
        <w:spacing w:line="360" w:lineRule="auto"/>
        <w:jc w:val="both"/>
        <w:rPr>
          <w:rFonts w:ascii="Palatino Linotype" w:eastAsia="Palatino Linotype" w:hAnsi="Palatino Linotype" w:cs="Palatino Linotype"/>
          <w:i/>
          <w:color w:val="000000"/>
          <w:sz w:val="24"/>
          <w:szCs w:val="24"/>
        </w:rPr>
      </w:pPr>
    </w:p>
    <w:p w:rsidR="00EF53BA" w:rsidRPr="002E1864" w:rsidRDefault="006B5FE7" w:rsidP="00A14F5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lastRenderedPageBreak/>
        <w:t>La Comisionada p</w:t>
      </w:r>
      <w:r w:rsidR="00EF53BA" w:rsidRPr="002E1864">
        <w:rPr>
          <w:rFonts w:ascii="Palatino Linotype" w:eastAsia="Palatino Linotype" w:hAnsi="Palatino Linotype" w:cs="Palatino Linotype"/>
          <w:color w:val="000000"/>
          <w:sz w:val="24"/>
          <w:szCs w:val="24"/>
        </w:rPr>
        <w:t xml:space="preserve">onente con fundamento en lo dispuesto por el artículo 185 fracción II de la ley de la materia, a través del acuerdo de admisión notificado el </w:t>
      </w:r>
      <w:r w:rsidR="00EF53BA" w:rsidRPr="002E1864">
        <w:rPr>
          <w:rFonts w:ascii="Palatino Linotype" w:eastAsia="Palatino Linotype" w:hAnsi="Palatino Linotype" w:cs="Palatino Linotype"/>
          <w:b/>
          <w:color w:val="000000"/>
          <w:sz w:val="24"/>
          <w:szCs w:val="24"/>
        </w:rPr>
        <w:t>cinco de agosto de dos mil veinticinco</w:t>
      </w:r>
      <w:r w:rsidR="00EF53BA" w:rsidRPr="002E1864">
        <w:rPr>
          <w:rFonts w:ascii="Palatino Linotype" w:eastAsia="Palatino Linotype" w:hAnsi="Palatino Linotype" w:cs="Palatino Linotype"/>
          <w:color w:val="000000"/>
          <w:sz w:val="24"/>
          <w:szCs w:val="24"/>
        </w:rPr>
        <w:t xml:space="preserve">, puso a disposición de las partes el expediente electrónico vía </w:t>
      </w:r>
      <w:r w:rsidR="00EF53BA" w:rsidRPr="002E1864">
        <w:rPr>
          <w:rFonts w:ascii="Palatino Linotype" w:eastAsia="Palatino Linotype" w:hAnsi="Palatino Linotype" w:cs="Palatino Linotype"/>
          <w:b/>
          <w:color w:val="000000"/>
          <w:sz w:val="24"/>
          <w:szCs w:val="24"/>
        </w:rPr>
        <w:t xml:space="preserve">SAIMEX </w:t>
      </w:r>
      <w:r w:rsidR="00EF53BA" w:rsidRPr="002E1864">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00EF53BA" w:rsidRPr="002E1864">
        <w:rPr>
          <w:rFonts w:ascii="Palatino Linotype" w:eastAsia="Palatino Linotype" w:hAnsi="Palatino Linotype" w:cs="Palatino Linotype"/>
          <w:b/>
          <w:color w:val="000000"/>
          <w:sz w:val="24"/>
          <w:szCs w:val="24"/>
        </w:rPr>
        <w:t>SUJETO OBLIGADO</w:t>
      </w:r>
      <w:r w:rsidR="00EF53BA" w:rsidRPr="002E1864">
        <w:rPr>
          <w:rFonts w:ascii="Palatino Linotype" w:eastAsia="Palatino Linotype" w:hAnsi="Palatino Linotype" w:cs="Palatino Linotype"/>
          <w:color w:val="000000"/>
          <w:sz w:val="24"/>
          <w:szCs w:val="24"/>
        </w:rPr>
        <w:t xml:space="preserve"> presentará el Informe Justificado procedente.</w:t>
      </w:r>
    </w:p>
    <w:p w:rsidR="00EF53BA" w:rsidRPr="002E1864" w:rsidRDefault="00EF53BA" w:rsidP="00A14F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A14F5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El </w:t>
      </w:r>
      <w:r w:rsidRPr="002E1864">
        <w:rPr>
          <w:rFonts w:ascii="Palatino Linotype" w:eastAsia="Palatino Linotype" w:hAnsi="Palatino Linotype" w:cs="Palatino Linotype"/>
          <w:b/>
          <w:color w:val="000000"/>
          <w:sz w:val="24"/>
          <w:szCs w:val="24"/>
        </w:rPr>
        <w:t xml:space="preserve">PARTICULAR </w:t>
      </w:r>
      <w:r w:rsidR="00A14F50" w:rsidRPr="002E1864">
        <w:rPr>
          <w:rFonts w:ascii="Palatino Linotype" w:eastAsia="Palatino Linotype" w:hAnsi="Palatino Linotype" w:cs="Palatino Linotype"/>
          <w:color w:val="000000"/>
          <w:sz w:val="24"/>
          <w:szCs w:val="24"/>
        </w:rPr>
        <w:t>fue</w:t>
      </w:r>
      <w:r w:rsidRPr="002E1864">
        <w:rPr>
          <w:rFonts w:ascii="Palatino Linotype" w:eastAsia="Palatino Linotype" w:hAnsi="Palatino Linotype" w:cs="Palatino Linotype"/>
          <w:color w:val="000000"/>
          <w:sz w:val="24"/>
          <w:szCs w:val="24"/>
        </w:rPr>
        <w:t xml:space="preserve"> </w:t>
      </w:r>
      <w:r w:rsidR="00FD1BED" w:rsidRPr="002E1864">
        <w:rPr>
          <w:rFonts w:ascii="Palatino Linotype" w:eastAsia="Palatino Linotype" w:hAnsi="Palatino Linotype" w:cs="Palatino Linotype"/>
          <w:color w:val="000000"/>
          <w:sz w:val="24"/>
          <w:szCs w:val="24"/>
        </w:rPr>
        <w:t>omisos en realizar manifestación alguna conforme</w:t>
      </w:r>
      <w:r w:rsidRPr="002E1864">
        <w:rPr>
          <w:rFonts w:ascii="Palatino Linotype" w:eastAsia="Palatino Linotype" w:hAnsi="Palatino Linotype" w:cs="Palatino Linotype"/>
          <w:color w:val="000000"/>
          <w:sz w:val="24"/>
          <w:szCs w:val="24"/>
        </w:rPr>
        <w:t xml:space="preserve"> a su derecho conviniera y asistiera.</w:t>
      </w:r>
    </w:p>
    <w:p w:rsidR="00A14F50" w:rsidRPr="002E1864" w:rsidRDefault="00A14F50" w:rsidP="00A14F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14F50" w:rsidRPr="002E1864" w:rsidRDefault="00A14F50" w:rsidP="00A14F5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El </w:t>
      </w:r>
      <w:r w:rsidRPr="002E1864">
        <w:rPr>
          <w:rFonts w:ascii="Palatino Linotype" w:eastAsia="Palatino Linotype" w:hAnsi="Palatino Linotype" w:cs="Palatino Linotype"/>
          <w:b/>
          <w:color w:val="000000"/>
          <w:sz w:val="24"/>
          <w:szCs w:val="24"/>
        </w:rPr>
        <w:t xml:space="preserve">SUJETO OBLIGADO, </w:t>
      </w:r>
      <w:r w:rsidRPr="002E1864">
        <w:rPr>
          <w:rFonts w:ascii="Palatino Linotype" w:eastAsia="Palatino Linotype" w:hAnsi="Palatino Linotype" w:cs="Palatino Linotype"/>
          <w:color w:val="000000"/>
          <w:sz w:val="24"/>
          <w:szCs w:val="24"/>
        </w:rPr>
        <w:t>rindió el Informe Justificado a través de los archivos siguientes:</w:t>
      </w:r>
    </w:p>
    <w:p w:rsidR="00A14F50" w:rsidRPr="002E1864" w:rsidRDefault="002E624C" w:rsidP="00A14F50">
      <w:pPr>
        <w:pStyle w:val="Prrafodelista"/>
        <w:numPr>
          <w:ilvl w:val="0"/>
          <w:numId w:val="12"/>
        </w:numPr>
        <w:spacing w:after="160" w:line="259" w:lineRule="auto"/>
        <w:jc w:val="both"/>
        <w:rPr>
          <w:rFonts w:ascii="Palatino Linotype" w:hAnsi="Palatino Linotype"/>
          <w:b/>
        </w:rPr>
      </w:pPr>
      <w:r w:rsidRPr="002E1864">
        <w:rPr>
          <w:rFonts w:ascii="Palatino Linotype" w:hAnsi="Palatino Linotype"/>
          <w:b/>
        </w:rPr>
        <w:t>CURRICULUM MEDICOS.pd</w:t>
      </w:r>
    </w:p>
    <w:p w:rsidR="002E624C" w:rsidRPr="002E1864" w:rsidRDefault="002E624C" w:rsidP="002E624C">
      <w:pPr>
        <w:jc w:val="both"/>
        <w:rPr>
          <w:rFonts w:ascii="Palatino Linotype" w:hAnsi="Palatino Linotype"/>
        </w:rPr>
      </w:pPr>
      <w:r w:rsidRPr="002E1864">
        <w:rPr>
          <w:rFonts w:ascii="Palatino Linotype" w:hAnsi="Palatino Linotype"/>
        </w:rPr>
        <w:t>Curriculums remitidos en respuesta en versión pública.</w:t>
      </w:r>
    </w:p>
    <w:p w:rsidR="00A14F50" w:rsidRPr="002E1864" w:rsidRDefault="00A14F50" w:rsidP="00A14F50">
      <w:pPr>
        <w:pStyle w:val="Prrafodelista"/>
        <w:numPr>
          <w:ilvl w:val="0"/>
          <w:numId w:val="12"/>
        </w:numPr>
        <w:spacing w:after="160" w:line="259" w:lineRule="auto"/>
        <w:jc w:val="both"/>
        <w:rPr>
          <w:rFonts w:ascii="Palatino Linotype" w:hAnsi="Palatino Linotype"/>
          <w:b/>
        </w:rPr>
      </w:pPr>
      <w:r w:rsidRPr="002E1864">
        <w:rPr>
          <w:rFonts w:ascii="Palatino Linotype" w:hAnsi="Palatino Linotype"/>
          <w:b/>
        </w:rPr>
        <w:t>ACTA EXTRAORDINARIA REC REV.pdf</w:t>
      </w:r>
    </w:p>
    <w:p w:rsidR="00A14F50" w:rsidRPr="002E1864" w:rsidRDefault="00A14F50" w:rsidP="00A14F50">
      <w:pPr>
        <w:jc w:val="both"/>
        <w:rPr>
          <w:rFonts w:ascii="Palatino Linotype" w:hAnsi="Palatino Linotype"/>
          <w:sz w:val="24"/>
          <w:szCs w:val="24"/>
        </w:rPr>
      </w:pPr>
      <w:r w:rsidRPr="002E1864">
        <w:rPr>
          <w:rFonts w:ascii="Palatino Linotype" w:hAnsi="Palatino Linotype"/>
          <w:sz w:val="24"/>
          <w:szCs w:val="24"/>
        </w:rPr>
        <w:t>ACTA DE LA PRIMERA SESIÓN EXTRAORDINARIA 2025 COMITÉ DE TRANSPARENCIA AYUNTAMIENTO CONSTITUCIONAL DE VILLA VICTORIA CT/AVV/ACTA/EXTRAORDINARIA/01/2025</w:t>
      </w:r>
    </w:p>
    <w:p w:rsidR="00A14F50" w:rsidRPr="002E1864" w:rsidRDefault="00A14F50" w:rsidP="00A14F50">
      <w:pPr>
        <w:pStyle w:val="Prrafodelista"/>
        <w:numPr>
          <w:ilvl w:val="0"/>
          <w:numId w:val="12"/>
        </w:numPr>
        <w:spacing w:after="160" w:line="259" w:lineRule="auto"/>
        <w:jc w:val="both"/>
        <w:rPr>
          <w:rFonts w:ascii="Palatino Linotype" w:hAnsi="Palatino Linotype"/>
          <w:b/>
        </w:rPr>
      </w:pPr>
      <w:r w:rsidRPr="002E1864">
        <w:rPr>
          <w:rFonts w:ascii="Palatino Linotype" w:hAnsi="Palatino Linotype"/>
          <w:b/>
        </w:rPr>
        <w:t>INFORME JUSTIFICADO REC REV 08763.pdf</w:t>
      </w:r>
    </w:p>
    <w:p w:rsidR="00A14F50" w:rsidRPr="002E1864" w:rsidRDefault="00883B74" w:rsidP="00A14F50">
      <w:pPr>
        <w:jc w:val="both"/>
        <w:rPr>
          <w:rFonts w:ascii="Palatino Linotype" w:hAnsi="Palatino Linotype"/>
          <w:sz w:val="24"/>
          <w:szCs w:val="24"/>
        </w:rPr>
      </w:pPr>
      <w:r w:rsidRPr="002E1864">
        <w:rPr>
          <w:rFonts w:ascii="Palatino Linotype" w:hAnsi="Palatino Linotype"/>
          <w:sz w:val="24"/>
          <w:szCs w:val="24"/>
        </w:rPr>
        <w:t>Oficio firmado por el Titular de la Unidad de Transparencia por el que informo lo siguiente:</w:t>
      </w:r>
    </w:p>
    <w:p w:rsidR="00A14F50" w:rsidRPr="002E1864" w:rsidRDefault="00883B74" w:rsidP="00883B74">
      <w:pPr>
        <w:ind w:left="426" w:right="616"/>
        <w:jc w:val="both"/>
        <w:rPr>
          <w:rFonts w:ascii="Palatino Linotype" w:hAnsi="Palatino Linotype"/>
          <w:i/>
          <w:sz w:val="24"/>
          <w:szCs w:val="24"/>
        </w:rPr>
      </w:pPr>
      <w:r w:rsidRPr="002E1864">
        <w:rPr>
          <w:rFonts w:ascii="Palatino Linotype" w:hAnsi="Palatino Linotype"/>
          <w:i/>
          <w:sz w:val="24"/>
          <w:szCs w:val="24"/>
        </w:rPr>
        <w:t xml:space="preserve">“la suscrita RATIFICA en todas y cada una de sus partes la respuesta emitida a la solicitud de información, toda vez que la misma fue emitida en tiempo y forma si bien es cierto no se testo en su totalidad la información lo es que se proporcionaron los curriculum vitae de los médicos, no omito mencionar que por error humano es que no se </w:t>
      </w:r>
      <w:r w:rsidRPr="002E1864">
        <w:rPr>
          <w:rFonts w:ascii="Palatino Linotype" w:hAnsi="Palatino Linotype"/>
          <w:i/>
          <w:sz w:val="24"/>
          <w:szCs w:val="24"/>
        </w:rPr>
        <w:lastRenderedPageBreak/>
        <w:t>entregó el testado de dicha información en su totalidad, así como su aprobación por el comité de transparencia…”</w:t>
      </w:r>
    </w:p>
    <w:p w:rsidR="00EF53BA" w:rsidRPr="002E1864" w:rsidRDefault="00EF53BA" w:rsidP="00A14F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jnpr9qdalaue" w:colFirst="0" w:colLast="0"/>
      <w:bookmarkEnd w:id="4"/>
      <w:r w:rsidRPr="002E1864">
        <w:rPr>
          <w:rFonts w:ascii="Palatino Linotype" w:eastAsia="Palatino Linotype" w:hAnsi="Palatino Linotype" w:cs="Palatino Linotype"/>
          <w:color w:val="000000"/>
          <w:sz w:val="24"/>
          <w:szCs w:val="24"/>
        </w:rPr>
        <w:t xml:space="preserve">El </w:t>
      </w:r>
      <w:r w:rsidR="00883B74" w:rsidRPr="002E1864">
        <w:rPr>
          <w:rFonts w:ascii="Palatino Linotype" w:eastAsia="Palatino Linotype" w:hAnsi="Palatino Linotype" w:cs="Palatino Linotype"/>
          <w:b/>
          <w:color w:val="000000"/>
          <w:sz w:val="24"/>
          <w:szCs w:val="24"/>
        </w:rPr>
        <w:t>veintisiete d</w:t>
      </w:r>
      <w:r w:rsidRPr="002E1864">
        <w:rPr>
          <w:rFonts w:ascii="Palatino Linotype" w:eastAsia="Palatino Linotype" w:hAnsi="Palatino Linotype" w:cs="Palatino Linotype"/>
          <w:b/>
          <w:color w:val="000000"/>
          <w:sz w:val="24"/>
          <w:szCs w:val="24"/>
        </w:rPr>
        <w:t xml:space="preserve">e enero de dos mil veintiséis, </w:t>
      </w:r>
      <w:r w:rsidRPr="002E1864">
        <w:rPr>
          <w:rFonts w:ascii="Palatino Linotype" w:eastAsia="Palatino Linotype" w:hAnsi="Palatino Linotype" w:cs="Palatino Linotype"/>
          <w:color w:val="000000"/>
          <w:sz w:val="24"/>
          <w:szCs w:val="24"/>
        </w:rPr>
        <w:t>se notificó el acuerdo por el que se aprobó la ampliación del plazo para resolver el recurso de revisión que nos ocupa.</w:t>
      </w:r>
    </w:p>
    <w:p w:rsidR="00A14F50" w:rsidRPr="002E1864" w:rsidRDefault="00A14F50" w:rsidP="00A14F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EF53BA" w:rsidRPr="006B5FE7"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E1864">
        <w:rPr>
          <w:rFonts w:ascii="Palatino Linotype" w:eastAsia="Palatino Linotype" w:hAnsi="Palatino Linotype" w:cs="Palatino Linotype"/>
          <w:color w:val="000000"/>
          <w:sz w:val="24"/>
          <w:szCs w:val="24"/>
        </w:rPr>
        <w:t xml:space="preserve">Mediante acuerdo de </w:t>
      </w:r>
      <w:r w:rsidR="00883B74" w:rsidRPr="002E1864">
        <w:rPr>
          <w:rFonts w:ascii="Palatino Linotype" w:eastAsia="Palatino Linotype" w:hAnsi="Palatino Linotype" w:cs="Palatino Linotype"/>
          <w:b/>
          <w:color w:val="000000"/>
          <w:sz w:val="24"/>
          <w:szCs w:val="24"/>
        </w:rPr>
        <w:t>cuatro</w:t>
      </w:r>
      <w:r w:rsidRPr="002E1864">
        <w:rPr>
          <w:rFonts w:ascii="Palatino Linotype" w:eastAsia="Palatino Linotype" w:hAnsi="Palatino Linotype" w:cs="Palatino Linotype"/>
          <w:b/>
          <w:color w:val="000000"/>
          <w:sz w:val="24"/>
          <w:szCs w:val="24"/>
        </w:rPr>
        <w:t xml:space="preserve"> de enero de dos mil veintiséis, </w:t>
      </w:r>
      <w:r w:rsidRPr="002E1864">
        <w:rPr>
          <w:rFonts w:ascii="Palatino Linotype" w:eastAsia="Palatino Linotype" w:hAnsi="Palatino Linotype" w:cs="Palatino Linotype"/>
          <w:color w:val="000000"/>
          <w:sz w:val="24"/>
          <w:szCs w:val="24"/>
        </w:rPr>
        <w:t>se  decretó el cierre de instrucción, por lo que no habiendo más que hacer constar, y</w:t>
      </w:r>
    </w:p>
    <w:p w:rsidR="006B5FE7" w:rsidRDefault="006B5FE7" w:rsidP="006B5FE7">
      <w:pPr>
        <w:pStyle w:val="Prrafodelista"/>
        <w:rPr>
          <w:rFonts w:ascii="Palatino Linotype" w:eastAsia="Palatino Linotype" w:hAnsi="Palatino Linotype" w:cs="Palatino Linotype"/>
          <w:b/>
          <w:color w:val="000000"/>
        </w:rPr>
      </w:pPr>
    </w:p>
    <w:p w:rsidR="006B5FE7" w:rsidRPr="002E1864" w:rsidRDefault="006B5FE7" w:rsidP="006B5FE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EF53BA" w:rsidRPr="002E1864" w:rsidRDefault="00EF53BA" w:rsidP="00EF53B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2E1864">
        <w:rPr>
          <w:rFonts w:ascii="Palatino Linotype" w:eastAsia="Palatino Linotype" w:hAnsi="Palatino Linotype" w:cs="Palatino Linotype"/>
          <w:b/>
          <w:color w:val="000000"/>
          <w:sz w:val="24"/>
          <w:szCs w:val="24"/>
        </w:rPr>
        <w:t>C</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O</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N</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S</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I</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D</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E</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R</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A</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N</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D</w:t>
      </w:r>
      <w:r w:rsidR="006B5FE7">
        <w:rPr>
          <w:rFonts w:ascii="Palatino Linotype" w:eastAsia="Palatino Linotype" w:hAnsi="Palatino Linotype" w:cs="Palatino Linotype"/>
          <w:b/>
          <w:color w:val="000000"/>
          <w:sz w:val="24"/>
          <w:szCs w:val="24"/>
        </w:rPr>
        <w:t xml:space="preserve"> </w:t>
      </w:r>
      <w:r w:rsidRPr="002E1864">
        <w:rPr>
          <w:rFonts w:ascii="Palatino Linotype" w:eastAsia="Palatino Linotype" w:hAnsi="Palatino Linotype" w:cs="Palatino Linotype"/>
          <w:b/>
          <w:color w:val="000000"/>
          <w:sz w:val="24"/>
          <w:szCs w:val="24"/>
        </w:rPr>
        <w:t>O</w:t>
      </w:r>
    </w:p>
    <w:p w:rsidR="00EF53BA" w:rsidRPr="002E1864" w:rsidRDefault="00EF53BA" w:rsidP="00EF53B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EF53BA" w:rsidRPr="002E1864" w:rsidRDefault="00EF53BA" w:rsidP="00EF53BA">
      <w:pPr>
        <w:pStyle w:val="Ttulo2"/>
        <w:spacing w:before="0" w:line="360" w:lineRule="auto"/>
        <w:rPr>
          <w:rFonts w:ascii="Palatino Linotype" w:eastAsia="Palatino Linotype" w:hAnsi="Palatino Linotype" w:cs="Palatino Linotype"/>
          <w:b/>
          <w:color w:val="000000"/>
          <w:sz w:val="24"/>
          <w:szCs w:val="24"/>
        </w:rPr>
      </w:pPr>
      <w:bookmarkStart w:id="5" w:name="_heading=h.qvthlr518szq" w:colFirst="0" w:colLast="0"/>
      <w:bookmarkEnd w:id="5"/>
      <w:r w:rsidRPr="002E1864">
        <w:rPr>
          <w:rFonts w:ascii="Palatino Linotype" w:eastAsia="Palatino Linotype" w:hAnsi="Palatino Linotype" w:cs="Palatino Linotype"/>
          <w:b/>
          <w:color w:val="000000"/>
          <w:sz w:val="24"/>
          <w:szCs w:val="24"/>
        </w:rPr>
        <w:t>PRIMERO. De la competencia</w:t>
      </w:r>
    </w:p>
    <w:p w:rsidR="00EF53BA"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F53BA" w:rsidRPr="002E1864" w:rsidRDefault="00EF53BA" w:rsidP="00EF53B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EF53BA">
      <w:pPr>
        <w:pStyle w:val="Ttulo2"/>
        <w:spacing w:before="0" w:line="360" w:lineRule="auto"/>
        <w:rPr>
          <w:rFonts w:ascii="Palatino Linotype" w:eastAsia="Palatino Linotype" w:hAnsi="Palatino Linotype" w:cs="Palatino Linotype"/>
          <w:b/>
          <w:color w:val="000000"/>
          <w:sz w:val="24"/>
          <w:szCs w:val="24"/>
        </w:rPr>
      </w:pPr>
      <w:bookmarkStart w:id="6" w:name="_heading=h.yxepb6g6s82q" w:colFirst="0" w:colLast="0"/>
      <w:bookmarkEnd w:id="6"/>
      <w:r w:rsidRPr="002E1864">
        <w:rPr>
          <w:rFonts w:ascii="Palatino Linotype" w:eastAsia="Palatino Linotype" w:hAnsi="Palatino Linotype" w:cs="Palatino Linotype"/>
          <w:b/>
          <w:color w:val="000000"/>
          <w:sz w:val="24"/>
          <w:szCs w:val="24"/>
        </w:rPr>
        <w:lastRenderedPageBreak/>
        <w:t>SEGUNDO. De la oportunidad y procedencia.</w:t>
      </w:r>
    </w:p>
    <w:p w:rsidR="00EF53BA" w:rsidRPr="002E1864" w:rsidRDefault="00EF53BA" w:rsidP="00EF53B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El medio de impugnación fue presentado a través del </w:t>
      </w:r>
      <w:r w:rsidRPr="002E1864">
        <w:rPr>
          <w:rFonts w:ascii="Palatino Linotype" w:eastAsia="Palatino Linotype" w:hAnsi="Palatino Linotype" w:cs="Palatino Linotype"/>
          <w:b/>
          <w:color w:val="000000"/>
          <w:sz w:val="24"/>
          <w:szCs w:val="24"/>
        </w:rPr>
        <w:t>SAIMEX,</w:t>
      </w:r>
      <w:r w:rsidRPr="002E1864">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2E1864">
        <w:rPr>
          <w:rFonts w:ascii="Palatino Linotype" w:eastAsia="Palatino Linotype" w:hAnsi="Palatino Linotype" w:cs="Palatino Linotype"/>
          <w:b/>
          <w:color w:val="000000"/>
          <w:sz w:val="24"/>
          <w:szCs w:val="24"/>
        </w:rPr>
        <w:t>SUJETO OBLIGADO</w:t>
      </w:r>
      <w:r w:rsidRPr="002E1864">
        <w:rPr>
          <w:rFonts w:ascii="Palatino Linotype" w:eastAsia="Palatino Linotype" w:hAnsi="Palatino Linotype" w:cs="Palatino Linotype"/>
          <w:color w:val="000000"/>
          <w:sz w:val="24"/>
          <w:szCs w:val="24"/>
        </w:rPr>
        <w:t xml:space="preserve"> entregó su respuesta el </w:t>
      </w:r>
      <w:r w:rsidR="00883B74" w:rsidRPr="002E1864">
        <w:rPr>
          <w:rFonts w:ascii="Palatino Linotype" w:eastAsia="Palatino Linotype" w:hAnsi="Palatino Linotype" w:cs="Palatino Linotype"/>
          <w:b/>
          <w:color w:val="000000"/>
          <w:sz w:val="24"/>
          <w:szCs w:val="24"/>
        </w:rPr>
        <w:t>dieciocho</w:t>
      </w:r>
      <w:r w:rsidRPr="002E1864">
        <w:rPr>
          <w:rFonts w:ascii="Palatino Linotype" w:eastAsia="Palatino Linotype" w:hAnsi="Palatino Linotype" w:cs="Palatino Linotype"/>
          <w:b/>
          <w:color w:val="000000"/>
          <w:sz w:val="24"/>
          <w:szCs w:val="24"/>
        </w:rPr>
        <w:t xml:space="preserve"> de julio de dos mil veinticinco</w:t>
      </w:r>
      <w:r w:rsidRPr="002E1864">
        <w:rPr>
          <w:rFonts w:ascii="Palatino Linotype" w:eastAsia="Palatino Linotype" w:hAnsi="Palatino Linotype" w:cs="Palatino Linotype"/>
          <w:color w:val="000000"/>
          <w:sz w:val="24"/>
          <w:szCs w:val="24"/>
        </w:rPr>
        <w:t>, de tal forma que el plazo para interponer el recurso de revisión transcurrió del</w:t>
      </w:r>
      <w:r w:rsidRPr="002E1864">
        <w:rPr>
          <w:rFonts w:ascii="Palatino Linotype" w:eastAsia="Palatino Linotype" w:hAnsi="Palatino Linotype" w:cs="Palatino Linotype"/>
          <w:b/>
          <w:color w:val="000000"/>
          <w:sz w:val="24"/>
          <w:szCs w:val="24"/>
        </w:rPr>
        <w:t xml:space="preserve"> </w:t>
      </w:r>
      <w:r w:rsidR="00883B74" w:rsidRPr="002E1864">
        <w:rPr>
          <w:rFonts w:ascii="Palatino Linotype" w:eastAsia="Palatino Linotype" w:hAnsi="Palatino Linotype" w:cs="Palatino Linotype"/>
          <w:b/>
          <w:color w:val="000000"/>
          <w:sz w:val="24"/>
          <w:szCs w:val="24"/>
        </w:rPr>
        <w:t>cuatro al veintidós de agosto</w:t>
      </w:r>
      <w:r w:rsidRPr="002E1864">
        <w:rPr>
          <w:rFonts w:ascii="Palatino Linotype" w:eastAsia="Palatino Linotype" w:hAnsi="Palatino Linotype" w:cs="Palatino Linotype"/>
          <w:b/>
          <w:color w:val="000000"/>
          <w:sz w:val="24"/>
          <w:szCs w:val="24"/>
        </w:rPr>
        <w:t xml:space="preserve"> de dos mil veinticinco,</w:t>
      </w:r>
      <w:r w:rsidRPr="002E1864">
        <w:rPr>
          <w:rFonts w:ascii="Palatino Linotype" w:eastAsia="Palatino Linotype" w:hAnsi="Palatino Linotype" w:cs="Palatino Linotype"/>
          <w:color w:val="000000"/>
          <w:sz w:val="24"/>
          <w:szCs w:val="24"/>
        </w:rPr>
        <w:t xml:space="preserve"> en consecuencia, el ahora </w:t>
      </w:r>
      <w:r w:rsidRPr="002E1864">
        <w:rPr>
          <w:rFonts w:ascii="Palatino Linotype" w:eastAsia="Palatino Linotype" w:hAnsi="Palatino Linotype" w:cs="Palatino Linotype"/>
          <w:b/>
          <w:color w:val="000000"/>
          <w:sz w:val="24"/>
          <w:szCs w:val="24"/>
        </w:rPr>
        <w:t>RECURRENTE</w:t>
      </w:r>
      <w:r w:rsidRPr="002E1864">
        <w:rPr>
          <w:rFonts w:ascii="Palatino Linotype" w:eastAsia="Palatino Linotype" w:hAnsi="Palatino Linotype" w:cs="Palatino Linotype"/>
          <w:color w:val="000000"/>
          <w:sz w:val="24"/>
          <w:szCs w:val="24"/>
        </w:rPr>
        <w:t xml:space="preserve"> presentó su inconformidad el </w:t>
      </w:r>
      <w:r w:rsidRPr="002E1864">
        <w:rPr>
          <w:rFonts w:ascii="Palatino Linotype" w:eastAsia="Palatino Linotype" w:hAnsi="Palatino Linotype" w:cs="Palatino Linotype"/>
          <w:b/>
          <w:color w:val="000000"/>
          <w:sz w:val="24"/>
          <w:szCs w:val="24"/>
        </w:rPr>
        <w:t>d</w:t>
      </w:r>
      <w:r w:rsidR="00883B74" w:rsidRPr="002E1864">
        <w:rPr>
          <w:rFonts w:ascii="Palatino Linotype" w:eastAsia="Palatino Linotype" w:hAnsi="Palatino Linotype" w:cs="Palatino Linotype"/>
          <w:b/>
          <w:color w:val="000000"/>
          <w:sz w:val="24"/>
          <w:szCs w:val="24"/>
        </w:rPr>
        <w:t xml:space="preserve">ieciocho </w:t>
      </w:r>
      <w:r w:rsidRPr="002E1864">
        <w:rPr>
          <w:rFonts w:ascii="Palatino Linotype" w:eastAsia="Palatino Linotype" w:hAnsi="Palatino Linotype" w:cs="Palatino Linotype"/>
          <w:b/>
          <w:color w:val="000000"/>
          <w:sz w:val="24"/>
          <w:szCs w:val="24"/>
        </w:rPr>
        <w:t>de julio de dos mil veinticinco</w:t>
      </w:r>
      <w:r w:rsidRPr="002E1864">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83B74" w:rsidRPr="002E1864" w:rsidRDefault="00883B74" w:rsidP="00883B7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F53BA" w:rsidRPr="002E1864" w:rsidRDefault="00EF53BA" w:rsidP="00883B74">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D24CE" w:rsidRPr="002E1864" w:rsidRDefault="00AD24CE" w:rsidP="00AD24C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83B74" w:rsidRPr="002E1864" w:rsidRDefault="00883B74" w:rsidP="00883B74">
      <w:pPr>
        <w:spacing w:line="360" w:lineRule="auto"/>
        <w:jc w:val="both"/>
        <w:rPr>
          <w:rFonts w:ascii="Palatino Linotype" w:hAnsi="Palatino Linotype" w:cs="Tahoma"/>
          <w:b/>
          <w:color w:val="000000"/>
          <w:sz w:val="24"/>
          <w:szCs w:val="24"/>
          <w:lang w:val="es-ES"/>
        </w:rPr>
      </w:pPr>
      <w:bookmarkStart w:id="7" w:name="_heading=h.eyseha2nnyzo" w:colFirst="0" w:colLast="0"/>
      <w:bookmarkEnd w:id="7"/>
      <w:r w:rsidRPr="002E1864">
        <w:rPr>
          <w:rFonts w:ascii="Palatino Linotype" w:hAnsi="Palatino Linotype" w:cs="Tahoma"/>
          <w:b/>
          <w:color w:val="000000"/>
          <w:sz w:val="24"/>
          <w:szCs w:val="24"/>
          <w:shd w:val="clear" w:color="auto" w:fill="FFFFFF"/>
          <w:lang w:val="es-ES" w:eastAsia="en-US"/>
        </w:rPr>
        <w:t>TERCERO</w:t>
      </w:r>
      <w:r w:rsidRPr="002E1864">
        <w:rPr>
          <w:rFonts w:ascii="Palatino Linotype" w:hAnsi="Palatino Linotype" w:cs="Tahoma"/>
          <w:color w:val="000000"/>
          <w:sz w:val="24"/>
          <w:szCs w:val="24"/>
          <w:shd w:val="clear" w:color="auto" w:fill="FFFFFF"/>
          <w:lang w:val="es-ES" w:eastAsia="en-US"/>
        </w:rPr>
        <w:t xml:space="preserve">. </w:t>
      </w:r>
      <w:r w:rsidRPr="002E1864">
        <w:rPr>
          <w:rFonts w:ascii="Palatino Linotype" w:hAnsi="Palatino Linotype" w:cs="Tahoma"/>
          <w:b/>
          <w:color w:val="000000"/>
          <w:sz w:val="24"/>
          <w:szCs w:val="24"/>
          <w:lang w:val="es-ES_tradnl"/>
        </w:rPr>
        <w:t>De las causales del Sobreseimiento</w:t>
      </w:r>
    </w:p>
    <w:p w:rsidR="00883B74" w:rsidRPr="002E1864" w:rsidRDefault="00883B74" w:rsidP="00883B74">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lang w:eastAsia="en-US"/>
        </w:rPr>
      </w:pPr>
      <w:r w:rsidRPr="002E1864">
        <w:rPr>
          <w:rFonts w:ascii="Palatino Linotype" w:hAnsi="Palatino Linotype"/>
          <w:color w:val="000000"/>
          <w:sz w:val="24"/>
          <w:szCs w:val="24"/>
          <w:lang w:eastAsia="en-US"/>
        </w:rPr>
        <w:t>Este Instituto realiza el estudio oficioso de las causales de improcedencia, por tratarse de una cuestión de orden público y de estudio preferente (acorde con el Criterio orientador en la Tesis de Jurisprudencia “</w:t>
      </w:r>
      <w:r w:rsidRPr="002E1864">
        <w:rPr>
          <w:rFonts w:ascii="Palatino Linotype" w:hAnsi="Palatino Linotype"/>
          <w:b/>
          <w:color w:val="000000"/>
          <w:sz w:val="24"/>
          <w:szCs w:val="24"/>
          <w:lang w:eastAsia="en-US"/>
        </w:rPr>
        <w:t>IMPROCEDENCIA</w:t>
      </w:r>
      <w:r w:rsidRPr="002E1864">
        <w:rPr>
          <w:rFonts w:ascii="Palatino Linotype" w:hAnsi="Palatino Linotype"/>
          <w:color w:val="000000"/>
          <w:sz w:val="24"/>
          <w:szCs w:val="24"/>
          <w:lang w:eastAsia="en-US"/>
        </w:rPr>
        <w:t xml:space="preserve">.” </w:t>
      </w:r>
      <w:r w:rsidRPr="002E1864">
        <w:rPr>
          <w:rFonts w:ascii="Palatino Linotype" w:hAnsi="Palatino Linotype"/>
          <w:b/>
          <w:color w:val="000000"/>
          <w:sz w:val="24"/>
          <w:szCs w:val="24"/>
          <w:lang w:eastAsia="en-US"/>
        </w:rPr>
        <w:t>(Semanario Judicial de la Federación, Quinta Época, 1985, pág. 262),</w:t>
      </w:r>
      <w:r w:rsidRPr="002E1864">
        <w:rPr>
          <w:rFonts w:ascii="Palatino Linotype" w:hAnsi="Palatino Linotype"/>
          <w:color w:val="000000"/>
          <w:sz w:val="24"/>
          <w:szCs w:val="24"/>
          <w:lang w:eastAsia="en-US"/>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w:t>
      </w:r>
      <w:r w:rsidRPr="002E1864">
        <w:rPr>
          <w:rFonts w:ascii="Palatino Linotype" w:hAnsi="Palatino Linotype"/>
          <w:color w:val="000000"/>
          <w:sz w:val="24"/>
          <w:szCs w:val="24"/>
          <w:lang w:eastAsia="en-US"/>
        </w:rPr>
        <w:lastRenderedPageBreak/>
        <w:t>de Transparencia y Acceso a la Información Pública del Estado de México y Municipios, por ser improcedente.</w:t>
      </w:r>
    </w:p>
    <w:p w:rsidR="00883B74" w:rsidRPr="002E1864" w:rsidRDefault="00883B74" w:rsidP="00883B74">
      <w:pPr>
        <w:spacing w:line="360" w:lineRule="auto"/>
        <w:jc w:val="both"/>
        <w:rPr>
          <w:rFonts w:ascii="Palatino Linotype" w:hAnsi="Palatino Linotype"/>
          <w:color w:val="000000"/>
          <w:sz w:val="24"/>
          <w:szCs w:val="24"/>
          <w:lang w:eastAsia="en-US"/>
        </w:rPr>
      </w:pPr>
    </w:p>
    <w:p w:rsidR="00883B74" w:rsidRPr="002E1864" w:rsidRDefault="00883B74" w:rsidP="00002E56">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lang w:eastAsia="en-US"/>
        </w:rPr>
      </w:pPr>
      <w:r w:rsidRPr="002E1864">
        <w:rPr>
          <w:rFonts w:ascii="Palatino Linotype" w:hAnsi="Palatino Linotype"/>
          <w:color w:val="000000"/>
          <w:sz w:val="24"/>
          <w:szCs w:val="24"/>
          <w:lang w:eastAsia="en-U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83B74" w:rsidRPr="002E1864" w:rsidRDefault="00883B74" w:rsidP="00883B74">
      <w:pPr>
        <w:spacing w:line="360" w:lineRule="auto"/>
        <w:jc w:val="both"/>
        <w:rPr>
          <w:rFonts w:ascii="Palatino Linotype" w:hAnsi="Palatino Linotype"/>
          <w:b/>
          <w:color w:val="000000"/>
          <w:sz w:val="24"/>
          <w:szCs w:val="24"/>
          <w:lang w:eastAsia="en-US"/>
        </w:rPr>
      </w:pPr>
    </w:p>
    <w:p w:rsidR="00883B74" w:rsidRPr="002E1864" w:rsidRDefault="00883B74" w:rsidP="00002E56">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00000"/>
          <w:sz w:val="24"/>
          <w:szCs w:val="24"/>
          <w:lang w:eastAsia="es-ES_tradnl"/>
        </w:rPr>
      </w:pPr>
      <w:r w:rsidRPr="002E1864">
        <w:rPr>
          <w:rFonts w:ascii="Palatino Linotype" w:hAnsi="Palatino Linotype"/>
          <w:color w:val="000000"/>
          <w:sz w:val="24"/>
          <w:szCs w:val="24"/>
          <w:lang w:eastAsia="en-US"/>
        </w:rPr>
        <w:t>Por</w:t>
      </w:r>
      <w:r w:rsidRPr="002E1864">
        <w:rPr>
          <w:rFonts w:ascii="Palatino Linotype" w:hAnsi="Palatino Linotype" w:cs="Tahoma"/>
          <w:color w:val="000000"/>
          <w:sz w:val="24"/>
          <w:szCs w:val="24"/>
          <w:lang w:eastAsia="en-US"/>
        </w:rPr>
        <w:t xml:space="preserve"> otra parte, el artículo 192 de la </w:t>
      </w:r>
      <w:r w:rsidRPr="002E1864">
        <w:rPr>
          <w:rFonts w:ascii="Palatino Linotype" w:hAnsi="Palatino Linotype" w:cs="Tahoma"/>
          <w:bCs/>
          <w:color w:val="000000"/>
          <w:sz w:val="24"/>
          <w:szCs w:val="24"/>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883B74" w:rsidRPr="002E1864" w:rsidRDefault="00883B74" w:rsidP="00883B74">
      <w:pPr>
        <w:numPr>
          <w:ilvl w:val="0"/>
          <w:numId w:val="15"/>
        </w:numPr>
        <w:spacing w:line="276" w:lineRule="auto"/>
        <w:ind w:left="993" w:right="822" w:firstLine="284"/>
        <w:jc w:val="both"/>
        <w:rPr>
          <w:rFonts w:ascii="Palatino Linotype" w:hAnsi="Palatino Linotype" w:cs="Tahoma"/>
          <w:bCs/>
          <w:color w:val="000000"/>
          <w:sz w:val="24"/>
          <w:szCs w:val="24"/>
          <w:lang w:eastAsia="es-ES_tradnl"/>
        </w:rPr>
      </w:pPr>
      <w:r w:rsidRPr="002E1864">
        <w:rPr>
          <w:rFonts w:ascii="Palatino Linotype" w:hAnsi="Palatino Linotype" w:cs="Tahoma"/>
          <w:bCs/>
          <w:color w:val="000000"/>
          <w:sz w:val="24"/>
          <w:szCs w:val="24"/>
          <w:lang w:eastAsia="es-ES_tradnl"/>
        </w:rPr>
        <w:t>El Recurrente se desista expresamente;</w:t>
      </w:r>
    </w:p>
    <w:p w:rsidR="00883B74" w:rsidRPr="002E1864" w:rsidRDefault="00883B74" w:rsidP="00883B74">
      <w:pPr>
        <w:numPr>
          <w:ilvl w:val="0"/>
          <w:numId w:val="15"/>
        </w:numPr>
        <w:spacing w:line="276" w:lineRule="auto"/>
        <w:ind w:left="993" w:right="822" w:firstLine="284"/>
        <w:jc w:val="both"/>
        <w:rPr>
          <w:rFonts w:ascii="Palatino Linotype" w:hAnsi="Palatino Linotype" w:cs="Tahoma"/>
          <w:bCs/>
          <w:color w:val="000000"/>
          <w:sz w:val="24"/>
          <w:szCs w:val="24"/>
          <w:lang w:eastAsia="es-ES_tradnl"/>
        </w:rPr>
      </w:pPr>
      <w:r w:rsidRPr="002E1864">
        <w:rPr>
          <w:rFonts w:ascii="Palatino Linotype" w:hAnsi="Palatino Linotype" w:cs="Tahoma"/>
          <w:bCs/>
          <w:color w:val="000000"/>
          <w:sz w:val="24"/>
          <w:szCs w:val="24"/>
          <w:lang w:eastAsia="es-ES_tradnl"/>
        </w:rPr>
        <w:t>El Recurrente fallezca o, tratándose de personas morales se disuelva;</w:t>
      </w:r>
    </w:p>
    <w:p w:rsidR="00883B74" w:rsidRPr="002E1864" w:rsidRDefault="00883B74" w:rsidP="00883B74">
      <w:pPr>
        <w:numPr>
          <w:ilvl w:val="0"/>
          <w:numId w:val="15"/>
        </w:numPr>
        <w:spacing w:line="276" w:lineRule="auto"/>
        <w:ind w:left="993" w:right="822" w:firstLine="284"/>
        <w:jc w:val="both"/>
        <w:rPr>
          <w:rFonts w:ascii="Palatino Linotype" w:hAnsi="Palatino Linotype" w:cs="Tahoma"/>
          <w:color w:val="000000"/>
          <w:sz w:val="24"/>
          <w:szCs w:val="24"/>
          <w:lang w:eastAsia="es-ES_tradnl"/>
        </w:rPr>
      </w:pPr>
      <w:r w:rsidRPr="002E1864">
        <w:rPr>
          <w:rFonts w:ascii="Palatino Linotype" w:hAnsi="Palatino Linotype" w:cs="Tahoma"/>
          <w:color w:val="000000"/>
          <w:sz w:val="24"/>
          <w:szCs w:val="24"/>
          <w:lang w:eastAsia="es-ES_tradnl"/>
        </w:rPr>
        <w:t>El Sujeto Obligado modifique la respuesta o la revoque, de tal manera que el recurso de revisión quede sin materia;</w:t>
      </w:r>
    </w:p>
    <w:p w:rsidR="00883B74" w:rsidRPr="002E1864" w:rsidRDefault="00883B74" w:rsidP="00883B74">
      <w:pPr>
        <w:numPr>
          <w:ilvl w:val="0"/>
          <w:numId w:val="15"/>
        </w:numPr>
        <w:spacing w:line="276" w:lineRule="auto"/>
        <w:ind w:left="993" w:right="822" w:firstLine="284"/>
        <w:jc w:val="both"/>
        <w:rPr>
          <w:rFonts w:ascii="Palatino Linotype" w:hAnsi="Palatino Linotype" w:cs="Tahoma"/>
          <w:bCs/>
          <w:color w:val="000000"/>
          <w:sz w:val="24"/>
          <w:szCs w:val="24"/>
          <w:lang w:eastAsia="es-ES_tradnl"/>
        </w:rPr>
      </w:pPr>
      <w:r w:rsidRPr="002E1864">
        <w:rPr>
          <w:rFonts w:ascii="Palatino Linotype" w:hAnsi="Palatino Linotype" w:cs="Tahoma"/>
          <w:bCs/>
          <w:color w:val="000000"/>
          <w:sz w:val="24"/>
          <w:szCs w:val="24"/>
          <w:lang w:eastAsia="es-ES_tradnl"/>
        </w:rPr>
        <w:t>Admitido el recurso de revisión, aparezca alguna causal de improcedencia; y,</w:t>
      </w:r>
    </w:p>
    <w:p w:rsidR="00883B74" w:rsidRPr="002E1864" w:rsidRDefault="00883B74" w:rsidP="00883B74">
      <w:pPr>
        <w:numPr>
          <w:ilvl w:val="0"/>
          <w:numId w:val="15"/>
        </w:numPr>
        <w:spacing w:line="276" w:lineRule="auto"/>
        <w:ind w:left="993" w:right="822" w:firstLine="284"/>
        <w:jc w:val="both"/>
        <w:rPr>
          <w:rFonts w:ascii="Palatino Linotype" w:hAnsi="Palatino Linotype" w:cs="Tahoma"/>
          <w:b/>
          <w:color w:val="000000"/>
          <w:sz w:val="24"/>
          <w:szCs w:val="24"/>
          <w:lang w:eastAsia="es-ES_tradnl"/>
        </w:rPr>
      </w:pPr>
      <w:r w:rsidRPr="002E1864">
        <w:rPr>
          <w:rFonts w:ascii="Palatino Linotype" w:hAnsi="Palatino Linotype" w:cs="Tahoma"/>
          <w:b/>
          <w:color w:val="000000"/>
          <w:sz w:val="24"/>
          <w:szCs w:val="24"/>
          <w:lang w:eastAsia="es-ES_tradnl"/>
        </w:rPr>
        <w:t>Cuando por cualquier motivo quede sin materia el recurso de revisión.</w:t>
      </w:r>
    </w:p>
    <w:p w:rsidR="00883B74" w:rsidRPr="002E1864" w:rsidRDefault="00883B74" w:rsidP="00883B74">
      <w:pPr>
        <w:spacing w:line="360" w:lineRule="auto"/>
        <w:ind w:right="-28"/>
        <w:jc w:val="both"/>
        <w:rPr>
          <w:rFonts w:ascii="Palatino Linotype" w:hAnsi="Palatino Linotype" w:cs="Tahoma"/>
          <w:bCs/>
          <w:sz w:val="24"/>
          <w:szCs w:val="24"/>
        </w:rPr>
      </w:pPr>
    </w:p>
    <w:p w:rsidR="00883B74" w:rsidRPr="002E1864" w:rsidRDefault="00002E56" w:rsidP="00002E56">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iCs/>
          <w:sz w:val="24"/>
          <w:szCs w:val="24"/>
          <w:lang w:val="es-ES" w:eastAsia="es-ES_tradnl"/>
        </w:rPr>
        <w:lastRenderedPageBreak/>
        <w:t xml:space="preserve">Precisado lo anterior, se refiere que el </w:t>
      </w:r>
      <w:r w:rsidRPr="002E1864">
        <w:rPr>
          <w:rFonts w:ascii="Palatino Linotype" w:hAnsi="Palatino Linotype" w:cs="Tahoma"/>
          <w:b/>
          <w:iCs/>
          <w:sz w:val="24"/>
          <w:szCs w:val="24"/>
          <w:lang w:val="es-ES" w:eastAsia="es-ES_tradnl"/>
        </w:rPr>
        <w:t xml:space="preserve">PARTICULAR, </w:t>
      </w:r>
      <w:r w:rsidRPr="002E1864">
        <w:rPr>
          <w:rFonts w:ascii="Palatino Linotype" w:hAnsi="Palatino Linotype" w:cs="Tahoma"/>
          <w:iCs/>
          <w:sz w:val="24"/>
          <w:szCs w:val="24"/>
          <w:lang w:val="es-ES" w:eastAsia="es-ES_tradnl"/>
        </w:rPr>
        <w:t>solicito lo siguiente:</w:t>
      </w:r>
    </w:p>
    <w:p w:rsidR="00002E56" w:rsidRPr="002E1864" w:rsidRDefault="00002E56" w:rsidP="00002E56">
      <w:pPr>
        <w:pStyle w:val="Prrafodelista"/>
        <w:numPr>
          <w:ilvl w:val="0"/>
          <w:numId w:val="12"/>
        </w:numPr>
        <w:tabs>
          <w:tab w:val="left" w:pos="567"/>
          <w:tab w:val="left" w:pos="1470"/>
        </w:tabs>
        <w:ind w:right="900"/>
        <w:contextualSpacing w:val="0"/>
        <w:jc w:val="both"/>
        <w:rPr>
          <w:rFonts w:ascii="Palatino Linotype" w:hAnsi="Palatino Linotype" w:cs="Tahoma"/>
          <w:bCs/>
          <w:color w:val="0D0D0D" w:themeColor="text1" w:themeTint="F2"/>
        </w:rPr>
      </w:pPr>
      <w:r w:rsidRPr="002E1864">
        <w:rPr>
          <w:rFonts w:ascii="Palatino Linotype" w:hAnsi="Palatino Linotype" w:cs="Tahoma"/>
          <w:bCs/>
          <w:color w:val="0D0D0D" w:themeColor="text1" w:themeTint="F2"/>
        </w:rPr>
        <w:t>servicios médicos cuenta el ayuntamiento</w:t>
      </w:r>
    </w:p>
    <w:p w:rsidR="00002E56" w:rsidRPr="002E1864" w:rsidRDefault="00002E56" w:rsidP="00002E56">
      <w:pPr>
        <w:pStyle w:val="Prrafodelista"/>
        <w:numPr>
          <w:ilvl w:val="0"/>
          <w:numId w:val="12"/>
        </w:numPr>
        <w:tabs>
          <w:tab w:val="left" w:pos="567"/>
          <w:tab w:val="left" w:pos="1470"/>
        </w:tabs>
        <w:ind w:right="900"/>
        <w:contextualSpacing w:val="0"/>
        <w:jc w:val="both"/>
        <w:rPr>
          <w:rFonts w:ascii="Palatino Linotype" w:hAnsi="Palatino Linotype" w:cs="Tahoma"/>
          <w:bCs/>
          <w:color w:val="0D0D0D" w:themeColor="text1" w:themeTint="F2"/>
        </w:rPr>
      </w:pPr>
      <w:r w:rsidRPr="002E1864">
        <w:rPr>
          <w:rFonts w:ascii="Palatino Linotype" w:hAnsi="Palatino Linotype" w:cs="Tahoma"/>
          <w:bCs/>
          <w:color w:val="0D0D0D" w:themeColor="text1" w:themeTint="F2"/>
        </w:rPr>
        <w:t xml:space="preserve"> el CV del o los médicos, </w:t>
      </w:r>
    </w:p>
    <w:p w:rsidR="00002E56" w:rsidRPr="002E1864" w:rsidRDefault="00002E56" w:rsidP="00002E56">
      <w:pPr>
        <w:pStyle w:val="Prrafodelista"/>
        <w:numPr>
          <w:ilvl w:val="0"/>
          <w:numId w:val="12"/>
        </w:numPr>
        <w:tabs>
          <w:tab w:val="left" w:pos="567"/>
          <w:tab w:val="left" w:pos="1470"/>
        </w:tabs>
        <w:ind w:right="900"/>
        <w:contextualSpacing w:val="0"/>
        <w:jc w:val="both"/>
        <w:rPr>
          <w:rFonts w:ascii="Palatino Linotype" w:hAnsi="Palatino Linotype" w:cs="Tahoma"/>
          <w:bCs/>
          <w:color w:val="0D0D0D" w:themeColor="text1" w:themeTint="F2"/>
        </w:rPr>
      </w:pPr>
      <w:r w:rsidRPr="002E1864">
        <w:rPr>
          <w:rFonts w:ascii="Palatino Linotype" w:hAnsi="Palatino Linotype" w:cs="Tahoma"/>
          <w:bCs/>
          <w:color w:val="0D0D0D" w:themeColor="text1" w:themeTint="F2"/>
        </w:rPr>
        <w:t xml:space="preserve">los costos de consulta y </w:t>
      </w:r>
    </w:p>
    <w:p w:rsidR="00883B74" w:rsidRPr="002E1864" w:rsidRDefault="00002E56" w:rsidP="00002E56">
      <w:pPr>
        <w:pStyle w:val="Prrafodelista"/>
        <w:numPr>
          <w:ilvl w:val="0"/>
          <w:numId w:val="12"/>
        </w:numPr>
        <w:tabs>
          <w:tab w:val="left" w:pos="567"/>
          <w:tab w:val="left" w:pos="1470"/>
        </w:tabs>
        <w:ind w:right="900"/>
        <w:contextualSpacing w:val="0"/>
        <w:jc w:val="both"/>
        <w:rPr>
          <w:rFonts w:ascii="Palatino Linotype" w:hAnsi="Palatino Linotype" w:cs="Tahoma"/>
          <w:bCs/>
          <w:color w:val="0D0D0D" w:themeColor="text1" w:themeTint="F2"/>
        </w:rPr>
      </w:pPr>
      <w:r w:rsidRPr="002E1864">
        <w:rPr>
          <w:rFonts w:ascii="Palatino Linotype" w:hAnsi="Palatino Linotype" w:cs="Tahoma"/>
          <w:bCs/>
          <w:color w:val="0D0D0D" w:themeColor="text1" w:themeTint="F2"/>
        </w:rPr>
        <w:t>los requisitos para acudir a consulta</w:t>
      </w:r>
    </w:p>
    <w:p w:rsidR="00002E56" w:rsidRPr="002E1864" w:rsidRDefault="00002E56" w:rsidP="00002E56">
      <w:pPr>
        <w:pStyle w:val="Prrafodelista"/>
        <w:tabs>
          <w:tab w:val="left" w:pos="567"/>
          <w:tab w:val="left" w:pos="709"/>
          <w:tab w:val="left" w:pos="1470"/>
        </w:tabs>
        <w:spacing w:line="360" w:lineRule="auto"/>
        <w:ind w:left="0" w:right="-28"/>
        <w:contextualSpacing w:val="0"/>
        <w:jc w:val="both"/>
        <w:rPr>
          <w:rFonts w:ascii="Palatino Linotype" w:hAnsi="Palatino Linotype" w:cs="Tahoma"/>
          <w:bCs/>
          <w:color w:val="0D0D0D" w:themeColor="text1" w:themeTint="F2"/>
        </w:rPr>
      </w:pPr>
    </w:p>
    <w:p w:rsidR="00002E56" w:rsidRPr="002E1864" w:rsidRDefault="00002E56" w:rsidP="00002E56">
      <w:pPr>
        <w:pStyle w:val="Prrafodelista"/>
        <w:tabs>
          <w:tab w:val="left" w:pos="567"/>
          <w:tab w:val="left" w:pos="709"/>
          <w:tab w:val="left" w:pos="1470"/>
        </w:tabs>
        <w:spacing w:line="360" w:lineRule="auto"/>
        <w:ind w:left="0" w:right="-28"/>
        <w:contextualSpacing w:val="0"/>
        <w:jc w:val="both"/>
        <w:rPr>
          <w:rFonts w:ascii="Palatino Linotype" w:hAnsi="Palatino Linotype" w:cs="Tahoma"/>
          <w:bCs/>
          <w:color w:val="0D0D0D" w:themeColor="text1" w:themeTint="F2"/>
        </w:rPr>
      </w:pPr>
    </w:p>
    <w:p w:rsidR="00883B74" w:rsidRPr="002E1864" w:rsidRDefault="00883B74" w:rsidP="00002E56">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bCs/>
          <w:color w:val="0D0D0D" w:themeColor="text1" w:themeTint="F2"/>
          <w:sz w:val="24"/>
          <w:szCs w:val="24"/>
        </w:rPr>
        <w:t xml:space="preserve">En respuesta, el </w:t>
      </w:r>
      <w:r w:rsidR="00002E56" w:rsidRPr="002E1864">
        <w:rPr>
          <w:rFonts w:ascii="Palatino Linotype" w:hAnsi="Palatino Linotype" w:cs="Tahoma"/>
          <w:b/>
          <w:bCs/>
          <w:color w:val="0D0D0D" w:themeColor="text1" w:themeTint="F2"/>
          <w:sz w:val="24"/>
          <w:szCs w:val="24"/>
        </w:rPr>
        <w:t>SUJETO OBLIGADO</w:t>
      </w:r>
      <w:r w:rsidRPr="002E1864">
        <w:rPr>
          <w:rFonts w:ascii="Palatino Linotype" w:hAnsi="Palatino Linotype" w:cs="Tahoma"/>
          <w:bCs/>
          <w:color w:val="0D0D0D" w:themeColor="text1" w:themeTint="F2"/>
          <w:sz w:val="24"/>
          <w:szCs w:val="24"/>
        </w:rPr>
        <w:t xml:space="preserve">, </w:t>
      </w:r>
      <w:r w:rsidR="00002E56" w:rsidRPr="002E1864">
        <w:rPr>
          <w:rFonts w:ascii="Palatino Linotype" w:hAnsi="Palatino Linotype" w:cs="Tahoma"/>
          <w:bCs/>
          <w:color w:val="0D0D0D" w:themeColor="text1" w:themeTint="F2"/>
          <w:sz w:val="24"/>
          <w:szCs w:val="24"/>
        </w:rPr>
        <w:t xml:space="preserve">se pronunció haciendo valer una incompetencia parcial y remitiendo </w:t>
      </w:r>
      <w:r w:rsidR="00AD24CE" w:rsidRPr="002E1864">
        <w:rPr>
          <w:rFonts w:ascii="Palatino Linotype" w:hAnsi="Palatino Linotype" w:cs="Tahoma"/>
          <w:bCs/>
          <w:color w:val="0D0D0D" w:themeColor="text1" w:themeTint="F2"/>
          <w:sz w:val="24"/>
          <w:szCs w:val="24"/>
        </w:rPr>
        <w:t>Curriculum</w:t>
      </w:r>
      <w:r w:rsidR="00002E56" w:rsidRPr="002E1864">
        <w:rPr>
          <w:rFonts w:ascii="Palatino Linotype" w:hAnsi="Palatino Linotype" w:cs="Tahoma"/>
          <w:bCs/>
          <w:color w:val="0D0D0D" w:themeColor="text1" w:themeTint="F2"/>
          <w:sz w:val="24"/>
          <w:szCs w:val="24"/>
        </w:rPr>
        <w:t xml:space="preserve"> de </w:t>
      </w:r>
      <w:r w:rsidR="00AD24CE" w:rsidRPr="002E1864">
        <w:rPr>
          <w:rFonts w:ascii="Palatino Linotype" w:hAnsi="Palatino Linotype" w:cs="Tahoma"/>
          <w:bCs/>
          <w:color w:val="0D0D0D" w:themeColor="text1" w:themeTint="F2"/>
          <w:sz w:val="24"/>
          <w:szCs w:val="24"/>
        </w:rPr>
        <w:t>los médicos en incorrecta versión pública y sin el acuerdo de clasificación de la información correspondiente.</w:t>
      </w:r>
    </w:p>
    <w:p w:rsidR="002E624C" w:rsidRPr="002E1864" w:rsidRDefault="002E624C" w:rsidP="002E624C">
      <w:pPr>
        <w:pStyle w:val="Prrafodelista"/>
        <w:tabs>
          <w:tab w:val="left" w:pos="567"/>
          <w:tab w:val="left" w:pos="709"/>
          <w:tab w:val="left" w:pos="1470"/>
        </w:tabs>
        <w:spacing w:line="360" w:lineRule="auto"/>
        <w:ind w:left="0" w:right="-28"/>
        <w:contextualSpacing w:val="0"/>
        <w:jc w:val="both"/>
        <w:rPr>
          <w:rFonts w:ascii="Palatino Linotype" w:hAnsi="Palatino Linotype" w:cs="Tahoma"/>
          <w:bCs/>
          <w:color w:val="0D0D0D" w:themeColor="text1" w:themeTint="F2"/>
        </w:rPr>
      </w:pPr>
    </w:p>
    <w:p w:rsidR="002E624C" w:rsidRPr="002E1864" w:rsidRDefault="002E624C" w:rsidP="002E624C">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bCs/>
          <w:color w:val="0D0D0D" w:themeColor="text1" w:themeTint="F2"/>
          <w:sz w:val="24"/>
          <w:szCs w:val="24"/>
        </w:rPr>
        <w:t xml:space="preserve">Inconforme con la información proporcionada, el ahora </w:t>
      </w:r>
      <w:r w:rsidRPr="002E1864">
        <w:rPr>
          <w:rFonts w:ascii="Palatino Linotype" w:hAnsi="Palatino Linotype" w:cs="Tahoma"/>
          <w:b/>
          <w:bCs/>
          <w:color w:val="0D0D0D" w:themeColor="text1" w:themeTint="F2"/>
          <w:sz w:val="24"/>
          <w:szCs w:val="24"/>
        </w:rPr>
        <w:t xml:space="preserve">RECURRENTE, </w:t>
      </w:r>
      <w:r w:rsidRPr="002E1864">
        <w:rPr>
          <w:rFonts w:ascii="Palatino Linotype" w:hAnsi="Palatino Linotype" w:cs="Tahoma"/>
          <w:bCs/>
          <w:color w:val="0D0D0D" w:themeColor="text1" w:themeTint="F2"/>
          <w:sz w:val="24"/>
          <w:szCs w:val="24"/>
        </w:rPr>
        <w:t>interpuso el recurso de revisión que nos ocupa arguyendo que no se menciona en qué sesión del Comité de Transparencia se realizó el testado de los documentos, no se le hizo entrega del oficio de contestación firmado por el Titular y que no se testa la información como lo marca la ley.</w:t>
      </w:r>
    </w:p>
    <w:p w:rsidR="002E624C" w:rsidRPr="002E1864" w:rsidRDefault="002E624C" w:rsidP="002E624C">
      <w:pPr>
        <w:pBdr>
          <w:top w:val="nil"/>
          <w:left w:val="nil"/>
          <w:bottom w:val="nil"/>
          <w:right w:val="nil"/>
          <w:between w:val="nil"/>
        </w:pBdr>
        <w:spacing w:after="0" w:line="360" w:lineRule="auto"/>
        <w:jc w:val="both"/>
        <w:rPr>
          <w:rFonts w:ascii="Palatino Linotype" w:hAnsi="Palatino Linotype" w:cs="Tahoma"/>
          <w:bCs/>
          <w:color w:val="0D0D0D" w:themeColor="text1" w:themeTint="F2"/>
          <w:sz w:val="24"/>
          <w:szCs w:val="24"/>
        </w:rPr>
      </w:pPr>
    </w:p>
    <w:p w:rsidR="002E624C" w:rsidRPr="002E1864" w:rsidRDefault="002E624C" w:rsidP="002E624C">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bCs/>
          <w:color w:val="0D0D0D" w:themeColor="text1" w:themeTint="F2"/>
          <w:sz w:val="24"/>
          <w:szCs w:val="24"/>
        </w:rPr>
        <w:t xml:space="preserve">Atento a lo anterior,  no se observa que exista inconformidad por el resto de la información proporcionada, es decir, por la cantidad de curriculums y por la incompetencia planteada por el </w:t>
      </w:r>
      <w:r w:rsidRPr="002E1864">
        <w:rPr>
          <w:rFonts w:ascii="Palatino Linotype" w:hAnsi="Palatino Linotype" w:cs="Tahoma"/>
          <w:b/>
          <w:bCs/>
          <w:color w:val="0D0D0D" w:themeColor="text1" w:themeTint="F2"/>
          <w:sz w:val="24"/>
          <w:szCs w:val="24"/>
        </w:rPr>
        <w:t>SUJETO OBLIGADO</w:t>
      </w:r>
      <w:r w:rsidR="00C53D4F">
        <w:rPr>
          <w:rFonts w:ascii="Palatino Linotype" w:eastAsia="Times New Roman" w:hAnsi="Palatino Linotype" w:cs="Palatino Linotype"/>
          <w:lang w:eastAsia="en-US"/>
        </w:rPr>
        <w:t xml:space="preserve">, </w:t>
      </w:r>
      <w:r w:rsidRPr="002E1864">
        <w:rPr>
          <w:rFonts w:ascii="Palatino Linotype" w:eastAsia="Times New Roman" w:hAnsi="Palatino Linotype" w:cs="Palatino Linotype"/>
          <w:sz w:val="24"/>
          <w:szCs w:val="24"/>
          <w:lang w:eastAsia="en-US"/>
        </w:rPr>
        <w:t xml:space="preserve">el resto de la información proporcionada por el Sujeto Obligado, se tiene como actos consentidos. de tal forma que, la parte de la solicitud que no fue impugnada debe declararse consentida, toda vez que al no realizar manifestaciones de inconformidad; no pueden producirse </w:t>
      </w:r>
      <w:r w:rsidRPr="002E1864">
        <w:rPr>
          <w:rFonts w:ascii="Palatino Linotype" w:eastAsia="Times New Roman" w:hAnsi="Palatino Linotype" w:cs="Arial"/>
          <w:sz w:val="24"/>
          <w:szCs w:val="24"/>
        </w:rPr>
        <w:t>efectos</w:t>
      </w:r>
      <w:r w:rsidRPr="002E1864">
        <w:rPr>
          <w:rFonts w:ascii="Palatino Linotype" w:eastAsia="Times New Roman" w:hAnsi="Palatino Linotype" w:cs="Palatino Linotype"/>
          <w:sz w:val="24"/>
          <w:szCs w:val="24"/>
          <w:lang w:eastAsia="en-US"/>
        </w:rPr>
        <w:t xml:space="preserve"> jurídicos tendentes a revocar, confirmar o modificar el acto reclamado, ya que no realizó manifestación alguna al respecto. </w:t>
      </w:r>
    </w:p>
    <w:p w:rsidR="002E624C" w:rsidRPr="002E1864" w:rsidRDefault="002E624C" w:rsidP="002E624C">
      <w:pPr>
        <w:ind w:left="720"/>
        <w:contextualSpacing/>
        <w:rPr>
          <w:rFonts w:ascii="Palatino Linotype" w:eastAsia="Times New Roman" w:hAnsi="Palatino Linotype" w:cs="Palatino Linotype"/>
          <w:sz w:val="24"/>
          <w:szCs w:val="24"/>
        </w:rPr>
      </w:pPr>
    </w:p>
    <w:p w:rsidR="002E624C" w:rsidRPr="002E1864" w:rsidRDefault="002E624C" w:rsidP="002E624C">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Palatino Linotype"/>
          <w:sz w:val="24"/>
          <w:szCs w:val="24"/>
          <w:lang w:eastAsia="en-US"/>
        </w:rPr>
      </w:pPr>
      <w:r w:rsidRPr="002E1864">
        <w:rPr>
          <w:rFonts w:ascii="Palatino Linotype" w:hAnsi="Palatino Linotype" w:cs="Tahoma"/>
          <w:bCs/>
          <w:color w:val="0D0D0D" w:themeColor="text1" w:themeTint="F2"/>
          <w:sz w:val="24"/>
          <w:szCs w:val="24"/>
        </w:rPr>
        <w:lastRenderedPageBreak/>
        <w:t>Sirve</w:t>
      </w:r>
      <w:r w:rsidRPr="002E1864">
        <w:rPr>
          <w:rFonts w:ascii="Palatino Linotype" w:eastAsia="Times New Roman" w:hAnsi="Palatino Linotype" w:cs="Palatino Linotype"/>
          <w:sz w:val="24"/>
          <w:szCs w:val="24"/>
          <w:lang w:eastAsia="en-US"/>
        </w:rPr>
        <w:t xml:space="preserve"> de sustento, la tesis jurisprudencial número VI.3o.C. J/60, publicada en el Semanario Judicial de la Federación y su Gaceta bajo el número de registro 176,608 que a la letra dice:</w:t>
      </w:r>
    </w:p>
    <w:p w:rsidR="002E624C" w:rsidRPr="002E1864" w:rsidRDefault="002E624C" w:rsidP="002E624C">
      <w:pPr>
        <w:tabs>
          <w:tab w:val="left" w:pos="851"/>
        </w:tabs>
        <w:spacing w:line="360" w:lineRule="auto"/>
        <w:ind w:left="502" w:right="616"/>
        <w:contextualSpacing/>
        <w:jc w:val="both"/>
        <w:rPr>
          <w:rFonts w:ascii="Palatino Linotype" w:eastAsia="Times New Roman" w:hAnsi="Palatino Linotype" w:cs="Palatino Linotype"/>
          <w:i/>
          <w:sz w:val="24"/>
          <w:szCs w:val="24"/>
        </w:rPr>
      </w:pPr>
      <w:r w:rsidRPr="002E1864">
        <w:rPr>
          <w:rFonts w:ascii="Palatino Linotype" w:eastAsia="Times New Roman" w:hAnsi="Palatino Linotype" w:cs="Palatino Linotype"/>
          <w:b/>
          <w:i/>
          <w:sz w:val="24"/>
          <w:szCs w:val="24"/>
        </w:rPr>
        <w:t xml:space="preserve">“ACTOS CONSENTIDOS. SON LOS QUE NO SE IMPUGNAN MEDIANTE EL RECURSO IDÓNEO. </w:t>
      </w:r>
      <w:r w:rsidRPr="002E1864">
        <w:rPr>
          <w:rFonts w:ascii="Palatino Linotype" w:eastAsia="Times New Roman"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E624C" w:rsidRPr="002E1864" w:rsidRDefault="002E624C" w:rsidP="002E624C">
      <w:pPr>
        <w:spacing w:line="360" w:lineRule="auto"/>
        <w:ind w:left="502"/>
        <w:contextualSpacing/>
        <w:jc w:val="both"/>
        <w:rPr>
          <w:rFonts w:ascii="Palatino Linotype" w:eastAsia="Times New Roman" w:hAnsi="Palatino Linotype" w:cs="Palatino Linotype"/>
          <w:sz w:val="24"/>
          <w:szCs w:val="24"/>
        </w:rPr>
      </w:pPr>
    </w:p>
    <w:p w:rsidR="002E624C" w:rsidRPr="002E1864" w:rsidRDefault="002E624C" w:rsidP="002E624C">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Palatino Linotype"/>
          <w:sz w:val="24"/>
          <w:szCs w:val="24"/>
          <w:lang w:eastAsia="en-US"/>
        </w:rPr>
      </w:pPr>
      <w:r w:rsidRPr="002E1864">
        <w:rPr>
          <w:rFonts w:ascii="Palatino Linotype" w:eastAsia="Times New Roman" w:hAnsi="Palatino Linotype" w:cs="Palatino Linotype"/>
          <w:sz w:val="24"/>
          <w:szCs w:val="24"/>
          <w:lang w:eastAsia="en-US"/>
        </w:rPr>
        <w:t xml:space="preserve">De la interpretación del criterio antes citado, se advierte que cuando el particular impugnó la respuesta del </w:t>
      </w:r>
      <w:r w:rsidRPr="002E1864">
        <w:rPr>
          <w:rFonts w:ascii="Palatino Linotype" w:eastAsia="Times New Roman" w:hAnsi="Palatino Linotype" w:cs="Palatino Linotype"/>
          <w:b/>
          <w:sz w:val="24"/>
          <w:szCs w:val="24"/>
          <w:lang w:eastAsia="en-US"/>
        </w:rPr>
        <w:t>SUJETO OBLIGADO</w:t>
      </w:r>
      <w:r w:rsidRPr="002E1864">
        <w:rPr>
          <w:rFonts w:ascii="Palatino Linotype" w:eastAsia="Times New Roman" w:hAnsi="Palatino Linotype" w:cs="Palatino Linotype"/>
          <w:sz w:val="24"/>
          <w:szCs w:val="24"/>
          <w:lang w:eastAsia="en-US"/>
        </w:rPr>
        <w:t xml:space="preserve">, no expresó razón o motivo de inconformidad en contra de todos los rubros solicitados, por tanto estos deben declararse atendidos, pues se entiende que </w:t>
      </w:r>
      <w:r w:rsidRPr="002E1864">
        <w:rPr>
          <w:rFonts w:ascii="Palatino Linotype" w:eastAsia="Times New Roman" w:hAnsi="Palatino Linotype" w:cs="Palatino Linotype"/>
          <w:b/>
          <w:sz w:val="24"/>
          <w:szCs w:val="24"/>
          <w:lang w:eastAsia="en-US"/>
        </w:rPr>
        <w:t>EL RECURRENTE</w:t>
      </w:r>
      <w:r w:rsidRPr="002E1864">
        <w:rPr>
          <w:rFonts w:ascii="Palatino Linotype" w:eastAsia="Times New Roman" w:hAnsi="Palatino Linotype" w:cs="Palatino Linotype"/>
          <w:sz w:val="24"/>
          <w:szCs w:val="24"/>
          <w:lang w:eastAsia="en-US"/>
        </w:rPr>
        <w:t xml:space="preserve"> está conforme con la respuesta proporcionada por </w:t>
      </w:r>
      <w:r w:rsidRPr="002E1864">
        <w:rPr>
          <w:rFonts w:ascii="Palatino Linotype" w:eastAsia="Times New Roman" w:hAnsi="Palatino Linotype" w:cs="Palatino Linotype"/>
          <w:b/>
          <w:sz w:val="24"/>
          <w:szCs w:val="24"/>
          <w:lang w:eastAsia="en-US"/>
        </w:rPr>
        <w:t>EL SUJETO OBLIGADO,</w:t>
      </w:r>
      <w:r w:rsidRPr="002E1864">
        <w:rPr>
          <w:rFonts w:ascii="Palatino Linotype" w:eastAsia="Times New Roman" w:hAnsi="Palatino Linotype" w:cs="Palatino Linotype"/>
          <w:sz w:val="24"/>
          <w:szCs w:val="24"/>
          <w:lang w:eastAsia="en-US"/>
        </w:rPr>
        <w:t xml:space="preserve"> al no contravenir la misma. </w:t>
      </w:r>
    </w:p>
    <w:p w:rsidR="002E624C" w:rsidRPr="002E1864" w:rsidRDefault="002E624C" w:rsidP="002E624C">
      <w:pPr>
        <w:spacing w:line="360" w:lineRule="auto"/>
        <w:ind w:right="49"/>
        <w:contextualSpacing/>
        <w:jc w:val="both"/>
        <w:rPr>
          <w:rFonts w:ascii="Palatino Linotype" w:eastAsia="Times New Roman" w:hAnsi="Palatino Linotype" w:cs="Palatino Linotype"/>
          <w:sz w:val="24"/>
          <w:szCs w:val="24"/>
          <w:lang w:eastAsia="en-US"/>
        </w:rPr>
      </w:pPr>
    </w:p>
    <w:p w:rsidR="002E624C" w:rsidRPr="002E1864" w:rsidRDefault="002E624C" w:rsidP="002E624C">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Palatino Linotype"/>
          <w:sz w:val="24"/>
          <w:szCs w:val="24"/>
          <w:lang w:eastAsia="en-US"/>
        </w:rPr>
      </w:pPr>
      <w:r w:rsidRPr="002E1864">
        <w:rPr>
          <w:rFonts w:ascii="Palatino Linotype" w:eastAsia="Times New Roman" w:hAnsi="Palatino Linotype" w:cs="Palatino Linotype"/>
          <w:sz w:val="24"/>
          <w:szCs w:val="24"/>
          <w:lang w:eastAsia="en-US"/>
        </w:rPr>
        <w:t>Atento a ello, es importante traer a contexto la Tesis Jurisprudencial Número 3ª./J.7/91, Publicada en el Semanario Judicial de la Federación y su Gaceta bajo el número de registro 174,177, que establece lo siguiente:</w:t>
      </w:r>
    </w:p>
    <w:p w:rsidR="002E624C" w:rsidRPr="002E1864" w:rsidRDefault="002E624C" w:rsidP="002E624C">
      <w:pPr>
        <w:tabs>
          <w:tab w:val="left" w:pos="7937"/>
          <w:tab w:val="left" w:pos="8222"/>
        </w:tabs>
        <w:spacing w:line="360" w:lineRule="auto"/>
        <w:ind w:left="502" w:right="901"/>
        <w:contextualSpacing/>
        <w:jc w:val="both"/>
        <w:rPr>
          <w:rFonts w:ascii="Palatino Linotype" w:eastAsia="Times New Roman" w:hAnsi="Palatino Linotype" w:cs="Palatino Linotype"/>
          <w:i/>
          <w:sz w:val="24"/>
          <w:szCs w:val="24"/>
        </w:rPr>
      </w:pPr>
      <w:r w:rsidRPr="002E1864">
        <w:rPr>
          <w:rFonts w:ascii="Palatino Linotype" w:eastAsia="Times New Roman" w:hAnsi="Palatino Linotype" w:cs="Palatino Linotype"/>
          <w:b/>
          <w:i/>
          <w:sz w:val="24"/>
          <w:szCs w:val="24"/>
        </w:rPr>
        <w:t xml:space="preserve">“REVISIÓN EN AMPARO. LOS RESOLUTIVOS NO COMBATIDOS DEBEN DECLARARSE FIRMES. </w:t>
      </w:r>
      <w:r w:rsidRPr="002E1864">
        <w:rPr>
          <w:rFonts w:ascii="Palatino Linotype" w:eastAsia="Times New Roman" w:hAnsi="Palatino Linotype" w:cs="Palatino Linotype"/>
          <w:i/>
          <w:sz w:val="24"/>
          <w:szCs w:val="24"/>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sidRPr="002E1864">
        <w:rPr>
          <w:rFonts w:ascii="Palatino Linotype" w:eastAsia="Times New Roman" w:hAnsi="Palatino Linotype" w:cs="Palatino Linotype"/>
          <w:i/>
          <w:sz w:val="24"/>
          <w:szCs w:val="24"/>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33338" w:rsidRPr="002E1864" w:rsidRDefault="00B33338" w:rsidP="00B33338">
      <w:pPr>
        <w:pBdr>
          <w:top w:val="nil"/>
          <w:left w:val="nil"/>
          <w:bottom w:val="nil"/>
          <w:right w:val="nil"/>
          <w:between w:val="nil"/>
        </w:pBdr>
        <w:spacing w:after="0" w:line="360" w:lineRule="auto"/>
        <w:jc w:val="both"/>
        <w:rPr>
          <w:rFonts w:ascii="Palatino Linotype" w:hAnsi="Palatino Linotype" w:cs="Tahoma"/>
          <w:bCs/>
          <w:color w:val="0D0D0D" w:themeColor="text1" w:themeTint="F2"/>
          <w:sz w:val="24"/>
          <w:szCs w:val="24"/>
        </w:rPr>
      </w:pPr>
    </w:p>
    <w:p w:rsidR="00B33338" w:rsidRPr="002E1864" w:rsidRDefault="00B33338" w:rsidP="00B33338">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bCs/>
          <w:color w:val="0D0D0D" w:themeColor="text1" w:themeTint="F2"/>
          <w:sz w:val="24"/>
          <w:szCs w:val="24"/>
        </w:rPr>
        <w:t xml:space="preserve">Atento a lo anterior, el </w:t>
      </w:r>
      <w:r w:rsidRPr="002E1864">
        <w:rPr>
          <w:rFonts w:ascii="Palatino Linotype" w:hAnsi="Palatino Linotype" w:cs="Tahoma"/>
          <w:b/>
          <w:bCs/>
          <w:color w:val="0D0D0D" w:themeColor="text1" w:themeTint="F2"/>
          <w:sz w:val="24"/>
          <w:szCs w:val="24"/>
        </w:rPr>
        <w:t xml:space="preserve">SUJETO OBLIGADO, </w:t>
      </w:r>
      <w:r w:rsidR="002E624C" w:rsidRPr="002E1864">
        <w:rPr>
          <w:rFonts w:ascii="Palatino Linotype" w:hAnsi="Palatino Linotype" w:cs="Tahoma"/>
          <w:bCs/>
          <w:color w:val="0D0D0D" w:themeColor="text1" w:themeTint="F2"/>
          <w:sz w:val="24"/>
          <w:szCs w:val="24"/>
        </w:rPr>
        <w:t xml:space="preserve">dentro de la </w:t>
      </w:r>
      <w:r w:rsidRPr="002E1864">
        <w:rPr>
          <w:rFonts w:ascii="Palatino Linotype" w:hAnsi="Palatino Linotype" w:cs="Tahoma"/>
          <w:bCs/>
          <w:color w:val="0D0D0D" w:themeColor="text1" w:themeTint="F2"/>
          <w:sz w:val="24"/>
          <w:szCs w:val="24"/>
        </w:rPr>
        <w:t>etapa de manifestaciones remitió nuevamente los curriculums en correcta versión pública con el acuerdo de clasificación de la información correspondiente.</w:t>
      </w:r>
    </w:p>
    <w:p w:rsidR="00B33338" w:rsidRPr="002E1864" w:rsidRDefault="00B33338" w:rsidP="00B33338">
      <w:pPr>
        <w:pBdr>
          <w:top w:val="nil"/>
          <w:left w:val="nil"/>
          <w:bottom w:val="nil"/>
          <w:right w:val="nil"/>
          <w:between w:val="nil"/>
        </w:pBdr>
        <w:spacing w:after="0" w:line="360" w:lineRule="auto"/>
        <w:jc w:val="both"/>
        <w:rPr>
          <w:rFonts w:ascii="Palatino Linotype" w:hAnsi="Palatino Linotype" w:cs="Tahoma"/>
          <w:bCs/>
          <w:color w:val="0D0D0D" w:themeColor="text1" w:themeTint="F2"/>
          <w:sz w:val="24"/>
          <w:szCs w:val="24"/>
        </w:rPr>
      </w:pPr>
    </w:p>
    <w:p w:rsidR="00AD24CE" w:rsidRPr="002E1864" w:rsidRDefault="00B33338" w:rsidP="00AD24CE">
      <w:pPr>
        <w:numPr>
          <w:ilvl w:val="0"/>
          <w:numId w:val="1"/>
        </w:numPr>
        <w:pBdr>
          <w:top w:val="nil"/>
          <w:left w:val="nil"/>
          <w:bottom w:val="nil"/>
          <w:right w:val="nil"/>
          <w:between w:val="nil"/>
        </w:pBdr>
        <w:spacing w:after="0" w:line="360" w:lineRule="auto"/>
        <w:ind w:left="0" w:firstLine="0"/>
        <w:jc w:val="both"/>
        <w:rPr>
          <w:rFonts w:ascii="Palatino Linotype" w:hAnsi="Palatino Linotype" w:cs="Tahoma"/>
          <w:bCs/>
          <w:color w:val="0D0D0D" w:themeColor="text1" w:themeTint="F2"/>
          <w:sz w:val="24"/>
          <w:szCs w:val="24"/>
        </w:rPr>
      </w:pPr>
      <w:r w:rsidRPr="002E1864">
        <w:rPr>
          <w:rFonts w:ascii="Palatino Linotype" w:hAnsi="Palatino Linotype" w:cs="Tahoma"/>
          <w:bCs/>
          <w:color w:val="0D0D0D" w:themeColor="text1" w:themeTint="F2"/>
          <w:sz w:val="24"/>
          <w:szCs w:val="24"/>
        </w:rPr>
        <w:t xml:space="preserve">Ahora bien, precisado lo anterior, respecto los motivos de inconformidad, </w:t>
      </w:r>
      <w:r w:rsidR="002E624C" w:rsidRPr="002E1864">
        <w:rPr>
          <w:rFonts w:ascii="Palatino Linotype" w:hAnsi="Palatino Linotype" w:cs="Tahoma"/>
          <w:bCs/>
          <w:color w:val="0D0D0D" w:themeColor="text1" w:themeTint="F2"/>
          <w:sz w:val="24"/>
          <w:szCs w:val="24"/>
        </w:rPr>
        <w:t xml:space="preserve">que no formaron parte de los actos consentidos, se advierte que </w:t>
      </w:r>
      <w:r w:rsidRPr="002E1864">
        <w:rPr>
          <w:rFonts w:ascii="Palatino Linotype" w:hAnsi="Palatino Linotype" w:cs="Tahoma"/>
          <w:bCs/>
          <w:color w:val="0D0D0D" w:themeColor="text1" w:themeTint="F2"/>
          <w:sz w:val="24"/>
          <w:szCs w:val="24"/>
        </w:rPr>
        <w:t>estos devienen parcialmente</w:t>
      </w:r>
      <w:r w:rsidR="00AD24CE" w:rsidRPr="002E1864">
        <w:rPr>
          <w:rFonts w:ascii="Palatino Linotype" w:hAnsi="Palatino Linotype" w:cs="Tahoma"/>
          <w:bCs/>
          <w:color w:val="0D0D0D" w:themeColor="text1" w:themeTint="F2"/>
          <w:sz w:val="24"/>
          <w:szCs w:val="24"/>
        </w:rPr>
        <w:t xml:space="preserve"> procedentes en virtud de que, </w:t>
      </w:r>
      <w:r w:rsidRPr="002E1864">
        <w:rPr>
          <w:rFonts w:ascii="Palatino Linotype" w:hAnsi="Palatino Linotype" w:cs="Tahoma"/>
          <w:bCs/>
          <w:color w:val="0D0D0D" w:themeColor="text1" w:themeTint="F2"/>
          <w:sz w:val="24"/>
          <w:szCs w:val="24"/>
        </w:rPr>
        <w:t>cuando</w:t>
      </w:r>
      <w:r w:rsidR="002E624C" w:rsidRPr="002E1864">
        <w:rPr>
          <w:rFonts w:ascii="Palatino Linotype" w:hAnsi="Palatino Linotype" w:cs="Tahoma"/>
          <w:bCs/>
          <w:color w:val="0D0D0D" w:themeColor="text1" w:themeTint="F2"/>
          <w:sz w:val="24"/>
          <w:szCs w:val="24"/>
        </w:rPr>
        <w:t xml:space="preserve"> sea el caso como el que nos ocupa que,</w:t>
      </w:r>
      <w:r w:rsidRPr="002E1864">
        <w:rPr>
          <w:rFonts w:ascii="Palatino Linotype" w:hAnsi="Palatino Linotype" w:cs="Tahoma"/>
          <w:bCs/>
          <w:color w:val="0D0D0D" w:themeColor="text1" w:themeTint="F2"/>
          <w:sz w:val="24"/>
          <w:szCs w:val="24"/>
        </w:rPr>
        <w:t xml:space="preserve"> dentro de la información que sea remitida existan datos susceptibles de ser clasificados, esta se deberá acompañar del Acuerdo del Comité por el que se funde y motive dicha clasificación, sin embargo, el </w:t>
      </w:r>
      <w:r w:rsidRPr="002E1864">
        <w:rPr>
          <w:rFonts w:ascii="Palatino Linotype" w:hAnsi="Palatino Linotype" w:cs="Tahoma"/>
          <w:b/>
          <w:bCs/>
          <w:color w:val="0D0D0D" w:themeColor="text1" w:themeTint="F2"/>
          <w:sz w:val="24"/>
          <w:szCs w:val="24"/>
        </w:rPr>
        <w:t xml:space="preserve">SUJETO OBLIGADO, </w:t>
      </w:r>
      <w:r w:rsidRPr="002E1864">
        <w:rPr>
          <w:rFonts w:ascii="Palatino Linotype" w:hAnsi="Palatino Linotype" w:cs="Tahoma"/>
          <w:bCs/>
          <w:color w:val="0D0D0D" w:themeColor="text1" w:themeTint="F2"/>
          <w:sz w:val="24"/>
          <w:szCs w:val="24"/>
        </w:rPr>
        <w:t>fue omiso en re</w:t>
      </w:r>
      <w:r w:rsidR="00AD24CE" w:rsidRPr="002E1864">
        <w:rPr>
          <w:rFonts w:ascii="Palatino Linotype" w:hAnsi="Palatino Linotype" w:cs="Tahoma"/>
          <w:bCs/>
          <w:color w:val="0D0D0D" w:themeColor="text1" w:themeTint="F2"/>
          <w:sz w:val="24"/>
          <w:szCs w:val="24"/>
        </w:rPr>
        <w:t xml:space="preserve">ndir el acuerdo correspondiente, </w:t>
      </w:r>
      <w:r w:rsidR="00AD24CE" w:rsidRPr="002E1864">
        <w:rPr>
          <w:rFonts w:ascii="Palatino Linotype" w:eastAsia="Palatino Linotype" w:hAnsi="Palatino Linotype" w:cs="Palatino Linotype"/>
          <w:sz w:val="24"/>
          <w:szCs w:val="24"/>
        </w:rPr>
        <w:t>con las formalidades legales  que justifiquen la clasificación de la información que se considera como confidencial y que sustente la entrega en versión publica de la información proporcionada.</w:t>
      </w:r>
    </w:p>
    <w:p w:rsidR="00AD24CE" w:rsidRPr="002E1864" w:rsidRDefault="00AD24CE" w:rsidP="00AD24CE">
      <w:pPr>
        <w:spacing w:line="360" w:lineRule="auto"/>
        <w:jc w:val="both"/>
        <w:rPr>
          <w:rFonts w:ascii="Palatino Linotype" w:eastAsia="Palatino Linotype" w:hAnsi="Palatino Linotype" w:cs="Palatino Linotype"/>
          <w:sz w:val="24"/>
          <w:szCs w:val="24"/>
        </w:rPr>
      </w:pPr>
    </w:p>
    <w:p w:rsidR="00AD24CE" w:rsidRPr="002E1864" w:rsidRDefault="00AD24CE" w:rsidP="00AD24C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sz w:val="24"/>
          <w:szCs w:val="24"/>
        </w:rPr>
        <w:t>Dicho lo anterior, resulta necesario traer a colación lo estipulado por los Lineamientos Generales de Clasificación y Desclasificación de la Información, así como para la elaboración de Versiones Públicas</w:t>
      </w:r>
      <w:r w:rsidR="002E624C" w:rsidRPr="002E1864">
        <w:rPr>
          <w:rFonts w:ascii="Palatino Linotype" w:eastAsia="Palatino Linotype" w:hAnsi="Palatino Linotype" w:cs="Palatino Linotype"/>
          <w:sz w:val="24"/>
          <w:szCs w:val="24"/>
        </w:rPr>
        <w:t>:</w:t>
      </w:r>
    </w:p>
    <w:p w:rsidR="00AD24CE" w:rsidRPr="002E1864" w:rsidRDefault="00AD24CE" w:rsidP="00AD24CE">
      <w:pPr>
        <w:tabs>
          <w:tab w:val="left" w:pos="284"/>
        </w:tabs>
        <w:spacing w:after="240"/>
        <w:ind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sz w:val="24"/>
          <w:szCs w:val="24"/>
        </w:rPr>
        <w:tab/>
      </w:r>
      <w:r w:rsidRPr="002E1864">
        <w:rPr>
          <w:rFonts w:ascii="Palatino Linotype" w:eastAsia="Palatino Linotype" w:hAnsi="Palatino Linotype" w:cs="Palatino Linotype"/>
          <w:sz w:val="24"/>
          <w:szCs w:val="24"/>
        </w:rPr>
        <w:tab/>
        <w:t xml:space="preserve">   “</w:t>
      </w:r>
      <w:r w:rsidRPr="002E1864">
        <w:rPr>
          <w:rFonts w:ascii="Palatino Linotype" w:eastAsia="Palatino Linotype" w:hAnsi="Palatino Linotype" w:cs="Palatino Linotype"/>
          <w:b/>
          <w:i/>
          <w:sz w:val="24"/>
          <w:szCs w:val="24"/>
        </w:rPr>
        <w:t>CAPÍTULO VI</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b/>
          <w:i/>
          <w:sz w:val="24"/>
          <w:szCs w:val="24"/>
        </w:rPr>
        <w:t xml:space="preserve">DE LA INFORMACIÓN CONFIDENCIAL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b/>
          <w:i/>
          <w:sz w:val="24"/>
          <w:szCs w:val="24"/>
        </w:rPr>
        <w:lastRenderedPageBreak/>
        <w:t>Trigésimo octavo.</w:t>
      </w:r>
      <w:r w:rsidRPr="002E1864">
        <w:rPr>
          <w:rFonts w:ascii="Palatino Linotype" w:eastAsia="Palatino Linotype" w:hAnsi="Palatino Linotype" w:cs="Palatino Linotype"/>
          <w:i/>
          <w:sz w:val="24"/>
          <w:szCs w:val="24"/>
        </w:rPr>
        <w:t xml:space="preserve"> Se considera susceptible de clasificarse como información confidencial: (Primer párrafo modificado mediante Acuerdo del Consejo Nacional DOF 18 de noviembre de 2022)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i/>
          <w:sz w:val="24"/>
          <w:szCs w:val="24"/>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i/>
          <w:sz w:val="24"/>
          <w:szCs w:val="24"/>
        </w:rPr>
        <w:t xml:space="preserve">1. </w:t>
      </w:r>
      <w:r w:rsidRPr="002E1864">
        <w:rPr>
          <w:rFonts w:ascii="Palatino Linotype" w:eastAsia="Palatino Linotype" w:hAnsi="Palatino Linotype" w:cs="Palatino Linotype"/>
          <w:b/>
          <w:i/>
          <w:sz w:val="24"/>
          <w:szCs w:val="24"/>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2E1864">
        <w:rPr>
          <w:rFonts w:ascii="Palatino Linotype" w:eastAsia="Palatino Linotype" w:hAnsi="Palatino Linotype" w:cs="Palatino Linotype"/>
          <w:i/>
          <w:sz w:val="24"/>
          <w:szCs w:val="24"/>
        </w:rPr>
        <w:t xml:space="preserve">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i/>
          <w:sz w:val="24"/>
          <w:szCs w:val="24"/>
        </w:rPr>
        <w:t xml:space="preserve">...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b/>
          <w:i/>
          <w:sz w:val="24"/>
          <w:szCs w:val="24"/>
        </w:rPr>
        <w:t>5. Datos Laborales: Número de seguridad social, documentos de reclutamiento o selección, nombramiento, incidencia, capacitación, actividades extracurriculares, referencias laborales, referencias personales, solicitud de empleo, hoja de servicio, y análogos.</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b/>
          <w:i/>
          <w:sz w:val="24"/>
          <w:szCs w:val="24"/>
        </w:rPr>
        <w:t>…</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b/>
          <w:i/>
          <w:sz w:val="24"/>
          <w:szCs w:val="24"/>
        </w:rPr>
        <w:t xml:space="preserve">9. Datos de tránsito y movimientos migratorios: Información relativa al tránsito de las personas dentro y fuera del país, así como información migratoria, cédula migratoria, visa, pasaporte. </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r w:rsidRPr="002E1864">
        <w:rPr>
          <w:rFonts w:ascii="Palatino Linotype" w:eastAsia="Palatino Linotype" w:hAnsi="Palatino Linotype" w:cs="Palatino Linotype"/>
          <w:b/>
          <w:i/>
          <w:sz w:val="24"/>
          <w:szCs w:val="24"/>
        </w:rPr>
        <w:t>10. Datos electrónicos: Firma electrónica, dirección de correo electrónico, código QR”</w:t>
      </w:r>
    </w:p>
    <w:p w:rsidR="00AD24CE" w:rsidRPr="002E1864" w:rsidRDefault="00AD24CE" w:rsidP="00AD24CE">
      <w:pPr>
        <w:tabs>
          <w:tab w:val="left" w:pos="284"/>
        </w:tabs>
        <w:spacing w:after="240"/>
        <w:ind w:left="851" w:right="616"/>
        <w:jc w:val="both"/>
        <w:rPr>
          <w:rFonts w:ascii="Palatino Linotype" w:eastAsia="Palatino Linotype" w:hAnsi="Palatino Linotype" w:cs="Palatino Linotype"/>
          <w:b/>
          <w:i/>
          <w:sz w:val="24"/>
          <w:szCs w:val="24"/>
        </w:rPr>
      </w:pPr>
    </w:p>
    <w:p w:rsidR="00AD24CE" w:rsidRPr="002E1864" w:rsidRDefault="00AD24CE" w:rsidP="00AD24CE">
      <w:pPr>
        <w:tabs>
          <w:tab w:val="left" w:pos="284"/>
        </w:tabs>
        <w:ind w:left="851" w:right="616"/>
        <w:jc w:val="both"/>
        <w:rPr>
          <w:rFonts w:ascii="Palatino Linotype" w:hAnsi="Palatino Linotype"/>
          <w:b/>
          <w:i/>
          <w:sz w:val="24"/>
          <w:szCs w:val="24"/>
        </w:rPr>
      </w:pPr>
      <w:r w:rsidRPr="002E1864">
        <w:rPr>
          <w:rFonts w:ascii="Palatino Linotype" w:hAnsi="Palatino Linotype"/>
          <w:b/>
          <w:i/>
          <w:sz w:val="24"/>
          <w:szCs w:val="24"/>
        </w:rPr>
        <w:t>“CAPÍTULO VIII</w:t>
      </w:r>
    </w:p>
    <w:p w:rsidR="00AD24CE" w:rsidRPr="002E1864" w:rsidRDefault="00AD24CE" w:rsidP="00AD24CE">
      <w:pPr>
        <w:tabs>
          <w:tab w:val="left" w:pos="284"/>
        </w:tabs>
        <w:ind w:left="851" w:right="616"/>
        <w:jc w:val="both"/>
        <w:rPr>
          <w:rFonts w:ascii="Palatino Linotype" w:hAnsi="Palatino Linotype"/>
          <w:b/>
          <w:i/>
          <w:sz w:val="24"/>
          <w:szCs w:val="24"/>
        </w:rPr>
      </w:pPr>
      <w:r w:rsidRPr="002E1864">
        <w:rPr>
          <w:rFonts w:ascii="Palatino Linotype" w:hAnsi="Palatino Linotype"/>
          <w:b/>
          <w:i/>
          <w:sz w:val="24"/>
          <w:szCs w:val="24"/>
        </w:rPr>
        <w:t xml:space="preserve">DE LOS ELEMENTOS PARA LA CLASIFICACIÓN </w:t>
      </w:r>
    </w:p>
    <w:p w:rsidR="00AD24CE" w:rsidRPr="002E1864" w:rsidRDefault="00AD24CE" w:rsidP="00AD24CE">
      <w:pPr>
        <w:tabs>
          <w:tab w:val="left" w:pos="284"/>
        </w:tabs>
        <w:ind w:left="851" w:right="616"/>
        <w:jc w:val="both"/>
        <w:rPr>
          <w:rFonts w:ascii="Palatino Linotype" w:hAnsi="Palatino Linotype"/>
          <w:b/>
          <w:i/>
          <w:sz w:val="24"/>
          <w:szCs w:val="24"/>
        </w:rPr>
      </w:pPr>
      <w:r w:rsidRPr="002E1864">
        <w:rPr>
          <w:rFonts w:ascii="Palatino Linotype" w:hAnsi="Palatino Linotype"/>
          <w:b/>
          <w:i/>
          <w:sz w:val="24"/>
          <w:szCs w:val="24"/>
        </w:rPr>
        <w:lastRenderedPageBreak/>
        <w:t xml:space="preserve">(Epígrafe modificado mediante Acuerdo del Consejo Nacional DOF 18 de noviembre de 2022) </w:t>
      </w:r>
    </w:p>
    <w:p w:rsidR="00AD24CE" w:rsidRPr="002E1864" w:rsidRDefault="00AD24CE" w:rsidP="00AD24CE">
      <w:pPr>
        <w:tabs>
          <w:tab w:val="left" w:pos="284"/>
        </w:tabs>
        <w:ind w:left="851" w:right="616"/>
        <w:jc w:val="both"/>
        <w:rPr>
          <w:rFonts w:ascii="Palatino Linotype" w:hAnsi="Palatino Linotype"/>
          <w:b/>
          <w:i/>
          <w:sz w:val="24"/>
          <w:szCs w:val="24"/>
        </w:rPr>
      </w:pP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Quincuagésimo.</w:t>
      </w:r>
      <w:r w:rsidRPr="002E1864">
        <w:rPr>
          <w:rFonts w:ascii="Palatino Linotype" w:hAnsi="Palatino Linotype"/>
          <w:i/>
          <w:sz w:val="24"/>
          <w:szCs w:val="24"/>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 xml:space="preserve">Quincuagésimo primero. </w:t>
      </w:r>
      <w:r w:rsidRPr="002E1864">
        <w:rPr>
          <w:rFonts w:ascii="Palatino Linotype" w:hAnsi="Palatino Linotype"/>
          <w:i/>
          <w:sz w:val="24"/>
          <w:szCs w:val="24"/>
        </w:rPr>
        <w:t xml:space="preserve">Toda acta del Comité de Transparencia deberá contener: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l.</w:t>
      </w:r>
      <w:r w:rsidRPr="002E1864">
        <w:rPr>
          <w:rFonts w:ascii="Palatino Linotype" w:hAnsi="Palatino Linotype"/>
          <w:i/>
          <w:sz w:val="24"/>
          <w:szCs w:val="24"/>
        </w:rPr>
        <w:t xml:space="preserve"> El número de sesión y fecha;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ll.</w:t>
      </w:r>
      <w:r w:rsidRPr="002E1864">
        <w:rPr>
          <w:rFonts w:ascii="Palatino Linotype" w:hAnsi="Palatino Linotype"/>
          <w:i/>
          <w:sz w:val="24"/>
          <w:szCs w:val="24"/>
        </w:rPr>
        <w:t xml:space="preserve"> El nombre del área que solicitó la clasificación de información;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III.</w:t>
      </w:r>
      <w:r w:rsidRPr="002E1864">
        <w:rPr>
          <w:rFonts w:ascii="Palatino Linotype" w:hAnsi="Palatino Linotype"/>
          <w:i/>
          <w:sz w:val="24"/>
          <w:szCs w:val="24"/>
        </w:rPr>
        <w:t xml:space="preserve"> La fundamentación legal y motivación correspondiente;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IV</w:t>
      </w:r>
      <w:r w:rsidRPr="002E1864">
        <w:rPr>
          <w:rFonts w:ascii="Palatino Linotype" w:hAnsi="Palatino Linotype"/>
          <w:i/>
          <w:sz w:val="24"/>
          <w:szCs w:val="24"/>
        </w:rPr>
        <w:t xml:space="preserve">. La resolución o resoluciones aprobadas; y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V.</w:t>
      </w:r>
      <w:r w:rsidRPr="002E1864">
        <w:rPr>
          <w:rFonts w:ascii="Palatino Linotype" w:hAnsi="Palatino Linotype"/>
          <w:i/>
          <w:sz w:val="24"/>
          <w:szCs w:val="24"/>
        </w:rPr>
        <w:t xml:space="preserve"> La rúbrica o firma digital de cada integrante del Comité de Transparencia.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 xml:space="preserve">Las resoluciones del Comité en las que se haya determinado confirmar o modificar la clasificación de información pública como reservada, deberán incluir, cuando menos: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l.</w:t>
      </w:r>
      <w:r w:rsidRPr="002E1864">
        <w:rPr>
          <w:rFonts w:ascii="Palatino Linotype" w:hAnsi="Palatino Linotype"/>
          <w:i/>
          <w:sz w:val="24"/>
          <w:szCs w:val="24"/>
        </w:rPr>
        <w:t xml:space="preserve"> Los motivos y razonamientos que sustenten la confirmación o modificación de la prueba de daño;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ll.</w:t>
      </w:r>
      <w:r w:rsidRPr="002E1864">
        <w:rPr>
          <w:rFonts w:ascii="Palatino Linotype" w:hAnsi="Palatino Linotype"/>
          <w:i/>
          <w:sz w:val="24"/>
          <w:szCs w:val="24"/>
        </w:rPr>
        <w:t xml:space="preserve"> </w:t>
      </w:r>
      <w:r w:rsidRPr="002E1864">
        <w:rPr>
          <w:rFonts w:ascii="Palatino Linotype" w:hAnsi="Palatino Linotype"/>
          <w:b/>
          <w:i/>
          <w:sz w:val="24"/>
          <w:szCs w:val="24"/>
          <w:u w:val="single"/>
        </w:rPr>
        <w:t>Descripción de las partes o secciones reservadas</w:t>
      </w:r>
      <w:r w:rsidRPr="002E1864">
        <w:rPr>
          <w:rFonts w:ascii="Palatino Linotype" w:hAnsi="Palatino Linotype"/>
          <w:i/>
          <w:sz w:val="24"/>
          <w:szCs w:val="24"/>
        </w:rPr>
        <w:t>, en caso de clasificación parcial;</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 xml:space="preserve"> III.</w:t>
      </w:r>
      <w:r w:rsidRPr="002E1864">
        <w:rPr>
          <w:rFonts w:ascii="Palatino Linotype" w:hAnsi="Palatino Linotype"/>
          <w:i/>
          <w:sz w:val="24"/>
          <w:szCs w:val="24"/>
        </w:rPr>
        <w:t xml:space="preserve"> El periodo por el que mantendrá su clasificación y fecha de expiración; y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IV.</w:t>
      </w:r>
      <w:r w:rsidRPr="002E1864">
        <w:rPr>
          <w:rFonts w:ascii="Palatino Linotype" w:hAnsi="Palatino Linotype"/>
          <w:i/>
          <w:sz w:val="24"/>
          <w:szCs w:val="24"/>
        </w:rPr>
        <w:t xml:space="preserve"> El nombre del titular y área encargada de realizar la versión pública del documento, en su caso.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lastRenderedPageBreak/>
        <w:tab/>
        <w:t>En los casos en que se clasifique la información como reservada siempre se entregará o anexará la prueba de daño con la respuesta al solicitante.</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Quincuagésimo segundo</w:t>
      </w:r>
      <w:r w:rsidRPr="002E1864">
        <w:rPr>
          <w:rFonts w:ascii="Palatino Linotype" w:hAnsi="Palatino Linotype"/>
          <w:i/>
          <w:sz w:val="24"/>
          <w:szCs w:val="24"/>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ab/>
      </w:r>
      <w:r w:rsidRPr="002E1864">
        <w:rPr>
          <w:rFonts w:ascii="Palatino Linotype" w:hAnsi="Palatino Linotype"/>
          <w:i/>
          <w:sz w:val="24"/>
          <w:szCs w:val="24"/>
        </w:rPr>
        <w:t xml:space="preserve">En el caso específico de la clasificación y elaboración de versiones públicas de documentos que contengan información confidencial, las áreas de los sujetos obligados deberán: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I</w:t>
      </w:r>
      <w:r w:rsidRPr="002E1864">
        <w:rPr>
          <w:rFonts w:ascii="Palatino Linotype" w:hAnsi="Palatino Linotype"/>
          <w:i/>
          <w:sz w:val="24"/>
          <w:szCs w:val="24"/>
        </w:rPr>
        <w:t xml:space="preserve">. Fijar la fecha en que se elaboró la versión pública y la fecha en la cual el Comité de Transparencia confirmó dicha versión;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ll.</w:t>
      </w:r>
      <w:r w:rsidRPr="002E1864">
        <w:rPr>
          <w:rFonts w:ascii="Palatino Linotype" w:hAnsi="Palatino Linotype"/>
          <w:i/>
          <w:sz w:val="24"/>
          <w:szCs w:val="24"/>
        </w:rPr>
        <w:t xml:space="preserve"> Señalar dentro del documento el tipo de información confidencial que fue testada en cada caso específico, de conformidad con el lineamiento trigésimo octavo; y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III.</w:t>
      </w:r>
      <w:r w:rsidRPr="002E1864">
        <w:rPr>
          <w:rFonts w:ascii="Palatino Linotype" w:hAnsi="Palatino Linotype"/>
          <w:i/>
          <w:sz w:val="24"/>
          <w:szCs w:val="24"/>
        </w:rPr>
        <w:t xml:space="preserve"> Señalar las personas o instancias autorizadas a acceder a la información clasificada.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Quincuagésimo tercero</w:t>
      </w:r>
      <w:r w:rsidRPr="002E1864">
        <w:rPr>
          <w:rFonts w:ascii="Palatino Linotype" w:hAnsi="Palatino Linotype"/>
          <w:i/>
          <w:sz w:val="24"/>
          <w:szCs w:val="24"/>
        </w:rPr>
        <w:t>. El formato para señalar la clasificación de un documento o expediente que contenga información reservada, es el siguiente: (Párrafo primero modificado mediante Acuerdo del Consejo Nacional DOF 18 de noviembre de 2022)</w:t>
      </w:r>
    </w:p>
    <w:p w:rsidR="00AD24CE" w:rsidRPr="002E1864" w:rsidRDefault="00AD24CE" w:rsidP="00AD24CE">
      <w:pPr>
        <w:tabs>
          <w:tab w:val="left" w:pos="284"/>
        </w:tabs>
        <w:spacing w:after="240"/>
        <w:ind w:left="851" w:right="616"/>
        <w:jc w:val="center"/>
        <w:rPr>
          <w:rFonts w:ascii="Palatino Linotype" w:hAnsi="Palatino Linotype"/>
          <w:i/>
          <w:sz w:val="24"/>
          <w:szCs w:val="24"/>
        </w:rPr>
      </w:pPr>
      <w:r w:rsidRPr="002E1864">
        <w:rPr>
          <w:rFonts w:ascii="Palatino Linotype" w:hAnsi="Palatino Linotype"/>
          <w:i/>
          <w:noProof/>
          <w:sz w:val="24"/>
          <w:szCs w:val="24"/>
        </w:rPr>
        <w:lastRenderedPageBreak/>
        <w:drawing>
          <wp:inline distT="0" distB="0" distL="0" distR="0" wp14:anchorId="7C6FD582" wp14:editId="695EC8A5">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729013" cy="2700000"/>
                    </a:xfrm>
                    <a:prstGeom prst="rect">
                      <a:avLst/>
                    </a:prstGeom>
                    <a:ln/>
                  </pic:spPr>
                </pic:pic>
              </a:graphicData>
            </a:graphic>
          </wp:inline>
        </w:drawing>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ab/>
        <w:t xml:space="preserve">Los documentos que integren un expediente reservado en su totalidad no deberán marcarse en lo individual. (Párrafo segundo adicionado mediante Acuerdo del Consejo Nacional DOF 18 de noviembre de 2022) </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ab/>
        <w:t>Una vez desclasificados los expedientes, si existieren documentos que tuvieran el carácter de reservados deberán permanecer o ser marcados. (Párrafo tercero adicionado mediante Acuerdo del Consejo Nacional DOF 18 de noviembre de 2022)</w:t>
      </w:r>
    </w:p>
    <w:p w:rsidR="00AD24CE" w:rsidRPr="002E1864"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i/>
          <w:sz w:val="24"/>
          <w:szCs w:val="24"/>
        </w:rPr>
        <w:tab/>
        <w:t xml:space="preserve"> </w:t>
      </w:r>
      <w:r w:rsidRPr="002E1864">
        <w:rPr>
          <w:rFonts w:ascii="Palatino Linotype" w:hAnsi="Palatino Linotype"/>
          <w:b/>
          <w:i/>
          <w:sz w:val="24"/>
          <w:szCs w:val="24"/>
        </w:rPr>
        <w:t>Quincuagésimo cuarto</w:t>
      </w:r>
      <w:r w:rsidRPr="002E1864">
        <w:rPr>
          <w:rFonts w:ascii="Palatino Linotype" w:hAnsi="Palatino Linotype"/>
          <w:i/>
          <w:sz w:val="24"/>
          <w:szCs w:val="24"/>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rsidR="00AD24CE" w:rsidRDefault="00AD24CE" w:rsidP="00AD24CE">
      <w:pPr>
        <w:tabs>
          <w:tab w:val="left" w:pos="284"/>
        </w:tabs>
        <w:spacing w:after="240"/>
        <w:ind w:left="851" w:right="616"/>
        <w:jc w:val="both"/>
        <w:rPr>
          <w:rFonts w:ascii="Palatino Linotype" w:hAnsi="Palatino Linotype"/>
          <w:i/>
          <w:sz w:val="24"/>
          <w:szCs w:val="24"/>
        </w:rPr>
      </w:pPr>
      <w:r w:rsidRPr="002E1864">
        <w:rPr>
          <w:rFonts w:ascii="Palatino Linotype" w:hAnsi="Palatino Linotype"/>
          <w:b/>
          <w:i/>
          <w:sz w:val="24"/>
          <w:szCs w:val="24"/>
        </w:rPr>
        <w:tab/>
        <w:t>Quincuagésimo quinto.</w:t>
      </w:r>
      <w:r w:rsidRPr="002E1864">
        <w:rPr>
          <w:rFonts w:ascii="Palatino Linotype" w:hAnsi="Palatino Linotype"/>
          <w:i/>
          <w:sz w:val="24"/>
          <w:szCs w:val="24"/>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w:t>
      </w:r>
      <w:r w:rsidRPr="002E1864">
        <w:rPr>
          <w:rFonts w:ascii="Palatino Linotype" w:hAnsi="Palatino Linotype"/>
          <w:i/>
          <w:sz w:val="24"/>
          <w:szCs w:val="24"/>
        </w:rPr>
        <w:lastRenderedPageBreak/>
        <w:t>de su confirmación por el Comité de Transparencia. (Lineamiento modificado mediante Acuerdo del Consejo Nacional DOF 18 de noviembre de 2022)”</w:t>
      </w:r>
    </w:p>
    <w:p w:rsidR="006B5FE7" w:rsidRPr="002E1864" w:rsidRDefault="006B5FE7" w:rsidP="00AD24CE">
      <w:pPr>
        <w:tabs>
          <w:tab w:val="left" w:pos="284"/>
        </w:tabs>
        <w:spacing w:after="240"/>
        <w:ind w:left="851" w:right="616"/>
        <w:jc w:val="both"/>
        <w:rPr>
          <w:rFonts w:ascii="Palatino Linotype" w:hAnsi="Palatino Linotype"/>
          <w:i/>
          <w:sz w:val="24"/>
          <w:szCs w:val="24"/>
        </w:rPr>
      </w:pPr>
    </w:p>
    <w:p w:rsidR="00AD24CE" w:rsidRPr="002E1864" w:rsidRDefault="00AD24CE" w:rsidP="00AD24C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sz w:val="24"/>
          <w:szCs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2E624C" w:rsidRPr="002E1864" w:rsidRDefault="002E624C" w:rsidP="002E624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B33338" w:rsidRPr="002E1864" w:rsidRDefault="002E624C" w:rsidP="00AD24CE">
      <w:pPr>
        <w:numPr>
          <w:ilvl w:val="0"/>
          <w:numId w:val="1"/>
        </w:numPr>
        <w:pBdr>
          <w:top w:val="nil"/>
          <w:left w:val="nil"/>
          <w:bottom w:val="nil"/>
          <w:right w:val="nil"/>
          <w:between w:val="nil"/>
        </w:pBdr>
        <w:spacing w:after="0" w:line="360" w:lineRule="auto"/>
        <w:ind w:left="0" w:firstLine="0"/>
        <w:jc w:val="both"/>
        <w:rPr>
          <w:rFonts w:ascii="Palatino Linotype" w:hAnsi="Palatino Linotype"/>
          <w:sz w:val="24"/>
          <w:szCs w:val="24"/>
        </w:rPr>
      </w:pPr>
      <w:r w:rsidRPr="002E1864">
        <w:rPr>
          <w:rFonts w:ascii="Palatino Linotype" w:hAnsi="Palatino Linotype" w:cs="Tahoma"/>
          <w:bCs/>
          <w:color w:val="0D0D0D" w:themeColor="text1" w:themeTint="F2"/>
          <w:sz w:val="24"/>
          <w:szCs w:val="24"/>
        </w:rPr>
        <w:t>Aunado a lo anterior,</w:t>
      </w:r>
      <w:r w:rsidR="00B33338" w:rsidRPr="002E1864">
        <w:rPr>
          <w:rFonts w:ascii="Palatino Linotype" w:hAnsi="Palatino Linotype" w:cs="Tahoma"/>
          <w:bCs/>
          <w:color w:val="0D0D0D" w:themeColor="text1" w:themeTint="F2"/>
          <w:sz w:val="24"/>
          <w:szCs w:val="24"/>
        </w:rPr>
        <w:t xml:space="preserve"> se observa que</w:t>
      </w:r>
      <w:r w:rsidRPr="002E1864">
        <w:rPr>
          <w:rFonts w:ascii="Palatino Linotype" w:hAnsi="Palatino Linotype" w:cs="Tahoma"/>
          <w:bCs/>
          <w:color w:val="0D0D0D" w:themeColor="text1" w:themeTint="F2"/>
          <w:sz w:val="24"/>
          <w:szCs w:val="24"/>
        </w:rPr>
        <w:t xml:space="preserve"> el </w:t>
      </w:r>
      <w:r w:rsidRPr="002E1864">
        <w:rPr>
          <w:rFonts w:ascii="Palatino Linotype" w:hAnsi="Palatino Linotype" w:cs="Tahoma"/>
          <w:b/>
          <w:bCs/>
          <w:color w:val="0D0D0D" w:themeColor="text1" w:themeTint="F2"/>
          <w:sz w:val="24"/>
          <w:szCs w:val="24"/>
        </w:rPr>
        <w:t>SUJETO OBLIGADO</w:t>
      </w:r>
      <w:r w:rsidRPr="002E1864">
        <w:rPr>
          <w:rFonts w:ascii="Palatino Linotype" w:hAnsi="Palatino Linotype" w:cs="Tahoma"/>
          <w:bCs/>
          <w:color w:val="0D0D0D" w:themeColor="text1" w:themeTint="F2"/>
          <w:sz w:val="24"/>
          <w:szCs w:val="24"/>
        </w:rPr>
        <w:t xml:space="preserve"> </w:t>
      </w:r>
      <w:r w:rsidR="00B33338" w:rsidRPr="002E1864">
        <w:rPr>
          <w:rFonts w:ascii="Palatino Linotype" w:hAnsi="Palatino Linotype" w:cs="Tahoma"/>
          <w:bCs/>
          <w:color w:val="0D0D0D" w:themeColor="text1" w:themeTint="F2"/>
          <w:sz w:val="24"/>
          <w:szCs w:val="24"/>
        </w:rPr>
        <w:t xml:space="preserve">dejó </w:t>
      </w:r>
      <w:r w:rsidRPr="002E1864">
        <w:rPr>
          <w:rFonts w:ascii="Palatino Linotype" w:hAnsi="Palatino Linotype" w:cs="Tahoma"/>
          <w:bCs/>
          <w:color w:val="0D0D0D" w:themeColor="text1" w:themeTint="F2"/>
          <w:sz w:val="24"/>
          <w:szCs w:val="24"/>
        </w:rPr>
        <w:t xml:space="preserve">a la vista </w:t>
      </w:r>
      <w:r w:rsidR="00B33338" w:rsidRPr="002E1864">
        <w:rPr>
          <w:rFonts w:ascii="Palatino Linotype" w:hAnsi="Palatino Linotype" w:cs="Tahoma"/>
          <w:bCs/>
          <w:color w:val="0D0D0D" w:themeColor="text1" w:themeTint="F2"/>
          <w:sz w:val="24"/>
          <w:szCs w:val="24"/>
        </w:rPr>
        <w:t xml:space="preserve">información susceptible de ser clasificada a la vista, que de manera enunciativa es el domicilio particular, estado </w:t>
      </w:r>
      <w:r w:rsidR="0071136F" w:rsidRPr="002E1864">
        <w:rPr>
          <w:rFonts w:ascii="Palatino Linotype" w:hAnsi="Palatino Linotype" w:cs="Tahoma"/>
          <w:bCs/>
          <w:color w:val="0D0D0D" w:themeColor="text1" w:themeTint="F2"/>
          <w:sz w:val="24"/>
          <w:szCs w:val="24"/>
        </w:rPr>
        <w:t xml:space="preserve">civil, RFC </w:t>
      </w:r>
      <w:r w:rsidRPr="002E1864">
        <w:rPr>
          <w:rFonts w:ascii="Palatino Linotype" w:hAnsi="Palatino Linotype" w:cs="Tahoma"/>
          <w:bCs/>
          <w:color w:val="0D0D0D" w:themeColor="text1" w:themeTint="F2"/>
          <w:sz w:val="24"/>
          <w:szCs w:val="24"/>
        </w:rPr>
        <w:t>y firma, por lo que a efecto de orientación se refiere lo siguiente:</w:t>
      </w:r>
    </w:p>
    <w:p w:rsidR="00AD24CE" w:rsidRPr="002E1864" w:rsidRDefault="00AD24CE" w:rsidP="00B02574">
      <w:pPr>
        <w:pBdr>
          <w:top w:val="nil"/>
          <w:left w:val="nil"/>
          <w:bottom w:val="nil"/>
          <w:right w:val="nil"/>
          <w:between w:val="nil"/>
        </w:pBdr>
        <w:spacing w:after="0" w:line="360" w:lineRule="auto"/>
        <w:jc w:val="both"/>
        <w:rPr>
          <w:rFonts w:ascii="Palatino Linotype" w:hAnsi="Palatino Linotype" w:cs="Tahoma"/>
          <w:bCs/>
          <w:color w:val="0D0D0D" w:themeColor="text1" w:themeTint="F2"/>
          <w:sz w:val="24"/>
          <w:szCs w:val="24"/>
        </w:rPr>
      </w:pPr>
    </w:p>
    <w:p w:rsidR="00B02574" w:rsidRPr="002E1864" w:rsidRDefault="00B02574" w:rsidP="00B02574">
      <w:pPr>
        <w:pBdr>
          <w:top w:val="nil"/>
          <w:left w:val="nil"/>
          <w:bottom w:val="nil"/>
          <w:right w:val="nil"/>
          <w:between w:val="nil"/>
        </w:pBdr>
        <w:spacing w:after="0" w:line="360" w:lineRule="auto"/>
        <w:jc w:val="both"/>
        <w:rPr>
          <w:rFonts w:ascii="Palatino Linotype" w:hAnsi="Palatino Linotype" w:cs="Tahoma"/>
          <w:b/>
          <w:bCs/>
          <w:color w:val="0D0D0D" w:themeColor="text1" w:themeTint="F2"/>
          <w:sz w:val="24"/>
          <w:szCs w:val="24"/>
        </w:rPr>
      </w:pPr>
      <w:r w:rsidRPr="002E1864">
        <w:rPr>
          <w:rFonts w:ascii="Palatino Linotype" w:hAnsi="Palatino Linotype" w:cs="Tahoma"/>
          <w:b/>
          <w:bCs/>
          <w:color w:val="0D0D0D" w:themeColor="text1" w:themeTint="F2"/>
          <w:sz w:val="24"/>
          <w:szCs w:val="24"/>
        </w:rPr>
        <w:t>Domicilio particular:</w:t>
      </w:r>
    </w:p>
    <w:p w:rsidR="00B02574" w:rsidRPr="006B5FE7" w:rsidRDefault="00B02574"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D0D0D" w:themeColor="text1" w:themeTint="F2"/>
        </w:rPr>
      </w:pPr>
      <w:r w:rsidRPr="006B5FE7">
        <w:rPr>
          <w:rFonts w:ascii="Palatino Linotype" w:hAnsi="Palatino Linotype" w:cs="Tahoma"/>
          <w:bCs/>
          <w:color w:val="0D0D0D" w:themeColor="text1" w:themeTint="F2"/>
        </w:rPr>
        <w:t>Los diversos 29 y 33 del Código Civil Federal, al precisar que el domicilio de personas físicas, es el lugar donde residen habitualmente, el lugar del centro principal de sus negocios, donde residan o el lugar donde se encuentren; mientras que, de las personas morales, aquel donde se halle su administración.</w:t>
      </w:r>
    </w:p>
    <w:p w:rsidR="00B02574" w:rsidRPr="006B5FE7" w:rsidRDefault="00B02574"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D0D0D" w:themeColor="text1" w:themeTint="F2"/>
        </w:rPr>
      </w:pPr>
      <w:r w:rsidRPr="006B5FE7">
        <w:rPr>
          <w:rFonts w:ascii="Palatino Linotype" w:hAnsi="Palatino Linotype" w:cs="Tahoma"/>
          <w:bCs/>
          <w:color w:val="0D0D0D" w:themeColor="text1" w:themeTint="F2"/>
        </w:rPr>
        <w:lastRenderedPageBreak/>
        <w:t>Por lo que hace en el caso que nos ocupa, se trata de un domicilio en su calidad de particulares, el cual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 en consecuencia debe ser considerado como un dato clasificado.</w:t>
      </w:r>
    </w:p>
    <w:p w:rsidR="00B02574" w:rsidRPr="002E1864" w:rsidRDefault="00B02574" w:rsidP="00B02574">
      <w:pPr>
        <w:pBdr>
          <w:top w:val="nil"/>
          <w:left w:val="nil"/>
          <w:bottom w:val="nil"/>
          <w:right w:val="nil"/>
          <w:between w:val="nil"/>
        </w:pBdr>
        <w:spacing w:after="0" w:line="360" w:lineRule="auto"/>
        <w:jc w:val="both"/>
        <w:rPr>
          <w:rFonts w:ascii="Palatino Linotype" w:hAnsi="Palatino Linotype" w:cs="Tahoma"/>
          <w:bCs/>
          <w:color w:val="0D0D0D" w:themeColor="text1" w:themeTint="F2"/>
          <w:sz w:val="24"/>
          <w:szCs w:val="24"/>
        </w:rPr>
      </w:pPr>
    </w:p>
    <w:p w:rsidR="00FD1BED" w:rsidRPr="002E1864" w:rsidRDefault="00B02574" w:rsidP="006B5FE7">
      <w:pPr>
        <w:pStyle w:val="Prrafodelista"/>
        <w:numPr>
          <w:ilvl w:val="0"/>
          <w:numId w:val="20"/>
        </w:numPr>
        <w:ind w:left="0" w:firstLine="0"/>
      </w:pPr>
      <w:r w:rsidRPr="002E1864">
        <w:rPr>
          <w:rFonts w:ascii="Palatino Linotype" w:hAnsi="Palatino Linotype"/>
          <w:b/>
        </w:rPr>
        <w:t xml:space="preserve">Estado Civil. </w:t>
      </w:r>
    </w:p>
    <w:p w:rsidR="00B02574" w:rsidRPr="006B5FE7" w:rsidRDefault="00B02574"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s="Times New Roman"/>
          <w:bCs/>
          <w:lang w:val="es-ES"/>
        </w:rPr>
      </w:pPr>
      <w:r w:rsidRPr="006B5FE7">
        <w:rPr>
          <w:rFonts w:ascii="Palatino Linotype" w:hAnsi="Palatino Linotype" w:cs="Tahoma"/>
          <w:bCs/>
          <w:color w:val="0D0D0D" w:themeColor="text1" w:themeTint="F2"/>
        </w:rPr>
        <w:t>Se considera un dato identificativo, que se considera susceptible de ser clasificado, y que resulta</w:t>
      </w:r>
      <w:r w:rsidRPr="006B5FE7">
        <w:rPr>
          <w:rFonts w:ascii="Palatino Linotype" w:hAnsi="Palatino Linotype" w:cs="Times New Roman"/>
          <w:bCs/>
          <w:lang w:val="es-ES"/>
        </w:rPr>
        <w:t xml:space="preserve"> irrelevante, ya que este no influye en el mejor o menor desempeño de un cargo público o no guarda relación directa con el ejercicio de recursos públicos y/o funciones públicas.</w:t>
      </w:r>
    </w:p>
    <w:p w:rsidR="00B02574" w:rsidRPr="002E1864" w:rsidRDefault="00B02574" w:rsidP="00B02574">
      <w:pPr>
        <w:spacing w:line="360" w:lineRule="auto"/>
        <w:jc w:val="both"/>
        <w:rPr>
          <w:rFonts w:ascii="Palatino Linotype" w:hAnsi="Palatino Linotype" w:cs="Times New Roman"/>
          <w:bCs/>
          <w:sz w:val="24"/>
          <w:szCs w:val="24"/>
          <w:lang w:val="es-ES"/>
        </w:rPr>
      </w:pPr>
    </w:p>
    <w:p w:rsidR="00B02574" w:rsidRPr="006B5FE7" w:rsidRDefault="00B02574" w:rsidP="006B5FE7">
      <w:pPr>
        <w:pStyle w:val="Prrafodelista"/>
        <w:numPr>
          <w:ilvl w:val="0"/>
          <w:numId w:val="20"/>
        </w:numP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b/>
        </w:rPr>
        <w:t xml:space="preserve">Firma de </w:t>
      </w:r>
      <w:r w:rsidR="004F4C0C" w:rsidRPr="006B5FE7">
        <w:rPr>
          <w:rFonts w:ascii="Palatino Linotype" w:eastAsia="Palatino Linotype" w:hAnsi="Palatino Linotype" w:cs="Palatino Linotype"/>
          <w:b/>
        </w:rPr>
        <w:t>particulares</w:t>
      </w:r>
    </w:p>
    <w:p w:rsidR="00B02574" w:rsidRPr="006B5FE7" w:rsidRDefault="004F4C0C"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t>L</w:t>
      </w:r>
      <w:r w:rsidR="00B02574" w:rsidRPr="006B5FE7">
        <w:rPr>
          <w:rFonts w:ascii="Palatino Linotype" w:eastAsia="Palatino Linotype" w:hAnsi="Palatino Linotype" w:cs="Palatino Linotype"/>
        </w:rPr>
        <w:t>a firma es un dato personal confidencial y únicamente será público dicho dato cuando sirva para la emisión de un acto de autoridad, en ejercicio de sus funciones.</w:t>
      </w:r>
    </w:p>
    <w:p w:rsidR="00B02574" w:rsidRPr="002E1864" w:rsidRDefault="00B02574" w:rsidP="00B02574">
      <w:pPr>
        <w:tabs>
          <w:tab w:val="left" w:pos="4962"/>
        </w:tabs>
        <w:spacing w:line="360" w:lineRule="auto"/>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sz w:val="24"/>
          <w:szCs w:val="24"/>
        </w:rPr>
        <w:t> </w:t>
      </w:r>
    </w:p>
    <w:p w:rsidR="004F4C0C" w:rsidRPr="006B5FE7" w:rsidRDefault="00B02574"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t xml:space="preserve">Lo anterior, es así, toda vez que la firma de servidores públicos, vinculada al </w:t>
      </w:r>
      <w:r w:rsidRPr="006B5FE7">
        <w:rPr>
          <w:rFonts w:ascii="Palatino Linotype" w:hAnsi="Palatino Linotype" w:cs="Tahoma"/>
          <w:bCs/>
          <w:color w:val="0D0D0D" w:themeColor="text1" w:themeTint="F2"/>
        </w:rPr>
        <w:t>ejercicio</w:t>
      </w:r>
      <w:r w:rsidRPr="006B5FE7">
        <w:rPr>
          <w:rFonts w:ascii="Palatino Linotype" w:eastAsia="Palatino Linotype" w:hAnsi="Palatino Linotype" w:cs="Palatino Linotype"/>
        </w:rPr>
        <w:t xml:space="preserve"> de la función pública es información de naturaleza pública, pues documenta y rinde cuentas sobre el debido ejercicio de sus atribuciones, lo cual </w:t>
      </w:r>
      <w:r w:rsidR="004F4C0C" w:rsidRPr="006B5FE7">
        <w:rPr>
          <w:rFonts w:ascii="Palatino Linotype" w:eastAsia="Palatino Linotype" w:hAnsi="Palatino Linotype" w:cs="Palatino Linotype"/>
          <w:b/>
        </w:rPr>
        <w:t xml:space="preserve">no </w:t>
      </w:r>
      <w:r w:rsidR="004F4C0C" w:rsidRPr="006B5FE7">
        <w:rPr>
          <w:rFonts w:ascii="Palatino Linotype" w:eastAsia="Palatino Linotype" w:hAnsi="Palatino Linotype" w:cs="Palatino Linotype"/>
        </w:rPr>
        <w:t xml:space="preserve">acontece en el </w:t>
      </w:r>
      <w:r w:rsidR="004F4C0C" w:rsidRPr="006B5FE7">
        <w:rPr>
          <w:rFonts w:ascii="Palatino Linotype" w:eastAsia="Palatino Linotype" w:hAnsi="Palatino Linotype" w:cs="Palatino Linotype"/>
        </w:rPr>
        <w:lastRenderedPageBreak/>
        <w:t xml:space="preserve">presente caso, pues esta se emitió en calidad de particular, por lo tanto se considera un dato susceptible de ser clasificado. </w:t>
      </w:r>
    </w:p>
    <w:p w:rsidR="004F4C0C" w:rsidRPr="002E1864" w:rsidRDefault="004F4C0C" w:rsidP="004F4C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136F" w:rsidRPr="002E1864" w:rsidRDefault="0071136F" w:rsidP="006B5FE7">
      <w:pPr>
        <w:pStyle w:val="Prrafodelista"/>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E1864">
        <w:rPr>
          <w:rFonts w:ascii="Palatino Linotype" w:eastAsia="Palatino Linotype" w:hAnsi="Palatino Linotype" w:cs="Palatino Linotype"/>
          <w:b/>
        </w:rPr>
        <w:t>Registro Federal de Contribuyentes (RFC),</w:t>
      </w:r>
    </w:p>
    <w:p w:rsidR="0071136F" w:rsidRPr="006B5FE7" w:rsidRDefault="0071136F"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t xml:space="preserve">El RFC de las personas </w:t>
      </w:r>
      <w:r w:rsidRPr="006B5FE7">
        <w:rPr>
          <w:rFonts w:ascii="Palatino Linotype" w:eastAsia="Palatino Linotype" w:hAnsi="Palatino Linotype" w:cs="Palatino Linotype"/>
          <w:color w:val="000000"/>
        </w:rPr>
        <w:t>físicas</w:t>
      </w:r>
      <w:r w:rsidRPr="006B5FE7">
        <w:rPr>
          <w:rFonts w:ascii="Palatino Linotype" w:eastAsia="Palatino Linotype" w:hAnsi="Palatino Linotype" w:cs="Palatino Linotype"/>
        </w:rPr>
        <w:t xml:space="preserve">, </w:t>
      </w:r>
      <w:r w:rsidRPr="006B5FE7">
        <w:rPr>
          <w:rFonts w:ascii="Palatino Linotype" w:hAnsi="Palatino Linotype" w:cs="Tahoma"/>
          <w:bCs/>
          <w:color w:val="0D0D0D" w:themeColor="text1" w:themeTint="F2"/>
        </w:rPr>
        <w:t>constituye</w:t>
      </w:r>
      <w:r w:rsidRPr="006B5FE7">
        <w:rPr>
          <w:rFonts w:ascii="Palatino Linotype" w:eastAsia="Palatino Linotype" w:hAnsi="Palatino Linotype" w:cs="Palatino Linotype"/>
        </w:rPr>
        <w:t xml:space="preserv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71136F" w:rsidRPr="002E1864" w:rsidRDefault="0071136F" w:rsidP="0071136F">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71136F" w:rsidRPr="006B5FE7" w:rsidRDefault="0071136F"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t xml:space="preserve">Ahora bien, las personas físicas tramitan su inscripción en el registro con el </w:t>
      </w:r>
      <w:r w:rsidRPr="006B5FE7">
        <w:rPr>
          <w:rFonts w:ascii="Palatino Linotype" w:eastAsia="Palatino Linotype" w:hAnsi="Palatino Linotype" w:cs="Palatino Linotype"/>
          <w:color w:val="000000"/>
        </w:rPr>
        <w:t>propósito</w:t>
      </w:r>
      <w:r w:rsidRPr="006B5FE7">
        <w:rPr>
          <w:rFonts w:ascii="Palatino Linotype" w:eastAsia="Palatino Linotype" w:hAnsi="Palatino Linotype" w:cs="Palatino Linotype"/>
        </w:rPr>
        <w:t xml:space="preserve"> </w:t>
      </w:r>
      <w:r w:rsidRPr="006B5FE7">
        <w:rPr>
          <w:rFonts w:ascii="Palatino Linotype" w:eastAsia="Palatino Linotype" w:hAnsi="Palatino Linotype" w:cs="Palatino Linotype"/>
          <w:color w:val="000000"/>
        </w:rPr>
        <w:t>de</w:t>
      </w:r>
      <w:r w:rsidRPr="006B5FE7">
        <w:rPr>
          <w:rFonts w:ascii="Palatino Linotype" w:eastAsia="Palatino Linotype" w:hAnsi="Palatino Linotype" w:cs="Palatino Linotype"/>
        </w:rPr>
        <w:t xml:space="preserve"> realizar —mediante esa clave de identificación— operaciones o actividades de naturaleza fiscal, la cual, les permite hacerse identificables respecto de una situación fiscal determinada.</w:t>
      </w:r>
    </w:p>
    <w:p w:rsidR="0071136F" w:rsidRPr="002E1864" w:rsidRDefault="0071136F" w:rsidP="0071136F">
      <w:pPr>
        <w:tabs>
          <w:tab w:val="left" w:pos="284"/>
        </w:tabs>
        <w:spacing w:line="360" w:lineRule="auto"/>
        <w:jc w:val="both"/>
        <w:rPr>
          <w:rFonts w:ascii="Palatino Linotype" w:eastAsia="Palatino Linotype" w:hAnsi="Palatino Linotype" w:cs="Palatino Linotype"/>
          <w:sz w:val="24"/>
          <w:szCs w:val="24"/>
        </w:rPr>
      </w:pPr>
    </w:p>
    <w:p w:rsidR="0071136F" w:rsidRPr="006B5FE7" w:rsidRDefault="0071136F"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t xml:space="preserve">Lo </w:t>
      </w:r>
      <w:r w:rsidRPr="006B5FE7">
        <w:rPr>
          <w:rFonts w:ascii="Palatino Linotype" w:eastAsia="Palatino Linotype" w:hAnsi="Palatino Linotype" w:cs="Palatino Linotype"/>
          <w:color w:val="000000"/>
        </w:rPr>
        <w:t>anterior</w:t>
      </w:r>
      <w:r w:rsidRPr="006B5FE7">
        <w:rPr>
          <w:rFonts w:ascii="Palatino Linotype" w:eastAsia="Palatino Linotype" w:hAnsi="Palatino Linotype" w:cs="Palatino Linotype"/>
        </w:rPr>
        <w:t xml:space="preserve"> es compartido por el entonces Instituto Federal de Acceso a la </w:t>
      </w:r>
      <w:r w:rsidRPr="006B5FE7">
        <w:rPr>
          <w:rFonts w:ascii="Palatino Linotype" w:eastAsia="Palatino Linotype" w:hAnsi="Palatino Linotype" w:cs="Palatino Linotype"/>
          <w:color w:val="000000"/>
        </w:rPr>
        <w:t>Información</w:t>
      </w:r>
      <w:r w:rsidRPr="006B5FE7">
        <w:rPr>
          <w:rFonts w:ascii="Palatino Linotype" w:eastAsia="Palatino Linotype" w:hAnsi="Palatino Linotype" w:cs="Palatino Linotype"/>
        </w:rPr>
        <w:t xml:space="preserve"> Pública y Protección de Datos Personales (IFAI) a través del Criterio 19/17, que utilizado de manera orientadora y que a la fecha de la solicitud se encontraba vigente, el cual refiere lo siguiente:</w:t>
      </w:r>
    </w:p>
    <w:p w:rsidR="0071136F" w:rsidRPr="002E1864" w:rsidRDefault="0071136F" w:rsidP="0071136F">
      <w:pPr>
        <w:ind w:left="1134" w:right="1467"/>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b/>
          <w:i/>
          <w:sz w:val="24"/>
          <w:szCs w:val="24"/>
        </w:rPr>
        <w:t>“Registro Federal de Contribuyentes (RFC) de personas físicas</w:t>
      </w:r>
      <w:r w:rsidRPr="002E1864">
        <w:rPr>
          <w:rFonts w:ascii="Palatino Linotype" w:eastAsia="Palatino Linotype" w:hAnsi="Palatino Linotype" w:cs="Palatino Linotype"/>
          <w:i/>
          <w:sz w:val="24"/>
          <w:szCs w:val="24"/>
        </w:rPr>
        <w:t>. El RFC es una clave de carácter fiscal, única e irrepetible, que permite identificar al titular, su edad y fecha de nacimiento, por lo que es un dato personal de carácter confidencial.”</w:t>
      </w:r>
    </w:p>
    <w:p w:rsidR="0071136F" w:rsidRPr="002E1864" w:rsidRDefault="0071136F" w:rsidP="0071136F">
      <w:pPr>
        <w:ind w:left="567" w:right="900"/>
        <w:jc w:val="both"/>
        <w:rPr>
          <w:rFonts w:ascii="Palatino Linotype" w:eastAsia="Palatino Linotype" w:hAnsi="Palatino Linotype" w:cs="Palatino Linotype"/>
          <w:i/>
          <w:sz w:val="24"/>
          <w:szCs w:val="24"/>
        </w:rPr>
      </w:pPr>
    </w:p>
    <w:p w:rsidR="0071136F" w:rsidRPr="006B5FE7" w:rsidRDefault="0071136F" w:rsidP="006B5FE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B5FE7">
        <w:rPr>
          <w:rFonts w:ascii="Palatino Linotype" w:eastAsia="Palatino Linotype" w:hAnsi="Palatino Linotype" w:cs="Palatino Linotype"/>
        </w:rPr>
        <w:lastRenderedPageBreak/>
        <w:t xml:space="preserve">Así, </w:t>
      </w:r>
      <w:r w:rsidRPr="006B5FE7">
        <w:rPr>
          <w:rFonts w:ascii="Palatino Linotype" w:eastAsia="Palatino Linotype" w:hAnsi="Palatino Linotype" w:cs="Palatino Linotype"/>
          <w:color w:val="000000"/>
        </w:rPr>
        <w:t>el</w:t>
      </w:r>
      <w:r w:rsidRPr="006B5FE7">
        <w:rPr>
          <w:rFonts w:ascii="Palatino Linotype" w:eastAsia="Palatino Linotype" w:hAnsi="Palatino Linotype" w:cs="Palatino Linotype"/>
        </w:rPr>
        <w:t xml:space="preserve"> </w:t>
      </w:r>
      <w:r w:rsidRPr="006B5FE7">
        <w:rPr>
          <w:rFonts w:ascii="Palatino Linotype" w:eastAsia="Palatino Linotype" w:hAnsi="Palatino Linotype" w:cs="Palatino Linotype"/>
          <w:b/>
        </w:rPr>
        <w:t>Registro Federal de Contribuyentes, RFC</w:t>
      </w:r>
      <w:r w:rsidRPr="006B5FE7">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1136F" w:rsidRPr="002E1864" w:rsidRDefault="0071136F" w:rsidP="004F4C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sz w:val="24"/>
          <w:szCs w:val="24"/>
        </w:rPr>
        <w:t xml:space="preserve">Ahora bien, por lo que hace </w:t>
      </w:r>
      <w:r w:rsidR="002E624C" w:rsidRPr="002E1864">
        <w:rPr>
          <w:rFonts w:ascii="Palatino Linotype" w:eastAsia="Palatino Linotype" w:hAnsi="Palatino Linotype" w:cs="Palatino Linotype"/>
          <w:sz w:val="24"/>
          <w:szCs w:val="24"/>
        </w:rPr>
        <w:t>al motivo</w:t>
      </w:r>
      <w:r w:rsidRPr="002E1864">
        <w:rPr>
          <w:rFonts w:ascii="Palatino Linotype" w:eastAsia="Palatino Linotype" w:hAnsi="Palatino Linotype" w:cs="Palatino Linotype"/>
          <w:sz w:val="24"/>
          <w:szCs w:val="24"/>
        </w:rPr>
        <w:t xml:space="preserve"> de inconformidad relativo a que no se hizo entrega del oficio de contestación por el Titular, este deviene improcedente, ya que máxime no se aprecia el oficio en comento, </w:t>
      </w:r>
      <w:r w:rsidRPr="002E1864">
        <w:rPr>
          <w:rFonts w:ascii="Palatino Linotype" w:eastAsia="Palatino Linotype" w:hAnsi="Palatino Linotype" w:cs="Palatino Linotype"/>
          <w:color w:val="000000"/>
          <w:sz w:val="24"/>
          <w:szCs w:val="24"/>
        </w:rPr>
        <w:t xml:space="preserve">es necesario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2E1864">
        <w:rPr>
          <w:rFonts w:ascii="Palatino Linotype" w:eastAsia="Palatino Linotype" w:hAnsi="Palatino Linotype" w:cs="Palatino Linotype"/>
          <w:i/>
          <w:color w:val="000000"/>
          <w:sz w:val="24"/>
          <w:szCs w:val="24"/>
        </w:rPr>
        <w:t xml:space="preserve">en el ámbito de sus atribuciones, de promover, respetar, proteger y </w:t>
      </w:r>
      <w:r w:rsidRPr="002E1864">
        <w:rPr>
          <w:rFonts w:ascii="Palatino Linotype" w:eastAsia="Palatino Linotype" w:hAnsi="Palatino Linotype" w:cs="Palatino Linotype"/>
          <w:b/>
          <w:i/>
          <w:color w:val="000000"/>
          <w:sz w:val="24"/>
          <w:szCs w:val="24"/>
        </w:rPr>
        <w:t>garantizar</w:t>
      </w:r>
      <w:r w:rsidRPr="002E1864">
        <w:rPr>
          <w:rFonts w:ascii="Palatino Linotype" w:eastAsia="Palatino Linotype" w:hAnsi="Palatino Linotype" w:cs="Palatino Linotype"/>
          <w:i/>
          <w:color w:val="000000"/>
          <w:sz w:val="24"/>
          <w:szCs w:val="24"/>
        </w:rPr>
        <w:t xml:space="preserve"> los derechos humanos. </w:t>
      </w:r>
      <w:r w:rsidRPr="002E1864">
        <w:rPr>
          <w:rFonts w:ascii="Palatino Linotype" w:eastAsia="Palatino Linotype" w:hAnsi="Palatino Linotype" w:cs="Palatino Linotype"/>
          <w:b/>
          <w:i/>
          <w:color w:val="000000"/>
          <w:sz w:val="24"/>
          <w:szCs w:val="24"/>
        </w:rPr>
        <w:t>En cuanto al derecho de acceso a la información, la Ley de Transparencia y Acceso a la Información Pública del Estado de México y Municipios prevé establece que e</w:t>
      </w:r>
      <w:r w:rsidRPr="002E1864">
        <w:rPr>
          <w:rFonts w:ascii="Palatino Linotype" w:eastAsia="Palatino Linotype" w:hAnsi="Palatino Linotype" w:cs="Palatino Linotype"/>
          <w:i/>
          <w:color w:val="000000"/>
          <w:sz w:val="24"/>
          <w:szCs w:val="24"/>
        </w:rPr>
        <w:t>l procedimiento de acceso a la información es la garantía primaria del derecho en cuestión y se rige por los principios de simplicidad, rapidez y gratuidad del procedimiento, auxilio y orientación a los particulares</w:t>
      </w:r>
      <w:r w:rsidRPr="002E1864">
        <w:rPr>
          <w:rFonts w:ascii="Palatino Linotype" w:eastAsia="Palatino Linotype" w:hAnsi="Palatino Linotype" w:cs="Palatino Linotype"/>
          <w:i/>
          <w:color w:val="000000"/>
          <w:sz w:val="24"/>
          <w:szCs w:val="24"/>
          <w:vertAlign w:val="superscript"/>
        </w:rPr>
        <w:footnoteReference w:id="1"/>
      </w:r>
      <w:r w:rsidRPr="002E1864">
        <w:rPr>
          <w:rFonts w:ascii="Palatino Linotype" w:eastAsia="Palatino Linotype" w:hAnsi="Palatino Linotype" w:cs="Palatino Linotype"/>
          <w:i/>
          <w:color w:val="000000"/>
          <w:sz w:val="24"/>
          <w:szCs w:val="24"/>
        </w:rPr>
        <w:t xml:space="preserve">, </w:t>
      </w:r>
      <w:r w:rsidRPr="002E1864">
        <w:rPr>
          <w:rFonts w:ascii="Palatino Linotype" w:eastAsia="Palatino Linotype" w:hAnsi="Palatino Linotype" w:cs="Palatino Linotype"/>
          <w:color w:val="000000"/>
          <w:sz w:val="24"/>
          <w:szCs w:val="24"/>
        </w:rPr>
        <w:t>asimismo establece</w:t>
      </w:r>
      <w:r w:rsidRPr="002E1864">
        <w:rPr>
          <w:rFonts w:ascii="Palatino Linotype" w:eastAsia="Palatino Linotype" w:hAnsi="Palatino Linotype" w:cs="Palatino Linotype"/>
          <w:i/>
          <w:color w:val="000000"/>
          <w:sz w:val="24"/>
          <w:szCs w:val="24"/>
        </w:rPr>
        <w:t xml:space="preserve"> que las unidades de transparencia de los Sujetos Obligados deberán garantizar las medidas y condiciones </w:t>
      </w:r>
      <w:r w:rsidRPr="002E1864">
        <w:rPr>
          <w:rFonts w:ascii="Palatino Linotype" w:eastAsia="Palatino Linotype" w:hAnsi="Palatino Linotype" w:cs="Palatino Linotype"/>
          <w:i/>
          <w:color w:val="000000"/>
          <w:sz w:val="24"/>
          <w:szCs w:val="24"/>
        </w:rPr>
        <w:lastRenderedPageBreak/>
        <w:t>de accesibilidad para que toda persona pueda ejercer el derecho de acceso a la información, mediante solicitudes de información y deberá apoyar al solicitante en la elaboración de las mismas.</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w:t>
      </w:r>
      <w:r w:rsidRPr="002E1864">
        <w:rPr>
          <w:rFonts w:ascii="Palatino Linotype" w:eastAsia="Palatino Linotype" w:hAnsi="Palatino Linotype" w:cs="Palatino Linotype"/>
          <w:sz w:val="24"/>
          <w:szCs w:val="24"/>
        </w:rPr>
        <w:t>administran</w:t>
      </w:r>
      <w:r w:rsidRPr="002E1864">
        <w:rPr>
          <w:rFonts w:ascii="Palatino Linotype" w:eastAsia="Palatino Linotype" w:hAnsi="Palatino Linotype" w:cs="Palatino Linotype"/>
          <w:color w:val="000000"/>
          <w:sz w:val="24"/>
          <w:szCs w:val="24"/>
        </w:rPr>
        <w:t xml:space="preserve">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2E1864">
        <w:rPr>
          <w:rFonts w:ascii="Palatino Linotype" w:eastAsia="Palatino Linotype" w:hAnsi="Palatino Linotype" w:cs="Palatino Linotype"/>
          <w:i/>
          <w:color w:val="000000"/>
          <w:sz w:val="24"/>
          <w:szCs w:val="24"/>
        </w:rPr>
        <w:t>realizar, con efectividad, los trámites internos necesarios para la atención de las solicitudes de información</w:t>
      </w:r>
      <w:r w:rsidRPr="002E1864">
        <w:rPr>
          <w:rFonts w:ascii="Palatino Linotype" w:eastAsia="Palatino Linotype" w:hAnsi="Palatino Linotype" w:cs="Palatino Linotype"/>
          <w:color w:val="000000"/>
          <w:sz w:val="24"/>
          <w:szCs w:val="24"/>
          <w:vertAlign w:val="superscript"/>
        </w:rPr>
        <w:footnoteReference w:id="2"/>
      </w:r>
      <w:r w:rsidRPr="002E1864">
        <w:rPr>
          <w:rFonts w:ascii="Palatino Linotype" w:eastAsia="Palatino Linotype" w:hAnsi="Palatino Linotype" w:cs="Palatino Linotype"/>
          <w:color w:val="000000"/>
          <w:sz w:val="24"/>
          <w:szCs w:val="24"/>
        </w:rPr>
        <w:t>, es decir, deben otorgar respuestas concisas, contundentes y certeras, además de estar en estricto apego a lo que la normatividad en la materia establece.</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Debiendo cumplir con lo dispuesto en la Ley de Transparencia y Acceso a la Información Pública del Estado de México y Municipios, en el artículo 162, mismo del que se inserta su contenido: </w:t>
      </w:r>
    </w:p>
    <w:p w:rsidR="004F4C0C" w:rsidRPr="002E1864" w:rsidRDefault="004F4C0C" w:rsidP="004F4C0C">
      <w:pPr>
        <w:pStyle w:val="Prrafodelista"/>
        <w:rPr>
          <w:rFonts w:ascii="Palatino Linotype" w:hAnsi="Palatino Linotype"/>
          <w:color w:val="000000"/>
        </w:rPr>
      </w:pPr>
    </w:p>
    <w:p w:rsidR="004F4C0C" w:rsidRPr="002E1864" w:rsidRDefault="004F4C0C" w:rsidP="004F4C0C">
      <w:pPr>
        <w:spacing w:line="360" w:lineRule="auto"/>
        <w:ind w:left="567" w:right="567"/>
        <w:jc w:val="both"/>
        <w:rPr>
          <w:rFonts w:ascii="Palatino Linotype" w:eastAsia="Palatino Linotype" w:hAnsi="Palatino Linotype" w:cs="Palatino Linotype"/>
          <w:i/>
          <w:sz w:val="24"/>
          <w:szCs w:val="24"/>
        </w:rPr>
      </w:pPr>
      <w:r w:rsidRPr="002E1864">
        <w:rPr>
          <w:rFonts w:ascii="Palatino Linotype" w:eastAsia="Palatino Linotype" w:hAnsi="Palatino Linotype" w:cs="Palatino Linotype"/>
          <w:b/>
          <w:i/>
          <w:sz w:val="24"/>
          <w:szCs w:val="24"/>
        </w:rPr>
        <w:lastRenderedPageBreak/>
        <w:t xml:space="preserve">Artículo 162. </w:t>
      </w:r>
      <w:r w:rsidRPr="002E1864">
        <w:rPr>
          <w:rFonts w:ascii="Palatino Linotype" w:eastAsia="Palatino Linotype" w:hAnsi="Palatino Linotype" w:cs="Palatino Linotype"/>
          <w:i/>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F4C0C" w:rsidRPr="002E1864" w:rsidRDefault="004F4C0C" w:rsidP="004F4C0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color w:val="000000"/>
          <w:sz w:val="24"/>
          <w:szCs w:val="24"/>
        </w:rPr>
        <w:t xml:space="preserve"> </w:t>
      </w: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Las unidades de transparencia deberán turnar las solicitudes de acceso a la información a las áreas correspondientes para que estas a su vez, manifestarán lo conducente; situación se materializó, puesto que el Titular de la Unidad de Transparencia </w:t>
      </w:r>
      <w:r w:rsidRPr="002E1864">
        <w:rPr>
          <w:rFonts w:ascii="Palatino Linotype" w:eastAsia="Palatino Linotype" w:hAnsi="Palatino Linotype" w:cs="Palatino Linotype"/>
          <w:sz w:val="24"/>
          <w:szCs w:val="24"/>
        </w:rPr>
        <w:t>turno</w:t>
      </w:r>
      <w:r w:rsidRPr="002E1864">
        <w:rPr>
          <w:rFonts w:ascii="Palatino Linotype" w:eastAsia="Palatino Linotype" w:hAnsi="Palatino Linotype" w:cs="Palatino Linotype"/>
          <w:color w:val="000000"/>
          <w:sz w:val="24"/>
          <w:szCs w:val="24"/>
        </w:rPr>
        <w:t xml:space="preserve"> la solicitud a la Secretaria del Ayuntamiento, quien de acuerdo a sus facultades, atribuciones y competencias deben generar, administrar y poseer la información requerida.</w:t>
      </w:r>
    </w:p>
    <w:p w:rsidR="004F4C0C" w:rsidRPr="002E1864" w:rsidRDefault="004F4C0C" w:rsidP="004F4C0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F4C0C" w:rsidRPr="002E1864" w:rsidRDefault="004F4C0C" w:rsidP="00D96000">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r w:rsidR="006B5FE7" w:rsidRPr="002E1864">
        <w:rPr>
          <w:rFonts w:ascii="Palatino Linotype" w:eastAsia="Palatino Linotype" w:hAnsi="Palatino Linotype" w:cs="Palatino Linotype"/>
          <w:color w:val="000000"/>
          <w:sz w:val="24"/>
          <w:szCs w:val="24"/>
        </w:rPr>
        <w:t>...</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Es necesario que los Sujetos Obligados, a efecto de brindar certeza jurídica y correcta tutela al derecho accionado por los particulares realicen una correcta búsqueda en todas las áreas que de acuerdo a sus </w:t>
      </w:r>
      <w:r w:rsidRPr="002E1864">
        <w:rPr>
          <w:rFonts w:ascii="Palatino Linotype" w:eastAsia="Palatino Linotype" w:hAnsi="Palatino Linotype" w:cs="Palatino Linotype"/>
          <w:sz w:val="24"/>
          <w:szCs w:val="24"/>
        </w:rPr>
        <w:t>funciones, atribuciones</w:t>
      </w:r>
      <w:r w:rsidRPr="002E1864">
        <w:rPr>
          <w:rFonts w:ascii="Palatino Linotype" w:eastAsia="Palatino Linotype" w:hAnsi="Palatino Linotype" w:cs="Palatino Linotype"/>
          <w:color w:val="000000"/>
          <w:sz w:val="24"/>
          <w:szCs w:val="24"/>
        </w:rPr>
        <w:t xml:space="preserve"> y competencias deban generar, administrar y poseer la información de interés para los particulares.</w:t>
      </w: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lastRenderedPageBreak/>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 xml:space="preserve">Artículo 53. Las Unidades de Transparencia tendrán las siguientes funciones: </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I. …</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II. Recibir, tramitar y dar respuesta a las solicitudes de acceso a la información;</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IV. Realizar, con efectividad, los trámites internos necesarios para la atención de las solicitudes de acceso a la información;</w:t>
      </w:r>
    </w:p>
    <w:p w:rsidR="004F4C0C" w:rsidRPr="002E1864" w:rsidRDefault="004F4C0C" w:rsidP="004F4C0C">
      <w:pPr>
        <w:rPr>
          <w:rFonts w:ascii="Palatino Linotype" w:eastAsia="Palatino Linotype" w:hAnsi="Palatino Linotype" w:cs="Palatino Linotype"/>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Por su parte, las unidades administrativas cuentan con servidores públicos habilitados que son las </w:t>
      </w:r>
      <w:r w:rsidRPr="002E1864">
        <w:rPr>
          <w:rFonts w:ascii="Palatino Linotype" w:eastAsia="Palatino Linotype" w:hAnsi="Palatino Linotype" w:cs="Palatino Linotype"/>
          <w:i/>
          <w:color w:val="000000"/>
          <w:sz w:val="24"/>
          <w:szCs w:val="24"/>
        </w:rPr>
        <w:t>personas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F4C0C" w:rsidRPr="002E1864" w:rsidRDefault="004F4C0C" w:rsidP="004F4C0C">
      <w:pPr>
        <w:spacing w:line="360" w:lineRule="auto"/>
        <w:jc w:val="both"/>
        <w:rPr>
          <w:rFonts w:ascii="Palatino Linotype" w:eastAsia="Palatino Linotype" w:hAnsi="Palatino Linotype" w:cs="Palatino Linotype"/>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 xml:space="preserve">Es así que, </w:t>
      </w:r>
      <w:r w:rsidR="00D96000" w:rsidRPr="002E1864">
        <w:rPr>
          <w:rFonts w:ascii="Palatino Linotype" w:eastAsia="Palatino Linotype" w:hAnsi="Palatino Linotype" w:cs="Palatino Linotype"/>
          <w:color w:val="000000"/>
          <w:sz w:val="24"/>
          <w:szCs w:val="24"/>
        </w:rPr>
        <w:t xml:space="preserve">los Titulares únicamente son un enlace, es decir, ellos son los encargados de remitir la información que les sea proporcionada por </w:t>
      </w:r>
      <w:r w:rsidRPr="002E1864">
        <w:rPr>
          <w:rFonts w:ascii="Palatino Linotype" w:eastAsia="Palatino Linotype" w:hAnsi="Palatino Linotype" w:cs="Palatino Linotype"/>
          <w:color w:val="000000"/>
          <w:sz w:val="24"/>
          <w:szCs w:val="24"/>
        </w:rPr>
        <w:t xml:space="preserve">los servidores públicos habilitados de cada unidad administrativa, </w:t>
      </w:r>
      <w:r w:rsidR="00D96000" w:rsidRPr="002E1864">
        <w:rPr>
          <w:rFonts w:ascii="Palatino Linotype" w:eastAsia="Palatino Linotype" w:hAnsi="Palatino Linotype" w:cs="Palatino Linotype"/>
          <w:color w:val="000000"/>
          <w:sz w:val="24"/>
          <w:szCs w:val="24"/>
        </w:rPr>
        <w:t xml:space="preserve">quienes </w:t>
      </w:r>
      <w:r w:rsidRPr="002E1864">
        <w:rPr>
          <w:rFonts w:ascii="Palatino Linotype" w:eastAsia="Palatino Linotype" w:hAnsi="Palatino Linotype" w:cs="Palatino Linotype"/>
          <w:color w:val="000000"/>
          <w:sz w:val="24"/>
          <w:szCs w:val="24"/>
        </w:rPr>
        <w:t xml:space="preserve">son las autoridades encargadas de realizar la </w:t>
      </w:r>
      <w:r w:rsidRPr="002E1864">
        <w:rPr>
          <w:rFonts w:ascii="Palatino Linotype" w:eastAsia="Palatino Linotype" w:hAnsi="Palatino Linotype" w:cs="Palatino Linotype"/>
          <w:color w:val="000000"/>
          <w:sz w:val="24"/>
          <w:szCs w:val="24"/>
        </w:rPr>
        <w:lastRenderedPageBreak/>
        <w:t>búsqueda de la información y la eventual entrega a la Unidad de Transparencia, para que esta, a su vez, la ponga a di</w:t>
      </w:r>
      <w:r w:rsidR="002E624C" w:rsidRPr="002E1864">
        <w:rPr>
          <w:rFonts w:ascii="Palatino Linotype" w:eastAsia="Palatino Linotype" w:hAnsi="Palatino Linotype" w:cs="Palatino Linotype"/>
          <w:color w:val="000000"/>
          <w:sz w:val="24"/>
          <w:szCs w:val="24"/>
        </w:rPr>
        <w:t>sposición de los particulares,.</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4F4C0C"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2E1864">
        <w:rPr>
          <w:rFonts w:ascii="Palatino Linotype" w:eastAsia="Palatino Linotype" w:hAnsi="Palatino Linotype" w:cs="Palatino Linotype"/>
          <w:color w:val="000000"/>
          <w:sz w:val="24"/>
          <w:szCs w:val="24"/>
        </w:rPr>
        <w:t>Dicho lo anterior, es importante mencionar que el Sistema de Acceso a la Información Mexiquense fue creado para que los particulares formulen solicitudes de acceso a la información pública y los recursos de revisión, en el sitio oficial de este Órgano Garante se tiene difundida la siguiente información:</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b/>
          <w:i/>
          <w:color w:val="000000"/>
          <w:sz w:val="24"/>
          <w:szCs w:val="24"/>
        </w:rPr>
        <w:t>En este sentido, es pertinente detallar que el Saimex es una plataforma tecnológica destinada a la presentación, registro y seguimiento de las solicitudes de información</w:t>
      </w:r>
      <w:r w:rsidRPr="002E1864">
        <w:rPr>
          <w:rFonts w:ascii="Palatino Linotype" w:eastAsia="Palatino Linotype" w:hAnsi="Palatino Linotype" w:cs="Palatino Linotype"/>
          <w:i/>
          <w:color w:val="000000"/>
          <w:sz w:val="24"/>
          <w:szCs w:val="24"/>
        </w:rPr>
        <w:t xml:space="preserve"> planteadas a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b/>
          <w:i/>
          <w:color w:val="000000"/>
          <w:sz w:val="24"/>
          <w:szCs w:val="24"/>
        </w:rPr>
        <w:t>Este sistema constituye un medio rápido y confiable para comunicarse con la autoridad así como con este órgano garante</w:t>
      </w:r>
      <w:r w:rsidRPr="002E1864">
        <w:rPr>
          <w:rFonts w:ascii="Palatino Linotype" w:eastAsia="Palatino Linotype" w:hAnsi="Palatino Linotype" w:cs="Palatino Linotype"/>
          <w:i/>
          <w:color w:val="000000"/>
          <w:sz w:val="24"/>
          <w:szCs w:val="24"/>
        </w:rPr>
        <w:t>. Su diseño incluye las formalidades señaladas por la Ley de Transparencia y Acceso a la Información Pública del Estado de México y Municipios (LTAIPEMYM), de tal modo que no es necesario tener conocimientos especializados para utilizarlo.</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lastRenderedPageBreak/>
        <w:t>El Saimex se encuentra disponible en internet las 24 horas de los 365 días del año. Se puede acceder a él a través de www.saimex.org.mx, en el icono situado en los sitios electrónicos de la institución pública o los motores de búsqueda de preferencia. Así mismo, para presentar una o varias solicitudes de información a las instituciones públicas, es necesario contar con un nombre de usuario y contraseña, que se puede obtener mediante el formulario de registro incorporado a la plataforma.</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r w:rsidRPr="002E1864">
        <w:rPr>
          <w:rFonts w:ascii="Palatino Linotype" w:eastAsia="Palatino Linotype" w:hAnsi="Palatino Linotype" w:cs="Palatino Linotype"/>
          <w:i/>
          <w:color w:val="000000"/>
          <w:sz w:val="24"/>
          <w:szCs w:val="24"/>
        </w:rPr>
        <w:t>A continuación, se deben seguir las instrucciones para registrar los requerimientos, con especial atención al ente público al cual se dirige y a la descripción de la información que se desea consultar. Actualmente, el Estado de México tiene registrados a 332 sujetos obligados ante quienes puede realizarse una solicitud.</w:t>
      </w:r>
    </w:p>
    <w:p w:rsidR="004F4C0C" w:rsidRPr="002E1864" w:rsidRDefault="004F4C0C" w:rsidP="004F4C0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szCs w:val="24"/>
        </w:rPr>
      </w:pPr>
    </w:p>
    <w:p w:rsidR="004F4C0C" w:rsidRPr="002E1864" w:rsidRDefault="004F4C0C" w:rsidP="00D96000">
      <w:pPr>
        <w:pBdr>
          <w:top w:val="nil"/>
          <w:left w:val="nil"/>
          <w:bottom w:val="nil"/>
          <w:right w:val="nil"/>
          <w:between w:val="nil"/>
        </w:pBdr>
        <w:spacing w:line="360" w:lineRule="auto"/>
        <w:ind w:left="567" w:right="822"/>
        <w:jc w:val="both"/>
        <w:rPr>
          <w:rFonts w:ascii="Palatino Linotype" w:eastAsia="Palatino Linotype" w:hAnsi="Palatino Linotype" w:cs="Palatino Linotype"/>
          <w:color w:val="000000"/>
          <w:sz w:val="24"/>
          <w:szCs w:val="24"/>
        </w:rPr>
      </w:pPr>
      <w:r w:rsidRPr="002E1864">
        <w:rPr>
          <w:rFonts w:ascii="Palatino Linotype" w:eastAsia="Palatino Linotype" w:hAnsi="Palatino Linotype" w:cs="Palatino Linotype"/>
          <w:i/>
          <w:color w:val="000000"/>
          <w:sz w:val="24"/>
          <w:szCs w:val="24"/>
        </w:rPr>
        <w:t>Cabe resaltar que el Saimex, una plataforma de desarrollo propio del Infoem, es considerado como un sitio seguro. Además, muestra los plazos de respuesta de cada solicitud, por lo que seguir su desarrollo resulta muy sencillo. Si el sujeto obligado no responde o contesta con información ilegible, incompleta o diferente a la cual requirió el particular, éste puede hacer valer su inconformidad mediante un recurso de revisión, cuya resolución recae en el Pleno del Infoem.</w:t>
      </w:r>
      <w:r w:rsidR="00363F37" w:rsidRPr="002E1864">
        <w:rPr>
          <w:rFonts w:ascii="Palatino Linotype" w:eastAsia="Palatino Linotype" w:hAnsi="Palatino Linotype" w:cs="Palatino Linotype"/>
          <w:color w:val="000000"/>
          <w:sz w:val="24"/>
          <w:szCs w:val="24"/>
        </w:rPr>
        <w:t xml:space="preserve">  </w:t>
      </w:r>
    </w:p>
    <w:p w:rsidR="004F4C0C" w:rsidRPr="002E1864" w:rsidRDefault="004F4C0C" w:rsidP="004F4C0C">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F4C0C" w:rsidRPr="002E1864" w:rsidRDefault="002E624C" w:rsidP="00D960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E1864">
        <w:rPr>
          <w:rFonts w:ascii="Palatino Linotype" w:eastAsia="Palatino Linotype" w:hAnsi="Palatino Linotype" w:cs="Palatino Linotype"/>
          <w:color w:val="000000"/>
          <w:sz w:val="24"/>
          <w:szCs w:val="24"/>
        </w:rPr>
        <w:t>Asimismo</w:t>
      </w:r>
      <w:r w:rsidR="004F4C0C" w:rsidRPr="002E1864">
        <w:rPr>
          <w:rFonts w:ascii="Palatino Linotype" w:eastAsia="Palatino Linotype" w:hAnsi="Palatino Linotype" w:cs="Palatino Linotype"/>
          <w:color w:val="000000"/>
          <w:sz w:val="24"/>
          <w:szCs w:val="24"/>
        </w:rPr>
        <w:t>,</w:t>
      </w:r>
      <w:r w:rsidRPr="002E1864">
        <w:rPr>
          <w:rFonts w:ascii="Palatino Linotype" w:eastAsia="Palatino Linotype" w:hAnsi="Palatino Linotype" w:cs="Palatino Linotype"/>
          <w:color w:val="000000"/>
          <w:sz w:val="24"/>
          <w:szCs w:val="24"/>
        </w:rPr>
        <w:t xml:space="preserve"> de la solicitud de información</w:t>
      </w:r>
      <w:r w:rsidR="004F4C0C" w:rsidRPr="002E1864">
        <w:rPr>
          <w:rFonts w:ascii="Palatino Linotype" w:eastAsia="Palatino Linotype" w:hAnsi="Palatino Linotype" w:cs="Palatino Linotype"/>
          <w:color w:val="000000"/>
          <w:sz w:val="24"/>
          <w:szCs w:val="24"/>
        </w:rPr>
        <w:t xml:space="preserve"> no se advierte que requiera </w:t>
      </w:r>
      <w:r w:rsidR="00363F37" w:rsidRPr="002E1864">
        <w:rPr>
          <w:rFonts w:ascii="Palatino Linotype" w:eastAsia="Palatino Linotype" w:hAnsi="Palatino Linotype" w:cs="Palatino Linotype"/>
          <w:color w:val="000000"/>
          <w:sz w:val="24"/>
          <w:szCs w:val="24"/>
        </w:rPr>
        <w:t xml:space="preserve">el oficio </w:t>
      </w:r>
      <w:r w:rsidR="004F4C0C" w:rsidRPr="002E1864">
        <w:rPr>
          <w:rFonts w:ascii="Palatino Linotype" w:eastAsia="Palatino Linotype" w:hAnsi="Palatino Linotype" w:cs="Palatino Linotype"/>
          <w:color w:val="000000"/>
          <w:sz w:val="24"/>
          <w:szCs w:val="24"/>
        </w:rPr>
        <w:t xml:space="preserve">por parte del Titular de la Unidad de Transparencia, en ese contexto, </w:t>
      </w:r>
      <w:r w:rsidR="00363F37" w:rsidRPr="002E1864">
        <w:rPr>
          <w:rFonts w:ascii="Palatino Linotype" w:eastAsia="Palatino Linotype" w:hAnsi="Palatino Linotype" w:cs="Palatino Linotype"/>
          <w:color w:val="000000"/>
          <w:sz w:val="24"/>
          <w:szCs w:val="24"/>
        </w:rPr>
        <w:t xml:space="preserve">pues </w:t>
      </w:r>
      <w:r w:rsidR="004F4C0C" w:rsidRPr="002E1864">
        <w:rPr>
          <w:rFonts w:ascii="Palatino Linotype" w:eastAsia="Palatino Linotype" w:hAnsi="Palatino Linotype" w:cs="Palatino Linotype"/>
          <w:color w:val="000000"/>
          <w:sz w:val="24"/>
          <w:szCs w:val="24"/>
        </w:rPr>
        <w:t xml:space="preserve">no hay normatividad que exija el anexo de los mismos a las respuestas, además de que, </w:t>
      </w:r>
      <w:r w:rsidR="004F4C0C" w:rsidRPr="002E1864">
        <w:rPr>
          <w:rFonts w:ascii="Palatino Linotype" w:eastAsia="Palatino Linotype" w:hAnsi="Palatino Linotype" w:cs="Palatino Linotype"/>
          <w:b/>
          <w:color w:val="000000"/>
          <w:sz w:val="24"/>
          <w:szCs w:val="24"/>
        </w:rPr>
        <w:t xml:space="preserve">al </w:t>
      </w:r>
      <w:r w:rsidR="004F4C0C" w:rsidRPr="002E1864">
        <w:rPr>
          <w:rFonts w:ascii="Palatino Linotype" w:eastAsia="Palatino Linotype" w:hAnsi="Palatino Linotype" w:cs="Palatino Linotype"/>
          <w:b/>
          <w:color w:val="000000"/>
          <w:sz w:val="24"/>
          <w:szCs w:val="24"/>
        </w:rPr>
        <w:lastRenderedPageBreak/>
        <w:t>solicitarlos a través del recurso de revisión se considera como una petición adicional no contemplada en la solicitud inicial.</w:t>
      </w:r>
    </w:p>
    <w:p w:rsidR="004F4C0C" w:rsidRPr="002E1864" w:rsidRDefault="004F4C0C" w:rsidP="004F4C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B3E32" w:rsidRPr="002E1864" w:rsidRDefault="00363F37" w:rsidP="007B3E3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sz w:val="24"/>
          <w:szCs w:val="24"/>
        </w:rPr>
        <w:t>Precisado lo anterior,</w:t>
      </w:r>
      <w:r w:rsidR="002E1864" w:rsidRPr="002E1864">
        <w:rPr>
          <w:rFonts w:ascii="Palatino Linotype" w:eastAsia="Palatino Linotype" w:hAnsi="Palatino Linotype" w:cs="Palatino Linotype"/>
          <w:sz w:val="24"/>
          <w:szCs w:val="24"/>
        </w:rPr>
        <w:t xml:space="preserve"> respecto el fondo del asunto,</w:t>
      </w:r>
      <w:r w:rsidRPr="002E1864">
        <w:rPr>
          <w:rFonts w:ascii="Palatino Linotype" w:eastAsia="Palatino Linotype" w:hAnsi="Palatino Linotype" w:cs="Palatino Linotype"/>
          <w:sz w:val="24"/>
          <w:szCs w:val="24"/>
        </w:rPr>
        <w:t xml:space="preserve"> se advierte que el </w:t>
      </w:r>
      <w:r w:rsidRPr="002E1864">
        <w:rPr>
          <w:rFonts w:ascii="Palatino Linotype" w:eastAsia="Palatino Linotype" w:hAnsi="Palatino Linotype" w:cs="Palatino Linotype"/>
          <w:b/>
          <w:sz w:val="24"/>
          <w:szCs w:val="24"/>
        </w:rPr>
        <w:t xml:space="preserve">SUJETO OBLIGADO, </w:t>
      </w:r>
      <w:r w:rsidRPr="002E1864">
        <w:rPr>
          <w:rFonts w:ascii="Palatino Linotype" w:eastAsia="Palatino Linotype" w:hAnsi="Palatino Linotype" w:cs="Palatino Linotype"/>
          <w:sz w:val="24"/>
          <w:szCs w:val="24"/>
        </w:rPr>
        <w:t xml:space="preserve">en aras de satisfacer el derecho de acceso a la información que le asiste al ahora </w:t>
      </w:r>
      <w:r w:rsidRPr="002E1864">
        <w:rPr>
          <w:rFonts w:ascii="Palatino Linotype" w:eastAsia="Palatino Linotype" w:hAnsi="Palatino Linotype" w:cs="Palatino Linotype"/>
          <w:b/>
          <w:sz w:val="24"/>
          <w:szCs w:val="24"/>
        </w:rPr>
        <w:t xml:space="preserve">RECURRENTE, </w:t>
      </w:r>
      <w:r w:rsidRPr="002E1864">
        <w:rPr>
          <w:rFonts w:ascii="Palatino Linotype" w:eastAsia="Palatino Linotype" w:hAnsi="Palatino Linotype" w:cs="Palatino Linotype"/>
          <w:sz w:val="24"/>
          <w:szCs w:val="24"/>
        </w:rPr>
        <w:t>a través</w:t>
      </w:r>
      <w:r w:rsidR="002E1864" w:rsidRPr="002E1864">
        <w:rPr>
          <w:rFonts w:ascii="Palatino Linotype" w:eastAsia="Palatino Linotype" w:hAnsi="Palatino Linotype" w:cs="Palatino Linotype"/>
          <w:sz w:val="24"/>
          <w:szCs w:val="24"/>
        </w:rPr>
        <w:t xml:space="preserve"> del Informe Justificado</w:t>
      </w:r>
      <w:r w:rsidRPr="002E1864">
        <w:rPr>
          <w:rFonts w:ascii="Palatino Linotype" w:eastAsia="Palatino Linotype" w:hAnsi="Palatino Linotype" w:cs="Palatino Linotype"/>
          <w:sz w:val="24"/>
          <w:szCs w:val="24"/>
        </w:rPr>
        <w:t xml:space="preserve">, remitió </w:t>
      </w:r>
      <w:r w:rsidR="002E1864" w:rsidRPr="002E1864">
        <w:rPr>
          <w:rFonts w:ascii="Palatino Linotype" w:eastAsia="Palatino Linotype" w:hAnsi="Palatino Linotype" w:cs="Palatino Linotype"/>
          <w:sz w:val="24"/>
          <w:szCs w:val="24"/>
        </w:rPr>
        <w:t xml:space="preserve">los curriculums remitidos en respuesta en correcta versión pública con </w:t>
      </w:r>
      <w:r w:rsidR="007B3E32" w:rsidRPr="002E1864">
        <w:rPr>
          <w:rFonts w:ascii="Palatino Linotype" w:eastAsia="Palatino Linotype" w:hAnsi="Palatino Linotype" w:cs="Palatino Linotype"/>
          <w:sz w:val="24"/>
          <w:szCs w:val="24"/>
        </w:rPr>
        <w:t>el Acuerdo de Clasificación correspondiente,</w:t>
      </w:r>
      <w:r w:rsidR="002E1864" w:rsidRPr="002E1864">
        <w:rPr>
          <w:rFonts w:ascii="Palatino Linotype" w:eastAsia="Palatino Linotype" w:hAnsi="Palatino Linotype" w:cs="Palatino Linotype"/>
          <w:sz w:val="24"/>
          <w:szCs w:val="24"/>
        </w:rPr>
        <w:t xml:space="preserve"> </w:t>
      </w:r>
      <w:r w:rsidR="007B3E32" w:rsidRPr="002E1864">
        <w:rPr>
          <w:rFonts w:ascii="Palatino Linotype" w:eastAsia="Palatino Linotype" w:hAnsi="Palatino Linotype" w:cs="Palatino Linotype"/>
          <w:sz w:val="24"/>
          <w:szCs w:val="24"/>
        </w:rPr>
        <w:t>colmándose así en su totalidad la solicitud de información</w:t>
      </w:r>
      <w:r w:rsidR="002E1864" w:rsidRPr="002E1864">
        <w:rPr>
          <w:rFonts w:ascii="Palatino Linotype" w:eastAsia="Palatino Linotype" w:hAnsi="Palatino Linotype" w:cs="Palatino Linotype"/>
          <w:sz w:val="24"/>
          <w:szCs w:val="24"/>
        </w:rPr>
        <w:t xml:space="preserve"> que nos ocupa; si</w:t>
      </w:r>
      <w:r w:rsidR="007B3E32" w:rsidRPr="002E1864">
        <w:rPr>
          <w:rFonts w:ascii="Palatino Linotype" w:eastAsia="Palatino Linotype" w:hAnsi="Palatino Linotype" w:cs="Palatino Linotype"/>
          <w:sz w:val="24"/>
          <w:szCs w:val="24"/>
        </w:rPr>
        <w:t xml:space="preserve">n embargo, derivado de la omisión por parte del </w:t>
      </w:r>
      <w:r w:rsidR="007B3E32" w:rsidRPr="002E1864">
        <w:rPr>
          <w:rFonts w:ascii="Palatino Linotype" w:eastAsia="Palatino Linotype" w:hAnsi="Palatino Linotype" w:cs="Palatino Linotype"/>
          <w:b/>
          <w:sz w:val="24"/>
          <w:szCs w:val="24"/>
        </w:rPr>
        <w:t xml:space="preserve">SUJETO OBLIGADO </w:t>
      </w:r>
      <w:r w:rsidR="007B3E32" w:rsidRPr="002E1864">
        <w:rPr>
          <w:rFonts w:ascii="Palatino Linotype" w:eastAsia="Palatino Linotype" w:hAnsi="Palatino Linotype" w:cs="Palatino Linotype"/>
          <w:sz w:val="24"/>
          <w:szCs w:val="24"/>
        </w:rPr>
        <w:t>de salvaguardar los datos personales en su calidad de particulares contenidos en los curriculms remitidos en respuesta, este Órgano Garante, ordena se de vista a la Dirección General de Protección de Datos Personales a efecto de que realice lo conducente ante tal omisión.</w:t>
      </w:r>
    </w:p>
    <w:p w:rsidR="007B3E32" w:rsidRPr="002E1864" w:rsidRDefault="007B3E32" w:rsidP="007B3E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B3E32" w:rsidRPr="002E1864" w:rsidRDefault="007B3E32" w:rsidP="007B3E32">
      <w:pPr>
        <w:tabs>
          <w:tab w:val="left" w:pos="426"/>
        </w:tabs>
        <w:spacing w:before="240" w:after="240" w:line="360" w:lineRule="auto"/>
        <w:ind w:right="51"/>
        <w:contextualSpacing/>
        <w:jc w:val="both"/>
        <w:outlineLvl w:val="1"/>
        <w:rPr>
          <w:rFonts w:ascii="Palatino Linotype" w:eastAsia="Times New Roman" w:hAnsi="Palatino Linotype" w:cs="Times New Roman"/>
          <w:b/>
          <w:bCs/>
          <w:color w:val="000000"/>
          <w:sz w:val="24"/>
          <w:szCs w:val="24"/>
        </w:rPr>
      </w:pPr>
      <w:r w:rsidRPr="002E1864">
        <w:rPr>
          <w:rFonts w:ascii="Palatino Linotype" w:eastAsia="Times New Roman" w:hAnsi="Palatino Linotype" w:cs="Times New Roman"/>
          <w:b/>
          <w:bCs/>
          <w:color w:val="000000"/>
          <w:sz w:val="24"/>
          <w:szCs w:val="24"/>
        </w:rPr>
        <w:t>QUINTO. Vista a la Dirección General de Protección de Datos Personales.</w:t>
      </w:r>
    </w:p>
    <w:p w:rsidR="007B3E32" w:rsidRPr="002E1864" w:rsidRDefault="007B3E32" w:rsidP="007B3E32">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Times New Roman"/>
          <w:sz w:val="24"/>
          <w:szCs w:val="24"/>
        </w:rPr>
      </w:pPr>
      <w:r w:rsidRPr="002E1864">
        <w:rPr>
          <w:rFonts w:ascii="Palatino Linotype" w:eastAsia="MS Mincho" w:hAnsi="Palatino Linotype" w:cs="Times New Roman"/>
          <w:sz w:val="24"/>
          <w:szCs w:val="24"/>
        </w:rPr>
        <w:t xml:space="preserve">Es </w:t>
      </w:r>
      <w:r w:rsidRPr="002E1864">
        <w:rPr>
          <w:rFonts w:ascii="Palatino Linotype" w:eastAsia="Times New Roman" w:hAnsi="Palatino Linotype" w:cs="Times New Roman"/>
          <w:sz w:val="24"/>
          <w:szCs w:val="24"/>
        </w:rPr>
        <w:t>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que de manera enunciativa más no limitativa fueron los domicilios particulares, firmas, estado civil</w:t>
      </w:r>
      <w:r w:rsidR="002E1864" w:rsidRPr="002E1864">
        <w:rPr>
          <w:rFonts w:ascii="Palatino Linotype" w:eastAsia="Times New Roman" w:hAnsi="Palatino Linotype" w:cs="Times New Roman"/>
          <w:sz w:val="24"/>
          <w:szCs w:val="24"/>
        </w:rPr>
        <w:t>, RFC,</w:t>
      </w:r>
      <w:r w:rsidRPr="002E1864">
        <w:rPr>
          <w:rFonts w:ascii="Palatino Linotype" w:eastAsia="Times New Roman" w:hAnsi="Palatino Linotype" w:cs="Times New Roman"/>
          <w:sz w:val="24"/>
          <w:szCs w:val="24"/>
        </w:rPr>
        <w:t xml:space="preserve"> entre otros , por lo que es necesario dar vista al área competente para que en ejercicio de sus atribuciones realice las investigaciones pertinentes por las omisiones detectadas atribuibles al </w:t>
      </w:r>
      <w:r w:rsidRPr="002E1864">
        <w:rPr>
          <w:rFonts w:ascii="Palatino Linotype" w:eastAsia="Times New Roman" w:hAnsi="Palatino Linotype" w:cs="Times New Roman"/>
          <w:b/>
          <w:sz w:val="24"/>
          <w:szCs w:val="24"/>
        </w:rPr>
        <w:t>SUJETO OBLIGADO</w:t>
      </w:r>
      <w:r w:rsidRPr="002E1864">
        <w:rPr>
          <w:rFonts w:ascii="Palatino Linotype" w:eastAsia="Times New Roman" w:hAnsi="Palatino Linotype" w:cs="Times New Roman"/>
          <w:sz w:val="24"/>
          <w:szCs w:val="24"/>
        </w:rPr>
        <w:t>.</w:t>
      </w:r>
    </w:p>
    <w:p w:rsidR="007B3E32" w:rsidRPr="002E1864" w:rsidRDefault="007B3E32" w:rsidP="007B3E32">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Times New Roman"/>
          <w:color w:val="000000"/>
          <w:sz w:val="24"/>
          <w:szCs w:val="24"/>
        </w:rPr>
      </w:pPr>
      <w:r w:rsidRPr="002E1864">
        <w:rPr>
          <w:rFonts w:ascii="Palatino Linotype" w:eastAsia="MS Mincho" w:hAnsi="Palatino Linotype" w:cs="Times New Roman"/>
          <w:sz w:val="24"/>
          <w:szCs w:val="24"/>
        </w:rPr>
        <w:lastRenderedPageBreak/>
        <w:t>Por</w:t>
      </w:r>
      <w:r w:rsidRPr="002E1864">
        <w:rPr>
          <w:rFonts w:ascii="Palatino Linotype" w:eastAsia="Times New Roman" w:hAnsi="Palatino Linotype" w:cs="Arial"/>
          <w:sz w:val="24"/>
          <w:szCs w:val="24"/>
        </w:rPr>
        <w:t xml:space="preserve"> </w:t>
      </w:r>
      <w:r w:rsidRPr="002E1864">
        <w:rPr>
          <w:rFonts w:ascii="Palatino Linotype" w:eastAsia="MS Mincho" w:hAnsi="Palatino Linotype" w:cs="Times New Roman"/>
          <w:sz w:val="24"/>
          <w:szCs w:val="24"/>
        </w:rPr>
        <w:t>ello, es conveniente señalar las fracciones XIV, XXII, XXIII y XXV, del artículo 82, de la Ley de Protección de Datos Personales en Posesión de Sujetos Obligados del Estado de México y Municipios, que establece:</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b/>
          <w:i/>
          <w:sz w:val="24"/>
          <w:szCs w:val="24"/>
        </w:rPr>
      </w:pPr>
      <w:r w:rsidRPr="002E1864">
        <w:rPr>
          <w:rFonts w:ascii="Palatino Linotype" w:eastAsia="Times New Roman" w:hAnsi="Palatino Linotype" w:cs="Times New Roman"/>
          <w:b/>
          <w:i/>
          <w:sz w:val="24"/>
          <w:szCs w:val="24"/>
        </w:rPr>
        <w:t xml:space="preserve">Atribuciones del Instituto </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b/>
          <w:i/>
          <w:sz w:val="24"/>
          <w:szCs w:val="24"/>
        </w:rPr>
        <w:t>Artículo 82.</w:t>
      </w:r>
      <w:r w:rsidRPr="002E1864">
        <w:rPr>
          <w:rFonts w:ascii="Palatino Linotype" w:eastAsia="Times New Roman" w:hAnsi="Palatino Linotype" w:cs="Times New Roman"/>
          <w:i/>
          <w:sz w:val="24"/>
          <w:szCs w:val="24"/>
        </w:rPr>
        <w:t xml:space="preserve"> El Instituto, además de las atribuciones encomendadas por la Ley de Transparencia y normatividad aplicable, tendrá las atribuciones siguientes:</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cs="Times New Roman"/>
          <w:i/>
          <w:sz w:val="24"/>
          <w:szCs w:val="24"/>
        </w:rPr>
      </w:pPr>
      <w:r w:rsidRPr="002E1864">
        <w:rPr>
          <w:rFonts w:ascii="Palatino Linotype" w:eastAsia="Times New Roman" w:hAnsi="Palatino Linotype" w:cs="Times New Roman"/>
          <w:i/>
          <w:sz w:val="24"/>
          <w:szCs w:val="24"/>
        </w:rPr>
        <w:t>(…)</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b/>
          <w:i/>
          <w:sz w:val="24"/>
          <w:szCs w:val="24"/>
        </w:rPr>
        <w:t>XIV.</w:t>
      </w:r>
      <w:r w:rsidRPr="002E1864">
        <w:rPr>
          <w:rFonts w:ascii="Palatino Linotype" w:eastAsia="Times New Roman" w:hAnsi="Palatino Linotype" w:cs="Times New Roman"/>
          <w:i/>
          <w:sz w:val="24"/>
          <w:szCs w:val="24"/>
        </w:rPr>
        <w:t xml:space="preserve"> </w:t>
      </w:r>
      <w:r w:rsidRPr="002E1864">
        <w:rPr>
          <w:rFonts w:ascii="Palatino Linotype" w:eastAsia="Times New Roman" w:hAnsi="Palatino Linotype" w:cs="Times New Roman"/>
          <w:b/>
          <w:i/>
          <w:sz w:val="24"/>
          <w:szCs w:val="24"/>
        </w:rPr>
        <w:t>Formular observaciones y recomendaciones</w:t>
      </w:r>
      <w:r w:rsidRPr="002E1864">
        <w:rPr>
          <w:rFonts w:ascii="Palatino Linotype" w:eastAsia="Times New Roman" w:hAnsi="Palatino Linotype" w:cs="Times New Roman"/>
          <w:i/>
          <w:sz w:val="24"/>
          <w:szCs w:val="24"/>
        </w:rPr>
        <w:t xml:space="preserve"> a los sujetos obligados que incumplan esta Ley.</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i/>
          <w:sz w:val="24"/>
          <w:szCs w:val="24"/>
        </w:rPr>
        <w:t>(…)</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b/>
          <w:i/>
          <w:sz w:val="24"/>
          <w:szCs w:val="24"/>
        </w:rPr>
        <w:t>XXII.</w:t>
      </w:r>
      <w:r w:rsidRPr="002E1864">
        <w:rPr>
          <w:rFonts w:ascii="Palatino Linotype" w:eastAsia="Times New Roman" w:hAnsi="Palatino Linotype" w:cs="Times New Roman"/>
          <w:i/>
          <w:sz w:val="24"/>
          <w:szCs w:val="24"/>
        </w:rPr>
        <w:t xml:space="preserve"> </w:t>
      </w:r>
      <w:r w:rsidRPr="002E1864">
        <w:rPr>
          <w:rFonts w:ascii="Palatino Linotype" w:eastAsia="Times New Roman" w:hAnsi="Palatino Linotype" w:cs="Times New Roman"/>
          <w:b/>
          <w:i/>
          <w:sz w:val="24"/>
          <w:szCs w:val="24"/>
        </w:rPr>
        <w:t>Verificar el cumplimiento</w:t>
      </w:r>
      <w:r w:rsidRPr="002E1864">
        <w:rPr>
          <w:rFonts w:ascii="Palatino Linotype" w:eastAsia="Times New Roman" w:hAnsi="Palatino Linotype" w:cs="Times New Roman"/>
          <w:i/>
          <w:sz w:val="24"/>
          <w:szCs w:val="24"/>
        </w:rPr>
        <w:t xml:space="preserve"> de las disposiciones previstas en esta Ley a través de los procedimientos de revisión que resulten compatibles con las disposiciones de esta Ley.</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b/>
          <w:i/>
          <w:sz w:val="24"/>
          <w:szCs w:val="24"/>
        </w:rPr>
        <w:t>XXIII.</w:t>
      </w:r>
      <w:r w:rsidRPr="002E1864">
        <w:rPr>
          <w:rFonts w:ascii="Palatino Linotype" w:eastAsia="Times New Roman" w:hAnsi="Palatino Linotype" w:cs="Times New Roman"/>
          <w:i/>
          <w:sz w:val="24"/>
          <w:szCs w:val="24"/>
        </w:rPr>
        <w:t xml:space="preserve"> </w:t>
      </w:r>
      <w:r w:rsidRPr="002E1864">
        <w:rPr>
          <w:rFonts w:ascii="Palatino Linotype" w:eastAsia="Times New Roman" w:hAnsi="Palatino Linotype" w:cs="Times New Roman"/>
          <w:b/>
          <w:i/>
          <w:sz w:val="24"/>
          <w:szCs w:val="24"/>
        </w:rPr>
        <w:t>Implementar</w:t>
      </w:r>
      <w:r w:rsidRPr="002E1864">
        <w:rPr>
          <w:rFonts w:ascii="Palatino Linotype" w:eastAsia="Times New Roman" w:hAnsi="Palatino Linotype" w:cs="Times New Roman"/>
          <w:i/>
          <w:sz w:val="24"/>
          <w:szCs w:val="24"/>
        </w:rPr>
        <w:t xml:space="preserve"> los </w:t>
      </w:r>
      <w:r w:rsidRPr="002E1864">
        <w:rPr>
          <w:rFonts w:ascii="Palatino Linotype" w:eastAsia="Times New Roman" w:hAnsi="Palatino Linotype" w:cs="Times New Roman"/>
          <w:b/>
          <w:i/>
          <w:sz w:val="24"/>
          <w:szCs w:val="24"/>
        </w:rPr>
        <w:t>procedimientos</w:t>
      </w:r>
      <w:r w:rsidRPr="002E1864">
        <w:rPr>
          <w:rFonts w:ascii="Palatino Linotype" w:eastAsia="Times New Roman" w:hAnsi="Palatino Linotype" w:cs="Times New Roman"/>
          <w:i/>
          <w:sz w:val="24"/>
          <w:szCs w:val="24"/>
        </w:rPr>
        <w:t xml:space="preserve"> que resulten necesarios </w:t>
      </w:r>
      <w:r w:rsidRPr="002E1864">
        <w:rPr>
          <w:rFonts w:ascii="Palatino Linotype" w:eastAsia="Times New Roman" w:hAnsi="Palatino Linotype" w:cs="Times New Roman"/>
          <w:b/>
          <w:i/>
          <w:sz w:val="24"/>
          <w:szCs w:val="24"/>
        </w:rPr>
        <w:t xml:space="preserve">para el cumplimiento </w:t>
      </w:r>
      <w:r w:rsidRPr="002E1864">
        <w:rPr>
          <w:rFonts w:ascii="Palatino Linotype" w:eastAsia="Times New Roman" w:hAnsi="Palatino Linotype" w:cs="Times New Roman"/>
          <w:i/>
          <w:sz w:val="24"/>
          <w:szCs w:val="24"/>
        </w:rPr>
        <w:t>de las disposiciones de esta Ley y para asegurar la protección de datos personales de los titulares. (…)</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b/>
          <w:i/>
          <w:sz w:val="24"/>
          <w:szCs w:val="24"/>
        </w:rPr>
        <w:t>XXV.</w:t>
      </w:r>
      <w:r w:rsidRPr="002E1864">
        <w:rPr>
          <w:rFonts w:ascii="Palatino Linotype" w:eastAsia="Times New Roman" w:hAnsi="Palatino Linotype" w:cs="Times New Roman"/>
          <w:i/>
          <w:sz w:val="24"/>
          <w:szCs w:val="24"/>
        </w:rPr>
        <w:t xml:space="preserve"> </w:t>
      </w:r>
      <w:r w:rsidRPr="002E1864">
        <w:rPr>
          <w:rFonts w:ascii="Palatino Linotype" w:eastAsia="Times New Roman" w:hAnsi="Palatino Linotype" w:cs="Times New Roman"/>
          <w:b/>
          <w:i/>
          <w:sz w:val="24"/>
          <w:szCs w:val="24"/>
        </w:rPr>
        <w:t>Investigar</w:t>
      </w:r>
      <w:r w:rsidRPr="002E1864">
        <w:rPr>
          <w:rFonts w:ascii="Palatino Linotype" w:eastAsia="Times New Roman" w:hAnsi="Palatino Linotype" w:cs="Times New Roman"/>
          <w:i/>
          <w:sz w:val="24"/>
          <w:szCs w:val="24"/>
        </w:rPr>
        <w:t xml:space="preserve"> las </w:t>
      </w:r>
      <w:r w:rsidRPr="002E1864">
        <w:rPr>
          <w:rFonts w:ascii="Palatino Linotype" w:eastAsia="Times New Roman" w:hAnsi="Palatino Linotype" w:cs="Times New Roman"/>
          <w:b/>
          <w:i/>
          <w:sz w:val="24"/>
          <w:szCs w:val="24"/>
        </w:rPr>
        <w:t>posibles violaciones</w:t>
      </w:r>
      <w:r w:rsidRPr="002E1864">
        <w:rPr>
          <w:rFonts w:ascii="Palatino Linotype" w:eastAsia="Times New Roman" w:hAnsi="Palatino Linotype" w:cs="Times New Roman"/>
          <w:i/>
          <w:sz w:val="24"/>
          <w:szCs w:val="24"/>
        </w:rPr>
        <w:t xml:space="preserve"> a la seguridad de los datos personales a fin de determinar la práctica de verificaciones.</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Times New Roman" w:hAnsi="Palatino Linotype" w:cs="Times New Roman"/>
          <w:i/>
          <w:sz w:val="24"/>
          <w:szCs w:val="24"/>
        </w:rPr>
      </w:pPr>
      <w:r w:rsidRPr="002E1864">
        <w:rPr>
          <w:rFonts w:ascii="Palatino Linotype" w:eastAsia="Times New Roman" w:hAnsi="Palatino Linotype" w:cs="Times New Roman"/>
          <w:i/>
          <w:sz w:val="24"/>
          <w:szCs w:val="24"/>
        </w:rPr>
        <w:t>(…)”</w:t>
      </w:r>
    </w:p>
    <w:p w:rsidR="007B3E32" w:rsidRPr="002E1864" w:rsidRDefault="007B3E32" w:rsidP="007B3E32">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cs="Times New Roman"/>
          <w:sz w:val="24"/>
          <w:szCs w:val="24"/>
        </w:rPr>
      </w:pPr>
      <w:r w:rsidRPr="002E1864">
        <w:rPr>
          <w:rFonts w:ascii="Palatino Linotype" w:eastAsia="Times New Roman" w:hAnsi="Palatino Linotype" w:cs="Times New Roman"/>
          <w:sz w:val="24"/>
          <w:szCs w:val="24"/>
        </w:rPr>
        <w:t>(Énfasis añadido)</w:t>
      </w:r>
    </w:p>
    <w:p w:rsidR="007B3E32" w:rsidRPr="002E1864" w:rsidRDefault="007B3E32" w:rsidP="007B3E32">
      <w:pPr>
        <w:tabs>
          <w:tab w:val="left" w:pos="426"/>
        </w:tabs>
        <w:spacing w:before="240" w:after="240" w:line="360" w:lineRule="auto"/>
        <w:ind w:right="51"/>
        <w:contextualSpacing/>
        <w:jc w:val="both"/>
        <w:rPr>
          <w:rFonts w:ascii="Palatino Linotype" w:eastAsia="Times New Roman" w:hAnsi="Palatino Linotype" w:cs="Times New Roman"/>
          <w:color w:val="000000"/>
          <w:sz w:val="24"/>
          <w:szCs w:val="24"/>
        </w:rPr>
      </w:pPr>
    </w:p>
    <w:p w:rsidR="007B3E32" w:rsidRPr="002E1864" w:rsidRDefault="007B3E32" w:rsidP="007B3E32">
      <w:pPr>
        <w:numPr>
          <w:ilvl w:val="0"/>
          <w:numId w:val="1"/>
        </w:numPr>
        <w:pBdr>
          <w:top w:val="nil"/>
          <w:left w:val="nil"/>
          <w:bottom w:val="nil"/>
          <w:right w:val="nil"/>
          <w:between w:val="nil"/>
        </w:pBdr>
        <w:spacing w:after="0" w:line="360" w:lineRule="auto"/>
        <w:ind w:left="0" w:firstLine="0"/>
        <w:jc w:val="both"/>
        <w:rPr>
          <w:rFonts w:ascii="Palatino Linotype" w:eastAsia="Times New Roman" w:hAnsi="Palatino Linotype" w:cs="Arial"/>
          <w:sz w:val="24"/>
          <w:szCs w:val="24"/>
        </w:rPr>
      </w:pPr>
      <w:r w:rsidRPr="002E1864">
        <w:rPr>
          <w:rFonts w:ascii="Palatino Linotype" w:eastAsia="MS Mincho" w:hAnsi="Palatino Linotype" w:cs="Times New Roman"/>
          <w:sz w:val="24"/>
          <w:szCs w:val="24"/>
        </w:rPr>
        <w:t xml:space="preserve">Por </w:t>
      </w:r>
      <w:r w:rsidRPr="002E1864">
        <w:rPr>
          <w:rFonts w:ascii="Palatino Linotype" w:hAnsi="Palatino Linotype" w:cs="Arial"/>
          <w:color w:val="000000"/>
          <w:sz w:val="24"/>
          <w:szCs w:val="24"/>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2E1864">
        <w:rPr>
          <w:rFonts w:ascii="Palatino Linotype" w:eastAsia="Times New Roman" w:hAnsi="Palatino Linotype" w:cs="Times New Roman"/>
          <w:sz w:val="24"/>
          <w:szCs w:val="24"/>
        </w:rPr>
        <w:t>Investigar las posibles violaciones a la seguridad de los datos personales a fin de determinar la práctica de verificaciones.</w:t>
      </w:r>
    </w:p>
    <w:p w:rsidR="007B3E32" w:rsidRPr="002E1864" w:rsidRDefault="007B3E32" w:rsidP="007B3E32">
      <w:pPr>
        <w:spacing w:after="0" w:line="360" w:lineRule="auto"/>
        <w:jc w:val="both"/>
        <w:rPr>
          <w:rFonts w:ascii="Palatino Linotype" w:eastAsia="Times New Roman" w:hAnsi="Palatino Linotype" w:cs="Arial"/>
          <w:sz w:val="24"/>
          <w:szCs w:val="24"/>
        </w:rPr>
      </w:pPr>
    </w:p>
    <w:p w:rsidR="007B3E32" w:rsidRPr="002E1864" w:rsidRDefault="007B3E32" w:rsidP="007B3E32">
      <w:pPr>
        <w:numPr>
          <w:ilvl w:val="0"/>
          <w:numId w:val="1"/>
        </w:numPr>
        <w:pBdr>
          <w:top w:val="nil"/>
          <w:left w:val="nil"/>
          <w:bottom w:val="nil"/>
          <w:right w:val="nil"/>
          <w:between w:val="nil"/>
        </w:pBdr>
        <w:spacing w:after="0" w:line="360" w:lineRule="auto"/>
        <w:ind w:left="0" w:firstLine="0"/>
        <w:jc w:val="both"/>
        <w:rPr>
          <w:rFonts w:ascii="Palatino Linotype" w:eastAsia="MS Mincho" w:hAnsi="Palatino Linotype" w:cs="Bookman Old Style"/>
          <w:sz w:val="24"/>
          <w:szCs w:val="24"/>
        </w:rPr>
      </w:pPr>
      <w:r w:rsidRPr="002E1864">
        <w:rPr>
          <w:rFonts w:ascii="Palatino Linotype" w:eastAsia="MS Mincho" w:hAnsi="Palatino Linotype" w:cs="Bookman Old Style"/>
          <w:sz w:val="24"/>
          <w:szCs w:val="24"/>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2E1864">
        <w:rPr>
          <w:rFonts w:ascii="Palatino Linotype" w:eastAsia="MS Mincho" w:hAnsi="Palatino Linotype" w:cs="Bookman Old Style"/>
          <w:b/>
          <w:sz w:val="24"/>
          <w:szCs w:val="24"/>
        </w:rPr>
        <w:t>LEY FEDERAL DE PROTECCIÓN DE DATOS PERSONALES EN POSESIÓN DE LOS PARTICULARES</w:t>
      </w:r>
      <w:r w:rsidRPr="002E1864">
        <w:rPr>
          <w:rFonts w:ascii="Palatino Linotype" w:eastAsia="MS Mincho" w:hAnsi="Palatino Linotype" w:cs="Bookman Old Style"/>
          <w:sz w:val="24"/>
          <w:szCs w:val="24"/>
        </w:rPr>
        <w:t xml:space="preserve"> que señala puntualmente en su artículo 1 lo siguiente:</w:t>
      </w:r>
    </w:p>
    <w:p w:rsidR="007B3E32" w:rsidRPr="002E1864" w:rsidRDefault="007B3E32" w:rsidP="007B3E32">
      <w:pPr>
        <w:spacing w:after="0" w:line="360" w:lineRule="auto"/>
        <w:ind w:left="567" w:right="567"/>
        <w:contextualSpacing/>
        <w:jc w:val="both"/>
        <w:rPr>
          <w:rFonts w:ascii="Palatino Linotype" w:eastAsia="MS Mincho" w:hAnsi="Palatino Linotype" w:cs="Bookman Old Style"/>
          <w:i/>
          <w:sz w:val="24"/>
          <w:szCs w:val="24"/>
        </w:rPr>
      </w:pPr>
      <w:r w:rsidRPr="002E1864">
        <w:rPr>
          <w:rFonts w:ascii="Palatino Linotype" w:eastAsia="Times New Roman" w:hAnsi="Palatino Linotype" w:cs="Times New Roman"/>
          <w:i/>
          <w:sz w:val="24"/>
          <w:szCs w:val="24"/>
        </w:rPr>
        <w:t xml:space="preserve">Artículo 1.- La presente Ley es de orden público y de observancia general en toda la República y </w:t>
      </w:r>
      <w:r w:rsidRPr="002E1864">
        <w:rPr>
          <w:rFonts w:ascii="Palatino Linotype" w:eastAsia="Times New Roman" w:hAnsi="Palatino Linotype" w:cs="Times New Roman"/>
          <w:b/>
          <w:i/>
          <w:sz w:val="24"/>
          <w:szCs w:val="24"/>
        </w:rPr>
        <w:t>tiene por objeto la protección de los datos personales en posesión de los particulares</w:t>
      </w:r>
      <w:r w:rsidRPr="002E1864">
        <w:rPr>
          <w:rFonts w:ascii="Palatino Linotype" w:eastAsia="Times New Roman" w:hAnsi="Palatino Linotype" w:cs="Times New Roman"/>
          <w:i/>
          <w:sz w:val="24"/>
          <w:szCs w:val="24"/>
        </w:rPr>
        <w:t>, con la finalidad de regular su tratamiento legítimo, controlado e informado, a efecto de garantizar la privacidad y el derecho a la autodeterminación informativa de las personas.</w:t>
      </w:r>
    </w:p>
    <w:p w:rsidR="007B3E32" w:rsidRPr="002E1864" w:rsidRDefault="007B3E32" w:rsidP="007B3E32">
      <w:pPr>
        <w:spacing w:after="0" w:line="360" w:lineRule="auto"/>
        <w:ind w:left="708" w:right="49" w:hanging="708"/>
        <w:jc w:val="both"/>
        <w:rPr>
          <w:rFonts w:ascii="Palatino Linotype" w:eastAsia="MS Mincho" w:hAnsi="Palatino Linotype" w:cs="Bookman Old Style"/>
          <w:sz w:val="24"/>
          <w:szCs w:val="24"/>
        </w:rPr>
      </w:pPr>
    </w:p>
    <w:p w:rsidR="007B3E32" w:rsidRPr="002E1864" w:rsidRDefault="007B3E32" w:rsidP="0071136F">
      <w:pPr>
        <w:numPr>
          <w:ilvl w:val="0"/>
          <w:numId w:val="1"/>
        </w:numPr>
        <w:pBdr>
          <w:top w:val="nil"/>
          <w:left w:val="nil"/>
          <w:bottom w:val="nil"/>
          <w:right w:val="nil"/>
          <w:between w:val="nil"/>
        </w:pBdr>
        <w:spacing w:after="0" w:line="360" w:lineRule="auto"/>
        <w:ind w:left="0" w:firstLine="0"/>
        <w:jc w:val="both"/>
        <w:rPr>
          <w:rFonts w:ascii="Palatino Linotype" w:eastAsia="MS Mincho" w:hAnsi="Palatino Linotype" w:cs="Bookman Old Style"/>
          <w:sz w:val="24"/>
          <w:szCs w:val="24"/>
        </w:rPr>
      </w:pPr>
      <w:r w:rsidRPr="002E1864">
        <w:rPr>
          <w:rFonts w:ascii="Palatino Linotype" w:eastAsia="MS Mincho" w:hAnsi="Palatino Linotype" w:cs="Bookman Old Style"/>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rsidR="007B3E32" w:rsidRPr="002E1864" w:rsidRDefault="007B3E32" w:rsidP="007B3E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83B74" w:rsidRPr="002E1864" w:rsidRDefault="00883B74" w:rsidP="004F4C0C">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2E1864">
        <w:rPr>
          <w:rFonts w:ascii="Palatino Linotype" w:hAnsi="Palatino Linotype"/>
          <w:color w:val="000000"/>
          <w:sz w:val="24"/>
          <w:szCs w:val="24"/>
          <w:lang w:eastAsia="en-US"/>
        </w:rPr>
        <w:t xml:space="preserve">Es así, que en conjunto de las constancias se colige que el presente recurso que debe sobreseerse el presente recurso en virtud de que, si bien es cierto, </w:t>
      </w:r>
      <w:r w:rsidRPr="002E1864">
        <w:rPr>
          <w:rFonts w:ascii="Palatino Linotype" w:hAnsi="Palatino Linotype" w:cs="Arial"/>
          <w:sz w:val="24"/>
          <w:szCs w:val="24"/>
        </w:rPr>
        <w:t xml:space="preserve">la </w:t>
      </w:r>
      <w:r w:rsidRPr="002E1864">
        <w:rPr>
          <w:rFonts w:ascii="Palatino Linotype" w:hAnsi="Palatino Linotype" w:cs="Arial"/>
          <w:b/>
          <w:sz w:val="24"/>
          <w:szCs w:val="24"/>
        </w:rPr>
        <w:t>Ley de Transparencia y Acceso a la Información Pública del Estado de México y Municipios</w:t>
      </w:r>
      <w:r w:rsidRPr="002E1864">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w:t>
      </w:r>
      <w:r w:rsidRPr="002E1864">
        <w:rPr>
          <w:rFonts w:ascii="Palatino Linotype" w:hAnsi="Palatino Linotype" w:cs="Arial"/>
          <w:sz w:val="24"/>
          <w:szCs w:val="24"/>
        </w:rPr>
        <w:lastRenderedPageBreak/>
        <w:t>apegarse en todo momento a los criterios de publicidad, veracidad, oportunidad entre otros, numeral en comento que a la letra señala;</w:t>
      </w:r>
    </w:p>
    <w:p w:rsidR="00883B74" w:rsidRPr="002E1864" w:rsidRDefault="00883B74" w:rsidP="00883B74">
      <w:pPr>
        <w:pStyle w:val="Prrafodelista"/>
        <w:spacing w:line="360" w:lineRule="auto"/>
        <w:ind w:left="644" w:right="902"/>
        <w:jc w:val="both"/>
        <w:rPr>
          <w:rFonts w:ascii="Palatino Linotype" w:hAnsi="Palatino Linotype" w:cs="Arial"/>
          <w:b/>
          <w:i/>
        </w:rPr>
      </w:pPr>
      <w:r w:rsidRPr="002E186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E186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883B74" w:rsidRPr="002E1864" w:rsidRDefault="00883B74" w:rsidP="00883B74">
      <w:pPr>
        <w:spacing w:line="360" w:lineRule="auto"/>
        <w:ind w:right="902"/>
        <w:jc w:val="both"/>
        <w:rPr>
          <w:rFonts w:ascii="Palatino Linotype" w:hAnsi="Palatino Linotype" w:cs="Arial"/>
          <w:b/>
          <w:i/>
          <w:sz w:val="24"/>
          <w:szCs w:val="24"/>
        </w:rPr>
      </w:pPr>
    </w:p>
    <w:p w:rsidR="00883B74" w:rsidRPr="002E1864" w:rsidRDefault="00883B74" w:rsidP="004F4C0C">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noProof/>
          <w:sz w:val="24"/>
          <w:szCs w:val="24"/>
        </w:rPr>
      </w:pPr>
      <w:r w:rsidRPr="002E1864">
        <w:rPr>
          <w:rFonts w:ascii="Palatino Linotype" w:eastAsia="Palatino Linotype" w:hAnsi="Palatino Linotype" w:cs="Palatino Linotype"/>
          <w:sz w:val="24"/>
          <w:szCs w:val="24"/>
        </w:rPr>
        <w:t>Numerales</w:t>
      </w:r>
      <w:r w:rsidRPr="002E1864">
        <w:rPr>
          <w:rFonts w:ascii="Palatino Linotype" w:hAnsi="Palatino Linotype" w:cs="Arial"/>
          <w:noProof/>
          <w:sz w:val="24"/>
          <w:szCs w:val="24"/>
        </w:rPr>
        <w:t xml:space="preserve"> que compelen al </w:t>
      </w:r>
      <w:r w:rsidRPr="002E1864">
        <w:rPr>
          <w:rFonts w:ascii="Palatino Linotype" w:hAnsi="Palatino Linotype" w:cs="Arial"/>
          <w:b/>
          <w:noProof/>
          <w:sz w:val="24"/>
          <w:szCs w:val="24"/>
        </w:rPr>
        <w:t>SUJETO OBLIGADO</w:t>
      </w:r>
      <w:r w:rsidRPr="002E1864">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2E1864">
        <w:rPr>
          <w:rFonts w:ascii="Palatino Linotype" w:eastAsia="MS Gothic" w:hAnsi="Palatino Linotype" w:cstheme="majorBidi"/>
          <w:sz w:val="24"/>
          <w:szCs w:val="24"/>
        </w:rPr>
        <w:t xml:space="preserve">. </w:t>
      </w:r>
    </w:p>
    <w:p w:rsidR="0071136F" w:rsidRPr="002E1864" w:rsidRDefault="0071136F" w:rsidP="0071136F">
      <w:pPr>
        <w:pBdr>
          <w:top w:val="nil"/>
          <w:left w:val="nil"/>
          <w:bottom w:val="nil"/>
          <w:right w:val="nil"/>
          <w:between w:val="nil"/>
        </w:pBdr>
        <w:spacing w:after="0" w:line="360" w:lineRule="auto"/>
        <w:jc w:val="both"/>
        <w:rPr>
          <w:rFonts w:ascii="Palatino Linotype" w:hAnsi="Palatino Linotype" w:cs="Arial"/>
          <w:noProof/>
          <w:sz w:val="24"/>
          <w:szCs w:val="24"/>
        </w:rPr>
      </w:pPr>
    </w:p>
    <w:p w:rsidR="0071136F" w:rsidRDefault="0071136F" w:rsidP="0071136F">
      <w:pPr>
        <w:numPr>
          <w:ilvl w:val="0"/>
          <w:numId w:val="1"/>
        </w:numPr>
        <w:pBdr>
          <w:top w:val="nil"/>
          <w:left w:val="nil"/>
          <w:bottom w:val="nil"/>
          <w:right w:val="nil"/>
          <w:between w:val="nil"/>
        </w:pBdr>
        <w:spacing w:after="0" w:line="360" w:lineRule="auto"/>
        <w:ind w:left="0" w:firstLine="0"/>
        <w:jc w:val="both"/>
        <w:rPr>
          <w:rFonts w:ascii="Palatino Linotype" w:hAnsi="Palatino Linotype" w:cs="Arial"/>
          <w:noProof/>
          <w:sz w:val="24"/>
          <w:szCs w:val="24"/>
        </w:rPr>
      </w:pPr>
      <w:r w:rsidRPr="002E1864">
        <w:rPr>
          <w:rFonts w:ascii="Palatino Linotype" w:hAnsi="Palatino Linotype" w:cs="Arial"/>
          <w:noProof/>
          <w:sz w:val="24"/>
          <w:szCs w:val="24"/>
        </w:rPr>
        <w:t>Por las precisiciones relaizadas con antelación, este Organo Resolutor emite los siguientes:</w:t>
      </w:r>
      <w:r w:rsidR="006B5FE7">
        <w:rPr>
          <w:rFonts w:ascii="Palatino Linotype" w:hAnsi="Palatino Linotype" w:cs="Arial"/>
          <w:noProof/>
          <w:sz w:val="24"/>
          <w:szCs w:val="24"/>
        </w:rPr>
        <w:t xml:space="preserve"> --------------------------------------------------------------------------------------------------------</w:t>
      </w:r>
    </w:p>
    <w:p w:rsidR="006B5FE7" w:rsidRDefault="006B5FE7" w:rsidP="006B5FE7">
      <w:pPr>
        <w:pStyle w:val="Prrafodelista"/>
        <w:rPr>
          <w:rFonts w:ascii="Palatino Linotype" w:hAnsi="Palatino Linotype" w:cs="Arial"/>
          <w:noProof/>
        </w:rPr>
      </w:pPr>
    </w:p>
    <w:p w:rsidR="006B5FE7" w:rsidRDefault="006B5FE7" w:rsidP="006B5FE7">
      <w:pPr>
        <w:pBdr>
          <w:top w:val="nil"/>
          <w:left w:val="nil"/>
          <w:bottom w:val="nil"/>
          <w:right w:val="nil"/>
          <w:between w:val="nil"/>
        </w:pBdr>
        <w:spacing w:after="0" w:line="360" w:lineRule="auto"/>
        <w:jc w:val="both"/>
        <w:rPr>
          <w:rFonts w:ascii="Palatino Linotype" w:hAnsi="Palatino Linotype" w:cs="Arial"/>
          <w:noProof/>
          <w:sz w:val="24"/>
          <w:szCs w:val="24"/>
        </w:rPr>
      </w:pPr>
    </w:p>
    <w:p w:rsidR="006B5FE7" w:rsidRDefault="006B5FE7" w:rsidP="006B5FE7">
      <w:pPr>
        <w:pBdr>
          <w:top w:val="nil"/>
          <w:left w:val="nil"/>
          <w:bottom w:val="nil"/>
          <w:right w:val="nil"/>
          <w:between w:val="nil"/>
        </w:pBdr>
        <w:spacing w:after="0" w:line="360" w:lineRule="auto"/>
        <w:jc w:val="both"/>
        <w:rPr>
          <w:rFonts w:ascii="Palatino Linotype" w:hAnsi="Palatino Linotype" w:cs="Arial"/>
          <w:noProof/>
          <w:sz w:val="24"/>
          <w:szCs w:val="24"/>
        </w:rPr>
      </w:pPr>
    </w:p>
    <w:p w:rsidR="006B5FE7" w:rsidRPr="002E1864" w:rsidRDefault="006B5FE7" w:rsidP="006B5FE7">
      <w:pPr>
        <w:pBdr>
          <w:top w:val="nil"/>
          <w:left w:val="nil"/>
          <w:bottom w:val="nil"/>
          <w:right w:val="nil"/>
          <w:between w:val="nil"/>
        </w:pBdr>
        <w:spacing w:after="0" w:line="360" w:lineRule="auto"/>
        <w:jc w:val="both"/>
        <w:rPr>
          <w:rFonts w:ascii="Palatino Linotype" w:hAnsi="Palatino Linotype" w:cs="Arial"/>
          <w:noProof/>
          <w:sz w:val="24"/>
          <w:szCs w:val="24"/>
        </w:rPr>
      </w:pPr>
    </w:p>
    <w:p w:rsidR="00883B74" w:rsidRPr="002E1864" w:rsidRDefault="00883B74" w:rsidP="00883B74">
      <w:pPr>
        <w:spacing w:line="360" w:lineRule="auto"/>
        <w:jc w:val="center"/>
        <w:rPr>
          <w:rFonts w:ascii="Palatino Linotype" w:hAnsi="Palatino Linotype" w:cs="Tahoma"/>
          <w:b/>
          <w:bCs/>
          <w:sz w:val="24"/>
          <w:szCs w:val="24"/>
          <w:lang w:val="pt-BR" w:eastAsia="en-US"/>
        </w:rPr>
      </w:pPr>
      <w:r w:rsidRPr="002E1864">
        <w:rPr>
          <w:rFonts w:ascii="Palatino Linotype" w:hAnsi="Palatino Linotype" w:cs="Tahoma"/>
          <w:b/>
          <w:bCs/>
          <w:color w:val="000000"/>
          <w:sz w:val="24"/>
          <w:szCs w:val="24"/>
          <w:lang w:val="pt-BR" w:eastAsia="en-US"/>
        </w:rPr>
        <w:lastRenderedPageBreak/>
        <w:t xml:space="preserve">R E S O L U T I V OS </w:t>
      </w:r>
    </w:p>
    <w:p w:rsidR="00883B74" w:rsidRPr="002E1864" w:rsidRDefault="00883B74" w:rsidP="00883B74">
      <w:pPr>
        <w:spacing w:line="360" w:lineRule="auto"/>
        <w:jc w:val="both"/>
        <w:rPr>
          <w:rFonts w:ascii="Palatino Linotype" w:hAnsi="Palatino Linotype" w:cs="Arial"/>
          <w:color w:val="000000"/>
          <w:sz w:val="24"/>
          <w:szCs w:val="24"/>
        </w:rPr>
      </w:pPr>
      <w:r w:rsidRPr="002E1864">
        <w:rPr>
          <w:rFonts w:ascii="Palatino Linotype" w:hAnsi="Palatino Linotype" w:cs="Tahoma"/>
          <w:b/>
          <w:bCs/>
          <w:color w:val="000000"/>
          <w:sz w:val="24"/>
          <w:szCs w:val="24"/>
          <w:lang w:val="pt-BR" w:eastAsia="en-US"/>
        </w:rPr>
        <w:t xml:space="preserve">PRIMERO. </w:t>
      </w:r>
      <w:r w:rsidRPr="002E1864">
        <w:rPr>
          <w:rFonts w:ascii="Palatino Linotype" w:hAnsi="Palatino Linotype" w:cs="Tahoma"/>
          <w:bCs/>
          <w:sz w:val="24"/>
          <w:szCs w:val="24"/>
          <w:lang w:val="es-ES"/>
        </w:rPr>
        <w:t xml:space="preserve">Se </w:t>
      </w:r>
      <w:r w:rsidRPr="002E1864">
        <w:rPr>
          <w:rFonts w:ascii="Palatino Linotype" w:hAnsi="Palatino Linotype" w:cs="Tahoma"/>
          <w:b/>
          <w:bCs/>
          <w:sz w:val="24"/>
          <w:szCs w:val="24"/>
          <w:lang w:val="es-ES"/>
        </w:rPr>
        <w:t>SOBRESEE</w:t>
      </w:r>
      <w:r w:rsidRPr="002E1864">
        <w:rPr>
          <w:rFonts w:ascii="Palatino Linotype" w:hAnsi="Palatino Linotype" w:cs="Tahoma"/>
          <w:bCs/>
          <w:sz w:val="24"/>
          <w:szCs w:val="24"/>
          <w:lang w:val="es-ES"/>
        </w:rPr>
        <w:t xml:space="preserve"> </w:t>
      </w:r>
      <w:r w:rsidRPr="002E1864">
        <w:rPr>
          <w:rFonts w:ascii="Palatino Linotype" w:hAnsi="Palatino Linotype" w:cs="Tahoma"/>
          <w:sz w:val="24"/>
          <w:szCs w:val="24"/>
          <w:lang w:val="es-ES"/>
        </w:rPr>
        <w:t xml:space="preserve">el Recurso de Revisión número </w:t>
      </w:r>
      <w:r w:rsidR="0071136F" w:rsidRPr="002E1864">
        <w:rPr>
          <w:rFonts w:ascii="Palatino Linotype" w:hAnsi="Palatino Linotype"/>
          <w:b/>
          <w:bCs/>
          <w:color w:val="000000"/>
          <w:sz w:val="24"/>
          <w:szCs w:val="24"/>
          <w:lang w:eastAsia="en-US"/>
        </w:rPr>
        <w:t>08763/INFOEM/IP/RR/2025</w:t>
      </w:r>
      <w:r w:rsidRPr="002E1864">
        <w:rPr>
          <w:rFonts w:ascii="Palatino Linotype" w:hAnsi="Palatino Linotype" w:cs="Tahoma"/>
          <w:sz w:val="24"/>
          <w:szCs w:val="24"/>
          <w:lang w:val="es-ES"/>
        </w:rPr>
        <w:t xml:space="preserve">, porque durante la sustanciación del medio de impugnación, quedó sin materia, </w:t>
      </w:r>
      <w:r w:rsidRPr="002E1864">
        <w:rPr>
          <w:rFonts w:ascii="Palatino Linotype" w:hAnsi="Palatino Linotype" w:cs="Tahoma"/>
          <w:bCs/>
          <w:sz w:val="24"/>
          <w:szCs w:val="24"/>
          <w:lang w:val="es-ES"/>
        </w:rPr>
        <w:t xml:space="preserve">en términos del artículo 192, fracción V, de la Ley de Transparencia y Acceso a la Información Pública del Estado de México y Municipios, </w:t>
      </w:r>
      <w:r w:rsidRPr="002E1864">
        <w:rPr>
          <w:rFonts w:ascii="Palatino Linotype" w:hAnsi="Palatino Linotype" w:cs="Tahoma"/>
          <w:sz w:val="24"/>
          <w:szCs w:val="24"/>
          <w:lang w:val="es-ES"/>
        </w:rPr>
        <w:t xml:space="preserve">de conformidad con los Considerando </w:t>
      </w:r>
      <w:r w:rsidRPr="002E1864">
        <w:rPr>
          <w:rFonts w:ascii="Palatino Linotype" w:hAnsi="Palatino Linotype" w:cs="Tahoma"/>
          <w:b/>
          <w:sz w:val="24"/>
          <w:szCs w:val="24"/>
          <w:lang w:val="es-ES"/>
        </w:rPr>
        <w:t>TERCERO</w:t>
      </w:r>
      <w:r w:rsidRPr="002E1864">
        <w:rPr>
          <w:rFonts w:ascii="Palatino Linotype" w:hAnsi="Palatino Linotype" w:cs="Tahoma"/>
          <w:sz w:val="24"/>
          <w:szCs w:val="24"/>
          <w:lang w:val="es-ES"/>
        </w:rPr>
        <w:t xml:space="preserve"> de la presente Resolución.</w:t>
      </w:r>
    </w:p>
    <w:p w:rsidR="00883B74" w:rsidRPr="002E1864" w:rsidRDefault="00883B74" w:rsidP="00883B74">
      <w:pPr>
        <w:spacing w:line="360" w:lineRule="auto"/>
        <w:jc w:val="both"/>
        <w:rPr>
          <w:rFonts w:ascii="Palatino Linotype" w:hAnsi="Palatino Linotype"/>
          <w:color w:val="000000"/>
          <w:sz w:val="24"/>
          <w:szCs w:val="24"/>
          <w:lang w:eastAsia="en-US"/>
        </w:rPr>
      </w:pPr>
    </w:p>
    <w:p w:rsidR="00883B74" w:rsidRPr="002E1864" w:rsidRDefault="00883B74" w:rsidP="00883B74">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lang w:val="es-ES_tradnl"/>
        </w:rPr>
      </w:pPr>
      <w:r w:rsidRPr="002E1864">
        <w:rPr>
          <w:rFonts w:ascii="Palatino Linotype" w:eastAsia="Palatino Linotype" w:hAnsi="Palatino Linotype" w:cs="Palatino Linotype"/>
          <w:b/>
          <w:color w:val="000000"/>
          <w:sz w:val="24"/>
          <w:szCs w:val="24"/>
          <w:lang w:val="es-ES_tradnl"/>
        </w:rPr>
        <w:t xml:space="preserve">SEGUNDO. Notifíquese </w:t>
      </w:r>
      <w:r w:rsidRPr="002E1864">
        <w:rPr>
          <w:rFonts w:ascii="Palatino Linotype" w:eastAsia="Palatino Linotype" w:hAnsi="Palatino Linotype" w:cs="Palatino Linotype"/>
          <w:color w:val="000000"/>
          <w:sz w:val="24"/>
          <w:szCs w:val="24"/>
          <w:lang w:val="es-ES_tradnl"/>
        </w:rPr>
        <w:t xml:space="preserve">a través del Sistema de Acceso a la Información Mexiquense </w:t>
      </w:r>
      <w:r w:rsidRPr="002E1864">
        <w:rPr>
          <w:rFonts w:ascii="Palatino Linotype" w:eastAsia="Palatino Linotype" w:hAnsi="Palatino Linotype" w:cs="Palatino Linotype"/>
          <w:b/>
          <w:color w:val="000000"/>
          <w:sz w:val="24"/>
          <w:szCs w:val="24"/>
          <w:lang w:val="es-ES_tradnl"/>
        </w:rPr>
        <w:t xml:space="preserve">(SAIMEX) </w:t>
      </w:r>
      <w:r w:rsidRPr="002E1864">
        <w:rPr>
          <w:rFonts w:ascii="Palatino Linotype" w:eastAsia="Palatino Linotype" w:hAnsi="Palatino Linotype" w:cs="Palatino Linotype"/>
          <w:color w:val="000000"/>
          <w:sz w:val="24"/>
          <w:szCs w:val="24"/>
          <w:lang w:val="es-ES_tradnl"/>
        </w:rPr>
        <w:t>la presente resolución al Titular de la Unidad de Transparencia del</w:t>
      </w:r>
      <w:r w:rsidRPr="002E1864">
        <w:rPr>
          <w:rFonts w:ascii="Palatino Linotype" w:eastAsia="Palatino Linotype" w:hAnsi="Palatino Linotype" w:cs="Palatino Linotype"/>
          <w:b/>
          <w:color w:val="000000"/>
          <w:sz w:val="24"/>
          <w:szCs w:val="24"/>
          <w:lang w:val="es-ES_tradnl"/>
        </w:rPr>
        <w:t xml:space="preserve"> SUJETO OBLIGADO. </w:t>
      </w:r>
    </w:p>
    <w:p w:rsidR="00883B74" w:rsidRPr="002E1864" w:rsidRDefault="00883B74" w:rsidP="00883B74">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lang w:val="es-ES_tradnl"/>
        </w:rPr>
      </w:pPr>
    </w:p>
    <w:p w:rsidR="00883B74" w:rsidRPr="002E1864" w:rsidRDefault="00883B74" w:rsidP="00883B7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lang w:val="es-ES_tradnl"/>
        </w:rPr>
      </w:pPr>
      <w:r w:rsidRPr="002E1864">
        <w:rPr>
          <w:rFonts w:ascii="Palatino Linotype" w:eastAsia="Palatino Linotype" w:hAnsi="Palatino Linotype" w:cs="Palatino Linotype"/>
          <w:b/>
          <w:color w:val="000000"/>
          <w:sz w:val="24"/>
          <w:szCs w:val="24"/>
          <w:lang w:val="es-ES_tradnl"/>
        </w:rPr>
        <w:t xml:space="preserve">TERCERO. Notifíquese </w:t>
      </w:r>
      <w:r w:rsidRPr="002E1864">
        <w:rPr>
          <w:rFonts w:ascii="Palatino Linotype" w:eastAsia="Palatino Linotype" w:hAnsi="Palatino Linotype" w:cs="Palatino Linotype"/>
          <w:color w:val="000000"/>
          <w:sz w:val="24"/>
          <w:szCs w:val="24"/>
          <w:lang w:val="es-ES_tradnl"/>
        </w:rPr>
        <w:t xml:space="preserve">al </w:t>
      </w:r>
      <w:r w:rsidRPr="002E1864">
        <w:rPr>
          <w:rFonts w:ascii="Palatino Linotype" w:eastAsia="Palatino Linotype" w:hAnsi="Palatino Linotype" w:cs="Palatino Linotype"/>
          <w:b/>
          <w:color w:val="000000"/>
          <w:sz w:val="24"/>
          <w:szCs w:val="24"/>
          <w:lang w:val="es-ES_tradnl"/>
        </w:rPr>
        <w:t xml:space="preserve">RECURRENTE </w:t>
      </w:r>
      <w:r w:rsidRPr="002E1864">
        <w:rPr>
          <w:rFonts w:ascii="Palatino Linotype" w:eastAsia="Palatino Linotype" w:hAnsi="Palatino Linotype" w:cs="Palatino Linotype"/>
          <w:color w:val="000000"/>
          <w:sz w:val="24"/>
          <w:szCs w:val="24"/>
          <w:lang w:val="es-ES_tradnl"/>
        </w:rPr>
        <w:t>la presente resolución, vía SAIMEX.</w:t>
      </w:r>
    </w:p>
    <w:p w:rsidR="00883B74" w:rsidRPr="002E1864" w:rsidRDefault="00883B74" w:rsidP="00883B74">
      <w:pPr>
        <w:tabs>
          <w:tab w:val="left" w:pos="8080"/>
        </w:tabs>
        <w:spacing w:line="360" w:lineRule="auto"/>
        <w:ind w:right="49"/>
        <w:jc w:val="both"/>
        <w:rPr>
          <w:rFonts w:ascii="Palatino Linotype" w:eastAsia="Palatino Linotype" w:hAnsi="Palatino Linotype" w:cs="Palatino Linotype"/>
          <w:b/>
          <w:sz w:val="24"/>
          <w:szCs w:val="24"/>
          <w:lang w:val="es-ES_tradnl"/>
        </w:rPr>
      </w:pPr>
    </w:p>
    <w:p w:rsidR="00883B74" w:rsidRPr="002E1864" w:rsidRDefault="00883B74" w:rsidP="00883B74">
      <w:pPr>
        <w:shd w:val="clear" w:color="auto" w:fill="FFFFFF"/>
        <w:spacing w:line="360" w:lineRule="auto"/>
        <w:jc w:val="both"/>
        <w:rPr>
          <w:rFonts w:ascii="Palatino Linotype" w:eastAsia="Palatino Linotype" w:hAnsi="Palatino Linotype" w:cs="Palatino Linotype"/>
          <w:sz w:val="24"/>
          <w:szCs w:val="24"/>
          <w:lang w:val="es-ES_tradnl"/>
        </w:rPr>
      </w:pPr>
      <w:r w:rsidRPr="002E1864">
        <w:rPr>
          <w:rFonts w:ascii="Palatino Linotype" w:eastAsia="Palatino Linotype" w:hAnsi="Palatino Linotype" w:cs="Palatino Linotype"/>
          <w:b/>
          <w:sz w:val="24"/>
          <w:szCs w:val="24"/>
          <w:lang w:val="es-ES_tradnl"/>
        </w:rPr>
        <w:t>CUARTO.</w:t>
      </w:r>
      <w:r w:rsidRPr="002E1864">
        <w:rPr>
          <w:rFonts w:ascii="Palatino Linotype" w:eastAsia="Palatino Linotype" w:hAnsi="Palatino Linotype" w:cs="Palatino Linotype"/>
          <w:sz w:val="24"/>
          <w:szCs w:val="24"/>
          <w:lang w:val="es-ES_tradnl"/>
        </w:rPr>
        <w:t xml:space="preserve"> Se hace del conocimiento del </w:t>
      </w:r>
      <w:r w:rsidRPr="002E1864">
        <w:rPr>
          <w:rFonts w:ascii="Palatino Linotype" w:eastAsia="Palatino Linotype" w:hAnsi="Palatino Linotype" w:cs="Palatino Linotype"/>
          <w:b/>
          <w:sz w:val="24"/>
          <w:szCs w:val="24"/>
          <w:lang w:val="es-ES_tradnl"/>
        </w:rPr>
        <w:t xml:space="preserve">RECURRENTE </w:t>
      </w:r>
      <w:r w:rsidRPr="002E1864">
        <w:rPr>
          <w:rFonts w:ascii="Palatino Linotype" w:eastAsia="Palatino Linotype" w:hAnsi="Palatino Linotype" w:cs="Palatino Linotype"/>
          <w:sz w:val="24"/>
          <w:szCs w:val="24"/>
          <w:lang w:val="es-ES_tradnl"/>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83B74" w:rsidRPr="002E1864" w:rsidRDefault="00883B74" w:rsidP="00883B74">
      <w:pPr>
        <w:shd w:val="clear" w:color="auto" w:fill="FFFFFF"/>
        <w:spacing w:line="360" w:lineRule="auto"/>
        <w:jc w:val="both"/>
        <w:rPr>
          <w:rFonts w:ascii="Palatino Linotype" w:eastAsia="Palatino Linotype" w:hAnsi="Palatino Linotype" w:cs="Palatino Linotype"/>
          <w:sz w:val="24"/>
          <w:szCs w:val="24"/>
          <w:lang w:val="es-ES_tradnl"/>
        </w:rPr>
      </w:pPr>
    </w:p>
    <w:p w:rsidR="00883B74" w:rsidRPr="002E1864" w:rsidRDefault="00883B74" w:rsidP="00883B74">
      <w:pPr>
        <w:shd w:val="clear" w:color="auto" w:fill="FFFFFF"/>
        <w:spacing w:line="360" w:lineRule="auto"/>
        <w:jc w:val="both"/>
        <w:rPr>
          <w:rFonts w:ascii="Palatino Linotype" w:eastAsia="Palatino Linotype" w:hAnsi="Palatino Linotype" w:cs="Palatino Linotype"/>
          <w:sz w:val="24"/>
          <w:szCs w:val="24"/>
        </w:rPr>
      </w:pPr>
      <w:r w:rsidRPr="002E1864">
        <w:rPr>
          <w:rFonts w:ascii="Palatino Linotype" w:eastAsia="Palatino Linotype" w:hAnsi="Palatino Linotype" w:cs="Palatino Linotype"/>
          <w:b/>
          <w:sz w:val="24"/>
          <w:szCs w:val="24"/>
        </w:rPr>
        <w:t>QUINTO</w:t>
      </w:r>
      <w:r w:rsidRPr="002E1864">
        <w:rPr>
          <w:rFonts w:ascii="Palatino Linotype" w:eastAsia="Palatino Linotype" w:hAnsi="Palatino Linotype" w:cs="Palatino Linotype"/>
          <w:sz w:val="24"/>
          <w:szCs w:val="24"/>
        </w:rPr>
        <w:t xml:space="preserve">. Con fundamento en lo dispuesto en los artículos 14, fracción XXVI y 24, fracciones XI, XII y XIII del Reglamento Interior del Instituto de Transparencia, Acceso a </w:t>
      </w:r>
      <w:r w:rsidRPr="002E1864">
        <w:rPr>
          <w:rFonts w:ascii="Palatino Linotype" w:eastAsia="Palatino Linotype" w:hAnsi="Palatino Linotype" w:cs="Palatino Linotype"/>
          <w:sz w:val="24"/>
          <w:szCs w:val="24"/>
        </w:rPr>
        <w:lastRenderedPageBreak/>
        <w:t>la Información Pública y Protección de Datos Personales del Estado de México y Municipios, gírese oficio a la Dirección General de Protección de Datos Personales de este Instituto, en términos de lo di</w:t>
      </w:r>
      <w:r w:rsidR="0071136F" w:rsidRPr="002E1864">
        <w:rPr>
          <w:rFonts w:ascii="Palatino Linotype" w:eastAsia="Palatino Linotype" w:hAnsi="Palatino Linotype" w:cs="Palatino Linotype"/>
          <w:sz w:val="24"/>
          <w:szCs w:val="24"/>
        </w:rPr>
        <w:t>spuesto en el Considerando QUINT</w:t>
      </w:r>
      <w:r w:rsidRPr="002E1864">
        <w:rPr>
          <w:rFonts w:ascii="Palatino Linotype" w:eastAsia="Palatino Linotype" w:hAnsi="Palatino Linotype" w:cs="Palatino Linotype"/>
          <w:sz w:val="24"/>
          <w:szCs w:val="24"/>
        </w:rPr>
        <w:t>O de la presente Resolución.</w:t>
      </w:r>
    </w:p>
    <w:p w:rsidR="0071136F" w:rsidRPr="002E1864" w:rsidRDefault="0071136F" w:rsidP="00883B74">
      <w:pPr>
        <w:shd w:val="clear" w:color="auto" w:fill="FFFFFF"/>
        <w:spacing w:line="360" w:lineRule="auto"/>
        <w:jc w:val="both"/>
        <w:rPr>
          <w:rFonts w:ascii="Palatino Linotype" w:eastAsia="Palatino Linotype" w:hAnsi="Palatino Linotype" w:cs="Palatino Linotype"/>
          <w:sz w:val="24"/>
          <w:szCs w:val="24"/>
        </w:rPr>
      </w:pPr>
    </w:p>
    <w:p w:rsidR="00E94C0D" w:rsidRPr="00D40612" w:rsidRDefault="00E94C0D" w:rsidP="00E94C0D">
      <w:pPr>
        <w:spacing w:before="240" w:after="240" w:line="360" w:lineRule="auto"/>
        <w:ind w:firstLine="1"/>
        <w:jc w:val="both"/>
        <w:rPr>
          <w:rFonts w:ascii="Palatino Linotype" w:hAnsi="Palatino Linotype"/>
          <w:sz w:val="24"/>
          <w:szCs w:val="24"/>
        </w:rPr>
      </w:pPr>
      <w:bookmarkStart w:id="8" w:name="_Hlk99014733"/>
      <w:r w:rsidRPr="00D40612">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40612" w:rsidRPr="00D40612">
        <w:rPr>
          <w:rFonts w:ascii="Palatino Linotype" w:hAnsi="Palatino Linotype" w:cs="Palatino Linotype"/>
          <w:sz w:val="24"/>
          <w:szCs w:val="24"/>
        </w:rPr>
        <w:t xml:space="preserve">EMITIENDO VOTO PARTICULAR CONCURRENTE </w:t>
      </w:r>
      <w:r w:rsidRPr="00D40612">
        <w:rPr>
          <w:rFonts w:ascii="Palatino Linotype" w:hAnsi="Palatino Linotype" w:cs="Palatino Linotype"/>
          <w:sz w:val="24"/>
          <w:szCs w:val="24"/>
        </w:rPr>
        <w:t>Y GUADALUPE RAMÍREZ PEÑA</w:t>
      </w:r>
      <w:r w:rsidR="00D40612" w:rsidRPr="00D40612">
        <w:rPr>
          <w:rFonts w:ascii="Palatino Linotype" w:hAnsi="Palatino Linotype" w:cs="Palatino Linotype"/>
          <w:sz w:val="24"/>
          <w:szCs w:val="24"/>
        </w:rPr>
        <w:t xml:space="preserve"> EMITIENDO VOTO PARTICULAR CONCURRENTE</w:t>
      </w:r>
      <w:r w:rsidRPr="00D40612">
        <w:rPr>
          <w:rFonts w:ascii="Palatino Linotype" w:hAnsi="Palatino Linotype" w:cs="Palatino Linotype"/>
          <w:sz w:val="24"/>
          <w:szCs w:val="24"/>
        </w:rPr>
        <w:t xml:space="preserve">; EN LA CUARTA SESIÓN ORDINARIA, CELEBRADA EL CINCO (05) DE FEBRERO DE DOS MIL VEINTISÉIS, ANTE EL SECRETARIO TÉCNICO DEL PLENO </w:t>
      </w:r>
      <w:r w:rsidRPr="00D40612">
        <w:rPr>
          <w:rFonts w:ascii="Palatino Linotype" w:hAnsi="Palatino Linotype" w:cs="Palatino Linotype"/>
          <w:color w:val="000000" w:themeColor="text1"/>
          <w:sz w:val="24"/>
          <w:szCs w:val="24"/>
        </w:rPr>
        <w:t>ALEXIS TAPIA RAMÍREZ.</w:t>
      </w:r>
    </w:p>
    <w:bookmarkEnd w:id="8"/>
    <w:p w:rsidR="00883B74" w:rsidRPr="0071136F" w:rsidRDefault="00883B74" w:rsidP="00883B74">
      <w:pPr>
        <w:spacing w:line="360" w:lineRule="auto"/>
        <w:ind w:right="-93"/>
        <w:jc w:val="both"/>
        <w:rPr>
          <w:rFonts w:ascii="Palatino Linotype" w:hAnsi="Palatino Linotype" w:cs="Tahoma"/>
          <w:bCs/>
          <w:sz w:val="24"/>
          <w:szCs w:val="24"/>
          <w:lang w:val="es-ES_tradnl" w:eastAsia="en-US"/>
        </w:rPr>
      </w:pPr>
    </w:p>
    <w:p w:rsidR="00883B74" w:rsidRPr="0071136F" w:rsidRDefault="00883B74" w:rsidP="00883B74">
      <w:pPr>
        <w:spacing w:line="360" w:lineRule="auto"/>
        <w:ind w:right="-93"/>
        <w:jc w:val="both"/>
        <w:rPr>
          <w:rFonts w:ascii="Palatino Linotype" w:hAnsi="Palatino Linotype" w:cs="Tahoma"/>
          <w:bCs/>
          <w:sz w:val="24"/>
          <w:szCs w:val="24"/>
          <w:lang w:val="es-ES_tradnl" w:eastAsia="en-US"/>
        </w:rPr>
      </w:pPr>
    </w:p>
    <w:p w:rsidR="00883B74" w:rsidRPr="0071136F" w:rsidRDefault="00883B74" w:rsidP="00883B74">
      <w:pPr>
        <w:spacing w:line="360" w:lineRule="auto"/>
        <w:ind w:right="-93"/>
        <w:jc w:val="both"/>
        <w:rPr>
          <w:rFonts w:ascii="Palatino Linotype" w:hAnsi="Palatino Linotype" w:cs="Tahoma"/>
          <w:bCs/>
          <w:sz w:val="24"/>
          <w:szCs w:val="24"/>
          <w:lang w:val="es-ES_tradnl"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tabs>
          <w:tab w:val="center" w:pos="4568"/>
        </w:tabs>
        <w:spacing w:line="360" w:lineRule="auto"/>
        <w:ind w:right="-93"/>
        <w:jc w:val="both"/>
        <w:rPr>
          <w:rFonts w:ascii="Palatino Linotype" w:hAnsi="Palatino Linotype" w:cs="Tahoma"/>
          <w:bCs/>
          <w:sz w:val="24"/>
          <w:szCs w:val="24"/>
          <w:lang w:eastAsia="en-US"/>
        </w:rPr>
      </w:pPr>
    </w:p>
    <w:p w:rsidR="00883B74" w:rsidRPr="0071136F" w:rsidRDefault="00883B74" w:rsidP="00883B74">
      <w:pPr>
        <w:rPr>
          <w:rFonts w:ascii="Palatino Linotype" w:hAnsi="Palatino Linotype"/>
          <w:sz w:val="24"/>
          <w:szCs w:val="24"/>
        </w:rPr>
      </w:pPr>
    </w:p>
    <w:p w:rsidR="00002E56" w:rsidRPr="0071136F" w:rsidRDefault="00002E56">
      <w:pPr>
        <w:rPr>
          <w:rFonts w:ascii="Palatino Linotype" w:hAnsi="Palatino Linotype"/>
          <w:sz w:val="24"/>
          <w:szCs w:val="24"/>
        </w:rPr>
      </w:pPr>
    </w:p>
    <w:sectPr w:rsidR="00002E56" w:rsidRPr="0071136F" w:rsidSect="00905DCA">
      <w:headerReference w:type="even" r:id="rId12"/>
      <w:headerReference w:type="default" r:id="rId13"/>
      <w:footerReference w:type="default" r:id="rId14"/>
      <w:headerReference w:type="first" r:id="rId15"/>
      <w:footerReference w:type="first" r:id="rId16"/>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DB" w:rsidRDefault="00FF7ADB" w:rsidP="00254C18">
      <w:pPr>
        <w:spacing w:after="0" w:line="240" w:lineRule="auto"/>
      </w:pPr>
      <w:r>
        <w:separator/>
      </w:r>
    </w:p>
  </w:endnote>
  <w:endnote w:type="continuationSeparator" w:id="0">
    <w:p w:rsidR="00FF7ADB" w:rsidRDefault="00FF7ADB" w:rsidP="0025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32" w:rsidRPr="00905DCA" w:rsidRDefault="007B3E3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05DCA">
      <w:rPr>
        <w:rFonts w:ascii="Palatino Linotype" w:eastAsia="Palatino Linotype" w:hAnsi="Palatino Linotype" w:cs="Palatino Linotype"/>
        <w:b/>
        <w:color w:val="000000"/>
        <w:szCs w:val="20"/>
      </w:rPr>
      <w:t xml:space="preserve">Página </w:t>
    </w:r>
    <w:r w:rsidRPr="00905DCA">
      <w:rPr>
        <w:rFonts w:ascii="Palatino Linotype" w:eastAsia="Palatino Linotype" w:hAnsi="Palatino Linotype" w:cs="Palatino Linotype"/>
        <w:b/>
        <w:color w:val="000000"/>
        <w:szCs w:val="20"/>
      </w:rPr>
      <w:fldChar w:fldCharType="begin"/>
    </w:r>
    <w:r w:rsidRPr="00905DCA">
      <w:rPr>
        <w:rFonts w:ascii="Palatino Linotype" w:eastAsia="Palatino Linotype" w:hAnsi="Palatino Linotype" w:cs="Palatino Linotype"/>
        <w:b/>
        <w:color w:val="000000"/>
        <w:szCs w:val="20"/>
      </w:rPr>
      <w:instrText>PAGE</w:instrText>
    </w:r>
    <w:r w:rsidRPr="00905DCA">
      <w:rPr>
        <w:rFonts w:ascii="Palatino Linotype" w:eastAsia="Palatino Linotype" w:hAnsi="Palatino Linotype" w:cs="Palatino Linotype"/>
        <w:b/>
        <w:color w:val="000000"/>
        <w:szCs w:val="20"/>
      </w:rPr>
      <w:fldChar w:fldCharType="separate"/>
    </w:r>
    <w:r w:rsidR="00701D2E">
      <w:rPr>
        <w:rFonts w:ascii="Palatino Linotype" w:eastAsia="Palatino Linotype" w:hAnsi="Palatino Linotype" w:cs="Palatino Linotype"/>
        <w:b/>
        <w:noProof/>
        <w:color w:val="000000"/>
        <w:szCs w:val="20"/>
      </w:rPr>
      <w:t>4</w:t>
    </w:r>
    <w:r w:rsidRPr="00905DCA">
      <w:rPr>
        <w:rFonts w:ascii="Palatino Linotype" w:eastAsia="Palatino Linotype" w:hAnsi="Palatino Linotype" w:cs="Palatino Linotype"/>
        <w:b/>
        <w:color w:val="000000"/>
        <w:szCs w:val="20"/>
      </w:rPr>
      <w:fldChar w:fldCharType="end"/>
    </w:r>
    <w:r w:rsidRPr="00905DCA">
      <w:rPr>
        <w:rFonts w:ascii="Palatino Linotype" w:eastAsia="Palatino Linotype" w:hAnsi="Palatino Linotype" w:cs="Palatino Linotype"/>
        <w:b/>
        <w:color w:val="000000"/>
        <w:szCs w:val="20"/>
      </w:rPr>
      <w:t xml:space="preserve"> de </w:t>
    </w:r>
    <w:r w:rsidRPr="00905DCA">
      <w:rPr>
        <w:rFonts w:ascii="Palatino Linotype" w:eastAsia="Palatino Linotype" w:hAnsi="Palatino Linotype" w:cs="Palatino Linotype"/>
        <w:b/>
        <w:color w:val="000000"/>
        <w:szCs w:val="20"/>
      </w:rPr>
      <w:fldChar w:fldCharType="begin"/>
    </w:r>
    <w:r w:rsidRPr="00905DCA">
      <w:rPr>
        <w:rFonts w:ascii="Palatino Linotype" w:eastAsia="Palatino Linotype" w:hAnsi="Palatino Linotype" w:cs="Palatino Linotype"/>
        <w:b/>
        <w:color w:val="000000"/>
        <w:szCs w:val="20"/>
      </w:rPr>
      <w:instrText>NUMPAGES</w:instrText>
    </w:r>
    <w:r w:rsidRPr="00905DCA">
      <w:rPr>
        <w:rFonts w:ascii="Palatino Linotype" w:eastAsia="Palatino Linotype" w:hAnsi="Palatino Linotype" w:cs="Palatino Linotype"/>
        <w:b/>
        <w:color w:val="000000"/>
        <w:szCs w:val="20"/>
      </w:rPr>
      <w:fldChar w:fldCharType="separate"/>
    </w:r>
    <w:r w:rsidR="00701D2E">
      <w:rPr>
        <w:rFonts w:ascii="Palatino Linotype" w:eastAsia="Palatino Linotype" w:hAnsi="Palatino Linotype" w:cs="Palatino Linotype"/>
        <w:b/>
        <w:noProof/>
        <w:color w:val="000000"/>
        <w:szCs w:val="20"/>
      </w:rPr>
      <w:t>30</w:t>
    </w:r>
    <w:r w:rsidRPr="00905DCA">
      <w:rPr>
        <w:rFonts w:ascii="Palatino Linotype" w:eastAsia="Palatino Linotype" w:hAnsi="Palatino Linotype" w:cs="Palatino Linotype"/>
        <w:b/>
        <w:color w:val="000000"/>
        <w:szCs w:val="20"/>
      </w:rPr>
      <w:fldChar w:fldCharType="end"/>
    </w:r>
  </w:p>
  <w:p w:rsidR="007B3E32" w:rsidRDefault="007B3E32">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32" w:rsidRPr="00905DCA" w:rsidRDefault="007B3E3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05DCA">
      <w:rPr>
        <w:rFonts w:ascii="Palatino Linotype" w:eastAsia="Palatino Linotype" w:hAnsi="Palatino Linotype" w:cs="Palatino Linotype"/>
        <w:b/>
        <w:color w:val="000000"/>
        <w:szCs w:val="20"/>
      </w:rPr>
      <w:t xml:space="preserve">Página </w:t>
    </w:r>
    <w:r w:rsidRPr="00905DCA">
      <w:rPr>
        <w:rFonts w:ascii="Palatino Linotype" w:eastAsia="Palatino Linotype" w:hAnsi="Palatino Linotype" w:cs="Palatino Linotype"/>
        <w:b/>
        <w:color w:val="000000"/>
        <w:szCs w:val="20"/>
      </w:rPr>
      <w:fldChar w:fldCharType="begin"/>
    </w:r>
    <w:r w:rsidRPr="00905DCA">
      <w:rPr>
        <w:rFonts w:ascii="Palatino Linotype" w:eastAsia="Palatino Linotype" w:hAnsi="Palatino Linotype" w:cs="Palatino Linotype"/>
        <w:b/>
        <w:color w:val="000000"/>
        <w:szCs w:val="20"/>
      </w:rPr>
      <w:instrText>PAGE</w:instrText>
    </w:r>
    <w:r w:rsidRPr="00905DCA">
      <w:rPr>
        <w:rFonts w:ascii="Palatino Linotype" w:eastAsia="Palatino Linotype" w:hAnsi="Palatino Linotype" w:cs="Palatino Linotype"/>
        <w:b/>
        <w:color w:val="000000"/>
        <w:szCs w:val="20"/>
      </w:rPr>
      <w:fldChar w:fldCharType="separate"/>
    </w:r>
    <w:r w:rsidR="00F2262C">
      <w:rPr>
        <w:rFonts w:ascii="Palatino Linotype" w:eastAsia="Palatino Linotype" w:hAnsi="Palatino Linotype" w:cs="Palatino Linotype"/>
        <w:b/>
        <w:noProof/>
        <w:color w:val="000000"/>
        <w:szCs w:val="20"/>
      </w:rPr>
      <w:t>1</w:t>
    </w:r>
    <w:r w:rsidRPr="00905DCA">
      <w:rPr>
        <w:rFonts w:ascii="Palatino Linotype" w:eastAsia="Palatino Linotype" w:hAnsi="Palatino Linotype" w:cs="Palatino Linotype"/>
        <w:b/>
        <w:color w:val="000000"/>
        <w:szCs w:val="20"/>
      </w:rPr>
      <w:fldChar w:fldCharType="end"/>
    </w:r>
    <w:r w:rsidRPr="00905DCA">
      <w:rPr>
        <w:rFonts w:ascii="Palatino Linotype" w:eastAsia="Palatino Linotype" w:hAnsi="Palatino Linotype" w:cs="Palatino Linotype"/>
        <w:b/>
        <w:color w:val="000000"/>
        <w:szCs w:val="20"/>
      </w:rPr>
      <w:t xml:space="preserve"> de </w:t>
    </w:r>
    <w:r w:rsidRPr="00905DCA">
      <w:rPr>
        <w:rFonts w:ascii="Palatino Linotype" w:eastAsia="Palatino Linotype" w:hAnsi="Palatino Linotype" w:cs="Palatino Linotype"/>
        <w:b/>
        <w:color w:val="000000"/>
        <w:szCs w:val="20"/>
      </w:rPr>
      <w:fldChar w:fldCharType="begin"/>
    </w:r>
    <w:r w:rsidRPr="00905DCA">
      <w:rPr>
        <w:rFonts w:ascii="Palatino Linotype" w:eastAsia="Palatino Linotype" w:hAnsi="Palatino Linotype" w:cs="Palatino Linotype"/>
        <w:b/>
        <w:color w:val="000000"/>
        <w:szCs w:val="20"/>
      </w:rPr>
      <w:instrText>NUMPAGES</w:instrText>
    </w:r>
    <w:r w:rsidRPr="00905DCA">
      <w:rPr>
        <w:rFonts w:ascii="Palatino Linotype" w:eastAsia="Palatino Linotype" w:hAnsi="Palatino Linotype" w:cs="Palatino Linotype"/>
        <w:b/>
        <w:color w:val="000000"/>
        <w:szCs w:val="20"/>
      </w:rPr>
      <w:fldChar w:fldCharType="separate"/>
    </w:r>
    <w:r w:rsidR="00F2262C">
      <w:rPr>
        <w:rFonts w:ascii="Palatino Linotype" w:eastAsia="Palatino Linotype" w:hAnsi="Palatino Linotype" w:cs="Palatino Linotype"/>
        <w:b/>
        <w:noProof/>
        <w:color w:val="000000"/>
        <w:szCs w:val="20"/>
      </w:rPr>
      <w:t>30</w:t>
    </w:r>
    <w:r w:rsidRPr="00905DCA">
      <w:rPr>
        <w:rFonts w:ascii="Palatino Linotype" w:eastAsia="Palatino Linotype" w:hAnsi="Palatino Linotype" w:cs="Palatino Linotype"/>
        <w:b/>
        <w:color w:val="000000"/>
        <w:szCs w:val="20"/>
      </w:rPr>
      <w:fldChar w:fldCharType="end"/>
    </w:r>
  </w:p>
  <w:p w:rsidR="007B3E32" w:rsidRDefault="007B3E32">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DB" w:rsidRDefault="00FF7ADB" w:rsidP="00254C18">
      <w:pPr>
        <w:spacing w:after="0" w:line="240" w:lineRule="auto"/>
      </w:pPr>
      <w:r>
        <w:separator/>
      </w:r>
    </w:p>
  </w:footnote>
  <w:footnote w:type="continuationSeparator" w:id="0">
    <w:p w:rsidR="00FF7ADB" w:rsidRDefault="00FF7ADB" w:rsidP="00254C18">
      <w:pPr>
        <w:spacing w:after="0" w:line="240" w:lineRule="auto"/>
      </w:pPr>
      <w:r>
        <w:continuationSeparator/>
      </w:r>
    </w:p>
  </w:footnote>
  <w:footnote w:id="1">
    <w:p w:rsidR="007B3E32" w:rsidRDefault="007B3E32" w:rsidP="004F4C0C">
      <w:pPr>
        <w:pBdr>
          <w:top w:val="nil"/>
          <w:left w:val="nil"/>
          <w:bottom w:val="nil"/>
          <w:right w:val="nil"/>
          <w:between w:val="nil"/>
        </w:pBdr>
        <w:rPr>
          <w:color w:val="000000"/>
        </w:rPr>
      </w:pPr>
      <w:r>
        <w:rPr>
          <w:vertAlign w:val="superscript"/>
        </w:rPr>
        <w:footnoteRef/>
      </w:r>
      <w:r>
        <w:rPr>
          <w:color w:val="000000"/>
        </w:rPr>
        <w:t xml:space="preserve"> Artículo 150. Ley de Transparencia y Acceso a la Información Pública del Estado de México y Municipios.</w:t>
      </w:r>
    </w:p>
    <w:p w:rsidR="007B3E32" w:rsidRDefault="007B3E32" w:rsidP="004F4C0C">
      <w:pPr>
        <w:pBdr>
          <w:top w:val="nil"/>
          <w:left w:val="nil"/>
          <w:bottom w:val="nil"/>
          <w:right w:val="nil"/>
          <w:between w:val="nil"/>
        </w:pBdr>
        <w:rPr>
          <w:color w:val="000000"/>
        </w:rPr>
      </w:pPr>
      <w:r>
        <w:rPr>
          <w:color w:val="000000"/>
        </w:rPr>
        <w:t>Artículo 151. Ibídem.</w:t>
      </w:r>
    </w:p>
  </w:footnote>
  <w:footnote w:id="2">
    <w:p w:rsidR="007B3E32" w:rsidRDefault="007B3E32" w:rsidP="004F4C0C">
      <w:pPr>
        <w:pBdr>
          <w:top w:val="nil"/>
          <w:left w:val="nil"/>
          <w:bottom w:val="nil"/>
          <w:right w:val="nil"/>
          <w:between w:val="nil"/>
        </w:pBdr>
        <w:rPr>
          <w:color w:val="000000"/>
        </w:rPr>
      </w:pPr>
      <w:r>
        <w:rPr>
          <w:vertAlign w:val="superscript"/>
        </w:rPr>
        <w:footnoteRef/>
      </w:r>
      <w:r>
        <w:rPr>
          <w:color w:val="00000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32" w:rsidRDefault="00FF7ADB">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3261" w:type="dxa"/>
      <w:tblLayout w:type="fixed"/>
      <w:tblLook w:val="0400" w:firstRow="0" w:lastRow="0" w:firstColumn="0" w:lastColumn="0" w:noHBand="0" w:noVBand="1"/>
    </w:tblPr>
    <w:tblGrid>
      <w:gridCol w:w="2976"/>
      <w:gridCol w:w="3686"/>
    </w:tblGrid>
    <w:tr w:rsidR="007B3E32" w:rsidTr="00905DCA">
      <w:trPr>
        <w:trHeight w:val="227"/>
      </w:trPr>
      <w:tc>
        <w:tcPr>
          <w:tcW w:w="2976" w:type="dxa"/>
          <w:vAlign w:val="center"/>
        </w:tcPr>
        <w:p w:rsidR="007B3E32" w:rsidRPr="00905DCA" w:rsidRDefault="007B3E32">
          <w:pPr>
            <w:spacing w:after="0"/>
            <w:ind w:right="34"/>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Recurso de Revisión:</w:t>
          </w:r>
        </w:p>
      </w:tc>
      <w:tc>
        <w:tcPr>
          <w:tcW w:w="3686" w:type="dxa"/>
          <w:vAlign w:val="center"/>
        </w:tcPr>
        <w:p w:rsidR="007B3E32" w:rsidRPr="00905DCA" w:rsidRDefault="007B3E32" w:rsidP="00905DCA">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rPr>
          </w:pPr>
          <w:r w:rsidRPr="00905DCA">
            <w:rPr>
              <w:rFonts w:ascii="Palatino Linotype" w:eastAsia="Palatino Linotype" w:hAnsi="Palatino Linotype" w:cs="Palatino Linotype"/>
              <w:bCs/>
              <w:color w:val="000000"/>
              <w:sz w:val="24"/>
            </w:rPr>
            <w:t>08763/INFOEM/IP/RR/2025</w:t>
          </w:r>
        </w:p>
      </w:tc>
    </w:tr>
    <w:tr w:rsidR="007B3E32" w:rsidTr="00905DCA">
      <w:trPr>
        <w:trHeight w:val="242"/>
      </w:trPr>
      <w:tc>
        <w:tcPr>
          <w:tcW w:w="2976" w:type="dxa"/>
          <w:vAlign w:val="center"/>
        </w:tcPr>
        <w:p w:rsidR="007B3E32" w:rsidRPr="00905DCA" w:rsidRDefault="007B3E32">
          <w:pPr>
            <w:spacing w:after="0"/>
            <w:ind w:right="34"/>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Sujeto Obligado:</w:t>
          </w:r>
        </w:p>
      </w:tc>
      <w:tc>
        <w:tcPr>
          <w:tcW w:w="3686" w:type="dxa"/>
          <w:vAlign w:val="center"/>
        </w:tcPr>
        <w:p w:rsidR="007B3E32" w:rsidRPr="00905DCA" w:rsidRDefault="007B3E32" w:rsidP="00905DCA">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rPr>
          </w:pPr>
          <w:r w:rsidRPr="00905DCA">
            <w:rPr>
              <w:rFonts w:ascii="Palatino Linotype" w:eastAsia="Palatino Linotype" w:hAnsi="Palatino Linotype" w:cs="Palatino Linotype"/>
              <w:color w:val="000000"/>
              <w:sz w:val="24"/>
            </w:rPr>
            <w:t>Ayuntamiento de Villa Victoria</w:t>
          </w:r>
        </w:p>
      </w:tc>
    </w:tr>
    <w:tr w:rsidR="007B3E32" w:rsidTr="00905DCA">
      <w:trPr>
        <w:trHeight w:val="342"/>
      </w:trPr>
      <w:tc>
        <w:tcPr>
          <w:tcW w:w="2976" w:type="dxa"/>
          <w:vAlign w:val="center"/>
        </w:tcPr>
        <w:p w:rsidR="007B3E32" w:rsidRPr="00905DCA" w:rsidRDefault="007B3E32">
          <w:pPr>
            <w:spacing w:after="0"/>
            <w:ind w:right="34"/>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Comisionada Ponente:</w:t>
          </w:r>
        </w:p>
      </w:tc>
      <w:tc>
        <w:tcPr>
          <w:tcW w:w="3686" w:type="dxa"/>
          <w:vAlign w:val="center"/>
        </w:tcPr>
        <w:p w:rsidR="007B3E32" w:rsidRPr="00905DCA" w:rsidRDefault="007B3E32" w:rsidP="00905DCA">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rPr>
          </w:pPr>
          <w:r w:rsidRPr="00905DCA">
            <w:rPr>
              <w:rFonts w:ascii="Palatino Linotype" w:eastAsia="Palatino Linotype" w:hAnsi="Palatino Linotype" w:cs="Palatino Linotype"/>
              <w:color w:val="000000"/>
              <w:sz w:val="24"/>
            </w:rPr>
            <w:t>María del Rosario Mejía Ayala</w:t>
          </w:r>
        </w:p>
      </w:tc>
    </w:tr>
  </w:tbl>
  <w:p w:rsidR="007B3E32" w:rsidRDefault="00FF7ADB">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78.2pt;margin-top:-128.45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7B3E32" w:rsidTr="00905DCA">
      <w:trPr>
        <w:trHeight w:val="227"/>
      </w:trPr>
      <w:tc>
        <w:tcPr>
          <w:tcW w:w="2977" w:type="dxa"/>
          <w:vAlign w:val="center"/>
        </w:tcPr>
        <w:p w:rsidR="007B3E32" w:rsidRPr="00905DCA" w:rsidRDefault="007B3E32">
          <w:pPr>
            <w:spacing w:after="0" w:line="240" w:lineRule="auto"/>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Recurso de Revisión:</w:t>
          </w:r>
        </w:p>
      </w:tc>
      <w:tc>
        <w:tcPr>
          <w:tcW w:w="3683" w:type="dxa"/>
          <w:vAlign w:val="center"/>
        </w:tcPr>
        <w:p w:rsidR="007B3E32" w:rsidRPr="00905DCA" w:rsidRDefault="007B3E32">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905DCA">
            <w:rPr>
              <w:rFonts w:ascii="Palatino Linotype" w:eastAsia="Palatino Linotype" w:hAnsi="Palatino Linotype" w:cs="Palatino Linotype"/>
              <w:bCs/>
              <w:color w:val="000000"/>
              <w:sz w:val="24"/>
            </w:rPr>
            <w:t> 08763/INFOEM/IP/RR/2025</w:t>
          </w:r>
        </w:p>
      </w:tc>
    </w:tr>
    <w:tr w:rsidR="007B3E32" w:rsidTr="00905DCA">
      <w:trPr>
        <w:trHeight w:val="242"/>
      </w:trPr>
      <w:tc>
        <w:tcPr>
          <w:tcW w:w="2977" w:type="dxa"/>
          <w:vAlign w:val="center"/>
        </w:tcPr>
        <w:p w:rsidR="007B3E32" w:rsidRPr="00905DCA" w:rsidRDefault="007B3E32">
          <w:pPr>
            <w:spacing w:after="0" w:line="240" w:lineRule="auto"/>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Recurrente:</w:t>
          </w:r>
        </w:p>
      </w:tc>
      <w:tc>
        <w:tcPr>
          <w:tcW w:w="3683" w:type="dxa"/>
        </w:tcPr>
        <w:p w:rsidR="007B3E32" w:rsidRPr="00905DCA" w:rsidRDefault="00F2262C">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7B3E32" w:rsidTr="00905DCA">
      <w:trPr>
        <w:trHeight w:val="342"/>
      </w:trPr>
      <w:tc>
        <w:tcPr>
          <w:tcW w:w="2977" w:type="dxa"/>
          <w:vAlign w:val="center"/>
        </w:tcPr>
        <w:p w:rsidR="007B3E32" w:rsidRPr="00905DCA" w:rsidRDefault="007B3E32">
          <w:pPr>
            <w:spacing w:after="0" w:line="240" w:lineRule="auto"/>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Sujeto Obligado:</w:t>
          </w:r>
        </w:p>
      </w:tc>
      <w:tc>
        <w:tcPr>
          <w:tcW w:w="3683" w:type="dxa"/>
          <w:vAlign w:val="center"/>
        </w:tcPr>
        <w:p w:rsidR="007B3E32" w:rsidRPr="00905DCA" w:rsidRDefault="007B3E32" w:rsidP="00002E56">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rPr>
          </w:pPr>
          <w:r w:rsidRPr="00905DCA">
            <w:rPr>
              <w:rFonts w:ascii="Palatino Linotype" w:eastAsia="Palatino Linotype" w:hAnsi="Palatino Linotype" w:cs="Palatino Linotype"/>
              <w:color w:val="000000"/>
              <w:sz w:val="24"/>
            </w:rPr>
            <w:t>Ayuntamiento de Villa Victoria</w:t>
          </w:r>
        </w:p>
      </w:tc>
    </w:tr>
    <w:tr w:rsidR="007B3E32" w:rsidTr="00905DCA">
      <w:trPr>
        <w:trHeight w:val="342"/>
      </w:trPr>
      <w:tc>
        <w:tcPr>
          <w:tcW w:w="2977" w:type="dxa"/>
          <w:vAlign w:val="center"/>
        </w:tcPr>
        <w:p w:rsidR="007B3E32" w:rsidRPr="00905DCA" w:rsidRDefault="007B3E32">
          <w:pPr>
            <w:spacing w:after="0" w:line="240" w:lineRule="auto"/>
            <w:jc w:val="right"/>
            <w:rPr>
              <w:rFonts w:ascii="Palatino Linotype" w:eastAsia="Palatino Linotype" w:hAnsi="Palatino Linotype" w:cs="Palatino Linotype"/>
              <w:b/>
              <w:sz w:val="24"/>
            </w:rPr>
          </w:pPr>
          <w:r w:rsidRPr="00905DCA">
            <w:rPr>
              <w:rFonts w:ascii="Palatino Linotype" w:eastAsia="Palatino Linotype" w:hAnsi="Palatino Linotype" w:cs="Palatino Linotype"/>
              <w:b/>
              <w:sz w:val="24"/>
            </w:rPr>
            <w:t>Comisionada Ponente:</w:t>
          </w:r>
        </w:p>
      </w:tc>
      <w:tc>
        <w:tcPr>
          <w:tcW w:w="3683" w:type="dxa"/>
          <w:vAlign w:val="center"/>
        </w:tcPr>
        <w:p w:rsidR="007B3E32" w:rsidRPr="00905DCA" w:rsidRDefault="007B3E32">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905DCA">
            <w:rPr>
              <w:rFonts w:ascii="Palatino Linotype" w:eastAsia="Palatino Linotype" w:hAnsi="Palatino Linotype" w:cs="Palatino Linotype"/>
              <w:color w:val="000000"/>
              <w:sz w:val="24"/>
            </w:rPr>
            <w:t>María del Rosario Mejía Ayala</w:t>
          </w:r>
        </w:p>
      </w:tc>
    </w:tr>
  </w:tbl>
  <w:p w:rsidR="007B3E32" w:rsidRDefault="00FF7ADB">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24.7pt;width:609.4pt;height:793.75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320"/>
    <w:multiLevelType w:val="hybridMultilevel"/>
    <w:tmpl w:val="3E6C3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D66CD"/>
    <w:multiLevelType w:val="multilevel"/>
    <w:tmpl w:val="2B248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C3005"/>
    <w:multiLevelType w:val="hybridMultilevel"/>
    <w:tmpl w:val="3AEA93DC"/>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3"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3B6C55"/>
    <w:multiLevelType w:val="hybridMultilevel"/>
    <w:tmpl w:val="F8E075E0"/>
    <w:lvl w:ilvl="0" w:tplc="B82E3330">
      <w:start w:val="1"/>
      <w:numFmt w:val="decimal"/>
      <w:lvlText w:val="%1."/>
      <w:lvlJc w:val="left"/>
      <w:pPr>
        <w:ind w:left="502" w:hanging="360"/>
      </w:pPr>
      <w:rPr>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186900"/>
    <w:multiLevelType w:val="hybridMultilevel"/>
    <w:tmpl w:val="BF12B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5E2C48"/>
    <w:multiLevelType w:val="hybridMultilevel"/>
    <w:tmpl w:val="861C82E0"/>
    <w:lvl w:ilvl="0" w:tplc="080A0013">
      <w:start w:val="1"/>
      <w:numFmt w:val="upperRoman"/>
      <w:lvlText w:val="%1."/>
      <w:lvlJc w:val="right"/>
      <w:pPr>
        <w:ind w:left="720" w:hanging="360"/>
      </w:pPr>
      <w:rPr>
        <w:b/>
      </w:rPr>
    </w:lvl>
    <w:lvl w:ilvl="1" w:tplc="0C0A0003">
      <w:numFmt w:val="decimal"/>
      <w:lvlText w:val="o"/>
      <w:lvlJc w:val="left"/>
      <w:pPr>
        <w:ind w:left="1440" w:hanging="360"/>
      </w:pPr>
      <w:rPr>
        <w:rFonts w:ascii="Courier New" w:hAnsi="Courier New" w:cs="Courier New" w:hint="default"/>
      </w:rPr>
    </w:lvl>
    <w:lvl w:ilvl="2" w:tplc="0C0A0005">
      <w:numFmt w:val="decimal"/>
      <w:lvlText w:val=""/>
      <w:lvlJc w:val="left"/>
      <w:pPr>
        <w:ind w:left="2160" w:hanging="360"/>
      </w:pPr>
      <w:rPr>
        <w:rFonts w:ascii="Wingdings" w:hAnsi="Wingdings" w:hint="default"/>
      </w:rPr>
    </w:lvl>
    <w:lvl w:ilvl="3" w:tplc="0C0A0001">
      <w:numFmt w:val="decimal"/>
      <w:lvlText w:val=""/>
      <w:lvlJc w:val="left"/>
      <w:pPr>
        <w:ind w:left="2880" w:hanging="360"/>
      </w:pPr>
      <w:rPr>
        <w:rFonts w:ascii="Symbol" w:hAnsi="Symbol" w:hint="default"/>
      </w:rPr>
    </w:lvl>
    <w:lvl w:ilvl="4" w:tplc="0C0A0003">
      <w:numFmt w:val="decimal"/>
      <w:lvlText w:val="o"/>
      <w:lvlJc w:val="left"/>
      <w:pPr>
        <w:ind w:left="3600" w:hanging="360"/>
      </w:pPr>
      <w:rPr>
        <w:rFonts w:ascii="Courier New" w:hAnsi="Courier New" w:cs="Courier New" w:hint="default"/>
      </w:rPr>
    </w:lvl>
    <w:lvl w:ilvl="5" w:tplc="0C0A0005">
      <w:numFmt w:val="decimal"/>
      <w:lvlText w:val=""/>
      <w:lvlJc w:val="left"/>
      <w:pPr>
        <w:ind w:left="4320" w:hanging="360"/>
      </w:pPr>
      <w:rPr>
        <w:rFonts w:ascii="Wingdings" w:hAnsi="Wingdings" w:hint="default"/>
      </w:rPr>
    </w:lvl>
    <w:lvl w:ilvl="6" w:tplc="0C0A0001">
      <w:numFmt w:val="decimal"/>
      <w:lvlText w:val=""/>
      <w:lvlJc w:val="left"/>
      <w:pPr>
        <w:ind w:left="5040" w:hanging="360"/>
      </w:pPr>
      <w:rPr>
        <w:rFonts w:ascii="Symbol" w:hAnsi="Symbol" w:hint="default"/>
      </w:rPr>
    </w:lvl>
    <w:lvl w:ilvl="7" w:tplc="0C0A0003">
      <w:numFmt w:val="decimal"/>
      <w:lvlText w:val="o"/>
      <w:lvlJc w:val="left"/>
      <w:pPr>
        <w:ind w:left="5760" w:hanging="360"/>
      </w:pPr>
      <w:rPr>
        <w:rFonts w:ascii="Courier New" w:hAnsi="Courier New" w:cs="Courier New" w:hint="default"/>
      </w:rPr>
    </w:lvl>
    <w:lvl w:ilvl="8" w:tplc="0C0A0005">
      <w:numFmt w:val="decimal"/>
      <w:lvlText w:val=""/>
      <w:lvlJc w:val="left"/>
      <w:pPr>
        <w:ind w:left="6480" w:hanging="360"/>
      </w:pPr>
      <w:rPr>
        <w:rFonts w:ascii="Wingdings" w:hAnsi="Wingdings" w:hint="default"/>
      </w:rPr>
    </w:lvl>
  </w:abstractNum>
  <w:abstractNum w:abstractNumId="9" w15:restartNumberingAfterBreak="0">
    <w:nsid w:val="1B7F0AD7"/>
    <w:multiLevelType w:val="hybridMultilevel"/>
    <w:tmpl w:val="F82E82EE"/>
    <w:lvl w:ilvl="0" w:tplc="DE6A4C1E">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715C26"/>
    <w:multiLevelType w:val="multilevel"/>
    <w:tmpl w:val="D66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0C2E"/>
    <w:multiLevelType w:val="multilevel"/>
    <w:tmpl w:val="D57C9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D47505"/>
    <w:multiLevelType w:val="multilevel"/>
    <w:tmpl w:val="301E38E4"/>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670D3"/>
    <w:multiLevelType w:val="multilevel"/>
    <w:tmpl w:val="1EAC08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877414"/>
    <w:multiLevelType w:val="hybridMultilevel"/>
    <w:tmpl w:val="F82E82EE"/>
    <w:lvl w:ilvl="0" w:tplc="DE6A4C1E">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9157B"/>
    <w:multiLevelType w:val="multilevel"/>
    <w:tmpl w:val="9AE4820E"/>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5B82444C"/>
    <w:multiLevelType w:val="multilevel"/>
    <w:tmpl w:val="9A3A32D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65447C"/>
    <w:multiLevelType w:val="multilevel"/>
    <w:tmpl w:val="075A7630"/>
    <w:lvl w:ilvl="0">
      <w:start w:val="12"/>
      <w:numFmt w:val="decimal"/>
      <w:lvlText w:val="%1."/>
      <w:lvlJc w:val="left"/>
      <w:pPr>
        <w:ind w:left="3054" w:hanging="360"/>
      </w:pPr>
      <w:rPr>
        <w:b w:val="0"/>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3" w15:restartNumberingAfterBreak="0">
    <w:nsid w:val="6451364A"/>
    <w:multiLevelType w:val="hybridMultilevel"/>
    <w:tmpl w:val="FE92D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8C4014"/>
    <w:multiLevelType w:val="hybridMultilevel"/>
    <w:tmpl w:val="1102B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2"/>
  </w:num>
  <w:num w:numId="4">
    <w:abstractNumId w:val="2"/>
  </w:num>
  <w:num w:numId="5">
    <w:abstractNumId w:val="11"/>
  </w:num>
  <w:num w:numId="6">
    <w:abstractNumId w:val="1"/>
  </w:num>
  <w:num w:numId="7">
    <w:abstractNumId w:val="16"/>
  </w:num>
  <w:num w:numId="8">
    <w:abstractNumId w:val="20"/>
  </w:num>
  <w:num w:numId="9">
    <w:abstractNumId w:val="23"/>
  </w:num>
  <w:num w:numId="10">
    <w:abstractNumId w:val="7"/>
  </w:num>
  <w:num w:numId="11">
    <w:abstractNumId w:val="9"/>
  </w:num>
  <w:num w:numId="12">
    <w:abstractNumId w:val="24"/>
  </w:num>
  <w:num w:numId="13">
    <w:abstractNumId w:val="19"/>
  </w:num>
  <w:num w:numId="14">
    <w:abstractNumId w:val="12"/>
  </w:num>
  <w:num w:numId="15">
    <w:abstractNumId w:va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5"/>
  </w:num>
  <w:num w:numId="18">
    <w:abstractNumId w:val="10"/>
  </w:num>
  <w:num w:numId="19">
    <w:abstractNumId w:val="15"/>
  </w:num>
  <w:num w:numId="20">
    <w:abstractNumId w:val="0"/>
  </w:num>
  <w:num w:numId="21">
    <w:abstractNumId w:val="6"/>
  </w:num>
  <w:num w:numId="22">
    <w:abstractNumId w:val="3"/>
  </w:num>
  <w:num w:numId="23">
    <w:abstractNumId w:val="21"/>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BA"/>
    <w:rsid w:val="000021ED"/>
    <w:rsid w:val="00002E56"/>
    <w:rsid w:val="000F0359"/>
    <w:rsid w:val="00254C18"/>
    <w:rsid w:val="002924EA"/>
    <w:rsid w:val="002E1864"/>
    <w:rsid w:val="002E624C"/>
    <w:rsid w:val="00363F37"/>
    <w:rsid w:val="00462DF3"/>
    <w:rsid w:val="004F4C0C"/>
    <w:rsid w:val="006462CD"/>
    <w:rsid w:val="006A09D5"/>
    <w:rsid w:val="006B5FE7"/>
    <w:rsid w:val="00701D2E"/>
    <w:rsid w:val="0071136F"/>
    <w:rsid w:val="007B3E32"/>
    <w:rsid w:val="007B55FF"/>
    <w:rsid w:val="00883B74"/>
    <w:rsid w:val="00905DCA"/>
    <w:rsid w:val="00A14F50"/>
    <w:rsid w:val="00AD24CE"/>
    <w:rsid w:val="00B02574"/>
    <w:rsid w:val="00B33338"/>
    <w:rsid w:val="00C53D4F"/>
    <w:rsid w:val="00C75644"/>
    <w:rsid w:val="00D40612"/>
    <w:rsid w:val="00D96000"/>
    <w:rsid w:val="00DE211D"/>
    <w:rsid w:val="00DE3DD3"/>
    <w:rsid w:val="00E315B0"/>
    <w:rsid w:val="00E94C0D"/>
    <w:rsid w:val="00EB289F"/>
    <w:rsid w:val="00EF53BA"/>
    <w:rsid w:val="00F2262C"/>
    <w:rsid w:val="00F773FB"/>
    <w:rsid w:val="00F84D5A"/>
    <w:rsid w:val="00FD1BED"/>
    <w:rsid w:val="00FF7A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CCBC8C1-FD63-4C8D-B460-E48BEC81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BA"/>
    <w:rPr>
      <w:rFonts w:ascii="Calibri" w:eastAsia="Calibri" w:hAnsi="Calibri" w:cs="Calibri"/>
      <w:lang w:eastAsia="es-MX"/>
    </w:rPr>
  </w:style>
  <w:style w:type="paragraph" w:styleId="Ttulo1">
    <w:name w:val="heading 1"/>
    <w:basedOn w:val="Normal"/>
    <w:next w:val="Normal"/>
    <w:link w:val="Ttulo1Car"/>
    <w:uiPriority w:val="9"/>
    <w:qFormat/>
    <w:rsid w:val="00EF53B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EF53B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3B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F53BA"/>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53B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53BA"/>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EF53BA"/>
    <w:rPr>
      <w:color w:val="0563C1" w:themeColor="hyperlink"/>
      <w:u w:val="single"/>
    </w:rPr>
  </w:style>
  <w:style w:type="paragraph" w:styleId="Piedepgina">
    <w:name w:val="footer"/>
    <w:basedOn w:val="Normal"/>
    <w:link w:val="PiedepginaCar"/>
    <w:uiPriority w:val="99"/>
    <w:unhideWhenUsed/>
    <w:rsid w:val="00254C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C18"/>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2028">
      <w:bodyDiv w:val="1"/>
      <w:marLeft w:val="0"/>
      <w:marRight w:val="0"/>
      <w:marTop w:val="0"/>
      <w:marBottom w:val="0"/>
      <w:divBdr>
        <w:top w:val="none" w:sz="0" w:space="0" w:color="auto"/>
        <w:left w:val="none" w:sz="0" w:space="0" w:color="auto"/>
        <w:bottom w:val="none" w:sz="0" w:space="0" w:color="auto"/>
        <w:right w:val="none" w:sz="0" w:space="0" w:color="auto"/>
      </w:divBdr>
    </w:div>
    <w:div w:id="1071125882">
      <w:bodyDiv w:val="1"/>
      <w:marLeft w:val="0"/>
      <w:marRight w:val="0"/>
      <w:marTop w:val="0"/>
      <w:marBottom w:val="0"/>
      <w:divBdr>
        <w:top w:val="none" w:sz="0" w:space="0" w:color="auto"/>
        <w:left w:val="none" w:sz="0" w:space="0" w:color="auto"/>
        <w:bottom w:val="none" w:sz="0" w:space="0" w:color="auto"/>
        <w:right w:val="none" w:sz="0" w:space="0" w:color="auto"/>
      </w:divBdr>
    </w:div>
    <w:div w:id="11790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262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512621.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512634.pag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30</Pages>
  <Words>6429</Words>
  <Characters>35365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2026-02-09T17:35:00Z</cp:lastPrinted>
  <dcterms:created xsi:type="dcterms:W3CDTF">2026-02-03T17:49:00Z</dcterms:created>
  <dcterms:modified xsi:type="dcterms:W3CDTF">2026-02-16T20:08:00Z</dcterms:modified>
</cp:coreProperties>
</file>