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0B7B" w:rsidRDefault="00E10797">
      <w:pPr>
        <w:spacing w:before="240" w:after="240" w:line="360" w:lineRule="auto"/>
        <w:ind w:right="-734"/>
        <w:jc w:val="both"/>
        <w:rPr>
          <w:b/>
          <w:bCs/>
        </w:rPr>
      </w:pPr>
      <w:r>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w:t>
      </w:r>
      <w:r>
        <w:rPr>
          <w:rFonts w:ascii="Palatino Linotype" w:eastAsia="Palatino Linotype" w:hAnsi="Palatino Linotype" w:cs="Palatino Linotype"/>
          <w:b/>
          <w:bCs/>
        </w:rPr>
        <w:t>de fecha veinte (20) de mayo de dos mil veintiséis.</w:t>
      </w:r>
    </w:p>
    <w:p w:rsidR="009A0B7B" w:rsidRDefault="00E10797">
      <w:pPr>
        <w:spacing w:before="240" w:after="360" w:line="360" w:lineRule="auto"/>
        <w:ind w:right="-734"/>
        <w:jc w:val="both"/>
        <w:rPr>
          <w:rFonts w:ascii="Palatino Linotype" w:eastAsia="Palatino Linotype" w:hAnsi="Palatino Linotype" w:cs="Palatino Linotype"/>
          <w:b/>
          <w:bCs/>
        </w:rPr>
      </w:pPr>
      <w:r>
        <w:rPr>
          <w:rFonts w:ascii="Palatino Linotype" w:eastAsia="Palatino Linotype" w:hAnsi="Palatino Linotype" w:cs="Palatino Linotype"/>
          <w:b/>
          <w:bCs/>
        </w:rPr>
        <w:t>VISTO</w:t>
      </w:r>
      <w:r>
        <w:rPr>
          <w:rFonts w:ascii="Palatino Linotype" w:eastAsia="Palatino Linotype" w:hAnsi="Palatino Linotype" w:cs="Palatino Linotype"/>
        </w:rPr>
        <w:t xml:space="preserve"> el expediente electrónico formado con motivo del recurso de revisión </w:t>
      </w:r>
      <w:r>
        <w:rPr>
          <w:rFonts w:ascii="Palatino Linotype" w:eastAsia="Palatino Linotype" w:hAnsi="Palatino Linotype" w:cs="Palatino Linotype"/>
          <w:b/>
          <w:bCs/>
        </w:rPr>
        <w:t xml:space="preserve">04268/INFOEM/IP/RR/2026; </w:t>
      </w:r>
      <w:r>
        <w:rPr>
          <w:rFonts w:ascii="Palatino Linotype" w:eastAsia="Palatino Linotype" w:hAnsi="Palatino Linotype" w:cs="Palatino Linotype"/>
        </w:rPr>
        <w:t>promovidos por</w:t>
      </w:r>
      <w:r>
        <w:rPr>
          <w:rFonts w:ascii="Palatino Linotype" w:eastAsia="Palatino Linotype" w:hAnsi="Palatino Linotype" w:cs="Palatino Linotype"/>
          <w:b/>
          <w:bCs/>
        </w:rPr>
        <w:t xml:space="preserve"> </w:t>
      </w:r>
      <w:r w:rsidR="00AE5CA5">
        <w:rPr>
          <w:rFonts w:ascii="Palatino Linotype" w:eastAsia="Palatino Linotype" w:hAnsi="Palatino Linotype" w:cs="Palatino Linotype"/>
          <w:b/>
          <w:bCs/>
        </w:rPr>
        <w:t>XXXX</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en su calidad de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en contra de la respuesta del </w:t>
      </w:r>
      <w:r>
        <w:rPr>
          <w:rFonts w:ascii="Palatino Linotype" w:eastAsia="Palatino Linotype" w:hAnsi="Palatino Linotype" w:cs="Palatino Linotype"/>
          <w:b/>
          <w:bCs/>
        </w:rPr>
        <w:t xml:space="preserve">Poder Legislativo, </w:t>
      </w:r>
      <w:r>
        <w:rPr>
          <w:rFonts w:ascii="Palatino Linotype" w:eastAsia="Palatino Linotype" w:hAnsi="Palatino Linotype" w:cs="Palatino Linotype"/>
        </w:rPr>
        <w:t>en lo sucesivo el</w:t>
      </w:r>
      <w:r>
        <w:rPr>
          <w:rFonts w:ascii="Palatino Linotype" w:eastAsia="Palatino Linotype" w:hAnsi="Palatino Linotype" w:cs="Palatino Linotype"/>
          <w:b/>
          <w:bCs/>
        </w:rPr>
        <w:t xml:space="preserve"> SUJETO OBLIGADO, </w:t>
      </w:r>
      <w:r>
        <w:rPr>
          <w:rFonts w:ascii="Palatino Linotype" w:eastAsia="Palatino Linotype" w:hAnsi="Palatino Linotype" w:cs="Palatino Linotype"/>
        </w:rPr>
        <w:t>se procede a dictar la presente resolución, con base en los siguientes:</w:t>
      </w:r>
    </w:p>
    <w:p w:rsidR="009A0B7B" w:rsidRDefault="00E10797">
      <w:pPr>
        <w:pStyle w:val="Ttulo1"/>
        <w:spacing w:line="360" w:lineRule="auto"/>
        <w:ind w:right="-734"/>
        <w:jc w:val="center"/>
        <w:rPr>
          <w:rFonts w:ascii="Palatino Linotype" w:eastAsia="Palatino Linotype" w:hAnsi="Palatino Linotype" w:cs="Palatino Linotype"/>
          <w:b/>
          <w:bCs/>
          <w:color w:val="000000"/>
          <w:sz w:val="24"/>
          <w:szCs w:val="24"/>
        </w:rPr>
      </w:pPr>
      <w:bookmarkStart w:id="0" w:name="_heading=h.2jh51lh5mc4t" w:colFirst="0" w:colLast="0"/>
      <w:bookmarkEnd w:id="0"/>
      <w:r>
        <w:rPr>
          <w:rFonts w:ascii="Palatino Linotype" w:eastAsia="Palatino Linotype" w:hAnsi="Palatino Linotype" w:cs="Palatino Linotype"/>
          <w:b/>
          <w:bCs/>
          <w:color w:val="000000"/>
          <w:sz w:val="24"/>
          <w:szCs w:val="24"/>
        </w:rPr>
        <w:t>A N T E C E D E N T E S</w:t>
      </w:r>
    </w:p>
    <w:p w:rsidR="009A0B7B" w:rsidRDefault="00E10797">
      <w:pPr>
        <w:numPr>
          <w:ilvl w:val="0"/>
          <w:numId w:val="4"/>
        </w:numPr>
        <w:pBdr>
          <w:top w:val="nil"/>
          <w:left w:val="nil"/>
          <w:bottom w:val="nil"/>
          <w:right w:val="nil"/>
          <w:between w:val="nil"/>
        </w:pBdr>
        <w:tabs>
          <w:tab w:val="left" w:pos="284"/>
        </w:tabs>
        <w:spacing w:before="240" w:line="360" w:lineRule="auto"/>
        <w:ind w:left="0" w:right="-734" w:firstLine="0"/>
        <w:jc w:val="both"/>
        <w:rPr>
          <w:color w:val="000000"/>
        </w:rPr>
      </w:pPr>
      <w:r>
        <w:rPr>
          <w:rFonts w:ascii="Palatino Linotype" w:eastAsia="Palatino Linotype" w:hAnsi="Palatino Linotype" w:cs="Palatino Linotype"/>
          <w:color w:val="000000"/>
        </w:rPr>
        <w:t>El veinticuatro de marzo de dos mil veintiséis</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se presentó ante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vía Sistema de Acceso a la Información Mexiquense </w:t>
      </w:r>
      <w:r>
        <w:rPr>
          <w:rFonts w:ascii="Palatino Linotype" w:eastAsia="Palatino Linotype" w:hAnsi="Palatino Linotype" w:cs="Palatino Linotype"/>
          <w:b/>
          <w:bCs/>
          <w:i/>
          <w:iCs/>
          <w:color w:val="000000"/>
        </w:rPr>
        <w:t>SAIMEX</w:t>
      </w:r>
      <w:r>
        <w:rPr>
          <w:rFonts w:ascii="Palatino Linotype" w:eastAsia="Palatino Linotype" w:hAnsi="Palatino Linotype" w:cs="Palatino Linotype"/>
          <w:color w:val="000000"/>
        </w:rPr>
        <w:t xml:space="preserve">, la solicitud de información pública registrada con el número </w:t>
      </w:r>
      <w:r w:rsidR="000E5BEB">
        <w:rPr>
          <w:rFonts w:ascii="Palatino Linotype" w:eastAsia="Palatino Linotype" w:hAnsi="Palatino Linotype" w:cs="Palatino Linotype"/>
          <w:b/>
          <w:bCs/>
          <w:color w:val="000000"/>
        </w:rPr>
        <w:t>00124</w:t>
      </w:r>
      <w:r>
        <w:rPr>
          <w:rFonts w:ascii="Palatino Linotype" w:eastAsia="Palatino Linotype" w:hAnsi="Palatino Linotype" w:cs="Palatino Linotype"/>
          <w:b/>
          <w:bCs/>
          <w:color w:val="000000"/>
        </w:rPr>
        <w:t xml:space="preserve">/PLEGISLA/IP/2026, </w:t>
      </w:r>
      <w:r>
        <w:rPr>
          <w:rFonts w:ascii="Palatino Linotype" w:eastAsia="Palatino Linotype" w:hAnsi="Palatino Linotype" w:cs="Palatino Linotype"/>
        </w:rPr>
        <w:t xml:space="preserve">en la que </w:t>
      </w:r>
      <w:r>
        <w:rPr>
          <w:rFonts w:ascii="Palatino Linotype" w:eastAsia="Palatino Linotype" w:hAnsi="Palatino Linotype" w:cs="Palatino Linotype"/>
          <w:color w:val="000000"/>
        </w:rPr>
        <w:t>solicitó:</w:t>
      </w:r>
    </w:p>
    <w:p w:rsidR="009A0B7B" w:rsidRDefault="009A0B7B">
      <w:pPr>
        <w:pBdr>
          <w:top w:val="nil"/>
          <w:left w:val="nil"/>
          <w:bottom w:val="nil"/>
          <w:right w:val="nil"/>
          <w:between w:val="nil"/>
        </w:pBdr>
        <w:tabs>
          <w:tab w:val="left" w:pos="284"/>
        </w:tabs>
        <w:spacing w:line="360" w:lineRule="auto"/>
        <w:ind w:right="-734"/>
        <w:jc w:val="both"/>
        <w:rPr>
          <w:rFonts w:ascii="Palatino Linotype" w:eastAsia="Palatino Linotype" w:hAnsi="Palatino Linotype" w:cs="Palatino Linotype"/>
          <w:color w:val="000000"/>
        </w:rPr>
      </w:pPr>
    </w:p>
    <w:p w:rsidR="009A0B7B" w:rsidRDefault="00E10797">
      <w:pPr>
        <w:pBdr>
          <w:top w:val="nil"/>
          <w:left w:val="nil"/>
          <w:bottom w:val="nil"/>
          <w:right w:val="nil"/>
          <w:between w:val="nil"/>
        </w:pBdr>
        <w:spacing w:line="360" w:lineRule="auto"/>
        <w:ind w:left="567"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“Con fundamento en el artículo 6° Constitucional y en la Ley de Transparencia y Acceso a la Información Pública del Estado de México y Municipios, solicito se informe y documente el proceso mediante el cual se seleccionan las entidades fiscalizables que serán objeto de revisión por parte del Órgano Superior de Fiscalización del Estado de México para la integración del Programa Anual de Auditorías (PAA). Específicamente requiero: La descripción detallada del proceso de selección. Los criterios utilizados (riesgo, monto, denuncias, etc.). Los indicadores empleados para la evaluación y priorización. La metodología utilizada para ponderar dichos criterios. Los documentos o manuales donde se establezca dicho procedimiento. Las áreas responsables de la selección y validación. Los documentos en los que conste la aplicación de dichos criterios (matrices, bases de datos, análisis, etc.). La información deberá entregarse en versión </w:t>
      </w:r>
      <w:r>
        <w:rPr>
          <w:rFonts w:ascii="Palatino Linotype" w:eastAsia="Palatino Linotype" w:hAnsi="Palatino Linotype" w:cs="Palatino Linotype"/>
          <w:i/>
          <w:iCs/>
          <w:color w:val="000000"/>
        </w:rPr>
        <w:lastRenderedPageBreak/>
        <w:t>pública, en formatos accesibles y, en caso de existir bases de datos o matrices, en formato editable. En caso de que algún elemento no se encuentre formalmente documentado, solicito se indique expresamente.” (Sic)</w:t>
      </w:r>
    </w:p>
    <w:p w:rsidR="009A0B7B" w:rsidRDefault="009A0B7B">
      <w:pPr>
        <w:pBdr>
          <w:top w:val="nil"/>
          <w:left w:val="nil"/>
          <w:bottom w:val="nil"/>
          <w:right w:val="nil"/>
          <w:between w:val="nil"/>
        </w:pBdr>
        <w:spacing w:line="360" w:lineRule="auto"/>
        <w:ind w:left="567" w:right="-734"/>
        <w:jc w:val="both"/>
        <w:rPr>
          <w:rFonts w:ascii="Palatino Linotype" w:eastAsia="Palatino Linotype" w:hAnsi="Palatino Linotype" w:cs="Palatino Linotype"/>
          <w:color w:val="000000"/>
        </w:rPr>
      </w:pPr>
    </w:p>
    <w:p w:rsidR="009A0B7B" w:rsidRDefault="00E10797">
      <w:pPr>
        <w:numPr>
          <w:ilvl w:val="0"/>
          <w:numId w:val="4"/>
        </w:numPr>
        <w:pBdr>
          <w:top w:val="nil"/>
          <w:left w:val="nil"/>
          <w:bottom w:val="nil"/>
          <w:right w:val="nil"/>
          <w:between w:val="nil"/>
        </w:pBdr>
        <w:tabs>
          <w:tab w:val="left" w:pos="284"/>
        </w:tabs>
        <w:spacing w:after="240" w:line="360" w:lineRule="auto"/>
        <w:ind w:left="0" w:right="-734" w:firstLine="0"/>
        <w:jc w:val="both"/>
        <w:rPr>
          <w:color w:val="000000"/>
        </w:rPr>
      </w:pPr>
      <w:r>
        <w:rPr>
          <w:rFonts w:ascii="Palatino Linotype" w:eastAsia="Palatino Linotype" w:hAnsi="Palatino Linotype" w:cs="Palatino Linotype"/>
          <w:color w:val="000000"/>
        </w:rPr>
        <w:t xml:space="preserve">De las constancias que obran en el expediente, se aprecia que el entonces </w:t>
      </w:r>
      <w:r>
        <w:rPr>
          <w:rFonts w:ascii="Palatino Linotype" w:eastAsia="Palatino Linotype" w:hAnsi="Palatino Linotype" w:cs="Palatino Linotype"/>
          <w:b/>
          <w:bCs/>
          <w:color w:val="000000"/>
        </w:rPr>
        <w:t>SOLICITANTE</w:t>
      </w:r>
      <w:r>
        <w:rPr>
          <w:rFonts w:ascii="Palatino Linotype" w:eastAsia="Palatino Linotype" w:hAnsi="Palatino Linotype" w:cs="Palatino Linotype"/>
          <w:color w:val="000000"/>
        </w:rPr>
        <w:t xml:space="preserve"> señaló como modalidad de entrega de la información “A través del </w:t>
      </w:r>
      <w:r>
        <w:rPr>
          <w:rFonts w:ascii="Palatino Linotype" w:eastAsia="Palatino Linotype" w:hAnsi="Palatino Linotype" w:cs="Palatino Linotype"/>
          <w:b/>
          <w:bCs/>
          <w:color w:val="000000"/>
        </w:rPr>
        <w:t>SAIMEX”</w:t>
      </w:r>
      <w:r>
        <w:rPr>
          <w:rFonts w:ascii="Palatino Linotype" w:eastAsia="Palatino Linotype" w:hAnsi="Palatino Linotype" w:cs="Palatino Linotype"/>
          <w:color w:val="000000"/>
        </w:rPr>
        <w:t>.</w:t>
      </w:r>
    </w:p>
    <w:p w:rsidR="009A0B7B" w:rsidRDefault="009A0B7B">
      <w:pPr>
        <w:ind w:right="-734"/>
        <w:rPr>
          <w:rFonts w:ascii="Palatino Linotype" w:eastAsia="Palatino Linotype" w:hAnsi="Palatino Linotype" w:cs="Palatino Linotype"/>
        </w:rPr>
      </w:pPr>
    </w:p>
    <w:p w:rsidR="009A0B7B" w:rsidRDefault="00E10797">
      <w:pPr>
        <w:numPr>
          <w:ilvl w:val="0"/>
          <w:numId w:val="4"/>
        </w:numPr>
        <w:pBdr>
          <w:top w:val="nil"/>
          <w:left w:val="nil"/>
          <w:bottom w:val="nil"/>
          <w:right w:val="nil"/>
          <w:between w:val="nil"/>
        </w:pBdr>
        <w:tabs>
          <w:tab w:val="left" w:pos="284"/>
        </w:tabs>
        <w:spacing w:line="360" w:lineRule="auto"/>
        <w:ind w:left="0" w:right="-734" w:firstLine="0"/>
        <w:jc w:val="both"/>
        <w:rPr>
          <w:color w:val="000000"/>
        </w:rPr>
      </w:pPr>
      <w:r>
        <w:rPr>
          <w:rFonts w:ascii="Palatino Linotype" w:eastAsia="Palatino Linotype" w:hAnsi="Palatino Linotype" w:cs="Palatino Linotype"/>
          <w:color w:val="000000"/>
        </w:rPr>
        <w:t xml:space="preserve">El veintiuno de abril de dos mil veintiséis,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dio </w:t>
      </w:r>
      <w:r>
        <w:rPr>
          <w:rFonts w:ascii="Palatino Linotype" w:eastAsia="Palatino Linotype" w:hAnsi="Palatino Linotype" w:cs="Palatino Linotype"/>
          <w:b/>
          <w:bCs/>
          <w:color w:val="000000"/>
        </w:rPr>
        <w:t>respuesta</w:t>
      </w:r>
      <w:r>
        <w:rPr>
          <w:rFonts w:ascii="Palatino Linotype" w:eastAsia="Palatino Linotype" w:hAnsi="Palatino Linotype" w:cs="Palatino Linotype"/>
          <w:color w:val="000000"/>
        </w:rPr>
        <w:t xml:space="preserve"> a la solicitud de información a través de los archivos digitales siguientes:</w:t>
      </w:r>
    </w:p>
    <w:p w:rsidR="009A0B7B" w:rsidRDefault="00E10797">
      <w:pPr>
        <w:numPr>
          <w:ilvl w:val="0"/>
          <w:numId w:val="3"/>
        </w:numPr>
        <w:pBdr>
          <w:top w:val="nil"/>
          <w:left w:val="nil"/>
          <w:bottom w:val="nil"/>
          <w:right w:val="nil"/>
          <w:between w:val="nil"/>
        </w:pBdr>
        <w:ind w:right="-734"/>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u w:val="single"/>
        </w:rPr>
        <w:t>RESPUESTA 0124-2026.pdf</w:t>
      </w:r>
    </w:p>
    <w:p w:rsidR="009A0B7B" w:rsidRDefault="00E10797">
      <w:pPr>
        <w:ind w:left="720" w:right="-734"/>
        <w:jc w:val="both"/>
        <w:rPr>
          <w:rFonts w:ascii="Palatino Linotype" w:eastAsia="Palatino Linotype" w:hAnsi="Palatino Linotype" w:cs="Palatino Linotype"/>
          <w:i/>
          <w:iCs/>
        </w:rPr>
      </w:pPr>
      <w:r>
        <w:rPr>
          <w:rFonts w:ascii="Palatino Linotype" w:eastAsia="Palatino Linotype" w:hAnsi="Palatino Linotype" w:cs="Palatino Linotype"/>
        </w:rPr>
        <w:t xml:space="preserve">OSFEM/UAJ/DJC/SPH/057/2026 de fecha 20 de abril de 2026, firmado por el Servidor Público Habilitado de la </w:t>
      </w:r>
      <w:r>
        <w:rPr>
          <w:rFonts w:ascii="Palatino Linotype" w:eastAsia="Palatino Linotype" w:hAnsi="Palatino Linotype" w:cs="Palatino Linotype"/>
          <w:b/>
          <w:bCs/>
        </w:rPr>
        <w:t>Dirección de lo Jurídico Consultivo</w:t>
      </w:r>
      <w:r>
        <w:rPr>
          <w:rFonts w:ascii="Palatino Linotype" w:eastAsia="Palatino Linotype" w:hAnsi="Palatino Linotype" w:cs="Palatino Linotype"/>
        </w:rPr>
        <w:t xml:space="preserve">, a través del cual manifiesta haber turnado la solicitud a la </w:t>
      </w:r>
      <w:r>
        <w:rPr>
          <w:rFonts w:ascii="Palatino Linotype" w:eastAsia="Palatino Linotype" w:hAnsi="Palatino Linotype" w:cs="Palatino Linotype"/>
          <w:b/>
          <w:bCs/>
        </w:rPr>
        <w:t>Auditoría Especial de Revisión de Información de las Entidades Fiscalizables</w:t>
      </w:r>
      <w:r>
        <w:rPr>
          <w:rFonts w:ascii="Palatino Linotype" w:eastAsia="Palatino Linotype" w:hAnsi="Palatino Linotype" w:cs="Palatino Linotype"/>
        </w:rPr>
        <w:t xml:space="preserve"> de este Órgano Superior de Fiscalización, dicha unidad administrativa, el cual dio respuesta mediante el oficio OSFEM/AERIEF/481/2026.</w:t>
      </w:r>
    </w:p>
    <w:p w:rsidR="009A0B7B" w:rsidRDefault="009A0B7B">
      <w:pPr>
        <w:ind w:left="720" w:right="-734"/>
        <w:jc w:val="both"/>
        <w:rPr>
          <w:rFonts w:ascii="Palatino Linotype" w:eastAsia="Palatino Linotype" w:hAnsi="Palatino Linotype" w:cs="Palatino Linotype"/>
          <w:color w:val="000000"/>
        </w:rPr>
      </w:pPr>
    </w:p>
    <w:p w:rsidR="009A0B7B" w:rsidRDefault="00E10797">
      <w:pPr>
        <w:numPr>
          <w:ilvl w:val="0"/>
          <w:numId w:val="3"/>
        </w:numPr>
        <w:pBdr>
          <w:top w:val="nil"/>
          <w:left w:val="nil"/>
          <w:bottom w:val="nil"/>
          <w:right w:val="nil"/>
          <w:between w:val="nil"/>
        </w:pBdr>
        <w:spacing w:line="360" w:lineRule="auto"/>
        <w:ind w:right="-734"/>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u w:val="single"/>
        </w:rPr>
        <w:t>Respuesta 124 OSFEM.pdf</w:t>
      </w:r>
    </w:p>
    <w:p w:rsidR="009A0B7B" w:rsidRDefault="00E10797">
      <w:pPr>
        <w:pBdr>
          <w:top w:val="nil"/>
          <w:left w:val="nil"/>
          <w:bottom w:val="nil"/>
          <w:right w:val="nil"/>
          <w:between w:val="nil"/>
        </w:pBdr>
        <w:ind w:left="720" w:right="-734"/>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Oficio: UIPL/0380/2026 de fecha 21 de abril de 2026 firmado por el </w:t>
      </w:r>
      <w:r>
        <w:rPr>
          <w:rFonts w:ascii="Palatino Linotype" w:eastAsia="Palatino Linotype" w:hAnsi="Palatino Linotype" w:cs="Palatino Linotype"/>
          <w:b/>
          <w:bCs/>
          <w:color w:val="000000"/>
        </w:rPr>
        <w:t>Titular de la Unidad de Información</w:t>
      </w:r>
      <w:r>
        <w:rPr>
          <w:rFonts w:ascii="Palatino Linotype" w:eastAsia="Palatino Linotype" w:hAnsi="Palatino Linotype" w:cs="Palatino Linotype"/>
          <w:color w:val="000000"/>
        </w:rPr>
        <w:t xml:space="preserve"> refiere encontrar adjunto al presente la respuesta proporcionada por el servidor público habilitado del Órgano Superior de Fiscalización del Estado de México.</w:t>
      </w:r>
    </w:p>
    <w:p w:rsidR="009A0B7B" w:rsidRDefault="009A0B7B">
      <w:pPr>
        <w:spacing w:line="360" w:lineRule="auto"/>
        <w:ind w:right="-734"/>
        <w:jc w:val="both"/>
        <w:rPr>
          <w:rFonts w:ascii="Palatino Linotype" w:eastAsia="Palatino Linotype" w:hAnsi="Palatino Linotype" w:cs="Palatino Linotype"/>
        </w:rPr>
      </w:pPr>
    </w:p>
    <w:p w:rsidR="009A0B7B" w:rsidRDefault="00E10797">
      <w:pPr>
        <w:numPr>
          <w:ilvl w:val="0"/>
          <w:numId w:val="4"/>
        </w:numPr>
        <w:pBdr>
          <w:top w:val="nil"/>
          <w:left w:val="nil"/>
          <w:bottom w:val="nil"/>
          <w:right w:val="nil"/>
          <w:between w:val="nil"/>
        </w:pBdr>
        <w:tabs>
          <w:tab w:val="left" w:pos="284"/>
        </w:tabs>
        <w:spacing w:line="360" w:lineRule="auto"/>
        <w:ind w:left="0" w:right="-734"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Derivado de la respuesta, el veintidós de abril de dos mil veintiséis, el particular interpuso  recurso de revisión señalando:</w:t>
      </w:r>
    </w:p>
    <w:p w:rsidR="009A0B7B" w:rsidRDefault="009A0B7B">
      <w:pPr>
        <w:pBdr>
          <w:top w:val="nil"/>
          <w:left w:val="nil"/>
          <w:bottom w:val="nil"/>
          <w:right w:val="nil"/>
          <w:between w:val="nil"/>
        </w:pBdr>
        <w:tabs>
          <w:tab w:val="left" w:pos="284"/>
        </w:tabs>
        <w:spacing w:line="360" w:lineRule="auto"/>
        <w:ind w:right="-734"/>
        <w:jc w:val="both"/>
        <w:rPr>
          <w:rFonts w:ascii="Palatino Linotype" w:eastAsia="Palatino Linotype" w:hAnsi="Palatino Linotype" w:cs="Palatino Linotype"/>
          <w:b/>
          <w:bCs/>
          <w:i/>
          <w:iCs/>
          <w:color w:val="000000"/>
        </w:rPr>
      </w:pPr>
    </w:p>
    <w:p w:rsidR="009A0B7B" w:rsidRDefault="00E10797">
      <w:pPr>
        <w:numPr>
          <w:ilvl w:val="0"/>
          <w:numId w:val="1"/>
        </w:numPr>
        <w:pBdr>
          <w:top w:val="nil"/>
          <w:left w:val="nil"/>
          <w:bottom w:val="nil"/>
          <w:right w:val="nil"/>
          <w:between w:val="nil"/>
        </w:pBdr>
        <w:tabs>
          <w:tab w:val="left" w:pos="426"/>
          <w:tab w:val="left" w:pos="1004"/>
        </w:tabs>
        <w:ind w:left="850" w:right="-734"/>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Acto impugnado:</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i/>
          <w:iCs/>
          <w:color w:val="000000"/>
        </w:rPr>
        <w:t>“La respuesta emitida a la solicitud de acceso a la información, por resultar incongruente, incompleta y deficientemente fundada.” (Sic).</w:t>
      </w:r>
    </w:p>
    <w:p w:rsidR="009A0B7B" w:rsidRDefault="009A0B7B">
      <w:pPr>
        <w:pBdr>
          <w:top w:val="nil"/>
          <w:left w:val="nil"/>
          <w:bottom w:val="nil"/>
          <w:right w:val="nil"/>
          <w:between w:val="nil"/>
        </w:pBdr>
        <w:tabs>
          <w:tab w:val="left" w:pos="426"/>
          <w:tab w:val="left" w:pos="1004"/>
        </w:tabs>
        <w:ind w:left="850" w:right="-734" w:hanging="360"/>
        <w:jc w:val="both"/>
        <w:rPr>
          <w:rFonts w:ascii="Palatino Linotype" w:eastAsia="Palatino Linotype" w:hAnsi="Palatino Linotype" w:cs="Palatino Linotype"/>
          <w:color w:val="000000"/>
        </w:rPr>
      </w:pPr>
    </w:p>
    <w:p w:rsidR="009A0B7B" w:rsidRDefault="00E10797">
      <w:pPr>
        <w:numPr>
          <w:ilvl w:val="0"/>
          <w:numId w:val="2"/>
        </w:numPr>
        <w:pBdr>
          <w:top w:val="nil"/>
          <w:left w:val="nil"/>
          <w:bottom w:val="nil"/>
          <w:right w:val="nil"/>
          <w:between w:val="nil"/>
        </w:pBdr>
        <w:tabs>
          <w:tab w:val="left" w:pos="426"/>
          <w:tab w:val="left" w:pos="1004"/>
        </w:tabs>
        <w:ind w:left="850" w:right="-734"/>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lastRenderedPageBreak/>
        <w:t>Razones o motivos de inconformidad:</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i/>
          <w:iCs/>
          <w:color w:val="000000"/>
        </w:rPr>
        <w:t xml:space="preserve">“AGRAVIOS Primero. Aplicación indebida del criterio 003/2019 del INAI El sujeto obligado fundamenta su respuesta en el criterio 003/2019 del Instituto Nacional de Transparencia, Acceso a la Información y Protección de Datos Personales, señalando un periodo de búsqueda. Sin embargo, dicha aplicación es incorrecta, ya que: La solicitud sí es clara en cuanto al objeto de información: el PAA 2026. No existe ambigüedad temporal. El propio sujeto obligado reconoce el documento (publicado el 04 de febrero de 2026). Por lo tanto, no era necesario ni procedente limitar la búsqueda a un periodo, lo que constituye una restricción indebida del derecho de acceso a la información. Segundo. Falta de respuesta a lo efectivamente solicitado La solicitud planteó dos escenarios: a) En caso de existir cronograma: Documento (cronograma/calendario/programación) Etapas del proceso Plazos Áreas responsables b) En caso de no existir: Cómo se determinan los tiempos Bajo qué criterios o disposiciones se rigen El sujeto obligado: No entregó ningún documento No describió etapas, plazos ni responsables No explicó cómo se determinan los tiempos No señaló criterios aplicables Se limitó a decir que: “la normatividad no prevé periodos específicos” Lo cual no responde a ninguna de las dos opciones planteadas. Tercero. Omisión de pronunciamiento sobre inexistencia Si el sujeto obligado considera que: No existe cronograma No existen documentos Debió: Emitir declaratoria formal de inexistencia Acompañarla de acta del Comité de Transparencia Sin embargo: No declaró inexistencia No presentó acta No justificó la ausencia de información Esto constituye una violación procedimental conforme al artículo 150 de la Ley de Transparencia y Acceso a la Información Pública del Estado de México y Municipios. Cuarto. Incongruencia y evasión El sujeto obligado repite el mismo patrón de otras respuestas: Sustituye información solicitada por citas normativas Proporciona datos irrelevantes (fecha de publicación) Omite información operativa real Esto constituye una respuesta evasiva. Quinto. Falta de exhaustividad El proceso de integración del PAA 2026 necesariamente implicó: Planeación Coordinación interinstitucional Definición de tiempos Participación de áreas Por lo que es razonable que existan documentos como: Cronogramas internos Correos institucionales Versiones de trabajo Registros administrativos El sujeto obligado no acredita haber buscado en estas fuentes, incumpliendo el principio de búsqueda exhaustiva. Sexto. Violación al principio de máxima publicidad Se incumple el artículo 4 de la ley al: No proporcionar información documental No responder de forma clara y completa Limitar el acceso mediante interpretaciones restrictivas PETICIÓN Se solicita al Instituto de Transparencia, Acceso a la Información Pública y Protección de Datos Personales del Estado de México y Municipios: Se revoque la respuesta impugnada. Se ordene al sujeto obligado emitir una nueva respuesta en la que: Informe si existe cronograma, calendario o programación del PAA 2026. En su caso, proporcione versión pública de dichos documentos. Detalle etapas, plazos y áreas responsables. En caso de no existir cronograma formal: Explique cómo se determinan los tiempos del proceso. Señale criterios, lineamientos o prácticas </w:t>
      </w:r>
      <w:r>
        <w:rPr>
          <w:rFonts w:ascii="Palatino Linotype" w:eastAsia="Palatino Linotype" w:hAnsi="Palatino Linotype" w:cs="Palatino Linotype"/>
          <w:i/>
          <w:iCs/>
          <w:color w:val="000000"/>
        </w:rPr>
        <w:lastRenderedPageBreak/>
        <w:t>administrativas aplicables. En caso de inexistencia de documentos: Se emita acta del Comité de Transparencia debidamente fundada y motivada. Se garantice una búsqueda exhaustiva en todas las unidades administrativas competentes.” (Sic).</w:t>
      </w:r>
    </w:p>
    <w:p w:rsidR="009A0B7B" w:rsidRDefault="009A0B7B">
      <w:pPr>
        <w:pBdr>
          <w:top w:val="nil"/>
          <w:left w:val="nil"/>
          <w:bottom w:val="nil"/>
          <w:right w:val="nil"/>
          <w:between w:val="nil"/>
        </w:pBdr>
        <w:tabs>
          <w:tab w:val="left" w:pos="284"/>
        </w:tabs>
        <w:spacing w:line="360" w:lineRule="auto"/>
        <w:ind w:right="-734"/>
        <w:jc w:val="both"/>
        <w:rPr>
          <w:rFonts w:ascii="Palatino Linotype" w:eastAsia="Palatino Linotype" w:hAnsi="Palatino Linotype" w:cs="Palatino Linotype"/>
          <w:color w:val="000000"/>
        </w:rPr>
      </w:pPr>
    </w:p>
    <w:p w:rsidR="009A0B7B" w:rsidRDefault="00E10797">
      <w:pPr>
        <w:numPr>
          <w:ilvl w:val="0"/>
          <w:numId w:val="4"/>
        </w:numPr>
        <w:pBdr>
          <w:top w:val="nil"/>
          <w:left w:val="nil"/>
          <w:bottom w:val="nil"/>
          <w:right w:val="nil"/>
          <w:between w:val="nil"/>
        </w:pBdr>
        <w:tabs>
          <w:tab w:val="left" w:pos="284"/>
        </w:tabs>
        <w:spacing w:line="360" w:lineRule="auto"/>
        <w:ind w:left="0" w:right="-734" w:firstLine="0"/>
        <w:jc w:val="both"/>
        <w:rPr>
          <w:color w:val="000000"/>
        </w:rPr>
      </w:pPr>
      <w:r>
        <w:rPr>
          <w:rFonts w:ascii="Palatino Linotype" w:eastAsia="Palatino Linotype" w:hAnsi="Palatino Linotype" w:cs="Palatino Linotype"/>
          <w:color w:val="000000"/>
        </w:rPr>
        <w:t xml:space="preserve">La Comisionada Ponente, con fundamento en lo dispuesto por el artículo 185 fracción II de la ley de la materia, a través del </w:t>
      </w:r>
      <w:r>
        <w:rPr>
          <w:rFonts w:ascii="Palatino Linotype" w:eastAsia="Palatino Linotype" w:hAnsi="Palatino Linotype" w:cs="Palatino Linotype"/>
          <w:b/>
          <w:bCs/>
          <w:color w:val="000000"/>
        </w:rPr>
        <w:t>acuerdo de admisión</w:t>
      </w:r>
      <w:r>
        <w:rPr>
          <w:rFonts w:ascii="Palatino Linotype" w:eastAsia="Palatino Linotype" w:hAnsi="Palatino Linotype" w:cs="Palatino Linotype"/>
          <w:color w:val="000000"/>
        </w:rPr>
        <w:t xml:space="preserve"> del veinticuatro de abril de dos mil veintiséis, puso a disposición de las partes el expediente electrónico vía Sistema de Acceso a la Información Mexiquense </w:t>
      </w:r>
      <w:r>
        <w:rPr>
          <w:rFonts w:ascii="Palatino Linotype" w:eastAsia="Palatino Linotype" w:hAnsi="Palatino Linotype" w:cs="Palatino Linotype"/>
          <w:b/>
          <w:bCs/>
          <w:color w:val="000000"/>
        </w:rPr>
        <w:t xml:space="preserve">SAIMEX </w:t>
      </w:r>
      <w:r>
        <w:rPr>
          <w:rFonts w:ascii="Palatino Linotype" w:eastAsia="Palatino Linotype" w:hAnsi="Palatino Linotype" w:cs="Palatino Linotype"/>
          <w:color w:val="000000"/>
        </w:rPr>
        <w:t xml:space="preserve">a efecto de que en un plazo máximo de siete días </w:t>
      </w:r>
      <w:r>
        <w:rPr>
          <w:rFonts w:ascii="Palatino Linotype" w:eastAsia="Palatino Linotype" w:hAnsi="Palatino Linotype" w:cs="Palatino Linotype"/>
        </w:rPr>
        <w:t>manifestara</w:t>
      </w:r>
      <w:r>
        <w:rPr>
          <w:rFonts w:ascii="Palatino Linotype" w:eastAsia="Palatino Linotype" w:hAnsi="Palatino Linotype" w:cs="Palatino Linotype"/>
          <w:color w:val="000000"/>
        </w:rPr>
        <w:t xml:space="preserve"> lo que a su derecho conviniera, </w:t>
      </w:r>
      <w:r>
        <w:rPr>
          <w:rFonts w:ascii="Palatino Linotype" w:eastAsia="Palatino Linotype" w:hAnsi="Palatino Linotype" w:cs="Palatino Linotype"/>
        </w:rPr>
        <w:t>ofreciera</w:t>
      </w:r>
      <w:r>
        <w:rPr>
          <w:rFonts w:ascii="Palatino Linotype" w:eastAsia="Palatino Linotype" w:hAnsi="Palatino Linotype" w:cs="Palatino Linotype"/>
          <w:color w:val="000000"/>
        </w:rPr>
        <w:t xml:space="preserve"> pruebas y alegatos según correspondiera a los casos concretos, de esta forma para que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presentará</w:t>
      </w:r>
      <w:r>
        <w:rPr>
          <w:rFonts w:ascii="Palatino Linotype" w:eastAsia="Palatino Linotype" w:hAnsi="Palatino Linotype" w:cs="Palatino Linotype"/>
          <w:color w:val="000000"/>
        </w:rPr>
        <w:t xml:space="preserve"> el Informe Justificado procedente. </w:t>
      </w:r>
    </w:p>
    <w:p w:rsidR="009A0B7B" w:rsidRDefault="009A0B7B">
      <w:pPr>
        <w:pBdr>
          <w:top w:val="nil"/>
          <w:left w:val="nil"/>
          <w:bottom w:val="nil"/>
          <w:right w:val="nil"/>
          <w:between w:val="nil"/>
        </w:pBdr>
        <w:tabs>
          <w:tab w:val="left" w:pos="284"/>
        </w:tabs>
        <w:spacing w:line="360" w:lineRule="auto"/>
        <w:ind w:right="-734"/>
        <w:jc w:val="both"/>
        <w:rPr>
          <w:rFonts w:ascii="Palatino Linotype" w:eastAsia="Palatino Linotype" w:hAnsi="Palatino Linotype" w:cs="Palatino Linotype"/>
          <w:color w:val="000000"/>
        </w:rPr>
      </w:pPr>
    </w:p>
    <w:p w:rsidR="009A0B7B" w:rsidRDefault="00E10797">
      <w:pPr>
        <w:numPr>
          <w:ilvl w:val="0"/>
          <w:numId w:val="4"/>
        </w:numPr>
        <w:pBdr>
          <w:top w:val="nil"/>
          <w:left w:val="nil"/>
          <w:bottom w:val="nil"/>
          <w:right w:val="nil"/>
          <w:between w:val="nil"/>
        </w:pBdr>
        <w:tabs>
          <w:tab w:val="left" w:pos="284"/>
        </w:tabs>
        <w:spacing w:line="360" w:lineRule="auto"/>
        <w:ind w:left="0" w:right="-734" w:firstLine="0"/>
        <w:jc w:val="both"/>
        <w:rPr>
          <w:color w:val="000000"/>
        </w:rPr>
      </w:pPr>
      <w:r>
        <w:rPr>
          <w:rFonts w:ascii="Palatino Linotype" w:eastAsia="Palatino Linotype" w:hAnsi="Palatino Linotype" w:cs="Palatino Linotype"/>
          <w:color w:val="000000"/>
        </w:rPr>
        <w:t>De las constancias del archivo electrónico SAIMEX, se advierte que el Recurrente realizó manifestaciones el veintinueve de abril de dos mil veintiséis a través de los archivos que se describen enseguida:</w:t>
      </w:r>
    </w:p>
    <w:p w:rsidR="009A0B7B" w:rsidRDefault="00E10797">
      <w:pPr>
        <w:pBdr>
          <w:top w:val="nil"/>
          <w:left w:val="nil"/>
          <w:bottom w:val="nil"/>
          <w:right w:val="nil"/>
          <w:between w:val="nil"/>
        </w:pBdr>
        <w:tabs>
          <w:tab w:val="left" w:pos="284"/>
        </w:tabs>
        <w:ind w:left="567" w:right="-734"/>
        <w:jc w:val="both"/>
        <w:rPr>
          <w:rFonts w:ascii="Palatino Linotype" w:eastAsia="Palatino Linotype" w:hAnsi="Palatino Linotype" w:cs="Palatino Linotype"/>
          <w:b/>
          <w:bCs/>
          <w:color w:val="000000"/>
          <w:u w:val="single"/>
        </w:rPr>
      </w:pPr>
      <w:r>
        <w:rPr>
          <w:rFonts w:ascii="Palatino Linotype" w:eastAsia="Palatino Linotype" w:hAnsi="Palatino Linotype" w:cs="Palatino Linotype"/>
          <w:b/>
          <w:bCs/>
          <w:color w:val="000000"/>
          <w:u w:val="single"/>
        </w:rPr>
        <w:t>0.page.pdf</w:t>
      </w:r>
    </w:p>
    <w:p w:rsidR="009A0B7B" w:rsidRDefault="00E10797">
      <w:pPr>
        <w:pBdr>
          <w:top w:val="nil"/>
          <w:left w:val="nil"/>
          <w:bottom w:val="nil"/>
          <w:right w:val="nil"/>
          <w:between w:val="nil"/>
        </w:pBdr>
        <w:tabs>
          <w:tab w:val="left" w:pos="284"/>
        </w:tabs>
        <w:ind w:left="567" w:right="-734"/>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Formato de acuse de interposición del recurso de revisión.</w:t>
      </w:r>
    </w:p>
    <w:p w:rsidR="009A0B7B" w:rsidRDefault="009A0B7B">
      <w:pPr>
        <w:pBdr>
          <w:top w:val="nil"/>
          <w:left w:val="nil"/>
          <w:bottom w:val="nil"/>
          <w:right w:val="nil"/>
          <w:between w:val="nil"/>
        </w:pBdr>
        <w:tabs>
          <w:tab w:val="left" w:pos="284"/>
        </w:tabs>
        <w:ind w:left="567" w:right="-734"/>
        <w:jc w:val="both"/>
        <w:rPr>
          <w:rFonts w:ascii="Palatino Linotype" w:eastAsia="Palatino Linotype" w:hAnsi="Palatino Linotype" w:cs="Palatino Linotype"/>
          <w:b/>
          <w:bCs/>
          <w:color w:val="000000"/>
          <w:u w:val="single"/>
        </w:rPr>
      </w:pPr>
    </w:p>
    <w:p w:rsidR="009A0B7B" w:rsidRDefault="00E10797">
      <w:pPr>
        <w:pBdr>
          <w:top w:val="nil"/>
          <w:left w:val="nil"/>
          <w:bottom w:val="nil"/>
          <w:right w:val="nil"/>
          <w:between w:val="nil"/>
        </w:pBdr>
        <w:tabs>
          <w:tab w:val="left" w:pos="284"/>
        </w:tabs>
        <w:ind w:left="567" w:right="-734"/>
        <w:jc w:val="both"/>
        <w:rPr>
          <w:rFonts w:ascii="Palatino Linotype" w:eastAsia="Palatino Linotype" w:hAnsi="Palatino Linotype" w:cs="Palatino Linotype"/>
          <w:b/>
          <w:bCs/>
          <w:color w:val="000000"/>
          <w:u w:val="single"/>
        </w:rPr>
      </w:pPr>
      <w:r>
        <w:rPr>
          <w:rFonts w:ascii="Palatino Linotype" w:eastAsia="Palatino Linotype" w:hAnsi="Palatino Linotype" w:cs="Palatino Linotype"/>
          <w:b/>
          <w:bCs/>
          <w:color w:val="000000"/>
          <w:u w:val="single"/>
        </w:rPr>
        <w:t>TicketDigital.pdf</w:t>
      </w:r>
    </w:p>
    <w:p w:rsidR="009A0B7B" w:rsidRDefault="00E10797">
      <w:pPr>
        <w:pBdr>
          <w:top w:val="nil"/>
          <w:left w:val="nil"/>
          <w:bottom w:val="nil"/>
          <w:right w:val="nil"/>
          <w:between w:val="nil"/>
        </w:pBdr>
        <w:tabs>
          <w:tab w:val="left" w:pos="284"/>
        </w:tabs>
        <w:ind w:left="567" w:right="-734"/>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Documento remitido en respuesta de la Dirección de lo Jurídico Consultivo.</w:t>
      </w:r>
    </w:p>
    <w:p w:rsidR="009A0B7B" w:rsidRDefault="009A0B7B">
      <w:pPr>
        <w:pBdr>
          <w:top w:val="nil"/>
          <w:left w:val="nil"/>
          <w:bottom w:val="nil"/>
          <w:right w:val="nil"/>
          <w:between w:val="nil"/>
        </w:pBdr>
        <w:tabs>
          <w:tab w:val="left" w:pos="284"/>
        </w:tabs>
        <w:ind w:left="567" w:right="-734"/>
        <w:jc w:val="both"/>
        <w:rPr>
          <w:rFonts w:ascii="Palatino Linotype" w:eastAsia="Palatino Linotype" w:hAnsi="Palatino Linotype" w:cs="Palatino Linotype"/>
          <w:color w:val="000000"/>
        </w:rPr>
      </w:pPr>
    </w:p>
    <w:p w:rsidR="009A0B7B" w:rsidRDefault="00E10797">
      <w:pPr>
        <w:pBdr>
          <w:top w:val="nil"/>
          <w:left w:val="nil"/>
          <w:bottom w:val="nil"/>
          <w:right w:val="nil"/>
          <w:between w:val="nil"/>
        </w:pBdr>
        <w:tabs>
          <w:tab w:val="left" w:pos="284"/>
        </w:tabs>
        <w:ind w:left="567" w:right="-734"/>
        <w:jc w:val="both"/>
        <w:rPr>
          <w:rFonts w:ascii="Palatino Linotype" w:eastAsia="Palatino Linotype" w:hAnsi="Palatino Linotype" w:cs="Palatino Linotype"/>
          <w:b/>
          <w:bCs/>
          <w:color w:val="000000"/>
          <w:u w:val="single"/>
        </w:rPr>
      </w:pPr>
      <w:r>
        <w:rPr>
          <w:rFonts w:ascii="Palatino Linotype" w:eastAsia="Palatino Linotype" w:hAnsi="Palatino Linotype" w:cs="Palatino Linotype"/>
          <w:b/>
          <w:bCs/>
          <w:color w:val="000000"/>
          <w:u w:val="single"/>
        </w:rPr>
        <w:t>770121.page.pdf</w:t>
      </w:r>
    </w:p>
    <w:p w:rsidR="009A0B7B" w:rsidRDefault="00E10797">
      <w:pPr>
        <w:pBdr>
          <w:top w:val="nil"/>
          <w:left w:val="nil"/>
          <w:bottom w:val="nil"/>
          <w:right w:val="nil"/>
          <w:between w:val="nil"/>
        </w:pBdr>
        <w:tabs>
          <w:tab w:val="left" w:pos="284"/>
        </w:tabs>
        <w:ind w:left="567" w:right="-734"/>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Formato de acuse de solicitud de información.</w:t>
      </w:r>
    </w:p>
    <w:p w:rsidR="009A0B7B" w:rsidRDefault="009A0B7B">
      <w:pPr>
        <w:pBdr>
          <w:top w:val="nil"/>
          <w:left w:val="nil"/>
          <w:bottom w:val="nil"/>
          <w:right w:val="nil"/>
          <w:between w:val="nil"/>
        </w:pBdr>
        <w:tabs>
          <w:tab w:val="left" w:pos="284"/>
        </w:tabs>
        <w:ind w:left="567" w:right="-734"/>
        <w:jc w:val="both"/>
        <w:rPr>
          <w:rFonts w:ascii="Palatino Linotype" w:eastAsia="Palatino Linotype" w:hAnsi="Palatino Linotype" w:cs="Palatino Linotype"/>
          <w:b/>
          <w:bCs/>
        </w:rPr>
      </w:pPr>
    </w:p>
    <w:p w:rsidR="009A0B7B" w:rsidRDefault="009A0B7B">
      <w:pPr>
        <w:pBdr>
          <w:top w:val="nil"/>
          <w:left w:val="nil"/>
          <w:bottom w:val="nil"/>
          <w:right w:val="nil"/>
          <w:between w:val="nil"/>
        </w:pBdr>
        <w:tabs>
          <w:tab w:val="left" w:pos="284"/>
        </w:tabs>
        <w:ind w:left="567" w:right="-734"/>
        <w:jc w:val="both"/>
        <w:rPr>
          <w:rFonts w:ascii="Palatino Linotype" w:eastAsia="Palatino Linotype" w:hAnsi="Palatino Linotype" w:cs="Palatino Linotype"/>
          <w:b/>
          <w:bCs/>
        </w:rPr>
      </w:pPr>
    </w:p>
    <w:p w:rsidR="009A0B7B" w:rsidRDefault="00E10797">
      <w:pPr>
        <w:numPr>
          <w:ilvl w:val="0"/>
          <w:numId w:val="4"/>
        </w:numPr>
        <w:pBdr>
          <w:top w:val="nil"/>
          <w:left w:val="nil"/>
          <w:bottom w:val="nil"/>
          <w:right w:val="nil"/>
          <w:between w:val="nil"/>
        </w:pBdr>
        <w:tabs>
          <w:tab w:val="left" w:pos="284"/>
        </w:tabs>
        <w:spacing w:line="360" w:lineRule="auto"/>
        <w:ind w:left="0" w:right="-734" w:firstLine="0"/>
        <w:jc w:val="both"/>
        <w:rPr>
          <w:color w:val="000000"/>
        </w:rPr>
      </w:pPr>
      <w:r>
        <w:rPr>
          <w:rFonts w:ascii="Palatino Linotype" w:eastAsia="Palatino Linotype" w:hAnsi="Palatino Linotype" w:cs="Palatino Linotype"/>
          <w:color w:val="000000"/>
        </w:rPr>
        <w:t>Por su parte el Sujeto Obligado no remitió informe justificado.</w:t>
      </w:r>
    </w:p>
    <w:p w:rsidR="009A0B7B" w:rsidRDefault="009A0B7B">
      <w:pPr>
        <w:pBdr>
          <w:top w:val="nil"/>
          <w:left w:val="nil"/>
          <w:bottom w:val="nil"/>
          <w:right w:val="nil"/>
          <w:between w:val="nil"/>
        </w:pBdr>
        <w:tabs>
          <w:tab w:val="left" w:pos="284"/>
        </w:tabs>
        <w:spacing w:line="360" w:lineRule="auto"/>
        <w:ind w:right="-734"/>
        <w:jc w:val="both"/>
        <w:rPr>
          <w:rFonts w:ascii="Palatino Linotype" w:eastAsia="Palatino Linotype" w:hAnsi="Palatino Linotype" w:cs="Palatino Linotype"/>
          <w:color w:val="000000"/>
        </w:rPr>
      </w:pPr>
    </w:p>
    <w:p w:rsidR="009A0B7B" w:rsidRDefault="00E10797">
      <w:pPr>
        <w:numPr>
          <w:ilvl w:val="0"/>
          <w:numId w:val="4"/>
        </w:numPr>
        <w:pBdr>
          <w:top w:val="nil"/>
          <w:left w:val="nil"/>
          <w:bottom w:val="nil"/>
          <w:right w:val="nil"/>
          <w:between w:val="nil"/>
        </w:pBdr>
        <w:tabs>
          <w:tab w:val="left" w:pos="284"/>
        </w:tabs>
        <w:spacing w:line="360" w:lineRule="auto"/>
        <w:ind w:left="0" w:right="-734" w:firstLine="0"/>
        <w:jc w:val="both"/>
        <w:rPr>
          <w:color w:val="000000"/>
        </w:rPr>
      </w:pPr>
      <w:r>
        <w:rPr>
          <w:rFonts w:ascii="Palatino Linotype" w:eastAsia="Palatino Linotype" w:hAnsi="Palatino Linotype" w:cs="Palatino Linotype"/>
          <w:color w:val="000000"/>
        </w:rPr>
        <w:t xml:space="preserve">El veintinueve de abril de dos mil veintiséis, </w:t>
      </w:r>
      <w:r>
        <w:rPr>
          <w:rFonts w:ascii="Palatino Linotype" w:eastAsia="Palatino Linotype" w:hAnsi="Palatino Linotype" w:cs="Palatino Linotype"/>
          <w:b/>
          <w:bCs/>
          <w:color w:val="000000"/>
        </w:rPr>
        <w:t xml:space="preserve">el </w:t>
      </w:r>
      <w:r>
        <w:rPr>
          <w:rFonts w:ascii="Palatino Linotype" w:eastAsia="Palatino Linotype" w:hAnsi="Palatino Linotype" w:cs="Palatino Linotype"/>
          <w:b/>
          <w:bCs/>
        </w:rPr>
        <w:t>Recurrente desistió</w:t>
      </w:r>
      <w:r>
        <w:t xml:space="preserve"> </w:t>
      </w:r>
      <w:r>
        <w:rPr>
          <w:rFonts w:ascii="Palatino Linotype" w:eastAsia="Palatino Linotype" w:hAnsi="Palatino Linotype" w:cs="Palatino Linotype"/>
          <w:b/>
          <w:bCs/>
          <w:color w:val="000000"/>
        </w:rPr>
        <w:t>del recurso de revisión</w:t>
      </w:r>
      <w:r>
        <w:rPr>
          <w:rFonts w:ascii="Palatino Linotype" w:eastAsia="Palatino Linotype" w:hAnsi="Palatino Linotype" w:cs="Palatino Linotype"/>
          <w:color w:val="000000"/>
        </w:rPr>
        <w:t xml:space="preserve">. </w:t>
      </w:r>
    </w:p>
    <w:p w:rsidR="009A0B7B" w:rsidRDefault="00E10797">
      <w:pPr>
        <w:numPr>
          <w:ilvl w:val="0"/>
          <w:numId w:val="4"/>
        </w:numPr>
        <w:pBdr>
          <w:top w:val="nil"/>
          <w:left w:val="nil"/>
          <w:bottom w:val="nil"/>
          <w:right w:val="nil"/>
          <w:between w:val="nil"/>
        </w:pBdr>
        <w:tabs>
          <w:tab w:val="left" w:pos="426"/>
        </w:tabs>
        <w:spacing w:line="360" w:lineRule="auto"/>
        <w:ind w:left="0" w:right="-734" w:firstLine="0"/>
        <w:jc w:val="both"/>
        <w:rPr>
          <w:color w:val="000000"/>
        </w:rPr>
      </w:pPr>
      <w:bookmarkStart w:id="1" w:name="_heading=h.1lpsc7r731un" w:colFirst="0" w:colLast="0"/>
      <w:bookmarkEnd w:id="1"/>
      <w:r>
        <w:rPr>
          <w:rFonts w:ascii="Palatino Linotype" w:eastAsia="Palatino Linotype" w:hAnsi="Palatino Linotype" w:cs="Palatino Linotype"/>
          <w:color w:val="000000"/>
        </w:rPr>
        <w:lastRenderedPageBreak/>
        <w:t xml:space="preserve">La Comisionada Ponente notificó el acuerdo de </w:t>
      </w:r>
      <w:r>
        <w:rPr>
          <w:rFonts w:ascii="Palatino Linotype" w:eastAsia="Palatino Linotype" w:hAnsi="Palatino Linotype" w:cs="Palatino Linotype"/>
          <w:b/>
          <w:bCs/>
          <w:color w:val="000000"/>
        </w:rPr>
        <w:t>cierre de instrucción</w:t>
      </w:r>
      <w:r>
        <w:rPr>
          <w:rFonts w:ascii="Palatino Linotype" w:eastAsia="Palatino Linotype" w:hAnsi="Palatino Linotype" w:cs="Palatino Linotype"/>
          <w:color w:val="000000"/>
        </w:rPr>
        <w:t xml:space="preserve"> en fecha catorce de mayo de dos mil veintiséis. </w:t>
      </w:r>
    </w:p>
    <w:p w:rsidR="009A0B7B" w:rsidRDefault="009A0B7B">
      <w:pPr>
        <w:pBdr>
          <w:top w:val="nil"/>
          <w:left w:val="nil"/>
          <w:bottom w:val="nil"/>
          <w:right w:val="nil"/>
          <w:between w:val="nil"/>
        </w:pBdr>
        <w:spacing w:line="360" w:lineRule="auto"/>
        <w:ind w:right="-734"/>
        <w:jc w:val="both"/>
        <w:rPr>
          <w:rFonts w:ascii="Palatino Linotype" w:eastAsia="Palatino Linotype" w:hAnsi="Palatino Linotype" w:cs="Palatino Linotype"/>
        </w:rPr>
      </w:pPr>
    </w:p>
    <w:p w:rsidR="009A0B7B" w:rsidRDefault="00E10797">
      <w:pPr>
        <w:pStyle w:val="Ttulo2"/>
        <w:ind w:right="-734"/>
        <w:jc w:val="center"/>
        <w:rPr>
          <w:rFonts w:ascii="Palatino Linotype" w:eastAsia="Palatino Linotype" w:hAnsi="Palatino Linotype" w:cs="Palatino Linotype"/>
          <w:b/>
          <w:bCs/>
          <w:color w:val="000000"/>
          <w:sz w:val="24"/>
          <w:szCs w:val="24"/>
        </w:rPr>
      </w:pPr>
      <w:bookmarkStart w:id="2" w:name="_heading=h.8ld75kftjn37" w:colFirst="0" w:colLast="0"/>
      <w:bookmarkEnd w:id="2"/>
      <w:r>
        <w:rPr>
          <w:rFonts w:ascii="Palatino Linotype" w:eastAsia="Palatino Linotype" w:hAnsi="Palatino Linotype" w:cs="Palatino Linotype"/>
          <w:b/>
          <w:bCs/>
          <w:color w:val="000000"/>
          <w:sz w:val="24"/>
          <w:szCs w:val="24"/>
        </w:rPr>
        <w:t>C O N S I D E R A N D O</w:t>
      </w:r>
    </w:p>
    <w:p w:rsidR="009A0B7B" w:rsidRDefault="009A0B7B">
      <w:pPr>
        <w:ind w:right="-734"/>
      </w:pPr>
    </w:p>
    <w:p w:rsidR="009A0B7B" w:rsidRDefault="00E10797">
      <w:pPr>
        <w:pStyle w:val="Ttulo2"/>
        <w:spacing w:line="360" w:lineRule="auto"/>
        <w:ind w:right="-734"/>
        <w:rPr>
          <w:rFonts w:ascii="Palatino Linotype" w:eastAsia="Palatino Linotype" w:hAnsi="Palatino Linotype" w:cs="Palatino Linotype"/>
          <w:b/>
          <w:bCs/>
          <w:color w:val="000000"/>
          <w:sz w:val="24"/>
          <w:szCs w:val="24"/>
        </w:rPr>
      </w:pPr>
      <w:bookmarkStart w:id="3" w:name="_heading=h.5vbyij6rwh2s" w:colFirst="0" w:colLast="0"/>
      <w:bookmarkEnd w:id="3"/>
      <w:r>
        <w:rPr>
          <w:rFonts w:ascii="Palatino Linotype" w:eastAsia="Palatino Linotype" w:hAnsi="Palatino Linotype" w:cs="Palatino Linotype"/>
          <w:b/>
          <w:bCs/>
          <w:color w:val="000000"/>
          <w:sz w:val="24"/>
          <w:szCs w:val="24"/>
        </w:rPr>
        <w:t>PRIMERO. De la competencia</w:t>
      </w:r>
    </w:p>
    <w:p w:rsidR="009A0B7B" w:rsidRPr="001C5A62" w:rsidRDefault="00E10797">
      <w:pPr>
        <w:numPr>
          <w:ilvl w:val="0"/>
          <w:numId w:val="4"/>
        </w:numPr>
        <w:spacing w:line="360" w:lineRule="auto"/>
        <w:ind w:left="0" w:right="-734" w:firstLine="0"/>
        <w:jc w:val="both"/>
      </w:pPr>
      <w:r>
        <w:rPr>
          <w:rFonts w:ascii="Palatino Linotype" w:eastAsia="Palatino Linotype" w:hAnsi="Palatino Linotype" w:cs="Palatino Linotype"/>
        </w:rPr>
        <w:t>Este Instituto de Transparencia, Acceso a la Información Pública y Protección de Datos Personales del Estado de México, es competente para conocer y resolver el presente recurso de revisión interpuesto por el Recurrente conforme a lo dispuesto en los artículos 6, apartado A, fracción IV de la Constitución Política de los Estados Unidos Mexicanos; 5, párrafos cuadragésimo cuarto, cuadragésimo quinto y cuadragésimo sexto,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1C5A62" w:rsidRDefault="001C5A62" w:rsidP="001C5A62">
      <w:pPr>
        <w:spacing w:line="360" w:lineRule="auto"/>
        <w:ind w:right="-734"/>
        <w:jc w:val="both"/>
      </w:pPr>
    </w:p>
    <w:p w:rsidR="009A0B7B" w:rsidRDefault="00E10797">
      <w:pPr>
        <w:pStyle w:val="Ttulo2"/>
        <w:tabs>
          <w:tab w:val="left" w:pos="284"/>
          <w:tab w:val="left" w:pos="426"/>
        </w:tabs>
        <w:spacing w:line="360" w:lineRule="auto"/>
        <w:ind w:right="-734"/>
        <w:rPr>
          <w:rFonts w:ascii="Palatino Linotype" w:eastAsia="Palatino Linotype" w:hAnsi="Palatino Linotype" w:cs="Palatino Linotype"/>
          <w:b/>
          <w:bCs/>
          <w:color w:val="000000"/>
          <w:sz w:val="24"/>
          <w:szCs w:val="24"/>
        </w:rPr>
      </w:pPr>
      <w:bookmarkStart w:id="4" w:name="_heading=h.jdug9v26xbju" w:colFirst="0" w:colLast="0"/>
      <w:bookmarkEnd w:id="4"/>
      <w:r>
        <w:rPr>
          <w:rFonts w:ascii="Palatino Linotype" w:eastAsia="Palatino Linotype" w:hAnsi="Palatino Linotype" w:cs="Palatino Linotype"/>
          <w:b/>
          <w:bCs/>
          <w:color w:val="000000"/>
          <w:sz w:val="24"/>
          <w:szCs w:val="24"/>
        </w:rPr>
        <w:t>SEGUNDO. De la oportunidad y procedencia.</w:t>
      </w:r>
    </w:p>
    <w:p w:rsidR="009A0B7B" w:rsidRDefault="00E10797">
      <w:pPr>
        <w:numPr>
          <w:ilvl w:val="0"/>
          <w:numId w:val="4"/>
        </w:numPr>
        <w:spacing w:line="360" w:lineRule="auto"/>
        <w:ind w:left="0" w:right="-734" w:firstLine="0"/>
        <w:jc w:val="both"/>
      </w:pPr>
      <w:r>
        <w:rPr>
          <w:rFonts w:ascii="Palatino Linotype" w:eastAsia="Palatino Linotype" w:hAnsi="Palatino Linotype" w:cs="Palatino Linotype"/>
        </w:rPr>
        <w:t xml:space="preserve">El medio de impugnación fue presentado a través del </w:t>
      </w:r>
      <w:r>
        <w:rPr>
          <w:rFonts w:ascii="Palatino Linotype" w:eastAsia="Palatino Linotype" w:hAnsi="Palatino Linotype" w:cs="Palatino Linotype"/>
          <w:b/>
          <w:bCs/>
        </w:rPr>
        <w:t>SAIMEX,</w:t>
      </w:r>
      <w:r>
        <w:rPr>
          <w:rFonts w:ascii="Palatino Linotype" w:eastAsia="Palatino Linotype" w:hAnsi="Palatino Linotype" w:cs="Palatino Linotype"/>
        </w:rPr>
        <w:t xml:space="preserve"> en el formato previamente aprobado para tal efecto y dentro del plazo legal de quince días hábiles otorgados; siendo así que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entregó respuesta a la solicitud el </w:t>
      </w:r>
      <w:r>
        <w:rPr>
          <w:rFonts w:ascii="Palatino Linotype" w:eastAsia="Palatino Linotype" w:hAnsi="Palatino Linotype" w:cs="Palatino Linotype"/>
          <w:b/>
          <w:bCs/>
        </w:rPr>
        <w:t>veintiuno de abril de dos mil veintiséis</w:t>
      </w:r>
      <w:r>
        <w:rPr>
          <w:rFonts w:ascii="Palatino Linotype" w:eastAsia="Palatino Linotype" w:hAnsi="Palatino Linotype" w:cs="Palatino Linotype"/>
        </w:rPr>
        <w:t xml:space="preserve">, de tal forma que el plazo para interponer el recurso de revisión transcurrió del </w:t>
      </w:r>
      <w:r>
        <w:rPr>
          <w:rFonts w:ascii="Palatino Linotype" w:eastAsia="Palatino Linotype" w:hAnsi="Palatino Linotype" w:cs="Palatino Linotype"/>
          <w:b/>
          <w:bCs/>
        </w:rPr>
        <w:t>veintidós de abril al catorce de mayo de dos mil veintiséis</w:t>
      </w:r>
      <w:r>
        <w:rPr>
          <w:rFonts w:ascii="Palatino Linotype" w:eastAsia="Palatino Linotype" w:hAnsi="Palatino Linotype" w:cs="Palatino Linotype"/>
        </w:rPr>
        <w:t xml:space="preserve">; en consecuencia, presentó su inconformidad el </w:t>
      </w:r>
      <w:r>
        <w:rPr>
          <w:rFonts w:ascii="Palatino Linotype" w:eastAsia="Palatino Linotype" w:hAnsi="Palatino Linotype" w:cs="Palatino Linotype"/>
          <w:b/>
          <w:bCs/>
        </w:rPr>
        <w:t>veintidós de abril de dos mil veintiséis</w:t>
      </w:r>
      <w:r>
        <w:rPr>
          <w:rFonts w:ascii="Palatino Linotype" w:eastAsia="Palatino Linotype" w:hAnsi="Palatino Linotype" w:cs="Palatino Linotype"/>
        </w:rPr>
        <w:t xml:space="preserve">, por lo que se encuentra dentro de los márgenes temporales previstos en el artículo 178 de la </w:t>
      </w:r>
      <w:r>
        <w:rPr>
          <w:rFonts w:ascii="Palatino Linotype" w:eastAsia="Palatino Linotype" w:hAnsi="Palatino Linotype" w:cs="Palatino Linotype"/>
          <w:b/>
          <w:bCs/>
        </w:rPr>
        <w:t xml:space="preserve">Ley de </w:t>
      </w:r>
      <w:r>
        <w:rPr>
          <w:rFonts w:ascii="Palatino Linotype" w:eastAsia="Palatino Linotype" w:hAnsi="Palatino Linotype" w:cs="Palatino Linotype"/>
          <w:b/>
          <w:bCs/>
        </w:rPr>
        <w:lastRenderedPageBreak/>
        <w:t xml:space="preserve">Transparencia y Acceso a la Información Pública del Estado de México y Municipios </w:t>
      </w:r>
      <w:r>
        <w:rPr>
          <w:rFonts w:ascii="Palatino Linotype" w:eastAsia="Palatino Linotype" w:hAnsi="Palatino Linotype" w:cs="Palatino Linotype"/>
        </w:rPr>
        <w:t>vigente.</w:t>
      </w:r>
    </w:p>
    <w:p w:rsidR="009A0B7B" w:rsidRDefault="00E10797">
      <w:pPr>
        <w:numPr>
          <w:ilvl w:val="0"/>
          <w:numId w:val="4"/>
        </w:numPr>
        <w:pBdr>
          <w:top w:val="nil"/>
          <w:left w:val="nil"/>
          <w:bottom w:val="nil"/>
          <w:right w:val="nil"/>
          <w:between w:val="nil"/>
        </w:pBdr>
        <w:tabs>
          <w:tab w:val="left" w:pos="284"/>
          <w:tab w:val="left" w:pos="426"/>
        </w:tabs>
        <w:spacing w:before="240" w:line="360" w:lineRule="auto"/>
        <w:ind w:left="0" w:right="-734" w:firstLine="0"/>
        <w:jc w:val="both"/>
        <w:rPr>
          <w:color w:val="000000"/>
        </w:rPr>
      </w:pPr>
      <w:r>
        <w:rPr>
          <w:rFonts w:ascii="Palatino Linotype" w:eastAsia="Palatino Linotype" w:hAnsi="Palatino Linotype" w:cs="Palatino Linotype"/>
          <w:color w:val="000000"/>
        </w:rPr>
        <w:t>Consecuencia de lo anterior, esté Órgano Garante reconoce que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9A0B7B" w:rsidRDefault="009A0B7B">
      <w:pPr>
        <w:pBdr>
          <w:top w:val="nil"/>
          <w:left w:val="nil"/>
          <w:bottom w:val="nil"/>
          <w:right w:val="nil"/>
          <w:between w:val="nil"/>
        </w:pBdr>
        <w:tabs>
          <w:tab w:val="left" w:pos="284"/>
          <w:tab w:val="left" w:pos="426"/>
        </w:tabs>
        <w:ind w:right="-734"/>
        <w:rPr>
          <w:rFonts w:ascii="Palatino Linotype" w:eastAsia="Palatino Linotype" w:hAnsi="Palatino Linotype" w:cs="Palatino Linotype"/>
          <w:color w:val="000000"/>
        </w:rPr>
      </w:pPr>
    </w:p>
    <w:p w:rsidR="009A0B7B" w:rsidRDefault="00E10797">
      <w:pPr>
        <w:pStyle w:val="Ttulo1"/>
        <w:tabs>
          <w:tab w:val="left" w:pos="284"/>
          <w:tab w:val="left" w:pos="426"/>
        </w:tabs>
        <w:spacing w:line="360" w:lineRule="auto"/>
        <w:ind w:right="-734"/>
        <w:rPr>
          <w:rFonts w:ascii="Palatino Linotype" w:eastAsia="Palatino Linotype" w:hAnsi="Palatino Linotype" w:cs="Palatino Linotype"/>
          <w:b/>
          <w:bCs/>
          <w:color w:val="000000"/>
          <w:sz w:val="24"/>
          <w:szCs w:val="24"/>
        </w:rPr>
      </w:pPr>
      <w:bookmarkStart w:id="5" w:name="_heading=h.l766s1jn0xz5" w:colFirst="0" w:colLast="0"/>
      <w:bookmarkEnd w:id="5"/>
      <w:r>
        <w:rPr>
          <w:rFonts w:ascii="Palatino Linotype" w:eastAsia="Palatino Linotype" w:hAnsi="Palatino Linotype" w:cs="Palatino Linotype"/>
          <w:b/>
          <w:bCs/>
          <w:color w:val="000000"/>
          <w:sz w:val="24"/>
          <w:szCs w:val="24"/>
        </w:rPr>
        <w:t>TERCERO. De las causales del sobreseimiento.</w:t>
      </w:r>
    </w:p>
    <w:p w:rsidR="001C5A62" w:rsidRDefault="00E10797" w:rsidP="001C5A62">
      <w:pPr>
        <w:numPr>
          <w:ilvl w:val="0"/>
          <w:numId w:val="4"/>
        </w:numPr>
        <w:pBdr>
          <w:top w:val="nil"/>
          <w:left w:val="nil"/>
          <w:bottom w:val="nil"/>
          <w:right w:val="nil"/>
          <w:between w:val="nil"/>
        </w:pBdr>
        <w:tabs>
          <w:tab w:val="left" w:pos="284"/>
          <w:tab w:val="left" w:pos="426"/>
        </w:tabs>
        <w:spacing w:before="240" w:line="360" w:lineRule="auto"/>
        <w:ind w:left="0" w:right="-734" w:firstLine="0"/>
        <w:jc w:val="both"/>
        <w:rPr>
          <w:color w:val="000000"/>
        </w:rPr>
      </w:pPr>
      <w:bookmarkStart w:id="6" w:name="_heading=h.porr2bp64jpi" w:colFirst="0" w:colLast="0"/>
      <w:bookmarkEnd w:id="6"/>
      <w:r w:rsidRPr="001C5A62">
        <w:rPr>
          <w:rFonts w:ascii="Palatino Linotype" w:eastAsia="Palatino Linotype" w:hAnsi="Palatino Linotype" w:cs="Palatino Linotype"/>
          <w:color w:val="000000"/>
        </w:rPr>
        <w:t xml:space="preserve">El recurso revisión tiene como finalidad reparar cualquier posible afectación al Derecho de Acceso a la Información Pública en términos del Título Octavo de la Ley de Transparencia, Acceso a la Información Pública del Estado de México y Municipios, y determinar la confirmación; revocación o modificación; desechamiento o </w:t>
      </w:r>
      <w:r w:rsidRPr="001C5A62">
        <w:rPr>
          <w:rFonts w:ascii="Palatino Linotype" w:eastAsia="Palatino Linotype" w:hAnsi="Palatino Linotype" w:cs="Palatino Linotype"/>
          <w:b/>
          <w:bCs/>
          <w:color w:val="000000"/>
          <w:u w:val="single"/>
        </w:rPr>
        <w:t>sobreseimiento</w:t>
      </w:r>
      <w:r w:rsidRPr="001C5A62">
        <w:rPr>
          <w:rFonts w:ascii="Palatino Linotype" w:eastAsia="Palatino Linotype" w:hAnsi="Palatino Linotype" w:cs="Palatino Linotype"/>
          <w:color w:val="000000"/>
        </w:rPr>
        <w:t xml:space="preserve">; y, en su caso, ordenar la entrega de la información respecto a la falta de respuesta por parte del </w:t>
      </w:r>
      <w:r w:rsidRPr="001C5A62">
        <w:rPr>
          <w:rFonts w:ascii="Palatino Linotype" w:eastAsia="Palatino Linotype" w:hAnsi="Palatino Linotype" w:cs="Palatino Linotype"/>
          <w:b/>
          <w:bCs/>
          <w:color w:val="000000"/>
        </w:rPr>
        <w:t>SUJETO</w:t>
      </w:r>
      <w:r w:rsidRPr="001C5A62">
        <w:rPr>
          <w:rFonts w:ascii="Palatino Linotype" w:eastAsia="Palatino Linotype" w:hAnsi="Palatino Linotype" w:cs="Palatino Linotype"/>
          <w:color w:val="000000"/>
        </w:rPr>
        <w:t xml:space="preserve"> </w:t>
      </w:r>
      <w:r w:rsidRPr="001C5A62">
        <w:rPr>
          <w:rFonts w:ascii="Palatino Linotype" w:eastAsia="Palatino Linotype" w:hAnsi="Palatino Linotype" w:cs="Palatino Linotype"/>
          <w:b/>
          <w:bCs/>
          <w:color w:val="000000"/>
        </w:rPr>
        <w:t>OBLIGADO</w:t>
      </w:r>
      <w:r w:rsidRPr="001C5A62">
        <w:rPr>
          <w:rFonts w:ascii="Palatino Linotype" w:eastAsia="Palatino Linotype" w:hAnsi="Palatino Linotype" w:cs="Palatino Linotype"/>
          <w:color w:val="000000"/>
        </w:rPr>
        <w:t>.</w:t>
      </w:r>
      <w:bookmarkStart w:id="7" w:name="_heading=h.9wkc87yt7736" w:colFirst="0" w:colLast="0"/>
      <w:bookmarkEnd w:id="7"/>
    </w:p>
    <w:p w:rsidR="009A0B7B" w:rsidRPr="001C5A62" w:rsidRDefault="00E10797" w:rsidP="001C5A62">
      <w:pPr>
        <w:numPr>
          <w:ilvl w:val="0"/>
          <w:numId w:val="4"/>
        </w:numPr>
        <w:pBdr>
          <w:top w:val="nil"/>
          <w:left w:val="nil"/>
          <w:bottom w:val="nil"/>
          <w:right w:val="nil"/>
          <w:between w:val="nil"/>
        </w:pBdr>
        <w:tabs>
          <w:tab w:val="left" w:pos="284"/>
          <w:tab w:val="left" w:pos="426"/>
        </w:tabs>
        <w:spacing w:before="240" w:line="360" w:lineRule="auto"/>
        <w:ind w:left="0" w:right="-734" w:firstLine="0"/>
        <w:jc w:val="both"/>
        <w:rPr>
          <w:color w:val="000000"/>
        </w:rPr>
      </w:pPr>
      <w:r w:rsidRPr="001C5A62">
        <w:rPr>
          <w:rFonts w:ascii="Palatino Linotype" w:eastAsia="Palatino Linotype" w:hAnsi="Palatino Linotype" w:cs="Palatino Linotype"/>
          <w:color w:val="000000"/>
        </w:rPr>
        <w:t xml:space="preserve">Cabe destacar que el motivo de inconformidad del </w:t>
      </w:r>
      <w:r w:rsidRPr="001C5A62">
        <w:rPr>
          <w:rFonts w:ascii="Palatino Linotype" w:eastAsia="Palatino Linotype" w:hAnsi="Palatino Linotype" w:cs="Palatino Linotype"/>
          <w:b/>
          <w:bCs/>
          <w:color w:val="000000"/>
        </w:rPr>
        <w:t>RECURRENTE</w:t>
      </w:r>
      <w:r w:rsidRPr="001C5A62">
        <w:rPr>
          <w:rFonts w:ascii="Palatino Linotype" w:eastAsia="Palatino Linotype" w:hAnsi="Palatino Linotype" w:cs="Palatino Linotype"/>
          <w:color w:val="000000"/>
        </w:rPr>
        <w:t xml:space="preserve"> sobre la respuesta incompleta, actualiza la causal de improcedencia contenida en la fracción V, del artículo 179, de la Ley de Transparencia y Acceso a la Información Pública del Estado de México y Municipios, por lo que este Órgano Garante estaría en la posibilidad de analizar  el presente asunto; sin embargo, será </w:t>
      </w:r>
      <w:r w:rsidRPr="001C5A62">
        <w:rPr>
          <w:rFonts w:ascii="Palatino Linotype" w:eastAsia="Palatino Linotype" w:hAnsi="Palatino Linotype" w:cs="Palatino Linotype"/>
        </w:rPr>
        <w:t>eminentemente</w:t>
      </w:r>
      <w:r>
        <w:t xml:space="preserve"> </w:t>
      </w:r>
      <w:r w:rsidRPr="001C5A62">
        <w:rPr>
          <w:rFonts w:ascii="Palatino Linotype" w:eastAsia="Palatino Linotype" w:hAnsi="Palatino Linotype" w:cs="Palatino Linotype"/>
          <w:color w:val="000000"/>
        </w:rPr>
        <w:t xml:space="preserve">excusado el ingreso al estudio y análisis de la controversia en consecuencia de que, como quedara establecido, el particular, por propio derecho, </w:t>
      </w:r>
      <w:r w:rsidRPr="001C5A62">
        <w:rPr>
          <w:rFonts w:ascii="Palatino Linotype" w:eastAsia="Palatino Linotype" w:hAnsi="Palatino Linotype" w:cs="Palatino Linotype"/>
          <w:b/>
          <w:bCs/>
          <w:color w:val="000000"/>
        </w:rPr>
        <w:t>se desistió del recurso de revisión</w:t>
      </w:r>
      <w:r w:rsidRPr="001C5A62">
        <w:rPr>
          <w:rFonts w:ascii="Palatino Linotype" w:eastAsia="Palatino Linotype" w:hAnsi="Palatino Linotype" w:cs="Palatino Linotype"/>
          <w:color w:val="000000"/>
        </w:rPr>
        <w:t xml:space="preserve"> que nos ocupa, vía </w:t>
      </w:r>
      <w:r w:rsidRPr="001C5A62">
        <w:rPr>
          <w:rFonts w:ascii="Palatino Linotype" w:eastAsia="Palatino Linotype" w:hAnsi="Palatino Linotype" w:cs="Palatino Linotype"/>
          <w:i/>
          <w:iCs/>
          <w:color w:val="000000"/>
        </w:rPr>
        <w:t>SAIMEX</w:t>
      </w:r>
      <w:r w:rsidRPr="001C5A62">
        <w:rPr>
          <w:rFonts w:ascii="Palatino Linotype" w:eastAsia="Palatino Linotype" w:hAnsi="Palatino Linotype" w:cs="Palatino Linotype"/>
          <w:color w:val="000000"/>
        </w:rPr>
        <w:t>, el veintinueve de abril de dos mil veintiséis, como se ilustra a continuación:</w:t>
      </w:r>
    </w:p>
    <w:p w:rsidR="009A0B7B" w:rsidRDefault="00C25B6F">
      <w:pPr>
        <w:pBdr>
          <w:top w:val="nil"/>
          <w:left w:val="nil"/>
          <w:bottom w:val="nil"/>
          <w:right w:val="nil"/>
          <w:between w:val="nil"/>
        </w:pBdr>
        <w:tabs>
          <w:tab w:val="left" w:pos="284"/>
          <w:tab w:val="left" w:pos="426"/>
        </w:tabs>
        <w:spacing w:line="360" w:lineRule="auto"/>
        <w:ind w:right="-734"/>
        <w:jc w:val="both"/>
        <w:rPr>
          <w:color w:val="000000"/>
        </w:rPr>
      </w:pPr>
      <w:r w:rsidRPr="00C25B6F">
        <w:rPr>
          <w:color w:val="000000"/>
        </w:rPr>
        <w:lastRenderedPageBreak/>
        <w:drawing>
          <wp:inline distT="0" distB="0" distL="0" distR="0" wp14:anchorId="796A4385" wp14:editId="0BB4BD45">
            <wp:extent cx="5742940" cy="303339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42940" cy="3033395"/>
                    </a:xfrm>
                    <a:prstGeom prst="rect">
                      <a:avLst/>
                    </a:prstGeom>
                  </pic:spPr>
                </pic:pic>
              </a:graphicData>
            </a:graphic>
          </wp:inline>
        </w:drawing>
      </w:r>
    </w:p>
    <w:p w:rsidR="009A0B7B" w:rsidRDefault="009A0B7B">
      <w:pPr>
        <w:pBdr>
          <w:top w:val="nil"/>
          <w:left w:val="nil"/>
          <w:bottom w:val="nil"/>
          <w:right w:val="nil"/>
          <w:between w:val="nil"/>
        </w:pBdr>
        <w:tabs>
          <w:tab w:val="left" w:pos="284"/>
          <w:tab w:val="left" w:pos="426"/>
        </w:tabs>
        <w:spacing w:line="360" w:lineRule="auto"/>
        <w:ind w:right="-734"/>
        <w:jc w:val="both"/>
        <w:rPr>
          <w:rFonts w:ascii="Palatino Linotype" w:eastAsia="Palatino Linotype" w:hAnsi="Palatino Linotype" w:cs="Palatino Linotype"/>
          <w:color w:val="000000"/>
        </w:rPr>
      </w:pPr>
    </w:p>
    <w:p w:rsidR="009A0B7B" w:rsidRDefault="00E10797">
      <w:pPr>
        <w:numPr>
          <w:ilvl w:val="0"/>
          <w:numId w:val="4"/>
        </w:numPr>
        <w:pBdr>
          <w:top w:val="nil"/>
          <w:left w:val="nil"/>
          <w:bottom w:val="nil"/>
          <w:right w:val="nil"/>
          <w:between w:val="nil"/>
        </w:pBdr>
        <w:tabs>
          <w:tab w:val="left" w:pos="284"/>
          <w:tab w:val="left" w:pos="426"/>
        </w:tabs>
        <w:spacing w:line="360" w:lineRule="auto"/>
        <w:ind w:left="0" w:right="-734" w:firstLine="0"/>
        <w:jc w:val="both"/>
        <w:rPr>
          <w:color w:val="000000"/>
        </w:rPr>
      </w:pPr>
      <w:bookmarkStart w:id="8" w:name="_GoBack"/>
      <w:bookmarkEnd w:id="8"/>
      <w:r>
        <w:rPr>
          <w:rFonts w:ascii="Palatino Linotype" w:eastAsia="Palatino Linotype" w:hAnsi="Palatino Linotype" w:cs="Palatino Linotype"/>
          <w:color w:val="000000"/>
        </w:rPr>
        <w:t xml:space="preserve">De las imágenes, se advierte que efectivamente el particular hizo uso de la opción </w:t>
      </w:r>
      <w:r>
        <w:rPr>
          <w:rFonts w:ascii="Palatino Linotype" w:eastAsia="Palatino Linotype" w:hAnsi="Palatino Linotype" w:cs="Palatino Linotype"/>
          <w:b/>
          <w:bCs/>
          <w:i/>
          <w:iCs/>
          <w:color w:val="000000"/>
        </w:rPr>
        <w:t>“Desistir”</w:t>
      </w:r>
      <w:r>
        <w:rPr>
          <w:rFonts w:ascii="Palatino Linotype" w:eastAsia="Palatino Linotype" w:hAnsi="Palatino Linotype" w:cs="Palatino Linotype"/>
          <w:color w:val="000000"/>
        </w:rPr>
        <w:t xml:space="preserve"> al recurso de revisión en el propio </w:t>
      </w:r>
      <w:r>
        <w:rPr>
          <w:rFonts w:ascii="Palatino Linotype" w:eastAsia="Palatino Linotype" w:hAnsi="Palatino Linotype" w:cs="Palatino Linotype"/>
          <w:i/>
          <w:iCs/>
          <w:color w:val="000000"/>
        </w:rPr>
        <w:t>SAIMEX</w:t>
      </w:r>
      <w:r>
        <w:rPr>
          <w:rFonts w:ascii="Palatino Linotype" w:eastAsia="Palatino Linotype" w:hAnsi="Palatino Linotype" w:cs="Palatino Linotype"/>
          <w:color w:val="000000"/>
        </w:rPr>
        <w:t xml:space="preserve">, opción que </w:t>
      </w:r>
      <w:r>
        <w:rPr>
          <w:rFonts w:ascii="Palatino Linotype" w:eastAsia="Palatino Linotype" w:hAnsi="Palatino Linotype" w:cs="Palatino Linotype"/>
          <w:b/>
          <w:bCs/>
          <w:color w:val="000000"/>
        </w:rPr>
        <w:t>únicamente</w:t>
      </w:r>
      <w:r>
        <w:rPr>
          <w:rFonts w:ascii="Palatino Linotype" w:eastAsia="Palatino Linotype" w:hAnsi="Palatino Linotype" w:cs="Palatino Linotype"/>
          <w:color w:val="000000"/>
        </w:rPr>
        <w:t xml:space="preserve"> puede hacer uso el usuario dueño de la cuenta, previo ingreso de su nombre de usuario y contraseña; así las cosas, cabe resaltar de igual manera que, al seleccionar la opción de </w:t>
      </w:r>
      <w:r>
        <w:rPr>
          <w:rFonts w:ascii="Palatino Linotype" w:eastAsia="Palatino Linotype" w:hAnsi="Palatino Linotype" w:cs="Palatino Linotype"/>
          <w:b/>
          <w:bCs/>
          <w:color w:val="000000"/>
        </w:rPr>
        <w:t>desistimiento</w:t>
      </w:r>
      <w:r>
        <w:rPr>
          <w:rFonts w:ascii="Palatino Linotype" w:eastAsia="Palatino Linotype" w:hAnsi="Palatino Linotype" w:cs="Palatino Linotype"/>
          <w:color w:val="000000"/>
        </w:rPr>
        <w:t xml:space="preserve">, aparece al usuario una ventana de alerta con el objeto de que confirme que efectivamente es su deseo </w:t>
      </w:r>
      <w:r>
        <w:rPr>
          <w:rFonts w:ascii="Palatino Linotype" w:eastAsia="Palatino Linotype" w:hAnsi="Palatino Linotype" w:cs="Palatino Linotype"/>
          <w:b/>
          <w:bCs/>
          <w:color w:val="000000"/>
        </w:rPr>
        <w:t>desistirse</w:t>
      </w:r>
      <w:r>
        <w:rPr>
          <w:rFonts w:ascii="Palatino Linotype" w:eastAsia="Palatino Linotype" w:hAnsi="Palatino Linotype" w:cs="Palatino Linotype"/>
          <w:color w:val="000000"/>
        </w:rPr>
        <w:t xml:space="preserve"> del recurso; </w:t>
      </w:r>
      <w:r>
        <w:rPr>
          <w:rFonts w:ascii="Palatino Linotype" w:eastAsia="Palatino Linotype" w:hAnsi="Palatino Linotype" w:cs="Palatino Linotype"/>
          <w:b/>
          <w:bCs/>
          <w:color w:val="000000"/>
        </w:rPr>
        <w:t>luego entonces no es factible suponer que fue por error involuntario, lo que se constituye como un desistimiento expreso</w:t>
      </w:r>
      <w:r>
        <w:rPr>
          <w:rFonts w:ascii="Palatino Linotype" w:eastAsia="Palatino Linotype" w:hAnsi="Palatino Linotype" w:cs="Palatino Linotype"/>
          <w:color w:val="000000"/>
        </w:rPr>
        <w:t>.</w:t>
      </w:r>
    </w:p>
    <w:p w:rsidR="009A0B7B" w:rsidRDefault="009A0B7B">
      <w:pPr>
        <w:pBdr>
          <w:top w:val="nil"/>
          <w:left w:val="nil"/>
          <w:bottom w:val="nil"/>
          <w:right w:val="nil"/>
          <w:between w:val="nil"/>
        </w:pBdr>
        <w:tabs>
          <w:tab w:val="left" w:pos="426"/>
        </w:tabs>
        <w:spacing w:line="360" w:lineRule="auto"/>
        <w:ind w:right="-734"/>
        <w:jc w:val="both"/>
        <w:rPr>
          <w:rFonts w:ascii="Palatino Linotype" w:eastAsia="Palatino Linotype" w:hAnsi="Palatino Linotype" w:cs="Palatino Linotype"/>
          <w:color w:val="000000"/>
        </w:rPr>
      </w:pPr>
    </w:p>
    <w:p w:rsidR="009A0B7B" w:rsidRDefault="00E10797">
      <w:pPr>
        <w:numPr>
          <w:ilvl w:val="0"/>
          <w:numId w:val="4"/>
        </w:numPr>
        <w:pBdr>
          <w:top w:val="nil"/>
          <w:left w:val="nil"/>
          <w:bottom w:val="nil"/>
          <w:right w:val="nil"/>
          <w:between w:val="nil"/>
        </w:pBdr>
        <w:tabs>
          <w:tab w:val="left" w:pos="284"/>
          <w:tab w:val="left" w:pos="426"/>
        </w:tabs>
        <w:spacing w:line="360" w:lineRule="auto"/>
        <w:ind w:left="0" w:right="-734" w:firstLine="0"/>
        <w:jc w:val="both"/>
        <w:rPr>
          <w:color w:val="000000"/>
        </w:rPr>
      </w:pPr>
      <w:r>
        <w:rPr>
          <w:rFonts w:ascii="Palatino Linotype" w:eastAsia="Palatino Linotype" w:hAnsi="Palatino Linotype" w:cs="Palatino Linotype"/>
          <w:color w:val="000000"/>
        </w:rPr>
        <w:t xml:space="preserve">En ese orden de ideas el </w:t>
      </w:r>
      <w:r>
        <w:rPr>
          <w:rFonts w:ascii="Palatino Linotype" w:eastAsia="Palatino Linotype" w:hAnsi="Palatino Linotype" w:cs="Palatino Linotype"/>
        </w:rPr>
        <w:t>artículo</w:t>
      </w:r>
      <w:r>
        <w:t xml:space="preserve"> </w:t>
      </w:r>
      <w:r>
        <w:rPr>
          <w:rFonts w:ascii="Palatino Linotype" w:eastAsia="Palatino Linotype" w:hAnsi="Palatino Linotype" w:cs="Palatino Linotype"/>
          <w:color w:val="000000"/>
        </w:rPr>
        <w:t>192</w:t>
      </w:r>
      <w:r>
        <w:rPr>
          <w:rFonts w:ascii="Century Gothic" w:eastAsia="Century Gothic" w:hAnsi="Century Gothic" w:cs="Century Gothic"/>
          <w:color w:val="000000"/>
        </w:rPr>
        <w:t xml:space="preserve"> </w:t>
      </w:r>
      <w:r>
        <w:rPr>
          <w:rFonts w:ascii="Palatino Linotype" w:eastAsia="Palatino Linotype" w:hAnsi="Palatino Linotype" w:cs="Palatino Linotype"/>
          <w:color w:val="000000"/>
        </w:rPr>
        <w:t>Ley de Transparencia y Acceso a la Información Pública del Estado de México y Municipios, establece lo siguiente:</w:t>
      </w:r>
    </w:p>
    <w:p w:rsidR="009A0B7B" w:rsidRDefault="00E10797">
      <w:pPr>
        <w:pBdr>
          <w:top w:val="nil"/>
          <w:left w:val="nil"/>
          <w:bottom w:val="nil"/>
          <w:right w:val="nil"/>
          <w:between w:val="nil"/>
        </w:pBdr>
        <w:spacing w:line="360" w:lineRule="auto"/>
        <w:ind w:left="851"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Artículo 192.</w:t>
      </w:r>
      <w:r>
        <w:rPr>
          <w:rFonts w:ascii="Palatino Linotype" w:eastAsia="Palatino Linotype" w:hAnsi="Palatino Linotype" w:cs="Palatino Linotype"/>
          <w:i/>
          <w:iCs/>
          <w:color w:val="000000"/>
        </w:rPr>
        <w:t xml:space="preserve"> El </w:t>
      </w:r>
      <w:r>
        <w:rPr>
          <w:rFonts w:ascii="Palatino Linotype" w:eastAsia="Palatino Linotype" w:hAnsi="Palatino Linotype" w:cs="Palatino Linotype"/>
          <w:b/>
          <w:bCs/>
          <w:i/>
          <w:iCs/>
          <w:color w:val="000000"/>
        </w:rPr>
        <w:t>recurso será sobreseído</w:t>
      </w:r>
      <w:r>
        <w:rPr>
          <w:rFonts w:ascii="Palatino Linotype" w:eastAsia="Palatino Linotype" w:hAnsi="Palatino Linotype" w:cs="Palatino Linotype"/>
          <w:i/>
          <w:iCs/>
          <w:color w:val="000000"/>
        </w:rPr>
        <w:t>, en todo o en parte, cuando una vez admitido, se actualicen alguno de los siguientes supuestos:</w:t>
      </w:r>
    </w:p>
    <w:p w:rsidR="009A0B7B" w:rsidRDefault="00E10797">
      <w:pPr>
        <w:pBdr>
          <w:top w:val="nil"/>
          <w:left w:val="nil"/>
          <w:bottom w:val="nil"/>
          <w:right w:val="nil"/>
          <w:between w:val="nil"/>
        </w:pBdr>
        <w:spacing w:line="360" w:lineRule="auto"/>
        <w:ind w:left="851" w:right="-734"/>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I. El recurrente se desista expresamente del recurso;</w:t>
      </w:r>
    </w:p>
    <w:p w:rsidR="009A0B7B" w:rsidRDefault="00E10797">
      <w:pPr>
        <w:pBdr>
          <w:top w:val="nil"/>
          <w:left w:val="nil"/>
          <w:bottom w:val="nil"/>
          <w:right w:val="nil"/>
          <w:between w:val="nil"/>
        </w:pBdr>
        <w:spacing w:line="360" w:lineRule="auto"/>
        <w:ind w:left="851"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9A0B7B" w:rsidRDefault="00E10797">
      <w:pPr>
        <w:numPr>
          <w:ilvl w:val="0"/>
          <w:numId w:val="4"/>
        </w:numPr>
        <w:pBdr>
          <w:top w:val="nil"/>
          <w:left w:val="nil"/>
          <w:bottom w:val="nil"/>
          <w:right w:val="nil"/>
          <w:between w:val="nil"/>
        </w:pBdr>
        <w:tabs>
          <w:tab w:val="left" w:pos="284"/>
          <w:tab w:val="left" w:pos="426"/>
        </w:tabs>
        <w:spacing w:after="240" w:line="360" w:lineRule="auto"/>
        <w:ind w:left="0" w:right="-734" w:firstLine="0"/>
        <w:jc w:val="both"/>
        <w:rPr>
          <w:color w:val="000000"/>
        </w:rPr>
      </w:pPr>
      <w:r>
        <w:rPr>
          <w:rFonts w:ascii="Palatino Linotype" w:eastAsia="Palatino Linotype" w:hAnsi="Palatino Linotype" w:cs="Palatino Linotype"/>
          <w:color w:val="000000"/>
        </w:rPr>
        <w:lastRenderedPageBreak/>
        <w:t>Robustece lo anterior la tesis aislada I.15o.T.2 K (10a.), del Décimo Quinto Tribunal Colegiado en Materia de Trabajo del Primer Circuito, misma que se anexa a continuación:</w:t>
      </w:r>
    </w:p>
    <w:p w:rsidR="009A0B7B" w:rsidRDefault="00E10797">
      <w:pPr>
        <w:pBdr>
          <w:top w:val="nil"/>
          <w:left w:val="nil"/>
          <w:bottom w:val="nil"/>
          <w:right w:val="nil"/>
          <w:between w:val="nil"/>
        </w:pBdr>
        <w:spacing w:line="360" w:lineRule="auto"/>
        <w:ind w:left="567"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DESISTIMIENTO DEL RECURSO DE REVISIÓN EN AMPARO INDIRECTO. ES INNECESARIO QUE SE RATIFIQUE EL ESCRITO CORRESPONDIENTE, CUANDO SU REQUERIMIENTO SE NOTIFICÓ PERSONALMENTE.</w:t>
      </w:r>
      <w:r>
        <w:rPr>
          <w:rFonts w:ascii="Palatino Linotype" w:eastAsia="Palatino Linotype" w:hAnsi="Palatino Linotype" w:cs="Palatino Linotype"/>
          <w:i/>
          <w:iCs/>
          <w:color w:val="000000"/>
        </w:rPr>
        <w:t xml:space="preserve"> “Si el quejoso en un juicio de amparo indirecto interpone recurso de revisión contra la sentencia dictada por el Juez de Distrito y una vez que el asunto se encuentra radicado ante el Tribunal Colegiado de Circuito competente, se desiste de dicho medio de defensa, es innecesario que ratifique el escrito relativo ante el órgano revisor, siempre y cuando el requerimiento en que se solicitó su presencia a efecto de que lo ratifique, se haya notificado personalmente, pues con ello se cumplió el artículo 26, fracción I, inciso d), de la Ley de Amparo; por lo que si no acudió a ratificar el citado escrito, su voluntad de desistir del recurso interpuesto debe seguir prevaleciendo, pues sólo tiene como consecuencia la firmeza de la sentencia impugnada, máxime si se le apercibió con tenerlo por ratificado en caso de no acudir; además, esa circunstancia no soslaya el artículo 63, fracción I, de la citada ley, toda vez que esa disposición se refiere a la hipótesis en que el quejoso se desiste de la demanda de amparo, entendiéndose tal aspecto como el desistimiento de la acción que originó el juicio constitucional, lo cual conduce a decretar el sobreseimiento.”</w:t>
      </w:r>
    </w:p>
    <w:p w:rsidR="009A0B7B" w:rsidRDefault="00E10797">
      <w:pPr>
        <w:numPr>
          <w:ilvl w:val="0"/>
          <w:numId w:val="4"/>
        </w:numPr>
        <w:pBdr>
          <w:top w:val="nil"/>
          <w:left w:val="nil"/>
          <w:bottom w:val="nil"/>
          <w:right w:val="nil"/>
          <w:between w:val="nil"/>
        </w:pBdr>
        <w:tabs>
          <w:tab w:val="left" w:pos="284"/>
          <w:tab w:val="left" w:pos="426"/>
        </w:tabs>
        <w:spacing w:before="240" w:line="360" w:lineRule="auto"/>
        <w:ind w:left="0" w:right="-734" w:firstLine="0"/>
        <w:jc w:val="both"/>
        <w:rPr>
          <w:color w:val="000000"/>
        </w:rPr>
      </w:pPr>
      <w:r>
        <w:rPr>
          <w:rFonts w:ascii="Palatino Linotype" w:eastAsia="Palatino Linotype" w:hAnsi="Palatino Linotype" w:cs="Palatino Linotype"/>
          <w:color w:val="000000"/>
        </w:rPr>
        <w:t xml:space="preserve">Por consiguiente, al existir un desistimiento expreso por parte del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este Pleno determina el </w:t>
      </w:r>
      <w:r>
        <w:rPr>
          <w:rFonts w:ascii="Palatino Linotype" w:eastAsia="Palatino Linotype" w:hAnsi="Palatino Linotype" w:cs="Palatino Linotype"/>
          <w:b/>
          <w:bCs/>
          <w:color w:val="000000"/>
        </w:rPr>
        <w:t>SOBRESEIMIENTO</w:t>
      </w:r>
      <w:r>
        <w:rPr>
          <w:rFonts w:ascii="Palatino Linotype" w:eastAsia="Palatino Linotype" w:hAnsi="Palatino Linotype" w:cs="Palatino Linotype"/>
          <w:color w:val="000000"/>
        </w:rPr>
        <w:t xml:space="preserve"> del recurso de revisión.</w:t>
      </w:r>
    </w:p>
    <w:p w:rsidR="009A0B7B" w:rsidRDefault="009A0B7B">
      <w:pPr>
        <w:pBdr>
          <w:top w:val="nil"/>
          <w:left w:val="nil"/>
          <w:bottom w:val="nil"/>
          <w:right w:val="nil"/>
          <w:between w:val="nil"/>
        </w:pBdr>
        <w:tabs>
          <w:tab w:val="left" w:pos="426"/>
        </w:tabs>
        <w:spacing w:line="360" w:lineRule="auto"/>
        <w:ind w:right="-734"/>
        <w:jc w:val="both"/>
        <w:rPr>
          <w:rFonts w:ascii="Palatino Linotype" w:eastAsia="Palatino Linotype" w:hAnsi="Palatino Linotype" w:cs="Palatino Linotype"/>
          <w:color w:val="000000"/>
        </w:rPr>
      </w:pPr>
    </w:p>
    <w:p w:rsidR="009A0B7B" w:rsidRDefault="00E10797">
      <w:pPr>
        <w:numPr>
          <w:ilvl w:val="0"/>
          <w:numId w:val="4"/>
        </w:numPr>
        <w:pBdr>
          <w:top w:val="nil"/>
          <w:left w:val="nil"/>
          <w:bottom w:val="nil"/>
          <w:right w:val="nil"/>
          <w:between w:val="nil"/>
        </w:pBdr>
        <w:tabs>
          <w:tab w:val="left" w:pos="284"/>
          <w:tab w:val="left" w:pos="426"/>
        </w:tabs>
        <w:spacing w:line="360" w:lineRule="auto"/>
        <w:ind w:left="0" w:right="-734" w:firstLine="0"/>
        <w:jc w:val="both"/>
        <w:rPr>
          <w:color w:val="000000"/>
        </w:rPr>
      </w:pPr>
      <w:r>
        <w:rPr>
          <w:rFonts w:ascii="Palatino Linotype" w:eastAsia="Palatino Linotype" w:hAnsi="Palatino Linotype" w:cs="Palatino Linotype"/>
          <w:color w:val="000000"/>
        </w:rPr>
        <w:t xml:space="preserve">Bajo ese tenor y, en términos del artículo 186, fracción I, de la Ley de Transparencia y Acceso a la Información Pública del Estado de México y Municipios, este Pleno determina el </w:t>
      </w:r>
      <w:r>
        <w:rPr>
          <w:rFonts w:ascii="Palatino Linotype" w:eastAsia="Palatino Linotype" w:hAnsi="Palatino Linotype" w:cs="Palatino Linotype"/>
          <w:b/>
          <w:bCs/>
          <w:color w:val="000000"/>
        </w:rPr>
        <w:t xml:space="preserve">SOBRESEIMIENTO </w:t>
      </w:r>
      <w:r>
        <w:rPr>
          <w:rFonts w:ascii="Palatino Linotype" w:eastAsia="Palatino Linotype" w:hAnsi="Palatino Linotype" w:cs="Palatino Linotype"/>
          <w:color w:val="000000"/>
        </w:rPr>
        <w:t xml:space="preserve">del presente recurso de revisión, por actualizar el supuesto previsto en </w:t>
      </w:r>
      <w:r>
        <w:rPr>
          <w:rFonts w:ascii="Palatino Linotype" w:eastAsia="Palatino Linotype" w:hAnsi="Palatino Linotype" w:cs="Palatino Linotype"/>
          <w:color w:val="000000"/>
        </w:rPr>
        <w:lastRenderedPageBreak/>
        <w:t>la fracción I, del artículo 192, de la Ley de Transparencia y Acceso a la Información Pública Estatal.</w:t>
      </w:r>
    </w:p>
    <w:p w:rsidR="009A0B7B" w:rsidRDefault="009A0B7B">
      <w:pPr>
        <w:pBdr>
          <w:top w:val="nil"/>
          <w:left w:val="nil"/>
          <w:bottom w:val="nil"/>
          <w:right w:val="nil"/>
          <w:between w:val="nil"/>
        </w:pBdr>
        <w:tabs>
          <w:tab w:val="left" w:pos="426"/>
        </w:tabs>
        <w:spacing w:line="360" w:lineRule="auto"/>
        <w:ind w:right="-734"/>
        <w:jc w:val="both"/>
        <w:rPr>
          <w:rFonts w:ascii="Palatino Linotype" w:eastAsia="Palatino Linotype" w:hAnsi="Palatino Linotype" w:cs="Palatino Linotype"/>
          <w:color w:val="000000"/>
        </w:rPr>
      </w:pPr>
    </w:p>
    <w:p w:rsidR="009A0B7B" w:rsidRDefault="00E10797">
      <w:pPr>
        <w:numPr>
          <w:ilvl w:val="0"/>
          <w:numId w:val="4"/>
        </w:numPr>
        <w:pBdr>
          <w:top w:val="nil"/>
          <w:left w:val="nil"/>
          <w:bottom w:val="nil"/>
          <w:right w:val="nil"/>
          <w:between w:val="nil"/>
        </w:pBdr>
        <w:tabs>
          <w:tab w:val="left" w:pos="284"/>
          <w:tab w:val="left" w:pos="426"/>
        </w:tabs>
        <w:spacing w:after="240" w:line="360" w:lineRule="auto"/>
        <w:ind w:left="0" w:right="-734" w:firstLine="0"/>
        <w:jc w:val="both"/>
        <w:rPr>
          <w:color w:val="000000"/>
        </w:rPr>
      </w:pPr>
      <w:bookmarkStart w:id="9" w:name="_heading=h.wqzrb63kb3uo" w:colFirst="0" w:colLast="0"/>
      <w:bookmarkEnd w:id="9"/>
      <w:r>
        <w:rPr>
          <w:rFonts w:ascii="Palatino Linotype" w:eastAsia="Palatino Linotype" w:hAnsi="Palatino Linotype" w:cs="Palatino Linotype"/>
          <w:color w:val="000000"/>
        </w:rPr>
        <w:t>Por lo expuesto, y con fundamento en lo prescrito en los artículos 5, párrafos cuadragésimo cuarto, cuadragésimo quinto y cuadragésimo sexto, fracciones IV y V, de la Constitución Política del Estado Libre y Soberano de México; 2, fracción II; 29, 36 fracciones I y II; 176, 178, 179, 181 y 185 de la Ley de Transparencia y Acceso a la Información Pública del Estado de México y Municipios, este Pleno:</w:t>
      </w:r>
    </w:p>
    <w:p w:rsidR="009A0B7B" w:rsidRDefault="009A0B7B">
      <w:pPr>
        <w:ind w:right="-734"/>
        <w:rPr>
          <w:rFonts w:ascii="Palatino Linotype" w:eastAsia="Palatino Linotype" w:hAnsi="Palatino Linotype" w:cs="Palatino Linotype"/>
        </w:rPr>
      </w:pPr>
    </w:p>
    <w:p w:rsidR="009A0B7B" w:rsidRDefault="00E10797">
      <w:pPr>
        <w:spacing w:line="360" w:lineRule="auto"/>
        <w:ind w:right="-734"/>
        <w:jc w:val="center"/>
        <w:rPr>
          <w:rFonts w:ascii="Palatino Linotype" w:eastAsia="Palatino Linotype" w:hAnsi="Palatino Linotype" w:cs="Palatino Linotype"/>
          <w:b/>
          <w:bCs/>
        </w:rPr>
      </w:pPr>
      <w:r>
        <w:rPr>
          <w:rFonts w:ascii="Palatino Linotype" w:eastAsia="Palatino Linotype" w:hAnsi="Palatino Linotype" w:cs="Palatino Linotype"/>
          <w:b/>
          <w:bCs/>
        </w:rPr>
        <w:t>R E S U E L V E</w:t>
      </w:r>
    </w:p>
    <w:p w:rsidR="009A0B7B" w:rsidRDefault="009A0B7B">
      <w:pPr>
        <w:ind w:right="-734"/>
      </w:pPr>
    </w:p>
    <w:p w:rsidR="009A0B7B" w:rsidRDefault="00E10797">
      <w:pPr>
        <w:spacing w:after="240" w:line="360" w:lineRule="auto"/>
        <w:ind w:right="-734"/>
        <w:jc w:val="both"/>
        <w:rPr>
          <w:rFonts w:ascii="Palatino Linotype" w:eastAsia="Palatino Linotype" w:hAnsi="Palatino Linotype" w:cs="Palatino Linotype"/>
        </w:rPr>
      </w:pPr>
      <w:bookmarkStart w:id="10" w:name="_heading=h.c3akazlclqqr" w:colFirst="0" w:colLast="0"/>
      <w:bookmarkEnd w:id="10"/>
      <w:r>
        <w:rPr>
          <w:rFonts w:ascii="Palatino Linotype" w:eastAsia="Palatino Linotype" w:hAnsi="Palatino Linotype" w:cs="Palatino Linotype"/>
          <w:b/>
          <w:bCs/>
        </w:rPr>
        <w:t>PRIMERO.</w:t>
      </w:r>
      <w:r>
        <w:rPr>
          <w:rFonts w:ascii="Palatino Linotype" w:eastAsia="Palatino Linotype" w:hAnsi="Palatino Linotype" w:cs="Palatino Linotype"/>
        </w:rPr>
        <w:t xml:space="preserve"> Se </w:t>
      </w:r>
      <w:r>
        <w:rPr>
          <w:rFonts w:ascii="Palatino Linotype" w:eastAsia="Palatino Linotype" w:hAnsi="Palatino Linotype" w:cs="Palatino Linotype"/>
          <w:b/>
          <w:bCs/>
        </w:rPr>
        <w:t>SOBRESEE</w:t>
      </w:r>
      <w:r>
        <w:rPr>
          <w:rFonts w:ascii="Palatino Linotype" w:eastAsia="Palatino Linotype" w:hAnsi="Palatino Linotype" w:cs="Palatino Linotype"/>
        </w:rPr>
        <w:t xml:space="preserve"> el recurso de revisión número </w:t>
      </w:r>
      <w:r>
        <w:rPr>
          <w:rFonts w:ascii="Palatino Linotype" w:eastAsia="Palatino Linotype" w:hAnsi="Palatino Linotype" w:cs="Palatino Linotype"/>
          <w:b/>
          <w:bCs/>
        </w:rPr>
        <w:t xml:space="preserve">04268/INFOEM/IP/RR/2026, </w:t>
      </w:r>
      <w:r>
        <w:rPr>
          <w:rFonts w:ascii="Palatino Linotype" w:eastAsia="Palatino Linotype" w:hAnsi="Palatino Linotype" w:cs="Palatino Linotype"/>
        </w:rPr>
        <w:t xml:space="preserve">en términos de lo establecido en el artículo 192, fracción I, de la Ley de Transparencia y Acceso a la Información Pública del Estado de México y Municipios, </w:t>
      </w:r>
      <w:r>
        <w:rPr>
          <w:rFonts w:ascii="Palatino Linotype" w:eastAsia="Palatino Linotype" w:hAnsi="Palatino Linotype" w:cs="Palatino Linotype"/>
          <w:b/>
          <w:bCs/>
        </w:rPr>
        <w:t>por haberse desistido expresamente el</w:t>
      </w:r>
      <w:r>
        <w:rPr>
          <w:rFonts w:ascii="Palatino Linotype" w:eastAsia="Palatino Linotype" w:hAnsi="Palatino Linotype" w:cs="Palatino Linotype"/>
        </w:rPr>
        <w:t xml:space="preserve">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en términos del </w:t>
      </w:r>
      <w:r>
        <w:rPr>
          <w:rFonts w:ascii="Palatino Linotype" w:eastAsia="Palatino Linotype" w:hAnsi="Palatino Linotype" w:cs="Palatino Linotype"/>
          <w:b/>
          <w:bCs/>
        </w:rPr>
        <w:t>Considerando TERCERO</w:t>
      </w:r>
      <w:r>
        <w:rPr>
          <w:rFonts w:ascii="Palatino Linotype" w:eastAsia="Palatino Linotype" w:hAnsi="Palatino Linotype" w:cs="Palatino Linotype"/>
        </w:rPr>
        <w:t xml:space="preserve"> de la presente resolución.</w:t>
      </w:r>
    </w:p>
    <w:p w:rsidR="009A0B7B" w:rsidRDefault="00E10797">
      <w:pPr>
        <w:pBdr>
          <w:top w:val="nil"/>
          <w:left w:val="nil"/>
          <w:bottom w:val="nil"/>
          <w:right w:val="nil"/>
          <w:between w:val="nil"/>
        </w:pBdr>
        <w:spacing w:after="240" w:line="360" w:lineRule="auto"/>
        <w:ind w:right="-734"/>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SEGUNDO. Notifíquese </w:t>
      </w:r>
      <w:r>
        <w:rPr>
          <w:rFonts w:ascii="Palatino Linotype" w:eastAsia="Palatino Linotype" w:hAnsi="Palatino Linotype" w:cs="Palatino Linotype"/>
          <w:color w:val="000000"/>
        </w:rPr>
        <w:t xml:space="preserve">a través del Sistema de Acceso a la Información Mexiquense </w:t>
      </w:r>
      <w:r>
        <w:rPr>
          <w:rFonts w:ascii="Palatino Linotype" w:eastAsia="Palatino Linotype" w:hAnsi="Palatino Linotype" w:cs="Palatino Linotype"/>
          <w:b/>
          <w:bCs/>
          <w:color w:val="000000"/>
        </w:rPr>
        <w:t xml:space="preserve">(SAIMEX) </w:t>
      </w:r>
      <w:r>
        <w:rPr>
          <w:rFonts w:ascii="Palatino Linotype" w:eastAsia="Palatino Linotype" w:hAnsi="Palatino Linotype" w:cs="Palatino Linotype"/>
          <w:color w:val="000000"/>
        </w:rPr>
        <w:t>la presente resolución al Titular de la Unidad de Transparencia del</w:t>
      </w:r>
      <w:r>
        <w:rPr>
          <w:rFonts w:ascii="Palatino Linotype" w:eastAsia="Palatino Linotype" w:hAnsi="Palatino Linotype" w:cs="Palatino Linotype"/>
          <w:b/>
          <w:bCs/>
          <w:color w:val="000000"/>
        </w:rPr>
        <w:t xml:space="preserve"> SUJETO OBLIGADO. </w:t>
      </w:r>
    </w:p>
    <w:p w:rsidR="009A0B7B" w:rsidRDefault="00E10797">
      <w:pPr>
        <w:pBdr>
          <w:top w:val="nil"/>
          <w:left w:val="nil"/>
          <w:bottom w:val="nil"/>
          <w:right w:val="nil"/>
          <w:between w:val="nil"/>
        </w:pBdr>
        <w:spacing w:after="240" w:line="360" w:lineRule="auto"/>
        <w:ind w:right="-734"/>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TERCERO. Notifíquese al RECURRENTE </w:t>
      </w:r>
      <w:r>
        <w:rPr>
          <w:rFonts w:ascii="Palatino Linotype" w:eastAsia="Palatino Linotype" w:hAnsi="Palatino Linotype" w:cs="Palatino Linotype"/>
          <w:color w:val="000000"/>
        </w:rPr>
        <w:t>la presente resolución vía Sistema de Acceso a la Información Mexiquense (</w:t>
      </w:r>
      <w:r>
        <w:rPr>
          <w:rFonts w:ascii="Palatino Linotype" w:eastAsia="Palatino Linotype" w:hAnsi="Palatino Linotype" w:cs="Palatino Linotype"/>
          <w:b/>
          <w:bCs/>
          <w:color w:val="000000"/>
        </w:rPr>
        <w:t>SAIMEX).</w:t>
      </w:r>
    </w:p>
    <w:p w:rsidR="000E5BEB" w:rsidRDefault="000E5BEB">
      <w:pPr>
        <w:pBdr>
          <w:top w:val="nil"/>
          <w:left w:val="nil"/>
          <w:bottom w:val="nil"/>
          <w:right w:val="nil"/>
          <w:between w:val="nil"/>
        </w:pBdr>
        <w:spacing w:after="240" w:line="360" w:lineRule="auto"/>
        <w:ind w:right="-734"/>
        <w:jc w:val="both"/>
        <w:rPr>
          <w:rFonts w:ascii="Palatino Linotype" w:eastAsia="Palatino Linotype" w:hAnsi="Palatino Linotype" w:cs="Palatino Linotype"/>
          <w:color w:val="000000"/>
        </w:rPr>
      </w:pPr>
    </w:p>
    <w:p w:rsidR="009A0B7B" w:rsidRDefault="00E10797">
      <w:pPr>
        <w:pBdr>
          <w:top w:val="nil"/>
          <w:left w:val="nil"/>
          <w:bottom w:val="nil"/>
          <w:right w:val="nil"/>
          <w:between w:val="nil"/>
        </w:pBdr>
        <w:spacing w:line="360" w:lineRule="auto"/>
        <w:ind w:right="-734"/>
        <w:jc w:val="both"/>
        <w:rPr>
          <w:rFonts w:ascii="Palatino Linotype" w:eastAsia="Palatino Linotype" w:hAnsi="Palatino Linotype" w:cs="Palatino Linotype"/>
          <w:color w:val="000000"/>
        </w:rPr>
      </w:pPr>
      <w:bookmarkStart w:id="11" w:name="_heading=h.1l2hjr3zq1hm" w:colFirst="0" w:colLast="0"/>
      <w:bookmarkEnd w:id="11"/>
      <w:r>
        <w:rPr>
          <w:rFonts w:ascii="Palatino Linotype" w:eastAsia="Palatino Linotype" w:hAnsi="Palatino Linotype" w:cs="Palatino Linotype"/>
          <w:b/>
          <w:bCs/>
          <w:color w:val="000000"/>
        </w:rPr>
        <w:lastRenderedPageBreak/>
        <w:t>CUARTO.</w:t>
      </w:r>
      <w:r>
        <w:rPr>
          <w:rFonts w:ascii="Palatino Linotype" w:eastAsia="Palatino Linotype" w:hAnsi="Palatino Linotype" w:cs="Palatino Linotype"/>
          <w:color w:val="000000"/>
        </w:rPr>
        <w:t xml:space="preserve"> Se hace del conocimiento del </w:t>
      </w:r>
      <w:r>
        <w:rPr>
          <w:rFonts w:ascii="Palatino Linotype" w:eastAsia="Palatino Linotype" w:hAnsi="Palatino Linotype" w:cs="Palatino Linotype"/>
          <w:b/>
          <w:bCs/>
          <w:color w:val="000000"/>
        </w:rPr>
        <w:t xml:space="preserve">RECURRENTE </w:t>
      </w:r>
      <w:r>
        <w:rPr>
          <w:rFonts w:ascii="Palatino Linotype" w:eastAsia="Palatino Linotype" w:hAnsi="Palatino Linotype" w:cs="Palatino Linotype"/>
          <w:color w:val="000000"/>
        </w:rPr>
        <w:t xml:space="preserve">que, de conformidad con lo establecido en el artículo 196 de la Ley de Transparencia y Acceso a la Información Pública del Estado de México y Municipios, en caso de que considere que la resolución le cause algún perjuicio podrá </w:t>
      </w:r>
      <w:r>
        <w:rPr>
          <w:rFonts w:ascii="Palatino Linotype" w:eastAsia="Palatino Linotype" w:hAnsi="Palatino Linotype" w:cs="Palatino Linotype"/>
        </w:rPr>
        <w:t>impugnar vía</w:t>
      </w:r>
      <w:r>
        <w:rPr>
          <w:rFonts w:ascii="Palatino Linotype" w:eastAsia="Palatino Linotype" w:hAnsi="Palatino Linotype" w:cs="Palatino Linotype"/>
          <w:color w:val="000000"/>
        </w:rPr>
        <w:t xml:space="preserve"> Juicio de Amparo en los términos de las leyes aplicables.</w:t>
      </w:r>
    </w:p>
    <w:p w:rsidR="009A0B7B" w:rsidRDefault="009A0B7B">
      <w:pPr>
        <w:pBdr>
          <w:top w:val="nil"/>
          <w:left w:val="nil"/>
          <w:bottom w:val="nil"/>
          <w:right w:val="nil"/>
          <w:between w:val="nil"/>
        </w:pBdr>
        <w:spacing w:line="360" w:lineRule="auto"/>
        <w:ind w:right="-734"/>
        <w:jc w:val="both"/>
        <w:rPr>
          <w:rFonts w:ascii="Palatino Linotype" w:eastAsia="Palatino Linotype" w:hAnsi="Palatino Linotype" w:cs="Palatino Linotype"/>
          <w:color w:val="000000"/>
        </w:rPr>
      </w:pPr>
    </w:p>
    <w:p w:rsidR="000E5BEB" w:rsidRPr="003E2295" w:rsidRDefault="000E5BEB" w:rsidP="000E5BEB">
      <w:pPr>
        <w:spacing w:before="240" w:after="240" w:line="360" w:lineRule="auto"/>
        <w:ind w:right="-737" w:firstLine="1"/>
        <w:jc w:val="both"/>
        <w:rPr>
          <w:rFonts w:ascii="Palatino Linotype" w:hAnsi="Palatino Linotype"/>
        </w:rPr>
      </w:pPr>
      <w:bookmarkStart w:id="12" w:name="_Hlk99014733"/>
      <w:r w:rsidRPr="003E2295">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Pr>
          <w:rFonts w:ascii="Palatino Linotype" w:hAnsi="Palatino Linotype" w:cs="Palatino Linotype"/>
        </w:rPr>
        <w:t>DÉCIMA</w:t>
      </w:r>
      <w:r w:rsidRPr="003E2295">
        <w:rPr>
          <w:rFonts w:ascii="Palatino Linotype" w:hAnsi="Palatino Linotype" w:cs="Palatino Linotype"/>
        </w:rPr>
        <w:t xml:space="preserve"> </w:t>
      </w:r>
      <w:r>
        <w:rPr>
          <w:rFonts w:ascii="Palatino Linotype" w:hAnsi="Palatino Linotype" w:cs="Palatino Linotype"/>
        </w:rPr>
        <w:t xml:space="preserve">OCTAVA </w:t>
      </w:r>
      <w:r w:rsidRPr="003E2295">
        <w:rPr>
          <w:rFonts w:ascii="Palatino Linotype" w:hAnsi="Palatino Linotype" w:cs="Palatino Linotype"/>
        </w:rPr>
        <w:t>SESIÓN O</w:t>
      </w:r>
      <w:r>
        <w:rPr>
          <w:rFonts w:ascii="Palatino Linotype" w:hAnsi="Palatino Linotype" w:cs="Palatino Linotype"/>
        </w:rPr>
        <w:t>RDINARIA, CELEBRADA EL VEINTE (20</w:t>
      </w:r>
      <w:r w:rsidRPr="003E2295">
        <w:rPr>
          <w:rFonts w:ascii="Palatino Linotype" w:hAnsi="Palatino Linotype" w:cs="Palatino Linotype"/>
        </w:rPr>
        <w:t xml:space="preserve">) DE </w:t>
      </w:r>
      <w:r>
        <w:rPr>
          <w:rFonts w:ascii="Palatino Linotype" w:hAnsi="Palatino Linotype" w:cs="Palatino Linotype"/>
        </w:rPr>
        <w:t>MAYO</w:t>
      </w:r>
      <w:r w:rsidRPr="003E2295">
        <w:rPr>
          <w:rFonts w:ascii="Palatino Linotype" w:hAnsi="Palatino Linotype" w:cs="Palatino Linotype"/>
        </w:rPr>
        <w:t xml:space="preserve"> DE DOS MIL VEINTISÉIS, ANTE EL SECRETARIO TÉCNICO DEL PLENO </w:t>
      </w:r>
      <w:r w:rsidRPr="003E2295">
        <w:rPr>
          <w:rFonts w:ascii="Palatino Linotype" w:hAnsi="Palatino Linotype" w:cs="Palatino Linotype"/>
          <w:color w:val="000000" w:themeColor="text1"/>
        </w:rPr>
        <w:t>ALEXIS TAPIA RAMÍREZ.</w:t>
      </w:r>
    </w:p>
    <w:bookmarkEnd w:id="12"/>
    <w:p w:rsidR="009A0B7B" w:rsidRDefault="009A0B7B" w:rsidP="000E5BEB">
      <w:pPr>
        <w:spacing w:before="240" w:after="240" w:line="360" w:lineRule="auto"/>
        <w:ind w:right="-737"/>
        <w:jc w:val="both"/>
        <w:rPr>
          <w:rFonts w:ascii="Palatino Linotype" w:eastAsia="Palatino Linotype" w:hAnsi="Palatino Linotype" w:cs="Palatino Linotype"/>
        </w:rPr>
      </w:pPr>
    </w:p>
    <w:p w:rsidR="009A0B7B" w:rsidRDefault="009A0B7B">
      <w:pPr>
        <w:spacing w:before="240" w:after="240" w:line="360" w:lineRule="auto"/>
        <w:ind w:right="-734"/>
        <w:jc w:val="both"/>
        <w:rPr>
          <w:rFonts w:ascii="Palatino Linotype" w:eastAsia="Palatino Linotype" w:hAnsi="Palatino Linotype" w:cs="Palatino Linotype"/>
        </w:rPr>
      </w:pPr>
    </w:p>
    <w:p w:rsidR="009A0B7B" w:rsidRDefault="009A0B7B">
      <w:pPr>
        <w:ind w:right="-734"/>
      </w:pPr>
    </w:p>
    <w:p w:rsidR="001C5A62" w:rsidRDefault="001C5A62">
      <w:pPr>
        <w:ind w:right="-734"/>
      </w:pPr>
    </w:p>
    <w:p w:rsidR="001C5A62" w:rsidRDefault="001C5A62">
      <w:pPr>
        <w:ind w:right="-734"/>
      </w:pPr>
    </w:p>
    <w:p w:rsidR="001C5A62" w:rsidRDefault="001C5A62">
      <w:pPr>
        <w:ind w:right="-734"/>
      </w:pPr>
    </w:p>
    <w:p w:rsidR="001C5A62" w:rsidRDefault="001C5A62">
      <w:pPr>
        <w:ind w:right="-734"/>
      </w:pPr>
    </w:p>
    <w:p w:rsidR="001C5A62" w:rsidRDefault="001C5A62">
      <w:pPr>
        <w:ind w:right="-734"/>
      </w:pPr>
    </w:p>
    <w:p w:rsidR="001C5A62" w:rsidRDefault="001C5A62">
      <w:pPr>
        <w:ind w:right="-734"/>
      </w:pPr>
    </w:p>
    <w:p w:rsidR="001C5A62" w:rsidRDefault="001C5A62">
      <w:pPr>
        <w:ind w:right="-734"/>
      </w:pPr>
    </w:p>
    <w:p w:rsidR="001C5A62" w:rsidRDefault="001C5A62">
      <w:pPr>
        <w:ind w:right="-734"/>
      </w:pPr>
    </w:p>
    <w:p w:rsidR="001C5A62" w:rsidRDefault="001C5A62">
      <w:pPr>
        <w:ind w:right="-734"/>
      </w:pPr>
    </w:p>
    <w:p w:rsidR="001C5A62" w:rsidRDefault="001C5A62">
      <w:pPr>
        <w:ind w:right="-734"/>
      </w:pPr>
    </w:p>
    <w:p w:rsidR="001C5A62" w:rsidRDefault="001C5A62">
      <w:pPr>
        <w:ind w:right="-734"/>
      </w:pPr>
    </w:p>
    <w:p w:rsidR="009A0B7B" w:rsidRDefault="009A0B7B">
      <w:pPr>
        <w:ind w:right="-734"/>
      </w:pPr>
    </w:p>
    <w:p w:rsidR="009A0B7B" w:rsidRDefault="009A0B7B">
      <w:pPr>
        <w:ind w:right="-734"/>
      </w:pPr>
    </w:p>
    <w:p w:rsidR="009A0B7B" w:rsidRDefault="009A0B7B">
      <w:pPr>
        <w:ind w:right="-734"/>
      </w:pPr>
    </w:p>
    <w:p w:rsidR="009A0B7B" w:rsidRDefault="009A0B7B">
      <w:pPr>
        <w:ind w:right="-734"/>
      </w:pPr>
    </w:p>
    <w:sectPr w:rsidR="009A0B7B">
      <w:headerReference w:type="even" r:id="rId9"/>
      <w:headerReference w:type="default" r:id="rId10"/>
      <w:footerReference w:type="default" r:id="rId11"/>
      <w:headerReference w:type="first" r:id="rId12"/>
      <w:footerReference w:type="first" r:id="rId13"/>
      <w:pgSz w:w="12240" w:h="15840"/>
      <w:pgMar w:top="80" w:right="1608"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00C9" w:rsidRDefault="00CD00C9">
      <w:r>
        <w:separator/>
      </w:r>
    </w:p>
  </w:endnote>
  <w:endnote w:type="continuationSeparator" w:id="0">
    <w:p w:rsidR="00CD00C9" w:rsidRDefault="00CD0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embedRegular r:id="rId1" w:fontKey="{B8CCD51B-FCB9-4C66-947A-67D80D0C3FA6}"/>
    <w:embedBold r:id="rId2" w:fontKey="{B66B450D-3FA0-4E17-8EA0-4AF337456F93}"/>
    <w:embedItalic r:id="rId3" w:fontKey="{6C5A36F9-F415-4965-9911-F07586FD8197}"/>
    <w:embedBoldItalic r:id="rId4" w:fontKey="{007B09C6-57CE-4527-B606-DAF8AC58E5A1}"/>
  </w:font>
  <w:font w:name="Noto Sans Symbols">
    <w:altName w:val="Times New Roman"/>
    <w:charset w:val="00"/>
    <w:family w:val="auto"/>
    <w:pitch w:val="default"/>
    <w:embedRegular r:id="rId5" w:fontKey="{A7DAEB13-FA3D-4466-B7F7-CC4A484856A5}"/>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683D445E-3762-4D40-8ADF-86ABE83FF156}"/>
  </w:font>
  <w:font w:name="Georgia">
    <w:panose1 w:val="02040502050405020303"/>
    <w:charset w:val="00"/>
    <w:family w:val="roman"/>
    <w:pitch w:val="variable"/>
    <w:sig w:usb0="00000287" w:usb1="00000000" w:usb2="00000000" w:usb3="00000000" w:csb0="0000009F" w:csb1="00000000"/>
    <w:embedItalic r:id="rId7" w:fontKey="{55159C0E-C8F2-462D-B872-87B5DB94E12A}"/>
  </w:font>
  <w:font w:name="Century Gothic">
    <w:panose1 w:val="020B0502020202020204"/>
    <w:charset w:val="00"/>
    <w:family w:val="swiss"/>
    <w:pitch w:val="variable"/>
    <w:sig w:usb0="00000287" w:usb1="00000000" w:usb2="00000000" w:usb3="00000000" w:csb0="0000009F" w:csb1="00000000"/>
    <w:embedRegular r:id="rId8" w:fontKey="{A53725F8-CC41-45B5-869C-22D0C9E4A6BC}"/>
  </w:font>
  <w:font w:name="Garamond">
    <w:panose1 w:val="02020404030301010803"/>
    <w:charset w:val="00"/>
    <w:family w:val="roman"/>
    <w:pitch w:val="variable"/>
    <w:sig w:usb0="00000287" w:usb1="00000000" w:usb2="00000000" w:usb3="00000000" w:csb0="0000009F" w:csb1="00000000"/>
    <w:embedRegular r:id="rId9" w:fontKey="{8AC27A49-6572-423C-AC1A-E6C8A12194BC}"/>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0" w:fontKey="{4DF2699C-4914-4602-938A-3938B3C3017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0B7B" w:rsidRPr="001C5A62" w:rsidRDefault="00E10797">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1C5A62">
      <w:rPr>
        <w:rFonts w:ascii="Palatino Linotype" w:hAnsi="Palatino Linotype"/>
        <w:color w:val="000000"/>
        <w:sz w:val="22"/>
      </w:rPr>
      <w:t xml:space="preserve">Página </w:t>
    </w:r>
    <w:r w:rsidRPr="001C5A62">
      <w:rPr>
        <w:rFonts w:ascii="Palatino Linotype" w:hAnsi="Palatino Linotype"/>
        <w:b/>
        <w:bCs/>
        <w:color w:val="000000"/>
        <w:sz w:val="22"/>
      </w:rPr>
      <w:fldChar w:fldCharType="begin"/>
    </w:r>
    <w:r w:rsidRPr="001C5A62">
      <w:rPr>
        <w:rFonts w:ascii="Palatino Linotype" w:hAnsi="Palatino Linotype"/>
        <w:b/>
        <w:bCs/>
        <w:color w:val="000000"/>
        <w:sz w:val="22"/>
      </w:rPr>
      <w:instrText>PAGE</w:instrText>
    </w:r>
    <w:r w:rsidRPr="001C5A62">
      <w:rPr>
        <w:rFonts w:ascii="Palatino Linotype" w:hAnsi="Palatino Linotype"/>
        <w:b/>
        <w:bCs/>
        <w:color w:val="000000"/>
        <w:sz w:val="22"/>
      </w:rPr>
      <w:fldChar w:fldCharType="separate"/>
    </w:r>
    <w:r w:rsidR="00C25B6F">
      <w:rPr>
        <w:rFonts w:ascii="Palatino Linotype" w:hAnsi="Palatino Linotype"/>
        <w:b/>
        <w:bCs/>
        <w:noProof/>
        <w:color w:val="000000"/>
        <w:sz w:val="22"/>
      </w:rPr>
      <w:t>11</w:t>
    </w:r>
    <w:r w:rsidRPr="001C5A62">
      <w:rPr>
        <w:rFonts w:ascii="Palatino Linotype" w:hAnsi="Palatino Linotype"/>
        <w:b/>
        <w:bCs/>
        <w:color w:val="000000"/>
        <w:sz w:val="22"/>
      </w:rPr>
      <w:fldChar w:fldCharType="end"/>
    </w:r>
    <w:r w:rsidRPr="001C5A62">
      <w:rPr>
        <w:rFonts w:ascii="Palatino Linotype" w:hAnsi="Palatino Linotype"/>
        <w:color w:val="000000"/>
        <w:sz w:val="22"/>
      </w:rPr>
      <w:t xml:space="preserve"> de </w:t>
    </w:r>
    <w:r w:rsidRPr="001C5A62">
      <w:rPr>
        <w:rFonts w:ascii="Palatino Linotype" w:hAnsi="Palatino Linotype"/>
        <w:b/>
        <w:bCs/>
        <w:color w:val="000000"/>
        <w:sz w:val="22"/>
      </w:rPr>
      <w:fldChar w:fldCharType="begin"/>
    </w:r>
    <w:r w:rsidRPr="001C5A62">
      <w:rPr>
        <w:rFonts w:ascii="Palatino Linotype" w:hAnsi="Palatino Linotype"/>
        <w:b/>
        <w:bCs/>
        <w:color w:val="000000"/>
        <w:sz w:val="22"/>
      </w:rPr>
      <w:instrText>NUMPAGES</w:instrText>
    </w:r>
    <w:r w:rsidRPr="001C5A62">
      <w:rPr>
        <w:rFonts w:ascii="Palatino Linotype" w:hAnsi="Palatino Linotype"/>
        <w:b/>
        <w:bCs/>
        <w:color w:val="000000"/>
        <w:sz w:val="22"/>
      </w:rPr>
      <w:fldChar w:fldCharType="separate"/>
    </w:r>
    <w:r w:rsidR="00C25B6F">
      <w:rPr>
        <w:rFonts w:ascii="Palatino Linotype" w:hAnsi="Palatino Linotype"/>
        <w:b/>
        <w:bCs/>
        <w:noProof/>
        <w:color w:val="000000"/>
        <w:sz w:val="22"/>
      </w:rPr>
      <w:t>11</w:t>
    </w:r>
    <w:r w:rsidRPr="001C5A62">
      <w:rPr>
        <w:rFonts w:ascii="Palatino Linotype" w:hAnsi="Palatino Linotype"/>
        <w:b/>
        <w:bCs/>
        <w:color w:val="000000"/>
        <w:sz w:val="22"/>
      </w:rPr>
      <w:fldChar w:fldCharType="end"/>
    </w:r>
  </w:p>
  <w:p w:rsidR="009A0B7B" w:rsidRDefault="009A0B7B">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0B7B" w:rsidRPr="001C5A62" w:rsidRDefault="00E10797">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1C5A62">
      <w:rPr>
        <w:rFonts w:ascii="Palatino Linotype" w:hAnsi="Palatino Linotype"/>
        <w:color w:val="000000"/>
        <w:sz w:val="22"/>
      </w:rPr>
      <w:t xml:space="preserve">Página </w:t>
    </w:r>
    <w:r w:rsidRPr="001C5A62">
      <w:rPr>
        <w:rFonts w:ascii="Palatino Linotype" w:hAnsi="Palatino Linotype"/>
        <w:b/>
        <w:bCs/>
        <w:color w:val="000000"/>
        <w:sz w:val="22"/>
      </w:rPr>
      <w:fldChar w:fldCharType="begin"/>
    </w:r>
    <w:r w:rsidRPr="001C5A62">
      <w:rPr>
        <w:rFonts w:ascii="Palatino Linotype" w:hAnsi="Palatino Linotype"/>
        <w:b/>
        <w:bCs/>
        <w:color w:val="000000"/>
        <w:sz w:val="22"/>
      </w:rPr>
      <w:instrText>PAGE</w:instrText>
    </w:r>
    <w:r w:rsidRPr="001C5A62">
      <w:rPr>
        <w:rFonts w:ascii="Palatino Linotype" w:hAnsi="Palatino Linotype"/>
        <w:b/>
        <w:bCs/>
        <w:color w:val="000000"/>
        <w:sz w:val="22"/>
      </w:rPr>
      <w:fldChar w:fldCharType="separate"/>
    </w:r>
    <w:r w:rsidR="00C25B6F">
      <w:rPr>
        <w:rFonts w:ascii="Palatino Linotype" w:hAnsi="Palatino Linotype"/>
        <w:b/>
        <w:bCs/>
        <w:noProof/>
        <w:color w:val="000000"/>
        <w:sz w:val="22"/>
      </w:rPr>
      <w:t>1</w:t>
    </w:r>
    <w:r w:rsidRPr="001C5A62">
      <w:rPr>
        <w:rFonts w:ascii="Palatino Linotype" w:hAnsi="Palatino Linotype"/>
        <w:b/>
        <w:bCs/>
        <w:color w:val="000000"/>
        <w:sz w:val="22"/>
      </w:rPr>
      <w:fldChar w:fldCharType="end"/>
    </w:r>
    <w:r w:rsidRPr="001C5A62">
      <w:rPr>
        <w:rFonts w:ascii="Palatino Linotype" w:hAnsi="Palatino Linotype"/>
        <w:color w:val="000000"/>
        <w:sz w:val="22"/>
      </w:rPr>
      <w:t xml:space="preserve"> de </w:t>
    </w:r>
    <w:r w:rsidRPr="001C5A62">
      <w:rPr>
        <w:rFonts w:ascii="Palatino Linotype" w:hAnsi="Palatino Linotype"/>
        <w:b/>
        <w:bCs/>
        <w:color w:val="000000"/>
        <w:sz w:val="22"/>
      </w:rPr>
      <w:fldChar w:fldCharType="begin"/>
    </w:r>
    <w:r w:rsidRPr="001C5A62">
      <w:rPr>
        <w:rFonts w:ascii="Palatino Linotype" w:hAnsi="Palatino Linotype"/>
        <w:b/>
        <w:bCs/>
        <w:color w:val="000000"/>
        <w:sz w:val="22"/>
      </w:rPr>
      <w:instrText>NUMPAGES</w:instrText>
    </w:r>
    <w:r w:rsidRPr="001C5A62">
      <w:rPr>
        <w:rFonts w:ascii="Palatino Linotype" w:hAnsi="Palatino Linotype"/>
        <w:b/>
        <w:bCs/>
        <w:color w:val="000000"/>
        <w:sz w:val="22"/>
      </w:rPr>
      <w:fldChar w:fldCharType="separate"/>
    </w:r>
    <w:r w:rsidR="00C25B6F">
      <w:rPr>
        <w:rFonts w:ascii="Palatino Linotype" w:hAnsi="Palatino Linotype"/>
        <w:b/>
        <w:bCs/>
        <w:noProof/>
        <w:color w:val="000000"/>
        <w:sz w:val="22"/>
      </w:rPr>
      <w:t>11</w:t>
    </w:r>
    <w:r w:rsidRPr="001C5A62">
      <w:rPr>
        <w:rFonts w:ascii="Palatino Linotype" w:hAnsi="Palatino Linotype"/>
        <w:b/>
        <w:bCs/>
        <w:color w:val="000000"/>
        <w:sz w:val="22"/>
      </w:rPr>
      <w:fldChar w:fldCharType="end"/>
    </w:r>
  </w:p>
  <w:p w:rsidR="009A0B7B" w:rsidRDefault="009A0B7B">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00C9" w:rsidRDefault="00CD00C9">
      <w:r>
        <w:separator/>
      </w:r>
    </w:p>
  </w:footnote>
  <w:footnote w:type="continuationSeparator" w:id="0">
    <w:p w:rsidR="00CD00C9" w:rsidRDefault="00CD00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0B7B" w:rsidRDefault="00CD00C9">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589.8pt;height:768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207" w:type="dxa"/>
      <w:tblInd w:w="0" w:type="dxa"/>
      <w:tblLayout w:type="fixed"/>
      <w:tblLook w:val="0400" w:firstRow="0" w:lastRow="0" w:firstColumn="0" w:lastColumn="0" w:noHBand="0" w:noVBand="1"/>
    </w:tblPr>
    <w:tblGrid>
      <w:gridCol w:w="1843"/>
      <w:gridCol w:w="8364"/>
    </w:tblGrid>
    <w:tr w:rsidR="009A0B7B" w:rsidTr="001C5A62">
      <w:trPr>
        <w:trHeight w:val="1435"/>
      </w:trPr>
      <w:tc>
        <w:tcPr>
          <w:tcW w:w="1843" w:type="dxa"/>
          <w:shd w:val="clear" w:color="auto" w:fill="auto"/>
        </w:tcPr>
        <w:p w:rsidR="009A0B7B" w:rsidRDefault="009A0B7B">
          <w:pPr>
            <w:tabs>
              <w:tab w:val="right" w:pos="4273"/>
            </w:tabs>
            <w:rPr>
              <w:rFonts w:ascii="Garamond" w:eastAsia="Garamond" w:hAnsi="Garamond" w:cs="Garamond"/>
              <w:sz w:val="16"/>
              <w:szCs w:val="16"/>
            </w:rPr>
          </w:pPr>
        </w:p>
      </w:tc>
      <w:tc>
        <w:tcPr>
          <w:tcW w:w="8364" w:type="dxa"/>
          <w:shd w:val="clear" w:color="auto" w:fill="auto"/>
        </w:tcPr>
        <w:tbl>
          <w:tblPr>
            <w:tblStyle w:val="a0"/>
            <w:tblW w:w="5963" w:type="dxa"/>
            <w:tblInd w:w="2012" w:type="dxa"/>
            <w:tblLayout w:type="fixed"/>
            <w:tblLook w:val="0400" w:firstRow="0" w:lastRow="0" w:firstColumn="0" w:lastColumn="0" w:noHBand="0" w:noVBand="1"/>
          </w:tblPr>
          <w:tblGrid>
            <w:gridCol w:w="2692"/>
            <w:gridCol w:w="3271"/>
          </w:tblGrid>
          <w:tr w:rsidR="009A0B7B" w:rsidTr="001C5A62">
            <w:trPr>
              <w:trHeight w:val="144"/>
            </w:trPr>
            <w:tc>
              <w:tcPr>
                <w:tcW w:w="2692" w:type="dxa"/>
                <w:shd w:val="clear" w:color="auto" w:fill="auto"/>
              </w:tcPr>
              <w:p w:rsidR="009A0B7B" w:rsidRPr="001C5A62" w:rsidRDefault="00E10797">
                <w:pPr>
                  <w:tabs>
                    <w:tab w:val="right" w:pos="8838"/>
                  </w:tabs>
                  <w:ind w:left="-264" w:right="-105" w:firstLine="195"/>
                  <w:rPr>
                    <w:rFonts w:ascii="Palatino Linotype" w:eastAsia="Palatino Linotype" w:hAnsi="Palatino Linotype" w:cs="Palatino Linotype"/>
                    <w:b/>
                    <w:bCs/>
                  </w:rPr>
                </w:pPr>
                <w:r w:rsidRPr="001C5A62">
                  <w:rPr>
                    <w:rFonts w:ascii="Palatino Linotype" w:eastAsia="Palatino Linotype" w:hAnsi="Palatino Linotype" w:cs="Palatino Linotype"/>
                    <w:b/>
                    <w:bCs/>
                  </w:rPr>
                  <w:t>Recurso de Revisión:</w:t>
                </w:r>
              </w:p>
            </w:tc>
            <w:tc>
              <w:tcPr>
                <w:tcW w:w="3271" w:type="dxa"/>
                <w:shd w:val="clear" w:color="auto" w:fill="auto"/>
              </w:tcPr>
              <w:p w:rsidR="009A0B7B" w:rsidRPr="001C5A62" w:rsidRDefault="00E10797">
                <w:pPr>
                  <w:tabs>
                    <w:tab w:val="right" w:pos="8838"/>
                  </w:tabs>
                  <w:ind w:left="-74" w:right="-105"/>
                  <w:jc w:val="both"/>
                  <w:rPr>
                    <w:rFonts w:ascii="Palatino Linotype" w:eastAsia="Palatino Linotype" w:hAnsi="Palatino Linotype" w:cs="Palatino Linotype"/>
                  </w:rPr>
                </w:pPr>
                <w:r w:rsidRPr="001C5A62">
                  <w:rPr>
                    <w:rFonts w:ascii="Palatino Linotype" w:eastAsia="Palatino Linotype" w:hAnsi="Palatino Linotype" w:cs="Palatino Linotype"/>
                  </w:rPr>
                  <w:t>04268/INFOEM/IP/RR/2026</w:t>
                </w:r>
              </w:p>
            </w:tc>
          </w:tr>
          <w:tr w:rsidR="009A0B7B" w:rsidTr="001C5A62">
            <w:trPr>
              <w:trHeight w:val="283"/>
            </w:trPr>
            <w:tc>
              <w:tcPr>
                <w:tcW w:w="2692" w:type="dxa"/>
                <w:shd w:val="clear" w:color="auto" w:fill="auto"/>
              </w:tcPr>
              <w:p w:rsidR="009A0B7B" w:rsidRPr="001C5A62" w:rsidRDefault="00E10797">
                <w:pPr>
                  <w:tabs>
                    <w:tab w:val="right" w:pos="8838"/>
                  </w:tabs>
                  <w:ind w:left="-74" w:right="-105"/>
                  <w:rPr>
                    <w:rFonts w:ascii="Palatino Linotype" w:eastAsia="Palatino Linotype" w:hAnsi="Palatino Linotype" w:cs="Palatino Linotype"/>
                    <w:b/>
                    <w:bCs/>
                  </w:rPr>
                </w:pPr>
                <w:r w:rsidRPr="001C5A62">
                  <w:rPr>
                    <w:rFonts w:ascii="Palatino Linotype" w:eastAsia="Palatino Linotype" w:hAnsi="Palatino Linotype" w:cs="Palatino Linotype"/>
                    <w:b/>
                    <w:bCs/>
                  </w:rPr>
                  <w:t>Sujeto Obligado:</w:t>
                </w:r>
              </w:p>
            </w:tc>
            <w:tc>
              <w:tcPr>
                <w:tcW w:w="3271" w:type="dxa"/>
                <w:shd w:val="clear" w:color="auto" w:fill="auto"/>
              </w:tcPr>
              <w:p w:rsidR="009A0B7B" w:rsidRPr="001C5A62" w:rsidRDefault="00E10797">
                <w:pPr>
                  <w:tabs>
                    <w:tab w:val="left" w:pos="2834"/>
                    <w:tab w:val="right" w:pos="8838"/>
                  </w:tabs>
                  <w:ind w:left="-74" w:right="-105"/>
                  <w:jc w:val="both"/>
                  <w:rPr>
                    <w:rFonts w:ascii="Palatino Linotype" w:eastAsia="Palatino Linotype" w:hAnsi="Palatino Linotype" w:cs="Palatino Linotype"/>
                  </w:rPr>
                </w:pPr>
                <w:r w:rsidRPr="001C5A62">
                  <w:rPr>
                    <w:rFonts w:ascii="Palatino Linotype" w:eastAsia="Palatino Linotype" w:hAnsi="Palatino Linotype" w:cs="Palatino Linotype"/>
                  </w:rPr>
                  <w:t>Poder Legislativo</w:t>
                </w:r>
              </w:p>
            </w:tc>
          </w:tr>
          <w:tr w:rsidR="009A0B7B" w:rsidTr="001C5A62">
            <w:trPr>
              <w:trHeight w:val="283"/>
            </w:trPr>
            <w:tc>
              <w:tcPr>
                <w:tcW w:w="2692" w:type="dxa"/>
                <w:shd w:val="clear" w:color="auto" w:fill="auto"/>
              </w:tcPr>
              <w:p w:rsidR="009A0B7B" w:rsidRPr="001C5A62" w:rsidRDefault="00E10797">
                <w:pPr>
                  <w:tabs>
                    <w:tab w:val="right" w:pos="8838"/>
                  </w:tabs>
                  <w:ind w:left="-74" w:right="-105"/>
                  <w:rPr>
                    <w:rFonts w:ascii="Palatino Linotype" w:eastAsia="Palatino Linotype" w:hAnsi="Palatino Linotype" w:cs="Palatino Linotype"/>
                    <w:b/>
                    <w:bCs/>
                  </w:rPr>
                </w:pPr>
                <w:r w:rsidRPr="001C5A62">
                  <w:rPr>
                    <w:rFonts w:ascii="Palatino Linotype" w:eastAsia="Palatino Linotype" w:hAnsi="Palatino Linotype" w:cs="Palatino Linotype"/>
                    <w:b/>
                    <w:bCs/>
                  </w:rPr>
                  <w:t>Comisionado ponente:</w:t>
                </w:r>
              </w:p>
            </w:tc>
            <w:tc>
              <w:tcPr>
                <w:tcW w:w="3271" w:type="dxa"/>
                <w:shd w:val="clear" w:color="auto" w:fill="auto"/>
              </w:tcPr>
              <w:p w:rsidR="009A0B7B" w:rsidRPr="001C5A62" w:rsidRDefault="00E10797">
                <w:pPr>
                  <w:tabs>
                    <w:tab w:val="right" w:pos="8838"/>
                  </w:tabs>
                  <w:ind w:left="-74" w:right="-105"/>
                  <w:jc w:val="both"/>
                  <w:rPr>
                    <w:rFonts w:ascii="Palatino Linotype" w:eastAsia="Palatino Linotype" w:hAnsi="Palatino Linotype" w:cs="Palatino Linotype"/>
                  </w:rPr>
                </w:pPr>
                <w:r w:rsidRPr="001C5A62">
                  <w:rPr>
                    <w:rFonts w:ascii="Palatino Linotype" w:eastAsia="Palatino Linotype" w:hAnsi="Palatino Linotype" w:cs="Palatino Linotype"/>
                  </w:rPr>
                  <w:t>María del Rosario Mejía Ayala</w:t>
                </w:r>
              </w:p>
            </w:tc>
          </w:tr>
        </w:tbl>
        <w:p w:rsidR="009A0B7B" w:rsidRDefault="009A0B7B">
          <w:pPr>
            <w:tabs>
              <w:tab w:val="right" w:pos="8838"/>
            </w:tabs>
            <w:ind w:left="-28"/>
            <w:jc w:val="both"/>
            <w:rPr>
              <w:rFonts w:ascii="Arial" w:eastAsia="Arial" w:hAnsi="Arial" w:cs="Arial"/>
              <w:b/>
              <w:bCs/>
              <w:sz w:val="22"/>
              <w:szCs w:val="22"/>
            </w:rPr>
          </w:pPr>
        </w:p>
      </w:tc>
    </w:tr>
  </w:tbl>
  <w:p w:rsidR="009A0B7B" w:rsidRDefault="00CD00C9">
    <w:pPr>
      <w:pBdr>
        <w:top w:val="nil"/>
        <w:left w:val="nil"/>
        <w:bottom w:val="nil"/>
        <w:right w:val="nil"/>
        <w:between w:val="nil"/>
      </w:pBdr>
      <w:tabs>
        <w:tab w:val="center" w:pos="4419"/>
        <w:tab w:val="right" w:pos="8838"/>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68.8pt;margin-top:-120.5pt;width:589.8pt;height:768pt;z-index:-251659776;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10305" w:type="dxa"/>
      <w:tblInd w:w="0" w:type="dxa"/>
      <w:tblLayout w:type="fixed"/>
      <w:tblLook w:val="0400" w:firstRow="0" w:lastRow="0" w:firstColumn="0" w:lastColumn="0" w:noHBand="0" w:noVBand="1"/>
    </w:tblPr>
    <w:tblGrid>
      <w:gridCol w:w="2265"/>
      <w:gridCol w:w="8040"/>
    </w:tblGrid>
    <w:tr w:rsidR="009A0B7B">
      <w:trPr>
        <w:trHeight w:val="1435"/>
      </w:trPr>
      <w:tc>
        <w:tcPr>
          <w:tcW w:w="2265" w:type="dxa"/>
          <w:shd w:val="clear" w:color="auto" w:fill="auto"/>
        </w:tcPr>
        <w:p w:rsidR="009A0B7B" w:rsidRDefault="009A0B7B">
          <w:pPr>
            <w:tabs>
              <w:tab w:val="right" w:pos="4273"/>
            </w:tabs>
            <w:rPr>
              <w:rFonts w:ascii="Garamond" w:eastAsia="Garamond" w:hAnsi="Garamond" w:cs="Garamond"/>
              <w:sz w:val="22"/>
              <w:szCs w:val="22"/>
            </w:rPr>
          </w:pPr>
        </w:p>
      </w:tc>
      <w:tc>
        <w:tcPr>
          <w:tcW w:w="8040" w:type="dxa"/>
          <w:shd w:val="clear" w:color="auto" w:fill="auto"/>
        </w:tcPr>
        <w:tbl>
          <w:tblPr>
            <w:tblStyle w:val="a2"/>
            <w:tblW w:w="7740" w:type="dxa"/>
            <w:tblInd w:w="455" w:type="dxa"/>
            <w:tblLayout w:type="fixed"/>
            <w:tblLook w:val="0400" w:firstRow="0" w:lastRow="0" w:firstColumn="0" w:lastColumn="0" w:noHBand="0" w:noVBand="1"/>
          </w:tblPr>
          <w:tblGrid>
            <w:gridCol w:w="3510"/>
            <w:gridCol w:w="4230"/>
          </w:tblGrid>
          <w:tr w:rsidR="009A0B7B" w:rsidTr="001C5A62">
            <w:trPr>
              <w:trHeight w:val="144"/>
            </w:trPr>
            <w:tc>
              <w:tcPr>
                <w:tcW w:w="3510" w:type="dxa"/>
                <w:shd w:val="clear" w:color="auto" w:fill="auto"/>
              </w:tcPr>
              <w:p w:rsidR="009A0B7B" w:rsidRDefault="00E10797">
                <w:pPr>
                  <w:tabs>
                    <w:tab w:val="right" w:pos="8838"/>
                  </w:tabs>
                  <w:ind w:left="708" w:right="-105"/>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230" w:type="dxa"/>
                <w:shd w:val="clear" w:color="auto" w:fill="auto"/>
              </w:tcPr>
              <w:p w:rsidR="009A0B7B" w:rsidRDefault="00E10797">
                <w:pPr>
                  <w:tabs>
                    <w:tab w:val="right" w:pos="8838"/>
                  </w:tabs>
                  <w:ind w:left="33" w:right="-1375"/>
                  <w:jc w:val="both"/>
                  <w:rPr>
                    <w:rFonts w:ascii="Palatino Linotype" w:eastAsia="Palatino Linotype" w:hAnsi="Palatino Linotype" w:cs="Palatino Linotype"/>
                  </w:rPr>
                </w:pPr>
                <w:r>
                  <w:rPr>
                    <w:rFonts w:ascii="Palatino Linotype" w:eastAsia="Palatino Linotype" w:hAnsi="Palatino Linotype" w:cs="Palatino Linotype"/>
                  </w:rPr>
                  <w:t>04268/INFOEM/IP/RR/2026</w:t>
                </w:r>
              </w:p>
            </w:tc>
          </w:tr>
          <w:tr w:rsidR="009A0B7B" w:rsidTr="001C5A62">
            <w:trPr>
              <w:trHeight w:val="144"/>
            </w:trPr>
            <w:tc>
              <w:tcPr>
                <w:tcW w:w="3510" w:type="dxa"/>
                <w:shd w:val="clear" w:color="auto" w:fill="auto"/>
              </w:tcPr>
              <w:p w:rsidR="009A0B7B" w:rsidRDefault="00E10797">
                <w:pPr>
                  <w:tabs>
                    <w:tab w:val="right" w:pos="8838"/>
                  </w:tabs>
                  <w:ind w:left="708" w:right="-105"/>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4230" w:type="dxa"/>
                <w:shd w:val="clear" w:color="auto" w:fill="auto"/>
              </w:tcPr>
              <w:p w:rsidR="009A0B7B" w:rsidRDefault="00AE5CA5">
                <w:pPr>
                  <w:tabs>
                    <w:tab w:val="left" w:pos="3122"/>
                    <w:tab w:val="right" w:pos="8838"/>
                  </w:tabs>
                  <w:ind w:left="33" w:right="-1375"/>
                  <w:jc w:val="both"/>
                  <w:rPr>
                    <w:rFonts w:ascii="Palatino Linotype" w:eastAsia="Palatino Linotype" w:hAnsi="Palatino Linotype" w:cs="Palatino Linotype"/>
                  </w:rPr>
                </w:pPr>
                <w:r>
                  <w:rPr>
                    <w:rFonts w:ascii="Palatino Linotype" w:eastAsia="Palatino Linotype" w:hAnsi="Palatino Linotype" w:cs="Palatino Linotype"/>
                  </w:rPr>
                  <w:t>XXXX</w:t>
                </w:r>
              </w:p>
            </w:tc>
          </w:tr>
          <w:tr w:rsidR="009A0B7B" w:rsidTr="001C5A62">
            <w:trPr>
              <w:trHeight w:val="283"/>
            </w:trPr>
            <w:tc>
              <w:tcPr>
                <w:tcW w:w="3510" w:type="dxa"/>
                <w:shd w:val="clear" w:color="auto" w:fill="auto"/>
              </w:tcPr>
              <w:p w:rsidR="009A0B7B" w:rsidRDefault="00E10797">
                <w:pPr>
                  <w:tabs>
                    <w:tab w:val="right" w:pos="8838"/>
                  </w:tabs>
                  <w:ind w:left="708" w:right="-105"/>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230" w:type="dxa"/>
                <w:shd w:val="clear" w:color="auto" w:fill="auto"/>
              </w:tcPr>
              <w:p w:rsidR="009A0B7B" w:rsidRDefault="00E10797">
                <w:pPr>
                  <w:tabs>
                    <w:tab w:val="left" w:pos="2834"/>
                    <w:tab w:val="right" w:pos="8838"/>
                  </w:tabs>
                  <w:ind w:left="33" w:right="-1375"/>
                  <w:jc w:val="both"/>
                  <w:rPr>
                    <w:rFonts w:ascii="Palatino Linotype" w:eastAsia="Palatino Linotype" w:hAnsi="Palatino Linotype" w:cs="Palatino Linotype"/>
                  </w:rPr>
                </w:pPr>
                <w:r>
                  <w:rPr>
                    <w:rFonts w:ascii="Palatino Linotype" w:eastAsia="Palatino Linotype" w:hAnsi="Palatino Linotype" w:cs="Palatino Linotype"/>
                  </w:rPr>
                  <w:t>Poder Legislativo</w:t>
                </w:r>
              </w:p>
            </w:tc>
          </w:tr>
          <w:tr w:rsidR="009A0B7B" w:rsidTr="001C5A62">
            <w:trPr>
              <w:trHeight w:val="283"/>
            </w:trPr>
            <w:tc>
              <w:tcPr>
                <w:tcW w:w="3510" w:type="dxa"/>
                <w:shd w:val="clear" w:color="auto" w:fill="auto"/>
              </w:tcPr>
              <w:p w:rsidR="009A0B7B" w:rsidRDefault="00E10797">
                <w:pPr>
                  <w:tabs>
                    <w:tab w:val="right" w:pos="8838"/>
                  </w:tabs>
                  <w:ind w:left="708" w:right="-105"/>
                  <w:rPr>
                    <w:rFonts w:ascii="Palatino Linotype" w:eastAsia="Palatino Linotype" w:hAnsi="Palatino Linotype" w:cs="Palatino Linotype"/>
                    <w:b/>
                    <w:bCs/>
                  </w:rPr>
                </w:pPr>
                <w:r>
                  <w:rPr>
                    <w:rFonts w:ascii="Palatino Linotype" w:eastAsia="Palatino Linotype" w:hAnsi="Palatino Linotype" w:cs="Palatino Linotype"/>
                    <w:b/>
                    <w:bCs/>
                  </w:rPr>
                  <w:t>Comisionado ponente:</w:t>
                </w:r>
              </w:p>
            </w:tc>
            <w:tc>
              <w:tcPr>
                <w:tcW w:w="4230" w:type="dxa"/>
                <w:shd w:val="clear" w:color="auto" w:fill="auto"/>
              </w:tcPr>
              <w:p w:rsidR="009A0B7B" w:rsidRDefault="00E10797">
                <w:pPr>
                  <w:tabs>
                    <w:tab w:val="right" w:pos="8838"/>
                  </w:tabs>
                  <w:ind w:left="33" w:right="-1375"/>
                  <w:jc w:val="both"/>
                  <w:rPr>
                    <w:rFonts w:ascii="Palatino Linotype" w:eastAsia="Palatino Linotype" w:hAnsi="Palatino Linotype" w:cs="Palatino Linotype"/>
                  </w:rPr>
                </w:pPr>
                <w:r>
                  <w:rPr>
                    <w:rFonts w:ascii="Palatino Linotype" w:eastAsia="Palatino Linotype" w:hAnsi="Palatino Linotype" w:cs="Palatino Linotype"/>
                  </w:rPr>
                  <w:t>María del Rosario Mejía Ayala</w:t>
                </w:r>
              </w:p>
              <w:p w:rsidR="009A0B7B" w:rsidRDefault="009A0B7B">
                <w:pPr>
                  <w:tabs>
                    <w:tab w:val="right" w:pos="8838"/>
                  </w:tabs>
                  <w:ind w:left="33" w:right="-1375"/>
                  <w:jc w:val="both"/>
                  <w:rPr>
                    <w:rFonts w:ascii="Palatino Linotype" w:eastAsia="Palatino Linotype" w:hAnsi="Palatino Linotype" w:cs="Palatino Linotype"/>
                    <w:b/>
                    <w:bCs/>
                  </w:rPr>
                </w:pPr>
              </w:p>
            </w:tc>
          </w:tr>
        </w:tbl>
        <w:p w:rsidR="009A0B7B" w:rsidRDefault="009A0B7B">
          <w:pPr>
            <w:tabs>
              <w:tab w:val="right" w:pos="8838"/>
            </w:tabs>
            <w:ind w:left="-28"/>
            <w:jc w:val="both"/>
            <w:rPr>
              <w:rFonts w:ascii="Arial" w:eastAsia="Arial" w:hAnsi="Arial" w:cs="Arial"/>
              <w:b/>
              <w:bCs/>
              <w:sz w:val="22"/>
              <w:szCs w:val="22"/>
            </w:rPr>
          </w:pPr>
        </w:p>
      </w:tc>
    </w:tr>
  </w:tbl>
  <w:p w:rsidR="009A0B7B" w:rsidRDefault="00CD00C9">
    <w:pPr>
      <w:pBdr>
        <w:top w:val="nil"/>
        <w:left w:val="nil"/>
        <w:bottom w:val="nil"/>
        <w:right w:val="nil"/>
        <w:between w:val="nil"/>
      </w:pBdr>
      <w:tabs>
        <w:tab w:val="center" w:pos="4419"/>
        <w:tab w:val="right" w:pos="8838"/>
      </w:tabs>
      <w:rPr>
        <w:color w:val="000000"/>
        <w:sz w:val="2"/>
        <w:szCs w:val="2"/>
      </w:rPr>
    </w:pPr>
    <w:r>
      <w:rPr>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62pt;margin-top:-125.1pt;width:589.8pt;height:768pt;z-index:-251658752;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5B008D"/>
    <w:multiLevelType w:val="multilevel"/>
    <w:tmpl w:val="ACF849E6"/>
    <w:lvl w:ilvl="0">
      <w:start w:val="1"/>
      <w:numFmt w:val="decimal"/>
      <w:lvlText w:val="%1."/>
      <w:lvlJc w:val="left"/>
      <w:pPr>
        <w:ind w:left="2204" w:hanging="360"/>
      </w:pPr>
      <w:rPr>
        <w:rFonts w:ascii="Palatino Linotype" w:eastAsia="Palatino Linotype" w:hAnsi="Palatino Linotype" w:cs="Palatino Linotype"/>
        <w:b/>
        <w:bCs/>
        <w:i w:val="0"/>
        <w:iCs w:val="0"/>
        <w:color w:val="000000"/>
        <w:sz w:val="24"/>
        <w:szCs w:val="24"/>
        <w:u w:val="none"/>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A2E70D1"/>
    <w:multiLevelType w:val="multilevel"/>
    <w:tmpl w:val="949A559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6AC731B0"/>
    <w:multiLevelType w:val="multilevel"/>
    <w:tmpl w:val="B1AE16D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73A67C10"/>
    <w:multiLevelType w:val="multilevel"/>
    <w:tmpl w:val="AA840B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B7B"/>
    <w:rsid w:val="000E5BEB"/>
    <w:rsid w:val="001C5A62"/>
    <w:rsid w:val="00910318"/>
    <w:rsid w:val="009A0B7B"/>
    <w:rsid w:val="00AE5CA5"/>
    <w:rsid w:val="00B86268"/>
    <w:rsid w:val="00C25B6F"/>
    <w:rsid w:val="00CD00C9"/>
    <w:rsid w:val="00CD4C00"/>
    <w:rsid w:val="00E10797"/>
    <w:rsid w:val="00E26E4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94CB8F87-D54F-4A32-B2E4-4A2DA0ABF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paragraph" w:styleId="Piedepgina">
    <w:name w:val="footer"/>
    <w:basedOn w:val="Normal"/>
    <w:link w:val="PiedepginaCar"/>
    <w:uiPriority w:val="99"/>
    <w:unhideWhenUsed/>
    <w:rsid w:val="000E5BEB"/>
    <w:pPr>
      <w:tabs>
        <w:tab w:val="center" w:pos="4419"/>
        <w:tab w:val="right" w:pos="8838"/>
      </w:tabs>
    </w:pPr>
  </w:style>
  <w:style w:type="character" w:customStyle="1" w:styleId="PiedepginaCar">
    <w:name w:val="Pie de página Car"/>
    <w:basedOn w:val="Fuentedeprrafopredeter"/>
    <w:link w:val="Piedepgina"/>
    <w:uiPriority w:val="99"/>
    <w:rsid w:val="000E5B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WqRM5404VA/Z/tGh8pzFdTqfPQ==">CgMxLjAyDmguMmpoNTFsaDVtYzR0Mg5oLjFscHNjN3I3MzF1bjIOaC44bGQ3NWtmdGpuMzcyDmguNXZieWlqNnJ3aDJzMg5oLmpkdWc5djI2eGJqdTIOaC5sNzY2czFqbjB4ejUyDmgucG9ycjJicDY0anBpMg5oLjl3a2M4N3l0NzczNjIOaC53cXpyYjYza2IzdW8yDmguYzNha2F6bGNscXFyMg5oLjFsMmhqcjN6cTFobTgAciExSUdCaTZyQzdBMUYya0NPRVlqWEdKSVUtSFRaZEotcG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2511</Words>
  <Characters>13813</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16292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7</cp:revision>
  <cp:lastPrinted>2026-05-21T23:18:00Z</cp:lastPrinted>
  <dcterms:created xsi:type="dcterms:W3CDTF">2026-05-20T21:22:00Z</dcterms:created>
  <dcterms:modified xsi:type="dcterms:W3CDTF">2026-06-17T19:26:00Z</dcterms:modified>
</cp:coreProperties>
</file>