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F4D" w:rsidRPr="00400004" w:rsidRDefault="00F60CC4">
      <w:pPr>
        <w:spacing w:line="360" w:lineRule="auto"/>
        <w:jc w:val="both"/>
        <w:rPr>
          <w:rFonts w:ascii="Palatino Linotype" w:eastAsia="Palatino Linotype" w:hAnsi="Palatino Linotype" w:cs="Palatino Linotype"/>
          <w:b/>
          <w:szCs w:val="22"/>
        </w:rPr>
      </w:pPr>
      <w:r w:rsidRPr="00400004">
        <w:rPr>
          <w:rFonts w:ascii="Palatino Linotype" w:eastAsia="Palatino Linotype" w:hAnsi="Palatino Linotype" w:cs="Palatino Linotype"/>
          <w:szCs w:val="22"/>
        </w:rPr>
        <w:t xml:space="preserve">Resolución del Pleno del Instituto de Transparencia, </w:t>
      </w:r>
      <w:bookmarkStart w:id="0" w:name="_GoBack"/>
      <w:bookmarkEnd w:id="0"/>
      <w:r w:rsidRPr="00400004">
        <w:rPr>
          <w:rFonts w:ascii="Palatino Linotype" w:eastAsia="Palatino Linotype" w:hAnsi="Palatino Linotype" w:cs="Palatino Linotype"/>
          <w:szCs w:val="22"/>
        </w:rPr>
        <w:t>Acceso a la Información Pública y Protección de Datos Personales del Estado de México y Municipios, con domicilio en Mete</w:t>
      </w:r>
      <w:r w:rsidR="008C0395" w:rsidRPr="00400004">
        <w:rPr>
          <w:rFonts w:ascii="Palatino Linotype" w:eastAsia="Palatino Linotype" w:hAnsi="Palatino Linotype" w:cs="Palatino Linotype"/>
          <w:szCs w:val="22"/>
        </w:rPr>
        <w:t>pec, Estado</w:t>
      </w:r>
      <w:r w:rsidR="00400004" w:rsidRPr="00400004">
        <w:rPr>
          <w:rFonts w:ascii="Palatino Linotype" w:eastAsia="Palatino Linotype" w:hAnsi="Palatino Linotype" w:cs="Palatino Linotype"/>
          <w:szCs w:val="22"/>
        </w:rPr>
        <w:t xml:space="preserve"> de México; de </w:t>
      </w:r>
      <w:r w:rsidR="00400004" w:rsidRPr="00400004">
        <w:rPr>
          <w:rFonts w:ascii="Palatino Linotype" w:eastAsia="Palatino Linotype" w:hAnsi="Palatino Linotype" w:cs="Palatino Linotype"/>
          <w:b/>
          <w:szCs w:val="22"/>
        </w:rPr>
        <w:t xml:space="preserve">fecha </w:t>
      </w:r>
      <w:r w:rsidR="008C0395" w:rsidRPr="00400004">
        <w:rPr>
          <w:rFonts w:ascii="Palatino Linotype" w:eastAsia="Palatino Linotype" w:hAnsi="Palatino Linotype" w:cs="Palatino Linotype"/>
          <w:b/>
          <w:szCs w:val="22"/>
        </w:rPr>
        <w:t xml:space="preserve"> veinte</w:t>
      </w:r>
      <w:r w:rsidR="00400004" w:rsidRPr="00400004">
        <w:rPr>
          <w:rFonts w:ascii="Palatino Linotype" w:eastAsia="Palatino Linotype" w:hAnsi="Palatino Linotype" w:cs="Palatino Linotype"/>
          <w:b/>
          <w:szCs w:val="22"/>
        </w:rPr>
        <w:t xml:space="preserve"> (20)</w:t>
      </w:r>
      <w:r w:rsidR="008C0395" w:rsidRPr="00400004">
        <w:rPr>
          <w:rFonts w:ascii="Palatino Linotype" w:eastAsia="Palatino Linotype" w:hAnsi="Palatino Linotype" w:cs="Palatino Linotype"/>
          <w:b/>
          <w:szCs w:val="22"/>
        </w:rPr>
        <w:t xml:space="preserve"> de mayo de dos mil veintiséis</w:t>
      </w:r>
      <w:r w:rsidRPr="00400004">
        <w:rPr>
          <w:rFonts w:ascii="Palatino Linotype" w:eastAsia="Palatino Linotype" w:hAnsi="Palatino Linotype" w:cs="Palatino Linotype"/>
          <w:b/>
          <w:szCs w:val="22"/>
        </w:rPr>
        <w:t>.</w:t>
      </w:r>
    </w:p>
    <w:p w:rsidR="007F3F4D" w:rsidRDefault="007F3F4D">
      <w:pPr>
        <w:jc w:val="both"/>
        <w:rPr>
          <w:rFonts w:ascii="Palatino Linotype" w:eastAsia="Palatino Linotype" w:hAnsi="Palatino Linotype" w:cs="Palatino Linotype"/>
          <w:sz w:val="22"/>
          <w:szCs w:val="22"/>
        </w:rPr>
      </w:pPr>
    </w:p>
    <w:p w:rsidR="007F3F4D" w:rsidRPr="00400004" w:rsidRDefault="00F60CC4">
      <w:pPr>
        <w:spacing w:line="360" w:lineRule="auto"/>
        <w:jc w:val="both"/>
        <w:rPr>
          <w:rFonts w:ascii="Palatino Linotype" w:eastAsia="Palatino Linotype" w:hAnsi="Palatino Linotype" w:cs="Palatino Linotype"/>
          <w:szCs w:val="22"/>
        </w:rPr>
      </w:pPr>
      <w:r w:rsidRPr="00400004">
        <w:rPr>
          <w:rFonts w:ascii="Palatino Linotype" w:eastAsia="Palatino Linotype" w:hAnsi="Palatino Linotype" w:cs="Palatino Linotype"/>
          <w:b/>
          <w:bCs/>
          <w:szCs w:val="22"/>
        </w:rPr>
        <w:t>VISTO</w:t>
      </w:r>
      <w:r w:rsidRPr="00400004">
        <w:rPr>
          <w:rFonts w:ascii="Palatino Linotype" w:eastAsia="Palatino Linotype" w:hAnsi="Palatino Linotype" w:cs="Palatino Linotype"/>
          <w:szCs w:val="22"/>
        </w:rPr>
        <w:t xml:space="preserve"> el expediente electrónico formado con motivo del recurso de revisión </w:t>
      </w:r>
      <w:r w:rsidRPr="00400004">
        <w:rPr>
          <w:rFonts w:ascii="Palatino Linotype" w:eastAsia="Palatino Linotype" w:hAnsi="Palatino Linotype" w:cs="Palatino Linotype"/>
          <w:b/>
          <w:bCs/>
          <w:szCs w:val="22"/>
        </w:rPr>
        <w:t xml:space="preserve">11188/INFOEM/IP/RR/2025, </w:t>
      </w:r>
      <w:r w:rsidRPr="00400004">
        <w:rPr>
          <w:rFonts w:ascii="Palatino Linotype" w:eastAsia="Palatino Linotype" w:hAnsi="Palatino Linotype" w:cs="Palatino Linotype"/>
          <w:szCs w:val="22"/>
        </w:rPr>
        <w:t xml:space="preserve">promovido por </w:t>
      </w:r>
      <w:r w:rsidRPr="00400004">
        <w:rPr>
          <w:rFonts w:ascii="Palatino Linotype" w:eastAsia="Palatino Linotype" w:hAnsi="Palatino Linotype" w:cs="Palatino Linotype"/>
          <w:b/>
          <w:bCs/>
          <w:szCs w:val="22"/>
        </w:rPr>
        <w:t>el</w:t>
      </w:r>
      <w:r w:rsidRPr="00400004">
        <w:rPr>
          <w:rFonts w:ascii="Palatino Linotype" w:eastAsia="Palatino Linotype" w:hAnsi="Palatino Linotype" w:cs="Palatino Linotype"/>
          <w:szCs w:val="22"/>
        </w:rPr>
        <w:t xml:space="preserve"> </w:t>
      </w:r>
      <w:r w:rsidRPr="00400004">
        <w:rPr>
          <w:rFonts w:ascii="Palatino Linotype" w:eastAsia="Palatino Linotype" w:hAnsi="Palatino Linotype" w:cs="Palatino Linotype"/>
          <w:b/>
          <w:bCs/>
          <w:szCs w:val="22"/>
        </w:rPr>
        <w:t>RECURRENTE,</w:t>
      </w:r>
      <w:r w:rsidRPr="00400004">
        <w:rPr>
          <w:rFonts w:ascii="Palatino Linotype" w:eastAsia="Palatino Linotype" w:hAnsi="Palatino Linotype" w:cs="Palatino Linotype"/>
          <w:szCs w:val="22"/>
        </w:rPr>
        <w:t xml:space="preserve"> en contra de la respuesta de la </w:t>
      </w:r>
      <w:r w:rsidRPr="00400004">
        <w:rPr>
          <w:rFonts w:ascii="Palatino Linotype" w:eastAsia="Palatino Linotype" w:hAnsi="Palatino Linotype" w:cs="Palatino Linotype"/>
          <w:b/>
          <w:bCs/>
          <w:szCs w:val="22"/>
        </w:rPr>
        <w:t xml:space="preserve">Universidad Politécnica de Tecámac, </w:t>
      </w:r>
      <w:r w:rsidRPr="00400004">
        <w:rPr>
          <w:rFonts w:ascii="Palatino Linotype" w:eastAsia="Palatino Linotype" w:hAnsi="Palatino Linotype" w:cs="Palatino Linotype"/>
          <w:szCs w:val="22"/>
        </w:rPr>
        <w:t>en adelante el</w:t>
      </w:r>
      <w:r w:rsidRPr="00400004">
        <w:rPr>
          <w:rFonts w:ascii="Palatino Linotype" w:eastAsia="Palatino Linotype" w:hAnsi="Palatino Linotype" w:cs="Palatino Linotype"/>
          <w:b/>
          <w:bCs/>
          <w:szCs w:val="22"/>
        </w:rPr>
        <w:t xml:space="preserve"> SUJETO OBLIGADO</w:t>
      </w:r>
      <w:r w:rsidRPr="00400004">
        <w:rPr>
          <w:rFonts w:ascii="Palatino Linotype" w:eastAsia="Palatino Linotype" w:hAnsi="Palatino Linotype" w:cs="Palatino Linotype"/>
          <w:szCs w:val="22"/>
        </w:rPr>
        <w:t>, por lo que se procede a dictar la presente resolución, con base en los siguientes:</w:t>
      </w:r>
    </w:p>
    <w:p w:rsidR="007F3F4D" w:rsidRDefault="007F3F4D">
      <w:pPr>
        <w:jc w:val="both"/>
        <w:rPr>
          <w:rFonts w:ascii="Palatino Linotype" w:eastAsia="Palatino Linotype" w:hAnsi="Palatino Linotype" w:cs="Palatino Linotype"/>
          <w:szCs w:val="22"/>
        </w:rPr>
      </w:pPr>
    </w:p>
    <w:p w:rsidR="00400004" w:rsidRPr="00400004" w:rsidRDefault="00400004">
      <w:pPr>
        <w:jc w:val="both"/>
        <w:rPr>
          <w:rFonts w:ascii="Palatino Linotype" w:eastAsia="Palatino Linotype" w:hAnsi="Palatino Linotype" w:cs="Palatino Linotype"/>
          <w:szCs w:val="22"/>
        </w:rPr>
      </w:pPr>
    </w:p>
    <w:p w:rsidR="007F3F4D" w:rsidRPr="00400004" w:rsidRDefault="00F60CC4">
      <w:pPr>
        <w:keepNext/>
        <w:keepLines/>
        <w:spacing w:line="360" w:lineRule="auto"/>
        <w:jc w:val="center"/>
        <w:rPr>
          <w:rFonts w:ascii="Palatino Linotype" w:eastAsia="Palatino Linotype" w:hAnsi="Palatino Linotype" w:cs="Palatino Linotype"/>
          <w:b/>
          <w:bCs/>
          <w:szCs w:val="22"/>
        </w:rPr>
      </w:pPr>
      <w:r w:rsidRPr="00400004">
        <w:rPr>
          <w:rFonts w:ascii="Palatino Linotype" w:eastAsia="Palatino Linotype" w:hAnsi="Palatino Linotype" w:cs="Palatino Linotype"/>
          <w:b/>
          <w:bCs/>
          <w:szCs w:val="22"/>
        </w:rPr>
        <w:t>A N T E C E D E N T E S</w:t>
      </w:r>
    </w:p>
    <w:p w:rsidR="007F3F4D" w:rsidRPr="00400004" w:rsidRDefault="007F3F4D">
      <w:pPr>
        <w:rPr>
          <w:rFonts w:ascii="Palatino Linotype" w:eastAsia="Palatino Linotype" w:hAnsi="Palatino Linotype" w:cs="Palatino Linotype"/>
          <w:szCs w:val="22"/>
        </w:rPr>
      </w:pPr>
    </w:p>
    <w:p w:rsidR="007F3F4D" w:rsidRPr="00400004" w:rsidRDefault="00F60CC4">
      <w:pPr>
        <w:numPr>
          <w:ilvl w:val="0"/>
          <w:numId w:val="5"/>
        </w:numPr>
        <w:spacing w:line="360" w:lineRule="auto"/>
        <w:ind w:left="0"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szCs w:val="22"/>
        </w:rPr>
        <w:t>El dos de septiembre de dos mil veinticinco, la</w:t>
      </w:r>
      <w:r w:rsidRPr="00400004">
        <w:rPr>
          <w:rFonts w:ascii="Palatino Linotype" w:eastAsia="Palatino Linotype" w:hAnsi="Palatino Linotype" w:cs="Palatino Linotype"/>
          <w:b/>
          <w:bCs/>
          <w:szCs w:val="22"/>
        </w:rPr>
        <w:t xml:space="preserve"> RECURRENTE </w:t>
      </w:r>
      <w:r w:rsidRPr="00400004">
        <w:rPr>
          <w:rFonts w:ascii="Palatino Linotype" w:eastAsia="Palatino Linotype" w:hAnsi="Palatino Linotype" w:cs="Palatino Linotype"/>
          <w:szCs w:val="22"/>
        </w:rPr>
        <w:t xml:space="preserve">presentó ante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 xml:space="preserve"> a través del el Sistema de Acceso a la Información Mexiquense </w:t>
      </w:r>
      <w:r w:rsidRPr="00400004">
        <w:rPr>
          <w:rFonts w:ascii="Palatino Linotype" w:eastAsia="Palatino Linotype" w:hAnsi="Palatino Linotype" w:cs="Palatino Linotype"/>
          <w:b/>
          <w:bCs/>
          <w:szCs w:val="22"/>
        </w:rPr>
        <w:t>(SAIMEX),</w:t>
      </w:r>
      <w:r w:rsidRPr="00400004">
        <w:rPr>
          <w:rFonts w:ascii="Palatino Linotype" w:eastAsia="Palatino Linotype" w:hAnsi="Palatino Linotype" w:cs="Palatino Linotype"/>
          <w:szCs w:val="22"/>
        </w:rPr>
        <w:t xml:space="preserve"> la solicitud de información pública </w:t>
      </w:r>
      <w:r w:rsidRPr="00400004">
        <w:rPr>
          <w:rFonts w:ascii="Palatino Linotype" w:eastAsia="Palatino Linotype" w:hAnsi="Palatino Linotype" w:cs="Palatino Linotype"/>
          <w:b/>
          <w:bCs/>
          <w:szCs w:val="22"/>
        </w:rPr>
        <w:t>00015/UPT/IP/2025</w:t>
      </w:r>
      <w:r w:rsidRPr="00400004">
        <w:rPr>
          <w:rFonts w:ascii="Palatino Linotype" w:eastAsia="Palatino Linotype" w:hAnsi="Palatino Linotype" w:cs="Palatino Linotype"/>
          <w:szCs w:val="22"/>
        </w:rPr>
        <w:t>, en la que solicitó:</w:t>
      </w:r>
    </w:p>
    <w:p w:rsidR="007F3F4D" w:rsidRPr="00400004" w:rsidRDefault="007F3F4D">
      <w:pPr>
        <w:jc w:val="both"/>
        <w:rPr>
          <w:rFonts w:ascii="Palatino Linotype" w:eastAsia="Palatino Linotype" w:hAnsi="Palatino Linotype" w:cs="Palatino Linotype"/>
          <w:i/>
          <w:iCs/>
          <w:szCs w:val="22"/>
        </w:rPr>
      </w:pPr>
    </w:p>
    <w:p w:rsidR="007F3F4D" w:rsidRDefault="00F60CC4">
      <w:pPr>
        <w:ind w:left="567" w:right="567"/>
        <w:jc w:val="both"/>
        <w:rPr>
          <w:rFonts w:ascii="Palatino Linotype" w:eastAsia="Palatino Linotype" w:hAnsi="Palatino Linotype" w:cs="Palatino Linotype"/>
          <w:i/>
          <w:iCs/>
          <w:color w:val="000000"/>
          <w:sz w:val="22"/>
          <w:szCs w:val="22"/>
        </w:rPr>
      </w:pPr>
      <w:r w:rsidRPr="00400004">
        <w:rPr>
          <w:rFonts w:ascii="Palatino Linotype" w:eastAsia="Palatino Linotype" w:hAnsi="Palatino Linotype" w:cs="Palatino Linotype"/>
          <w:i/>
          <w:iCs/>
          <w:color w:val="000000"/>
        </w:rPr>
        <w:t>“</w:t>
      </w:r>
      <w:r w:rsidRPr="00400004">
        <w:rPr>
          <w:rFonts w:ascii="Palatino Linotype" w:eastAsia="Palatino Linotype" w:hAnsi="Palatino Linotype" w:cs="Palatino Linotype"/>
          <w:i/>
          <w:iCs/>
        </w:rPr>
        <w:t xml:space="preserve">En cumplimiento de la Ley de Transparencia y Acceso a la Información Pública del Estado de México y Municipios, solicito de manera formal y directa se me proporcione la siguiente información: 1. Copia del anteproyecto de presupuesto de egresos del Departamento de Planeación correspondiente al ejercicio 2025, así como la versión aprobada por la Dirección de Administración y Finanzas. 2. Los programas y proyectos anuales de trabajo de todas las unidades administrativas de la Universidad para el ejercicio 2025, incluyendo los lineamientos y criterios aplicados para su integración. 3. Los planes y programas operativos a corto, mediano y largo plazo elaborados por el Departamento de Planeación, así como los informes de evaluación institucional correspondientes al año 2025. 4. Documentación que demuestre la aplicación del modelo de planeación institucional, incluyendo reportes de seguimiento del Plan de Desarrollo Institucional (PDI) y del Programa Integral de Fortalecimiento Institucional (PIFI). 5. Historial estadístico actualizado de la situación académica y administrativa de la Institución, incluyendo matrícula escolar y resultados de funciones académico-administrativas. 6. Copia de los manuales de organización y de procedimientos vigentes, así como cualquier actualización o modificación propuesta al </w:t>
      </w:r>
      <w:r w:rsidRPr="00400004">
        <w:rPr>
          <w:rFonts w:ascii="Palatino Linotype" w:eastAsia="Palatino Linotype" w:hAnsi="Palatino Linotype" w:cs="Palatino Linotype"/>
          <w:i/>
          <w:iCs/>
        </w:rPr>
        <w:lastRenderedPageBreak/>
        <w:t>Rector. 7. Copia del historial estadístico actualizado de matrícula, rendimiento académico, egresados y deserción por programa o carrera, elaborado y resguardado por el Departamento de Planeación, incluyendo la metodología utilizada para su consolidación y actualización durante el ejercicio 2025. 8. Copia de los indicadores de</w:t>
      </w:r>
      <w:r>
        <w:rPr>
          <w:rFonts w:ascii="Palatino Linotype" w:eastAsia="Palatino Linotype" w:hAnsi="Palatino Linotype" w:cs="Palatino Linotype"/>
          <w:i/>
          <w:iCs/>
          <w:sz w:val="22"/>
          <w:szCs w:val="22"/>
        </w:rPr>
        <w:t xml:space="preserve"> desempeño institucional (KPI) elaborados por el Departamento de Planeación, incluyendo los resultados obtenidos en 2025 para evaluar el cumplimiento de metas, objetivos estratégicos y eficiencia de programas y proyectos institucionales, así como la metodología utilizada para su cálculo. Conforme al Manual General de Organización de la Universidad Politécnica de Tecámac, tiene la responsabilidad exclusiva de elaborar, coordinar, supervisar y resguardar toda la información relativa a planes, programas, presupuesto, PDI y PIFI. Por lo tanto: • No puede derivarse a entrega a consulta presencial, ya que esto constituiría un incumplimiento de sus obligaciones legales y administrativas. • La información debe ser proporcionada vía SAIMEX en tiempo y forma, conforme a la Ley de Transparencia y Acceso a la Información Pública del Estado de México y Municipios.</w:t>
      </w:r>
      <w:r>
        <w:rPr>
          <w:rFonts w:ascii="Palatino Linotype" w:eastAsia="Palatino Linotype" w:hAnsi="Palatino Linotype" w:cs="Palatino Linotype"/>
          <w:i/>
          <w:iCs/>
          <w:color w:val="000000"/>
          <w:sz w:val="22"/>
          <w:szCs w:val="22"/>
        </w:rPr>
        <w:t xml:space="preserve">” (Sic) </w:t>
      </w:r>
    </w:p>
    <w:p w:rsidR="007F3F4D" w:rsidRDefault="007F3F4D">
      <w:pPr>
        <w:pBdr>
          <w:top w:val="nil"/>
          <w:left w:val="nil"/>
          <w:bottom w:val="nil"/>
          <w:right w:val="nil"/>
          <w:between w:val="nil"/>
        </w:pBdr>
        <w:jc w:val="both"/>
        <w:rPr>
          <w:rFonts w:ascii="Palatino Linotype" w:eastAsia="Palatino Linotype" w:hAnsi="Palatino Linotype" w:cs="Palatino Linotype"/>
          <w:color w:val="000000"/>
          <w:sz w:val="22"/>
          <w:szCs w:val="22"/>
        </w:rPr>
      </w:pPr>
    </w:p>
    <w:p w:rsidR="007F3F4D" w:rsidRPr="00400004" w:rsidRDefault="00F60CC4">
      <w:pPr>
        <w:numPr>
          <w:ilvl w:val="0"/>
          <w:numId w:val="5"/>
        </w:numPr>
        <w:spacing w:line="360" w:lineRule="auto"/>
        <w:ind w:left="0" w:firstLine="0"/>
        <w:jc w:val="both"/>
        <w:rPr>
          <w:rFonts w:ascii="Palatino Linotype" w:eastAsia="Palatino Linotype" w:hAnsi="Palatino Linotype" w:cs="Palatino Linotype"/>
        </w:rPr>
      </w:pPr>
      <w:r w:rsidRPr="00400004">
        <w:rPr>
          <w:rFonts w:ascii="Palatino Linotype" w:eastAsia="Palatino Linotype" w:hAnsi="Palatino Linotype" w:cs="Palatino Linotype"/>
        </w:rPr>
        <w:t xml:space="preserve">Se hace constar que se señaló como modalidad de entrega de la información a través del </w:t>
      </w:r>
      <w:r w:rsidRPr="00400004">
        <w:rPr>
          <w:rFonts w:ascii="Palatino Linotype" w:eastAsia="Palatino Linotype" w:hAnsi="Palatino Linotype" w:cs="Palatino Linotype"/>
          <w:b/>
          <w:bCs/>
        </w:rPr>
        <w:t>SAIMEX.</w:t>
      </w:r>
    </w:p>
    <w:p w:rsidR="007F3F4D" w:rsidRPr="00400004" w:rsidRDefault="007F3F4D">
      <w:pPr>
        <w:jc w:val="both"/>
        <w:rPr>
          <w:rFonts w:ascii="Palatino Linotype" w:eastAsia="Palatino Linotype" w:hAnsi="Palatino Linotype" w:cs="Palatino Linotype"/>
          <w:b/>
          <w:bCs/>
        </w:rPr>
      </w:pPr>
    </w:p>
    <w:p w:rsidR="007F3F4D" w:rsidRPr="00400004" w:rsidRDefault="00F60CC4">
      <w:pPr>
        <w:numPr>
          <w:ilvl w:val="0"/>
          <w:numId w:val="5"/>
        </w:numPr>
        <w:spacing w:line="360" w:lineRule="auto"/>
        <w:ind w:left="0" w:firstLine="0"/>
        <w:jc w:val="both"/>
        <w:rPr>
          <w:rFonts w:ascii="Palatino Linotype" w:eastAsia="Palatino Linotype" w:hAnsi="Palatino Linotype" w:cs="Palatino Linotype"/>
        </w:rPr>
      </w:pPr>
      <w:r w:rsidRPr="00400004">
        <w:rPr>
          <w:rFonts w:ascii="Palatino Linotype" w:eastAsia="Palatino Linotype" w:hAnsi="Palatino Linotype" w:cs="Palatino Linotype"/>
        </w:rPr>
        <w:t xml:space="preserve">El veintitrés de septiembre de dos mil veinticinco, el </w:t>
      </w:r>
      <w:r w:rsidRPr="00400004">
        <w:rPr>
          <w:rFonts w:ascii="Palatino Linotype" w:eastAsia="Palatino Linotype" w:hAnsi="Palatino Linotype" w:cs="Palatino Linotype"/>
          <w:b/>
          <w:bCs/>
        </w:rPr>
        <w:t>SUJETO OBLIGADO</w:t>
      </w:r>
      <w:r w:rsidRPr="00400004">
        <w:rPr>
          <w:rFonts w:ascii="Palatino Linotype" w:eastAsia="Palatino Linotype" w:hAnsi="Palatino Linotype" w:cs="Palatino Linotype"/>
          <w:b/>
          <w:bCs/>
          <w:i/>
          <w:iCs/>
        </w:rPr>
        <w:t xml:space="preserve"> </w:t>
      </w:r>
      <w:r w:rsidRPr="00400004">
        <w:rPr>
          <w:rFonts w:ascii="Palatino Linotype" w:eastAsia="Palatino Linotype" w:hAnsi="Palatino Linotype" w:cs="Palatino Linotype"/>
        </w:rPr>
        <w:t>dio respuesta a la solicitud de información, en los siguientes términos:</w:t>
      </w:r>
    </w:p>
    <w:p w:rsidR="007F3F4D" w:rsidRPr="00400004" w:rsidRDefault="007F3F4D">
      <w:pPr>
        <w:ind w:right="-592"/>
        <w:jc w:val="both"/>
        <w:rPr>
          <w:rFonts w:ascii="Palatino Linotype" w:eastAsia="Palatino Linotype" w:hAnsi="Palatino Linotype" w:cs="Palatino Linotype"/>
          <w:i/>
          <w:iCs/>
        </w:rPr>
      </w:pPr>
    </w:p>
    <w:p w:rsidR="007F3F4D" w:rsidRPr="00400004" w:rsidRDefault="00F60CC4">
      <w:pPr>
        <w:ind w:left="567" w:right="567"/>
        <w:jc w:val="both"/>
        <w:rPr>
          <w:rFonts w:ascii="Palatino Linotype" w:eastAsia="Palatino Linotype" w:hAnsi="Palatino Linotype" w:cs="Palatino Linotype"/>
          <w:i/>
          <w:iCs/>
        </w:rPr>
      </w:pPr>
      <w:r w:rsidRPr="00400004">
        <w:rPr>
          <w:rFonts w:ascii="Palatino Linotype" w:eastAsia="Palatino Linotype" w:hAnsi="Palatino Linotype" w:cs="Palatino Linotype"/>
          <w:i/>
          <w:iCs/>
          <w:color w:val="000000"/>
        </w:rPr>
        <w:t>“</w:t>
      </w:r>
      <w:r w:rsidRPr="00400004">
        <w:rPr>
          <w:rFonts w:ascii="Palatino Linotype" w:eastAsia="Palatino Linotype" w:hAnsi="Palatino Linotype" w:cs="Palatino Linotype"/>
          <w:i/>
          <w:iCs/>
        </w:rPr>
        <w:t>Se adjunta oficio con la respuesta y 10 anexos que derivan de la misma.</w:t>
      </w:r>
      <w:r w:rsidRPr="00400004">
        <w:rPr>
          <w:rFonts w:ascii="Palatino Linotype" w:eastAsia="Palatino Linotype" w:hAnsi="Palatino Linotype" w:cs="Palatino Linotype"/>
          <w:i/>
          <w:iCs/>
          <w:color w:val="000000"/>
        </w:rPr>
        <w:t xml:space="preserve">” (Sic) </w:t>
      </w:r>
    </w:p>
    <w:p w:rsidR="007F3F4D" w:rsidRPr="00400004" w:rsidRDefault="007F3F4D">
      <w:pPr>
        <w:ind w:right="710"/>
        <w:jc w:val="both"/>
        <w:rPr>
          <w:rFonts w:ascii="Palatino Linotype" w:eastAsia="Palatino Linotype" w:hAnsi="Palatino Linotype" w:cs="Palatino Linotype"/>
          <w:i/>
          <w:iCs/>
          <w:color w:val="000000"/>
        </w:rPr>
      </w:pPr>
    </w:p>
    <w:p w:rsidR="007F3F4D" w:rsidRPr="00400004" w:rsidRDefault="00F60CC4">
      <w:pPr>
        <w:ind w:right="567"/>
        <w:jc w:val="both"/>
        <w:rPr>
          <w:rFonts w:ascii="Palatino Linotype" w:eastAsia="Palatino Linotype" w:hAnsi="Palatino Linotype" w:cs="Palatino Linotype"/>
          <w:b/>
          <w:bCs/>
        </w:rPr>
      </w:pPr>
      <w:r w:rsidRPr="00400004">
        <w:rPr>
          <w:rFonts w:ascii="Palatino Linotype" w:eastAsia="Palatino Linotype" w:hAnsi="Palatino Linotype" w:cs="Palatino Linotype"/>
          <w:b/>
          <w:bCs/>
        </w:rPr>
        <w:t>Archivos electrónicos adjuntos:</w:t>
      </w:r>
    </w:p>
    <w:p w:rsidR="007F3F4D" w:rsidRPr="00400004" w:rsidRDefault="00EF1D2C">
      <w:pPr>
        <w:ind w:left="566" w:right="5"/>
        <w:jc w:val="both"/>
        <w:rPr>
          <w:rFonts w:ascii="Palatino Linotype" w:eastAsia="Palatino Linotype" w:hAnsi="Palatino Linotype" w:cs="Palatino Linotype"/>
        </w:rPr>
      </w:pPr>
      <w:hyperlink r:id="rId9">
        <w:r w:rsidR="00F60CC4" w:rsidRPr="00400004">
          <w:rPr>
            <w:rFonts w:ascii="Palatino Linotype" w:eastAsia="Palatino Linotype" w:hAnsi="Palatino Linotype" w:cs="Palatino Linotype"/>
            <w:b/>
            <w:bCs/>
          </w:rPr>
          <w:t>Anexo 8.pdf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Manual de Organización de la Universidad Politécnica de Tecámac.</w:t>
      </w:r>
    </w:p>
    <w:p w:rsidR="007F3F4D" w:rsidRPr="00400004" w:rsidRDefault="00EF1D2C">
      <w:pPr>
        <w:ind w:left="566" w:right="5"/>
        <w:jc w:val="both"/>
        <w:rPr>
          <w:rFonts w:ascii="Palatino Linotype" w:eastAsia="Palatino Linotype" w:hAnsi="Palatino Linotype" w:cs="Palatino Linotype"/>
        </w:rPr>
      </w:pPr>
      <w:hyperlink r:id="rId10">
        <w:r w:rsidR="00F60CC4" w:rsidRPr="00400004">
          <w:rPr>
            <w:rFonts w:ascii="Palatino Linotype" w:eastAsia="Palatino Linotype" w:hAnsi="Palatino Linotype" w:cs="Palatino Linotype"/>
            <w:b/>
            <w:bCs/>
          </w:rPr>
          <w:t>Anexo 2.pdf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Programa de Desarrollo Institucional, Programa Operativo Anual 2025 y lineamientos del proyecto.</w:t>
      </w:r>
    </w:p>
    <w:p w:rsidR="007F3F4D" w:rsidRPr="00400004" w:rsidRDefault="00EF1D2C">
      <w:pPr>
        <w:ind w:left="566" w:right="5"/>
        <w:jc w:val="both"/>
        <w:rPr>
          <w:rFonts w:ascii="Palatino Linotype" w:eastAsia="Palatino Linotype" w:hAnsi="Palatino Linotype" w:cs="Palatino Linotype"/>
        </w:rPr>
      </w:pPr>
      <w:hyperlink r:id="rId11">
        <w:r w:rsidR="00F60CC4" w:rsidRPr="00400004">
          <w:rPr>
            <w:rFonts w:ascii="Palatino Linotype" w:eastAsia="Palatino Linotype" w:hAnsi="Palatino Linotype" w:cs="Palatino Linotype"/>
            <w:b/>
            <w:bCs/>
          </w:rPr>
          <w:t>Anexo 7.pdf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Levantamiento estadístico 911 ciclo escolar 2024-2025.</w:t>
      </w:r>
    </w:p>
    <w:p w:rsidR="007F3F4D" w:rsidRPr="00400004" w:rsidRDefault="00EF1D2C">
      <w:pPr>
        <w:ind w:left="566" w:right="5"/>
        <w:jc w:val="both"/>
        <w:rPr>
          <w:rFonts w:ascii="Palatino Linotype" w:eastAsia="Palatino Linotype" w:hAnsi="Palatino Linotype" w:cs="Palatino Linotype"/>
          <w:b/>
          <w:bCs/>
        </w:rPr>
      </w:pPr>
      <w:hyperlink r:id="rId12">
        <w:r w:rsidR="00F60CC4" w:rsidRPr="00400004">
          <w:rPr>
            <w:rFonts w:ascii="Palatino Linotype" w:eastAsia="Palatino Linotype" w:hAnsi="Palatino Linotype" w:cs="Palatino Linotype"/>
            <w:b/>
            <w:bCs/>
          </w:rPr>
          <w:t>Anexo 6.pdf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Primera Evaluación de Seguimiento del Programa de Desarrollo Institucional 2024 - 2028.</w:t>
      </w:r>
    </w:p>
    <w:p w:rsidR="007F3F4D" w:rsidRPr="00400004" w:rsidRDefault="00EF1D2C">
      <w:pPr>
        <w:ind w:left="566" w:right="5"/>
        <w:jc w:val="both"/>
        <w:rPr>
          <w:rFonts w:ascii="Palatino Linotype" w:eastAsia="Palatino Linotype" w:hAnsi="Palatino Linotype" w:cs="Palatino Linotype"/>
        </w:rPr>
      </w:pPr>
      <w:hyperlink r:id="rId13">
        <w:r w:rsidR="00F60CC4" w:rsidRPr="00400004">
          <w:rPr>
            <w:rFonts w:ascii="Palatino Linotype" w:eastAsia="Palatino Linotype" w:hAnsi="Palatino Linotype" w:cs="Palatino Linotype"/>
            <w:b/>
            <w:bCs/>
          </w:rPr>
          <w:t>Anexo 10.pdf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 xml:space="preserve">Tabla de Indicadores TIG-SIG-01 </w:t>
      </w:r>
    </w:p>
    <w:p w:rsidR="007F3F4D" w:rsidRPr="00400004" w:rsidRDefault="00EF1D2C">
      <w:pPr>
        <w:ind w:left="566" w:right="5"/>
        <w:jc w:val="both"/>
        <w:rPr>
          <w:rFonts w:ascii="Palatino Linotype" w:eastAsia="Palatino Linotype" w:hAnsi="Palatino Linotype" w:cs="Palatino Linotype"/>
        </w:rPr>
      </w:pPr>
      <w:hyperlink r:id="rId14">
        <w:r w:rsidR="00F60CC4" w:rsidRPr="00400004">
          <w:rPr>
            <w:rFonts w:ascii="Palatino Linotype" w:eastAsia="Palatino Linotype" w:hAnsi="Palatino Linotype" w:cs="Palatino Linotype"/>
            <w:b/>
            <w:bCs/>
          </w:rPr>
          <w:t>SAIMEX 00015-UPT-IP-2025.pdf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 xml:space="preserve">Oficio suscrito por la Jefa del Departamento de Información, Planeación, Programación y Evaluación, mediante el cual, refirió proporcionar la información pública requerida y que obra en los archivos del </w:t>
      </w:r>
      <w:r w:rsidR="00F60CC4" w:rsidRPr="00400004">
        <w:rPr>
          <w:rFonts w:ascii="Palatino Linotype" w:eastAsia="Palatino Linotype" w:hAnsi="Palatino Linotype" w:cs="Palatino Linotype"/>
          <w:b/>
          <w:bCs/>
        </w:rPr>
        <w:t>SUJETO OBLIGADO</w:t>
      </w:r>
      <w:r w:rsidR="00F60CC4" w:rsidRPr="00400004">
        <w:rPr>
          <w:rFonts w:ascii="Palatino Linotype" w:eastAsia="Palatino Linotype" w:hAnsi="Palatino Linotype" w:cs="Palatino Linotype"/>
        </w:rPr>
        <w:t>, mediante 10 documentos anexos.</w:t>
      </w:r>
    </w:p>
    <w:p w:rsidR="007F3F4D" w:rsidRPr="00400004" w:rsidRDefault="007F3F4D">
      <w:pPr>
        <w:ind w:left="566" w:right="5"/>
        <w:jc w:val="both"/>
        <w:rPr>
          <w:rFonts w:ascii="Palatino Linotype" w:eastAsia="Palatino Linotype" w:hAnsi="Palatino Linotype" w:cs="Palatino Linotype"/>
          <w:b/>
          <w:bCs/>
        </w:rPr>
      </w:pPr>
    </w:p>
    <w:p w:rsidR="007F3F4D" w:rsidRPr="00400004" w:rsidRDefault="00EF1D2C">
      <w:pPr>
        <w:ind w:left="566" w:right="5"/>
        <w:jc w:val="both"/>
        <w:rPr>
          <w:rFonts w:ascii="Palatino Linotype" w:eastAsia="Palatino Linotype" w:hAnsi="Palatino Linotype" w:cs="Palatino Linotype"/>
        </w:rPr>
      </w:pPr>
      <w:hyperlink r:id="rId15">
        <w:r w:rsidR="00F60CC4" w:rsidRPr="00400004">
          <w:rPr>
            <w:rFonts w:ascii="Palatino Linotype" w:eastAsia="Palatino Linotype" w:hAnsi="Palatino Linotype" w:cs="Palatino Linotype"/>
            <w:b/>
            <w:bCs/>
          </w:rPr>
          <w:t>Anexo 4.pdf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 xml:space="preserve">Programa de Desarrollo Institucional, Programa Operativo Anual 2025 y lineamientos del proyecto. </w:t>
      </w:r>
    </w:p>
    <w:p w:rsidR="007F3F4D" w:rsidRPr="00400004" w:rsidRDefault="00EF1D2C">
      <w:pPr>
        <w:ind w:left="566" w:right="5"/>
        <w:jc w:val="both"/>
        <w:rPr>
          <w:rFonts w:ascii="Palatino Linotype" w:eastAsia="Palatino Linotype" w:hAnsi="Palatino Linotype" w:cs="Palatino Linotype"/>
        </w:rPr>
      </w:pPr>
      <w:hyperlink r:id="rId16">
        <w:r w:rsidR="00F60CC4" w:rsidRPr="00400004">
          <w:rPr>
            <w:rFonts w:ascii="Palatino Linotype" w:eastAsia="Palatino Linotype" w:hAnsi="Palatino Linotype" w:cs="Palatino Linotype"/>
            <w:b/>
            <w:bCs/>
          </w:rPr>
          <w:t>Anexo 5.pdf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Programa Operativo Anual 2025 e Informe de Evaluación Programática con corte al 26 de agosto de 2025. / Levantamiento estadístico 911 ciclo escolar 2024 - 2025.</w:t>
      </w:r>
    </w:p>
    <w:p w:rsidR="007F3F4D" w:rsidRPr="00400004" w:rsidRDefault="00EF1D2C">
      <w:pPr>
        <w:ind w:left="566" w:right="5"/>
        <w:jc w:val="both"/>
        <w:rPr>
          <w:rFonts w:ascii="Palatino Linotype" w:eastAsia="Palatino Linotype" w:hAnsi="Palatino Linotype" w:cs="Palatino Linotype"/>
        </w:rPr>
      </w:pPr>
      <w:hyperlink r:id="rId17">
        <w:r w:rsidR="00F60CC4" w:rsidRPr="00400004">
          <w:rPr>
            <w:rFonts w:ascii="Palatino Linotype" w:eastAsia="Palatino Linotype" w:hAnsi="Palatino Linotype" w:cs="Palatino Linotype"/>
            <w:b/>
            <w:bCs/>
          </w:rPr>
          <w:t>Anexo 1.pdf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 xml:space="preserve">Anteproyecto de Presupuesto de Egresos del Ejercicio Fiscal 2025. </w:t>
      </w:r>
    </w:p>
    <w:p w:rsidR="007F3F4D" w:rsidRPr="00400004" w:rsidRDefault="00EF1D2C">
      <w:pPr>
        <w:ind w:left="566" w:right="5"/>
        <w:jc w:val="both"/>
        <w:rPr>
          <w:rFonts w:ascii="Palatino Linotype" w:eastAsia="Palatino Linotype" w:hAnsi="Palatino Linotype" w:cs="Palatino Linotype"/>
        </w:rPr>
      </w:pPr>
      <w:hyperlink r:id="rId18">
        <w:r w:rsidR="00F60CC4" w:rsidRPr="00400004">
          <w:rPr>
            <w:rFonts w:ascii="Palatino Linotype" w:eastAsia="Palatino Linotype" w:hAnsi="Palatino Linotype" w:cs="Palatino Linotype"/>
            <w:b/>
            <w:bCs/>
          </w:rPr>
          <w:t>Anexo 3.pdf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Programa de Desarrollo Institucional, Programa Operativo Anual 2025 y lineamientos del proyecto.</w:t>
      </w:r>
    </w:p>
    <w:p w:rsidR="007F3F4D" w:rsidRPr="00400004" w:rsidRDefault="00EF1D2C">
      <w:pPr>
        <w:ind w:left="566" w:right="5"/>
        <w:jc w:val="both"/>
        <w:rPr>
          <w:rFonts w:ascii="Palatino Linotype" w:eastAsia="Palatino Linotype" w:hAnsi="Palatino Linotype" w:cs="Palatino Linotype"/>
        </w:rPr>
      </w:pPr>
      <w:hyperlink r:id="rId19">
        <w:r w:rsidR="00F60CC4" w:rsidRPr="00400004">
          <w:rPr>
            <w:rFonts w:ascii="Palatino Linotype" w:eastAsia="Palatino Linotype" w:hAnsi="Palatino Linotype" w:cs="Palatino Linotype"/>
            <w:b/>
            <w:bCs/>
          </w:rPr>
          <w:t>Anexo 9.pdf</w:t>
        </w:r>
      </w:hyperlink>
      <w:r w:rsidR="00F60CC4" w:rsidRPr="00400004">
        <w:rPr>
          <w:rFonts w:ascii="Palatino Linotype" w:eastAsia="Palatino Linotype" w:hAnsi="Palatino Linotype" w:cs="Palatino Linotype"/>
          <w:b/>
          <w:bCs/>
        </w:rPr>
        <w:t xml:space="preserve">: </w:t>
      </w:r>
      <w:r w:rsidR="00F60CC4" w:rsidRPr="00400004">
        <w:rPr>
          <w:rFonts w:ascii="Palatino Linotype" w:eastAsia="Palatino Linotype" w:hAnsi="Palatino Linotype" w:cs="Palatino Linotype"/>
        </w:rPr>
        <w:t>Matriz de indicadores para Resultados 2025.</w:t>
      </w:r>
    </w:p>
    <w:p w:rsidR="007F3F4D" w:rsidRPr="00400004" w:rsidRDefault="007F3F4D">
      <w:pPr>
        <w:ind w:right="-592"/>
        <w:jc w:val="both"/>
        <w:rPr>
          <w:rFonts w:ascii="Palatino Linotype" w:eastAsia="Palatino Linotype" w:hAnsi="Palatino Linotype" w:cs="Palatino Linotype"/>
          <w:b/>
          <w:bCs/>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rPr>
      </w:pPr>
      <w:r w:rsidRPr="00400004">
        <w:rPr>
          <w:rFonts w:ascii="Palatino Linotype" w:eastAsia="Palatino Linotype" w:hAnsi="Palatino Linotype" w:cs="Palatino Linotype"/>
        </w:rPr>
        <w:t>El treinta de septiembre de dos mil veinticinco,</w:t>
      </w:r>
      <w:r w:rsidRPr="00400004">
        <w:rPr>
          <w:rFonts w:ascii="Palatino Linotype" w:eastAsia="Palatino Linotype" w:hAnsi="Palatino Linotype" w:cs="Palatino Linotype"/>
          <w:b/>
          <w:bCs/>
        </w:rPr>
        <w:t xml:space="preserve"> </w:t>
      </w:r>
      <w:r w:rsidRPr="00400004">
        <w:rPr>
          <w:rFonts w:ascii="Palatino Linotype" w:eastAsia="Palatino Linotype" w:hAnsi="Palatino Linotype" w:cs="Palatino Linotype"/>
        </w:rPr>
        <w:t xml:space="preserve">el </w:t>
      </w:r>
      <w:r w:rsidRPr="00400004">
        <w:rPr>
          <w:rFonts w:ascii="Palatino Linotype" w:eastAsia="Palatino Linotype" w:hAnsi="Palatino Linotype" w:cs="Palatino Linotype"/>
          <w:b/>
          <w:bCs/>
        </w:rPr>
        <w:t>RECURRENTE</w:t>
      </w:r>
      <w:r w:rsidRPr="00400004">
        <w:rPr>
          <w:rFonts w:ascii="Palatino Linotype" w:eastAsia="Palatino Linotype" w:hAnsi="Palatino Linotype" w:cs="Palatino Linotype"/>
        </w:rPr>
        <w:t xml:space="preserve"> interpuso el recurso de revisión en contra de la respuesta, señalando como:</w:t>
      </w:r>
    </w:p>
    <w:p w:rsidR="007F3F4D" w:rsidRPr="00400004" w:rsidRDefault="007F3F4D">
      <w:pPr>
        <w:ind w:right="1"/>
        <w:jc w:val="both"/>
        <w:rPr>
          <w:rFonts w:ascii="Palatino Linotype" w:eastAsia="Palatino Linotype" w:hAnsi="Palatino Linotype" w:cs="Palatino Linotype"/>
        </w:rPr>
      </w:pPr>
    </w:p>
    <w:p w:rsidR="007F3F4D" w:rsidRPr="00400004" w:rsidRDefault="00F60CC4" w:rsidP="00400004">
      <w:pPr>
        <w:pStyle w:val="Prrafodelista"/>
        <w:numPr>
          <w:ilvl w:val="0"/>
          <w:numId w:val="6"/>
        </w:numPr>
        <w:ind w:left="709" w:right="567"/>
        <w:jc w:val="both"/>
        <w:rPr>
          <w:rFonts w:ascii="Palatino Linotype" w:eastAsia="Palatino Linotype" w:hAnsi="Palatino Linotype" w:cs="Palatino Linotype"/>
          <w:i/>
          <w:iCs/>
        </w:rPr>
      </w:pPr>
      <w:r w:rsidRPr="00400004">
        <w:rPr>
          <w:rFonts w:ascii="Palatino Linotype" w:eastAsia="Palatino Linotype" w:hAnsi="Palatino Linotype" w:cs="Palatino Linotype"/>
          <w:b/>
          <w:bCs/>
        </w:rPr>
        <w:t>Acto impugnado</w:t>
      </w:r>
      <w:r w:rsidRPr="00400004">
        <w:rPr>
          <w:rFonts w:ascii="Palatino Linotype" w:eastAsia="Palatino Linotype" w:hAnsi="Palatino Linotype" w:cs="Palatino Linotype"/>
          <w:b/>
          <w:bCs/>
          <w:i/>
          <w:iCs/>
        </w:rPr>
        <w:t>:</w:t>
      </w:r>
      <w:r w:rsidRPr="00400004">
        <w:rPr>
          <w:rFonts w:ascii="Palatino Linotype" w:eastAsia="Palatino Linotype" w:hAnsi="Palatino Linotype" w:cs="Palatino Linotype"/>
          <w:i/>
          <w:iCs/>
          <w:color w:val="000000"/>
        </w:rPr>
        <w:t xml:space="preserve"> “</w:t>
      </w:r>
      <w:r w:rsidRPr="00400004">
        <w:rPr>
          <w:rFonts w:ascii="Palatino Linotype" w:eastAsia="Palatino Linotype" w:hAnsi="Palatino Linotype" w:cs="Palatino Linotype"/>
          <w:i/>
          <w:iCs/>
        </w:rPr>
        <w:t>RESPUESTA DE SUJETO OBLIGADO POR ENTREGAR INFORMACION INCOMPLETA Y ALEGAR INEXISTENCIA DE OBLIGACIONES.</w:t>
      </w:r>
      <w:r w:rsidRPr="00400004">
        <w:rPr>
          <w:rFonts w:ascii="Palatino Linotype" w:eastAsia="Palatino Linotype" w:hAnsi="Palatino Linotype" w:cs="Palatino Linotype"/>
          <w:i/>
          <w:iCs/>
          <w:color w:val="000000"/>
        </w:rPr>
        <w:t>” (Sic)</w:t>
      </w:r>
    </w:p>
    <w:p w:rsidR="007F3F4D" w:rsidRPr="00400004" w:rsidRDefault="007F3F4D" w:rsidP="00400004">
      <w:pPr>
        <w:ind w:left="709" w:right="567"/>
        <w:jc w:val="both"/>
        <w:rPr>
          <w:rFonts w:ascii="Palatino Linotype" w:eastAsia="Palatino Linotype" w:hAnsi="Palatino Linotype" w:cs="Palatino Linotype"/>
        </w:rPr>
      </w:pPr>
    </w:p>
    <w:p w:rsidR="007F3F4D" w:rsidRPr="00400004" w:rsidRDefault="00F60CC4" w:rsidP="00400004">
      <w:pPr>
        <w:pStyle w:val="Prrafodelista"/>
        <w:numPr>
          <w:ilvl w:val="0"/>
          <w:numId w:val="6"/>
        </w:numPr>
        <w:ind w:left="709" w:right="567"/>
        <w:jc w:val="both"/>
        <w:rPr>
          <w:rFonts w:ascii="Palatino Linotype" w:eastAsia="Palatino Linotype" w:hAnsi="Palatino Linotype" w:cs="Palatino Linotype"/>
          <w:b/>
          <w:bCs/>
          <w:i/>
          <w:iCs/>
          <w:color w:val="000000"/>
        </w:rPr>
      </w:pPr>
      <w:r w:rsidRPr="00400004">
        <w:rPr>
          <w:rFonts w:ascii="Palatino Linotype" w:eastAsia="Palatino Linotype" w:hAnsi="Palatino Linotype" w:cs="Palatino Linotype"/>
          <w:b/>
          <w:bCs/>
        </w:rPr>
        <w:t xml:space="preserve">Razones o Motivos de inconformidad: </w:t>
      </w:r>
      <w:r w:rsidRPr="00400004">
        <w:rPr>
          <w:rFonts w:ascii="Palatino Linotype" w:eastAsia="Palatino Linotype" w:hAnsi="Palatino Linotype" w:cs="Palatino Linotype"/>
          <w:i/>
          <w:iCs/>
          <w:color w:val="000000"/>
        </w:rPr>
        <w:t>“</w:t>
      </w:r>
      <w:r w:rsidRPr="00400004">
        <w:rPr>
          <w:rFonts w:ascii="Palatino Linotype" w:eastAsia="Palatino Linotype" w:hAnsi="Palatino Linotype" w:cs="Palatino Linotype"/>
          <w:i/>
          <w:iCs/>
        </w:rPr>
        <w:t xml:space="preserve">La respuesta notificada por el Sujeto Obligado a la solicitud presentada, por ser contraria a la Ley de Transparencia y Acceso a la Información Pública del Estado de México y Municipios, así como a la reglamentación interna que obliga expresamente al Departamento de Planeación a elaborar, resguardar y proporcionar la información solicitada. 1) Entrega parcial de la información. Se omitió entregar la versión aprobada del presupuesto de egresos por parte de la Dirección de Administración y Finanzas, limitándose a remitir únicamente el anteproyecto. 2) Omisión en planes y programas institucionales. Se solicitó copia de los planes y programas operativos a corto, mediano y largo plazo, y únicamente se entregó el Programa Operativo Anual, lo cual resulta insuficiente y contrario a lo previsto en el Reglamento Interior. 3) Inexistencia injustificada del PIFI. El Sujeto Obligado manifestó no contar con el PIFI. Sin embargo, el Reglamento Interior de la Universidad establece expresamente como función del Departamento de Planeación “conformar el Programa Integral de Fortalecimiento Institucional (PIFI), así como su operación y evaluación”. Alegar inexistencia constituye incumplimiento normativo. 4) Historial estadístico incompleto. Se remitió únicamente el levantamiento estadístico 911, que no sustituye el historial integral de matrícula, rendimiento, egresados y deserción con metodología solicitada. </w:t>
      </w:r>
      <w:r w:rsidRPr="00400004">
        <w:rPr>
          <w:rFonts w:ascii="Palatino Linotype" w:eastAsia="Palatino Linotype" w:hAnsi="Palatino Linotype" w:cs="Palatino Linotype"/>
          <w:b/>
          <w:bCs/>
          <w:i/>
          <w:iCs/>
        </w:rPr>
        <w:t>5) Falta de metodología de indicadores.</w:t>
      </w:r>
      <w:r w:rsidRPr="00400004">
        <w:rPr>
          <w:rFonts w:ascii="Palatino Linotype" w:eastAsia="Palatino Linotype" w:hAnsi="Palatino Linotype" w:cs="Palatino Linotype"/>
          <w:i/>
          <w:iCs/>
        </w:rPr>
        <w:t xml:space="preserve"> Se entregaron tablas de resultados sin incluir la metodología de cálculo de los indicadores de desempeño institucional (KPI). 6) Desconocimiento de la Ley y de la reglamentación interna. El Sujeto Obligado fundamenta </w:t>
      </w:r>
      <w:r w:rsidRPr="00400004">
        <w:rPr>
          <w:rFonts w:ascii="Palatino Linotype" w:eastAsia="Palatino Linotype" w:hAnsi="Palatino Linotype" w:cs="Palatino Linotype"/>
          <w:i/>
          <w:iCs/>
        </w:rPr>
        <w:lastRenderedPageBreak/>
        <w:t>en el artículo 12 de la LTAIPEMyM que no está obligado a procesar información. Sin embargo, no se trata de procesamiento, sino de entregar la información que están obligados a generar y conservar. Esto refleja desconocimiento de la Ley de Transparencia y del propio Reglamento Interno, constituyendo incumplimiento normativo. Solicito se admita el presente recurso de revisión conforme a lo previsto en los artículos 176, 177 y 178 de la Ley de Transparencia y Acceso a la Información Pública del Estado de México y Municipios, y que se revoque la respuesta emitida por la Universidad Politécnica de Tecámac por resultar contraria al derecho de acceso a la información pública y a la normatividad interna que regula las funciones del Departamento de Información, Planeación, Programación y Evaluación. Pido se ordene al Sujeto Obligado entregar la información solicitada de manera íntegra, incluyendo la versión aprobada del Presupuesto de Egresos 2025 por la Dirección de Administración y Finanzas, los planes y programas operativos a corto, mediano y largo plazo de la Universidad, el Programa Integral de Fortalecimiento Institucional (PIFI) cuya elaboración y resguardo es obligación normativa del Departamento de Planeación, el historial estadístico completo de matrícula, rendimiento académico, egresados y deserción con la metodología utilizada para su consolidación, así como la metodología empleada para el cálculo de los indicadores institucionales entregados. De igual forma, solicito se instruya al Sujeto Obligado para que en lo sucesivo dé cumplimiento cabal a la Ley de Transparencia y a la reglamentación interna aplicable, y se impongan las medidas de apremio y correctivas correspondientes derivado del incumplimiento normativo y del desconocimiento tanto de la Ley de Transparencia como de las funciones expresas que el Reglamento Interior de la Universidad Politécnica de Tecámac otorga al área responsable. El presente recurso de revisión se circunscribe única y exclusivamente a lo solicitado en la petición inicial, situación que fue ignorada en la respuesta del Sujeto Obligado, al limitarse a entregar información parcial, distinta o alegar inexistencia de documentos cuya elaboración y resguardo constituyen obligaciones normativas expresas. La respuesta además carece de una debida fundamentación y motivación, pues se basa en una interpretación restrictiva y errónea del artículo 12 de la Ley de Transparencia, desconociendo tanto la propia Ley como la reglamentación interna de la Universidad Politécnica de Tecámac. Por lo anterior, se solicita se revoque la respuesta y se ordene la entrega completa de la información en los términos planteados en la solicitud inicial.</w:t>
      </w:r>
      <w:r w:rsidRPr="00400004">
        <w:rPr>
          <w:rFonts w:ascii="Palatino Linotype" w:eastAsia="Palatino Linotype" w:hAnsi="Palatino Linotype" w:cs="Palatino Linotype"/>
          <w:b/>
          <w:bCs/>
          <w:i/>
          <w:iCs/>
          <w:color w:val="000000"/>
        </w:rPr>
        <w:t>” (Sic)</w:t>
      </w:r>
    </w:p>
    <w:p w:rsidR="007F3F4D" w:rsidRPr="00400004" w:rsidRDefault="007F3F4D">
      <w:pPr>
        <w:ind w:right="568"/>
        <w:jc w:val="both"/>
        <w:rPr>
          <w:rFonts w:ascii="Palatino Linotype" w:eastAsia="Palatino Linotype" w:hAnsi="Palatino Linotype" w:cs="Palatino Linotype"/>
          <w:b/>
          <w:bCs/>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rPr>
      </w:pPr>
      <w:r w:rsidRPr="00400004">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400004">
        <w:rPr>
          <w:rFonts w:ascii="Palatino Linotype" w:eastAsia="Palatino Linotype" w:hAnsi="Palatino Linotype" w:cs="Palatino Linotype"/>
          <w:b/>
          <w:bCs/>
        </w:rPr>
        <w:t xml:space="preserve">Ley de </w:t>
      </w:r>
      <w:r w:rsidRPr="00400004">
        <w:rPr>
          <w:rFonts w:ascii="Palatino Linotype" w:eastAsia="Palatino Linotype" w:hAnsi="Palatino Linotype" w:cs="Palatino Linotype"/>
          <w:b/>
          <w:bCs/>
        </w:rPr>
        <w:lastRenderedPageBreak/>
        <w:t xml:space="preserve">Transparencia y Acceso a la Información Pública del Estado de México y Municipios </w:t>
      </w:r>
      <w:r w:rsidRPr="00400004">
        <w:rPr>
          <w:rFonts w:ascii="Palatino Linotype" w:eastAsia="Palatino Linotype" w:hAnsi="Palatino Linotype" w:cs="Palatino Linotype"/>
        </w:rPr>
        <w:t xml:space="preserve">se turna a la </w:t>
      </w:r>
      <w:r w:rsidRPr="00400004">
        <w:rPr>
          <w:rFonts w:ascii="Palatino Linotype" w:eastAsia="Palatino Linotype" w:hAnsi="Palatino Linotype" w:cs="Palatino Linotype"/>
          <w:b/>
          <w:bCs/>
        </w:rPr>
        <w:t xml:space="preserve">Comisionada María del Rosario Mejía Ayala, </w:t>
      </w:r>
      <w:r w:rsidRPr="00400004">
        <w:rPr>
          <w:rFonts w:ascii="Palatino Linotype" w:eastAsia="Palatino Linotype" w:hAnsi="Palatino Linotype" w:cs="Palatino Linotype"/>
        </w:rPr>
        <w:t xml:space="preserve">para su análisis. </w:t>
      </w:r>
    </w:p>
    <w:p w:rsidR="007F3F4D" w:rsidRPr="00400004" w:rsidRDefault="007F3F4D">
      <w:pPr>
        <w:ind w:right="-592"/>
        <w:jc w:val="both"/>
        <w:rPr>
          <w:rFonts w:ascii="Palatino Linotype" w:eastAsia="Palatino Linotype" w:hAnsi="Palatino Linotype" w:cs="Palatino Linotype"/>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color w:val="000000"/>
        </w:rPr>
      </w:pPr>
      <w:r w:rsidRPr="00400004">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ocho de octubre de dos mil veinticinco, puso a disposición de las partes el expediente electrónico vía </w:t>
      </w:r>
      <w:r w:rsidRPr="00400004">
        <w:rPr>
          <w:rFonts w:ascii="Palatino Linotype" w:eastAsia="Palatino Linotype" w:hAnsi="Palatino Linotype" w:cs="Palatino Linotype"/>
          <w:b/>
          <w:bCs/>
        </w:rPr>
        <w:t xml:space="preserve">SAIMEX </w:t>
      </w:r>
      <w:r w:rsidRPr="00400004">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400004">
        <w:rPr>
          <w:rFonts w:ascii="Palatino Linotype" w:eastAsia="Palatino Linotype" w:hAnsi="Palatino Linotype" w:cs="Palatino Linotype"/>
          <w:b/>
          <w:bCs/>
        </w:rPr>
        <w:t>SUJETO OBLIGADO</w:t>
      </w:r>
      <w:r w:rsidRPr="00400004">
        <w:rPr>
          <w:rFonts w:ascii="Palatino Linotype" w:eastAsia="Palatino Linotype" w:hAnsi="Palatino Linotype" w:cs="Palatino Linotype"/>
        </w:rPr>
        <w:t xml:space="preserve"> presentará el informe justificado procedente. </w:t>
      </w:r>
    </w:p>
    <w:p w:rsidR="007F3F4D" w:rsidRPr="00400004" w:rsidRDefault="007F3F4D">
      <w:pPr>
        <w:spacing w:line="360" w:lineRule="auto"/>
        <w:ind w:right="1"/>
        <w:jc w:val="both"/>
        <w:rPr>
          <w:rFonts w:ascii="Palatino Linotype" w:eastAsia="Palatino Linotype" w:hAnsi="Palatino Linotype" w:cs="Palatino Linotype"/>
        </w:rPr>
      </w:pP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400004">
        <w:rPr>
          <w:rFonts w:ascii="Palatino Linotype" w:eastAsia="Palatino Linotype" w:hAnsi="Palatino Linotype" w:cs="Palatino Linotype"/>
        </w:rPr>
        <w:t xml:space="preserve">El dieciséis de octubre de dos mil veinticinco, el </w:t>
      </w:r>
      <w:r w:rsidRPr="00400004">
        <w:rPr>
          <w:rFonts w:ascii="Palatino Linotype" w:eastAsia="Palatino Linotype" w:hAnsi="Palatino Linotype" w:cs="Palatino Linotype"/>
          <w:b/>
          <w:bCs/>
        </w:rPr>
        <w:t>SUJETO OBLIGADO</w:t>
      </w:r>
      <w:r w:rsidRPr="00400004">
        <w:rPr>
          <w:rFonts w:ascii="Palatino Linotype" w:eastAsia="Palatino Linotype" w:hAnsi="Palatino Linotype" w:cs="Palatino Linotype"/>
        </w:rPr>
        <w:t xml:space="preserve"> rindió el informe justificado correspondiente, mediante los siguientes archivos electrónicos:</w:t>
      </w:r>
    </w:p>
    <w:p w:rsidR="007F3F4D" w:rsidRPr="00400004" w:rsidRDefault="007F3F4D">
      <w:pPr>
        <w:rPr>
          <w:rFonts w:ascii="Palatino Linotype" w:eastAsia="Palatino Linotype" w:hAnsi="Palatino Linotype" w:cs="Palatino Linotype"/>
          <w:b/>
          <w:bCs/>
          <w:color w:val="000000"/>
        </w:rPr>
      </w:pPr>
    </w:p>
    <w:p w:rsidR="007F3F4D" w:rsidRPr="00400004" w:rsidRDefault="00F60CC4">
      <w:pPr>
        <w:ind w:left="566" w:right="567"/>
        <w:jc w:val="both"/>
        <w:rPr>
          <w:rFonts w:ascii="Palatino Linotype" w:eastAsia="Palatino Linotype" w:hAnsi="Palatino Linotype" w:cs="Palatino Linotype"/>
          <w:b/>
          <w:bCs/>
        </w:rPr>
      </w:pPr>
      <w:r w:rsidRPr="00400004">
        <w:rPr>
          <w:rFonts w:ascii="Palatino Linotype" w:eastAsia="Palatino Linotype" w:hAnsi="Palatino Linotype" w:cs="Palatino Linotype"/>
          <w:b/>
          <w:bCs/>
        </w:rPr>
        <w:t xml:space="preserve">ANEXO 1.pdf: </w:t>
      </w:r>
      <w:r w:rsidRPr="00400004">
        <w:rPr>
          <w:rFonts w:ascii="Palatino Linotype" w:eastAsia="Palatino Linotype" w:hAnsi="Palatino Linotype" w:cs="Palatino Linotype"/>
        </w:rPr>
        <w:t>Anteproyecto de Presupuesto de Egresos del Ejercicio 2025 validado por la Dirección de Administración y Finanzas.</w:t>
      </w:r>
    </w:p>
    <w:p w:rsidR="007F3F4D" w:rsidRPr="00400004" w:rsidRDefault="007F3F4D">
      <w:pPr>
        <w:ind w:left="566" w:right="567"/>
        <w:jc w:val="both"/>
        <w:rPr>
          <w:rFonts w:ascii="Palatino Linotype" w:eastAsia="Palatino Linotype" w:hAnsi="Palatino Linotype" w:cs="Palatino Linotype"/>
          <w:b/>
          <w:bCs/>
        </w:rPr>
      </w:pPr>
    </w:p>
    <w:p w:rsidR="007F3F4D" w:rsidRPr="00400004" w:rsidRDefault="00F60CC4">
      <w:pPr>
        <w:ind w:left="566" w:right="567"/>
        <w:jc w:val="both"/>
        <w:rPr>
          <w:rFonts w:ascii="Palatino Linotype" w:eastAsia="Palatino Linotype" w:hAnsi="Palatino Linotype" w:cs="Palatino Linotype"/>
        </w:rPr>
      </w:pPr>
      <w:r w:rsidRPr="00400004">
        <w:rPr>
          <w:rFonts w:ascii="Palatino Linotype" w:eastAsia="Palatino Linotype" w:hAnsi="Palatino Linotype" w:cs="Palatino Linotype"/>
          <w:b/>
          <w:bCs/>
        </w:rPr>
        <w:t xml:space="preserve">INFORME: </w:t>
      </w:r>
      <w:r w:rsidRPr="00400004">
        <w:rPr>
          <w:rFonts w:ascii="Palatino Linotype" w:eastAsia="Palatino Linotype" w:hAnsi="Palatino Linotype" w:cs="Palatino Linotype"/>
        </w:rPr>
        <w:t xml:space="preserve">Oficio suscrito por la Jefa del Departamento de Información, Planeación, Programación y Evaluación, mediante el cual, señaló que se hizo entrega de la información documental en los anexos remitidos en respuesta, de manera clara y completa; asimismo, refirió entregar copia del Anteproyecto de Presupuesto de Egresos del Ejercicio 2025 validado por la Dirección de Administración y Finanzas (anexo 1); por otro lado, precisó que el Programa Integral de Fortalecimiento Institucional (PIFI) operaba en el marco del Plan Nacional de Desarrollo vigente para el sexenio 2007-2012, en este sentido, derivado de que el solicitante no especificó el periodo de búsqueda de la información, se realizó la búsqueda del año inmediato anterior, en este sentido, el PIFI ya no operaba bajo ese nombre y el </w:t>
      </w:r>
      <w:r w:rsidRPr="00400004">
        <w:rPr>
          <w:rFonts w:ascii="Palatino Linotype" w:eastAsia="Palatino Linotype" w:hAnsi="Palatino Linotype" w:cs="Palatino Linotype"/>
          <w:b/>
          <w:bCs/>
        </w:rPr>
        <w:t>SUJETO OBLIGADO</w:t>
      </w:r>
      <w:r w:rsidRPr="00400004">
        <w:rPr>
          <w:rFonts w:ascii="Palatino Linotype" w:eastAsia="Palatino Linotype" w:hAnsi="Palatino Linotype" w:cs="Palatino Linotype"/>
        </w:rPr>
        <w:t xml:space="preserve"> no se encuentra participando en dicho programa.</w:t>
      </w:r>
    </w:p>
    <w:p w:rsidR="007F3F4D" w:rsidRPr="00400004" w:rsidRDefault="007F3F4D">
      <w:pPr>
        <w:rPr>
          <w:rFonts w:ascii="Palatino Linotype" w:eastAsia="Palatino Linotype" w:hAnsi="Palatino Linotype" w:cs="Palatino Linotype"/>
        </w:rPr>
      </w:pP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400004">
        <w:rPr>
          <w:rFonts w:ascii="Palatino Linotype" w:eastAsia="Palatino Linotype" w:hAnsi="Palatino Linotype" w:cs="Palatino Linotype"/>
        </w:rPr>
        <w:t>Por su parte,</w:t>
      </w:r>
      <w:r w:rsidRPr="00400004">
        <w:rPr>
          <w:rFonts w:ascii="Palatino Linotype" w:eastAsia="Palatino Linotype" w:hAnsi="Palatino Linotype" w:cs="Palatino Linotype"/>
          <w:color w:val="000000"/>
        </w:rPr>
        <w:t xml:space="preserve"> la parte </w:t>
      </w:r>
      <w:r w:rsidRPr="00400004">
        <w:rPr>
          <w:rFonts w:ascii="Palatino Linotype" w:eastAsia="Palatino Linotype" w:hAnsi="Palatino Linotype" w:cs="Palatino Linotype"/>
          <w:b/>
          <w:bCs/>
          <w:color w:val="000000"/>
        </w:rPr>
        <w:t>RECURRENTE</w:t>
      </w:r>
      <w:r w:rsidRPr="00400004">
        <w:rPr>
          <w:rFonts w:ascii="Palatino Linotype" w:eastAsia="Palatino Linotype" w:hAnsi="Palatino Linotype" w:cs="Palatino Linotype"/>
          <w:color w:val="000000"/>
        </w:rPr>
        <w:t xml:space="preserve"> dejó de realizar manifestaciones que a su derecho conviniera y asistiera.</w:t>
      </w: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400004">
        <w:rPr>
          <w:rFonts w:ascii="Palatino Linotype" w:eastAsia="Palatino Linotype" w:hAnsi="Palatino Linotype" w:cs="Palatino Linotype"/>
        </w:rPr>
        <w:lastRenderedPageBreak/>
        <w:t>El catorce de mayo de dos mil veintiséis, se notificó el</w:t>
      </w:r>
      <w:r w:rsidRPr="00400004">
        <w:rPr>
          <w:rFonts w:ascii="Palatino Linotype" w:eastAsia="Palatino Linotype" w:hAnsi="Palatino Linotype" w:cs="Palatino Linotype"/>
          <w:color w:val="000000"/>
        </w:rPr>
        <w:t xml:space="preserve"> </w:t>
      </w:r>
      <w:r w:rsidRPr="00400004">
        <w:rPr>
          <w:rFonts w:ascii="Palatino Linotype" w:eastAsia="Palatino Linotype" w:hAnsi="Palatino Linotype" w:cs="Palatino Linotype"/>
        </w:rPr>
        <w:t>acuerdo mediante el cual se aprobó la ampliación de plazo para emitir resolución.</w:t>
      </w:r>
    </w:p>
    <w:p w:rsidR="007F3F4D" w:rsidRPr="00400004" w:rsidRDefault="007F3F4D">
      <w:pPr>
        <w:rPr>
          <w:rFonts w:ascii="Palatino Linotype" w:eastAsia="Palatino Linotype" w:hAnsi="Palatino Linotype" w:cs="Palatino Linotype"/>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rPr>
      </w:pPr>
      <w:r w:rsidRPr="00400004">
        <w:rPr>
          <w:rFonts w:ascii="Palatino Linotype" w:eastAsia="Palatino Linotype" w:hAnsi="Palatino Linotype" w:cs="Palatino Linotype"/>
        </w:rPr>
        <w:t>La Comisionada Ponente decretó el cierre de instrucción mediante el acuerdo del veinte de mayo de dos mil veintiséis.</w:t>
      </w:r>
    </w:p>
    <w:p w:rsidR="007F3F4D" w:rsidRPr="00400004" w:rsidRDefault="007F3F4D">
      <w:pPr>
        <w:rPr>
          <w:rFonts w:ascii="Palatino Linotype" w:eastAsia="Palatino Linotype" w:hAnsi="Palatino Linotype" w:cs="Palatino Linotype"/>
          <w:b/>
          <w:bCs/>
        </w:rPr>
      </w:pPr>
    </w:p>
    <w:p w:rsidR="007F3F4D" w:rsidRPr="00400004" w:rsidRDefault="00F60CC4">
      <w:pPr>
        <w:keepNext/>
        <w:keepLines/>
        <w:spacing w:line="360" w:lineRule="auto"/>
        <w:ind w:right="-592"/>
        <w:jc w:val="center"/>
        <w:rPr>
          <w:rFonts w:ascii="Palatino Linotype" w:eastAsia="Palatino Linotype" w:hAnsi="Palatino Linotype" w:cs="Palatino Linotype"/>
          <w:b/>
          <w:bCs/>
          <w:szCs w:val="22"/>
        </w:rPr>
      </w:pPr>
      <w:r w:rsidRPr="00400004">
        <w:rPr>
          <w:rFonts w:ascii="Palatino Linotype" w:eastAsia="Palatino Linotype" w:hAnsi="Palatino Linotype" w:cs="Palatino Linotype"/>
          <w:b/>
          <w:bCs/>
          <w:szCs w:val="22"/>
        </w:rPr>
        <w:t xml:space="preserve">C O N S I D E R A N D O </w:t>
      </w:r>
    </w:p>
    <w:p w:rsidR="007F3F4D" w:rsidRPr="00400004" w:rsidRDefault="007F3F4D">
      <w:pPr>
        <w:keepNext/>
        <w:keepLines/>
        <w:ind w:right="-592"/>
        <w:rPr>
          <w:rFonts w:ascii="Palatino Linotype" w:eastAsia="Palatino Linotype" w:hAnsi="Palatino Linotype" w:cs="Palatino Linotype"/>
          <w:szCs w:val="22"/>
        </w:rPr>
      </w:pPr>
    </w:p>
    <w:p w:rsidR="007F3F4D" w:rsidRPr="00400004" w:rsidRDefault="00F60CC4">
      <w:pPr>
        <w:keepNext/>
        <w:keepLines/>
        <w:spacing w:line="360" w:lineRule="auto"/>
        <w:ind w:right="-592"/>
        <w:rPr>
          <w:rFonts w:ascii="Palatino Linotype" w:eastAsia="Palatino Linotype" w:hAnsi="Palatino Linotype" w:cs="Palatino Linotype"/>
          <w:b/>
          <w:bCs/>
          <w:szCs w:val="22"/>
        </w:rPr>
      </w:pPr>
      <w:r w:rsidRPr="00400004">
        <w:rPr>
          <w:rFonts w:ascii="Palatino Linotype" w:eastAsia="Palatino Linotype" w:hAnsi="Palatino Linotype" w:cs="Palatino Linotype"/>
          <w:b/>
          <w:bCs/>
          <w:szCs w:val="22"/>
        </w:rPr>
        <w:t>PRIMERO. De la competencia.</w:t>
      </w: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bookmarkStart w:id="1" w:name="_heading=h.3znysh7" w:colFirst="0" w:colLast="0"/>
      <w:bookmarkEnd w:id="1"/>
      <w:r w:rsidRPr="00400004">
        <w:rPr>
          <w:rFonts w:ascii="Palatino Linotype" w:eastAsia="Palatino Linotype" w:hAnsi="Palatino Linotype" w:cs="Palatino Linotype"/>
          <w:szCs w:val="22"/>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7F3F4D" w:rsidRPr="00400004" w:rsidRDefault="007F3F4D">
      <w:pPr>
        <w:spacing w:line="360" w:lineRule="auto"/>
        <w:ind w:left="644" w:right="1"/>
        <w:jc w:val="both"/>
        <w:rPr>
          <w:rFonts w:ascii="Palatino Linotype" w:eastAsia="Palatino Linotype" w:hAnsi="Palatino Linotype" w:cs="Palatino Linotype"/>
          <w:szCs w:val="22"/>
        </w:rPr>
      </w:pPr>
      <w:bookmarkStart w:id="2" w:name="_heading=h.2v230knidey2" w:colFirst="0" w:colLast="0"/>
      <w:bookmarkEnd w:id="2"/>
    </w:p>
    <w:p w:rsidR="007F3F4D" w:rsidRPr="00400004" w:rsidRDefault="00F60CC4">
      <w:pPr>
        <w:keepNext/>
        <w:keepLines/>
        <w:spacing w:line="360" w:lineRule="auto"/>
        <w:ind w:right="1"/>
        <w:rPr>
          <w:rFonts w:ascii="Palatino Linotype" w:eastAsia="Palatino Linotype" w:hAnsi="Palatino Linotype" w:cs="Palatino Linotype"/>
          <w:b/>
          <w:bCs/>
          <w:szCs w:val="22"/>
        </w:rPr>
      </w:pPr>
      <w:r w:rsidRPr="00400004">
        <w:rPr>
          <w:rFonts w:ascii="Palatino Linotype" w:eastAsia="Palatino Linotype" w:hAnsi="Palatino Linotype" w:cs="Palatino Linotype"/>
          <w:b/>
          <w:bCs/>
          <w:szCs w:val="22"/>
        </w:rPr>
        <w:t>SEGUNDO. De la oportunidad y procedencia.</w:t>
      </w: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400004">
        <w:rPr>
          <w:rFonts w:ascii="Palatino Linotype" w:eastAsia="Palatino Linotype" w:hAnsi="Palatino Linotype" w:cs="Palatino Linotype"/>
          <w:szCs w:val="22"/>
        </w:rPr>
        <w:t xml:space="preserve">El medio de impugnación fue presentado a través del </w:t>
      </w:r>
      <w:r w:rsidRPr="00400004">
        <w:rPr>
          <w:rFonts w:ascii="Palatino Linotype" w:eastAsia="Palatino Linotype" w:hAnsi="Palatino Linotype" w:cs="Palatino Linotype"/>
          <w:b/>
          <w:bCs/>
          <w:szCs w:val="22"/>
        </w:rPr>
        <w:t>SAIMEX,</w:t>
      </w:r>
      <w:r w:rsidRPr="00400004">
        <w:rPr>
          <w:rFonts w:ascii="Palatino Linotype" w:eastAsia="Palatino Linotype" w:hAnsi="Palatino Linotype" w:cs="Palatino Linotype"/>
          <w:szCs w:val="22"/>
        </w:rPr>
        <w:t xml:space="preserve"> en el formato previamente aprobado para tal efecto y dentro del plazo legal de quince días hábiles otorgados; siendo así que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 xml:space="preserve"> entregó respuesta el veintitrés de septiembre de dos mil veinticinco, de tal forma que el plazo para interponer el recurso de revisión transcurrió del veinticuatro de septiembre al catorce de octubre de dos mil veinticinco; en consecuencia, presentó su inconformidad el treinta de septiembre de dos mil </w:t>
      </w:r>
      <w:r w:rsidRPr="00400004">
        <w:rPr>
          <w:rFonts w:ascii="Palatino Linotype" w:eastAsia="Palatino Linotype" w:hAnsi="Palatino Linotype" w:cs="Palatino Linotype"/>
        </w:rPr>
        <w:lastRenderedPageBreak/>
        <w:t xml:space="preserve">veinticinco, por lo que se encuentra dentro de los márgenes temporales previstos en el artículo 178 de la </w:t>
      </w:r>
      <w:r w:rsidRPr="00400004">
        <w:rPr>
          <w:rFonts w:ascii="Palatino Linotype" w:eastAsia="Palatino Linotype" w:hAnsi="Palatino Linotype" w:cs="Palatino Linotype"/>
          <w:b/>
          <w:bCs/>
        </w:rPr>
        <w:t xml:space="preserve">Ley de Transparencia y Acceso a la Información Pública del Estado de México y Municipios </w:t>
      </w:r>
      <w:r w:rsidRPr="00400004">
        <w:rPr>
          <w:rFonts w:ascii="Palatino Linotype" w:eastAsia="Palatino Linotype" w:hAnsi="Palatino Linotype" w:cs="Palatino Linotype"/>
        </w:rPr>
        <w:t>vigente.</w:t>
      </w:r>
    </w:p>
    <w:p w:rsidR="007F3F4D" w:rsidRPr="00400004" w:rsidRDefault="007F3F4D">
      <w:pPr>
        <w:ind w:right="1"/>
        <w:jc w:val="both"/>
        <w:rPr>
          <w:rFonts w:ascii="Palatino Linotype" w:eastAsia="Palatino Linotype" w:hAnsi="Palatino Linotype" w:cs="Palatino Linotype"/>
          <w:b/>
          <w:bCs/>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rPr>
      </w:pPr>
      <w:r w:rsidRPr="00400004">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F3F4D" w:rsidRPr="00400004" w:rsidRDefault="00F60CC4">
      <w:pPr>
        <w:pStyle w:val="Ttulo1"/>
        <w:spacing w:line="360" w:lineRule="auto"/>
        <w:rPr>
          <w:rFonts w:ascii="Palatino Linotype" w:eastAsia="Palatino Linotype" w:hAnsi="Palatino Linotype" w:cs="Palatino Linotype"/>
          <w:b w:val="0"/>
          <w:bCs w:val="0"/>
          <w:sz w:val="24"/>
          <w:szCs w:val="24"/>
        </w:rPr>
      </w:pPr>
      <w:r w:rsidRPr="00400004">
        <w:rPr>
          <w:rFonts w:ascii="Palatino Linotype" w:eastAsia="Palatino Linotype" w:hAnsi="Palatino Linotype" w:cs="Palatino Linotype"/>
          <w:sz w:val="24"/>
          <w:szCs w:val="24"/>
        </w:rPr>
        <w:t>TERCERO. De las causales de sobreseimiento.</w:t>
      </w: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i/>
          <w:iCs/>
        </w:rPr>
      </w:pPr>
      <w:bookmarkStart w:id="4" w:name="_heading=h.2pqa4mglkgv2" w:colFirst="0" w:colLast="0"/>
      <w:bookmarkStart w:id="5" w:name="_heading=h.sg69pjfuscz6" w:colFirst="0" w:colLast="0"/>
      <w:bookmarkEnd w:id="4"/>
      <w:bookmarkEnd w:id="5"/>
      <w:r w:rsidRPr="00400004">
        <w:rPr>
          <w:rFonts w:ascii="Palatino Linotype" w:eastAsia="Palatino Linotype" w:hAnsi="Palatino Linotype" w:cs="Palatino Linotype"/>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400004">
        <w:rPr>
          <w:rFonts w:ascii="Palatino Linotype" w:eastAsia="Palatino Linotype" w:hAnsi="Palatino Linotype" w:cs="Palatino Linotype"/>
          <w:b/>
          <w:bCs/>
          <w:u w:val="single"/>
        </w:rPr>
        <w:t>sobreseimiento</w:t>
      </w:r>
      <w:r w:rsidRPr="00400004">
        <w:rPr>
          <w:rFonts w:ascii="Palatino Linotype" w:eastAsia="Palatino Linotype" w:hAnsi="Palatino Linotype" w:cs="Palatino Linotype"/>
        </w:rPr>
        <w:t xml:space="preserve">; y en su caso ordenar la entrega de la información con respecto a la respuesta emitida por el </w:t>
      </w:r>
      <w:r w:rsidRPr="00400004">
        <w:rPr>
          <w:rFonts w:ascii="Palatino Linotype" w:eastAsia="Palatino Linotype" w:hAnsi="Palatino Linotype" w:cs="Palatino Linotype"/>
          <w:b/>
          <w:bCs/>
        </w:rPr>
        <w:t>SUJETO</w:t>
      </w:r>
      <w:r w:rsidRPr="00400004">
        <w:rPr>
          <w:rFonts w:ascii="Palatino Linotype" w:eastAsia="Palatino Linotype" w:hAnsi="Palatino Linotype" w:cs="Palatino Linotype"/>
        </w:rPr>
        <w:t xml:space="preserve"> </w:t>
      </w:r>
      <w:r w:rsidRPr="00400004">
        <w:rPr>
          <w:rFonts w:ascii="Palatino Linotype" w:eastAsia="Palatino Linotype" w:hAnsi="Palatino Linotype" w:cs="Palatino Linotype"/>
          <w:b/>
          <w:bCs/>
        </w:rPr>
        <w:t>OBLIGADO</w:t>
      </w:r>
      <w:r w:rsidRPr="00400004">
        <w:rPr>
          <w:rFonts w:ascii="Palatino Linotype" w:eastAsia="Palatino Linotype" w:hAnsi="Palatino Linotype" w:cs="Palatino Linotype"/>
        </w:rPr>
        <w:t>.</w:t>
      </w:r>
    </w:p>
    <w:p w:rsidR="007F3F4D" w:rsidRPr="00400004" w:rsidRDefault="007F3F4D">
      <w:pPr>
        <w:spacing w:line="360" w:lineRule="auto"/>
        <w:ind w:right="1"/>
        <w:jc w:val="both"/>
        <w:rPr>
          <w:rFonts w:ascii="Palatino Linotype" w:eastAsia="Palatino Linotype" w:hAnsi="Palatino Linotype" w:cs="Palatino Linotype"/>
          <w:b/>
          <w:bCs/>
          <w:i/>
          <w:iCs/>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i/>
          <w:iCs/>
        </w:rPr>
      </w:pPr>
      <w:bookmarkStart w:id="6" w:name="_heading=h.1s8w4nri8zt8" w:colFirst="0" w:colLast="0"/>
      <w:bookmarkEnd w:id="6"/>
      <w:r w:rsidRPr="00400004">
        <w:rPr>
          <w:rFonts w:ascii="Palatino Linotype" w:eastAsia="Palatino Linotype" w:hAnsi="Palatino Linotype" w:cs="Palatino Linotype"/>
        </w:rPr>
        <w:t xml:space="preserve">De acuerdo al precepto legal contenido en la fracción III del artículo 192 de la </w:t>
      </w:r>
      <w:r w:rsidRPr="00400004">
        <w:rPr>
          <w:rFonts w:ascii="Palatino Linotype" w:eastAsia="Palatino Linotype" w:hAnsi="Palatino Linotype" w:cs="Palatino Linotype"/>
          <w:b/>
          <w:bCs/>
        </w:rPr>
        <w:t>Ley de Transparencia y Acceso a la Información Pública del Estado de México y Municipios</w:t>
      </w:r>
      <w:r w:rsidRPr="00400004">
        <w:rPr>
          <w:rFonts w:ascii="Palatino Linotype" w:eastAsia="Palatino Linotype" w:hAnsi="Palatino Linotype" w:cs="Palatino Linotype"/>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rsidR="007F3F4D" w:rsidRDefault="007F3F4D">
      <w:pPr>
        <w:spacing w:line="360" w:lineRule="auto"/>
        <w:ind w:right="1"/>
        <w:jc w:val="both"/>
        <w:rPr>
          <w:rFonts w:ascii="Palatino Linotype" w:eastAsia="Palatino Linotype" w:hAnsi="Palatino Linotype" w:cs="Palatino Linotype"/>
          <w:b/>
          <w:bCs/>
          <w:i/>
          <w:iCs/>
          <w:sz w:val="22"/>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i/>
          <w:iCs/>
          <w:szCs w:val="22"/>
        </w:rPr>
      </w:pPr>
      <w:r w:rsidRPr="00400004">
        <w:rPr>
          <w:rFonts w:ascii="Palatino Linotype" w:eastAsia="Palatino Linotype" w:hAnsi="Palatino Linotype" w:cs="Palatino Linotype"/>
          <w:szCs w:val="22"/>
        </w:rPr>
        <w:lastRenderedPageBreak/>
        <w:t xml:space="preserve">Para los efectos de esta resolución, es oportuno precisar los alcances jurídicos de la fracción III de la disposición legal transcrita. Así, procede el sobreseimiento del recurso de revisión cuando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w:t>
      </w:r>
    </w:p>
    <w:p w:rsidR="007F3F4D" w:rsidRPr="00400004" w:rsidRDefault="00F60CC4">
      <w:pPr>
        <w:numPr>
          <w:ilvl w:val="0"/>
          <w:numId w:val="1"/>
        </w:numPr>
        <w:ind w:left="567" w:right="565" w:firstLine="0"/>
        <w:jc w:val="both"/>
        <w:rPr>
          <w:rFonts w:ascii="Palatino Linotype" w:eastAsia="Palatino Linotype" w:hAnsi="Palatino Linotype" w:cs="Palatino Linotype"/>
          <w:szCs w:val="22"/>
        </w:rPr>
      </w:pPr>
      <w:bookmarkStart w:id="7" w:name="_heading=h.fupgdu5fe99i" w:colFirst="0" w:colLast="0"/>
      <w:bookmarkEnd w:id="7"/>
      <w:r w:rsidRPr="00400004">
        <w:rPr>
          <w:rFonts w:ascii="Palatino Linotype" w:eastAsia="Palatino Linotype" w:hAnsi="Palatino Linotype" w:cs="Palatino Linotype"/>
          <w:b/>
          <w:bCs/>
          <w:szCs w:val="22"/>
        </w:rPr>
        <w:t>Modifique el acto impugnado:</w:t>
      </w:r>
      <w:r w:rsidRPr="00400004">
        <w:rPr>
          <w:rFonts w:ascii="Palatino Linotype" w:eastAsia="Palatino Linotype" w:hAnsi="Palatino Linotype" w:cs="Palatino Linotype"/>
          <w:szCs w:val="22"/>
        </w:rPr>
        <w:t xml:space="preserve"> Se actualiza cuando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 xml:space="preserve"> después de haber otorgado una respuesta y hasta antes de dictada la resolución del recurso de revisión, emite una diversa en la que subsane las deficiencias que hubiera tenido.</w:t>
      </w:r>
    </w:p>
    <w:p w:rsidR="007F3F4D" w:rsidRPr="00400004" w:rsidRDefault="007F3F4D">
      <w:pPr>
        <w:ind w:left="567" w:right="565"/>
        <w:jc w:val="both"/>
        <w:rPr>
          <w:rFonts w:ascii="Palatino Linotype" w:eastAsia="Palatino Linotype" w:hAnsi="Palatino Linotype" w:cs="Palatino Linotype"/>
          <w:szCs w:val="22"/>
        </w:rPr>
      </w:pPr>
    </w:p>
    <w:p w:rsidR="007F3F4D" w:rsidRPr="00400004" w:rsidRDefault="00F60CC4">
      <w:pPr>
        <w:numPr>
          <w:ilvl w:val="0"/>
          <w:numId w:val="1"/>
        </w:numPr>
        <w:ind w:left="567" w:right="565"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b/>
          <w:bCs/>
          <w:szCs w:val="22"/>
        </w:rPr>
        <w:t>Revoque el acto impugnado:</w:t>
      </w:r>
      <w:r w:rsidRPr="00400004">
        <w:rPr>
          <w:rFonts w:ascii="Palatino Linotype" w:eastAsia="Palatino Linotype" w:hAnsi="Palatino Linotype" w:cs="Palatino Linotype"/>
          <w:szCs w:val="22"/>
        </w:rPr>
        <w:t xml:space="preserve"> En este supuesto,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 xml:space="preserve"> deja sin efectos la primera respuesta y en su lugar emite otra que satisfaga lo solicitado por el Particular en un primer momento.</w:t>
      </w:r>
    </w:p>
    <w:p w:rsidR="007F3F4D" w:rsidRDefault="007F3F4D">
      <w:pPr>
        <w:pBdr>
          <w:top w:val="nil"/>
          <w:left w:val="nil"/>
          <w:bottom w:val="nil"/>
          <w:right w:val="nil"/>
          <w:between w:val="nil"/>
        </w:pBdr>
        <w:spacing w:line="360" w:lineRule="auto"/>
        <w:ind w:right="1"/>
        <w:jc w:val="both"/>
        <w:rPr>
          <w:rFonts w:ascii="Palatino Linotype" w:eastAsia="Palatino Linotype" w:hAnsi="Palatino Linotype" w:cs="Palatino Linotype"/>
          <w:sz w:val="22"/>
          <w:szCs w:val="22"/>
        </w:rPr>
      </w:pPr>
      <w:bookmarkStart w:id="8" w:name="_heading=h.omj532vijpit" w:colFirst="0" w:colLast="0"/>
      <w:bookmarkEnd w:id="8"/>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szCs w:val="22"/>
        </w:rPr>
      </w:pPr>
      <w:bookmarkStart w:id="9" w:name="_heading=h.jvxafcoza8s" w:colFirst="0" w:colLast="0"/>
      <w:bookmarkEnd w:id="9"/>
      <w:r w:rsidRPr="00400004">
        <w:rPr>
          <w:rFonts w:ascii="Palatino Linotype" w:eastAsia="Palatino Linotype" w:hAnsi="Palatino Linotype" w:cs="Palatino Linotype"/>
          <w:color w:val="000000"/>
          <w:szCs w:val="22"/>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7F3F4D" w:rsidRPr="00400004" w:rsidRDefault="007F3F4D">
      <w:pPr>
        <w:pBdr>
          <w:top w:val="nil"/>
          <w:left w:val="nil"/>
          <w:bottom w:val="nil"/>
          <w:right w:val="nil"/>
          <w:between w:val="nil"/>
        </w:pBdr>
        <w:spacing w:line="360" w:lineRule="auto"/>
        <w:ind w:right="1"/>
        <w:jc w:val="both"/>
        <w:rPr>
          <w:rFonts w:ascii="Palatino Linotype" w:eastAsia="Palatino Linotype" w:hAnsi="Palatino Linotype" w:cs="Palatino Linotype"/>
          <w:color w:val="000000"/>
          <w:szCs w:val="22"/>
        </w:rPr>
      </w:pP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szCs w:val="22"/>
        </w:rPr>
        <w:t xml:space="preserve">Así, resulta conveniente reiterar la información solicitada por la parte </w:t>
      </w:r>
      <w:r w:rsidRPr="00400004">
        <w:rPr>
          <w:rFonts w:ascii="Palatino Linotype" w:eastAsia="Palatino Linotype" w:hAnsi="Palatino Linotype" w:cs="Palatino Linotype"/>
          <w:b/>
          <w:bCs/>
          <w:szCs w:val="22"/>
        </w:rPr>
        <w:t xml:space="preserve">RECURRENTE </w:t>
      </w:r>
      <w:r w:rsidRPr="00400004">
        <w:rPr>
          <w:rFonts w:ascii="Palatino Linotype" w:eastAsia="Palatino Linotype" w:hAnsi="Palatino Linotype" w:cs="Palatino Linotype"/>
          <w:szCs w:val="22"/>
        </w:rPr>
        <w:t>y la respuesta emitida por el</w:t>
      </w:r>
      <w:r w:rsidRPr="00400004">
        <w:rPr>
          <w:rFonts w:ascii="Palatino Linotype" w:eastAsia="Palatino Linotype" w:hAnsi="Palatino Linotype" w:cs="Palatino Linotype"/>
          <w:b/>
          <w:bCs/>
          <w:szCs w:val="22"/>
        </w:rPr>
        <w:t xml:space="preserve"> SUJETO OBLIGADO</w:t>
      </w:r>
      <w:r w:rsidRPr="00400004">
        <w:rPr>
          <w:rFonts w:ascii="Palatino Linotype" w:eastAsia="Palatino Linotype" w:hAnsi="Palatino Linotype" w:cs="Palatino Linotype"/>
          <w:szCs w:val="22"/>
        </w:rPr>
        <w:t xml:space="preserve"> mediante el siguiente cuadro descriptivo:</w:t>
      </w:r>
    </w:p>
    <w:p w:rsidR="007F3F4D" w:rsidRDefault="007F3F4D">
      <w:pPr>
        <w:spacing w:line="360" w:lineRule="auto"/>
        <w:ind w:right="1"/>
        <w:jc w:val="both"/>
        <w:rPr>
          <w:rFonts w:ascii="Palatino Linotype" w:eastAsia="Palatino Linotype" w:hAnsi="Palatino Linotype" w:cs="Palatino Linotype"/>
          <w:b/>
          <w:bCs/>
          <w:sz w:val="22"/>
          <w:szCs w:val="22"/>
        </w:rPr>
      </w:pPr>
    </w:p>
    <w:p w:rsidR="007F3F4D" w:rsidRDefault="007F3F4D">
      <w:pPr>
        <w:spacing w:line="360" w:lineRule="auto"/>
        <w:ind w:right="1"/>
        <w:jc w:val="both"/>
        <w:rPr>
          <w:rFonts w:ascii="Palatino Linotype" w:eastAsia="Palatino Linotype" w:hAnsi="Palatino Linotype" w:cs="Palatino Linotype"/>
          <w:b/>
          <w:bCs/>
          <w:sz w:val="22"/>
          <w:szCs w:val="22"/>
        </w:rPr>
      </w:pPr>
    </w:p>
    <w:sdt>
      <w:sdtPr>
        <w:tag w:val="goog_rdk_0"/>
        <w:id w:val="-790780074"/>
        <w:lock w:val="contentLocked"/>
      </w:sdtPr>
      <w:sdtEndPr/>
      <w:sdtContent>
        <w:tbl>
          <w:tblPr>
            <w:tblStyle w:val="a"/>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3180"/>
            <w:gridCol w:w="3105"/>
          </w:tblGrid>
          <w:tr w:rsidR="007F3F4D">
            <w:tc>
              <w:tcPr>
                <w:tcW w:w="3030" w:type="dxa"/>
                <w:shd w:val="clear" w:color="auto" w:fill="D9D9D9"/>
                <w:tcMar>
                  <w:top w:w="100" w:type="dxa"/>
                  <w:left w:w="100" w:type="dxa"/>
                  <w:bottom w:w="100" w:type="dxa"/>
                  <w:right w:w="100" w:type="dxa"/>
                </w:tcMar>
              </w:tcPr>
              <w:p w:rsidR="007F3F4D" w:rsidRDefault="00F60CC4">
                <w:pPr>
                  <w:widowControl w:val="0"/>
                  <w:pBdr>
                    <w:top w:val="nil"/>
                    <w:left w:val="nil"/>
                    <w:bottom w:val="nil"/>
                    <w:right w:val="nil"/>
                    <w:between w:val="nil"/>
                  </w:pBdr>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Información solicitada</w:t>
                </w:r>
              </w:p>
            </w:tc>
            <w:tc>
              <w:tcPr>
                <w:tcW w:w="3180" w:type="dxa"/>
                <w:shd w:val="clear" w:color="auto" w:fill="D9D9D9"/>
                <w:tcMar>
                  <w:top w:w="100" w:type="dxa"/>
                  <w:left w:w="100" w:type="dxa"/>
                  <w:bottom w:w="100" w:type="dxa"/>
                  <w:right w:w="100" w:type="dxa"/>
                </w:tcMar>
              </w:tcPr>
              <w:p w:rsidR="007F3F4D" w:rsidRDefault="00F60CC4">
                <w:pPr>
                  <w:widowControl w:val="0"/>
                  <w:pBdr>
                    <w:top w:val="nil"/>
                    <w:left w:val="nil"/>
                    <w:bottom w:val="nil"/>
                    <w:right w:val="nil"/>
                    <w:between w:val="nil"/>
                  </w:pBdr>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Respuesta</w:t>
                </w:r>
              </w:p>
            </w:tc>
            <w:tc>
              <w:tcPr>
                <w:tcW w:w="3105" w:type="dxa"/>
                <w:shd w:val="clear" w:color="auto" w:fill="D9D9D9"/>
                <w:tcMar>
                  <w:top w:w="100" w:type="dxa"/>
                  <w:left w:w="100" w:type="dxa"/>
                  <w:bottom w:w="100" w:type="dxa"/>
                  <w:right w:w="100" w:type="dxa"/>
                </w:tcMar>
              </w:tcPr>
              <w:p w:rsidR="007F3F4D" w:rsidRDefault="00F60CC4">
                <w:pPr>
                  <w:widowControl w:val="0"/>
                  <w:pBdr>
                    <w:top w:val="nil"/>
                    <w:left w:val="nil"/>
                    <w:bottom w:val="nil"/>
                    <w:right w:val="nil"/>
                    <w:between w:val="nil"/>
                  </w:pBdr>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Comentario</w:t>
                </w:r>
              </w:p>
            </w:tc>
          </w:tr>
          <w:tr w:rsidR="007F3F4D">
            <w:tc>
              <w:tcPr>
                <w:tcW w:w="3030" w:type="dxa"/>
                <w:shd w:val="clear" w:color="auto" w:fill="auto"/>
                <w:tcMar>
                  <w:top w:w="100" w:type="dxa"/>
                  <w:left w:w="100" w:type="dxa"/>
                  <w:bottom w:w="100" w:type="dxa"/>
                  <w:right w:w="100" w:type="dxa"/>
                </w:tcMar>
              </w:tcPr>
              <w:p w:rsidR="007F3F4D" w:rsidRDefault="00F60CC4">
                <w:pPr>
                  <w:ind w:right="60"/>
                  <w:jc w:val="both"/>
                  <w:rPr>
                    <w:rFonts w:ascii="Palatino Linotype" w:eastAsia="Palatino Linotype" w:hAnsi="Palatino Linotype" w:cs="Palatino Linotype"/>
                    <w:b/>
                    <w:bCs/>
                    <w:sz w:val="22"/>
                    <w:szCs w:val="22"/>
                  </w:rPr>
                </w:pPr>
                <w:r>
                  <w:rPr>
                    <w:rFonts w:ascii="Palatino Linotype" w:eastAsia="Palatino Linotype" w:hAnsi="Palatino Linotype" w:cs="Palatino Linotype"/>
                    <w:i/>
                    <w:iCs/>
                    <w:sz w:val="22"/>
                    <w:szCs w:val="22"/>
                  </w:rPr>
                  <w:t xml:space="preserve">1. Copia del anteproyecto de presupuesto de egresos del Departamento de Planeación correspondiente al ejercicio 2025, así como la versión aprobada por la Dirección de Administración y Finanzas. </w:t>
                </w:r>
              </w:p>
            </w:tc>
            <w:tc>
              <w:tcPr>
                <w:tcW w:w="3180" w:type="dxa"/>
                <w:shd w:val="clear" w:color="auto" w:fill="auto"/>
                <w:tcMar>
                  <w:top w:w="100" w:type="dxa"/>
                  <w:left w:w="100" w:type="dxa"/>
                  <w:bottom w:w="100" w:type="dxa"/>
                  <w:right w:w="100" w:type="dxa"/>
                </w:tcMar>
              </w:tcPr>
              <w:p w:rsidR="007F3F4D" w:rsidRDefault="00EF1D2C">
                <w:pPr>
                  <w:ind w:right="5"/>
                  <w:jc w:val="both"/>
                  <w:rPr>
                    <w:rFonts w:ascii="Palatino Linotype" w:eastAsia="Palatino Linotype" w:hAnsi="Palatino Linotype" w:cs="Palatino Linotype"/>
                    <w:b/>
                    <w:bCs/>
                    <w:sz w:val="22"/>
                    <w:szCs w:val="22"/>
                  </w:rPr>
                </w:pPr>
                <w:hyperlink r:id="rId20">
                  <w:r w:rsidR="00F60CC4">
                    <w:rPr>
                      <w:rFonts w:ascii="Palatino Linotype" w:eastAsia="Palatino Linotype" w:hAnsi="Palatino Linotype" w:cs="Palatino Linotype"/>
                      <w:b/>
                      <w:bCs/>
                      <w:sz w:val="22"/>
                      <w:szCs w:val="22"/>
                    </w:rPr>
                    <w:t>Anexo 1.pdf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 xml:space="preserve">Anteproyecto de Presupuesto de Egresos del Ejercicio Fiscal 2025. </w:t>
                </w:r>
              </w:p>
            </w:tc>
            <w:tc>
              <w:tcPr>
                <w:tcW w:w="3105" w:type="dxa"/>
                <w:shd w:val="clear" w:color="auto" w:fill="auto"/>
                <w:tcMar>
                  <w:top w:w="100" w:type="dxa"/>
                  <w:left w:w="100" w:type="dxa"/>
                  <w:bottom w:w="100" w:type="dxa"/>
                  <w:right w:w="100" w:type="dxa"/>
                </w:tcMar>
              </w:tcPr>
              <w:p w:rsidR="007F3F4D" w:rsidRDefault="00F60CC4">
                <w:pPr>
                  <w:widowControl w:val="0"/>
                  <w:pBdr>
                    <w:top w:val="nil"/>
                    <w:left w:val="nil"/>
                    <w:bottom w:val="nil"/>
                    <w:right w:val="nil"/>
                    <w:between w:val="nil"/>
                  </w:pBdr>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El requerimiento fue atendido parcialmente, ya que se omitió proporcionar la versión aprobada por la Dirección de Administración y Finanzas.</w:t>
                </w:r>
              </w:p>
            </w:tc>
          </w:tr>
          <w:tr w:rsidR="007F3F4D">
            <w:tc>
              <w:tcPr>
                <w:tcW w:w="3030" w:type="dxa"/>
                <w:shd w:val="clear" w:color="auto" w:fill="auto"/>
                <w:tcMar>
                  <w:top w:w="100" w:type="dxa"/>
                  <w:left w:w="100" w:type="dxa"/>
                  <w:bottom w:w="100" w:type="dxa"/>
                  <w:right w:w="100" w:type="dxa"/>
                </w:tcMar>
              </w:tcPr>
              <w:p w:rsidR="007F3F4D" w:rsidRDefault="00F60CC4">
                <w:pPr>
                  <w:ind w:right="60"/>
                  <w:jc w:val="both"/>
                  <w:rPr>
                    <w:rFonts w:ascii="Palatino Linotype" w:eastAsia="Palatino Linotype" w:hAnsi="Palatino Linotype" w:cs="Palatino Linotype"/>
                    <w:b/>
                    <w:bCs/>
                    <w:sz w:val="22"/>
                    <w:szCs w:val="22"/>
                  </w:rPr>
                </w:pPr>
                <w:r>
                  <w:rPr>
                    <w:rFonts w:ascii="Palatino Linotype" w:eastAsia="Palatino Linotype" w:hAnsi="Palatino Linotype" w:cs="Palatino Linotype"/>
                    <w:i/>
                    <w:iCs/>
                    <w:sz w:val="22"/>
                    <w:szCs w:val="22"/>
                  </w:rPr>
                  <w:lastRenderedPageBreak/>
                  <w:t xml:space="preserve">2. Los programas y proyectos anuales de trabajo de todas las unidades administrativas de la Universidad para el ejercicio 2025, incluyendo los lineamientos y criterios aplicados para su integración. </w:t>
                </w:r>
              </w:p>
            </w:tc>
            <w:tc>
              <w:tcPr>
                <w:tcW w:w="3180" w:type="dxa"/>
                <w:shd w:val="clear" w:color="auto" w:fill="auto"/>
                <w:tcMar>
                  <w:top w:w="100" w:type="dxa"/>
                  <w:left w:w="100" w:type="dxa"/>
                  <w:bottom w:w="100" w:type="dxa"/>
                  <w:right w:w="100" w:type="dxa"/>
                </w:tcMar>
              </w:tcPr>
              <w:p w:rsidR="007F3F4D" w:rsidRDefault="00EF1D2C">
                <w:pPr>
                  <w:ind w:right="135"/>
                  <w:jc w:val="both"/>
                  <w:rPr>
                    <w:rFonts w:ascii="Palatino Linotype" w:eastAsia="Palatino Linotype" w:hAnsi="Palatino Linotype" w:cs="Palatino Linotype"/>
                    <w:sz w:val="22"/>
                    <w:szCs w:val="22"/>
                  </w:rPr>
                </w:pPr>
                <w:hyperlink r:id="rId21">
                  <w:r w:rsidR="00F60CC4">
                    <w:rPr>
                      <w:rFonts w:ascii="Palatino Linotype" w:eastAsia="Palatino Linotype" w:hAnsi="Palatino Linotype" w:cs="Palatino Linotype"/>
                      <w:b/>
                      <w:bCs/>
                      <w:sz w:val="22"/>
                      <w:szCs w:val="22"/>
                    </w:rPr>
                    <w:t>Anexo 3.pdf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Programa de Desarrollo Institucional, Programa Operativo Anual 2025 y lineamientos del proyecto.</w:t>
                </w:r>
              </w:p>
              <w:p w:rsidR="007F3F4D" w:rsidRDefault="00EF1D2C">
                <w:pPr>
                  <w:ind w:right="5"/>
                  <w:jc w:val="both"/>
                  <w:rPr>
                    <w:rFonts w:ascii="Palatino Linotype" w:eastAsia="Palatino Linotype" w:hAnsi="Palatino Linotype" w:cs="Palatino Linotype"/>
                    <w:sz w:val="22"/>
                    <w:szCs w:val="22"/>
                  </w:rPr>
                </w:pPr>
                <w:hyperlink r:id="rId22">
                  <w:r w:rsidR="00F60CC4">
                    <w:rPr>
                      <w:rFonts w:ascii="Palatino Linotype" w:eastAsia="Palatino Linotype" w:hAnsi="Palatino Linotype" w:cs="Palatino Linotype"/>
                      <w:b/>
                      <w:bCs/>
                      <w:sz w:val="22"/>
                      <w:szCs w:val="22"/>
                    </w:rPr>
                    <w:t>Anexo 4.pdf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 xml:space="preserve">Programa de Desarrollo Institucional, Programa Operativo Anual 2025 y lineamientos del proyecto. </w:t>
                </w:r>
              </w:p>
            </w:tc>
            <w:tc>
              <w:tcPr>
                <w:tcW w:w="3105" w:type="dxa"/>
                <w:shd w:val="clear" w:color="auto" w:fill="auto"/>
                <w:tcMar>
                  <w:top w:w="100" w:type="dxa"/>
                  <w:left w:w="100" w:type="dxa"/>
                  <w:bottom w:w="100" w:type="dxa"/>
                  <w:right w:w="100" w:type="dxa"/>
                </w:tcMar>
              </w:tcPr>
              <w:p w:rsidR="007F3F4D" w:rsidRDefault="00F60CC4">
                <w:pPr>
                  <w:widowControl w:val="0"/>
                  <w:pBdr>
                    <w:top w:val="nil"/>
                    <w:left w:val="nil"/>
                    <w:bottom w:val="nil"/>
                    <w:right w:val="nil"/>
                    <w:between w:val="nil"/>
                  </w:pBdr>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El requerimiento fue atendido.</w:t>
                </w:r>
              </w:p>
            </w:tc>
          </w:tr>
          <w:tr w:rsidR="007F3F4D">
            <w:tc>
              <w:tcPr>
                <w:tcW w:w="3030" w:type="dxa"/>
                <w:shd w:val="clear" w:color="auto" w:fill="auto"/>
                <w:tcMar>
                  <w:top w:w="100" w:type="dxa"/>
                  <w:left w:w="100" w:type="dxa"/>
                  <w:bottom w:w="100" w:type="dxa"/>
                  <w:right w:w="100" w:type="dxa"/>
                </w:tcMar>
              </w:tcPr>
              <w:p w:rsidR="007F3F4D" w:rsidRDefault="00F60CC4">
                <w:pPr>
                  <w:ind w:right="60"/>
                  <w:jc w:val="both"/>
                  <w:rPr>
                    <w:rFonts w:ascii="Palatino Linotype" w:eastAsia="Palatino Linotype" w:hAnsi="Palatino Linotype" w:cs="Palatino Linotype"/>
                    <w:b/>
                    <w:bCs/>
                    <w:sz w:val="22"/>
                    <w:szCs w:val="22"/>
                  </w:rPr>
                </w:pPr>
                <w:r>
                  <w:rPr>
                    <w:rFonts w:ascii="Palatino Linotype" w:eastAsia="Palatino Linotype" w:hAnsi="Palatino Linotype" w:cs="Palatino Linotype"/>
                    <w:i/>
                    <w:iCs/>
                    <w:sz w:val="22"/>
                    <w:szCs w:val="22"/>
                  </w:rPr>
                  <w:t xml:space="preserve">3. Los planes y programas operativos a corto, mediano y largo plazo elaborados por el Departamento de Planeación, así como los informes de evaluación institucional correspondientes al año 2025. </w:t>
                </w:r>
              </w:p>
            </w:tc>
            <w:tc>
              <w:tcPr>
                <w:tcW w:w="3180" w:type="dxa"/>
                <w:shd w:val="clear" w:color="auto" w:fill="auto"/>
                <w:tcMar>
                  <w:top w:w="100" w:type="dxa"/>
                  <w:left w:w="100" w:type="dxa"/>
                  <w:bottom w:w="100" w:type="dxa"/>
                  <w:right w:w="100" w:type="dxa"/>
                </w:tcMar>
              </w:tcPr>
              <w:p w:rsidR="007F3F4D" w:rsidRDefault="00EF1D2C">
                <w:pPr>
                  <w:ind w:right="5"/>
                  <w:jc w:val="both"/>
                  <w:rPr>
                    <w:rFonts w:ascii="Palatino Linotype" w:eastAsia="Palatino Linotype" w:hAnsi="Palatino Linotype" w:cs="Palatino Linotype"/>
                    <w:b/>
                    <w:bCs/>
                    <w:sz w:val="22"/>
                    <w:szCs w:val="22"/>
                  </w:rPr>
                </w:pPr>
                <w:hyperlink r:id="rId23">
                  <w:r w:rsidR="00F60CC4">
                    <w:rPr>
                      <w:rFonts w:ascii="Palatino Linotype" w:eastAsia="Palatino Linotype" w:hAnsi="Palatino Linotype" w:cs="Palatino Linotype"/>
                      <w:b/>
                      <w:bCs/>
                      <w:sz w:val="22"/>
                      <w:szCs w:val="22"/>
                    </w:rPr>
                    <w:t>Anexo 5.pdf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Programa Operativo Anual 2025 e Informe de Evaluación Programática con corte al 26 de agosto de 2025.</w:t>
                </w:r>
              </w:p>
            </w:tc>
            <w:tc>
              <w:tcPr>
                <w:tcW w:w="3105" w:type="dxa"/>
                <w:shd w:val="clear" w:color="auto" w:fill="auto"/>
                <w:tcMar>
                  <w:top w:w="100" w:type="dxa"/>
                  <w:left w:w="100" w:type="dxa"/>
                  <w:bottom w:w="100" w:type="dxa"/>
                  <w:right w:w="100" w:type="dxa"/>
                </w:tcMar>
              </w:tcPr>
              <w:p w:rsidR="007F3F4D" w:rsidRDefault="00F60CC4">
                <w:pPr>
                  <w:widowControl w:val="0"/>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El requerimiento fue atendido.</w:t>
                </w:r>
              </w:p>
            </w:tc>
          </w:tr>
          <w:tr w:rsidR="007F3F4D">
            <w:tc>
              <w:tcPr>
                <w:tcW w:w="3030" w:type="dxa"/>
                <w:shd w:val="clear" w:color="auto" w:fill="auto"/>
                <w:tcMar>
                  <w:top w:w="100" w:type="dxa"/>
                  <w:left w:w="100" w:type="dxa"/>
                  <w:bottom w:w="100" w:type="dxa"/>
                  <w:right w:w="100" w:type="dxa"/>
                </w:tcMar>
              </w:tcPr>
              <w:p w:rsidR="007F3F4D" w:rsidRDefault="00F60CC4">
                <w:pPr>
                  <w:ind w:right="60"/>
                  <w:jc w:val="both"/>
                  <w:rPr>
                    <w:rFonts w:ascii="Palatino Linotype" w:eastAsia="Palatino Linotype" w:hAnsi="Palatino Linotype" w:cs="Palatino Linotype"/>
                    <w:b/>
                    <w:bCs/>
                    <w:sz w:val="22"/>
                    <w:szCs w:val="22"/>
                  </w:rPr>
                </w:pPr>
                <w:r>
                  <w:rPr>
                    <w:rFonts w:ascii="Palatino Linotype" w:eastAsia="Palatino Linotype" w:hAnsi="Palatino Linotype" w:cs="Palatino Linotype"/>
                    <w:i/>
                    <w:iCs/>
                    <w:sz w:val="22"/>
                    <w:szCs w:val="22"/>
                  </w:rPr>
                  <w:t xml:space="preserve">4. Documentación que demuestre la aplicación del modelo de planeación institucional, incluyendo reportes de seguimiento del Plan de Desarrollo Institucional (PDI) y del Programa Integral de Fortalecimiento Institucional (PIFI). </w:t>
                </w:r>
              </w:p>
            </w:tc>
            <w:tc>
              <w:tcPr>
                <w:tcW w:w="3180" w:type="dxa"/>
                <w:shd w:val="clear" w:color="auto" w:fill="auto"/>
                <w:tcMar>
                  <w:top w:w="100" w:type="dxa"/>
                  <w:left w:w="100" w:type="dxa"/>
                  <w:bottom w:w="100" w:type="dxa"/>
                  <w:right w:w="100" w:type="dxa"/>
                </w:tcMar>
              </w:tcPr>
              <w:p w:rsidR="007F3F4D" w:rsidRDefault="00F60CC4">
                <w:pPr>
                  <w:widowControl w:val="0"/>
                  <w:pBdr>
                    <w:top w:val="nil"/>
                    <w:left w:val="nil"/>
                    <w:bottom w:val="nil"/>
                    <w:right w:val="nil"/>
                    <w:between w:val="nil"/>
                  </w:pBdr>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El </w:t>
                </w:r>
                <w:r>
                  <w:rPr>
                    <w:rFonts w:ascii="Palatino Linotype" w:eastAsia="Palatino Linotype" w:hAnsi="Palatino Linotype" w:cs="Palatino Linotype"/>
                    <w:b/>
                    <w:bCs/>
                    <w:sz w:val="22"/>
                    <w:szCs w:val="22"/>
                  </w:rPr>
                  <w:t>SUJETO OBLIGADO</w:t>
                </w:r>
                <w:r>
                  <w:rPr>
                    <w:rFonts w:ascii="Palatino Linotype" w:eastAsia="Palatino Linotype" w:hAnsi="Palatino Linotype" w:cs="Palatino Linotype"/>
                    <w:sz w:val="22"/>
                    <w:szCs w:val="22"/>
                  </w:rPr>
                  <w:t xml:space="preserve"> no cuenta en sus archivos con tal programa.</w:t>
                </w:r>
              </w:p>
            </w:tc>
            <w:tc>
              <w:tcPr>
                <w:tcW w:w="3105" w:type="dxa"/>
                <w:shd w:val="clear" w:color="auto" w:fill="auto"/>
                <w:tcMar>
                  <w:top w:w="100" w:type="dxa"/>
                  <w:left w:w="100" w:type="dxa"/>
                  <w:bottom w:w="100" w:type="dxa"/>
                  <w:right w:w="100" w:type="dxa"/>
                </w:tcMar>
              </w:tcPr>
              <w:p w:rsidR="007F3F4D" w:rsidRDefault="00F60CC4">
                <w:pPr>
                  <w:widowControl w:val="0"/>
                  <w:pBdr>
                    <w:top w:val="nil"/>
                    <w:left w:val="nil"/>
                    <w:bottom w:val="nil"/>
                    <w:right w:val="nil"/>
                    <w:between w:val="nil"/>
                  </w:pBdr>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El requerimiento fue atendido</w:t>
                </w:r>
              </w:p>
            </w:tc>
          </w:tr>
          <w:tr w:rsidR="007F3F4D">
            <w:trPr>
              <w:trHeight w:val="1426"/>
            </w:trPr>
            <w:tc>
              <w:tcPr>
                <w:tcW w:w="3030" w:type="dxa"/>
                <w:shd w:val="clear" w:color="auto" w:fill="auto"/>
                <w:tcMar>
                  <w:top w:w="100" w:type="dxa"/>
                  <w:left w:w="100" w:type="dxa"/>
                  <w:bottom w:w="100" w:type="dxa"/>
                  <w:right w:w="100" w:type="dxa"/>
                </w:tcMar>
              </w:tcPr>
              <w:p w:rsidR="007F3F4D" w:rsidRDefault="00F60CC4">
                <w:pPr>
                  <w:ind w:right="60"/>
                  <w:jc w:val="both"/>
                  <w:rPr>
                    <w:rFonts w:ascii="Palatino Linotype" w:eastAsia="Palatino Linotype" w:hAnsi="Palatino Linotype" w:cs="Palatino Linotype"/>
                    <w:b/>
                    <w:bCs/>
                    <w:sz w:val="22"/>
                    <w:szCs w:val="22"/>
                  </w:rPr>
                </w:pPr>
                <w:r>
                  <w:rPr>
                    <w:rFonts w:ascii="Palatino Linotype" w:eastAsia="Palatino Linotype" w:hAnsi="Palatino Linotype" w:cs="Palatino Linotype"/>
                    <w:i/>
                    <w:iCs/>
                    <w:sz w:val="22"/>
                    <w:szCs w:val="22"/>
                  </w:rPr>
                  <w:t xml:space="preserve">5. Historial estadístico actualizado de la situación académica y administrativa de la Institución, incluyendo matrícula escolar y resultados de funciones académico-administrativas. </w:t>
                </w:r>
              </w:p>
            </w:tc>
            <w:tc>
              <w:tcPr>
                <w:tcW w:w="3180" w:type="dxa"/>
                <w:shd w:val="clear" w:color="auto" w:fill="auto"/>
                <w:tcMar>
                  <w:top w:w="100" w:type="dxa"/>
                  <w:left w:w="100" w:type="dxa"/>
                  <w:bottom w:w="100" w:type="dxa"/>
                  <w:right w:w="100" w:type="dxa"/>
                </w:tcMar>
              </w:tcPr>
              <w:p w:rsidR="007F3F4D" w:rsidRDefault="00EF1D2C">
                <w:pPr>
                  <w:ind w:right="5"/>
                  <w:jc w:val="both"/>
                  <w:rPr>
                    <w:rFonts w:ascii="Palatino Linotype" w:eastAsia="Palatino Linotype" w:hAnsi="Palatino Linotype" w:cs="Palatino Linotype"/>
                    <w:b/>
                    <w:bCs/>
                    <w:sz w:val="22"/>
                    <w:szCs w:val="22"/>
                  </w:rPr>
                </w:pPr>
                <w:hyperlink r:id="rId24">
                  <w:r w:rsidR="00F60CC4">
                    <w:rPr>
                      <w:rFonts w:ascii="Palatino Linotype" w:eastAsia="Palatino Linotype" w:hAnsi="Palatino Linotype" w:cs="Palatino Linotype"/>
                      <w:b/>
                      <w:bCs/>
                      <w:sz w:val="22"/>
                      <w:szCs w:val="22"/>
                    </w:rPr>
                    <w:t>Anexo 6.pdf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Primera Evaluación de Seguimiento del Programa de Desarrollo Institucional 2024 - 2028.</w:t>
                </w:r>
              </w:p>
              <w:p w:rsidR="007F3F4D" w:rsidRDefault="007F3F4D">
                <w:pPr>
                  <w:ind w:right="5"/>
                  <w:jc w:val="both"/>
                  <w:rPr>
                    <w:rFonts w:ascii="Palatino Linotype" w:eastAsia="Palatino Linotype" w:hAnsi="Palatino Linotype" w:cs="Palatino Linotype"/>
                    <w:b/>
                    <w:bCs/>
                    <w:sz w:val="22"/>
                    <w:szCs w:val="22"/>
                  </w:rPr>
                </w:pPr>
              </w:p>
              <w:p w:rsidR="007F3F4D" w:rsidRDefault="00EF1D2C">
                <w:pPr>
                  <w:ind w:right="5"/>
                  <w:jc w:val="both"/>
                  <w:rPr>
                    <w:rFonts w:ascii="Palatino Linotype" w:eastAsia="Palatino Linotype" w:hAnsi="Palatino Linotype" w:cs="Palatino Linotype"/>
                    <w:b/>
                    <w:bCs/>
                    <w:sz w:val="22"/>
                    <w:szCs w:val="22"/>
                  </w:rPr>
                </w:pPr>
                <w:hyperlink r:id="rId25">
                  <w:r w:rsidR="00F60CC4">
                    <w:rPr>
                      <w:rFonts w:ascii="Palatino Linotype" w:eastAsia="Palatino Linotype" w:hAnsi="Palatino Linotype" w:cs="Palatino Linotype"/>
                      <w:b/>
                      <w:bCs/>
                      <w:sz w:val="22"/>
                      <w:szCs w:val="22"/>
                    </w:rPr>
                    <w:t>Anexo 7.pdf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Levantamiento estadístico 911 ciclo escolar 2024-2025.</w:t>
                </w:r>
              </w:p>
            </w:tc>
            <w:tc>
              <w:tcPr>
                <w:tcW w:w="3105" w:type="dxa"/>
                <w:shd w:val="clear" w:color="auto" w:fill="auto"/>
                <w:tcMar>
                  <w:top w:w="100" w:type="dxa"/>
                  <w:left w:w="100" w:type="dxa"/>
                  <w:bottom w:w="100" w:type="dxa"/>
                  <w:right w:w="100" w:type="dxa"/>
                </w:tcMar>
              </w:tcPr>
              <w:p w:rsidR="007F3F4D" w:rsidRDefault="00F60CC4">
                <w:pPr>
                  <w:widowControl w:val="0"/>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El requerimiento fue atendido.</w:t>
                </w:r>
              </w:p>
            </w:tc>
          </w:tr>
          <w:tr w:rsidR="007F3F4D">
            <w:trPr>
              <w:trHeight w:val="1426"/>
            </w:trPr>
            <w:tc>
              <w:tcPr>
                <w:tcW w:w="3030" w:type="dxa"/>
                <w:shd w:val="clear" w:color="auto" w:fill="auto"/>
                <w:tcMar>
                  <w:top w:w="100" w:type="dxa"/>
                  <w:left w:w="100" w:type="dxa"/>
                  <w:bottom w:w="100" w:type="dxa"/>
                  <w:right w:w="100" w:type="dxa"/>
                </w:tcMar>
              </w:tcPr>
              <w:p w:rsidR="007F3F4D" w:rsidRDefault="00F60CC4">
                <w:pPr>
                  <w:ind w:right="60"/>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lastRenderedPageBreak/>
                  <w:t xml:space="preserve">6. Copia de los manuales de organización y de procedimientos vigentes, así como cualquier actualización o modificación propuesta al Rector. </w:t>
                </w:r>
              </w:p>
            </w:tc>
            <w:tc>
              <w:tcPr>
                <w:tcW w:w="3180" w:type="dxa"/>
                <w:shd w:val="clear" w:color="auto" w:fill="auto"/>
                <w:tcMar>
                  <w:top w:w="100" w:type="dxa"/>
                  <w:left w:w="100" w:type="dxa"/>
                  <w:bottom w:w="100" w:type="dxa"/>
                  <w:right w:w="100" w:type="dxa"/>
                </w:tcMar>
              </w:tcPr>
              <w:p w:rsidR="007F3F4D" w:rsidRDefault="00EF1D2C">
                <w:pPr>
                  <w:ind w:right="5"/>
                  <w:jc w:val="both"/>
                  <w:rPr>
                    <w:rFonts w:ascii="Palatino Linotype" w:eastAsia="Palatino Linotype" w:hAnsi="Palatino Linotype" w:cs="Palatino Linotype"/>
                    <w:b/>
                    <w:bCs/>
                    <w:sz w:val="22"/>
                    <w:szCs w:val="22"/>
                  </w:rPr>
                </w:pPr>
                <w:hyperlink r:id="rId26">
                  <w:r w:rsidR="00F60CC4">
                    <w:rPr>
                      <w:rFonts w:ascii="Palatino Linotype" w:eastAsia="Palatino Linotype" w:hAnsi="Palatino Linotype" w:cs="Palatino Linotype"/>
                      <w:b/>
                      <w:bCs/>
                      <w:sz w:val="22"/>
                      <w:szCs w:val="22"/>
                    </w:rPr>
                    <w:t>Anexo 8.pdf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Manual de Organización de la Universidad Politécnica de Tecámac.</w:t>
                </w:r>
              </w:p>
            </w:tc>
            <w:tc>
              <w:tcPr>
                <w:tcW w:w="3105" w:type="dxa"/>
                <w:shd w:val="clear" w:color="auto" w:fill="auto"/>
                <w:tcMar>
                  <w:top w:w="100" w:type="dxa"/>
                  <w:left w:w="100" w:type="dxa"/>
                  <w:bottom w:w="100" w:type="dxa"/>
                  <w:right w:w="100" w:type="dxa"/>
                </w:tcMar>
              </w:tcPr>
              <w:p w:rsidR="007F3F4D" w:rsidRDefault="00F60CC4">
                <w:pPr>
                  <w:widowControl w:val="0"/>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El requerimiento fue atendido.</w:t>
                </w:r>
              </w:p>
            </w:tc>
          </w:tr>
          <w:tr w:rsidR="007F3F4D">
            <w:trPr>
              <w:trHeight w:val="712"/>
            </w:trPr>
            <w:tc>
              <w:tcPr>
                <w:tcW w:w="3030" w:type="dxa"/>
                <w:shd w:val="clear" w:color="auto" w:fill="auto"/>
                <w:tcMar>
                  <w:top w:w="100" w:type="dxa"/>
                  <w:left w:w="100" w:type="dxa"/>
                  <w:bottom w:w="100" w:type="dxa"/>
                  <w:right w:w="100" w:type="dxa"/>
                </w:tcMar>
              </w:tcPr>
              <w:p w:rsidR="007F3F4D" w:rsidRDefault="00F60CC4">
                <w:pPr>
                  <w:ind w:right="60"/>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7. Copia del historial estadístico actualizado de matrícula, rendimiento académico, egresados y deserción por programa o carrera, elaborado y resguardado por el Departamento de Planeación, incluyendo la metodología utilizada para su consolidación y actualización durante el ejercicio 2025. </w:t>
                </w:r>
              </w:p>
            </w:tc>
            <w:tc>
              <w:tcPr>
                <w:tcW w:w="3180" w:type="dxa"/>
                <w:shd w:val="clear" w:color="auto" w:fill="auto"/>
                <w:tcMar>
                  <w:top w:w="100" w:type="dxa"/>
                  <w:left w:w="100" w:type="dxa"/>
                  <w:bottom w:w="100" w:type="dxa"/>
                  <w:right w:w="100" w:type="dxa"/>
                </w:tcMar>
              </w:tcPr>
              <w:p w:rsidR="007F3F4D" w:rsidRDefault="00EF1D2C">
                <w:pPr>
                  <w:ind w:right="5"/>
                  <w:jc w:val="both"/>
                  <w:rPr>
                    <w:rFonts w:ascii="Palatino Linotype" w:eastAsia="Palatino Linotype" w:hAnsi="Palatino Linotype" w:cs="Palatino Linotype"/>
                    <w:sz w:val="22"/>
                    <w:szCs w:val="22"/>
                  </w:rPr>
                </w:pPr>
                <w:hyperlink r:id="rId27">
                  <w:r w:rsidR="00F60CC4">
                    <w:rPr>
                      <w:rFonts w:ascii="Palatino Linotype" w:eastAsia="Palatino Linotype" w:hAnsi="Palatino Linotype" w:cs="Palatino Linotype"/>
                      <w:b/>
                      <w:bCs/>
                      <w:sz w:val="22"/>
                      <w:szCs w:val="22"/>
                    </w:rPr>
                    <w:t>Anexo 7.pdf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Levantamiento estadístico 911 ciclo escolar 2024-2025.</w:t>
                </w:r>
              </w:p>
              <w:p w:rsidR="007F3F4D" w:rsidRDefault="007F3F4D">
                <w:pPr>
                  <w:ind w:right="5"/>
                  <w:jc w:val="both"/>
                  <w:rPr>
                    <w:rFonts w:ascii="Palatino Linotype" w:eastAsia="Palatino Linotype" w:hAnsi="Palatino Linotype" w:cs="Palatino Linotype"/>
                    <w:b/>
                    <w:bCs/>
                    <w:sz w:val="22"/>
                    <w:szCs w:val="22"/>
                  </w:rPr>
                </w:pPr>
              </w:p>
              <w:p w:rsidR="007F3F4D" w:rsidRDefault="00EF1D2C">
                <w:pPr>
                  <w:ind w:right="5"/>
                  <w:jc w:val="both"/>
                  <w:rPr>
                    <w:rFonts w:ascii="Palatino Linotype" w:eastAsia="Palatino Linotype" w:hAnsi="Palatino Linotype" w:cs="Palatino Linotype"/>
                    <w:sz w:val="22"/>
                    <w:szCs w:val="22"/>
                  </w:rPr>
                </w:pPr>
                <w:hyperlink r:id="rId28">
                  <w:r w:rsidR="00F60CC4">
                    <w:rPr>
                      <w:rFonts w:ascii="Palatino Linotype" w:eastAsia="Palatino Linotype" w:hAnsi="Palatino Linotype" w:cs="Palatino Linotype"/>
                      <w:b/>
                      <w:bCs/>
                      <w:sz w:val="22"/>
                      <w:szCs w:val="22"/>
                    </w:rPr>
                    <w:t>Anexo 5.pdf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Programa Operativo Anual 2025 e Informe de Evaluación Programática con corte al 26 de agosto de 2025. / Levantamiento estadístico 911 ciclo escolar 2024 - 2025.</w:t>
                </w:r>
              </w:p>
              <w:p w:rsidR="007F3F4D" w:rsidRDefault="007F3F4D">
                <w:pPr>
                  <w:widowControl w:val="0"/>
                  <w:pBdr>
                    <w:top w:val="nil"/>
                    <w:left w:val="nil"/>
                    <w:bottom w:val="nil"/>
                    <w:right w:val="nil"/>
                    <w:between w:val="nil"/>
                  </w:pBdr>
                  <w:rPr>
                    <w:rFonts w:ascii="Palatino Linotype" w:eastAsia="Palatino Linotype" w:hAnsi="Palatino Linotype" w:cs="Palatino Linotype"/>
                    <w:b/>
                    <w:bCs/>
                    <w:sz w:val="22"/>
                    <w:szCs w:val="22"/>
                  </w:rPr>
                </w:pPr>
              </w:p>
            </w:tc>
            <w:tc>
              <w:tcPr>
                <w:tcW w:w="3105" w:type="dxa"/>
                <w:shd w:val="clear" w:color="auto" w:fill="auto"/>
                <w:tcMar>
                  <w:top w:w="100" w:type="dxa"/>
                  <w:left w:w="100" w:type="dxa"/>
                  <w:bottom w:w="100" w:type="dxa"/>
                  <w:right w:w="100" w:type="dxa"/>
                </w:tcMar>
              </w:tcPr>
              <w:p w:rsidR="007F3F4D" w:rsidRDefault="00F60CC4">
                <w:pPr>
                  <w:widowControl w:val="0"/>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El requerimiento fue atendido.</w:t>
                </w:r>
              </w:p>
            </w:tc>
          </w:tr>
          <w:tr w:rsidR="007F3F4D">
            <w:trPr>
              <w:trHeight w:val="712"/>
            </w:trPr>
            <w:tc>
              <w:tcPr>
                <w:tcW w:w="3030" w:type="dxa"/>
                <w:shd w:val="clear" w:color="auto" w:fill="auto"/>
                <w:tcMar>
                  <w:top w:w="100" w:type="dxa"/>
                  <w:left w:w="100" w:type="dxa"/>
                  <w:bottom w:w="100" w:type="dxa"/>
                  <w:right w:w="100" w:type="dxa"/>
                </w:tcMar>
              </w:tcPr>
              <w:p w:rsidR="007F3F4D" w:rsidRDefault="00F60CC4">
                <w:pPr>
                  <w:ind w:right="60"/>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8. Copia de los indicadores de desempeño institucional (KPI) elaborados por el Departamento de Planeación, incluyendo los resultados obtenidos en 2025 para evaluar el cumplimiento de metas, objetivos estratégicos y eficiencia de programas y proyectos institucionales, así como la metodología utilizada para su cálculo.</w:t>
                </w:r>
              </w:p>
            </w:tc>
            <w:tc>
              <w:tcPr>
                <w:tcW w:w="3180" w:type="dxa"/>
                <w:shd w:val="clear" w:color="auto" w:fill="auto"/>
                <w:tcMar>
                  <w:top w:w="100" w:type="dxa"/>
                  <w:left w:w="100" w:type="dxa"/>
                  <w:bottom w:w="100" w:type="dxa"/>
                  <w:right w:w="100" w:type="dxa"/>
                </w:tcMar>
              </w:tcPr>
              <w:p w:rsidR="007F3F4D" w:rsidRDefault="00EF1D2C">
                <w:pPr>
                  <w:ind w:right="5"/>
                  <w:jc w:val="both"/>
                  <w:rPr>
                    <w:rFonts w:ascii="Palatino Linotype" w:eastAsia="Palatino Linotype" w:hAnsi="Palatino Linotype" w:cs="Palatino Linotype"/>
                    <w:sz w:val="22"/>
                    <w:szCs w:val="22"/>
                  </w:rPr>
                </w:pPr>
                <w:hyperlink r:id="rId29">
                  <w:r w:rsidR="00F60CC4">
                    <w:rPr>
                      <w:rFonts w:ascii="Palatino Linotype" w:eastAsia="Palatino Linotype" w:hAnsi="Palatino Linotype" w:cs="Palatino Linotype"/>
                      <w:b/>
                      <w:bCs/>
                      <w:sz w:val="22"/>
                      <w:szCs w:val="22"/>
                    </w:rPr>
                    <w:t>Anexo 9.pdf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Matriz de indicadores para Resultados 2025.</w:t>
                </w:r>
              </w:p>
              <w:p w:rsidR="007F3F4D" w:rsidRDefault="007F3F4D">
                <w:pPr>
                  <w:ind w:right="5"/>
                  <w:jc w:val="both"/>
                  <w:rPr>
                    <w:rFonts w:ascii="Palatino Linotype" w:eastAsia="Palatino Linotype" w:hAnsi="Palatino Linotype" w:cs="Palatino Linotype"/>
                    <w:sz w:val="22"/>
                    <w:szCs w:val="22"/>
                  </w:rPr>
                </w:pPr>
              </w:p>
              <w:p w:rsidR="007F3F4D" w:rsidRDefault="00EF1D2C">
                <w:pPr>
                  <w:ind w:right="5"/>
                  <w:jc w:val="both"/>
                  <w:rPr>
                    <w:rFonts w:ascii="Palatino Linotype" w:eastAsia="Palatino Linotype" w:hAnsi="Palatino Linotype" w:cs="Palatino Linotype"/>
                    <w:b/>
                    <w:bCs/>
                    <w:sz w:val="22"/>
                    <w:szCs w:val="22"/>
                  </w:rPr>
                </w:pPr>
                <w:hyperlink r:id="rId30">
                  <w:r w:rsidR="00F60CC4">
                    <w:rPr>
                      <w:rFonts w:ascii="Palatino Linotype" w:eastAsia="Palatino Linotype" w:hAnsi="Palatino Linotype" w:cs="Palatino Linotype"/>
                      <w:b/>
                      <w:bCs/>
                      <w:sz w:val="22"/>
                      <w:szCs w:val="22"/>
                    </w:rPr>
                    <w:t>Anexo 6.pdf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Primera Evaluación de Seguimiento del Programa de Desarrollo Institucional 2024 - 2028.</w:t>
                </w:r>
              </w:p>
              <w:p w:rsidR="007F3F4D" w:rsidRDefault="007F3F4D">
                <w:pPr>
                  <w:ind w:left="566" w:right="5"/>
                  <w:jc w:val="both"/>
                  <w:rPr>
                    <w:rFonts w:ascii="Palatino Linotype" w:eastAsia="Palatino Linotype" w:hAnsi="Palatino Linotype" w:cs="Palatino Linotype"/>
                    <w:b/>
                    <w:bCs/>
                    <w:sz w:val="22"/>
                    <w:szCs w:val="22"/>
                  </w:rPr>
                </w:pPr>
              </w:p>
              <w:p w:rsidR="007F3F4D" w:rsidRDefault="00EF1D2C">
                <w:pPr>
                  <w:ind w:right="5"/>
                  <w:jc w:val="both"/>
                  <w:rPr>
                    <w:rFonts w:ascii="Palatino Linotype" w:eastAsia="Palatino Linotype" w:hAnsi="Palatino Linotype" w:cs="Palatino Linotype"/>
                    <w:b/>
                    <w:bCs/>
                    <w:sz w:val="22"/>
                    <w:szCs w:val="22"/>
                  </w:rPr>
                </w:pPr>
                <w:hyperlink r:id="rId31">
                  <w:r w:rsidR="00F60CC4">
                    <w:rPr>
                      <w:rFonts w:ascii="Palatino Linotype" w:eastAsia="Palatino Linotype" w:hAnsi="Palatino Linotype" w:cs="Palatino Linotype"/>
                      <w:b/>
                      <w:bCs/>
                      <w:sz w:val="22"/>
                      <w:szCs w:val="22"/>
                    </w:rPr>
                    <w:t>Anexo 10.pdf</w:t>
                  </w:r>
                </w:hyperlink>
                <w:r w:rsidR="00F60CC4">
                  <w:rPr>
                    <w:rFonts w:ascii="Palatino Linotype" w:eastAsia="Palatino Linotype" w:hAnsi="Palatino Linotype" w:cs="Palatino Linotype"/>
                    <w:b/>
                    <w:bCs/>
                    <w:sz w:val="22"/>
                    <w:szCs w:val="22"/>
                  </w:rPr>
                  <w:t xml:space="preserve">: </w:t>
                </w:r>
                <w:r w:rsidR="00F60CC4">
                  <w:rPr>
                    <w:rFonts w:ascii="Palatino Linotype" w:eastAsia="Palatino Linotype" w:hAnsi="Palatino Linotype" w:cs="Palatino Linotype"/>
                    <w:sz w:val="22"/>
                    <w:szCs w:val="22"/>
                  </w:rPr>
                  <w:t xml:space="preserve">Tabla de Indicadores TIG-SIG-01 </w:t>
                </w:r>
              </w:p>
            </w:tc>
            <w:tc>
              <w:tcPr>
                <w:tcW w:w="3105" w:type="dxa"/>
                <w:shd w:val="clear" w:color="auto" w:fill="auto"/>
                <w:tcMar>
                  <w:top w:w="100" w:type="dxa"/>
                  <w:left w:w="100" w:type="dxa"/>
                  <w:bottom w:w="100" w:type="dxa"/>
                  <w:right w:w="100" w:type="dxa"/>
                </w:tcMar>
              </w:tcPr>
              <w:p w:rsidR="007F3F4D" w:rsidRDefault="00F60CC4">
                <w:pPr>
                  <w:widowControl w:val="0"/>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El requerimiento fue atendido.</w:t>
                </w:r>
              </w:p>
            </w:tc>
          </w:tr>
        </w:tbl>
      </w:sdtContent>
    </w:sdt>
    <w:p w:rsidR="007F3F4D" w:rsidRDefault="007F3F4D">
      <w:pPr>
        <w:rPr>
          <w:rFonts w:ascii="Palatino Linotype" w:eastAsia="Palatino Linotype" w:hAnsi="Palatino Linotype" w:cs="Palatino Linotype"/>
          <w:b/>
          <w:bCs/>
          <w:sz w:val="22"/>
          <w:szCs w:val="22"/>
        </w:rPr>
      </w:pPr>
    </w:p>
    <w:p w:rsidR="00400004" w:rsidRDefault="00400004">
      <w:pPr>
        <w:rPr>
          <w:rFonts w:ascii="Palatino Linotype" w:eastAsia="Palatino Linotype" w:hAnsi="Palatino Linotype" w:cs="Palatino Linotype"/>
          <w:b/>
          <w:bCs/>
          <w:sz w:val="22"/>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szCs w:val="22"/>
        </w:rPr>
        <w:t xml:space="preserve">En atención a lo expuesto en el cuadro descriptivo, se advierte que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 xml:space="preserve"> atendió cada uno de los puntos vertidos en la solicitud de información; no obstante, </w:t>
      </w:r>
      <w:r w:rsidRPr="00400004">
        <w:rPr>
          <w:rFonts w:ascii="Palatino Linotype" w:eastAsia="Palatino Linotype" w:hAnsi="Palatino Linotype" w:cs="Palatino Linotype"/>
          <w:b/>
          <w:bCs/>
          <w:szCs w:val="22"/>
        </w:rPr>
        <w:t>relativo al punto 1 omitió proporcionar el Anteproyecto de Presupuesto de Egresos del Ejercicio Fiscal 2025 aprobado por la Dirección de Administración y Finanzas.</w:t>
      </w: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szCs w:val="22"/>
        </w:rPr>
        <w:lastRenderedPageBreak/>
        <w:t xml:space="preserve">Inconforme con la respuesta, el Solicitante interpuso el recurso de revisión, mediante el cual, </w:t>
      </w:r>
      <w:r w:rsidRPr="00400004">
        <w:rPr>
          <w:rFonts w:ascii="Palatino Linotype" w:eastAsia="Palatino Linotype" w:hAnsi="Palatino Linotype" w:cs="Palatino Linotype"/>
          <w:b/>
          <w:bCs/>
          <w:szCs w:val="22"/>
        </w:rPr>
        <w:t>manifestó la entrega de información incompleta.</w:t>
      </w:r>
      <w:r w:rsidRPr="00400004">
        <w:rPr>
          <w:rFonts w:ascii="Palatino Linotype" w:eastAsia="Palatino Linotype" w:hAnsi="Palatino Linotype" w:cs="Palatino Linotype"/>
          <w:szCs w:val="22"/>
        </w:rPr>
        <w:t xml:space="preserve"> </w:t>
      </w:r>
    </w:p>
    <w:p w:rsidR="007F3F4D" w:rsidRPr="00400004" w:rsidRDefault="007F3F4D">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szCs w:val="22"/>
        </w:rPr>
      </w:pP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szCs w:val="22"/>
        </w:rPr>
      </w:pPr>
      <w:r w:rsidRPr="00400004">
        <w:rPr>
          <w:rFonts w:ascii="Palatino Linotype" w:eastAsia="Palatino Linotype" w:hAnsi="Palatino Linotype" w:cs="Palatino Linotype"/>
          <w:color w:val="000000"/>
          <w:szCs w:val="22"/>
        </w:rPr>
        <w:t>Así, mediante un acto jurídico posterior como lo es el informe justificado, el</w:t>
      </w:r>
      <w:r w:rsidRPr="00400004">
        <w:rPr>
          <w:rFonts w:ascii="Palatino Linotype" w:eastAsia="Palatino Linotype" w:hAnsi="Palatino Linotype" w:cs="Palatino Linotype"/>
          <w:b/>
          <w:bCs/>
          <w:color w:val="000000"/>
          <w:szCs w:val="22"/>
        </w:rPr>
        <w:t xml:space="preserve"> SUJETO OBLIGADO </w:t>
      </w:r>
      <w:r w:rsidRPr="00400004">
        <w:rPr>
          <w:rFonts w:ascii="Palatino Linotype" w:eastAsia="Palatino Linotype" w:hAnsi="Palatino Linotype" w:cs="Palatino Linotype"/>
          <w:color w:val="000000"/>
          <w:szCs w:val="22"/>
        </w:rPr>
        <w:t>por medio del D</w:t>
      </w:r>
      <w:r w:rsidRPr="00400004">
        <w:rPr>
          <w:rFonts w:ascii="Palatino Linotype" w:eastAsia="Palatino Linotype" w:hAnsi="Palatino Linotype" w:cs="Palatino Linotype"/>
          <w:szCs w:val="22"/>
        </w:rPr>
        <w:t>epartamento de Información, Planeación, Programación y Evaluación,</w:t>
      </w:r>
      <w:r w:rsidRPr="00400004">
        <w:rPr>
          <w:rFonts w:ascii="Palatino Linotype" w:eastAsia="Palatino Linotype" w:hAnsi="Palatino Linotype" w:cs="Palatino Linotype"/>
          <w:b/>
          <w:bCs/>
          <w:szCs w:val="22"/>
        </w:rPr>
        <w:t xml:space="preserve"> </w:t>
      </w:r>
      <w:r w:rsidRPr="00400004">
        <w:rPr>
          <w:rFonts w:ascii="Palatino Linotype" w:eastAsia="Palatino Linotype" w:hAnsi="Palatino Linotype" w:cs="Palatino Linotype"/>
          <w:color w:val="000000"/>
          <w:szCs w:val="22"/>
        </w:rPr>
        <w:t>remiti</w:t>
      </w:r>
      <w:r w:rsidRPr="00400004">
        <w:rPr>
          <w:rFonts w:ascii="Palatino Linotype" w:eastAsia="Palatino Linotype" w:hAnsi="Palatino Linotype" w:cs="Palatino Linotype"/>
          <w:szCs w:val="22"/>
        </w:rPr>
        <w:t>ó el Anteproyecto de Presupuesto de Egresos del Ejercicio 2025 validado por la Dirección de Administración y Finanzas. Como se observa:</w:t>
      </w:r>
    </w:p>
    <w:p w:rsidR="007F3F4D" w:rsidRDefault="007F3F4D">
      <w:pPr>
        <w:pBdr>
          <w:top w:val="nil"/>
          <w:left w:val="nil"/>
          <w:bottom w:val="nil"/>
          <w:right w:val="nil"/>
          <w:between w:val="nil"/>
        </w:pBdr>
        <w:spacing w:line="360" w:lineRule="auto"/>
        <w:ind w:left="925" w:right="1"/>
        <w:jc w:val="both"/>
        <w:rPr>
          <w:rFonts w:ascii="Palatino Linotype" w:eastAsia="Palatino Linotype" w:hAnsi="Palatino Linotype" w:cs="Palatino Linotype"/>
          <w:sz w:val="22"/>
          <w:szCs w:val="22"/>
        </w:rPr>
      </w:pPr>
    </w:p>
    <w:p w:rsidR="007F3F4D" w:rsidRDefault="00F60CC4">
      <w:pPr>
        <w:pBdr>
          <w:top w:val="nil"/>
          <w:left w:val="nil"/>
          <w:bottom w:val="nil"/>
          <w:right w:val="nil"/>
          <w:between w:val="nil"/>
        </w:pBdr>
        <w:spacing w:line="360" w:lineRule="auto"/>
        <w:ind w:right="1"/>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114300" distB="114300" distL="114300" distR="114300">
            <wp:extent cx="5941060" cy="34925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5941060" cy="3492500"/>
                    </a:xfrm>
                    <a:prstGeom prst="rect">
                      <a:avLst/>
                    </a:prstGeom>
                    <a:ln/>
                  </pic:spPr>
                </pic:pic>
              </a:graphicData>
            </a:graphic>
          </wp:inline>
        </w:drawing>
      </w:r>
    </w:p>
    <w:p w:rsidR="007F3F4D" w:rsidRDefault="00F60CC4">
      <w:pPr>
        <w:pBdr>
          <w:top w:val="nil"/>
          <w:left w:val="nil"/>
          <w:bottom w:val="nil"/>
          <w:right w:val="nil"/>
          <w:between w:val="nil"/>
        </w:pBdr>
        <w:spacing w:line="360" w:lineRule="auto"/>
        <w:ind w:right="1"/>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w:t>
      </w: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szCs w:val="22"/>
        </w:rPr>
        <w:t xml:space="preserve">Por otro lado, ratificó haber proporcionado las documentales que dan cuenta de la informaciones solicitada, asimismo, precisó que el Programa Integral de Fortalecimiento Institucional (PIFI) operaba en el marco del Plan Nacional de Desarrollo vigente para el sexenio 2007-2012, en este sentido, derivado de que el solicitante no especificó el periodo de </w:t>
      </w:r>
      <w:r w:rsidRPr="00400004">
        <w:rPr>
          <w:rFonts w:ascii="Palatino Linotype" w:eastAsia="Palatino Linotype" w:hAnsi="Palatino Linotype" w:cs="Palatino Linotype"/>
          <w:szCs w:val="22"/>
        </w:rPr>
        <w:lastRenderedPageBreak/>
        <w:t xml:space="preserve">búsqueda de la información, se realizó la búsqueda del año inmediato anterior, en este sentido, el PIFI ya no operaba bajo ese nombre y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 xml:space="preserve"> no se encuentra</w:t>
      </w:r>
      <w:r>
        <w:rPr>
          <w:rFonts w:ascii="Palatino Linotype" w:eastAsia="Palatino Linotype" w:hAnsi="Palatino Linotype" w:cs="Palatino Linotype"/>
          <w:sz w:val="22"/>
          <w:szCs w:val="22"/>
        </w:rPr>
        <w:t xml:space="preserve"> </w:t>
      </w:r>
      <w:r w:rsidRPr="00400004">
        <w:rPr>
          <w:rFonts w:ascii="Palatino Linotype" w:eastAsia="Palatino Linotype" w:hAnsi="Palatino Linotype" w:cs="Palatino Linotype"/>
          <w:szCs w:val="22"/>
        </w:rPr>
        <w:t>participando en el mismo;  en los siguientes términos:</w:t>
      </w:r>
    </w:p>
    <w:p w:rsidR="007F3F4D" w:rsidRDefault="007F3F4D">
      <w:pPr>
        <w:pBdr>
          <w:top w:val="nil"/>
          <w:left w:val="nil"/>
          <w:bottom w:val="nil"/>
          <w:right w:val="nil"/>
          <w:between w:val="nil"/>
        </w:pBdr>
        <w:spacing w:line="360" w:lineRule="auto"/>
        <w:ind w:right="1"/>
        <w:jc w:val="both"/>
        <w:rPr>
          <w:rFonts w:ascii="Palatino Linotype" w:eastAsia="Palatino Linotype" w:hAnsi="Palatino Linotype" w:cs="Palatino Linotype"/>
          <w:sz w:val="22"/>
          <w:szCs w:val="22"/>
        </w:rPr>
      </w:pPr>
    </w:p>
    <w:p w:rsidR="007F3F4D" w:rsidRDefault="00F60CC4">
      <w:pPr>
        <w:pBdr>
          <w:top w:val="nil"/>
          <w:left w:val="nil"/>
          <w:bottom w:val="nil"/>
          <w:right w:val="nil"/>
          <w:between w:val="nil"/>
        </w:pBdr>
        <w:spacing w:line="360" w:lineRule="auto"/>
        <w:ind w:right="1"/>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114300" distB="114300" distL="114300" distR="114300">
            <wp:extent cx="5941060" cy="45593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5941060" cy="4559300"/>
                    </a:xfrm>
                    <a:prstGeom prst="rect">
                      <a:avLst/>
                    </a:prstGeom>
                    <a:ln/>
                  </pic:spPr>
                </pic:pic>
              </a:graphicData>
            </a:graphic>
          </wp:inline>
        </w:drawing>
      </w:r>
    </w:p>
    <w:p w:rsidR="007F3F4D" w:rsidRDefault="00F60CC4">
      <w:pPr>
        <w:spacing w:line="360" w:lineRule="auto"/>
        <w:ind w:left="-141" w:right="1"/>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w:t>
      </w:r>
    </w:p>
    <w:p w:rsidR="007F3F4D" w:rsidRDefault="007F3F4D">
      <w:pPr>
        <w:spacing w:line="360" w:lineRule="auto"/>
        <w:ind w:left="925" w:right="1"/>
        <w:jc w:val="center"/>
        <w:rPr>
          <w:rFonts w:ascii="Palatino Linotype" w:eastAsia="Palatino Linotype" w:hAnsi="Palatino Linotype" w:cs="Palatino Linotype"/>
          <w:b/>
          <w:bCs/>
          <w:sz w:val="22"/>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szCs w:val="22"/>
        </w:rPr>
        <w:t xml:space="preserve">De lo expuesto, se advierte que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 xml:space="preserve"> mediante el informe justificado, modificó la respuesta emitida y atendió en su totalidad los requerimientos del Particular.</w:t>
      </w:r>
    </w:p>
    <w:p w:rsidR="007F3F4D" w:rsidRPr="00400004" w:rsidRDefault="007F3F4D">
      <w:pPr>
        <w:spacing w:line="360" w:lineRule="auto"/>
        <w:ind w:right="1"/>
        <w:jc w:val="both"/>
        <w:rPr>
          <w:rFonts w:ascii="Palatino Linotype" w:eastAsia="Palatino Linotype" w:hAnsi="Palatino Linotype" w:cs="Palatino Linotype"/>
          <w:b/>
          <w:bCs/>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szCs w:val="22"/>
        </w:rPr>
        <w:lastRenderedPageBreak/>
        <w:t xml:space="preserve">Precisado lo anterior, cabe </w:t>
      </w:r>
      <w:r w:rsidRPr="00400004">
        <w:rPr>
          <w:rFonts w:ascii="Palatino Linotype" w:eastAsia="Palatino Linotype" w:hAnsi="Palatino Linotype" w:cs="Palatino Linotype"/>
          <w:color w:val="000000"/>
          <w:szCs w:val="22"/>
        </w:rPr>
        <w:t>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7F3F4D" w:rsidRPr="00400004" w:rsidRDefault="007F3F4D">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szCs w:val="22"/>
        </w:rPr>
      </w:pP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000000"/>
          <w:szCs w:val="22"/>
        </w:rPr>
        <w:t>En este sentido, para atender las solicitudes de información, los Sujetos Obligados contarán con un área denominada Unidad de Transparencia</w:t>
      </w:r>
      <w:r w:rsidRPr="00400004">
        <w:rPr>
          <w:rFonts w:ascii="Palatino Linotype" w:eastAsia="Palatino Linotype" w:hAnsi="Palatino Linotype" w:cs="Palatino Linotype"/>
          <w:color w:val="000000"/>
          <w:szCs w:val="22"/>
          <w:vertAlign w:val="superscript"/>
        </w:rPr>
        <w:footnoteReference w:id="1"/>
      </w:r>
      <w:r w:rsidRPr="00400004">
        <w:rPr>
          <w:rFonts w:ascii="Palatino Linotype" w:eastAsia="Palatino Linotype" w:hAnsi="Palatino Linotype" w:cs="Palatino Linotype"/>
          <w:color w:val="000000"/>
          <w:szCs w:val="22"/>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400004">
        <w:rPr>
          <w:rFonts w:ascii="Palatino Linotype" w:eastAsia="Palatino Linotype" w:hAnsi="Palatino Linotype" w:cs="Palatino Linotype"/>
          <w:b/>
          <w:bCs/>
          <w:color w:val="000000"/>
          <w:szCs w:val="22"/>
        </w:rPr>
        <w:t xml:space="preserve"> </w:t>
      </w:r>
      <w:r w:rsidRPr="00400004">
        <w:rPr>
          <w:rFonts w:ascii="Palatino Linotype" w:eastAsia="Palatino Linotype" w:hAnsi="Palatino Linotype" w:cs="Palatino Linotype"/>
          <w:color w:val="000000"/>
          <w:szCs w:val="22"/>
        </w:rPr>
        <w:t>en los términos de la Ley General y la Ley de Transparencia y Acceso a la Información Pública del Estado de México y Municipios</w:t>
      </w:r>
      <w:r w:rsidRPr="00400004">
        <w:rPr>
          <w:rFonts w:ascii="Palatino Linotype" w:eastAsia="Palatino Linotype" w:hAnsi="Palatino Linotype" w:cs="Palatino Linotype"/>
          <w:color w:val="000000"/>
          <w:szCs w:val="22"/>
          <w:vertAlign w:val="superscript"/>
        </w:rPr>
        <w:footnoteReference w:id="2"/>
      </w:r>
      <w:r w:rsidRPr="00400004">
        <w:rPr>
          <w:rFonts w:ascii="Palatino Linotype" w:eastAsia="Palatino Linotype" w:hAnsi="Palatino Linotype" w:cs="Palatino Linotype"/>
          <w:color w:val="000000"/>
          <w:szCs w:val="22"/>
        </w:rPr>
        <w:t>.</w:t>
      </w:r>
    </w:p>
    <w:p w:rsidR="007F3F4D" w:rsidRPr="00400004" w:rsidRDefault="007F3F4D">
      <w:pPr>
        <w:spacing w:line="360" w:lineRule="auto"/>
        <w:ind w:right="1"/>
        <w:jc w:val="both"/>
        <w:rPr>
          <w:rFonts w:ascii="Palatino Linotype" w:eastAsia="Palatino Linotype" w:hAnsi="Palatino Linotype" w:cs="Palatino Linotype"/>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color w:val="000000"/>
          <w:szCs w:val="22"/>
        </w:rPr>
        <w:t>De conformidad con lo dispuesto en la Ley de Transparencia y Acceso a la Información Pública del Estado de México y Municipios, las Unidades de Transparencia tendrán, entre sus atribuciones, las siguientes:</w:t>
      </w:r>
    </w:p>
    <w:p w:rsidR="007F3F4D" w:rsidRPr="00400004" w:rsidRDefault="00F60CC4">
      <w:pPr>
        <w:numPr>
          <w:ilvl w:val="1"/>
          <w:numId w:val="2"/>
        </w:numPr>
        <w:pBdr>
          <w:top w:val="nil"/>
          <w:left w:val="nil"/>
          <w:bottom w:val="nil"/>
          <w:right w:val="nil"/>
          <w:between w:val="nil"/>
        </w:pBdr>
        <w:spacing w:before="240"/>
        <w:ind w:left="709" w:right="616" w:hanging="142"/>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000000"/>
          <w:szCs w:val="22"/>
        </w:rPr>
        <w:t>Recibir, tramitar y dar respuesta a las solicitudes de acceso a la información;</w:t>
      </w:r>
    </w:p>
    <w:p w:rsidR="007F3F4D" w:rsidRPr="00400004" w:rsidRDefault="00F60CC4">
      <w:pPr>
        <w:numPr>
          <w:ilvl w:val="1"/>
          <w:numId w:val="2"/>
        </w:numPr>
        <w:pBdr>
          <w:top w:val="nil"/>
          <w:left w:val="nil"/>
          <w:bottom w:val="nil"/>
          <w:right w:val="nil"/>
          <w:between w:val="nil"/>
        </w:pBdr>
        <w:ind w:left="709" w:right="616" w:hanging="142"/>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000000"/>
          <w:szCs w:val="22"/>
        </w:rPr>
        <w:t xml:space="preserve">Realizar, con efectividad, los trámites internos necesarios para la atención de las solicitudes de acceso a la información; </w:t>
      </w:r>
    </w:p>
    <w:p w:rsidR="007F3F4D" w:rsidRPr="00400004" w:rsidRDefault="00F60CC4">
      <w:pPr>
        <w:numPr>
          <w:ilvl w:val="1"/>
          <w:numId w:val="2"/>
        </w:numPr>
        <w:pBdr>
          <w:top w:val="nil"/>
          <w:left w:val="nil"/>
          <w:bottom w:val="nil"/>
          <w:right w:val="nil"/>
          <w:between w:val="nil"/>
        </w:pBdr>
        <w:ind w:left="709" w:right="616" w:hanging="142"/>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000000"/>
          <w:szCs w:val="22"/>
        </w:rPr>
        <w:lastRenderedPageBreak/>
        <w:t xml:space="preserve">Entregar, en su caso, a los particulares la información solicitada; y </w:t>
      </w:r>
    </w:p>
    <w:p w:rsidR="007F3F4D" w:rsidRPr="00400004" w:rsidRDefault="00F60CC4">
      <w:pPr>
        <w:numPr>
          <w:ilvl w:val="1"/>
          <w:numId w:val="2"/>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000000"/>
          <w:szCs w:val="22"/>
        </w:rPr>
        <w:t>Efectuar las notificaciones a los solicitantes.</w:t>
      </w:r>
    </w:p>
    <w:p w:rsidR="007F3F4D" w:rsidRDefault="007F3F4D">
      <w:pPr>
        <w:spacing w:line="360" w:lineRule="auto"/>
        <w:ind w:right="1"/>
        <w:jc w:val="both"/>
        <w:rPr>
          <w:rFonts w:ascii="Palatino Linotype" w:eastAsia="Palatino Linotype" w:hAnsi="Palatino Linotype" w:cs="Palatino Linotype"/>
          <w:sz w:val="22"/>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color w:val="000000"/>
          <w:szCs w:val="22"/>
        </w:rPr>
        <w:t xml:space="preserve">Otros sujetos del proceso de atención a las solicitudes de información son los servidores públicos habilitados, quienes serán designados por el titular del </w:t>
      </w:r>
      <w:r w:rsidRPr="00400004">
        <w:rPr>
          <w:rFonts w:ascii="Palatino Linotype" w:eastAsia="Palatino Linotype" w:hAnsi="Palatino Linotype" w:cs="Palatino Linotype"/>
          <w:b/>
          <w:bCs/>
          <w:color w:val="000000"/>
          <w:szCs w:val="22"/>
        </w:rPr>
        <w:t xml:space="preserve">SUJETO OBLIGADO </w:t>
      </w:r>
      <w:r w:rsidRPr="00400004">
        <w:rPr>
          <w:rFonts w:ascii="Palatino Linotype" w:eastAsia="Palatino Linotype" w:hAnsi="Palatino Linotype" w:cs="Palatino Linotype"/>
          <w:color w:val="000000"/>
          <w:szCs w:val="22"/>
        </w:rPr>
        <w:t>a propuesta del responsable de la Unidad de Transparencia</w:t>
      </w:r>
      <w:r w:rsidRPr="00400004">
        <w:rPr>
          <w:rFonts w:ascii="Palatino Linotype" w:eastAsia="Palatino Linotype" w:hAnsi="Palatino Linotype" w:cs="Palatino Linotype"/>
          <w:color w:val="000000"/>
          <w:szCs w:val="22"/>
          <w:vertAlign w:val="superscript"/>
        </w:rPr>
        <w:footnoteReference w:id="3"/>
      </w:r>
      <w:r w:rsidRPr="00400004">
        <w:rPr>
          <w:rFonts w:ascii="Palatino Linotype" w:eastAsia="Palatino Linotype" w:hAnsi="Palatino Linotype" w:cs="Palatino Linotype"/>
          <w:color w:val="000000"/>
          <w:szCs w:val="22"/>
        </w:rPr>
        <w:t xml:space="preserve"> y tendrán, entre sus atribuciones, las siguientes</w:t>
      </w:r>
      <w:r w:rsidRPr="00400004">
        <w:rPr>
          <w:rFonts w:ascii="Palatino Linotype" w:eastAsia="Palatino Linotype" w:hAnsi="Palatino Linotype" w:cs="Palatino Linotype"/>
          <w:color w:val="000000"/>
          <w:szCs w:val="22"/>
          <w:vertAlign w:val="superscript"/>
        </w:rPr>
        <w:footnoteReference w:id="4"/>
      </w:r>
      <w:r w:rsidRPr="00400004">
        <w:rPr>
          <w:rFonts w:ascii="Palatino Linotype" w:eastAsia="Palatino Linotype" w:hAnsi="Palatino Linotype" w:cs="Palatino Linotype"/>
          <w:color w:val="000000"/>
          <w:szCs w:val="22"/>
        </w:rPr>
        <w:t>:</w:t>
      </w:r>
    </w:p>
    <w:p w:rsidR="007F3F4D" w:rsidRPr="00400004" w:rsidRDefault="00F60CC4">
      <w:pPr>
        <w:numPr>
          <w:ilvl w:val="1"/>
          <w:numId w:val="3"/>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000000"/>
          <w:szCs w:val="22"/>
        </w:rPr>
        <w:t>Localizar la información que le solicite la Unidad de Transparencia; y</w:t>
      </w:r>
    </w:p>
    <w:p w:rsidR="007F3F4D" w:rsidRPr="00400004" w:rsidRDefault="00F60CC4">
      <w:pPr>
        <w:numPr>
          <w:ilvl w:val="1"/>
          <w:numId w:val="3"/>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000000"/>
          <w:szCs w:val="22"/>
        </w:rPr>
        <w:t>Proporcionar la información que obre en los archivos y que le sea solicitada por la Unidad de Transparencia.</w:t>
      </w:r>
    </w:p>
    <w:p w:rsidR="007F3F4D" w:rsidRDefault="007F3F4D">
      <w:pPr>
        <w:spacing w:line="360" w:lineRule="auto"/>
        <w:ind w:right="1"/>
        <w:jc w:val="both"/>
        <w:rPr>
          <w:rFonts w:ascii="Palatino Linotype" w:eastAsia="Palatino Linotype" w:hAnsi="Palatino Linotype" w:cs="Palatino Linotype"/>
          <w:sz w:val="22"/>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color w:val="000000"/>
          <w:szCs w:val="22"/>
        </w:rPr>
        <w:t xml:space="preserve">De tal manera que cada una de las áreas administrativas del </w:t>
      </w:r>
      <w:r w:rsidRPr="00400004">
        <w:rPr>
          <w:rFonts w:ascii="Palatino Linotype" w:eastAsia="Palatino Linotype" w:hAnsi="Palatino Linotype" w:cs="Palatino Linotype"/>
          <w:b/>
          <w:bCs/>
          <w:color w:val="000000"/>
          <w:szCs w:val="22"/>
        </w:rPr>
        <w:t>SUJETO OBLIGADO</w:t>
      </w:r>
      <w:r w:rsidRPr="00400004">
        <w:rPr>
          <w:rFonts w:ascii="Palatino Linotype" w:eastAsia="Palatino Linotype" w:hAnsi="Palatino Linotype" w:cs="Palatino Linotype"/>
          <w:color w:val="000000"/>
          <w:szCs w:val="22"/>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7F3F4D" w:rsidRPr="00400004" w:rsidRDefault="007F3F4D">
      <w:pPr>
        <w:spacing w:line="360" w:lineRule="auto"/>
        <w:ind w:right="1"/>
        <w:jc w:val="both"/>
        <w:rPr>
          <w:rFonts w:ascii="Palatino Linotype" w:eastAsia="Palatino Linotype" w:hAnsi="Palatino Linotype" w:cs="Palatino Linotype"/>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color w:val="000000"/>
          <w:szCs w:val="22"/>
        </w:rPr>
        <w:t>Aunado a lo anterior, la Ley de Transparencia y Acceso a la Información Pública del Estado de México y Municipios, en su artículo 53, establece las funciones correspondientes a esta Unidad; mismas que se inserta a continuación:</w:t>
      </w:r>
    </w:p>
    <w:p w:rsidR="007F3F4D" w:rsidRPr="00400004" w:rsidRDefault="00F60CC4">
      <w:pPr>
        <w:pBdr>
          <w:top w:val="nil"/>
          <w:left w:val="nil"/>
          <w:bottom w:val="nil"/>
          <w:right w:val="nil"/>
          <w:between w:val="nil"/>
        </w:pBdr>
        <w:tabs>
          <w:tab w:val="left" w:pos="426"/>
        </w:tabs>
        <w:spacing w:before="240"/>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b/>
          <w:bCs/>
          <w:i/>
          <w:iCs/>
          <w:color w:val="000000"/>
          <w:szCs w:val="22"/>
        </w:rPr>
        <w:t>“Artículo 53</w:t>
      </w:r>
      <w:r w:rsidRPr="00400004">
        <w:rPr>
          <w:rFonts w:ascii="Palatino Linotype" w:eastAsia="Palatino Linotype" w:hAnsi="Palatino Linotype" w:cs="Palatino Linotype"/>
          <w:i/>
          <w:iCs/>
          <w:color w:val="000000"/>
          <w:szCs w:val="22"/>
        </w:rPr>
        <w:t xml:space="preserve">. Las Unidades de Transparencia tendrán las siguientes funciones: </w:t>
      </w:r>
    </w:p>
    <w:p w:rsidR="007F3F4D" w:rsidRPr="00400004" w:rsidRDefault="007F3F4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I. Recabar, difundir y actualizar la información relativa a las obligaciones de transparencia comunes y específicas a la que se refiere la Ley General, esta Ley, la que determine el </w:t>
      </w:r>
      <w:r w:rsidRPr="00400004">
        <w:rPr>
          <w:rFonts w:ascii="Palatino Linotype" w:eastAsia="Palatino Linotype" w:hAnsi="Palatino Linotype" w:cs="Palatino Linotype"/>
          <w:i/>
          <w:iCs/>
          <w:color w:val="000000"/>
          <w:szCs w:val="22"/>
        </w:rPr>
        <w:lastRenderedPageBreak/>
        <w:t xml:space="preserve">Instituto y las demás disposiciones de la materia, así como propiciar que las áreas la actualicen periódicamente conforme a la normatividad aplicable;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szCs w:val="22"/>
        </w:rPr>
      </w:pPr>
      <w:r w:rsidRPr="00400004">
        <w:rPr>
          <w:rFonts w:ascii="Palatino Linotype" w:eastAsia="Palatino Linotype" w:hAnsi="Palatino Linotype" w:cs="Palatino Linotype"/>
          <w:b/>
          <w:bCs/>
          <w:i/>
          <w:iCs/>
          <w:color w:val="000000"/>
          <w:szCs w:val="22"/>
        </w:rPr>
        <w:t xml:space="preserve">II. Recibir, tramitar y dar respuesta a las solicitudes de acceso a la información;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III. Auxiliar a los particulares en la elaboración de solicitudes de acceso a la información y, en su caso, orientarlos sobre los sujetos obligados competentes conforme a la normatividad aplicable;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szCs w:val="22"/>
        </w:rPr>
      </w:pPr>
      <w:r w:rsidRPr="00400004">
        <w:rPr>
          <w:rFonts w:ascii="Palatino Linotype" w:eastAsia="Palatino Linotype" w:hAnsi="Palatino Linotype" w:cs="Palatino Linotype"/>
          <w:b/>
          <w:bCs/>
          <w:i/>
          <w:iCs/>
          <w:color w:val="000000"/>
          <w:szCs w:val="22"/>
        </w:rPr>
        <w:t xml:space="preserve">IV. Realizar, con efectividad, los trámites internos necesarios para la atención de las solicitudes de acceso a la información;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V. Entregar, en su caso, a los particulares la información solicitada;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VI. Efectuar las notificaciones a los solicitantes;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VII. Proponer al Comité de Transparencia, los procedimientos internos que aseguren la mayor eficiencia en la gestión de las solicitudes de acceso a la información, conforme a la normatividad aplicable;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VIII. Proponer a quien preside el Comité de Transparencia, personal habilitado que sea necesario para recibir y dar trámite a las solicitudes de acceso a la información;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szCs w:val="22"/>
        </w:rPr>
      </w:pPr>
      <w:r w:rsidRPr="00400004">
        <w:rPr>
          <w:rFonts w:ascii="Palatino Linotype" w:eastAsia="Palatino Linotype" w:hAnsi="Palatino Linotype" w:cs="Palatino Linotype"/>
          <w:b/>
          <w:bCs/>
          <w:i/>
          <w:iCs/>
          <w:color w:val="000000"/>
          <w:szCs w:val="22"/>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X. Presentar ante el Comité, el proyecto de clasificación de información;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XI. Promover e implementar políticas de transparencia proactiva procurando su accesibilidad;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XII. Fomentar la transparencia y accesibilidad al interior del sujeto obligado; </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XIII. Hacer del conocimiento de la instancia competente la probable responsabilidad por el incumplimiento de las obligaciones previstas en la presente Ley; y</w:t>
      </w:r>
    </w:p>
    <w:p w:rsidR="007F3F4D" w:rsidRPr="00400004" w:rsidRDefault="00F60CC4">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XIV. Las demás que resulten necesarias para facilitar el acceso a la información y aquellas que se desprenden de la presente Ley y demás disposiciones jurídicas aplicables. (…)</w:t>
      </w:r>
    </w:p>
    <w:p w:rsidR="007F3F4D" w:rsidRPr="00400004" w:rsidRDefault="00F60CC4">
      <w:pPr>
        <w:pBdr>
          <w:top w:val="nil"/>
          <w:left w:val="nil"/>
          <w:bottom w:val="nil"/>
          <w:right w:val="nil"/>
          <w:between w:val="nil"/>
        </w:pBdr>
        <w:tabs>
          <w:tab w:val="left" w:pos="426"/>
        </w:tabs>
        <w:spacing w:after="240"/>
        <w:ind w:left="567" w:right="616"/>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i/>
          <w:iCs/>
          <w:color w:val="000000"/>
          <w:szCs w:val="22"/>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7F3F4D" w:rsidRPr="00400004" w:rsidRDefault="007F3F4D">
      <w:pPr>
        <w:spacing w:line="360" w:lineRule="auto"/>
        <w:ind w:right="1"/>
        <w:jc w:val="both"/>
        <w:rPr>
          <w:rFonts w:ascii="Palatino Linotype" w:eastAsia="Palatino Linotype" w:hAnsi="Palatino Linotype" w:cs="Palatino Linotype"/>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color w:val="000000"/>
          <w:szCs w:val="22"/>
        </w:rPr>
        <w:lastRenderedPageBreak/>
        <w:t xml:space="preserve">De lo expuesto y con relación a lo solicitado, se tiene que, la Unidad de Transparencia es la encargada de </w:t>
      </w:r>
      <w:r w:rsidRPr="00400004">
        <w:rPr>
          <w:rFonts w:ascii="Palatino Linotype" w:eastAsia="Palatino Linotype" w:hAnsi="Palatino Linotype" w:cs="Palatino Linotype"/>
          <w:szCs w:val="22"/>
        </w:rPr>
        <w:t>recibir, tramitar y dar respuesta a las solicitudes de acceso a la información</w:t>
      </w:r>
      <w:r w:rsidRPr="00400004">
        <w:rPr>
          <w:rFonts w:ascii="Palatino Linotype" w:eastAsia="Palatino Linotype" w:hAnsi="Palatino Linotype" w:cs="Palatino Linotype"/>
          <w:color w:val="000000"/>
          <w:szCs w:val="22"/>
        </w:rPr>
        <w:t>.</w:t>
      </w:r>
    </w:p>
    <w:p w:rsidR="007F3F4D" w:rsidRPr="00400004" w:rsidRDefault="007F3F4D">
      <w:pPr>
        <w:spacing w:line="360" w:lineRule="auto"/>
        <w:ind w:right="1"/>
        <w:jc w:val="both"/>
        <w:rPr>
          <w:rFonts w:ascii="Palatino Linotype" w:eastAsia="Palatino Linotype" w:hAnsi="Palatino Linotype" w:cs="Palatino Linotype"/>
          <w:szCs w:val="22"/>
        </w:rPr>
      </w:pP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000000"/>
          <w:szCs w:val="22"/>
        </w:rPr>
        <w:t xml:space="preserve">En este sentido, se reitera que existió un pronunciamiento por parte del </w:t>
      </w:r>
      <w:r w:rsidRPr="00400004">
        <w:rPr>
          <w:rFonts w:ascii="Palatino Linotype" w:eastAsia="Palatino Linotype" w:hAnsi="Palatino Linotype" w:cs="Palatino Linotype"/>
          <w:b/>
          <w:bCs/>
          <w:color w:val="000000"/>
          <w:szCs w:val="22"/>
        </w:rPr>
        <w:t>SUJETO OBLIGADO</w:t>
      </w:r>
      <w:r w:rsidRPr="00400004">
        <w:rPr>
          <w:rFonts w:ascii="Palatino Linotype" w:eastAsia="Palatino Linotype" w:hAnsi="Palatino Linotype" w:cs="Palatino Linotype"/>
          <w:color w:val="000000"/>
          <w:szCs w:val="22"/>
        </w:rPr>
        <w:t>, a través de</w:t>
      </w:r>
      <w:r w:rsidRPr="00400004">
        <w:rPr>
          <w:rFonts w:ascii="Palatino Linotype" w:eastAsia="Palatino Linotype" w:hAnsi="Palatino Linotype" w:cs="Palatino Linotype"/>
          <w:szCs w:val="22"/>
        </w:rPr>
        <w:t xml:space="preserve">l </w:t>
      </w:r>
      <w:r w:rsidRPr="00400004">
        <w:rPr>
          <w:rFonts w:ascii="Palatino Linotype" w:eastAsia="Palatino Linotype" w:hAnsi="Palatino Linotype" w:cs="Palatino Linotype"/>
          <w:b/>
          <w:bCs/>
          <w:szCs w:val="22"/>
        </w:rPr>
        <w:t>Departamento de Información, Planeación, Programación y Evaluación.</w:t>
      </w:r>
    </w:p>
    <w:p w:rsidR="007F3F4D" w:rsidRPr="00400004" w:rsidRDefault="007F3F4D">
      <w:pPr>
        <w:spacing w:line="360" w:lineRule="auto"/>
        <w:ind w:right="1"/>
        <w:jc w:val="both"/>
        <w:rPr>
          <w:rFonts w:ascii="Palatino Linotype" w:eastAsia="Palatino Linotype" w:hAnsi="Palatino Linotype" w:cs="Palatino Linotype"/>
          <w:b/>
          <w:bCs/>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szCs w:val="22"/>
        </w:rPr>
        <w:t>En consecuencia,</w:t>
      </w:r>
      <w:r w:rsidRPr="00400004">
        <w:rPr>
          <w:rFonts w:ascii="Palatino Linotype" w:eastAsia="Palatino Linotype" w:hAnsi="Palatino Linotype" w:cs="Palatino Linotype"/>
          <w:b/>
          <w:bCs/>
          <w:szCs w:val="22"/>
        </w:rPr>
        <w:t xml:space="preserve"> </w:t>
      </w:r>
      <w:r w:rsidRPr="00400004">
        <w:rPr>
          <w:rFonts w:ascii="Palatino Linotype" w:eastAsia="Palatino Linotype" w:hAnsi="Palatino Linotype" w:cs="Palatino Linotype"/>
          <w:color w:val="000000"/>
          <w:szCs w:val="22"/>
        </w:rPr>
        <w:t xml:space="preserve">se presume que, </w:t>
      </w:r>
      <w:r w:rsidRPr="00400004">
        <w:rPr>
          <w:rFonts w:ascii="Palatino Linotype" w:eastAsia="Palatino Linotype" w:hAnsi="Palatino Linotype" w:cs="Palatino Linotype"/>
          <w:b/>
          <w:bCs/>
          <w:szCs w:val="22"/>
        </w:rPr>
        <w:t>al haber existido un pronunciamiento por parte del SUJETO OBLIGADO y modificar la respuesta a través del informe justificado,</w:t>
      </w:r>
      <w:r w:rsidRPr="00400004">
        <w:rPr>
          <w:rFonts w:ascii="Palatino Linotype" w:eastAsia="Palatino Linotype" w:hAnsi="Palatino Linotype" w:cs="Palatino Linotype"/>
          <w:szCs w:val="22"/>
        </w:rPr>
        <w:t xml:space="preserve"> </w:t>
      </w:r>
      <w:r w:rsidRPr="00400004">
        <w:rPr>
          <w:rFonts w:ascii="Palatino Linotype" w:eastAsia="Palatino Linotype" w:hAnsi="Palatino Linotype" w:cs="Palatino Linotype"/>
          <w:b/>
          <w:bCs/>
          <w:szCs w:val="22"/>
        </w:rPr>
        <w:t>asimismo,</w:t>
      </w:r>
      <w:r w:rsidRPr="00400004">
        <w:rPr>
          <w:rFonts w:ascii="Palatino Linotype" w:eastAsia="Palatino Linotype" w:hAnsi="Palatino Linotype" w:cs="Palatino Linotype"/>
          <w:szCs w:val="22"/>
        </w:rPr>
        <w:t xml:space="preserve"> </w:t>
      </w:r>
      <w:r w:rsidRPr="00400004">
        <w:rPr>
          <w:rFonts w:ascii="Palatino Linotype" w:eastAsia="Palatino Linotype" w:hAnsi="Palatino Linotype" w:cs="Palatino Linotype"/>
          <w:b/>
          <w:bCs/>
          <w:szCs w:val="22"/>
        </w:rPr>
        <w:t>atender el requerimiento del Particular,</w:t>
      </w:r>
      <w:r w:rsidRPr="00400004">
        <w:rPr>
          <w:rFonts w:ascii="Palatino Linotype" w:eastAsia="Palatino Linotype" w:hAnsi="Palatino Linotype" w:cs="Palatino Linotype"/>
          <w:szCs w:val="22"/>
        </w:rPr>
        <w:t xml:space="preserve"> este Instituto no está facultado para manifestarse sobre la veracidad, pues no existe precepto legal alguno en la Ley de la materia que lo faculte para que, vía recurso de revisión, pueda pronunciarse al respecto.</w:t>
      </w:r>
    </w:p>
    <w:p w:rsidR="007F3F4D" w:rsidRPr="00400004" w:rsidRDefault="007F3F4D">
      <w:pPr>
        <w:ind w:right="1"/>
        <w:rPr>
          <w:rFonts w:ascii="Palatino Linotype" w:eastAsia="Palatino Linotype" w:hAnsi="Palatino Linotype" w:cs="Palatino Linotype"/>
          <w:color w:val="000000"/>
          <w:szCs w:val="22"/>
        </w:rPr>
      </w:pPr>
    </w:p>
    <w:p w:rsidR="007F3F4D" w:rsidRPr="00400004" w:rsidRDefault="00F60CC4">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szCs w:val="22"/>
        </w:rPr>
      </w:pPr>
      <w:r w:rsidRPr="00400004">
        <w:rPr>
          <w:rFonts w:ascii="Palatino Linotype" w:eastAsia="Palatino Linotype" w:hAnsi="Palatino Linotype" w:cs="Palatino Linotype"/>
          <w:color w:val="000000"/>
          <w:szCs w:val="22"/>
        </w:rPr>
        <w:t xml:space="preserve">Así, este Pleno advierte que el </w:t>
      </w:r>
      <w:r w:rsidRPr="00400004">
        <w:rPr>
          <w:rFonts w:ascii="Palatino Linotype" w:eastAsia="Palatino Linotype" w:hAnsi="Palatino Linotype" w:cs="Palatino Linotype"/>
          <w:b/>
          <w:bCs/>
          <w:color w:val="000000"/>
          <w:szCs w:val="22"/>
        </w:rPr>
        <w:t>SUJETO OBLIGADO</w:t>
      </w:r>
      <w:r w:rsidRPr="00400004">
        <w:rPr>
          <w:rFonts w:ascii="Palatino Linotype" w:eastAsia="Palatino Linotype" w:hAnsi="Palatino Linotype" w:cs="Palatino Linotype"/>
          <w:color w:val="000000"/>
          <w:szCs w:val="22"/>
        </w:rPr>
        <w:t xml:space="preserve"> </w:t>
      </w:r>
      <w:r w:rsidRPr="00400004">
        <w:rPr>
          <w:rFonts w:ascii="Palatino Linotype" w:eastAsia="Palatino Linotype" w:hAnsi="Palatino Linotype" w:cs="Palatino Linotype"/>
          <w:b/>
          <w:bCs/>
          <w:color w:val="000000"/>
          <w:szCs w:val="22"/>
        </w:rPr>
        <w:t xml:space="preserve">modificó </w:t>
      </w:r>
      <w:r w:rsidRPr="00400004">
        <w:rPr>
          <w:rFonts w:ascii="Palatino Linotype" w:eastAsia="Palatino Linotype" w:hAnsi="Palatino Linotype" w:cs="Palatino Linotype"/>
          <w:color w:val="000000"/>
          <w:szCs w:val="22"/>
        </w:rPr>
        <w:t>el acto que le dio origen al recurso de revisión, lo que trae como consecuencia que el mismo quede sin materia, actualizándose de este modo, la hipótesis jurídica contenida en la fracción III del artículo 192 de la Ley de Transparencia Local.</w:t>
      </w:r>
    </w:p>
    <w:p w:rsidR="007F3F4D" w:rsidRPr="00400004" w:rsidRDefault="007F3F4D">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szCs w:val="22"/>
        </w:rPr>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Sujeto Obligado distinto al que le fue presentada la solicitud, como ya fue establecido, se dejan a salvo los derechos de la parte </w:t>
      </w:r>
      <w:r w:rsidRPr="00400004">
        <w:rPr>
          <w:rFonts w:ascii="Palatino Linotype" w:eastAsia="Palatino Linotype" w:hAnsi="Palatino Linotype" w:cs="Palatino Linotype"/>
          <w:b/>
          <w:bCs/>
          <w:szCs w:val="22"/>
        </w:rPr>
        <w:t>RECURRENTE</w:t>
      </w:r>
      <w:r w:rsidRPr="00400004">
        <w:rPr>
          <w:rFonts w:ascii="Palatino Linotype" w:eastAsia="Palatino Linotype" w:hAnsi="Palatino Linotype" w:cs="Palatino Linotype"/>
          <w:szCs w:val="22"/>
        </w:rPr>
        <w:t xml:space="preserve"> para que pueda realizar la solicitud de información ante el Sujeto Obligado correspondiente.</w:t>
      </w:r>
    </w:p>
    <w:p w:rsidR="007F3F4D" w:rsidRPr="00400004" w:rsidRDefault="007F3F4D">
      <w:pPr>
        <w:spacing w:line="360" w:lineRule="auto"/>
        <w:ind w:right="1"/>
        <w:jc w:val="both"/>
        <w:rPr>
          <w:rFonts w:ascii="Palatino Linotype" w:eastAsia="Palatino Linotype" w:hAnsi="Palatino Linotype" w:cs="Palatino Linotype"/>
          <w:b/>
          <w:bCs/>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color w:val="000000"/>
          <w:szCs w:val="22"/>
        </w:rPr>
        <w:lastRenderedPageBreak/>
        <w:t xml:space="preserve">Ahora bien, </w:t>
      </w:r>
      <w:r w:rsidRPr="00400004">
        <w:rPr>
          <w:rFonts w:ascii="Palatino Linotype" w:eastAsia="Palatino Linotype" w:hAnsi="Palatino Linotype" w:cs="Palatino Linotype"/>
          <w:szCs w:val="22"/>
        </w:rPr>
        <w:t>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Sujetos Obligados o la negativa de entrega de esta, derivada de la solicitud de información pública.</w:t>
      </w:r>
    </w:p>
    <w:p w:rsidR="007F3F4D" w:rsidRPr="00400004" w:rsidRDefault="007F3F4D">
      <w:pPr>
        <w:spacing w:line="360" w:lineRule="auto"/>
        <w:ind w:right="1"/>
        <w:jc w:val="both"/>
        <w:rPr>
          <w:rFonts w:ascii="Palatino Linotype" w:eastAsia="Palatino Linotype" w:hAnsi="Palatino Linotype" w:cs="Palatino Linotype"/>
          <w:b/>
          <w:bCs/>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color w:val="000000"/>
          <w:szCs w:val="22"/>
        </w:rPr>
        <w:t xml:space="preserve">De </w:t>
      </w:r>
      <w:r w:rsidRPr="00400004">
        <w:rPr>
          <w:rFonts w:ascii="Palatino Linotype" w:eastAsia="Palatino Linotype" w:hAnsi="Palatino Linotype" w:cs="Palatino Linotype"/>
          <w:szCs w:val="22"/>
        </w:rPr>
        <w:t xml:space="preserve">este modo, cuando el </w:t>
      </w:r>
      <w:r w:rsidRPr="00400004">
        <w:rPr>
          <w:rFonts w:ascii="Palatino Linotype" w:eastAsia="Palatino Linotype" w:hAnsi="Palatino Linotype" w:cs="Palatino Linotype"/>
          <w:b/>
          <w:bCs/>
          <w:szCs w:val="22"/>
        </w:rPr>
        <w:t xml:space="preserve">SUJETO OBLIGADO, </w:t>
      </w:r>
      <w:r w:rsidRPr="00400004">
        <w:rPr>
          <w:rFonts w:ascii="Palatino Linotype" w:eastAsia="Palatino Linotype" w:hAnsi="Palatino Linotype" w:cs="Palatino Linotype"/>
          <w:szCs w:val="22"/>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400004">
        <w:rPr>
          <w:rFonts w:ascii="Palatino Linotype" w:eastAsia="Palatino Linotype" w:hAnsi="Palatino Linotype" w:cs="Palatino Linotype"/>
          <w:i/>
          <w:iCs/>
          <w:szCs w:val="22"/>
        </w:rPr>
        <w:t>litis</w:t>
      </w:r>
      <w:r w:rsidRPr="00400004">
        <w:rPr>
          <w:rFonts w:ascii="Palatino Linotype" w:eastAsia="Palatino Linotype" w:hAnsi="Palatino Linotype" w:cs="Palatino Linotype"/>
          <w:szCs w:val="22"/>
        </w:rPr>
        <w:t xml:space="preserve"> planteada, debido a que la afectación en su esfera de derechos fue restituida por la propia autoridad que emitió el acto motivo de impugnación.</w:t>
      </w:r>
    </w:p>
    <w:p w:rsidR="007F3F4D" w:rsidRPr="00400004" w:rsidRDefault="007F3F4D">
      <w:pPr>
        <w:spacing w:line="360" w:lineRule="auto"/>
        <w:ind w:right="1"/>
        <w:jc w:val="both"/>
        <w:rPr>
          <w:rFonts w:ascii="Palatino Linotype" w:eastAsia="Palatino Linotype" w:hAnsi="Palatino Linotype" w:cs="Palatino Linotype"/>
          <w:b/>
          <w:bCs/>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color w:val="000000"/>
          <w:szCs w:val="22"/>
        </w:rPr>
        <w:t xml:space="preserve">Sirve </w:t>
      </w:r>
      <w:r w:rsidRPr="00400004">
        <w:rPr>
          <w:rFonts w:ascii="Palatino Linotype" w:eastAsia="Palatino Linotype" w:hAnsi="Palatino Linotype" w:cs="Palatino Linotype"/>
          <w:szCs w:val="22"/>
        </w:rPr>
        <w:t>de sustento a lo anterior la siguiente jurisprudencia por contradicción, cuyo rubro, texto y datos de identificación son los siguientes:</w:t>
      </w:r>
    </w:p>
    <w:p w:rsidR="007F3F4D" w:rsidRPr="00400004" w:rsidRDefault="00F60CC4">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szCs w:val="22"/>
        </w:rPr>
      </w:pPr>
      <w:r w:rsidRPr="00400004">
        <w:rPr>
          <w:rFonts w:ascii="Palatino Linotype" w:eastAsia="Palatino Linotype" w:hAnsi="Palatino Linotype" w:cs="Palatino Linotype"/>
          <w:b/>
          <w:bCs/>
          <w:i/>
          <w:iCs/>
          <w:color w:val="000000"/>
          <w:szCs w:val="22"/>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400004">
        <w:rPr>
          <w:rFonts w:ascii="Palatino Linotype" w:eastAsia="Palatino Linotype" w:hAnsi="Palatino Linotype" w:cs="Palatino Linotype"/>
          <w:i/>
          <w:iCs/>
          <w:color w:val="000000"/>
          <w:szCs w:val="22"/>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w:t>
      </w:r>
      <w:r w:rsidRPr="00400004">
        <w:rPr>
          <w:rFonts w:ascii="Palatino Linotype" w:eastAsia="Palatino Linotype" w:hAnsi="Palatino Linotype" w:cs="Palatino Linotype"/>
          <w:i/>
          <w:iCs/>
          <w:color w:val="000000"/>
          <w:szCs w:val="22"/>
        </w:rPr>
        <w:lastRenderedPageBreak/>
        <w:t>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7F3F4D" w:rsidRPr="00400004" w:rsidRDefault="007F3F4D">
      <w:pPr>
        <w:spacing w:line="360" w:lineRule="auto"/>
        <w:ind w:right="1"/>
        <w:jc w:val="both"/>
        <w:rPr>
          <w:rFonts w:ascii="Palatino Linotype" w:eastAsia="Palatino Linotype" w:hAnsi="Palatino Linotype" w:cs="Palatino Linotype"/>
          <w:b/>
          <w:bCs/>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color w:val="000000"/>
          <w:szCs w:val="22"/>
        </w:rPr>
        <w:t xml:space="preserve">La </w:t>
      </w:r>
      <w:r w:rsidRPr="00400004">
        <w:rPr>
          <w:rFonts w:ascii="Palatino Linotype" w:eastAsia="Palatino Linotype" w:hAnsi="Palatino Linotype" w:cs="Palatino Linotype"/>
          <w:szCs w:val="22"/>
        </w:rPr>
        <w:t>anterior jurisprudencia resulta aplicable al presente asunto, en dos aspectos:</w:t>
      </w:r>
    </w:p>
    <w:p w:rsidR="007F3F4D" w:rsidRPr="00400004" w:rsidRDefault="00F60CC4">
      <w:pPr>
        <w:numPr>
          <w:ilvl w:val="0"/>
          <w:numId w:val="4"/>
        </w:numPr>
        <w:ind w:left="567" w:right="616" w:firstLine="0"/>
        <w:jc w:val="both"/>
        <w:rPr>
          <w:rFonts w:ascii="Palatino Linotype" w:eastAsia="Palatino Linotype" w:hAnsi="Palatino Linotype" w:cs="Palatino Linotype"/>
          <w:szCs w:val="22"/>
        </w:rPr>
      </w:pPr>
      <w:r w:rsidRPr="00400004">
        <w:rPr>
          <w:rFonts w:ascii="Palatino Linotype" w:eastAsia="Palatino Linotype" w:hAnsi="Palatino Linotype" w:cs="Palatino Linotype"/>
          <w:b/>
          <w:bCs/>
          <w:szCs w:val="22"/>
        </w:rPr>
        <w:t>La cesación de los efectos perniciosos del acto de autoridad:</w:t>
      </w:r>
      <w:r w:rsidRPr="00400004">
        <w:rPr>
          <w:rFonts w:ascii="Palatino Linotype" w:eastAsia="Palatino Linotype" w:hAnsi="Palatino Linotype" w:cs="Palatino Linotype"/>
          <w:szCs w:val="22"/>
        </w:rPr>
        <w:t xml:space="preserve"> Al respecto, la Ley de Transparencia contempla la figura jurídica del sobreseimiento cuando el </w:t>
      </w:r>
      <w:r w:rsidRPr="00400004">
        <w:rPr>
          <w:rFonts w:ascii="Palatino Linotype" w:eastAsia="Palatino Linotype" w:hAnsi="Palatino Linotype" w:cs="Palatino Linotype"/>
          <w:b/>
          <w:bCs/>
          <w:szCs w:val="22"/>
        </w:rPr>
        <w:t>SUJETO OBLIGADO</w:t>
      </w:r>
      <w:r w:rsidRPr="00400004">
        <w:rPr>
          <w:rFonts w:ascii="Palatino Linotype" w:eastAsia="Palatino Linotype" w:hAnsi="Palatino Linotype" w:cs="Palatino Linotype"/>
          <w:szCs w:val="22"/>
        </w:rPr>
        <w:t xml:space="preserve"> de </w:t>
      </w:r>
      <w:r w:rsidRPr="00400004">
        <w:rPr>
          <w:rFonts w:ascii="Palatino Linotype" w:eastAsia="Palatino Linotype" w:hAnsi="Palatino Linotype" w:cs="Palatino Linotype"/>
          <w:i/>
          <w:iCs/>
          <w:szCs w:val="22"/>
        </w:rPr>
        <w:t>motu proprio</w:t>
      </w:r>
      <w:r w:rsidRPr="00400004">
        <w:rPr>
          <w:rFonts w:ascii="Palatino Linotype" w:eastAsia="Palatino Linotype" w:hAnsi="Palatino Linotype" w:cs="Palatino Linotype"/>
          <w:szCs w:val="22"/>
        </w:rPr>
        <w:t xml:space="preserve"> modifica o revoca de tal manera el acto motivo de la impugnación que lo deja sin materia; es decir, cesan los efectos de éste y el derecho de acceso a la información pública se encuentra satisfecho.</w:t>
      </w:r>
    </w:p>
    <w:p w:rsidR="007F3F4D" w:rsidRDefault="007F3F4D">
      <w:pPr>
        <w:ind w:left="567" w:right="616"/>
        <w:rPr>
          <w:rFonts w:ascii="Palatino Linotype" w:eastAsia="Palatino Linotype" w:hAnsi="Palatino Linotype" w:cs="Palatino Linotype"/>
          <w:sz w:val="22"/>
          <w:szCs w:val="22"/>
        </w:rPr>
      </w:pPr>
    </w:p>
    <w:p w:rsidR="007F3F4D" w:rsidRDefault="00F60CC4">
      <w:pPr>
        <w:numPr>
          <w:ilvl w:val="0"/>
          <w:numId w:val="4"/>
        </w:numPr>
        <w:ind w:left="567" w:right="616" w:firstLine="0"/>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El momento procesal para modificar el acto impugnado:</w:t>
      </w:r>
      <w:r>
        <w:rPr>
          <w:rFonts w:ascii="Palatino Linotype" w:eastAsia="Palatino Linotype" w:hAnsi="Palatino Linotype" w:cs="Palatino Linotype"/>
          <w:sz w:val="22"/>
          <w:szCs w:val="22"/>
        </w:rPr>
        <w:t xml:space="preserve"> Para que se actualice el sobreseimiento de un recurso de revisión, el </w:t>
      </w:r>
      <w:r>
        <w:rPr>
          <w:rFonts w:ascii="Palatino Linotype" w:eastAsia="Palatino Linotype" w:hAnsi="Palatino Linotype" w:cs="Palatino Linotype"/>
          <w:b/>
          <w:bCs/>
          <w:sz w:val="22"/>
          <w:szCs w:val="22"/>
        </w:rPr>
        <w:t>SUJETO OBLIGADO</w:t>
      </w:r>
      <w:r>
        <w:rPr>
          <w:rFonts w:ascii="Palatino Linotype" w:eastAsia="Palatino Linotype" w:hAnsi="Palatino Linotype" w:cs="Palatino Linotype"/>
          <w:sz w:val="22"/>
          <w:szCs w:val="22"/>
        </w:rPr>
        <w:t xml:space="preserve"> puede entregar o completar la información al momento de rendir su informe de justificación o </w:t>
      </w:r>
      <w:r>
        <w:rPr>
          <w:rFonts w:ascii="Palatino Linotype" w:eastAsia="Palatino Linotype" w:hAnsi="Palatino Linotype" w:cs="Palatino Linotype"/>
          <w:b/>
          <w:bCs/>
          <w:sz w:val="22"/>
          <w:szCs w:val="22"/>
          <w:u w:val="single"/>
        </w:rPr>
        <w:t>posteriormente</w:t>
      </w:r>
      <w:r>
        <w:rPr>
          <w:rFonts w:ascii="Palatino Linotype" w:eastAsia="Palatino Linotype" w:hAnsi="Palatino Linotype" w:cs="Palatino Linotype"/>
          <w:sz w:val="22"/>
          <w:szCs w:val="22"/>
        </w:rPr>
        <w:t xml:space="preserve"> a éste, siempre y cuando el Pleno del Instituto no haya dictado resolución definitiva.</w:t>
      </w:r>
    </w:p>
    <w:p w:rsidR="007F3F4D" w:rsidRDefault="007F3F4D">
      <w:pPr>
        <w:spacing w:line="360" w:lineRule="auto"/>
        <w:ind w:right="1"/>
        <w:jc w:val="both"/>
        <w:rPr>
          <w:rFonts w:ascii="Palatino Linotype" w:eastAsia="Palatino Linotype" w:hAnsi="Palatino Linotype" w:cs="Palatino Linotype"/>
          <w:b/>
          <w:bCs/>
          <w:sz w:val="22"/>
          <w:szCs w:val="22"/>
        </w:rPr>
      </w:pPr>
    </w:p>
    <w:p w:rsidR="007F3F4D" w:rsidRDefault="00F60CC4">
      <w:pPr>
        <w:numPr>
          <w:ilvl w:val="0"/>
          <w:numId w:val="5"/>
        </w:numPr>
        <w:spacing w:line="360" w:lineRule="auto"/>
        <w:ind w:left="0" w:right="1" w:firstLine="0"/>
        <w:jc w:val="both"/>
        <w:rPr>
          <w:rFonts w:ascii="Palatino Linotype" w:eastAsia="Palatino Linotype" w:hAnsi="Palatino Linotype" w:cs="Palatino Linotype"/>
          <w:b/>
          <w:bCs/>
          <w:sz w:val="22"/>
          <w:szCs w:val="22"/>
        </w:rPr>
      </w:pPr>
      <w:r>
        <w:rPr>
          <w:rFonts w:ascii="Palatino Linotype" w:eastAsia="Palatino Linotype" w:hAnsi="Palatino Linotype" w:cs="Palatino Linotype"/>
          <w:color w:val="000000"/>
          <w:sz w:val="22"/>
          <w:szCs w:val="22"/>
        </w:rPr>
        <w:t xml:space="preserve">Eduardo Pallares, </w:t>
      </w:r>
      <w:r>
        <w:rPr>
          <w:rFonts w:ascii="Palatino Linotype" w:eastAsia="Palatino Linotype" w:hAnsi="Palatino Linotype" w:cs="Palatino Linotype"/>
          <w:sz w:val="22"/>
          <w:szCs w:val="22"/>
        </w:rPr>
        <w:t xml:space="preserve">en su artículo </w:t>
      </w:r>
      <w:r>
        <w:rPr>
          <w:rFonts w:ascii="Palatino Linotype" w:eastAsia="Palatino Linotype" w:hAnsi="Palatino Linotype" w:cs="Palatino Linotype"/>
          <w:i/>
          <w:iCs/>
          <w:sz w:val="22"/>
          <w:szCs w:val="22"/>
        </w:rPr>
        <w:t>“La caducidad y el sobreseimiento en el amparo”</w:t>
      </w:r>
      <w:r>
        <w:rPr>
          <w:rFonts w:ascii="Palatino Linotype" w:eastAsia="Palatino Linotype" w:hAnsi="Palatino Linotype" w:cs="Palatino Linotype"/>
          <w:sz w:val="22"/>
          <w:szCs w:val="22"/>
        </w:rPr>
        <w:t xml:space="preserve">, cita la definición de Aguilera Paz, aduciendo que se </w:t>
      </w:r>
      <w:r>
        <w:rPr>
          <w:rFonts w:ascii="Palatino Linotype" w:eastAsia="Palatino Linotype" w:hAnsi="Palatino Linotype" w:cs="Palatino Linotype"/>
          <w:i/>
          <w:iCs/>
          <w:sz w:val="22"/>
          <w:szCs w:val="22"/>
        </w:rPr>
        <w:t>“...entiende por sobreseimiento en el tecnicismo forense, el hecho de cesar en el procedimiento o curso de la causa, por no existir méritos bastantes para entrar en un juicio o para entablar la contienda judicial que debe ser objeto del mismo...”</w:t>
      </w:r>
      <w:r>
        <w:rPr>
          <w:rFonts w:ascii="Palatino Linotype" w:eastAsia="Palatino Linotype" w:hAnsi="Palatino Linotype" w:cs="Palatino Linotype"/>
          <w:sz w:val="22"/>
          <w:szCs w:val="22"/>
        </w:rPr>
        <w:t>. Asimismo, señala que existe el sobreseimiento provisional y el definitivo</w:t>
      </w:r>
      <w:r>
        <w:rPr>
          <w:rFonts w:ascii="Palatino Linotype" w:eastAsia="Palatino Linotype" w:hAnsi="Palatino Linotype" w:cs="Palatino Linotype"/>
          <w:i/>
          <w:iCs/>
          <w:sz w:val="22"/>
          <w:szCs w:val="22"/>
        </w:rPr>
        <w:t>: “...el definitivo es una verdadera sentencia que pone fin al juicio, y que una vez dictada, produce cosa juzgada, mientras que el provisorio tiene por efectos suspender la prosecución de la causa...”</w:t>
      </w:r>
    </w:p>
    <w:p w:rsidR="007F3F4D" w:rsidRDefault="007F3F4D">
      <w:pPr>
        <w:spacing w:line="360" w:lineRule="auto"/>
        <w:ind w:right="1"/>
        <w:jc w:val="both"/>
        <w:rPr>
          <w:rFonts w:ascii="Palatino Linotype" w:eastAsia="Palatino Linotype" w:hAnsi="Palatino Linotype" w:cs="Palatino Linotype"/>
          <w:b/>
          <w:bCs/>
          <w:sz w:val="22"/>
          <w:szCs w:val="22"/>
        </w:rPr>
      </w:pPr>
    </w:p>
    <w:p w:rsidR="007F3F4D" w:rsidRDefault="00F60CC4">
      <w:pPr>
        <w:numPr>
          <w:ilvl w:val="0"/>
          <w:numId w:val="5"/>
        </w:numPr>
        <w:spacing w:line="360" w:lineRule="auto"/>
        <w:ind w:left="0" w:right="1" w:firstLine="0"/>
        <w:jc w:val="both"/>
        <w:rPr>
          <w:rFonts w:ascii="Palatino Linotype" w:eastAsia="Palatino Linotype" w:hAnsi="Palatino Linotype" w:cs="Palatino Linotype"/>
          <w:b/>
          <w:bCs/>
          <w:sz w:val="22"/>
          <w:szCs w:val="22"/>
        </w:rPr>
      </w:pPr>
      <w:r>
        <w:rPr>
          <w:rFonts w:ascii="Palatino Linotype" w:eastAsia="Palatino Linotype" w:hAnsi="Palatino Linotype" w:cs="Palatino Linotype"/>
          <w:color w:val="000000"/>
          <w:sz w:val="22"/>
          <w:szCs w:val="22"/>
        </w:rPr>
        <w:t xml:space="preserve">Así, </w:t>
      </w:r>
      <w:r>
        <w:rPr>
          <w:rFonts w:ascii="Palatino Linotype" w:eastAsia="Palatino Linotype" w:hAnsi="Palatino Linotype" w:cs="Palatino Linotype"/>
          <w:sz w:val="22"/>
          <w:szCs w:val="22"/>
        </w:rPr>
        <w:t xml:space="preserve">para la doctrina el sobreseimiento provoca que un procedimiento se suspenda o se resuelva en definitiva </w:t>
      </w:r>
      <w:r>
        <w:rPr>
          <w:rFonts w:ascii="Palatino Linotype" w:eastAsia="Palatino Linotype" w:hAnsi="Palatino Linotype" w:cs="Palatino Linotype"/>
          <w:b/>
          <w:bCs/>
          <w:sz w:val="22"/>
          <w:szCs w:val="22"/>
          <w:u w:val="single"/>
        </w:rPr>
        <w:t xml:space="preserve">sin que se entre al estudio de los agravios o motivos de inconformidad. </w:t>
      </w:r>
      <w:r>
        <w:rPr>
          <w:rFonts w:ascii="Palatino Linotype" w:eastAsia="Palatino Linotype" w:hAnsi="Palatino Linotype" w:cs="Palatino Linotype"/>
          <w:sz w:val="22"/>
          <w:szCs w:val="22"/>
        </w:rPr>
        <w:t>Este mismo criterio es compartido por el más alto tribunal del país en múltiples jurisprudencias, por lo que a continuación se agrega una de ellas que sirve como orientador en esta resolución:</w:t>
      </w:r>
    </w:p>
    <w:p w:rsidR="007F3F4D" w:rsidRPr="00400004" w:rsidRDefault="00F60CC4">
      <w:pPr>
        <w:ind w:left="567" w:right="565"/>
        <w:jc w:val="both"/>
        <w:rPr>
          <w:rFonts w:ascii="Palatino Linotype" w:eastAsia="Palatino Linotype" w:hAnsi="Palatino Linotype" w:cs="Palatino Linotype"/>
          <w:i/>
          <w:iCs/>
          <w:szCs w:val="22"/>
        </w:rPr>
      </w:pPr>
      <w:r w:rsidRPr="00400004">
        <w:rPr>
          <w:rFonts w:ascii="Palatino Linotype" w:eastAsia="Palatino Linotype" w:hAnsi="Palatino Linotype" w:cs="Palatino Linotype"/>
          <w:b/>
          <w:bCs/>
          <w:i/>
          <w:iCs/>
          <w:szCs w:val="22"/>
        </w:rPr>
        <w:lastRenderedPageBreak/>
        <w:t>SOBRESEIMIENTO EN EL JUICIO DE AMPARO DIRECTO. IMPIDE EL ESTUDIO DE LAS VIOLACIONES PROCESALES PLANTEADAS EN LOS CONCEPTOS DE VIOLACIÓN. El sobreseimiento</w:t>
      </w:r>
      <w:r w:rsidRPr="00400004">
        <w:rPr>
          <w:rFonts w:ascii="Palatino Linotype" w:eastAsia="Palatino Linotype" w:hAnsi="Palatino Linotype" w:cs="Palatino Linotype"/>
          <w:i/>
          <w:iCs/>
          <w:szCs w:val="22"/>
        </w:rPr>
        <w:t xml:space="preserve"> en el juicio de amparo directo </w:t>
      </w:r>
      <w:r w:rsidRPr="00400004">
        <w:rPr>
          <w:rFonts w:ascii="Palatino Linotype" w:eastAsia="Palatino Linotype" w:hAnsi="Palatino Linotype" w:cs="Palatino Linotype"/>
          <w:b/>
          <w:bCs/>
          <w:i/>
          <w:iCs/>
          <w:szCs w:val="22"/>
        </w:rPr>
        <w:t>provoca la terminación de la controversia planteada</w:t>
      </w:r>
      <w:r w:rsidRPr="00400004">
        <w:rPr>
          <w:rFonts w:ascii="Palatino Linotype" w:eastAsia="Palatino Linotype" w:hAnsi="Palatino Linotype" w:cs="Palatino Linotype"/>
          <w:i/>
          <w:iCs/>
          <w:szCs w:val="22"/>
        </w:rPr>
        <w:t xml:space="preserve"> por el quejoso en la demanda de amparo</w:t>
      </w:r>
      <w:r w:rsidRPr="00400004">
        <w:rPr>
          <w:rFonts w:ascii="Palatino Linotype" w:eastAsia="Palatino Linotype" w:hAnsi="Palatino Linotype" w:cs="Palatino Linotype"/>
          <w:b/>
          <w:bCs/>
          <w:i/>
          <w:iCs/>
          <w:szCs w:val="22"/>
        </w:rPr>
        <w:t>, sin hacer un pronunciamiento de fondo sobre la legalidad o ilegalidad de la sentencia reclamada</w:t>
      </w:r>
      <w:r w:rsidRPr="00400004">
        <w:rPr>
          <w:rFonts w:ascii="Palatino Linotype" w:eastAsia="Palatino Linotype" w:hAnsi="Palatino Linotype" w:cs="Palatino Linotype"/>
          <w:i/>
          <w:iCs/>
          <w:szCs w:val="22"/>
        </w:rPr>
        <w:t xml:space="preserve">. </w:t>
      </w:r>
      <w:r w:rsidRPr="00400004">
        <w:rPr>
          <w:rFonts w:ascii="Palatino Linotype" w:eastAsia="Palatino Linotype" w:hAnsi="Palatino Linotype" w:cs="Palatino Linotype"/>
          <w:b/>
          <w:bCs/>
          <w:i/>
          <w:iCs/>
          <w:szCs w:val="22"/>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400004">
        <w:rPr>
          <w:rFonts w:ascii="Palatino Linotype" w:eastAsia="Palatino Linotype" w:hAnsi="Palatino Linotype" w:cs="Palatino Linotype"/>
          <w:i/>
          <w:iCs/>
          <w:szCs w:val="22"/>
        </w:rPr>
        <w:t>.</w:t>
      </w:r>
    </w:p>
    <w:p w:rsidR="007F3F4D" w:rsidRDefault="007F3F4D">
      <w:pPr>
        <w:spacing w:line="360" w:lineRule="auto"/>
        <w:ind w:right="1"/>
        <w:jc w:val="both"/>
        <w:rPr>
          <w:rFonts w:ascii="Palatino Linotype" w:eastAsia="Palatino Linotype" w:hAnsi="Palatino Linotype" w:cs="Palatino Linotype"/>
          <w:b/>
          <w:bCs/>
          <w:sz w:val="22"/>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color w:val="000000"/>
          <w:szCs w:val="22"/>
        </w:rPr>
        <w:t xml:space="preserve">Consecuentemente, </w:t>
      </w:r>
      <w:r w:rsidRPr="00400004">
        <w:rPr>
          <w:rFonts w:ascii="Palatino Linotype" w:eastAsia="Palatino Linotype" w:hAnsi="Palatino Linotype" w:cs="Palatino Linotype"/>
          <w:szCs w:val="22"/>
        </w:rPr>
        <w:t>por lo que hace a los motivos de inconformidad, los mismos devienen inatendibles por actualizarse la figura del sobreseimiento, misma que impide el estudio de los agravios planteados, máxime que se ha dado cumplimiento al derecho de acceso a la información.</w:t>
      </w:r>
    </w:p>
    <w:p w:rsidR="007F3F4D" w:rsidRPr="00400004" w:rsidRDefault="007F3F4D">
      <w:pPr>
        <w:spacing w:line="360" w:lineRule="auto"/>
        <w:ind w:right="1"/>
        <w:jc w:val="both"/>
        <w:rPr>
          <w:rFonts w:ascii="Palatino Linotype" w:eastAsia="Palatino Linotype" w:hAnsi="Palatino Linotype" w:cs="Palatino Linotype"/>
          <w:b/>
          <w:bCs/>
          <w:szCs w:val="22"/>
        </w:rPr>
      </w:pPr>
    </w:p>
    <w:p w:rsidR="007F3F4D" w:rsidRPr="00400004" w:rsidRDefault="00F60CC4">
      <w:pPr>
        <w:numPr>
          <w:ilvl w:val="0"/>
          <w:numId w:val="5"/>
        </w:numPr>
        <w:spacing w:line="360" w:lineRule="auto"/>
        <w:ind w:left="0" w:right="1" w:firstLine="0"/>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color w:val="000000"/>
          <w:szCs w:val="22"/>
        </w:rPr>
        <w:t xml:space="preserve">Bajo </w:t>
      </w:r>
      <w:r w:rsidRPr="00400004">
        <w:rPr>
          <w:rFonts w:ascii="Palatino Linotype" w:eastAsia="Palatino Linotype" w:hAnsi="Palatino Linotype" w:cs="Palatino Linotype"/>
          <w:szCs w:val="22"/>
        </w:rPr>
        <w:t xml:space="preserve">ese tenor y en términos del artículo 186 fracción I este Pleno determina el </w:t>
      </w:r>
      <w:r w:rsidRPr="00400004">
        <w:rPr>
          <w:rFonts w:ascii="Palatino Linotype" w:eastAsia="Palatino Linotype" w:hAnsi="Palatino Linotype" w:cs="Palatino Linotype"/>
          <w:b/>
          <w:bCs/>
          <w:szCs w:val="22"/>
        </w:rPr>
        <w:t xml:space="preserve">SOBRESEIMIENTO </w:t>
      </w:r>
      <w:r w:rsidRPr="00400004">
        <w:rPr>
          <w:rFonts w:ascii="Palatino Linotype" w:eastAsia="Palatino Linotype" w:hAnsi="Palatino Linotype" w:cs="Palatino Linotype"/>
          <w:szCs w:val="22"/>
        </w:rPr>
        <w:t>del presente recurso de revisión, toda vez que la afectación al derecho de acceso a la información pública establecido constitucionalmente a favor del Particular ha sido resarcida.</w:t>
      </w:r>
    </w:p>
    <w:p w:rsidR="007F3F4D" w:rsidRPr="00400004" w:rsidRDefault="007F3F4D">
      <w:pPr>
        <w:spacing w:line="360" w:lineRule="auto"/>
        <w:ind w:right="1"/>
        <w:jc w:val="both"/>
        <w:rPr>
          <w:rFonts w:ascii="Palatino Linotype" w:eastAsia="Palatino Linotype" w:hAnsi="Palatino Linotype" w:cs="Palatino Linotype"/>
          <w:b/>
          <w:bCs/>
          <w:szCs w:val="22"/>
        </w:rPr>
      </w:pPr>
    </w:p>
    <w:p w:rsidR="007F3F4D" w:rsidRPr="00400004" w:rsidRDefault="00F60CC4">
      <w:pPr>
        <w:numPr>
          <w:ilvl w:val="0"/>
          <w:numId w:val="5"/>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szCs w:val="22"/>
        </w:rPr>
      </w:pPr>
      <w:r w:rsidRPr="00400004">
        <w:rPr>
          <w:rFonts w:ascii="Palatino Linotype" w:eastAsia="Palatino Linotype" w:hAnsi="Palatino Linotype" w:cs="Palatino Linotype"/>
          <w:color w:val="222222"/>
          <w:szCs w:val="22"/>
        </w:rPr>
        <w:t xml:space="preserve">Por lo anteriormente expuesto y fundado, este </w:t>
      </w:r>
      <w:r w:rsidRPr="00400004">
        <w:rPr>
          <w:rFonts w:ascii="Palatino Linotype" w:eastAsia="Palatino Linotype" w:hAnsi="Palatino Linotype" w:cs="Palatino Linotype"/>
          <w:b/>
          <w:bCs/>
          <w:color w:val="222222"/>
          <w:szCs w:val="22"/>
        </w:rPr>
        <w:t>ÓRGANO GARANTE</w:t>
      </w:r>
      <w:r w:rsidRPr="00400004">
        <w:rPr>
          <w:rFonts w:ascii="Palatino Linotype" w:eastAsia="Palatino Linotype" w:hAnsi="Palatino Linotype" w:cs="Palatino Linotype"/>
          <w:color w:val="222222"/>
          <w:szCs w:val="22"/>
        </w:rPr>
        <w:t xml:space="preserve"> emite los siguientes:</w:t>
      </w:r>
    </w:p>
    <w:p w:rsidR="00400004" w:rsidRDefault="00400004">
      <w:pPr>
        <w:keepNext/>
        <w:keepLines/>
        <w:spacing w:line="360" w:lineRule="auto"/>
        <w:ind w:right="-592"/>
        <w:jc w:val="center"/>
        <w:rPr>
          <w:rFonts w:ascii="Palatino Linotype" w:eastAsia="Palatino Linotype" w:hAnsi="Palatino Linotype" w:cs="Palatino Linotype"/>
          <w:b/>
          <w:bCs/>
          <w:color w:val="000000"/>
          <w:sz w:val="22"/>
          <w:szCs w:val="22"/>
        </w:rPr>
      </w:pPr>
      <w:bookmarkStart w:id="10" w:name="_heading=h.8tgq9am2xy6v" w:colFirst="0" w:colLast="0"/>
      <w:bookmarkEnd w:id="10"/>
    </w:p>
    <w:p w:rsidR="007F3F4D" w:rsidRPr="00400004" w:rsidRDefault="00F60CC4">
      <w:pPr>
        <w:keepNext/>
        <w:keepLines/>
        <w:spacing w:line="360" w:lineRule="auto"/>
        <w:ind w:right="-592"/>
        <w:jc w:val="center"/>
        <w:rPr>
          <w:rFonts w:ascii="Palatino Linotype" w:eastAsia="Palatino Linotype" w:hAnsi="Palatino Linotype" w:cs="Palatino Linotype"/>
          <w:b/>
          <w:bCs/>
          <w:color w:val="000000"/>
          <w:szCs w:val="22"/>
        </w:rPr>
      </w:pPr>
      <w:r w:rsidRPr="00400004">
        <w:rPr>
          <w:rFonts w:ascii="Palatino Linotype" w:eastAsia="Palatino Linotype" w:hAnsi="Palatino Linotype" w:cs="Palatino Linotype"/>
          <w:b/>
          <w:bCs/>
          <w:color w:val="000000"/>
          <w:szCs w:val="22"/>
        </w:rPr>
        <w:t>R E S O L U T I V O S</w:t>
      </w:r>
    </w:p>
    <w:p w:rsidR="007F3F4D" w:rsidRPr="00400004" w:rsidRDefault="007F3F4D">
      <w:pPr>
        <w:keepNext/>
        <w:keepLines/>
        <w:spacing w:line="360" w:lineRule="auto"/>
        <w:ind w:right="-592"/>
        <w:jc w:val="center"/>
        <w:rPr>
          <w:rFonts w:ascii="Palatino Linotype" w:eastAsia="Palatino Linotype" w:hAnsi="Palatino Linotype" w:cs="Palatino Linotype"/>
          <w:b/>
          <w:bCs/>
          <w:color w:val="000000"/>
          <w:szCs w:val="22"/>
        </w:rPr>
      </w:pPr>
    </w:p>
    <w:p w:rsidR="007F3F4D" w:rsidRPr="00400004" w:rsidRDefault="00F60CC4">
      <w:pPr>
        <w:spacing w:line="360" w:lineRule="auto"/>
        <w:jc w:val="both"/>
        <w:rPr>
          <w:rFonts w:ascii="Palatino Linotype" w:eastAsia="Palatino Linotype" w:hAnsi="Palatino Linotype" w:cs="Palatino Linotype"/>
          <w:b/>
          <w:bCs/>
          <w:szCs w:val="22"/>
        </w:rPr>
      </w:pPr>
      <w:bookmarkStart w:id="11" w:name="_heading=h.ngqdgie20fjl" w:colFirst="0" w:colLast="0"/>
      <w:bookmarkEnd w:id="11"/>
      <w:r w:rsidRPr="00400004">
        <w:rPr>
          <w:rFonts w:ascii="Palatino Linotype" w:eastAsia="Palatino Linotype" w:hAnsi="Palatino Linotype" w:cs="Palatino Linotype"/>
          <w:b/>
          <w:bCs/>
          <w:szCs w:val="22"/>
          <w:highlight w:val="white"/>
        </w:rPr>
        <w:t xml:space="preserve">PRIMERO. </w:t>
      </w:r>
      <w:r w:rsidRPr="00400004">
        <w:rPr>
          <w:rFonts w:ascii="Palatino Linotype" w:eastAsia="Palatino Linotype" w:hAnsi="Palatino Linotype" w:cs="Palatino Linotype"/>
          <w:szCs w:val="22"/>
          <w:highlight w:val="white"/>
        </w:rPr>
        <w:t>S</w:t>
      </w:r>
      <w:r w:rsidRPr="00400004">
        <w:rPr>
          <w:rFonts w:ascii="Palatino Linotype" w:eastAsia="Palatino Linotype" w:hAnsi="Palatino Linotype" w:cs="Palatino Linotype"/>
          <w:szCs w:val="22"/>
        </w:rPr>
        <w:t xml:space="preserve">e </w:t>
      </w:r>
      <w:r w:rsidRPr="00400004">
        <w:rPr>
          <w:rFonts w:ascii="Palatino Linotype" w:eastAsia="Palatino Linotype" w:hAnsi="Palatino Linotype" w:cs="Palatino Linotype"/>
          <w:b/>
          <w:bCs/>
          <w:szCs w:val="22"/>
        </w:rPr>
        <w:t>SOBRESEE</w:t>
      </w:r>
      <w:r w:rsidRPr="00400004">
        <w:rPr>
          <w:rFonts w:ascii="Palatino Linotype" w:eastAsia="Palatino Linotype" w:hAnsi="Palatino Linotype" w:cs="Palatino Linotype"/>
          <w:szCs w:val="22"/>
        </w:rPr>
        <w:t xml:space="preserve"> el recurso de revisión número </w:t>
      </w:r>
      <w:r w:rsidRPr="00400004">
        <w:rPr>
          <w:rFonts w:ascii="Palatino Linotype" w:eastAsia="Palatino Linotype" w:hAnsi="Palatino Linotype" w:cs="Palatino Linotype"/>
          <w:b/>
          <w:bCs/>
          <w:szCs w:val="22"/>
        </w:rPr>
        <w:t xml:space="preserve">11188/INFOEM/IP/RR/2025 </w:t>
      </w:r>
      <w:r w:rsidRPr="00400004">
        <w:rPr>
          <w:rFonts w:ascii="Palatino Linotype" w:eastAsia="Palatino Linotype" w:hAnsi="Palatino Linotype" w:cs="Palatino Linotype"/>
          <w:szCs w:val="22"/>
        </w:rPr>
        <w:t>conforme al artículo 192 fracción III</w:t>
      </w:r>
      <w:r w:rsidR="008C0395" w:rsidRPr="00400004">
        <w:rPr>
          <w:rFonts w:ascii="Palatino Linotype" w:eastAsia="Palatino Linotype" w:hAnsi="Palatino Linotype" w:cs="Palatino Linotype"/>
          <w:szCs w:val="22"/>
        </w:rPr>
        <w:t>,</w:t>
      </w:r>
      <w:r w:rsidRPr="00400004">
        <w:rPr>
          <w:rFonts w:ascii="Palatino Linotype" w:eastAsia="Palatino Linotype" w:hAnsi="Palatino Linotype" w:cs="Palatino Linotype"/>
          <w:szCs w:val="22"/>
        </w:rPr>
        <w:t xml:space="preserve"> de la Ley de Transparencia y Acceso a la Información </w:t>
      </w:r>
      <w:r w:rsidRPr="00400004">
        <w:rPr>
          <w:rFonts w:ascii="Palatino Linotype" w:eastAsia="Palatino Linotype" w:hAnsi="Palatino Linotype" w:cs="Palatino Linotype"/>
          <w:szCs w:val="22"/>
        </w:rPr>
        <w:lastRenderedPageBreak/>
        <w:t xml:space="preserve">Pública del Estado de México y Municipios, porque al </w:t>
      </w:r>
      <w:r w:rsidRPr="00400004">
        <w:rPr>
          <w:rFonts w:ascii="Palatino Linotype" w:eastAsia="Palatino Linotype" w:hAnsi="Palatino Linotype" w:cs="Palatino Linotype"/>
          <w:b/>
          <w:bCs/>
          <w:szCs w:val="22"/>
        </w:rPr>
        <w:t>modificar la respuesta a través del informe justificado y atender lo solicitado</w:t>
      </w:r>
      <w:r w:rsidRPr="00400004">
        <w:rPr>
          <w:rFonts w:ascii="Palatino Linotype" w:eastAsia="Palatino Linotype" w:hAnsi="Palatino Linotype" w:cs="Palatino Linotype"/>
          <w:szCs w:val="22"/>
        </w:rPr>
        <w:t xml:space="preserve">, el recurso de revisión quedó sin materia en términos del Considerando </w:t>
      </w:r>
      <w:r w:rsidRPr="00400004">
        <w:rPr>
          <w:rFonts w:ascii="Palatino Linotype" w:eastAsia="Palatino Linotype" w:hAnsi="Palatino Linotype" w:cs="Palatino Linotype"/>
          <w:b/>
          <w:bCs/>
          <w:szCs w:val="22"/>
        </w:rPr>
        <w:t>TERCERO</w:t>
      </w:r>
      <w:r w:rsidRPr="00400004">
        <w:rPr>
          <w:rFonts w:ascii="Palatino Linotype" w:eastAsia="Palatino Linotype" w:hAnsi="Palatino Linotype" w:cs="Palatino Linotype"/>
          <w:szCs w:val="22"/>
        </w:rPr>
        <w:t xml:space="preserve"> de la presente resolución.</w:t>
      </w:r>
    </w:p>
    <w:p w:rsidR="007F3F4D" w:rsidRPr="00400004" w:rsidRDefault="007F3F4D">
      <w:pPr>
        <w:jc w:val="both"/>
        <w:rPr>
          <w:rFonts w:ascii="Palatino Linotype" w:eastAsia="Palatino Linotype" w:hAnsi="Palatino Linotype" w:cs="Palatino Linotype"/>
          <w:b/>
          <w:bCs/>
          <w:szCs w:val="22"/>
        </w:rPr>
      </w:pPr>
    </w:p>
    <w:p w:rsidR="007F3F4D" w:rsidRPr="00400004" w:rsidRDefault="008C0395">
      <w:pPr>
        <w:pBdr>
          <w:top w:val="nil"/>
          <w:left w:val="nil"/>
          <w:bottom w:val="nil"/>
          <w:right w:val="nil"/>
          <w:between w:val="nil"/>
        </w:pBdr>
        <w:spacing w:line="360" w:lineRule="auto"/>
        <w:jc w:val="both"/>
        <w:rPr>
          <w:rFonts w:ascii="Palatino Linotype" w:eastAsia="Palatino Linotype" w:hAnsi="Palatino Linotype" w:cs="Palatino Linotype"/>
          <w:b/>
          <w:bCs/>
          <w:color w:val="000000"/>
          <w:szCs w:val="22"/>
        </w:rPr>
      </w:pPr>
      <w:r w:rsidRPr="00400004">
        <w:rPr>
          <w:rFonts w:ascii="Palatino Linotype" w:eastAsia="Palatino Linotype" w:hAnsi="Palatino Linotype" w:cs="Palatino Linotype"/>
          <w:b/>
          <w:bCs/>
          <w:color w:val="000000"/>
          <w:szCs w:val="22"/>
        </w:rPr>
        <w:t>SEGUNDO. Notifíquese</w:t>
      </w:r>
      <w:r w:rsidR="00F60CC4" w:rsidRPr="00400004">
        <w:rPr>
          <w:rFonts w:ascii="Palatino Linotype" w:eastAsia="Palatino Linotype" w:hAnsi="Palatino Linotype" w:cs="Palatino Linotype"/>
          <w:b/>
          <w:bCs/>
          <w:color w:val="000000"/>
          <w:szCs w:val="22"/>
        </w:rPr>
        <w:t xml:space="preserve"> </w:t>
      </w:r>
      <w:r w:rsidR="00F60CC4" w:rsidRPr="00400004">
        <w:rPr>
          <w:rFonts w:ascii="Palatino Linotype" w:eastAsia="Palatino Linotype" w:hAnsi="Palatino Linotype" w:cs="Palatino Linotype"/>
          <w:color w:val="000000"/>
          <w:szCs w:val="22"/>
        </w:rPr>
        <w:t xml:space="preserve">a través del Sistema de Acceso a la Información Mexiquense </w:t>
      </w:r>
      <w:r w:rsidR="00F60CC4" w:rsidRPr="00400004">
        <w:rPr>
          <w:rFonts w:ascii="Palatino Linotype" w:eastAsia="Palatino Linotype" w:hAnsi="Palatino Linotype" w:cs="Palatino Linotype"/>
          <w:b/>
          <w:bCs/>
          <w:color w:val="000000"/>
          <w:szCs w:val="22"/>
        </w:rPr>
        <w:t xml:space="preserve">(SAIMEX) </w:t>
      </w:r>
      <w:r w:rsidR="00F60CC4" w:rsidRPr="00400004">
        <w:rPr>
          <w:rFonts w:ascii="Palatino Linotype" w:eastAsia="Palatino Linotype" w:hAnsi="Palatino Linotype" w:cs="Palatino Linotype"/>
          <w:color w:val="000000"/>
          <w:szCs w:val="22"/>
        </w:rPr>
        <w:t>la presente resolución al Titular de la Unidad de Transparencia del</w:t>
      </w:r>
      <w:r w:rsidR="00F60CC4" w:rsidRPr="00400004">
        <w:rPr>
          <w:rFonts w:ascii="Palatino Linotype" w:eastAsia="Palatino Linotype" w:hAnsi="Palatino Linotype" w:cs="Palatino Linotype"/>
          <w:b/>
          <w:bCs/>
          <w:color w:val="000000"/>
          <w:szCs w:val="22"/>
        </w:rPr>
        <w:t xml:space="preserve"> SUJETO OBLIGADO.</w:t>
      </w:r>
    </w:p>
    <w:p w:rsidR="007F3F4D" w:rsidRPr="00400004" w:rsidRDefault="007F3F4D">
      <w:pPr>
        <w:pBdr>
          <w:top w:val="nil"/>
          <w:left w:val="nil"/>
          <w:bottom w:val="nil"/>
          <w:right w:val="nil"/>
          <w:between w:val="nil"/>
        </w:pBdr>
        <w:jc w:val="both"/>
        <w:rPr>
          <w:rFonts w:ascii="Palatino Linotype" w:eastAsia="Palatino Linotype" w:hAnsi="Palatino Linotype" w:cs="Palatino Linotype"/>
          <w:color w:val="000000"/>
          <w:szCs w:val="22"/>
        </w:rPr>
      </w:pPr>
    </w:p>
    <w:p w:rsidR="007F3F4D" w:rsidRPr="00400004" w:rsidRDefault="00F60CC4">
      <w:pPr>
        <w:tabs>
          <w:tab w:val="left" w:pos="8080"/>
        </w:tabs>
        <w:spacing w:line="360" w:lineRule="auto"/>
        <w:ind w:right="49"/>
        <w:jc w:val="both"/>
        <w:rPr>
          <w:rFonts w:ascii="Palatino Linotype" w:eastAsia="Palatino Linotype" w:hAnsi="Palatino Linotype" w:cs="Palatino Linotype"/>
          <w:b/>
          <w:bCs/>
          <w:szCs w:val="22"/>
        </w:rPr>
      </w:pPr>
      <w:r w:rsidRPr="00400004">
        <w:rPr>
          <w:rFonts w:ascii="Palatino Linotype" w:eastAsia="Palatino Linotype" w:hAnsi="Palatino Linotype" w:cs="Palatino Linotype"/>
          <w:b/>
          <w:bCs/>
          <w:szCs w:val="22"/>
        </w:rPr>
        <w:t xml:space="preserve">TERCERO. Notifíquese </w:t>
      </w:r>
      <w:r w:rsidRPr="00400004">
        <w:rPr>
          <w:rFonts w:ascii="Palatino Linotype" w:eastAsia="Palatino Linotype" w:hAnsi="Palatino Linotype" w:cs="Palatino Linotype"/>
          <w:szCs w:val="22"/>
        </w:rPr>
        <w:t>a</w:t>
      </w:r>
      <w:r w:rsidRPr="00400004">
        <w:rPr>
          <w:rFonts w:ascii="Palatino Linotype" w:eastAsia="Palatino Linotype" w:hAnsi="Palatino Linotype" w:cs="Palatino Linotype"/>
          <w:b/>
          <w:bCs/>
          <w:szCs w:val="22"/>
        </w:rPr>
        <w:t xml:space="preserve"> </w:t>
      </w:r>
      <w:r w:rsidRPr="00400004">
        <w:rPr>
          <w:rFonts w:ascii="Palatino Linotype" w:eastAsia="Palatino Linotype" w:hAnsi="Palatino Linotype" w:cs="Palatino Linotype"/>
          <w:szCs w:val="22"/>
        </w:rPr>
        <w:t xml:space="preserve">la parte </w:t>
      </w:r>
      <w:r w:rsidRPr="00400004">
        <w:rPr>
          <w:rFonts w:ascii="Palatino Linotype" w:eastAsia="Palatino Linotype" w:hAnsi="Palatino Linotype" w:cs="Palatino Linotype"/>
          <w:b/>
          <w:bCs/>
          <w:szCs w:val="22"/>
        </w:rPr>
        <w:t>RECURRENTE</w:t>
      </w:r>
      <w:r w:rsidRPr="00400004">
        <w:rPr>
          <w:rFonts w:ascii="Palatino Linotype" w:eastAsia="Palatino Linotype" w:hAnsi="Palatino Linotype" w:cs="Palatino Linotype"/>
          <w:szCs w:val="22"/>
        </w:rPr>
        <w:t xml:space="preserve"> la presente resolución a través del Sistema de Acceso a la Información Mexiquense </w:t>
      </w:r>
      <w:r w:rsidRPr="00400004">
        <w:rPr>
          <w:rFonts w:ascii="Palatino Linotype" w:eastAsia="Palatino Linotype" w:hAnsi="Palatino Linotype" w:cs="Palatino Linotype"/>
          <w:b/>
          <w:bCs/>
          <w:szCs w:val="22"/>
        </w:rPr>
        <w:t>(SAIMEX).</w:t>
      </w:r>
    </w:p>
    <w:p w:rsidR="007F3F4D" w:rsidRPr="00400004" w:rsidRDefault="007F3F4D">
      <w:pPr>
        <w:tabs>
          <w:tab w:val="left" w:pos="8080"/>
        </w:tabs>
        <w:ind w:right="49"/>
        <w:jc w:val="both"/>
        <w:rPr>
          <w:rFonts w:ascii="Palatino Linotype" w:eastAsia="Palatino Linotype" w:hAnsi="Palatino Linotype" w:cs="Palatino Linotype"/>
          <w:b/>
          <w:bCs/>
          <w:szCs w:val="22"/>
        </w:rPr>
      </w:pPr>
    </w:p>
    <w:p w:rsidR="007F3F4D" w:rsidRPr="00400004" w:rsidRDefault="00F60CC4">
      <w:pPr>
        <w:spacing w:before="240" w:after="240" w:line="360" w:lineRule="auto"/>
        <w:ind w:right="1"/>
        <w:jc w:val="both"/>
        <w:rPr>
          <w:rFonts w:ascii="Palatino Linotype" w:eastAsia="Palatino Linotype" w:hAnsi="Palatino Linotype" w:cs="Palatino Linotype"/>
          <w:szCs w:val="22"/>
        </w:rPr>
      </w:pPr>
      <w:r w:rsidRPr="00400004">
        <w:rPr>
          <w:rFonts w:ascii="Palatino Linotype" w:eastAsia="Palatino Linotype" w:hAnsi="Palatino Linotype" w:cs="Palatino Linotype"/>
          <w:b/>
          <w:bCs/>
          <w:szCs w:val="22"/>
        </w:rPr>
        <w:t xml:space="preserve">CUARTO. </w:t>
      </w:r>
      <w:r w:rsidRPr="00400004">
        <w:rPr>
          <w:rFonts w:ascii="Palatino Linotype" w:eastAsia="Palatino Linotype" w:hAnsi="Palatino Linotype" w:cs="Palatino Linotype"/>
          <w:szCs w:val="22"/>
        </w:rPr>
        <w:t xml:space="preserve">Se hace del conocimiento de la parte </w:t>
      </w:r>
      <w:r w:rsidRPr="00400004">
        <w:rPr>
          <w:rFonts w:ascii="Palatino Linotype" w:eastAsia="Palatino Linotype" w:hAnsi="Palatino Linotype" w:cs="Palatino Linotype"/>
          <w:b/>
          <w:bCs/>
          <w:szCs w:val="22"/>
        </w:rPr>
        <w:t>RECURRENTE</w:t>
      </w:r>
      <w:r w:rsidRPr="00400004">
        <w:rPr>
          <w:rFonts w:ascii="Palatino Linotype" w:eastAsia="Palatino Linotype" w:hAnsi="Palatino Linotype" w:cs="Palatino Linotype"/>
          <w:szCs w:val="22"/>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8C0395" w:rsidRPr="00400004" w:rsidRDefault="008C0395">
      <w:pPr>
        <w:spacing w:before="240" w:after="240" w:line="360" w:lineRule="auto"/>
        <w:ind w:right="1"/>
        <w:jc w:val="both"/>
        <w:rPr>
          <w:rFonts w:ascii="Palatino Linotype" w:eastAsia="Palatino Linotype" w:hAnsi="Palatino Linotype" w:cs="Palatino Linotype"/>
          <w:b/>
          <w:bCs/>
          <w:color w:val="000000"/>
          <w:szCs w:val="22"/>
        </w:rPr>
      </w:pPr>
    </w:p>
    <w:p w:rsidR="008C0395" w:rsidRPr="00400004" w:rsidRDefault="008C0395" w:rsidP="008C0395">
      <w:pPr>
        <w:spacing w:before="240" w:after="240" w:line="360" w:lineRule="auto"/>
        <w:ind w:firstLine="1"/>
        <w:jc w:val="both"/>
        <w:rPr>
          <w:rFonts w:ascii="Palatino Linotype" w:hAnsi="Palatino Linotype"/>
        </w:rPr>
      </w:pPr>
      <w:bookmarkStart w:id="12" w:name="_heading=h.k06rde75t38" w:colFirst="0" w:colLast="0"/>
      <w:bookmarkStart w:id="13" w:name="_Hlk99014733"/>
      <w:bookmarkEnd w:id="12"/>
      <w:r w:rsidRPr="00400004">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400004">
        <w:rPr>
          <w:rFonts w:ascii="Palatino Linotype" w:hAnsi="Palatino Linotype" w:cs="Palatino Linotype"/>
          <w:color w:val="000000" w:themeColor="text1"/>
        </w:rPr>
        <w:t>ALEXIS TAPIA RAMÍREZ.</w:t>
      </w:r>
    </w:p>
    <w:bookmarkEnd w:id="13"/>
    <w:p w:rsidR="007F3F4D" w:rsidRPr="008C0395" w:rsidRDefault="007F3F4D">
      <w:pPr>
        <w:spacing w:line="360" w:lineRule="auto"/>
        <w:ind w:right="-592"/>
        <w:jc w:val="both"/>
        <w:rPr>
          <w:rFonts w:ascii="Palatino Linotype" w:eastAsia="Palatino Linotype" w:hAnsi="Palatino Linotype" w:cs="Palatino Linotype"/>
          <w:sz w:val="20"/>
          <w:szCs w:val="22"/>
        </w:rPr>
      </w:pPr>
    </w:p>
    <w:p w:rsidR="007F3F4D" w:rsidRPr="008C0395" w:rsidRDefault="007F3F4D">
      <w:pPr>
        <w:spacing w:line="360" w:lineRule="auto"/>
        <w:ind w:right="-592"/>
        <w:jc w:val="both"/>
        <w:rPr>
          <w:rFonts w:ascii="Palatino Linotype" w:eastAsia="Palatino Linotype" w:hAnsi="Palatino Linotype" w:cs="Palatino Linotype"/>
          <w:sz w:val="20"/>
          <w:szCs w:val="22"/>
        </w:rPr>
      </w:pPr>
    </w:p>
    <w:p w:rsidR="007F3F4D" w:rsidRPr="008C0395" w:rsidRDefault="007F3F4D">
      <w:pPr>
        <w:spacing w:line="360" w:lineRule="auto"/>
        <w:ind w:right="-592"/>
        <w:jc w:val="both"/>
        <w:rPr>
          <w:rFonts w:ascii="Palatino Linotype" w:eastAsia="Palatino Linotype" w:hAnsi="Palatino Linotype" w:cs="Palatino Linotype"/>
          <w:sz w:val="20"/>
          <w:szCs w:val="22"/>
        </w:rPr>
      </w:pPr>
    </w:p>
    <w:p w:rsidR="007F3F4D" w:rsidRPr="008C0395" w:rsidRDefault="007F3F4D">
      <w:pPr>
        <w:spacing w:line="360" w:lineRule="auto"/>
        <w:ind w:right="-592"/>
        <w:jc w:val="both"/>
        <w:rPr>
          <w:rFonts w:ascii="Palatino Linotype" w:eastAsia="Palatino Linotype" w:hAnsi="Palatino Linotype" w:cs="Palatino Linotype"/>
          <w:sz w:val="20"/>
          <w:szCs w:val="22"/>
        </w:rPr>
      </w:pPr>
    </w:p>
    <w:p w:rsidR="007F3F4D" w:rsidRDefault="007F3F4D">
      <w:pPr>
        <w:spacing w:line="360" w:lineRule="auto"/>
        <w:ind w:right="-592"/>
        <w:jc w:val="both"/>
        <w:rPr>
          <w:rFonts w:ascii="Palatino Linotype" w:eastAsia="Palatino Linotype" w:hAnsi="Palatino Linotype" w:cs="Palatino Linotype"/>
          <w:sz w:val="22"/>
          <w:szCs w:val="22"/>
        </w:rPr>
      </w:pPr>
    </w:p>
    <w:p w:rsidR="007F3F4D" w:rsidRDefault="007F3F4D">
      <w:pPr>
        <w:spacing w:line="360" w:lineRule="auto"/>
        <w:ind w:right="-592"/>
        <w:jc w:val="both"/>
        <w:rPr>
          <w:rFonts w:ascii="Palatino Linotype" w:eastAsia="Palatino Linotype" w:hAnsi="Palatino Linotype" w:cs="Palatino Linotype"/>
          <w:sz w:val="22"/>
          <w:szCs w:val="22"/>
        </w:rPr>
      </w:pPr>
    </w:p>
    <w:p w:rsidR="007F3F4D" w:rsidRDefault="007F3F4D">
      <w:pPr>
        <w:spacing w:line="360" w:lineRule="auto"/>
        <w:ind w:right="-592"/>
        <w:jc w:val="both"/>
        <w:rPr>
          <w:rFonts w:ascii="Palatino Linotype" w:eastAsia="Palatino Linotype" w:hAnsi="Palatino Linotype" w:cs="Palatino Linotype"/>
          <w:sz w:val="22"/>
          <w:szCs w:val="22"/>
        </w:rPr>
      </w:pPr>
    </w:p>
    <w:p w:rsidR="007F3F4D" w:rsidRDefault="007F3F4D">
      <w:pPr>
        <w:spacing w:line="360" w:lineRule="auto"/>
        <w:ind w:right="-592"/>
        <w:rPr>
          <w:rFonts w:ascii="Palatino Linotype" w:eastAsia="Palatino Linotype" w:hAnsi="Palatino Linotype" w:cs="Palatino Linotype"/>
          <w:sz w:val="22"/>
          <w:szCs w:val="22"/>
        </w:rPr>
      </w:pPr>
    </w:p>
    <w:p w:rsidR="007F3F4D" w:rsidRDefault="007F3F4D">
      <w:pPr>
        <w:spacing w:line="360" w:lineRule="auto"/>
        <w:ind w:right="-592"/>
        <w:rPr>
          <w:rFonts w:ascii="Palatino Linotype" w:eastAsia="Palatino Linotype" w:hAnsi="Palatino Linotype" w:cs="Palatino Linotype"/>
          <w:sz w:val="22"/>
          <w:szCs w:val="22"/>
        </w:rPr>
      </w:pPr>
    </w:p>
    <w:p w:rsidR="007F3F4D" w:rsidRDefault="007F3F4D">
      <w:pPr>
        <w:spacing w:line="360" w:lineRule="auto"/>
        <w:ind w:right="-592"/>
        <w:rPr>
          <w:rFonts w:ascii="Palatino Linotype" w:eastAsia="Palatino Linotype" w:hAnsi="Palatino Linotype" w:cs="Palatino Linotype"/>
          <w:sz w:val="22"/>
          <w:szCs w:val="22"/>
        </w:rPr>
      </w:pPr>
    </w:p>
    <w:p w:rsidR="007F3F4D" w:rsidRDefault="007F3F4D">
      <w:pPr>
        <w:spacing w:line="360" w:lineRule="auto"/>
        <w:ind w:right="-592"/>
        <w:rPr>
          <w:rFonts w:ascii="Palatino Linotype" w:eastAsia="Palatino Linotype" w:hAnsi="Palatino Linotype" w:cs="Palatino Linotype"/>
          <w:sz w:val="22"/>
          <w:szCs w:val="22"/>
        </w:rPr>
      </w:pPr>
    </w:p>
    <w:p w:rsidR="007F3F4D" w:rsidRDefault="007F3F4D">
      <w:pPr>
        <w:spacing w:line="360" w:lineRule="auto"/>
        <w:ind w:right="-592"/>
        <w:rPr>
          <w:rFonts w:ascii="Palatino Linotype" w:eastAsia="Palatino Linotype" w:hAnsi="Palatino Linotype" w:cs="Palatino Linotype"/>
          <w:sz w:val="22"/>
          <w:szCs w:val="22"/>
        </w:rPr>
      </w:pPr>
    </w:p>
    <w:p w:rsidR="007F3F4D" w:rsidRDefault="007F3F4D">
      <w:pPr>
        <w:spacing w:line="360" w:lineRule="auto"/>
        <w:ind w:right="-592"/>
        <w:rPr>
          <w:rFonts w:ascii="Palatino Linotype" w:eastAsia="Palatino Linotype" w:hAnsi="Palatino Linotype" w:cs="Palatino Linotype"/>
          <w:sz w:val="22"/>
          <w:szCs w:val="22"/>
        </w:rPr>
      </w:pPr>
    </w:p>
    <w:p w:rsidR="007F3F4D" w:rsidRDefault="007F3F4D">
      <w:pPr>
        <w:ind w:right="-592"/>
        <w:rPr>
          <w:rFonts w:ascii="Palatino Linotype" w:eastAsia="Palatino Linotype" w:hAnsi="Palatino Linotype" w:cs="Palatino Linotype"/>
          <w:sz w:val="22"/>
          <w:szCs w:val="22"/>
        </w:rPr>
      </w:pPr>
    </w:p>
    <w:p w:rsidR="007F3F4D" w:rsidRDefault="007F3F4D">
      <w:pPr>
        <w:ind w:right="-592"/>
        <w:rPr>
          <w:rFonts w:ascii="Palatino Linotype" w:eastAsia="Palatino Linotype" w:hAnsi="Palatino Linotype" w:cs="Palatino Linotype"/>
          <w:sz w:val="22"/>
          <w:szCs w:val="22"/>
        </w:rPr>
      </w:pPr>
    </w:p>
    <w:sectPr w:rsidR="007F3F4D" w:rsidSect="00400004">
      <w:headerReference w:type="even" r:id="rId34"/>
      <w:headerReference w:type="default" r:id="rId35"/>
      <w:footerReference w:type="default" r:id="rId36"/>
      <w:headerReference w:type="first" r:id="rId37"/>
      <w:footerReference w:type="first" r:id="rId38"/>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D2C" w:rsidRDefault="00EF1D2C">
      <w:r>
        <w:separator/>
      </w:r>
    </w:p>
  </w:endnote>
  <w:endnote w:type="continuationSeparator" w:id="0">
    <w:p w:rsidR="00EF1D2C" w:rsidRDefault="00EF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1" w:fontKey="{27C290A6-6A75-47EB-B57C-E35BD5917790}"/>
    <w:embedBold r:id="rId2" w:fontKey="{D9892BFC-B295-4E20-8023-26B924E362C5}"/>
    <w:embedItalic r:id="rId3" w:fontKey="{4C0C4D6C-F7E9-4321-B484-8D92317634B5}"/>
    <w:embedBoldItalic r:id="rId4" w:fontKey="{0BF059E3-FB87-4CD9-9FE9-284292F76659}"/>
  </w:font>
  <w:font w:name="Noto Sans Symbols">
    <w:altName w:val="Times New Roman"/>
    <w:charset w:val="00"/>
    <w:family w:val="auto"/>
    <w:pitch w:val="default"/>
    <w:embedRegular r:id="rId5" w:fontKey="{5A4F6874-612D-44E1-B5D5-A8F393336C32}"/>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F88BBE74-9AE8-42B1-A0EB-D4AAF0B87321}"/>
  </w:font>
  <w:font w:name="Georgia">
    <w:panose1 w:val="02040502050405020303"/>
    <w:charset w:val="00"/>
    <w:family w:val="roman"/>
    <w:pitch w:val="variable"/>
    <w:sig w:usb0="00000287" w:usb1="00000000" w:usb2="00000000" w:usb3="00000000" w:csb0="0000009F" w:csb1="00000000"/>
    <w:embedItalic r:id="rId7" w:fontKey="{010EDAE9-FB50-49EE-B117-1785E637C06D}"/>
  </w:font>
  <w:font w:name="Garamond">
    <w:panose1 w:val="02020404030301010803"/>
    <w:charset w:val="00"/>
    <w:family w:val="roman"/>
    <w:pitch w:val="variable"/>
    <w:sig w:usb0="00000287" w:usb1="00000000" w:usb2="00000000" w:usb3="00000000" w:csb0="0000009F" w:csb1="00000000"/>
    <w:embedRegular r:id="rId8" w:fontKey="{601FD257-E7F5-426C-B778-7775A8E2477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FFEE4090-0686-4A96-A74F-CB37C2E8DC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F4D" w:rsidRPr="00400004" w:rsidRDefault="00F60CC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400004">
      <w:rPr>
        <w:rFonts w:ascii="Palatino Linotype" w:hAnsi="Palatino Linotype"/>
        <w:color w:val="000000"/>
        <w:sz w:val="22"/>
      </w:rPr>
      <w:t xml:space="preserve">Página </w:t>
    </w:r>
    <w:r w:rsidRPr="00400004">
      <w:rPr>
        <w:rFonts w:ascii="Palatino Linotype" w:hAnsi="Palatino Linotype"/>
        <w:b/>
        <w:bCs/>
        <w:color w:val="000000"/>
        <w:sz w:val="22"/>
      </w:rPr>
      <w:fldChar w:fldCharType="begin"/>
    </w:r>
    <w:r w:rsidRPr="00400004">
      <w:rPr>
        <w:rFonts w:ascii="Palatino Linotype" w:hAnsi="Palatino Linotype"/>
        <w:b/>
        <w:bCs/>
        <w:color w:val="000000"/>
        <w:sz w:val="22"/>
      </w:rPr>
      <w:instrText>PAGE</w:instrText>
    </w:r>
    <w:r w:rsidRPr="00400004">
      <w:rPr>
        <w:rFonts w:ascii="Palatino Linotype" w:hAnsi="Palatino Linotype"/>
        <w:b/>
        <w:bCs/>
        <w:color w:val="000000"/>
        <w:sz w:val="22"/>
      </w:rPr>
      <w:fldChar w:fldCharType="separate"/>
    </w:r>
    <w:r w:rsidR="00761329">
      <w:rPr>
        <w:rFonts w:ascii="Palatino Linotype" w:hAnsi="Palatino Linotype"/>
        <w:b/>
        <w:bCs/>
        <w:noProof/>
        <w:color w:val="000000"/>
        <w:sz w:val="22"/>
      </w:rPr>
      <w:t>17</w:t>
    </w:r>
    <w:r w:rsidRPr="00400004">
      <w:rPr>
        <w:rFonts w:ascii="Palatino Linotype" w:hAnsi="Palatino Linotype"/>
        <w:b/>
        <w:bCs/>
        <w:color w:val="000000"/>
        <w:sz w:val="22"/>
      </w:rPr>
      <w:fldChar w:fldCharType="end"/>
    </w:r>
    <w:r w:rsidRPr="00400004">
      <w:rPr>
        <w:rFonts w:ascii="Palatino Linotype" w:hAnsi="Palatino Linotype"/>
        <w:color w:val="000000"/>
        <w:sz w:val="22"/>
      </w:rPr>
      <w:t xml:space="preserve"> de </w:t>
    </w:r>
    <w:r w:rsidRPr="00400004">
      <w:rPr>
        <w:rFonts w:ascii="Palatino Linotype" w:hAnsi="Palatino Linotype"/>
        <w:b/>
        <w:bCs/>
        <w:color w:val="000000"/>
        <w:sz w:val="22"/>
      </w:rPr>
      <w:fldChar w:fldCharType="begin"/>
    </w:r>
    <w:r w:rsidRPr="00400004">
      <w:rPr>
        <w:rFonts w:ascii="Palatino Linotype" w:hAnsi="Palatino Linotype"/>
        <w:b/>
        <w:bCs/>
        <w:color w:val="000000"/>
        <w:sz w:val="22"/>
      </w:rPr>
      <w:instrText>NUMPAGES</w:instrText>
    </w:r>
    <w:r w:rsidRPr="00400004">
      <w:rPr>
        <w:rFonts w:ascii="Palatino Linotype" w:hAnsi="Palatino Linotype"/>
        <w:b/>
        <w:bCs/>
        <w:color w:val="000000"/>
        <w:sz w:val="22"/>
      </w:rPr>
      <w:fldChar w:fldCharType="separate"/>
    </w:r>
    <w:r w:rsidR="00761329">
      <w:rPr>
        <w:rFonts w:ascii="Palatino Linotype" w:hAnsi="Palatino Linotype"/>
        <w:b/>
        <w:bCs/>
        <w:noProof/>
        <w:color w:val="000000"/>
        <w:sz w:val="22"/>
      </w:rPr>
      <w:t>21</w:t>
    </w:r>
    <w:r w:rsidRPr="00400004">
      <w:rPr>
        <w:rFonts w:ascii="Palatino Linotype" w:hAnsi="Palatino Linotype"/>
        <w:b/>
        <w:bCs/>
        <w:color w:val="000000"/>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F4D" w:rsidRPr="00400004" w:rsidRDefault="00F60CC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400004">
      <w:rPr>
        <w:rFonts w:ascii="Palatino Linotype" w:hAnsi="Palatino Linotype"/>
        <w:color w:val="000000"/>
        <w:sz w:val="22"/>
      </w:rPr>
      <w:t xml:space="preserve">Página </w:t>
    </w:r>
    <w:r w:rsidRPr="00400004">
      <w:rPr>
        <w:rFonts w:ascii="Palatino Linotype" w:hAnsi="Palatino Linotype"/>
        <w:b/>
        <w:bCs/>
        <w:color w:val="000000"/>
        <w:sz w:val="22"/>
      </w:rPr>
      <w:fldChar w:fldCharType="begin"/>
    </w:r>
    <w:r w:rsidRPr="00400004">
      <w:rPr>
        <w:rFonts w:ascii="Palatino Linotype" w:hAnsi="Palatino Linotype"/>
        <w:b/>
        <w:bCs/>
        <w:color w:val="000000"/>
        <w:sz w:val="22"/>
      </w:rPr>
      <w:instrText>PAGE</w:instrText>
    </w:r>
    <w:r w:rsidRPr="00400004">
      <w:rPr>
        <w:rFonts w:ascii="Palatino Linotype" w:hAnsi="Palatino Linotype"/>
        <w:b/>
        <w:bCs/>
        <w:color w:val="000000"/>
        <w:sz w:val="22"/>
      </w:rPr>
      <w:fldChar w:fldCharType="separate"/>
    </w:r>
    <w:r w:rsidR="00761329">
      <w:rPr>
        <w:rFonts w:ascii="Palatino Linotype" w:hAnsi="Palatino Linotype"/>
        <w:b/>
        <w:bCs/>
        <w:noProof/>
        <w:color w:val="000000"/>
        <w:sz w:val="22"/>
      </w:rPr>
      <w:t>1</w:t>
    </w:r>
    <w:r w:rsidRPr="00400004">
      <w:rPr>
        <w:rFonts w:ascii="Palatino Linotype" w:hAnsi="Palatino Linotype"/>
        <w:b/>
        <w:bCs/>
        <w:color w:val="000000"/>
        <w:sz w:val="22"/>
      </w:rPr>
      <w:fldChar w:fldCharType="end"/>
    </w:r>
    <w:r w:rsidRPr="00400004">
      <w:rPr>
        <w:rFonts w:ascii="Palatino Linotype" w:hAnsi="Palatino Linotype"/>
        <w:color w:val="000000"/>
        <w:sz w:val="22"/>
      </w:rPr>
      <w:t xml:space="preserve"> de </w:t>
    </w:r>
    <w:r w:rsidRPr="00400004">
      <w:rPr>
        <w:rFonts w:ascii="Palatino Linotype" w:hAnsi="Palatino Linotype"/>
        <w:b/>
        <w:bCs/>
        <w:color w:val="000000"/>
        <w:sz w:val="22"/>
      </w:rPr>
      <w:fldChar w:fldCharType="begin"/>
    </w:r>
    <w:r w:rsidRPr="00400004">
      <w:rPr>
        <w:rFonts w:ascii="Palatino Linotype" w:hAnsi="Palatino Linotype"/>
        <w:b/>
        <w:bCs/>
        <w:color w:val="000000"/>
        <w:sz w:val="22"/>
      </w:rPr>
      <w:instrText>NUMPAGES</w:instrText>
    </w:r>
    <w:r w:rsidRPr="00400004">
      <w:rPr>
        <w:rFonts w:ascii="Palatino Linotype" w:hAnsi="Palatino Linotype"/>
        <w:b/>
        <w:bCs/>
        <w:color w:val="000000"/>
        <w:sz w:val="22"/>
      </w:rPr>
      <w:fldChar w:fldCharType="separate"/>
    </w:r>
    <w:r w:rsidR="00761329">
      <w:rPr>
        <w:rFonts w:ascii="Palatino Linotype" w:hAnsi="Palatino Linotype"/>
        <w:b/>
        <w:bCs/>
        <w:noProof/>
        <w:color w:val="000000"/>
        <w:sz w:val="22"/>
      </w:rPr>
      <w:t>21</w:t>
    </w:r>
    <w:r w:rsidRPr="00400004">
      <w:rPr>
        <w:rFonts w:ascii="Palatino Linotype" w:hAnsi="Palatino Linotype"/>
        <w:b/>
        <w:bCs/>
        <w:color w:val="000000"/>
        <w:sz w:val="22"/>
      </w:rPr>
      <w:fldChar w:fldCharType="end"/>
    </w:r>
  </w:p>
  <w:p w:rsidR="007F3F4D" w:rsidRDefault="007F3F4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D2C" w:rsidRDefault="00EF1D2C">
      <w:r>
        <w:separator/>
      </w:r>
    </w:p>
  </w:footnote>
  <w:footnote w:type="continuationSeparator" w:id="0">
    <w:p w:rsidR="00EF1D2C" w:rsidRDefault="00EF1D2C">
      <w:r>
        <w:continuationSeparator/>
      </w:r>
    </w:p>
  </w:footnote>
  <w:footnote w:id="1">
    <w:p w:rsidR="007F3F4D" w:rsidRDefault="00F60CC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50, Ley de Transparencia y Acceso a la Información Pública del Estado de México y Municipios.</w:t>
      </w:r>
    </w:p>
  </w:footnote>
  <w:footnote w:id="2">
    <w:p w:rsidR="007F3F4D" w:rsidRDefault="00F60CC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51, Ídem.</w:t>
      </w:r>
    </w:p>
  </w:footnote>
  <w:footnote w:id="3">
    <w:p w:rsidR="007F3F4D" w:rsidRDefault="00F60CC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58, Ley de Transparencia y Acceso a la Información Pública del Estado de México y Municipios.</w:t>
      </w:r>
    </w:p>
  </w:footnote>
  <w:footnote w:id="4">
    <w:p w:rsidR="007F3F4D" w:rsidRDefault="00F60CC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F4D" w:rsidRDefault="00EF1D2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90" w:type="dxa"/>
      <w:tblInd w:w="0" w:type="dxa"/>
      <w:tblLayout w:type="fixed"/>
      <w:tblLook w:val="0400" w:firstRow="0" w:lastRow="0" w:firstColumn="0" w:lastColumn="0" w:noHBand="0" w:noVBand="1"/>
    </w:tblPr>
    <w:tblGrid>
      <w:gridCol w:w="2268"/>
      <w:gridCol w:w="8222"/>
    </w:tblGrid>
    <w:tr w:rsidR="007F3F4D" w:rsidTr="00400004">
      <w:trPr>
        <w:trHeight w:val="1435"/>
      </w:trPr>
      <w:tc>
        <w:tcPr>
          <w:tcW w:w="2268" w:type="dxa"/>
          <w:shd w:val="clear" w:color="auto" w:fill="auto"/>
        </w:tcPr>
        <w:p w:rsidR="007F3F4D" w:rsidRDefault="007F3F4D">
          <w:pPr>
            <w:tabs>
              <w:tab w:val="right" w:pos="4273"/>
            </w:tabs>
            <w:rPr>
              <w:rFonts w:ascii="Garamond" w:eastAsia="Garamond" w:hAnsi="Garamond" w:cs="Garamond"/>
              <w:sz w:val="16"/>
              <w:szCs w:val="16"/>
            </w:rPr>
          </w:pPr>
        </w:p>
      </w:tc>
      <w:tc>
        <w:tcPr>
          <w:tcW w:w="8222" w:type="dxa"/>
          <w:shd w:val="clear" w:color="auto" w:fill="auto"/>
        </w:tcPr>
        <w:tbl>
          <w:tblPr>
            <w:tblStyle w:val="a1"/>
            <w:tblW w:w="7783" w:type="dxa"/>
            <w:tblInd w:w="40" w:type="dxa"/>
            <w:tblLayout w:type="fixed"/>
            <w:tblLook w:val="0400" w:firstRow="0" w:lastRow="0" w:firstColumn="0" w:lastColumn="0" w:noHBand="0" w:noVBand="1"/>
          </w:tblPr>
          <w:tblGrid>
            <w:gridCol w:w="3531"/>
            <w:gridCol w:w="4252"/>
          </w:tblGrid>
          <w:tr w:rsidR="007F3F4D" w:rsidTr="00400004">
            <w:trPr>
              <w:trHeight w:val="150"/>
            </w:trPr>
            <w:tc>
              <w:tcPr>
                <w:tcW w:w="3531" w:type="dxa"/>
                <w:shd w:val="clear" w:color="auto" w:fill="auto"/>
              </w:tcPr>
              <w:p w:rsidR="007F3F4D" w:rsidRPr="00400004" w:rsidRDefault="00F60CC4">
                <w:pPr>
                  <w:tabs>
                    <w:tab w:val="right" w:pos="8838"/>
                  </w:tabs>
                  <w:ind w:left="850" w:right="-105"/>
                  <w:jc w:val="both"/>
                  <w:rPr>
                    <w:rFonts w:ascii="Palatino Linotype" w:eastAsia="Palatino Linotype" w:hAnsi="Palatino Linotype" w:cs="Palatino Linotype"/>
                    <w:b/>
                    <w:bCs/>
                    <w:szCs w:val="18"/>
                  </w:rPr>
                </w:pPr>
                <w:r w:rsidRPr="00400004">
                  <w:rPr>
                    <w:rFonts w:ascii="Palatino Linotype" w:eastAsia="Palatino Linotype" w:hAnsi="Palatino Linotype" w:cs="Palatino Linotype"/>
                    <w:b/>
                    <w:bCs/>
                    <w:szCs w:val="18"/>
                  </w:rPr>
                  <w:t>Recurso de Revisión:</w:t>
                </w:r>
              </w:p>
            </w:tc>
            <w:tc>
              <w:tcPr>
                <w:tcW w:w="4252" w:type="dxa"/>
                <w:shd w:val="clear" w:color="auto" w:fill="auto"/>
              </w:tcPr>
              <w:p w:rsidR="007F3F4D" w:rsidRPr="00400004" w:rsidRDefault="00F60CC4">
                <w:pPr>
                  <w:tabs>
                    <w:tab w:val="right" w:pos="8838"/>
                  </w:tabs>
                  <w:ind w:right="-781"/>
                  <w:jc w:val="both"/>
                  <w:rPr>
                    <w:rFonts w:ascii="Palatino Linotype" w:eastAsia="Palatino Linotype" w:hAnsi="Palatino Linotype" w:cs="Palatino Linotype"/>
                    <w:szCs w:val="18"/>
                  </w:rPr>
                </w:pPr>
                <w:r w:rsidRPr="00400004">
                  <w:rPr>
                    <w:rFonts w:ascii="Palatino Linotype" w:eastAsia="Palatino Linotype" w:hAnsi="Palatino Linotype" w:cs="Palatino Linotype"/>
                    <w:szCs w:val="18"/>
                  </w:rPr>
                  <w:t>11188/INFOEM/IP/RR/2025</w:t>
                </w:r>
              </w:p>
            </w:tc>
          </w:tr>
          <w:tr w:rsidR="007F3F4D" w:rsidTr="00400004">
            <w:trPr>
              <w:trHeight w:val="295"/>
            </w:trPr>
            <w:tc>
              <w:tcPr>
                <w:tcW w:w="3531" w:type="dxa"/>
                <w:shd w:val="clear" w:color="auto" w:fill="auto"/>
              </w:tcPr>
              <w:p w:rsidR="007F3F4D" w:rsidRPr="00400004" w:rsidRDefault="00F60CC4">
                <w:pPr>
                  <w:tabs>
                    <w:tab w:val="right" w:pos="8838"/>
                  </w:tabs>
                  <w:ind w:left="850" w:right="-105"/>
                  <w:jc w:val="both"/>
                  <w:rPr>
                    <w:rFonts w:ascii="Palatino Linotype" w:eastAsia="Palatino Linotype" w:hAnsi="Palatino Linotype" w:cs="Palatino Linotype"/>
                    <w:b/>
                    <w:bCs/>
                    <w:szCs w:val="18"/>
                  </w:rPr>
                </w:pPr>
                <w:r w:rsidRPr="00400004">
                  <w:rPr>
                    <w:rFonts w:ascii="Palatino Linotype" w:eastAsia="Palatino Linotype" w:hAnsi="Palatino Linotype" w:cs="Palatino Linotype"/>
                    <w:b/>
                    <w:bCs/>
                    <w:szCs w:val="18"/>
                  </w:rPr>
                  <w:t>Sujeto Obligado:</w:t>
                </w:r>
              </w:p>
            </w:tc>
            <w:tc>
              <w:tcPr>
                <w:tcW w:w="4252" w:type="dxa"/>
                <w:shd w:val="clear" w:color="auto" w:fill="auto"/>
              </w:tcPr>
              <w:p w:rsidR="007F3F4D" w:rsidRPr="00400004" w:rsidRDefault="00F60CC4">
                <w:pPr>
                  <w:tabs>
                    <w:tab w:val="left" w:pos="3122"/>
                    <w:tab w:val="right" w:pos="8838"/>
                  </w:tabs>
                  <w:ind w:right="-1552"/>
                  <w:rPr>
                    <w:rFonts w:ascii="Palatino Linotype" w:eastAsia="Palatino Linotype" w:hAnsi="Palatino Linotype" w:cs="Palatino Linotype"/>
                    <w:szCs w:val="18"/>
                  </w:rPr>
                </w:pPr>
                <w:r w:rsidRPr="00400004">
                  <w:rPr>
                    <w:rFonts w:ascii="Palatino Linotype" w:eastAsia="Palatino Linotype" w:hAnsi="Palatino Linotype" w:cs="Palatino Linotype"/>
                    <w:szCs w:val="18"/>
                  </w:rPr>
                  <w:t>Universidad Politécnica de Tecámac</w:t>
                </w:r>
              </w:p>
            </w:tc>
          </w:tr>
          <w:tr w:rsidR="007F3F4D" w:rsidTr="00400004">
            <w:trPr>
              <w:trHeight w:val="295"/>
            </w:trPr>
            <w:tc>
              <w:tcPr>
                <w:tcW w:w="3531" w:type="dxa"/>
                <w:shd w:val="clear" w:color="auto" w:fill="auto"/>
              </w:tcPr>
              <w:p w:rsidR="007F3F4D" w:rsidRPr="00400004" w:rsidRDefault="00F60CC4">
                <w:pPr>
                  <w:tabs>
                    <w:tab w:val="right" w:pos="8838"/>
                  </w:tabs>
                  <w:ind w:left="850" w:right="-105"/>
                  <w:jc w:val="both"/>
                  <w:rPr>
                    <w:rFonts w:ascii="Palatino Linotype" w:eastAsia="Palatino Linotype" w:hAnsi="Palatino Linotype" w:cs="Palatino Linotype"/>
                    <w:b/>
                    <w:bCs/>
                    <w:szCs w:val="18"/>
                  </w:rPr>
                </w:pPr>
                <w:r w:rsidRPr="00400004">
                  <w:rPr>
                    <w:rFonts w:ascii="Palatino Linotype" w:eastAsia="Palatino Linotype" w:hAnsi="Palatino Linotype" w:cs="Palatino Linotype"/>
                    <w:b/>
                    <w:bCs/>
                    <w:szCs w:val="18"/>
                  </w:rPr>
                  <w:t>Comisionada ponente:</w:t>
                </w:r>
              </w:p>
            </w:tc>
            <w:tc>
              <w:tcPr>
                <w:tcW w:w="4252" w:type="dxa"/>
                <w:shd w:val="clear" w:color="auto" w:fill="auto"/>
              </w:tcPr>
              <w:p w:rsidR="007F3F4D" w:rsidRPr="00400004" w:rsidRDefault="00F60CC4">
                <w:pPr>
                  <w:tabs>
                    <w:tab w:val="right" w:pos="8838"/>
                  </w:tabs>
                  <w:ind w:right="-781"/>
                  <w:jc w:val="both"/>
                  <w:rPr>
                    <w:rFonts w:ascii="Palatino Linotype" w:eastAsia="Palatino Linotype" w:hAnsi="Palatino Linotype" w:cs="Palatino Linotype"/>
                    <w:szCs w:val="18"/>
                  </w:rPr>
                </w:pPr>
                <w:r w:rsidRPr="00400004">
                  <w:rPr>
                    <w:rFonts w:ascii="Palatino Linotype" w:eastAsia="Palatino Linotype" w:hAnsi="Palatino Linotype" w:cs="Palatino Linotype"/>
                    <w:szCs w:val="18"/>
                  </w:rPr>
                  <w:t>María del Rosario Mejía Ayala</w:t>
                </w:r>
              </w:p>
              <w:p w:rsidR="007F3F4D" w:rsidRPr="00400004" w:rsidRDefault="007F3F4D">
                <w:pPr>
                  <w:tabs>
                    <w:tab w:val="right" w:pos="8838"/>
                  </w:tabs>
                  <w:ind w:left="141" w:right="-781"/>
                  <w:jc w:val="both"/>
                  <w:rPr>
                    <w:rFonts w:ascii="Palatino Linotype" w:eastAsia="Palatino Linotype" w:hAnsi="Palatino Linotype" w:cs="Palatino Linotype"/>
                    <w:szCs w:val="18"/>
                  </w:rPr>
                </w:pPr>
              </w:p>
            </w:tc>
          </w:tr>
        </w:tbl>
        <w:p w:rsidR="007F3F4D" w:rsidRDefault="007F3F4D">
          <w:pPr>
            <w:tabs>
              <w:tab w:val="right" w:pos="8838"/>
            </w:tabs>
            <w:ind w:left="-28"/>
            <w:jc w:val="both"/>
            <w:rPr>
              <w:rFonts w:ascii="Arial" w:eastAsia="Arial" w:hAnsi="Arial" w:cs="Arial"/>
              <w:b/>
              <w:bCs/>
              <w:sz w:val="18"/>
              <w:szCs w:val="18"/>
            </w:rPr>
          </w:pPr>
        </w:p>
      </w:tc>
    </w:tr>
  </w:tbl>
  <w:p w:rsidR="007F3F4D" w:rsidRDefault="00EF1D2C">
    <w:pPr>
      <w:pBdr>
        <w:top w:val="nil"/>
        <w:left w:val="nil"/>
        <w:bottom w:val="nil"/>
        <w:right w:val="nil"/>
        <w:between w:val="nil"/>
      </w:pBdr>
      <w:tabs>
        <w:tab w:val="center" w:pos="4419"/>
        <w:tab w:val="right" w:pos="8838"/>
      </w:tabs>
      <w:rPr>
        <w:color w:val="000000"/>
        <w:sz w:val="14"/>
        <w:szCs w:val="1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7.85pt;margin-top:-122.35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065" w:type="dxa"/>
      <w:tblInd w:w="0" w:type="dxa"/>
      <w:tblLayout w:type="fixed"/>
      <w:tblLook w:val="0400" w:firstRow="0" w:lastRow="0" w:firstColumn="0" w:lastColumn="0" w:noHBand="0" w:noVBand="1"/>
    </w:tblPr>
    <w:tblGrid>
      <w:gridCol w:w="2265"/>
      <w:gridCol w:w="7800"/>
    </w:tblGrid>
    <w:tr w:rsidR="007F3F4D">
      <w:trPr>
        <w:trHeight w:val="1435"/>
      </w:trPr>
      <w:tc>
        <w:tcPr>
          <w:tcW w:w="2265" w:type="dxa"/>
          <w:shd w:val="clear" w:color="auto" w:fill="auto"/>
        </w:tcPr>
        <w:p w:rsidR="007F3F4D" w:rsidRDefault="007F3F4D">
          <w:pPr>
            <w:tabs>
              <w:tab w:val="right" w:pos="4273"/>
            </w:tabs>
            <w:rPr>
              <w:rFonts w:ascii="Garamond" w:eastAsia="Garamond" w:hAnsi="Garamond" w:cs="Garamond"/>
              <w:sz w:val="22"/>
              <w:szCs w:val="22"/>
            </w:rPr>
          </w:pPr>
        </w:p>
      </w:tc>
      <w:tc>
        <w:tcPr>
          <w:tcW w:w="7800" w:type="dxa"/>
          <w:shd w:val="clear" w:color="auto" w:fill="auto"/>
        </w:tcPr>
        <w:tbl>
          <w:tblPr>
            <w:tblStyle w:val="a3"/>
            <w:tblW w:w="7897" w:type="dxa"/>
            <w:tblInd w:w="597" w:type="dxa"/>
            <w:tblLayout w:type="fixed"/>
            <w:tblLook w:val="0400" w:firstRow="0" w:lastRow="0" w:firstColumn="0" w:lastColumn="0" w:noHBand="0" w:noVBand="1"/>
          </w:tblPr>
          <w:tblGrid>
            <w:gridCol w:w="2977"/>
            <w:gridCol w:w="4920"/>
          </w:tblGrid>
          <w:tr w:rsidR="007F3F4D" w:rsidTr="00400004">
            <w:trPr>
              <w:trHeight w:val="144"/>
            </w:trPr>
            <w:tc>
              <w:tcPr>
                <w:tcW w:w="2977" w:type="dxa"/>
                <w:shd w:val="clear" w:color="auto" w:fill="auto"/>
              </w:tcPr>
              <w:p w:rsidR="007F3F4D" w:rsidRPr="00400004" w:rsidRDefault="00F60CC4" w:rsidP="00400004">
                <w:pPr>
                  <w:tabs>
                    <w:tab w:val="right" w:pos="8838"/>
                  </w:tabs>
                  <w:ind w:right="-105"/>
                  <w:rPr>
                    <w:rFonts w:ascii="Palatino Linotype" w:eastAsia="Palatino Linotype" w:hAnsi="Palatino Linotype" w:cs="Palatino Linotype"/>
                    <w:b/>
                    <w:bCs/>
                    <w:szCs w:val="18"/>
                  </w:rPr>
                </w:pPr>
                <w:r w:rsidRPr="00400004">
                  <w:rPr>
                    <w:rFonts w:ascii="Palatino Linotype" w:eastAsia="Palatino Linotype" w:hAnsi="Palatino Linotype" w:cs="Palatino Linotype"/>
                    <w:b/>
                    <w:bCs/>
                    <w:szCs w:val="18"/>
                  </w:rPr>
                  <w:t>Recurso de Revisión:</w:t>
                </w:r>
              </w:p>
            </w:tc>
            <w:tc>
              <w:tcPr>
                <w:tcW w:w="4920" w:type="dxa"/>
                <w:shd w:val="clear" w:color="auto" w:fill="auto"/>
              </w:tcPr>
              <w:p w:rsidR="007F3F4D" w:rsidRPr="00400004" w:rsidRDefault="00F60CC4" w:rsidP="00400004">
                <w:pPr>
                  <w:tabs>
                    <w:tab w:val="right" w:pos="8838"/>
                  </w:tabs>
                  <w:ind w:right="-1552"/>
                  <w:rPr>
                    <w:rFonts w:ascii="Palatino Linotype" w:eastAsia="Palatino Linotype" w:hAnsi="Palatino Linotype" w:cs="Palatino Linotype"/>
                    <w:szCs w:val="18"/>
                  </w:rPr>
                </w:pPr>
                <w:r w:rsidRPr="00400004">
                  <w:rPr>
                    <w:rFonts w:ascii="Palatino Linotype" w:eastAsia="Palatino Linotype" w:hAnsi="Palatino Linotype" w:cs="Palatino Linotype"/>
                    <w:szCs w:val="18"/>
                  </w:rPr>
                  <w:t>11188/INFOEM/IP/RR/2025</w:t>
                </w:r>
              </w:p>
            </w:tc>
          </w:tr>
          <w:tr w:rsidR="007F3F4D" w:rsidTr="00400004">
            <w:trPr>
              <w:trHeight w:val="144"/>
            </w:trPr>
            <w:tc>
              <w:tcPr>
                <w:tcW w:w="2977" w:type="dxa"/>
                <w:shd w:val="clear" w:color="auto" w:fill="auto"/>
              </w:tcPr>
              <w:p w:rsidR="007F3F4D" w:rsidRPr="00400004" w:rsidRDefault="00F60CC4" w:rsidP="00400004">
                <w:pPr>
                  <w:tabs>
                    <w:tab w:val="right" w:pos="8838"/>
                  </w:tabs>
                  <w:ind w:right="-105"/>
                  <w:rPr>
                    <w:rFonts w:ascii="Palatino Linotype" w:eastAsia="Palatino Linotype" w:hAnsi="Palatino Linotype" w:cs="Palatino Linotype"/>
                    <w:b/>
                    <w:bCs/>
                    <w:szCs w:val="18"/>
                  </w:rPr>
                </w:pPr>
                <w:r w:rsidRPr="00400004">
                  <w:rPr>
                    <w:rFonts w:ascii="Palatino Linotype" w:eastAsia="Palatino Linotype" w:hAnsi="Palatino Linotype" w:cs="Palatino Linotype"/>
                    <w:b/>
                    <w:bCs/>
                    <w:szCs w:val="18"/>
                  </w:rPr>
                  <w:t>Recurrente:</w:t>
                </w:r>
              </w:p>
            </w:tc>
            <w:tc>
              <w:tcPr>
                <w:tcW w:w="4920" w:type="dxa"/>
                <w:shd w:val="clear" w:color="auto" w:fill="auto"/>
              </w:tcPr>
              <w:p w:rsidR="007F3F4D" w:rsidRPr="00400004" w:rsidRDefault="007F3F4D" w:rsidP="00400004">
                <w:pPr>
                  <w:tabs>
                    <w:tab w:val="left" w:pos="3122"/>
                    <w:tab w:val="right" w:pos="8838"/>
                  </w:tabs>
                  <w:ind w:right="-1552"/>
                  <w:rPr>
                    <w:rFonts w:ascii="Palatino Linotype" w:eastAsia="Palatino Linotype" w:hAnsi="Palatino Linotype" w:cs="Palatino Linotype"/>
                    <w:szCs w:val="18"/>
                  </w:rPr>
                </w:pPr>
              </w:p>
            </w:tc>
          </w:tr>
          <w:tr w:rsidR="007F3F4D" w:rsidTr="00400004">
            <w:trPr>
              <w:trHeight w:val="80"/>
            </w:trPr>
            <w:tc>
              <w:tcPr>
                <w:tcW w:w="2977" w:type="dxa"/>
                <w:shd w:val="clear" w:color="auto" w:fill="auto"/>
              </w:tcPr>
              <w:p w:rsidR="007F3F4D" w:rsidRPr="00400004" w:rsidRDefault="00F60CC4" w:rsidP="00400004">
                <w:pPr>
                  <w:tabs>
                    <w:tab w:val="right" w:pos="8838"/>
                  </w:tabs>
                  <w:ind w:right="-105"/>
                  <w:rPr>
                    <w:rFonts w:ascii="Palatino Linotype" w:eastAsia="Palatino Linotype" w:hAnsi="Palatino Linotype" w:cs="Palatino Linotype"/>
                    <w:b/>
                    <w:bCs/>
                    <w:szCs w:val="18"/>
                  </w:rPr>
                </w:pPr>
                <w:r w:rsidRPr="00400004">
                  <w:rPr>
                    <w:rFonts w:ascii="Palatino Linotype" w:eastAsia="Palatino Linotype" w:hAnsi="Palatino Linotype" w:cs="Palatino Linotype"/>
                    <w:b/>
                    <w:bCs/>
                    <w:szCs w:val="18"/>
                  </w:rPr>
                  <w:t>Sujeto Obligado:</w:t>
                </w:r>
              </w:p>
            </w:tc>
            <w:tc>
              <w:tcPr>
                <w:tcW w:w="4920" w:type="dxa"/>
                <w:shd w:val="clear" w:color="auto" w:fill="auto"/>
              </w:tcPr>
              <w:p w:rsidR="007F3F4D" w:rsidRPr="00400004" w:rsidRDefault="00F60CC4" w:rsidP="00400004">
                <w:pPr>
                  <w:tabs>
                    <w:tab w:val="left" w:pos="3122"/>
                    <w:tab w:val="right" w:pos="8838"/>
                  </w:tabs>
                  <w:ind w:right="-1552"/>
                  <w:rPr>
                    <w:rFonts w:ascii="Palatino Linotype" w:eastAsia="Palatino Linotype" w:hAnsi="Palatino Linotype" w:cs="Palatino Linotype"/>
                    <w:szCs w:val="18"/>
                  </w:rPr>
                </w:pPr>
                <w:r w:rsidRPr="00400004">
                  <w:rPr>
                    <w:rFonts w:ascii="Palatino Linotype" w:eastAsia="Palatino Linotype" w:hAnsi="Palatino Linotype" w:cs="Palatino Linotype"/>
                    <w:szCs w:val="18"/>
                  </w:rPr>
                  <w:t>Universidad Politécnica de Tecámac</w:t>
                </w:r>
              </w:p>
            </w:tc>
          </w:tr>
          <w:tr w:rsidR="007F3F4D" w:rsidTr="00400004">
            <w:trPr>
              <w:trHeight w:val="283"/>
            </w:trPr>
            <w:tc>
              <w:tcPr>
                <w:tcW w:w="2977" w:type="dxa"/>
                <w:shd w:val="clear" w:color="auto" w:fill="auto"/>
              </w:tcPr>
              <w:p w:rsidR="007F3F4D" w:rsidRPr="00400004" w:rsidRDefault="00F60CC4" w:rsidP="00400004">
                <w:pPr>
                  <w:tabs>
                    <w:tab w:val="right" w:pos="8838"/>
                  </w:tabs>
                  <w:ind w:right="-105"/>
                  <w:rPr>
                    <w:rFonts w:ascii="Palatino Linotype" w:eastAsia="Palatino Linotype" w:hAnsi="Palatino Linotype" w:cs="Palatino Linotype"/>
                    <w:b/>
                    <w:bCs/>
                    <w:szCs w:val="18"/>
                  </w:rPr>
                </w:pPr>
                <w:r w:rsidRPr="00400004">
                  <w:rPr>
                    <w:rFonts w:ascii="Palatino Linotype" w:eastAsia="Palatino Linotype" w:hAnsi="Palatino Linotype" w:cs="Palatino Linotype"/>
                    <w:b/>
                    <w:bCs/>
                    <w:szCs w:val="18"/>
                  </w:rPr>
                  <w:t>Comisionada ponente:</w:t>
                </w:r>
              </w:p>
            </w:tc>
            <w:tc>
              <w:tcPr>
                <w:tcW w:w="4920" w:type="dxa"/>
                <w:shd w:val="clear" w:color="auto" w:fill="auto"/>
              </w:tcPr>
              <w:p w:rsidR="007F3F4D" w:rsidRPr="00400004" w:rsidRDefault="00F60CC4" w:rsidP="00400004">
                <w:pPr>
                  <w:tabs>
                    <w:tab w:val="right" w:pos="8838"/>
                  </w:tabs>
                  <w:ind w:right="-1552"/>
                  <w:rPr>
                    <w:rFonts w:ascii="Palatino Linotype" w:eastAsia="Palatino Linotype" w:hAnsi="Palatino Linotype" w:cs="Palatino Linotype"/>
                    <w:szCs w:val="18"/>
                  </w:rPr>
                </w:pPr>
                <w:r w:rsidRPr="00400004">
                  <w:rPr>
                    <w:rFonts w:ascii="Palatino Linotype" w:eastAsia="Palatino Linotype" w:hAnsi="Palatino Linotype" w:cs="Palatino Linotype"/>
                    <w:szCs w:val="18"/>
                  </w:rPr>
                  <w:t>María del Rosario Mejía Ayala</w:t>
                </w:r>
              </w:p>
              <w:p w:rsidR="007F3F4D" w:rsidRPr="00400004" w:rsidRDefault="007F3F4D" w:rsidP="00400004">
                <w:pPr>
                  <w:tabs>
                    <w:tab w:val="right" w:pos="8838"/>
                  </w:tabs>
                  <w:ind w:right="-1552"/>
                  <w:rPr>
                    <w:rFonts w:ascii="Palatino Linotype" w:eastAsia="Palatino Linotype" w:hAnsi="Palatino Linotype" w:cs="Palatino Linotype"/>
                    <w:szCs w:val="18"/>
                  </w:rPr>
                </w:pPr>
              </w:p>
            </w:tc>
          </w:tr>
        </w:tbl>
        <w:p w:rsidR="007F3F4D" w:rsidRDefault="007F3F4D">
          <w:pPr>
            <w:tabs>
              <w:tab w:val="right" w:pos="8838"/>
            </w:tabs>
            <w:ind w:left="-28"/>
            <w:jc w:val="both"/>
            <w:rPr>
              <w:rFonts w:ascii="Arial" w:eastAsia="Arial" w:hAnsi="Arial" w:cs="Arial"/>
              <w:b/>
              <w:bCs/>
              <w:sz w:val="22"/>
              <w:szCs w:val="22"/>
            </w:rPr>
          </w:pPr>
        </w:p>
      </w:tc>
    </w:tr>
  </w:tbl>
  <w:p w:rsidR="007F3F4D" w:rsidRDefault="00EF1D2C">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A3E8C"/>
    <w:multiLevelType w:val="multilevel"/>
    <w:tmpl w:val="9E12B1B8"/>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1" w15:restartNumberingAfterBreak="0">
    <w:nsid w:val="17BA6ACD"/>
    <w:multiLevelType w:val="multilevel"/>
    <w:tmpl w:val="2F927CF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3A44"/>
    <w:multiLevelType w:val="multilevel"/>
    <w:tmpl w:val="1D0A64D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38526CC8"/>
    <w:multiLevelType w:val="multilevel"/>
    <w:tmpl w:val="25C2027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CE5DF0"/>
    <w:multiLevelType w:val="multilevel"/>
    <w:tmpl w:val="13D6390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58007F"/>
    <w:multiLevelType w:val="hybridMultilevel"/>
    <w:tmpl w:val="1E54DA5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F4D"/>
    <w:rsid w:val="00400004"/>
    <w:rsid w:val="00761329"/>
    <w:rsid w:val="007F3F4D"/>
    <w:rsid w:val="008C0395"/>
    <w:rsid w:val="009A01F4"/>
    <w:rsid w:val="00BD2BB5"/>
    <w:rsid w:val="00EF1D2C"/>
    <w:rsid w:val="00F03549"/>
    <w:rsid w:val="00F60C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03BD461-221A-44D1-91FD-D20D2D1A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8C0395"/>
    <w:pPr>
      <w:tabs>
        <w:tab w:val="center" w:pos="4419"/>
        <w:tab w:val="right" w:pos="8838"/>
      </w:tabs>
    </w:pPr>
  </w:style>
  <w:style w:type="character" w:customStyle="1" w:styleId="PiedepginaCar">
    <w:name w:val="Pie de página Car"/>
    <w:basedOn w:val="Fuentedeprrafopredeter"/>
    <w:link w:val="Piedepgina"/>
    <w:uiPriority w:val="99"/>
    <w:rsid w:val="008C0395"/>
  </w:style>
  <w:style w:type="paragraph" w:styleId="Prrafodelista">
    <w:name w:val="List Paragraph"/>
    <w:basedOn w:val="Normal"/>
    <w:uiPriority w:val="34"/>
    <w:qFormat/>
    <w:rsid w:val="00400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imex.org.mx/saimex/solicitud/downloadAttach/2572445.page" TargetMode="External"/><Relationship Id="rId18" Type="http://schemas.openxmlformats.org/officeDocument/2006/relationships/hyperlink" Target="https://saimex.org.mx/saimex/solicitud/downloadAttach/2572450.page" TargetMode="External"/><Relationship Id="rId26" Type="http://schemas.openxmlformats.org/officeDocument/2006/relationships/hyperlink" Target="https://saimex.org.mx/saimex/solicitud/downloadAttach/2572441.page" TargetMode="External"/><Relationship Id="rId39" Type="http://schemas.openxmlformats.org/officeDocument/2006/relationships/fontTable" Target="fontTable.xml"/><Relationship Id="rId21" Type="http://schemas.openxmlformats.org/officeDocument/2006/relationships/hyperlink" Target="https://saimex.org.mx/saimex/solicitud/downloadAttach/2572450.page"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saimex.org.mx/saimex/solicitud/downloadAttach/2572444.page" TargetMode="External"/><Relationship Id="rId17" Type="http://schemas.openxmlformats.org/officeDocument/2006/relationships/hyperlink" Target="https://saimex.org.mx/saimex/solicitud/downloadAttach/2572449.page" TargetMode="External"/><Relationship Id="rId25" Type="http://schemas.openxmlformats.org/officeDocument/2006/relationships/hyperlink" Target="https://saimex.org.mx/saimex/solicitud/downloadAttach/2572443.page" TargetMode="External"/><Relationship Id="rId33" Type="http://schemas.openxmlformats.org/officeDocument/2006/relationships/image" Target="media/image2.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aimex.org.mx/saimex/solicitud/downloadAttach/2572448.page" TargetMode="External"/><Relationship Id="rId20" Type="http://schemas.openxmlformats.org/officeDocument/2006/relationships/hyperlink" Target="https://saimex.org.mx/saimex/solicitud/downloadAttach/2572449.page" TargetMode="External"/><Relationship Id="rId29" Type="http://schemas.openxmlformats.org/officeDocument/2006/relationships/hyperlink" Target="https://saimex.org.mx/saimex/solicitud/downloadAttach/2572451.pag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imex.org.mx/saimex/solicitud/downloadAttach/2572443.page" TargetMode="External"/><Relationship Id="rId24" Type="http://schemas.openxmlformats.org/officeDocument/2006/relationships/hyperlink" Target="https://saimex.org.mx/saimex/solicitud/downloadAttach/2572444.page" TargetMode="External"/><Relationship Id="rId32" Type="http://schemas.openxmlformats.org/officeDocument/2006/relationships/image" Target="media/image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aimex.org.mx/saimex/solicitud/downloadAttach/2572447.page" TargetMode="External"/><Relationship Id="rId23" Type="http://schemas.openxmlformats.org/officeDocument/2006/relationships/hyperlink" Target="https://saimex.org.mx/saimex/solicitud/downloadAttach/2572448.page" TargetMode="External"/><Relationship Id="rId28" Type="http://schemas.openxmlformats.org/officeDocument/2006/relationships/hyperlink" Target="https://saimex.org.mx/saimex/solicitud/downloadAttach/2572448.page" TargetMode="External"/><Relationship Id="rId36" Type="http://schemas.openxmlformats.org/officeDocument/2006/relationships/footer" Target="footer1.xml"/><Relationship Id="rId10" Type="http://schemas.openxmlformats.org/officeDocument/2006/relationships/hyperlink" Target="https://saimex.org.mx/saimex/solicitud/downloadAttach/2572442.page" TargetMode="External"/><Relationship Id="rId19" Type="http://schemas.openxmlformats.org/officeDocument/2006/relationships/hyperlink" Target="https://saimex.org.mx/saimex/solicitud/downloadAttach/2572451.page" TargetMode="External"/><Relationship Id="rId31" Type="http://schemas.openxmlformats.org/officeDocument/2006/relationships/hyperlink" Target="https://saimex.org.mx/saimex/solicitud/downloadAttach/2572445.page" TargetMode="External"/><Relationship Id="rId4" Type="http://schemas.openxmlformats.org/officeDocument/2006/relationships/styles" Target="styles.xml"/><Relationship Id="rId9" Type="http://schemas.openxmlformats.org/officeDocument/2006/relationships/hyperlink" Target="https://saimex.org.mx/saimex/solicitud/downloadAttach/2572441.page" TargetMode="External"/><Relationship Id="rId14" Type="http://schemas.openxmlformats.org/officeDocument/2006/relationships/hyperlink" Target="https://saimex.org.mx/saimex/solicitud/downloadAttach/2572446.page" TargetMode="External"/><Relationship Id="rId22" Type="http://schemas.openxmlformats.org/officeDocument/2006/relationships/hyperlink" Target="https://saimex.org.mx/saimex/solicitud/downloadAttach/2572447.page" TargetMode="External"/><Relationship Id="rId27" Type="http://schemas.openxmlformats.org/officeDocument/2006/relationships/hyperlink" Target="https://saimex.org.mx/saimex/solicitud/downloadAttach/2572443.page" TargetMode="External"/><Relationship Id="rId30" Type="http://schemas.openxmlformats.org/officeDocument/2006/relationships/hyperlink" Target="https://saimex.org.mx/saimex/solicitud/downloadAttach/2572444.page"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tyThWHZPV2pMEcWJ90YPb0ZAcg==">CgMxLjAaHwoBMBIaChgICVIUChJ0YWJsZS51djhzZG90bzAzNzAyCWguM3pueXNoNzIOaC4ydjIzMGtuaWRleTIyCWguM2R5NnZrbTIOaC4ycHFhNG1nbGtndjIyDmguc2c2OXBqZnVzY3o2Mg5oLjFzOHc0bnJpOHp0ODIOaC5mdXBnZHU1ZmU5OWkyDmgub21qNTMydmlqcGl0Mg1oLmp2eGFmY296YThzMg5oLjh0Z3E5YW0yeHk2djIOaC5uZ3FkZ2llMjBmamwyDWguazA2cmRlNzV0Mzg4AHIhMTRFVzdiYVNRbGlZb2pUWXJ1SXVBblpGb1R1elQwY3l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7C8377-D73D-4417-85C3-73D0A12B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5814</Words>
  <Characters>31977</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2026-05-21T23:20:00Z</cp:lastPrinted>
  <dcterms:created xsi:type="dcterms:W3CDTF">2026-05-20T22:36:00Z</dcterms:created>
  <dcterms:modified xsi:type="dcterms:W3CDTF">2026-05-28T23:44:00Z</dcterms:modified>
</cp:coreProperties>
</file>