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040526">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2201B906" w:rsidR="00C4052B" w:rsidRPr="00D05FA6" w:rsidRDefault="00C4052B" w:rsidP="00040526">
          <w:pPr>
            <w:pStyle w:val="Ttulode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917B9C">
            <w:rPr>
              <w:rFonts w:ascii="Palatino Linotype" w:hAnsi="Palatino Linotype"/>
              <w:color w:val="000000" w:themeColor="text1"/>
              <w:sz w:val="22"/>
              <w:szCs w:val="22"/>
            </w:rPr>
            <w:t>01</w:t>
          </w:r>
          <w:r w:rsidR="00BF2216">
            <w:rPr>
              <w:rFonts w:ascii="Palatino Linotype" w:hAnsi="Palatino Linotype"/>
              <w:color w:val="000000" w:themeColor="text1"/>
              <w:sz w:val="22"/>
              <w:szCs w:val="22"/>
            </w:rPr>
            <w:t>04</w:t>
          </w:r>
          <w:r w:rsidR="00F250EE">
            <w:rPr>
              <w:rFonts w:ascii="Palatino Linotype" w:hAnsi="Palatino Linotype"/>
              <w:color w:val="000000" w:themeColor="text1"/>
              <w:sz w:val="22"/>
              <w:szCs w:val="22"/>
            </w:rPr>
            <w:t>1</w:t>
          </w:r>
          <w:r w:rsidR="00133971" w:rsidRPr="00133971">
            <w:rPr>
              <w:rFonts w:ascii="Palatino Linotype" w:hAnsi="Palatino Linotype"/>
              <w:color w:val="000000" w:themeColor="text1"/>
              <w:sz w:val="22"/>
              <w:szCs w:val="22"/>
            </w:rPr>
            <w:t>/INFOEM/IP/RR/202</w:t>
          </w:r>
          <w:r w:rsidR="00F250EE">
            <w:rPr>
              <w:rFonts w:ascii="Palatino Linotype" w:hAnsi="Palatino Linotype"/>
              <w:color w:val="000000" w:themeColor="text1"/>
              <w:sz w:val="22"/>
              <w:szCs w:val="22"/>
            </w:rPr>
            <w:t>6</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040526">
          <w:pPr>
            <w:spacing w:after="0" w:line="360" w:lineRule="auto"/>
            <w:contextualSpacing/>
          </w:pPr>
        </w:p>
        <w:p w14:paraId="799B93E3" w14:textId="77777777" w:rsidR="00A23005"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22409062" w:history="1">
            <w:r w:rsidR="00A23005" w:rsidRPr="007B1B41">
              <w:rPr>
                <w:rStyle w:val="Hipervnculo"/>
                <w:noProof/>
              </w:rPr>
              <w:t>A N T E C E D E N T E S</w:t>
            </w:r>
            <w:r w:rsidR="00A23005">
              <w:rPr>
                <w:noProof/>
                <w:webHidden/>
              </w:rPr>
              <w:tab/>
            </w:r>
            <w:r w:rsidR="00A23005">
              <w:rPr>
                <w:noProof/>
                <w:webHidden/>
              </w:rPr>
              <w:fldChar w:fldCharType="begin"/>
            </w:r>
            <w:r w:rsidR="00A23005">
              <w:rPr>
                <w:noProof/>
                <w:webHidden/>
              </w:rPr>
              <w:instrText xml:space="preserve"> PAGEREF _Toc222409062 \h </w:instrText>
            </w:r>
            <w:r w:rsidR="00A23005">
              <w:rPr>
                <w:noProof/>
                <w:webHidden/>
              </w:rPr>
            </w:r>
            <w:r w:rsidR="00A23005">
              <w:rPr>
                <w:noProof/>
                <w:webHidden/>
              </w:rPr>
              <w:fldChar w:fldCharType="separate"/>
            </w:r>
            <w:r w:rsidR="00F45306">
              <w:rPr>
                <w:noProof/>
                <w:webHidden/>
              </w:rPr>
              <w:t>2</w:t>
            </w:r>
            <w:r w:rsidR="00A23005">
              <w:rPr>
                <w:noProof/>
                <w:webHidden/>
              </w:rPr>
              <w:fldChar w:fldCharType="end"/>
            </w:r>
          </w:hyperlink>
        </w:p>
        <w:p w14:paraId="60856F1D" w14:textId="77777777" w:rsidR="00A23005" w:rsidRDefault="00972C4E">
          <w:pPr>
            <w:pStyle w:val="TDC2"/>
            <w:rPr>
              <w:rFonts w:asciiTheme="minorHAnsi" w:eastAsiaTheme="minorEastAsia" w:hAnsiTheme="minorHAnsi" w:cstheme="minorBidi"/>
              <w:color w:val="auto"/>
              <w:lang w:eastAsia="es-MX"/>
            </w:rPr>
          </w:pPr>
          <w:hyperlink w:anchor="_Toc222409063" w:history="1">
            <w:r w:rsidR="00A23005" w:rsidRPr="007B1B41">
              <w:rPr>
                <w:rStyle w:val="Hipervnculo"/>
              </w:rPr>
              <w:t>I. Presentación de la solicitud de información</w:t>
            </w:r>
            <w:r w:rsidR="00A23005">
              <w:rPr>
                <w:webHidden/>
              </w:rPr>
              <w:tab/>
            </w:r>
            <w:r w:rsidR="00A23005">
              <w:rPr>
                <w:webHidden/>
              </w:rPr>
              <w:fldChar w:fldCharType="begin"/>
            </w:r>
            <w:r w:rsidR="00A23005">
              <w:rPr>
                <w:webHidden/>
              </w:rPr>
              <w:instrText xml:space="preserve"> PAGEREF _Toc222409063 \h </w:instrText>
            </w:r>
            <w:r w:rsidR="00A23005">
              <w:rPr>
                <w:webHidden/>
              </w:rPr>
            </w:r>
            <w:r w:rsidR="00A23005">
              <w:rPr>
                <w:webHidden/>
              </w:rPr>
              <w:fldChar w:fldCharType="separate"/>
            </w:r>
            <w:r w:rsidR="00F45306">
              <w:rPr>
                <w:webHidden/>
              </w:rPr>
              <w:t>2</w:t>
            </w:r>
            <w:r w:rsidR="00A23005">
              <w:rPr>
                <w:webHidden/>
              </w:rPr>
              <w:fldChar w:fldCharType="end"/>
            </w:r>
          </w:hyperlink>
        </w:p>
        <w:p w14:paraId="7A048AEA" w14:textId="77777777" w:rsidR="00A23005" w:rsidRDefault="00972C4E">
          <w:pPr>
            <w:pStyle w:val="TDC2"/>
            <w:rPr>
              <w:rFonts w:asciiTheme="minorHAnsi" w:eastAsiaTheme="minorEastAsia" w:hAnsiTheme="minorHAnsi" w:cstheme="minorBidi"/>
              <w:color w:val="auto"/>
              <w:lang w:eastAsia="es-MX"/>
            </w:rPr>
          </w:pPr>
          <w:hyperlink w:anchor="_Toc222409064" w:history="1">
            <w:r w:rsidR="00A23005" w:rsidRPr="007B1B41">
              <w:rPr>
                <w:rStyle w:val="Hipervnculo"/>
              </w:rPr>
              <w:t>II. Respuestas del Sujeto Obligado</w:t>
            </w:r>
            <w:r w:rsidR="00A23005">
              <w:rPr>
                <w:webHidden/>
              </w:rPr>
              <w:tab/>
            </w:r>
            <w:r w:rsidR="00A23005">
              <w:rPr>
                <w:webHidden/>
              </w:rPr>
              <w:fldChar w:fldCharType="begin"/>
            </w:r>
            <w:r w:rsidR="00A23005">
              <w:rPr>
                <w:webHidden/>
              </w:rPr>
              <w:instrText xml:space="preserve"> PAGEREF _Toc222409064 \h </w:instrText>
            </w:r>
            <w:r w:rsidR="00A23005">
              <w:rPr>
                <w:webHidden/>
              </w:rPr>
            </w:r>
            <w:r w:rsidR="00A23005">
              <w:rPr>
                <w:webHidden/>
              </w:rPr>
              <w:fldChar w:fldCharType="separate"/>
            </w:r>
            <w:r w:rsidR="00F45306">
              <w:rPr>
                <w:webHidden/>
              </w:rPr>
              <w:t>3</w:t>
            </w:r>
            <w:r w:rsidR="00A23005">
              <w:rPr>
                <w:webHidden/>
              </w:rPr>
              <w:fldChar w:fldCharType="end"/>
            </w:r>
          </w:hyperlink>
        </w:p>
        <w:p w14:paraId="1B523BFB" w14:textId="77777777" w:rsidR="00A23005" w:rsidRDefault="00972C4E">
          <w:pPr>
            <w:pStyle w:val="TDC2"/>
            <w:rPr>
              <w:rFonts w:asciiTheme="minorHAnsi" w:eastAsiaTheme="minorEastAsia" w:hAnsiTheme="minorHAnsi" w:cstheme="minorBidi"/>
              <w:color w:val="auto"/>
              <w:lang w:eastAsia="es-MX"/>
            </w:rPr>
          </w:pPr>
          <w:hyperlink w:anchor="_Toc222409065" w:history="1">
            <w:r w:rsidR="00A23005" w:rsidRPr="007B1B41">
              <w:rPr>
                <w:rStyle w:val="Hipervnculo"/>
              </w:rPr>
              <w:t>III. Prórroga</w:t>
            </w:r>
            <w:r w:rsidR="00A23005">
              <w:rPr>
                <w:webHidden/>
              </w:rPr>
              <w:tab/>
            </w:r>
            <w:r w:rsidR="00A23005">
              <w:rPr>
                <w:webHidden/>
              </w:rPr>
              <w:fldChar w:fldCharType="begin"/>
            </w:r>
            <w:r w:rsidR="00A23005">
              <w:rPr>
                <w:webHidden/>
              </w:rPr>
              <w:instrText xml:space="preserve"> PAGEREF _Toc222409065 \h </w:instrText>
            </w:r>
            <w:r w:rsidR="00A23005">
              <w:rPr>
                <w:webHidden/>
              </w:rPr>
            </w:r>
            <w:r w:rsidR="00A23005">
              <w:rPr>
                <w:webHidden/>
              </w:rPr>
              <w:fldChar w:fldCharType="separate"/>
            </w:r>
            <w:r w:rsidR="00F45306">
              <w:rPr>
                <w:webHidden/>
              </w:rPr>
              <w:t>4</w:t>
            </w:r>
            <w:r w:rsidR="00A23005">
              <w:rPr>
                <w:webHidden/>
              </w:rPr>
              <w:fldChar w:fldCharType="end"/>
            </w:r>
          </w:hyperlink>
        </w:p>
        <w:p w14:paraId="3CD3C129" w14:textId="77777777" w:rsidR="00A23005" w:rsidRDefault="00972C4E">
          <w:pPr>
            <w:pStyle w:val="TDC2"/>
            <w:rPr>
              <w:rFonts w:asciiTheme="minorHAnsi" w:eastAsiaTheme="minorEastAsia" w:hAnsiTheme="minorHAnsi" w:cstheme="minorBidi"/>
              <w:color w:val="auto"/>
              <w:lang w:eastAsia="es-MX"/>
            </w:rPr>
          </w:pPr>
          <w:hyperlink w:anchor="_Toc222409066" w:history="1">
            <w:r w:rsidR="00A23005" w:rsidRPr="007B1B41">
              <w:rPr>
                <w:rStyle w:val="Hipervnculo"/>
              </w:rPr>
              <w:t>IV. Interposición del Recurso de Revisión</w:t>
            </w:r>
            <w:r w:rsidR="00A23005">
              <w:rPr>
                <w:webHidden/>
              </w:rPr>
              <w:tab/>
            </w:r>
            <w:r w:rsidR="00A23005">
              <w:rPr>
                <w:webHidden/>
              </w:rPr>
              <w:fldChar w:fldCharType="begin"/>
            </w:r>
            <w:r w:rsidR="00A23005">
              <w:rPr>
                <w:webHidden/>
              </w:rPr>
              <w:instrText xml:space="preserve"> PAGEREF _Toc222409066 \h </w:instrText>
            </w:r>
            <w:r w:rsidR="00A23005">
              <w:rPr>
                <w:webHidden/>
              </w:rPr>
            </w:r>
            <w:r w:rsidR="00A23005">
              <w:rPr>
                <w:webHidden/>
              </w:rPr>
              <w:fldChar w:fldCharType="separate"/>
            </w:r>
            <w:r w:rsidR="00F45306">
              <w:rPr>
                <w:webHidden/>
              </w:rPr>
              <w:t>4</w:t>
            </w:r>
            <w:r w:rsidR="00A23005">
              <w:rPr>
                <w:webHidden/>
              </w:rPr>
              <w:fldChar w:fldCharType="end"/>
            </w:r>
          </w:hyperlink>
        </w:p>
        <w:p w14:paraId="22A6057B" w14:textId="77777777" w:rsidR="00A23005" w:rsidRDefault="00972C4E">
          <w:pPr>
            <w:pStyle w:val="TDC2"/>
            <w:rPr>
              <w:rFonts w:asciiTheme="minorHAnsi" w:eastAsiaTheme="minorEastAsia" w:hAnsiTheme="minorHAnsi" w:cstheme="minorBidi"/>
              <w:color w:val="auto"/>
              <w:lang w:eastAsia="es-MX"/>
            </w:rPr>
          </w:pPr>
          <w:hyperlink w:anchor="_Toc222409067" w:history="1">
            <w:r w:rsidR="00A23005" w:rsidRPr="007B1B41">
              <w:rPr>
                <w:rStyle w:val="Hipervnculo"/>
              </w:rPr>
              <w:t>V. Trámite de los Recursos de Revisión ante este Instituto</w:t>
            </w:r>
            <w:r w:rsidR="00A23005">
              <w:rPr>
                <w:webHidden/>
              </w:rPr>
              <w:tab/>
            </w:r>
            <w:r w:rsidR="00A23005">
              <w:rPr>
                <w:webHidden/>
              </w:rPr>
              <w:fldChar w:fldCharType="begin"/>
            </w:r>
            <w:r w:rsidR="00A23005">
              <w:rPr>
                <w:webHidden/>
              </w:rPr>
              <w:instrText xml:space="preserve"> PAGEREF _Toc222409067 \h </w:instrText>
            </w:r>
            <w:r w:rsidR="00A23005">
              <w:rPr>
                <w:webHidden/>
              </w:rPr>
            </w:r>
            <w:r w:rsidR="00A23005">
              <w:rPr>
                <w:webHidden/>
              </w:rPr>
              <w:fldChar w:fldCharType="separate"/>
            </w:r>
            <w:r w:rsidR="00F45306">
              <w:rPr>
                <w:webHidden/>
              </w:rPr>
              <w:t>13</w:t>
            </w:r>
            <w:r w:rsidR="00A23005">
              <w:rPr>
                <w:webHidden/>
              </w:rPr>
              <w:fldChar w:fldCharType="end"/>
            </w:r>
          </w:hyperlink>
        </w:p>
        <w:p w14:paraId="562D1361" w14:textId="77777777" w:rsidR="00A23005" w:rsidRDefault="00972C4E">
          <w:pPr>
            <w:pStyle w:val="TDC1"/>
            <w:tabs>
              <w:tab w:val="right" w:leader="dot" w:pos="8921"/>
            </w:tabs>
            <w:rPr>
              <w:rFonts w:asciiTheme="minorHAnsi" w:eastAsiaTheme="minorEastAsia" w:hAnsiTheme="minorHAnsi" w:cstheme="minorBidi"/>
              <w:noProof/>
              <w:color w:val="auto"/>
            </w:rPr>
          </w:pPr>
          <w:hyperlink w:anchor="_Toc222409068" w:history="1">
            <w:r w:rsidR="00A23005" w:rsidRPr="007B1B41">
              <w:rPr>
                <w:rStyle w:val="Hipervnculo"/>
                <w:noProof/>
              </w:rPr>
              <w:t>C O N S I D E R A N D O S</w:t>
            </w:r>
            <w:r w:rsidR="00A23005">
              <w:rPr>
                <w:noProof/>
                <w:webHidden/>
              </w:rPr>
              <w:tab/>
            </w:r>
            <w:r w:rsidR="00A23005">
              <w:rPr>
                <w:noProof/>
                <w:webHidden/>
              </w:rPr>
              <w:fldChar w:fldCharType="begin"/>
            </w:r>
            <w:r w:rsidR="00A23005">
              <w:rPr>
                <w:noProof/>
                <w:webHidden/>
              </w:rPr>
              <w:instrText xml:space="preserve"> PAGEREF _Toc222409068 \h </w:instrText>
            </w:r>
            <w:r w:rsidR="00A23005">
              <w:rPr>
                <w:noProof/>
                <w:webHidden/>
              </w:rPr>
            </w:r>
            <w:r w:rsidR="00A23005">
              <w:rPr>
                <w:noProof/>
                <w:webHidden/>
              </w:rPr>
              <w:fldChar w:fldCharType="separate"/>
            </w:r>
            <w:r w:rsidR="00F45306">
              <w:rPr>
                <w:noProof/>
                <w:webHidden/>
              </w:rPr>
              <w:t>15</w:t>
            </w:r>
            <w:r w:rsidR="00A23005">
              <w:rPr>
                <w:noProof/>
                <w:webHidden/>
              </w:rPr>
              <w:fldChar w:fldCharType="end"/>
            </w:r>
          </w:hyperlink>
        </w:p>
        <w:p w14:paraId="1A4D45F5" w14:textId="77777777" w:rsidR="00A23005" w:rsidRDefault="00972C4E">
          <w:pPr>
            <w:pStyle w:val="TDC2"/>
            <w:rPr>
              <w:rFonts w:asciiTheme="minorHAnsi" w:eastAsiaTheme="minorEastAsia" w:hAnsiTheme="minorHAnsi" w:cstheme="minorBidi"/>
              <w:color w:val="auto"/>
              <w:lang w:eastAsia="es-MX"/>
            </w:rPr>
          </w:pPr>
          <w:hyperlink w:anchor="_Toc222409069" w:history="1">
            <w:r w:rsidR="00A23005" w:rsidRPr="007B1B41">
              <w:rPr>
                <w:rStyle w:val="Hipervnculo"/>
              </w:rPr>
              <w:t>PRIMERO. Competencia</w:t>
            </w:r>
            <w:r w:rsidR="00A23005">
              <w:rPr>
                <w:webHidden/>
              </w:rPr>
              <w:tab/>
            </w:r>
            <w:r w:rsidR="00A23005">
              <w:rPr>
                <w:webHidden/>
              </w:rPr>
              <w:fldChar w:fldCharType="begin"/>
            </w:r>
            <w:r w:rsidR="00A23005">
              <w:rPr>
                <w:webHidden/>
              </w:rPr>
              <w:instrText xml:space="preserve"> PAGEREF _Toc222409069 \h </w:instrText>
            </w:r>
            <w:r w:rsidR="00A23005">
              <w:rPr>
                <w:webHidden/>
              </w:rPr>
            </w:r>
            <w:r w:rsidR="00A23005">
              <w:rPr>
                <w:webHidden/>
              </w:rPr>
              <w:fldChar w:fldCharType="separate"/>
            </w:r>
            <w:r w:rsidR="00F45306">
              <w:rPr>
                <w:webHidden/>
              </w:rPr>
              <w:t>15</w:t>
            </w:r>
            <w:r w:rsidR="00A23005">
              <w:rPr>
                <w:webHidden/>
              </w:rPr>
              <w:fldChar w:fldCharType="end"/>
            </w:r>
          </w:hyperlink>
        </w:p>
        <w:p w14:paraId="21819A0D" w14:textId="77777777" w:rsidR="00A23005" w:rsidRDefault="00972C4E">
          <w:pPr>
            <w:pStyle w:val="TDC2"/>
            <w:rPr>
              <w:rFonts w:asciiTheme="minorHAnsi" w:eastAsiaTheme="minorEastAsia" w:hAnsiTheme="minorHAnsi" w:cstheme="minorBidi"/>
              <w:color w:val="auto"/>
              <w:lang w:eastAsia="es-MX"/>
            </w:rPr>
          </w:pPr>
          <w:hyperlink w:anchor="_Toc222409070" w:history="1">
            <w:r w:rsidR="00A23005" w:rsidRPr="007B1B41">
              <w:rPr>
                <w:rStyle w:val="Hipervnculo"/>
              </w:rPr>
              <w:t>SEGUNDO. Causales de improcedencia y sobreseimiento</w:t>
            </w:r>
            <w:r w:rsidR="00A23005">
              <w:rPr>
                <w:webHidden/>
              </w:rPr>
              <w:tab/>
            </w:r>
            <w:r w:rsidR="00A23005">
              <w:rPr>
                <w:webHidden/>
              </w:rPr>
              <w:fldChar w:fldCharType="begin"/>
            </w:r>
            <w:r w:rsidR="00A23005">
              <w:rPr>
                <w:webHidden/>
              </w:rPr>
              <w:instrText xml:space="preserve"> PAGEREF _Toc222409070 \h </w:instrText>
            </w:r>
            <w:r w:rsidR="00A23005">
              <w:rPr>
                <w:webHidden/>
              </w:rPr>
            </w:r>
            <w:r w:rsidR="00A23005">
              <w:rPr>
                <w:webHidden/>
              </w:rPr>
              <w:fldChar w:fldCharType="separate"/>
            </w:r>
            <w:r w:rsidR="00F45306">
              <w:rPr>
                <w:webHidden/>
              </w:rPr>
              <w:t>15</w:t>
            </w:r>
            <w:r w:rsidR="00A23005">
              <w:rPr>
                <w:webHidden/>
              </w:rPr>
              <w:fldChar w:fldCharType="end"/>
            </w:r>
          </w:hyperlink>
        </w:p>
        <w:p w14:paraId="03FFBA98" w14:textId="77777777" w:rsidR="00A23005" w:rsidRDefault="00972C4E">
          <w:pPr>
            <w:pStyle w:val="TDC2"/>
            <w:rPr>
              <w:rFonts w:asciiTheme="minorHAnsi" w:eastAsiaTheme="minorEastAsia" w:hAnsiTheme="minorHAnsi" w:cstheme="minorBidi"/>
              <w:color w:val="auto"/>
              <w:lang w:eastAsia="es-MX"/>
            </w:rPr>
          </w:pPr>
          <w:hyperlink w:anchor="_Toc222409071" w:history="1">
            <w:r w:rsidR="00A23005" w:rsidRPr="007B1B41">
              <w:rPr>
                <w:rStyle w:val="Hipervnculo"/>
              </w:rPr>
              <w:t>TERCERO. Determinación de la Controversia</w:t>
            </w:r>
            <w:r w:rsidR="00A23005">
              <w:rPr>
                <w:webHidden/>
              </w:rPr>
              <w:tab/>
            </w:r>
            <w:r w:rsidR="00A23005">
              <w:rPr>
                <w:webHidden/>
              </w:rPr>
              <w:fldChar w:fldCharType="begin"/>
            </w:r>
            <w:r w:rsidR="00A23005">
              <w:rPr>
                <w:webHidden/>
              </w:rPr>
              <w:instrText xml:space="preserve"> PAGEREF _Toc222409071 \h </w:instrText>
            </w:r>
            <w:r w:rsidR="00A23005">
              <w:rPr>
                <w:webHidden/>
              </w:rPr>
            </w:r>
            <w:r w:rsidR="00A23005">
              <w:rPr>
                <w:webHidden/>
              </w:rPr>
              <w:fldChar w:fldCharType="separate"/>
            </w:r>
            <w:r w:rsidR="00F45306">
              <w:rPr>
                <w:webHidden/>
              </w:rPr>
              <w:t>17</w:t>
            </w:r>
            <w:r w:rsidR="00A23005">
              <w:rPr>
                <w:webHidden/>
              </w:rPr>
              <w:fldChar w:fldCharType="end"/>
            </w:r>
          </w:hyperlink>
        </w:p>
        <w:p w14:paraId="04A612D8" w14:textId="77777777" w:rsidR="00A23005" w:rsidRDefault="00972C4E">
          <w:pPr>
            <w:pStyle w:val="TDC2"/>
            <w:rPr>
              <w:rFonts w:asciiTheme="minorHAnsi" w:eastAsiaTheme="minorEastAsia" w:hAnsiTheme="minorHAnsi" w:cstheme="minorBidi"/>
              <w:color w:val="auto"/>
              <w:lang w:eastAsia="es-MX"/>
            </w:rPr>
          </w:pPr>
          <w:hyperlink w:anchor="_Toc222409072" w:history="1">
            <w:r w:rsidR="00A23005" w:rsidRPr="007B1B41">
              <w:rPr>
                <w:rStyle w:val="Hipervnculo"/>
              </w:rPr>
              <w:t>CUARTO. Marco normativo aplicable en materia de transparencia y acceso a la información pública</w:t>
            </w:r>
            <w:r w:rsidR="00A23005">
              <w:rPr>
                <w:webHidden/>
              </w:rPr>
              <w:tab/>
            </w:r>
            <w:r w:rsidR="00A23005">
              <w:rPr>
                <w:webHidden/>
              </w:rPr>
              <w:fldChar w:fldCharType="begin"/>
            </w:r>
            <w:r w:rsidR="00A23005">
              <w:rPr>
                <w:webHidden/>
              </w:rPr>
              <w:instrText xml:space="preserve"> PAGEREF _Toc222409072 \h </w:instrText>
            </w:r>
            <w:r w:rsidR="00A23005">
              <w:rPr>
                <w:webHidden/>
              </w:rPr>
            </w:r>
            <w:r w:rsidR="00A23005">
              <w:rPr>
                <w:webHidden/>
              </w:rPr>
              <w:fldChar w:fldCharType="separate"/>
            </w:r>
            <w:r w:rsidR="00F45306">
              <w:rPr>
                <w:webHidden/>
              </w:rPr>
              <w:t>18</w:t>
            </w:r>
            <w:r w:rsidR="00A23005">
              <w:rPr>
                <w:webHidden/>
              </w:rPr>
              <w:fldChar w:fldCharType="end"/>
            </w:r>
          </w:hyperlink>
        </w:p>
        <w:p w14:paraId="722D8FBA" w14:textId="77777777" w:rsidR="00A23005" w:rsidRDefault="00972C4E">
          <w:pPr>
            <w:pStyle w:val="TDC2"/>
            <w:rPr>
              <w:rFonts w:asciiTheme="minorHAnsi" w:eastAsiaTheme="minorEastAsia" w:hAnsiTheme="minorHAnsi" w:cstheme="minorBidi"/>
              <w:color w:val="auto"/>
              <w:lang w:eastAsia="es-MX"/>
            </w:rPr>
          </w:pPr>
          <w:hyperlink w:anchor="_Toc222409073" w:history="1">
            <w:r w:rsidR="00A23005" w:rsidRPr="007B1B41">
              <w:rPr>
                <w:rStyle w:val="Hipervnculo"/>
              </w:rPr>
              <w:t>QUINTO. Estudio de Fondo</w:t>
            </w:r>
            <w:r w:rsidR="00A23005">
              <w:rPr>
                <w:webHidden/>
              </w:rPr>
              <w:tab/>
            </w:r>
            <w:r w:rsidR="00A23005">
              <w:rPr>
                <w:webHidden/>
              </w:rPr>
              <w:fldChar w:fldCharType="begin"/>
            </w:r>
            <w:r w:rsidR="00A23005">
              <w:rPr>
                <w:webHidden/>
              </w:rPr>
              <w:instrText xml:space="preserve"> PAGEREF _Toc222409073 \h </w:instrText>
            </w:r>
            <w:r w:rsidR="00A23005">
              <w:rPr>
                <w:webHidden/>
              </w:rPr>
            </w:r>
            <w:r w:rsidR="00A23005">
              <w:rPr>
                <w:webHidden/>
              </w:rPr>
              <w:fldChar w:fldCharType="separate"/>
            </w:r>
            <w:r w:rsidR="00F45306">
              <w:rPr>
                <w:webHidden/>
              </w:rPr>
              <w:t>19</w:t>
            </w:r>
            <w:r w:rsidR="00A23005">
              <w:rPr>
                <w:webHidden/>
              </w:rPr>
              <w:fldChar w:fldCharType="end"/>
            </w:r>
          </w:hyperlink>
        </w:p>
        <w:p w14:paraId="58EFD9AA" w14:textId="77777777" w:rsidR="00A23005" w:rsidRDefault="00972C4E">
          <w:pPr>
            <w:pStyle w:val="TDC2"/>
            <w:rPr>
              <w:rFonts w:asciiTheme="minorHAnsi" w:eastAsiaTheme="minorEastAsia" w:hAnsiTheme="minorHAnsi" w:cstheme="minorBidi"/>
              <w:color w:val="auto"/>
              <w:lang w:eastAsia="es-MX"/>
            </w:rPr>
          </w:pPr>
          <w:hyperlink w:anchor="_Toc222409074" w:history="1">
            <w:r w:rsidR="00A23005" w:rsidRPr="007B1B41">
              <w:rPr>
                <w:rStyle w:val="Hipervnculo"/>
              </w:rPr>
              <w:t>SEXTO. Decisión</w:t>
            </w:r>
            <w:r w:rsidR="00A23005">
              <w:rPr>
                <w:webHidden/>
              </w:rPr>
              <w:tab/>
            </w:r>
            <w:r w:rsidR="00A23005">
              <w:rPr>
                <w:webHidden/>
              </w:rPr>
              <w:fldChar w:fldCharType="begin"/>
            </w:r>
            <w:r w:rsidR="00A23005">
              <w:rPr>
                <w:webHidden/>
              </w:rPr>
              <w:instrText xml:space="preserve"> PAGEREF _Toc222409074 \h </w:instrText>
            </w:r>
            <w:r w:rsidR="00A23005">
              <w:rPr>
                <w:webHidden/>
              </w:rPr>
            </w:r>
            <w:r w:rsidR="00A23005">
              <w:rPr>
                <w:webHidden/>
              </w:rPr>
              <w:fldChar w:fldCharType="separate"/>
            </w:r>
            <w:r w:rsidR="00F45306">
              <w:rPr>
                <w:webHidden/>
              </w:rPr>
              <w:t>25</w:t>
            </w:r>
            <w:r w:rsidR="00A23005">
              <w:rPr>
                <w:webHidden/>
              </w:rPr>
              <w:fldChar w:fldCharType="end"/>
            </w:r>
          </w:hyperlink>
        </w:p>
        <w:p w14:paraId="047E3BC8" w14:textId="77777777" w:rsidR="00A23005" w:rsidRDefault="00972C4E">
          <w:pPr>
            <w:pStyle w:val="TDC2"/>
            <w:rPr>
              <w:rFonts w:asciiTheme="minorHAnsi" w:eastAsiaTheme="minorEastAsia" w:hAnsiTheme="minorHAnsi" w:cstheme="minorBidi"/>
              <w:color w:val="auto"/>
              <w:lang w:eastAsia="es-MX"/>
            </w:rPr>
          </w:pPr>
          <w:hyperlink w:anchor="_Toc222409075" w:history="1">
            <w:r w:rsidR="00A23005" w:rsidRPr="007B1B41">
              <w:rPr>
                <w:rStyle w:val="Hipervnculo"/>
                <w:b/>
              </w:rPr>
              <w:t>SÉPTIMO. Vista a la Secretaría</w:t>
            </w:r>
            <w:r w:rsidR="00A23005" w:rsidRPr="007B1B41">
              <w:rPr>
                <w:rStyle w:val="Hipervnculo"/>
                <w:b/>
                <w:lang w:val="x-none"/>
              </w:rPr>
              <w:t xml:space="preserve"> Técnica del </w:t>
            </w:r>
            <w:r w:rsidR="00A23005" w:rsidRPr="007B1B41">
              <w:rPr>
                <w:rStyle w:val="Hipervnculo"/>
                <w:b/>
              </w:rPr>
              <w:t>Pleno</w:t>
            </w:r>
            <w:r w:rsidR="00A23005">
              <w:rPr>
                <w:webHidden/>
              </w:rPr>
              <w:tab/>
            </w:r>
            <w:r w:rsidR="00A23005">
              <w:rPr>
                <w:webHidden/>
              </w:rPr>
              <w:fldChar w:fldCharType="begin"/>
            </w:r>
            <w:r w:rsidR="00A23005">
              <w:rPr>
                <w:webHidden/>
              </w:rPr>
              <w:instrText xml:space="preserve"> PAGEREF _Toc222409075 \h </w:instrText>
            </w:r>
            <w:r w:rsidR="00A23005">
              <w:rPr>
                <w:webHidden/>
              </w:rPr>
            </w:r>
            <w:r w:rsidR="00A23005">
              <w:rPr>
                <w:webHidden/>
              </w:rPr>
              <w:fldChar w:fldCharType="separate"/>
            </w:r>
            <w:r w:rsidR="00F45306">
              <w:rPr>
                <w:webHidden/>
              </w:rPr>
              <w:t>25</w:t>
            </w:r>
            <w:r w:rsidR="00A23005">
              <w:rPr>
                <w:webHidden/>
              </w:rPr>
              <w:fldChar w:fldCharType="end"/>
            </w:r>
          </w:hyperlink>
        </w:p>
        <w:p w14:paraId="79C82625" w14:textId="77777777" w:rsidR="00A23005" w:rsidRDefault="00972C4E">
          <w:pPr>
            <w:pStyle w:val="TDC1"/>
            <w:tabs>
              <w:tab w:val="right" w:leader="dot" w:pos="8921"/>
            </w:tabs>
            <w:rPr>
              <w:rFonts w:asciiTheme="minorHAnsi" w:eastAsiaTheme="minorEastAsia" w:hAnsiTheme="minorHAnsi" w:cstheme="minorBidi"/>
              <w:noProof/>
              <w:color w:val="auto"/>
            </w:rPr>
          </w:pPr>
          <w:hyperlink w:anchor="_Toc222409076" w:history="1">
            <w:r w:rsidR="00A23005" w:rsidRPr="007B1B41">
              <w:rPr>
                <w:rStyle w:val="Hipervnculo"/>
                <w:rFonts w:eastAsia="Yu Gothic Light" w:cs="Times New Roman"/>
                <w:b/>
                <w:noProof/>
                <w:lang w:eastAsia="es-ES"/>
              </w:rPr>
              <w:t>R E S U E L V E</w:t>
            </w:r>
            <w:r w:rsidR="00A23005">
              <w:rPr>
                <w:noProof/>
                <w:webHidden/>
              </w:rPr>
              <w:tab/>
            </w:r>
            <w:r w:rsidR="00A23005">
              <w:rPr>
                <w:noProof/>
                <w:webHidden/>
              </w:rPr>
              <w:fldChar w:fldCharType="begin"/>
            </w:r>
            <w:r w:rsidR="00A23005">
              <w:rPr>
                <w:noProof/>
                <w:webHidden/>
              </w:rPr>
              <w:instrText xml:space="preserve"> PAGEREF _Toc222409076 \h </w:instrText>
            </w:r>
            <w:r w:rsidR="00A23005">
              <w:rPr>
                <w:noProof/>
                <w:webHidden/>
              </w:rPr>
            </w:r>
            <w:r w:rsidR="00A23005">
              <w:rPr>
                <w:noProof/>
                <w:webHidden/>
              </w:rPr>
              <w:fldChar w:fldCharType="separate"/>
            </w:r>
            <w:r w:rsidR="00F45306">
              <w:rPr>
                <w:noProof/>
                <w:webHidden/>
              </w:rPr>
              <w:t>27</w:t>
            </w:r>
            <w:r w:rsidR="00A23005">
              <w:rPr>
                <w:noProof/>
                <w:webHidden/>
              </w:rPr>
              <w:fldChar w:fldCharType="end"/>
            </w:r>
          </w:hyperlink>
        </w:p>
        <w:p w14:paraId="1307D060" w14:textId="77777777" w:rsidR="00C4052B" w:rsidRPr="00D05FA6" w:rsidRDefault="00C4052B" w:rsidP="00040526">
          <w:pPr>
            <w:spacing w:after="0" w:line="360" w:lineRule="auto"/>
            <w:contextualSpacing/>
          </w:pPr>
          <w:r w:rsidRPr="00D05FA6">
            <w:rPr>
              <w:b/>
              <w:bCs/>
              <w:lang w:val="es-ES"/>
            </w:rPr>
            <w:fldChar w:fldCharType="end"/>
          </w:r>
        </w:p>
      </w:sdtContent>
    </w:sdt>
    <w:p w14:paraId="2DD1AA19" w14:textId="77777777" w:rsidR="00C4052B" w:rsidRPr="00D05FA6" w:rsidRDefault="00C4052B" w:rsidP="00040526">
      <w:pPr>
        <w:tabs>
          <w:tab w:val="left" w:pos="8931"/>
        </w:tabs>
        <w:spacing w:after="0" w:line="360" w:lineRule="auto"/>
        <w:contextualSpacing/>
      </w:pPr>
    </w:p>
    <w:p w14:paraId="5F7755E6" w14:textId="77777777" w:rsidR="00D05FA6" w:rsidRPr="00D05FA6" w:rsidRDefault="00D05FA6" w:rsidP="00040526">
      <w:pPr>
        <w:spacing w:after="0" w:line="360" w:lineRule="auto"/>
        <w:contextualSpacing/>
      </w:pPr>
      <w:r w:rsidRPr="00D05FA6">
        <w:br w:type="page"/>
      </w:r>
    </w:p>
    <w:p w14:paraId="0E6C4604" w14:textId="77777777" w:rsidR="00A23005" w:rsidRDefault="00A23005" w:rsidP="00040526">
      <w:pPr>
        <w:tabs>
          <w:tab w:val="left" w:pos="8931"/>
        </w:tabs>
        <w:spacing w:after="0" w:line="360" w:lineRule="auto"/>
        <w:contextualSpacing/>
      </w:pPr>
    </w:p>
    <w:p w14:paraId="00274A13" w14:textId="43E4D7C9" w:rsidR="005C690F" w:rsidRPr="00D05FA6" w:rsidRDefault="007D6307" w:rsidP="00040526">
      <w:pPr>
        <w:tabs>
          <w:tab w:val="left" w:pos="8931"/>
        </w:tabs>
        <w:spacing w:after="0" w:line="360" w:lineRule="auto"/>
        <w:contextualSpacing/>
      </w:pPr>
      <w:r w:rsidRPr="00D05FA6">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917B9C">
        <w:t>dieciocho</w:t>
      </w:r>
      <w:r w:rsidR="00F250EE">
        <w:t xml:space="preserve"> de febrero</w:t>
      </w:r>
      <w:r w:rsidR="00530177" w:rsidRPr="00D05FA6">
        <w:t xml:space="preserve"> de dos mil </w:t>
      </w:r>
      <w:r w:rsidR="00652BD8">
        <w:t>veintiséis</w:t>
      </w:r>
      <w:r w:rsidR="00530177" w:rsidRPr="00D05FA6">
        <w:t>.</w:t>
      </w:r>
    </w:p>
    <w:p w14:paraId="7E51757E" w14:textId="77777777" w:rsidR="005C690F" w:rsidRPr="00D05FA6" w:rsidRDefault="005C690F" w:rsidP="00040526">
      <w:pPr>
        <w:spacing w:after="0" w:line="360" w:lineRule="auto"/>
        <w:contextualSpacing/>
        <w:rPr>
          <w:b/>
        </w:rPr>
      </w:pPr>
    </w:p>
    <w:p w14:paraId="161564A1" w14:textId="7C2C8DEA" w:rsidR="00426C03" w:rsidRPr="00D05FA6" w:rsidRDefault="00426C03" w:rsidP="00040526">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917B9C" w:rsidRPr="0063746E">
        <w:rPr>
          <w:rFonts w:cs="Tahoma"/>
          <w:b/>
        </w:rPr>
        <w:t>01</w:t>
      </w:r>
      <w:r w:rsidR="00F250EE" w:rsidRPr="0063746E">
        <w:rPr>
          <w:rFonts w:cs="Tahoma"/>
          <w:b/>
        </w:rPr>
        <w:t>0</w:t>
      </w:r>
      <w:r w:rsidR="00BF2216" w:rsidRPr="0063746E">
        <w:rPr>
          <w:rFonts w:cs="Tahoma"/>
          <w:b/>
        </w:rPr>
        <w:t>41</w:t>
      </w:r>
      <w:r w:rsidR="008D7E5D" w:rsidRPr="0063746E">
        <w:rPr>
          <w:rFonts w:cs="Tahoma"/>
          <w:b/>
        </w:rPr>
        <w:t>/INFOEM/IP/RR/202</w:t>
      </w:r>
      <w:r w:rsidR="00F250EE" w:rsidRPr="0063746E">
        <w:rPr>
          <w:rFonts w:cs="Tahoma"/>
          <w:b/>
        </w:rPr>
        <w:t>6</w:t>
      </w:r>
      <w:r w:rsidR="008D7E5D" w:rsidRPr="0063746E">
        <w:rPr>
          <w:rFonts w:cs="Tahoma"/>
          <w:b/>
        </w:rPr>
        <w:t xml:space="preserve">, </w:t>
      </w:r>
      <w:r w:rsidR="00917B9C" w:rsidRPr="0063746E">
        <w:rPr>
          <w:rFonts w:cs="Tahoma"/>
          <w:b/>
        </w:rPr>
        <w:t>010</w:t>
      </w:r>
      <w:r w:rsidR="00BF2216" w:rsidRPr="0063746E">
        <w:rPr>
          <w:rFonts w:cs="Tahoma"/>
          <w:b/>
        </w:rPr>
        <w:t>4</w:t>
      </w:r>
      <w:r w:rsidR="00917B9C" w:rsidRPr="0063746E">
        <w:rPr>
          <w:rFonts w:cs="Tahoma"/>
          <w:b/>
        </w:rPr>
        <w:t>6</w:t>
      </w:r>
      <w:r w:rsidR="008D7E5D" w:rsidRPr="0063746E">
        <w:rPr>
          <w:rFonts w:cs="Tahoma"/>
          <w:b/>
        </w:rPr>
        <w:t>/INFOEM/IP/RR/202</w:t>
      </w:r>
      <w:r w:rsidR="00F250EE" w:rsidRPr="0063746E">
        <w:rPr>
          <w:rFonts w:cs="Tahoma"/>
          <w:b/>
        </w:rPr>
        <w:t>6</w:t>
      </w:r>
      <w:r w:rsidR="008D7E5D" w:rsidRPr="0063746E">
        <w:rPr>
          <w:rFonts w:cs="Tahoma"/>
          <w:b/>
        </w:rPr>
        <w:t>,</w:t>
      </w:r>
      <w:r w:rsidR="00BF2216" w:rsidRPr="0063746E">
        <w:rPr>
          <w:rFonts w:cs="Tahoma"/>
          <w:b/>
        </w:rPr>
        <w:t xml:space="preserve"> 0105</w:t>
      </w:r>
      <w:r w:rsidR="00917B9C" w:rsidRPr="0063746E">
        <w:rPr>
          <w:rFonts w:cs="Tahoma"/>
          <w:b/>
        </w:rPr>
        <w:t>1</w:t>
      </w:r>
      <w:r w:rsidR="00C51940" w:rsidRPr="0063746E">
        <w:rPr>
          <w:rFonts w:cs="Tahoma"/>
          <w:b/>
        </w:rPr>
        <w:t>/INFOEM/IP/RR/2026</w:t>
      </w:r>
      <w:r w:rsidR="008D7E5D" w:rsidRPr="0063746E">
        <w:rPr>
          <w:rFonts w:cs="Tahoma"/>
          <w:b/>
        </w:rPr>
        <w:t xml:space="preserve"> </w:t>
      </w:r>
      <w:r w:rsidR="00BF2216" w:rsidRPr="0063746E">
        <w:rPr>
          <w:rFonts w:cs="Tahoma"/>
          <w:b/>
        </w:rPr>
        <w:t>01056/INFOEM/IP/RR/2026, 01061/INFOEM/IP/RR/2026 y 0106</w:t>
      </w:r>
      <w:r w:rsidR="00917B9C" w:rsidRPr="0063746E">
        <w:rPr>
          <w:rFonts w:cs="Tahoma"/>
          <w:b/>
        </w:rPr>
        <w:t>6/INFOEM/IP/RR/2026</w:t>
      </w:r>
      <w:r w:rsidR="00917B9C">
        <w:rPr>
          <w:rFonts w:cs="Tahoma"/>
        </w:rPr>
        <w:t>,</w:t>
      </w:r>
      <w:r w:rsidR="00F250EE" w:rsidRPr="00040526">
        <w:rPr>
          <w:rFonts w:cs="Tahoma"/>
        </w:rPr>
        <w:t xml:space="preserve"> </w:t>
      </w:r>
      <w:r w:rsidRPr="00040526">
        <w:rPr>
          <w:rFonts w:cs="Tahoma"/>
        </w:rPr>
        <w:t xml:space="preserve">interpuestos por </w:t>
      </w:r>
      <w:r w:rsidR="003C2BFC" w:rsidRPr="00040526">
        <w:rPr>
          <w:rFonts w:cs="Tahoma"/>
        </w:rPr>
        <w:t>la persona</w:t>
      </w:r>
      <w:r w:rsidRPr="00040526">
        <w:rPr>
          <w:rFonts w:cs="Tahoma"/>
        </w:rPr>
        <w:t xml:space="preserve"> Recurrente y/o Particular, en contra de la</w:t>
      </w:r>
      <w:r w:rsidR="00040526">
        <w:rPr>
          <w:rFonts w:cs="Tahoma"/>
        </w:rPr>
        <w:t xml:space="preserve"> falta de</w:t>
      </w:r>
      <w:r w:rsidRPr="00040526">
        <w:rPr>
          <w:rFonts w:cs="Tahoma"/>
        </w:rPr>
        <w:t xml:space="preserve"> respuesta del Sujeto Obligado </w:t>
      </w:r>
      <w:r w:rsidR="00010D49" w:rsidRPr="0063746E">
        <w:rPr>
          <w:rFonts w:cs="Tahoma"/>
          <w:b/>
        </w:rPr>
        <w:t>Ayuntamiento de Tepotzotlán</w:t>
      </w:r>
      <w:r w:rsidR="00040526">
        <w:rPr>
          <w:rFonts w:cs="Tahoma"/>
        </w:rPr>
        <w:t>, a las solicitudes de información</w:t>
      </w:r>
      <w:r w:rsidRPr="00040526">
        <w:rPr>
          <w:rFonts w:cs="Tahoma"/>
        </w:rPr>
        <w:t>, se</w:t>
      </w:r>
      <w:r w:rsidRPr="00D05FA6">
        <w:rPr>
          <w:rFonts w:cs="Tahoma"/>
          <w:bCs/>
        </w:rPr>
        <w:t xml:space="preserve"> emite la presente Resolución, con base en los Antecedentes y Considerandos que a continuación se exponen:</w:t>
      </w:r>
    </w:p>
    <w:p w14:paraId="4DC22E1C" w14:textId="77777777" w:rsidR="005C690F" w:rsidRPr="00D05FA6" w:rsidRDefault="005C690F" w:rsidP="00040526">
      <w:pPr>
        <w:spacing w:after="0" w:line="360" w:lineRule="auto"/>
        <w:contextualSpacing/>
        <w:rPr>
          <w:b/>
        </w:rPr>
      </w:pPr>
    </w:p>
    <w:p w14:paraId="2D6FB5CD" w14:textId="77777777" w:rsidR="005C690F" w:rsidRPr="00D05FA6" w:rsidRDefault="00CD6238" w:rsidP="00040526">
      <w:pPr>
        <w:pStyle w:val="Ttulo1"/>
        <w:spacing w:before="0" w:after="0" w:line="360" w:lineRule="auto"/>
        <w:contextualSpacing/>
        <w:jc w:val="center"/>
        <w:rPr>
          <w:sz w:val="22"/>
          <w:szCs w:val="22"/>
        </w:rPr>
      </w:pPr>
      <w:bookmarkStart w:id="1" w:name="_Toc222409062"/>
      <w:r w:rsidRPr="00D05FA6">
        <w:rPr>
          <w:sz w:val="22"/>
          <w:szCs w:val="22"/>
        </w:rPr>
        <w:t>A N T E C E D E N T E S</w:t>
      </w:r>
      <w:bookmarkEnd w:id="1"/>
    </w:p>
    <w:p w14:paraId="319E33D8" w14:textId="77777777" w:rsidR="005C690F" w:rsidRPr="00D05FA6" w:rsidRDefault="005C690F" w:rsidP="00040526">
      <w:pPr>
        <w:spacing w:after="0" w:line="360" w:lineRule="auto"/>
        <w:contextualSpacing/>
        <w:jc w:val="center"/>
        <w:rPr>
          <w:b/>
        </w:rPr>
      </w:pPr>
    </w:p>
    <w:p w14:paraId="1D37AC0E" w14:textId="77777777" w:rsidR="00E22EA8" w:rsidRPr="00D05FA6" w:rsidRDefault="00E22EA8" w:rsidP="00040526">
      <w:pPr>
        <w:pStyle w:val="Ttulo2"/>
        <w:spacing w:before="0" w:after="0" w:line="360" w:lineRule="auto"/>
        <w:contextualSpacing/>
        <w:rPr>
          <w:sz w:val="22"/>
          <w:szCs w:val="22"/>
          <w:lang w:eastAsia="es-ES"/>
        </w:rPr>
      </w:pPr>
      <w:bookmarkStart w:id="2" w:name="_Toc222409063"/>
      <w:r w:rsidRPr="00D05FA6">
        <w:rPr>
          <w:sz w:val="22"/>
          <w:szCs w:val="22"/>
          <w:lang w:eastAsia="es-ES"/>
        </w:rPr>
        <w:t>I. Presentación de la solicitud de información</w:t>
      </w:r>
      <w:bookmarkEnd w:id="2"/>
    </w:p>
    <w:p w14:paraId="7BD04C9B" w14:textId="77777777" w:rsidR="00E22EA8" w:rsidRPr="00D05FA6" w:rsidRDefault="00E22EA8" w:rsidP="00040526">
      <w:pPr>
        <w:tabs>
          <w:tab w:val="left" w:pos="567"/>
        </w:tabs>
        <w:spacing w:after="0" w:line="360" w:lineRule="auto"/>
        <w:contextualSpacing/>
        <w:rPr>
          <w:rFonts w:eastAsia="Times New Roman" w:cs="Tahoma"/>
          <w:lang w:eastAsia="es-ES"/>
        </w:rPr>
      </w:pPr>
    </w:p>
    <w:p w14:paraId="0117C701" w14:textId="38A214D5" w:rsidR="00426C03" w:rsidRPr="00D05FA6" w:rsidRDefault="00426C03" w:rsidP="00040526">
      <w:pPr>
        <w:tabs>
          <w:tab w:val="left" w:pos="567"/>
        </w:tabs>
        <w:spacing w:after="0" w:line="360" w:lineRule="auto"/>
        <w:ind w:right="-28"/>
        <w:contextualSpacing/>
        <w:rPr>
          <w:rFonts w:cs="Tahoma"/>
        </w:rPr>
      </w:pPr>
      <w:r w:rsidRPr="00D05FA6">
        <w:rPr>
          <w:rFonts w:cs="Tahoma"/>
        </w:rPr>
        <w:t xml:space="preserve">El </w:t>
      </w:r>
      <w:r w:rsidR="00BF2216">
        <w:rPr>
          <w:rFonts w:cs="Tahoma"/>
        </w:rPr>
        <w:t>veintiocho de noviembre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Default="00426C03" w:rsidP="00040526">
      <w:pPr>
        <w:tabs>
          <w:tab w:val="left" w:pos="567"/>
        </w:tabs>
        <w:spacing w:after="0" w:line="360" w:lineRule="auto"/>
        <w:ind w:right="-28"/>
        <w:contextualSpacing/>
        <w:rPr>
          <w:rFonts w:cs="Tahoma"/>
          <w:sz w:val="16"/>
        </w:rPr>
      </w:pPr>
    </w:p>
    <w:p w14:paraId="1EDCA86B" w14:textId="404969FE" w:rsidR="00F250EE" w:rsidRPr="00D05FA6" w:rsidRDefault="00F250EE" w:rsidP="00040526">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488"/>
        <w:gridCol w:w="2929"/>
        <w:gridCol w:w="5650"/>
      </w:tblGrid>
      <w:tr w:rsidR="00FA5C01" w:rsidRPr="00D05FA6" w14:paraId="068994CE" w14:textId="77777777" w:rsidTr="00F250EE">
        <w:tc>
          <w:tcPr>
            <w:tcW w:w="488" w:type="dxa"/>
            <w:shd w:val="clear" w:color="auto" w:fill="DDD9C3" w:themeFill="background2" w:themeFillShade="E6"/>
          </w:tcPr>
          <w:p w14:paraId="3AB8115D" w14:textId="77777777" w:rsidR="00426C03" w:rsidRPr="00D05FA6" w:rsidRDefault="00426C03" w:rsidP="00040526">
            <w:pPr>
              <w:tabs>
                <w:tab w:val="left" w:pos="567"/>
              </w:tabs>
              <w:spacing w:line="360" w:lineRule="auto"/>
              <w:ind w:right="-28"/>
              <w:contextualSpacing/>
              <w:rPr>
                <w:rFonts w:cs="Tahoma"/>
                <w:sz w:val="20"/>
                <w:szCs w:val="20"/>
              </w:rPr>
            </w:pPr>
          </w:p>
        </w:tc>
        <w:tc>
          <w:tcPr>
            <w:tcW w:w="2929" w:type="dxa"/>
            <w:shd w:val="clear" w:color="auto" w:fill="DDD9C3" w:themeFill="background2" w:themeFillShade="E6"/>
          </w:tcPr>
          <w:p w14:paraId="427EF5B0" w14:textId="77777777" w:rsidR="00426C03" w:rsidRPr="00C51940" w:rsidRDefault="00426C03" w:rsidP="00040526">
            <w:pPr>
              <w:tabs>
                <w:tab w:val="left" w:pos="567"/>
              </w:tabs>
              <w:spacing w:line="360" w:lineRule="auto"/>
              <w:ind w:right="-28"/>
              <w:contextualSpacing/>
              <w:rPr>
                <w:rFonts w:cs="Tahoma"/>
                <w:b/>
                <w:sz w:val="20"/>
                <w:szCs w:val="20"/>
              </w:rPr>
            </w:pPr>
            <w:r w:rsidRPr="00C51940">
              <w:rPr>
                <w:rFonts w:cs="Tahoma"/>
                <w:b/>
                <w:sz w:val="20"/>
                <w:szCs w:val="20"/>
              </w:rPr>
              <w:t>FOLIO DE SOLICITUD</w:t>
            </w:r>
          </w:p>
        </w:tc>
        <w:tc>
          <w:tcPr>
            <w:tcW w:w="5650" w:type="dxa"/>
            <w:shd w:val="clear" w:color="auto" w:fill="DDD9C3" w:themeFill="background2" w:themeFillShade="E6"/>
          </w:tcPr>
          <w:p w14:paraId="1BA43B74"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F250EE">
        <w:tc>
          <w:tcPr>
            <w:tcW w:w="488" w:type="dxa"/>
          </w:tcPr>
          <w:p w14:paraId="671E5722" w14:textId="77777777" w:rsidR="00426C03" w:rsidRPr="00D05FA6" w:rsidRDefault="00426C03" w:rsidP="00040526">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2929" w:type="dxa"/>
          </w:tcPr>
          <w:p w14:paraId="1201AB51" w14:textId="3B2B237B" w:rsidR="00426C03" w:rsidRPr="00C51940" w:rsidRDefault="00BF2216" w:rsidP="00040526">
            <w:pPr>
              <w:spacing w:line="360" w:lineRule="auto"/>
              <w:contextualSpacing/>
              <w:rPr>
                <w:b/>
                <w:sz w:val="20"/>
                <w:szCs w:val="20"/>
              </w:rPr>
            </w:pPr>
            <w:r w:rsidRPr="00BF2216">
              <w:rPr>
                <w:b/>
                <w:bCs/>
                <w:color w:val="auto"/>
                <w:sz w:val="20"/>
                <w:szCs w:val="20"/>
              </w:rPr>
              <w:t>01521/TEPOTZOT/IP/2025</w:t>
            </w:r>
          </w:p>
        </w:tc>
        <w:tc>
          <w:tcPr>
            <w:tcW w:w="5650" w:type="dxa"/>
          </w:tcPr>
          <w:p w14:paraId="3FBC3712" w14:textId="50500FE7" w:rsidR="009A21E5" w:rsidRPr="009A21E5" w:rsidRDefault="00652BD8" w:rsidP="00040526">
            <w:pPr>
              <w:tabs>
                <w:tab w:val="left" w:pos="567"/>
              </w:tabs>
              <w:spacing w:line="360" w:lineRule="auto"/>
              <w:ind w:right="-28"/>
              <w:contextualSpacing/>
              <w:rPr>
                <w:rFonts w:cs="Tahoma"/>
                <w:i/>
                <w:sz w:val="20"/>
                <w:szCs w:val="20"/>
              </w:rPr>
            </w:pPr>
            <w:r>
              <w:rPr>
                <w:i/>
                <w:sz w:val="20"/>
                <w:szCs w:val="20"/>
              </w:rPr>
              <w:t>“</w:t>
            </w:r>
            <w:r w:rsidR="00BF2216" w:rsidRPr="00BF2216">
              <w:rPr>
                <w:i/>
                <w:sz w:val="20"/>
                <w:szCs w:val="20"/>
              </w:rPr>
              <w:t>Con fundamento en el artículo 82 de la LOMEM solicito los documentos que acreditan la publicación del Bando Municipal en los lugares obligados por ley.</w:t>
            </w:r>
            <w:r w:rsidR="00BF2216" w:rsidRPr="00F428DB">
              <w:rPr>
                <w:i/>
                <w:sz w:val="20"/>
                <w:szCs w:val="20"/>
              </w:rPr>
              <w:t>”</w:t>
            </w:r>
          </w:p>
        </w:tc>
      </w:tr>
      <w:tr w:rsidR="00FA5C01" w:rsidRPr="00D05FA6" w14:paraId="570FC2F7" w14:textId="77777777" w:rsidTr="00F250EE">
        <w:tc>
          <w:tcPr>
            <w:tcW w:w="488" w:type="dxa"/>
          </w:tcPr>
          <w:p w14:paraId="455EB7C2"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2</w:t>
            </w:r>
          </w:p>
        </w:tc>
        <w:tc>
          <w:tcPr>
            <w:tcW w:w="2929" w:type="dxa"/>
          </w:tcPr>
          <w:p w14:paraId="5DBC601F" w14:textId="6176D99F" w:rsidR="00426C03" w:rsidRPr="00C51940" w:rsidRDefault="00BF2216" w:rsidP="00040526">
            <w:pPr>
              <w:spacing w:line="360" w:lineRule="auto"/>
              <w:contextualSpacing/>
              <w:rPr>
                <w:b/>
                <w:sz w:val="20"/>
                <w:szCs w:val="20"/>
              </w:rPr>
            </w:pPr>
            <w:r>
              <w:rPr>
                <w:b/>
                <w:bCs/>
                <w:color w:val="auto"/>
                <w:sz w:val="20"/>
                <w:szCs w:val="20"/>
              </w:rPr>
              <w:t>01515</w:t>
            </w:r>
            <w:r w:rsidR="0094364F" w:rsidRPr="0094364F">
              <w:rPr>
                <w:b/>
                <w:bCs/>
                <w:color w:val="auto"/>
                <w:sz w:val="20"/>
                <w:szCs w:val="20"/>
              </w:rPr>
              <w:t>/TEPOTZOT/IP/2025</w:t>
            </w:r>
          </w:p>
        </w:tc>
        <w:tc>
          <w:tcPr>
            <w:tcW w:w="5650" w:type="dxa"/>
          </w:tcPr>
          <w:p w14:paraId="1EC06C84" w14:textId="33603C48" w:rsidR="00426C03" w:rsidRPr="00D05FA6" w:rsidRDefault="00426C03" w:rsidP="00040526">
            <w:pPr>
              <w:tabs>
                <w:tab w:val="left" w:pos="567"/>
              </w:tabs>
              <w:spacing w:line="360" w:lineRule="auto"/>
              <w:ind w:right="-28"/>
              <w:contextualSpacing/>
              <w:rPr>
                <w:i/>
                <w:sz w:val="20"/>
                <w:szCs w:val="20"/>
              </w:rPr>
            </w:pPr>
            <w:r w:rsidRPr="00D05FA6">
              <w:rPr>
                <w:i/>
                <w:sz w:val="20"/>
                <w:szCs w:val="20"/>
              </w:rPr>
              <w:t>“</w:t>
            </w:r>
            <w:r w:rsidR="00BF2216" w:rsidRPr="00BF2216">
              <w:rPr>
                <w:i/>
                <w:sz w:val="20"/>
                <w:szCs w:val="20"/>
              </w:rPr>
              <w:t>Con fundamento en el artículo 42 de la LOMEM solicito los informes de desempeño, quejas y sanciones relacionadas con elementos de la policía municipal.</w:t>
            </w:r>
            <w:r w:rsidR="00BF2216" w:rsidRPr="0094364F">
              <w:rPr>
                <w:i/>
                <w:sz w:val="20"/>
                <w:szCs w:val="20"/>
              </w:rPr>
              <w:t>”</w:t>
            </w:r>
          </w:p>
        </w:tc>
      </w:tr>
      <w:tr w:rsidR="00C51940" w:rsidRPr="00D05FA6" w14:paraId="00CDA640" w14:textId="77777777" w:rsidTr="00F250EE">
        <w:tc>
          <w:tcPr>
            <w:tcW w:w="488" w:type="dxa"/>
          </w:tcPr>
          <w:p w14:paraId="1C8BE348" w14:textId="6C6FA3D0" w:rsidR="00C51940" w:rsidRPr="00D05FA6" w:rsidRDefault="00C51940" w:rsidP="00040526">
            <w:pPr>
              <w:tabs>
                <w:tab w:val="left" w:pos="567"/>
              </w:tabs>
              <w:spacing w:line="360" w:lineRule="auto"/>
              <w:ind w:right="-28"/>
              <w:contextualSpacing/>
              <w:rPr>
                <w:rFonts w:cs="Tahoma"/>
                <w:b/>
                <w:sz w:val="20"/>
                <w:szCs w:val="20"/>
              </w:rPr>
            </w:pPr>
            <w:r>
              <w:rPr>
                <w:rFonts w:cs="Tahoma"/>
                <w:b/>
                <w:sz w:val="20"/>
                <w:szCs w:val="20"/>
              </w:rPr>
              <w:t>3</w:t>
            </w:r>
          </w:p>
        </w:tc>
        <w:tc>
          <w:tcPr>
            <w:tcW w:w="2929" w:type="dxa"/>
          </w:tcPr>
          <w:p w14:paraId="3D9B00D9" w14:textId="2B6EB9D7" w:rsidR="00C51940" w:rsidRPr="00C51940" w:rsidRDefault="00BF2216" w:rsidP="00040526">
            <w:pPr>
              <w:spacing w:line="360" w:lineRule="auto"/>
              <w:contextualSpacing/>
              <w:rPr>
                <w:b/>
                <w:bCs/>
                <w:color w:val="auto"/>
                <w:sz w:val="20"/>
                <w:szCs w:val="20"/>
              </w:rPr>
            </w:pPr>
            <w:r>
              <w:rPr>
                <w:b/>
                <w:bCs/>
                <w:color w:val="auto"/>
                <w:sz w:val="20"/>
                <w:szCs w:val="20"/>
              </w:rPr>
              <w:t>01486</w:t>
            </w:r>
            <w:r w:rsidR="0094364F" w:rsidRPr="0094364F">
              <w:rPr>
                <w:b/>
                <w:bCs/>
                <w:color w:val="auto"/>
                <w:sz w:val="20"/>
                <w:szCs w:val="20"/>
              </w:rPr>
              <w:t>/TEPOTZOT/IP/2025</w:t>
            </w:r>
          </w:p>
        </w:tc>
        <w:tc>
          <w:tcPr>
            <w:tcW w:w="5650" w:type="dxa"/>
          </w:tcPr>
          <w:p w14:paraId="7E7C4771" w14:textId="381782E4" w:rsidR="00C51940" w:rsidRPr="00D05FA6" w:rsidRDefault="00BF2216" w:rsidP="00040526">
            <w:pPr>
              <w:tabs>
                <w:tab w:val="left" w:pos="567"/>
              </w:tabs>
              <w:spacing w:line="360" w:lineRule="auto"/>
              <w:ind w:right="-28"/>
              <w:contextualSpacing/>
              <w:rPr>
                <w:i/>
                <w:sz w:val="20"/>
                <w:szCs w:val="20"/>
              </w:rPr>
            </w:pPr>
            <w:r w:rsidRPr="00BF2216">
              <w:rPr>
                <w:i/>
                <w:sz w:val="20"/>
                <w:szCs w:val="20"/>
              </w:rPr>
              <w:t>Con fundamento en el artículo 76 de la LOMEM solicito información sobre la coordinación del Ayuntamiento con asociaciones vecinales y organizaciones civiles</w:t>
            </w:r>
            <w:r w:rsidR="0094364F" w:rsidRPr="0094364F">
              <w:rPr>
                <w:i/>
                <w:sz w:val="20"/>
                <w:szCs w:val="20"/>
              </w:rPr>
              <w:t>.</w:t>
            </w:r>
          </w:p>
        </w:tc>
      </w:tr>
      <w:tr w:rsidR="00652BD8" w:rsidRPr="00D05FA6" w14:paraId="60B07E28" w14:textId="77777777" w:rsidTr="00F250EE">
        <w:tc>
          <w:tcPr>
            <w:tcW w:w="488" w:type="dxa"/>
          </w:tcPr>
          <w:p w14:paraId="7634DAF8" w14:textId="0E7BE963"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4</w:t>
            </w:r>
          </w:p>
        </w:tc>
        <w:tc>
          <w:tcPr>
            <w:tcW w:w="2929" w:type="dxa"/>
          </w:tcPr>
          <w:p w14:paraId="64C147EA" w14:textId="09BE78EC" w:rsidR="00652BD8" w:rsidRPr="00C51940" w:rsidRDefault="00BF2216" w:rsidP="00040526">
            <w:pPr>
              <w:spacing w:line="360" w:lineRule="auto"/>
              <w:contextualSpacing/>
              <w:rPr>
                <w:b/>
                <w:sz w:val="20"/>
                <w:szCs w:val="20"/>
              </w:rPr>
            </w:pPr>
            <w:r>
              <w:rPr>
                <w:b/>
                <w:bCs/>
                <w:color w:val="auto"/>
                <w:sz w:val="20"/>
                <w:szCs w:val="20"/>
              </w:rPr>
              <w:t>01476</w:t>
            </w:r>
            <w:r w:rsidR="0094364F" w:rsidRPr="0094364F">
              <w:rPr>
                <w:b/>
                <w:bCs/>
                <w:color w:val="auto"/>
                <w:sz w:val="20"/>
                <w:szCs w:val="20"/>
              </w:rPr>
              <w:t>/TEPOTZOT/IP/2025</w:t>
            </w:r>
          </w:p>
        </w:tc>
        <w:tc>
          <w:tcPr>
            <w:tcW w:w="5650" w:type="dxa"/>
          </w:tcPr>
          <w:p w14:paraId="65F0C488" w14:textId="0BBC8B76" w:rsidR="00652BD8" w:rsidRPr="00D05FA6" w:rsidRDefault="00BF2216" w:rsidP="00040526">
            <w:pPr>
              <w:tabs>
                <w:tab w:val="left" w:pos="567"/>
              </w:tabs>
              <w:spacing w:line="360" w:lineRule="auto"/>
              <w:ind w:right="-28"/>
              <w:contextualSpacing/>
              <w:rPr>
                <w:i/>
                <w:sz w:val="20"/>
                <w:szCs w:val="20"/>
              </w:rPr>
            </w:pPr>
            <w:r w:rsidRPr="00BF2216">
              <w:rPr>
                <w:i/>
                <w:sz w:val="20"/>
                <w:szCs w:val="20"/>
              </w:rPr>
              <w:t>Con fundamento en el artículo 66 de la LOMEM solicito copia de los convenios de coordinación celebrados</w:t>
            </w:r>
            <w:r>
              <w:rPr>
                <w:i/>
                <w:sz w:val="20"/>
                <w:szCs w:val="20"/>
              </w:rPr>
              <w:t xml:space="preserve"> </w:t>
            </w:r>
            <w:r w:rsidRPr="00BF2216">
              <w:rPr>
                <w:i/>
                <w:sz w:val="20"/>
                <w:szCs w:val="20"/>
              </w:rPr>
              <w:t>con los gobiernos estatal o federal.</w:t>
            </w:r>
          </w:p>
        </w:tc>
      </w:tr>
      <w:tr w:rsidR="00652BD8" w:rsidRPr="00D05FA6" w14:paraId="45A3CB2A" w14:textId="77777777" w:rsidTr="00F250EE">
        <w:tc>
          <w:tcPr>
            <w:tcW w:w="488" w:type="dxa"/>
          </w:tcPr>
          <w:p w14:paraId="0B7C217D" w14:textId="42B52A18"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5</w:t>
            </w:r>
          </w:p>
        </w:tc>
        <w:tc>
          <w:tcPr>
            <w:tcW w:w="2929" w:type="dxa"/>
          </w:tcPr>
          <w:p w14:paraId="341D64FE" w14:textId="42B93AE0" w:rsidR="00652BD8" w:rsidRPr="00C51940" w:rsidRDefault="00BF2216" w:rsidP="00040526">
            <w:pPr>
              <w:spacing w:line="360" w:lineRule="auto"/>
              <w:contextualSpacing/>
              <w:rPr>
                <w:b/>
                <w:sz w:val="20"/>
                <w:szCs w:val="20"/>
              </w:rPr>
            </w:pPr>
            <w:r>
              <w:rPr>
                <w:b/>
                <w:bCs/>
                <w:color w:val="auto"/>
                <w:sz w:val="20"/>
                <w:szCs w:val="20"/>
              </w:rPr>
              <w:t>01463</w:t>
            </w:r>
            <w:r w:rsidR="0094364F" w:rsidRPr="0094364F">
              <w:rPr>
                <w:b/>
                <w:bCs/>
                <w:color w:val="auto"/>
                <w:sz w:val="20"/>
                <w:szCs w:val="20"/>
              </w:rPr>
              <w:t>/TEPOTZOT/IP/2025</w:t>
            </w:r>
          </w:p>
        </w:tc>
        <w:tc>
          <w:tcPr>
            <w:tcW w:w="5650" w:type="dxa"/>
          </w:tcPr>
          <w:p w14:paraId="66B84108" w14:textId="0F64FE9B" w:rsidR="00652BD8" w:rsidRPr="00D05FA6" w:rsidRDefault="00BF2216" w:rsidP="00040526">
            <w:pPr>
              <w:tabs>
                <w:tab w:val="left" w:pos="567"/>
              </w:tabs>
              <w:spacing w:line="360" w:lineRule="auto"/>
              <w:ind w:right="-28"/>
              <w:contextualSpacing/>
              <w:rPr>
                <w:i/>
                <w:sz w:val="20"/>
                <w:szCs w:val="20"/>
              </w:rPr>
            </w:pPr>
            <w:r w:rsidRPr="00BF2216">
              <w:rPr>
                <w:i/>
                <w:sz w:val="20"/>
                <w:szCs w:val="20"/>
              </w:rPr>
              <w:t>Con fundamento en el artículo 53 de la LOMEM solicito copia del informe del tesorero municipal sobre el estado financiero, balances y flujo de recursos públicos.</w:t>
            </w:r>
          </w:p>
        </w:tc>
      </w:tr>
      <w:tr w:rsidR="0094364F" w:rsidRPr="00D05FA6" w14:paraId="4C9D98F6" w14:textId="77777777" w:rsidTr="00F250EE">
        <w:tc>
          <w:tcPr>
            <w:tcW w:w="488" w:type="dxa"/>
          </w:tcPr>
          <w:p w14:paraId="3A075EB6" w14:textId="55020562" w:rsidR="0094364F" w:rsidRDefault="0094364F" w:rsidP="00040526">
            <w:pPr>
              <w:tabs>
                <w:tab w:val="left" w:pos="567"/>
              </w:tabs>
              <w:spacing w:line="360" w:lineRule="auto"/>
              <w:ind w:right="-28"/>
              <w:contextualSpacing/>
              <w:rPr>
                <w:rFonts w:cs="Tahoma"/>
                <w:b/>
                <w:sz w:val="20"/>
                <w:szCs w:val="20"/>
              </w:rPr>
            </w:pPr>
            <w:r>
              <w:rPr>
                <w:rFonts w:cs="Tahoma"/>
                <w:b/>
                <w:sz w:val="20"/>
                <w:szCs w:val="20"/>
              </w:rPr>
              <w:t>6</w:t>
            </w:r>
          </w:p>
        </w:tc>
        <w:tc>
          <w:tcPr>
            <w:tcW w:w="2929" w:type="dxa"/>
          </w:tcPr>
          <w:p w14:paraId="47C935B2" w14:textId="63C5C33E" w:rsidR="0094364F" w:rsidRPr="00C51940" w:rsidRDefault="00BF2216" w:rsidP="00040526">
            <w:pPr>
              <w:spacing w:line="360" w:lineRule="auto"/>
              <w:contextualSpacing/>
              <w:rPr>
                <w:b/>
                <w:bCs/>
                <w:color w:val="auto"/>
                <w:sz w:val="20"/>
                <w:szCs w:val="20"/>
              </w:rPr>
            </w:pPr>
            <w:r>
              <w:rPr>
                <w:b/>
                <w:bCs/>
                <w:color w:val="auto"/>
                <w:sz w:val="20"/>
                <w:szCs w:val="20"/>
              </w:rPr>
              <w:t>01456</w:t>
            </w:r>
            <w:r w:rsidR="0094364F" w:rsidRPr="0094364F">
              <w:rPr>
                <w:b/>
                <w:bCs/>
                <w:color w:val="auto"/>
                <w:sz w:val="20"/>
                <w:szCs w:val="20"/>
              </w:rPr>
              <w:t>/TEPOTZOT/IP/2025</w:t>
            </w:r>
          </w:p>
        </w:tc>
        <w:tc>
          <w:tcPr>
            <w:tcW w:w="5650" w:type="dxa"/>
          </w:tcPr>
          <w:p w14:paraId="0D1DD5BE" w14:textId="0CC01F36" w:rsidR="0094364F" w:rsidRDefault="00BF2216" w:rsidP="00040526">
            <w:pPr>
              <w:tabs>
                <w:tab w:val="left" w:pos="567"/>
              </w:tabs>
              <w:spacing w:line="360" w:lineRule="auto"/>
              <w:ind w:right="-28"/>
              <w:contextualSpacing/>
              <w:rPr>
                <w:i/>
                <w:sz w:val="20"/>
                <w:szCs w:val="20"/>
              </w:rPr>
            </w:pPr>
            <w:r w:rsidRPr="00BF2216">
              <w:rPr>
                <w:i/>
                <w:sz w:val="20"/>
                <w:szCs w:val="20"/>
              </w:rPr>
              <w:t>Con fundamento en el artículo 45 de la LOMEM solicito la documentación que avala la elección, designación o nombramiento de autoridades auxiliares.</w:t>
            </w:r>
          </w:p>
        </w:tc>
      </w:tr>
      <w:bookmarkEnd w:id="3"/>
    </w:tbl>
    <w:p w14:paraId="5B7416FB" w14:textId="77777777" w:rsidR="00F250EE" w:rsidRDefault="00F250EE" w:rsidP="00040526">
      <w:pPr>
        <w:tabs>
          <w:tab w:val="left" w:pos="4667"/>
        </w:tabs>
        <w:spacing w:after="0" w:line="360" w:lineRule="auto"/>
        <w:ind w:right="567"/>
        <w:contextualSpacing/>
        <w:rPr>
          <w:rFonts w:cs="Tahoma"/>
          <w:b/>
          <w:bCs/>
        </w:rPr>
      </w:pPr>
    </w:p>
    <w:p w14:paraId="23057B68" w14:textId="77777777" w:rsidR="00426C03" w:rsidRPr="00D05FA6" w:rsidRDefault="00426C03" w:rsidP="00040526">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040526">
      <w:pPr>
        <w:spacing w:after="0" w:line="360" w:lineRule="auto"/>
        <w:ind w:right="567"/>
        <w:contextualSpacing/>
        <w:rPr>
          <w:rFonts w:cs="Arial"/>
          <w:bCs/>
        </w:rPr>
      </w:pPr>
    </w:p>
    <w:p w14:paraId="7877E053" w14:textId="77777777" w:rsidR="00426C03" w:rsidRPr="00D05FA6" w:rsidRDefault="00426C03" w:rsidP="00040526">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040526">
      <w:pPr>
        <w:pStyle w:val="Prrafodelista"/>
        <w:tabs>
          <w:tab w:val="left" w:pos="567"/>
        </w:tabs>
        <w:spacing w:line="360" w:lineRule="auto"/>
        <w:ind w:left="0"/>
        <w:rPr>
          <w:rFonts w:cs="Tahoma"/>
          <w:b/>
          <w:szCs w:val="20"/>
        </w:rPr>
      </w:pPr>
    </w:p>
    <w:p w14:paraId="7006E9C6" w14:textId="77777777" w:rsidR="00E22EA8" w:rsidRPr="00D05FA6" w:rsidRDefault="00107B20" w:rsidP="00040526">
      <w:pPr>
        <w:pStyle w:val="Ttulo2"/>
        <w:spacing w:before="0" w:after="0" w:line="360" w:lineRule="auto"/>
        <w:contextualSpacing/>
        <w:rPr>
          <w:sz w:val="22"/>
          <w:szCs w:val="22"/>
        </w:rPr>
      </w:pPr>
      <w:bookmarkStart w:id="4" w:name="_Toc222409064"/>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54433196" w14:textId="77777777" w:rsidR="00C06004" w:rsidRPr="00D05FA6" w:rsidRDefault="00C06004" w:rsidP="00040526">
      <w:pPr>
        <w:autoSpaceDE w:val="0"/>
        <w:autoSpaceDN w:val="0"/>
        <w:adjustRightInd w:val="0"/>
        <w:spacing w:after="0" w:line="360" w:lineRule="auto"/>
        <w:contextualSpacing/>
        <w:rPr>
          <w:b/>
          <w:bCs/>
        </w:rPr>
      </w:pPr>
    </w:p>
    <w:p w14:paraId="0A2CF658" w14:textId="712AF0B8" w:rsidR="00572C64" w:rsidRDefault="00572C64" w:rsidP="00040526">
      <w:pPr>
        <w:spacing w:after="0" w:line="360" w:lineRule="auto"/>
        <w:contextualSpacing/>
        <w:rPr>
          <w:rFonts w:eastAsiaTheme="minorHAnsi" w:cstheme="minorBidi"/>
          <w:lang w:eastAsia="en-US"/>
        </w:rPr>
      </w:pPr>
      <w:r w:rsidRPr="00D05FA6">
        <w:rPr>
          <w:rFonts w:eastAsiaTheme="minorHAnsi" w:cstheme="minorBidi"/>
          <w:lang w:eastAsia="en-US"/>
        </w:rPr>
        <w:t>De</w:t>
      </w:r>
      <w:r w:rsidR="00B0456D">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w:t>
      </w:r>
      <w:r w:rsidR="00C64BF3">
        <w:rPr>
          <w:rFonts w:eastAsiaTheme="minorHAnsi" w:cstheme="minorBidi"/>
          <w:lang w:eastAsia="en-US"/>
        </w:rPr>
        <w:t>l Estado de México y Municipios</w:t>
      </w:r>
      <w:r w:rsidR="00040526">
        <w:rPr>
          <w:rFonts w:eastAsiaTheme="minorHAnsi" w:cstheme="minorBidi"/>
          <w:lang w:eastAsia="en-US"/>
        </w:rPr>
        <w:t>.</w:t>
      </w:r>
    </w:p>
    <w:p w14:paraId="73DBDDE1" w14:textId="087E7DA8" w:rsidR="00040526" w:rsidRPr="00C64BF3" w:rsidRDefault="00040526" w:rsidP="00040526">
      <w:pPr>
        <w:spacing w:after="0" w:line="360" w:lineRule="auto"/>
        <w:contextualSpacing/>
        <w:rPr>
          <w:rFonts w:eastAsiaTheme="minorHAnsi" w:cstheme="minorBidi"/>
          <w:lang w:eastAsia="en-US"/>
        </w:rPr>
      </w:pPr>
    </w:p>
    <w:p w14:paraId="77A75305" w14:textId="70FD91DD" w:rsidR="0094364F" w:rsidRDefault="0094364F" w:rsidP="00040526">
      <w:pPr>
        <w:pStyle w:val="Ttulo2"/>
        <w:spacing w:before="0" w:after="0" w:line="360" w:lineRule="auto"/>
        <w:contextualSpacing/>
        <w:rPr>
          <w:sz w:val="22"/>
          <w:szCs w:val="22"/>
        </w:rPr>
      </w:pPr>
      <w:bookmarkStart w:id="5" w:name="_Toc222409065"/>
      <w:r>
        <w:rPr>
          <w:sz w:val="22"/>
          <w:szCs w:val="22"/>
        </w:rPr>
        <w:t>III. Prórroga</w:t>
      </w:r>
      <w:bookmarkEnd w:id="5"/>
      <w:r>
        <w:rPr>
          <w:sz w:val="22"/>
          <w:szCs w:val="22"/>
        </w:rPr>
        <w:t xml:space="preserve"> </w:t>
      </w:r>
    </w:p>
    <w:p w14:paraId="5792C6C6" w14:textId="77777777" w:rsidR="00332FA8" w:rsidRPr="00332FA8" w:rsidRDefault="00332FA8" w:rsidP="00332FA8"/>
    <w:p w14:paraId="4AD1B4DC" w14:textId="01861372" w:rsidR="0094364F" w:rsidRPr="00332FA8" w:rsidRDefault="00332FA8" w:rsidP="00332FA8">
      <w:pPr>
        <w:spacing w:line="360" w:lineRule="auto"/>
        <w:rPr>
          <w:bCs/>
          <w:color w:val="auto"/>
          <w:szCs w:val="20"/>
        </w:rPr>
      </w:pPr>
      <w:r>
        <w:t>El Sujeto Obligado</w:t>
      </w:r>
      <w:r w:rsidR="00AE5695">
        <w:t xml:space="preserve"> en fecha </w:t>
      </w:r>
      <w:r w:rsidR="00BF2216">
        <w:t>seis</w:t>
      </w:r>
      <w:r w:rsidR="00AE5695">
        <w:t xml:space="preserve"> de enero de dos mil veintiséis, </w:t>
      </w:r>
      <w:r w:rsidR="00AE5695">
        <w:rPr>
          <w:bCs/>
          <w:color w:val="auto"/>
          <w:szCs w:val="20"/>
        </w:rPr>
        <w:t>solicito una prórroga</w:t>
      </w:r>
      <w:r>
        <w:t xml:space="preserve"> para las solicitudes</w:t>
      </w:r>
      <w:r>
        <w:rPr>
          <w:b/>
          <w:bCs/>
          <w:color w:val="auto"/>
          <w:sz w:val="20"/>
          <w:szCs w:val="20"/>
        </w:rPr>
        <w:t xml:space="preserve">, </w:t>
      </w:r>
      <w:r>
        <w:rPr>
          <w:bCs/>
          <w:color w:val="auto"/>
          <w:szCs w:val="20"/>
        </w:rPr>
        <w:t>por 7 días de acuerdo a la primera sesión extraordinaria del comité de transparencia</w:t>
      </w:r>
      <w:r w:rsidRPr="00332FA8">
        <w:rPr>
          <w:bCs/>
          <w:color w:val="auto"/>
          <w:szCs w:val="20"/>
        </w:rPr>
        <w:t xml:space="preserve"> 2026</w:t>
      </w:r>
      <w:r>
        <w:rPr>
          <w:bCs/>
          <w:color w:val="auto"/>
          <w:szCs w:val="20"/>
        </w:rPr>
        <w:t xml:space="preserve"> en fecha </w:t>
      </w:r>
      <w:r w:rsidR="00BF2216">
        <w:rPr>
          <w:bCs/>
          <w:color w:val="auto"/>
          <w:szCs w:val="20"/>
        </w:rPr>
        <w:t>diecinueve de diciembre de dos mil veinticinco</w:t>
      </w:r>
      <w:r w:rsidRPr="00332FA8">
        <w:rPr>
          <w:bCs/>
          <w:color w:val="auto"/>
          <w:szCs w:val="20"/>
        </w:rPr>
        <w:t xml:space="preserve">, </w:t>
      </w:r>
      <w:r>
        <w:rPr>
          <w:bCs/>
          <w:color w:val="auto"/>
          <w:szCs w:val="20"/>
        </w:rPr>
        <w:t xml:space="preserve">bajo el ACUERDO </w:t>
      </w:r>
      <w:r w:rsidR="00BF2216">
        <w:rPr>
          <w:bCs/>
          <w:color w:val="auto"/>
          <w:szCs w:val="20"/>
        </w:rPr>
        <w:t>02/SE/97/CT/2025.</w:t>
      </w:r>
    </w:p>
    <w:p w14:paraId="6A143336" w14:textId="6FF9F6DE" w:rsidR="0094364F" w:rsidRDefault="00332FA8" w:rsidP="0094364F">
      <w:r>
        <w:t>-Cabe mencionar que no adjunto el acta por medio del cual se aprobó dicha prorroga.</w:t>
      </w:r>
    </w:p>
    <w:p w14:paraId="638099A2" w14:textId="77777777" w:rsidR="00332FA8" w:rsidRPr="0094364F" w:rsidRDefault="00332FA8" w:rsidP="0094364F"/>
    <w:p w14:paraId="79F34FAD" w14:textId="5CF90D5A" w:rsidR="00E22EA8" w:rsidRPr="00D05FA6" w:rsidRDefault="00E22EA8" w:rsidP="00040526">
      <w:pPr>
        <w:pStyle w:val="Ttulo2"/>
        <w:spacing w:before="0" w:after="0" w:line="360" w:lineRule="auto"/>
        <w:contextualSpacing/>
        <w:rPr>
          <w:sz w:val="22"/>
          <w:szCs w:val="22"/>
        </w:rPr>
      </w:pPr>
      <w:bookmarkStart w:id="6" w:name="_Toc222409066"/>
      <w:r w:rsidRPr="00D05FA6">
        <w:rPr>
          <w:sz w:val="22"/>
          <w:szCs w:val="22"/>
        </w:rPr>
        <w:t>I</w:t>
      </w:r>
      <w:r w:rsidR="0094364F">
        <w:rPr>
          <w:sz w:val="22"/>
          <w:szCs w:val="22"/>
        </w:rPr>
        <w:t>V</w:t>
      </w:r>
      <w:r w:rsidRPr="00D05FA6">
        <w:rPr>
          <w:sz w:val="22"/>
          <w:szCs w:val="22"/>
        </w:rPr>
        <w:t>. Interposición del Recurso de Revisión</w:t>
      </w:r>
      <w:bookmarkEnd w:id="6"/>
    </w:p>
    <w:p w14:paraId="0644AB85" w14:textId="77777777" w:rsidR="00E22EA8" w:rsidRPr="00D05FA6" w:rsidRDefault="00E22EA8" w:rsidP="00040526">
      <w:pPr>
        <w:spacing w:after="0" w:line="360" w:lineRule="auto"/>
        <w:contextualSpacing/>
        <w:rPr>
          <w:b/>
        </w:rPr>
      </w:pPr>
    </w:p>
    <w:p w14:paraId="6FEED358" w14:textId="48E96B20" w:rsidR="00F428DB" w:rsidRPr="00D05FA6" w:rsidRDefault="00083169" w:rsidP="00040526">
      <w:pPr>
        <w:spacing w:after="0" w:line="360" w:lineRule="auto"/>
        <w:contextualSpacing/>
        <w:rPr>
          <w:bCs/>
        </w:rPr>
      </w:pPr>
      <w:r w:rsidRPr="00D05FA6">
        <w:rPr>
          <w:bCs/>
        </w:rPr>
        <w:t>El</w:t>
      </w:r>
      <w:r w:rsidR="008E5E71" w:rsidRPr="00D05FA6">
        <w:rPr>
          <w:bCs/>
        </w:rPr>
        <w:t xml:space="preserve"> </w:t>
      </w:r>
      <w:r w:rsidR="008674E2">
        <w:t>veinticuatro</w:t>
      </w:r>
      <w:r w:rsidR="00283702">
        <w:t xml:space="preserve"> y veinticinco</w:t>
      </w:r>
      <w:r w:rsidR="008674E2">
        <w:t xml:space="preserve"> de enero de dos mil veintiséis</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040526">
      <w:pPr>
        <w:spacing w:after="0" w:line="360" w:lineRule="auto"/>
        <w:ind w:left="567" w:right="567"/>
        <w:contextualSpacing/>
        <w:rPr>
          <w:b/>
          <w:bCs/>
          <w:i/>
          <w:sz w:val="20"/>
          <w:szCs w:val="20"/>
        </w:rPr>
      </w:pPr>
    </w:p>
    <w:p w14:paraId="33BFB4BC" w14:textId="3D43E248" w:rsidR="00F250EE" w:rsidRDefault="00332FA8" w:rsidP="00040526">
      <w:pPr>
        <w:spacing w:after="0" w:line="360" w:lineRule="auto"/>
        <w:ind w:left="567"/>
        <w:contextualSpacing/>
        <w:rPr>
          <w:rFonts w:cs="Tahoma"/>
          <w:b/>
          <w:bCs/>
        </w:rPr>
      </w:pPr>
      <w:r w:rsidRPr="00332FA8">
        <w:rPr>
          <w:rFonts w:cs="Tahoma"/>
          <w:b/>
          <w:bCs/>
        </w:rPr>
        <w:t>01</w:t>
      </w:r>
      <w:r w:rsidR="00FD2663">
        <w:rPr>
          <w:rFonts w:cs="Tahoma"/>
          <w:b/>
          <w:bCs/>
        </w:rPr>
        <w:t>521</w:t>
      </w:r>
      <w:r w:rsidRPr="00332FA8">
        <w:rPr>
          <w:rFonts w:cs="Tahoma"/>
          <w:b/>
          <w:bCs/>
        </w:rPr>
        <w:t>/TEPOTZOT/IP/2025</w:t>
      </w:r>
    </w:p>
    <w:p w14:paraId="3EDFB352" w14:textId="77777777" w:rsidR="00332FA8" w:rsidRDefault="00332FA8" w:rsidP="00040526">
      <w:pPr>
        <w:spacing w:after="0" w:line="360" w:lineRule="auto"/>
        <w:ind w:left="567"/>
        <w:contextualSpacing/>
        <w:rPr>
          <w:rFonts w:cs="Tahoma"/>
          <w:b/>
          <w:bCs/>
        </w:rPr>
      </w:pPr>
    </w:p>
    <w:p w14:paraId="5C856843" w14:textId="31BB1CF5"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Pr="00F250EE">
        <w:rPr>
          <w:rFonts w:cs="Tahoma"/>
          <w:bCs/>
          <w:i/>
          <w:sz w:val="20"/>
        </w:rPr>
        <w:t>“</w:t>
      </w:r>
      <w:r w:rsidR="00B17104" w:rsidRPr="00B17104">
        <w:rPr>
          <w:rFonts w:cs="Tahoma"/>
          <w:bCs/>
          <w:i/>
          <w:sz w:val="20"/>
        </w:rPr>
        <w:t>solicito los documentos que acreditan la publicación del Bando Municipal e</w:t>
      </w:r>
      <w:r w:rsidR="00B17104">
        <w:rPr>
          <w:rFonts w:cs="Tahoma"/>
          <w:bCs/>
          <w:i/>
          <w:sz w:val="20"/>
        </w:rPr>
        <w:t>n los lugares obligados por ley</w:t>
      </w:r>
      <w:r w:rsidR="00332FA8" w:rsidRPr="00332FA8">
        <w:rPr>
          <w:rFonts w:cs="Tahoma"/>
          <w:bCs/>
          <w:i/>
          <w:sz w:val="20"/>
        </w:rPr>
        <w:t>.</w:t>
      </w:r>
      <w:r w:rsidRPr="00F250EE">
        <w:rPr>
          <w:rFonts w:cs="Tahoma"/>
          <w:bCs/>
          <w:i/>
          <w:sz w:val="20"/>
        </w:rPr>
        <w:t>”.</w:t>
      </w:r>
    </w:p>
    <w:p w14:paraId="74F357DF" w14:textId="77777777" w:rsidR="00F250EE" w:rsidRPr="00F250EE" w:rsidRDefault="00F250EE" w:rsidP="00040526">
      <w:pPr>
        <w:spacing w:after="0" w:line="360" w:lineRule="auto"/>
        <w:contextualSpacing/>
        <w:rPr>
          <w:rFonts w:ascii="Verdana" w:hAnsi="Verdana"/>
          <w:color w:val="000000"/>
          <w:sz w:val="20"/>
        </w:rPr>
      </w:pPr>
    </w:p>
    <w:p w14:paraId="125A4A19" w14:textId="62B242DE" w:rsidR="00C64BF3" w:rsidRPr="00F250EE" w:rsidRDefault="00CE2933"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00151912" w:rsidRPr="00F250EE">
        <w:rPr>
          <w:rFonts w:eastAsia="Times New Roman" w:cs="Times New Roman"/>
          <w:color w:val="auto"/>
          <w:sz w:val="20"/>
        </w:rPr>
        <w:t xml:space="preserve">. </w:t>
      </w:r>
      <w:r w:rsidR="00F250EE">
        <w:rPr>
          <w:rFonts w:eastAsia="Times New Roman" w:cs="Times New Roman"/>
          <w:color w:val="auto"/>
          <w:sz w:val="20"/>
        </w:rPr>
        <w:t>“</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1441D6B7" w14:textId="77777777" w:rsidR="00F250EE" w:rsidRPr="00F250EE" w:rsidRDefault="00F250EE" w:rsidP="00040526">
      <w:pPr>
        <w:spacing w:after="0" w:line="360" w:lineRule="auto"/>
        <w:ind w:left="567"/>
        <w:contextualSpacing/>
        <w:rPr>
          <w:rFonts w:eastAsia="Times New Roman" w:cs="Times New Roman"/>
          <w:i/>
          <w:color w:val="auto"/>
          <w:sz w:val="20"/>
        </w:rPr>
      </w:pPr>
    </w:p>
    <w:p w14:paraId="04A54665" w14:textId="46071A49" w:rsidR="00F250EE" w:rsidRDefault="00FD2663" w:rsidP="00040526">
      <w:pPr>
        <w:spacing w:after="0" w:line="360" w:lineRule="auto"/>
        <w:rPr>
          <w:b/>
        </w:rPr>
      </w:pPr>
      <w:r>
        <w:rPr>
          <w:b/>
        </w:rPr>
        <w:t>01515</w:t>
      </w:r>
      <w:r w:rsidR="00332FA8" w:rsidRPr="00332FA8">
        <w:rPr>
          <w:b/>
        </w:rPr>
        <w:t>/TEPOTZOT/IP/2025</w:t>
      </w:r>
    </w:p>
    <w:p w14:paraId="7E7CC3A6" w14:textId="77777777" w:rsidR="00332FA8" w:rsidRPr="00F250EE" w:rsidRDefault="00332FA8" w:rsidP="00040526">
      <w:pPr>
        <w:spacing w:after="0" w:line="360" w:lineRule="auto"/>
      </w:pPr>
    </w:p>
    <w:p w14:paraId="531FF7B1" w14:textId="1AA2B9D5" w:rsidR="00F250EE" w:rsidRDefault="00F250EE" w:rsidP="00332FA8">
      <w:pPr>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Pr="00F250EE">
        <w:rPr>
          <w:rFonts w:cs="Tahoma"/>
          <w:bCs/>
          <w:i/>
          <w:sz w:val="20"/>
        </w:rPr>
        <w:t>"</w:t>
      </w:r>
      <w:r w:rsidR="00B17104" w:rsidRPr="00B17104">
        <w:rPr>
          <w:rFonts w:cs="Tahoma"/>
          <w:bCs/>
          <w:i/>
          <w:sz w:val="20"/>
        </w:rPr>
        <w:t>solicito los informes de desempeño, quejas y sanciones relacionadas con elementos de la policía municipal.</w:t>
      </w:r>
      <w:r w:rsidR="00B17104">
        <w:rPr>
          <w:rFonts w:cs="Tahoma"/>
          <w:bCs/>
          <w:i/>
          <w:sz w:val="20"/>
        </w:rPr>
        <w:t>”</w:t>
      </w:r>
    </w:p>
    <w:p w14:paraId="089E21ED" w14:textId="77777777" w:rsidR="00332FA8" w:rsidRPr="00F250EE" w:rsidRDefault="00332FA8" w:rsidP="00332FA8">
      <w:pPr>
        <w:spacing w:after="0" w:line="360" w:lineRule="auto"/>
        <w:ind w:left="567"/>
        <w:contextualSpacing/>
        <w:rPr>
          <w:rFonts w:ascii="Verdana" w:hAnsi="Verdana"/>
          <w:color w:val="000000"/>
          <w:sz w:val="20"/>
        </w:rPr>
      </w:pPr>
    </w:p>
    <w:p w14:paraId="403391CC" w14:textId="53A839B0" w:rsidR="00F250EE" w:rsidRDefault="00F250EE"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77BA009B" w14:textId="77777777" w:rsidR="00332FA8" w:rsidRDefault="00332FA8" w:rsidP="00332FA8">
      <w:pPr>
        <w:spacing w:after="0" w:line="360" w:lineRule="auto"/>
        <w:ind w:left="567"/>
        <w:contextualSpacing/>
      </w:pPr>
    </w:p>
    <w:p w14:paraId="2B096419" w14:textId="77777777" w:rsidR="00332FA8" w:rsidRDefault="00332FA8" w:rsidP="00332FA8">
      <w:pPr>
        <w:spacing w:after="0" w:line="360" w:lineRule="auto"/>
        <w:ind w:left="567"/>
        <w:contextualSpacing/>
      </w:pPr>
    </w:p>
    <w:p w14:paraId="2251EDBF" w14:textId="64BC9B2B" w:rsidR="00332FA8" w:rsidRDefault="00FD2663" w:rsidP="00040526">
      <w:pPr>
        <w:spacing w:after="0" w:line="360" w:lineRule="auto"/>
        <w:rPr>
          <w:rFonts w:cs="Tahoma"/>
          <w:b/>
          <w:bCs/>
        </w:rPr>
      </w:pPr>
      <w:r w:rsidRPr="00FD2663">
        <w:rPr>
          <w:rFonts w:cs="Tahoma"/>
          <w:b/>
          <w:bCs/>
        </w:rPr>
        <w:t>01486/TEPOTZOT/IP/2025</w:t>
      </w:r>
    </w:p>
    <w:p w14:paraId="32999E22" w14:textId="77777777" w:rsidR="00FD2663" w:rsidRDefault="00FD2663" w:rsidP="00040526">
      <w:pPr>
        <w:spacing w:after="0" w:line="360" w:lineRule="auto"/>
        <w:rPr>
          <w:rFonts w:cs="Tahoma"/>
          <w:b/>
          <w:bCs/>
        </w:rPr>
      </w:pPr>
    </w:p>
    <w:p w14:paraId="167E358A" w14:textId="0078B1BA" w:rsid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ACTO IMPUGNADO. </w:t>
      </w:r>
      <w:r w:rsidR="00332FA8">
        <w:rPr>
          <w:rFonts w:cs="Tahoma"/>
          <w:bCs/>
          <w:i/>
          <w:sz w:val="20"/>
          <w:szCs w:val="20"/>
        </w:rPr>
        <w:t xml:space="preserve"> </w:t>
      </w:r>
      <w:r w:rsidR="00E921C9" w:rsidRPr="00E921C9">
        <w:rPr>
          <w:rFonts w:cs="Tahoma"/>
          <w:bCs/>
          <w:i/>
          <w:sz w:val="20"/>
          <w:szCs w:val="20"/>
        </w:rPr>
        <w:t>Solicito información sobre la coordinación del Ayuntamiento con asociaciones vecinales y organizaciones civiles.</w:t>
      </w:r>
    </w:p>
    <w:p w14:paraId="3146E31F" w14:textId="77777777" w:rsidR="00E921C9" w:rsidRPr="00C51940" w:rsidRDefault="00E921C9" w:rsidP="00040526">
      <w:pPr>
        <w:tabs>
          <w:tab w:val="left" w:pos="8222"/>
        </w:tabs>
        <w:spacing w:after="0" w:line="360" w:lineRule="auto"/>
        <w:ind w:left="567" w:right="426"/>
        <w:rPr>
          <w:rFonts w:cs="Tahoma"/>
          <w:b/>
          <w:bCs/>
          <w:sz w:val="20"/>
          <w:szCs w:val="20"/>
        </w:rPr>
      </w:pPr>
    </w:p>
    <w:p w14:paraId="47DF2256" w14:textId="7C99503F" w:rsidR="00C51940" w:rsidRP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RAZONES O MOTIVOS DE LA INCONFORMIDAD. </w:t>
      </w:r>
      <w:r w:rsidR="00332FA8" w:rsidRPr="00332FA8">
        <w:rPr>
          <w:rFonts w:cs="Tahoma"/>
          <w:bCs/>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w:t>
      </w:r>
      <w:r w:rsidR="00332FA8">
        <w:rPr>
          <w:rFonts w:cs="Tahoma"/>
          <w:bCs/>
          <w:i/>
          <w:sz w:val="20"/>
          <w:szCs w:val="20"/>
        </w:rPr>
        <w:t>a determinación correspondiente</w:t>
      </w:r>
      <w:r w:rsidRPr="00C51940">
        <w:rPr>
          <w:rFonts w:cs="Tahoma"/>
          <w:bCs/>
          <w:i/>
          <w:sz w:val="20"/>
          <w:szCs w:val="20"/>
        </w:rPr>
        <w:t>.</w:t>
      </w:r>
    </w:p>
    <w:p w14:paraId="02D8B50C" w14:textId="77777777" w:rsidR="00C51940" w:rsidRPr="00C51940" w:rsidRDefault="00C51940" w:rsidP="00040526">
      <w:pPr>
        <w:spacing w:after="0" w:line="360" w:lineRule="auto"/>
        <w:rPr>
          <w:i/>
          <w:sz w:val="24"/>
        </w:rPr>
      </w:pPr>
    </w:p>
    <w:p w14:paraId="12436521" w14:textId="7ACC950E" w:rsidR="00332FA8" w:rsidRDefault="00FD2663" w:rsidP="00040526">
      <w:pPr>
        <w:spacing w:after="0" w:line="360" w:lineRule="auto"/>
        <w:rPr>
          <w:rFonts w:cs="Tahoma"/>
          <w:b/>
          <w:bCs/>
        </w:rPr>
      </w:pPr>
      <w:r>
        <w:rPr>
          <w:rFonts w:cs="Tahoma"/>
          <w:b/>
          <w:bCs/>
        </w:rPr>
        <w:t>0147</w:t>
      </w:r>
      <w:r w:rsidRPr="00FD2663">
        <w:rPr>
          <w:rFonts w:cs="Tahoma"/>
          <w:b/>
          <w:bCs/>
        </w:rPr>
        <w:t>6/TEPOTZOT/IP/2025</w:t>
      </w:r>
    </w:p>
    <w:p w14:paraId="157F43BB" w14:textId="77777777" w:rsidR="00FD2663" w:rsidRDefault="00FD2663" w:rsidP="00040526">
      <w:pPr>
        <w:spacing w:after="0" w:line="360" w:lineRule="auto"/>
        <w:rPr>
          <w:rFonts w:cs="Tahoma"/>
          <w:b/>
          <w:bCs/>
        </w:rPr>
      </w:pPr>
    </w:p>
    <w:p w14:paraId="052911DA" w14:textId="09957BE8"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sidR="00E921C9">
        <w:rPr>
          <w:rFonts w:cs="Tahoma"/>
          <w:b/>
          <w:bCs/>
          <w:sz w:val="20"/>
        </w:rPr>
        <w:t xml:space="preserve">: </w:t>
      </w:r>
      <w:r w:rsidR="00E921C9" w:rsidRPr="00E921C9">
        <w:rPr>
          <w:rFonts w:cs="Tahoma"/>
          <w:bCs/>
          <w:i/>
          <w:sz w:val="20"/>
        </w:rPr>
        <w:t>solicito copia de los convenios de coordinación celebrados con los gobiernos estatal o federal.</w:t>
      </w:r>
    </w:p>
    <w:p w14:paraId="139E91AB" w14:textId="77777777" w:rsidR="00F250EE" w:rsidRPr="00F250EE" w:rsidRDefault="00F250EE" w:rsidP="00040526">
      <w:pPr>
        <w:spacing w:after="0" w:line="360" w:lineRule="auto"/>
        <w:contextualSpacing/>
        <w:rPr>
          <w:rFonts w:ascii="Verdana" w:hAnsi="Verdana"/>
          <w:color w:val="000000"/>
          <w:sz w:val="20"/>
        </w:rPr>
      </w:pPr>
    </w:p>
    <w:p w14:paraId="78C0527A" w14:textId="43128AD9" w:rsidR="00F250EE" w:rsidRDefault="00F250EE"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Pr>
          <w:rFonts w:eastAsia="Times New Roman" w:cs="Times New Roman"/>
          <w:color w:val="auto"/>
          <w:sz w:val="20"/>
        </w:rPr>
        <w:t>“</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Pr>
          <w:rFonts w:eastAsia="Times New Roman" w:cs="Times New Roman"/>
          <w:i/>
          <w:color w:val="auto"/>
          <w:sz w:val="20"/>
        </w:rPr>
        <w:t>”</w:t>
      </w:r>
    </w:p>
    <w:p w14:paraId="59820BB6" w14:textId="77777777" w:rsidR="0094364F" w:rsidRDefault="0094364F" w:rsidP="00040526">
      <w:pPr>
        <w:spacing w:after="0" w:line="360" w:lineRule="auto"/>
        <w:ind w:left="567"/>
        <w:contextualSpacing/>
        <w:rPr>
          <w:rFonts w:eastAsia="Times New Roman" w:cs="Times New Roman"/>
          <w:i/>
          <w:color w:val="auto"/>
          <w:sz w:val="20"/>
        </w:rPr>
      </w:pPr>
    </w:p>
    <w:p w14:paraId="6D083309" w14:textId="77777777" w:rsidR="0094364F" w:rsidRPr="00C51940" w:rsidRDefault="0094364F" w:rsidP="00040526">
      <w:pPr>
        <w:spacing w:after="0" w:line="360" w:lineRule="auto"/>
        <w:ind w:left="567"/>
        <w:contextualSpacing/>
        <w:rPr>
          <w:rFonts w:eastAsia="Times New Roman" w:cs="Times New Roman"/>
          <w:i/>
          <w:color w:val="auto"/>
          <w:sz w:val="20"/>
        </w:rPr>
      </w:pPr>
    </w:p>
    <w:p w14:paraId="518261CB" w14:textId="678440F1" w:rsidR="00F250EE" w:rsidRDefault="00FD2663" w:rsidP="00040526">
      <w:pPr>
        <w:spacing w:after="0" w:line="360" w:lineRule="auto"/>
        <w:contextualSpacing/>
        <w:rPr>
          <w:rFonts w:cs="Tahoma"/>
          <w:b/>
          <w:bCs/>
        </w:rPr>
      </w:pPr>
      <w:r>
        <w:rPr>
          <w:rFonts w:cs="Tahoma"/>
          <w:b/>
          <w:bCs/>
        </w:rPr>
        <w:t>01463</w:t>
      </w:r>
      <w:r w:rsidR="00332FA8" w:rsidRPr="00332FA8">
        <w:rPr>
          <w:rFonts w:cs="Tahoma"/>
          <w:b/>
          <w:bCs/>
        </w:rPr>
        <w:t>/TEPOTZOT/IP/2025</w:t>
      </w:r>
    </w:p>
    <w:p w14:paraId="792EF136" w14:textId="77777777" w:rsidR="00332FA8" w:rsidRDefault="00332FA8" w:rsidP="00040526">
      <w:pPr>
        <w:spacing w:after="0" w:line="360" w:lineRule="auto"/>
        <w:contextualSpacing/>
        <w:rPr>
          <w:rFonts w:cs="Tahoma"/>
          <w:b/>
          <w:bCs/>
        </w:rPr>
      </w:pPr>
    </w:p>
    <w:p w14:paraId="3F665EB8" w14:textId="2FBE9BDF" w:rsidR="00332FA8" w:rsidRDefault="00F250EE" w:rsidP="00332FA8">
      <w:pPr>
        <w:tabs>
          <w:tab w:val="left" w:pos="3105"/>
        </w:tabs>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00E921C9" w:rsidRPr="00E921C9">
        <w:rPr>
          <w:rFonts w:cs="Tahoma"/>
          <w:bCs/>
          <w:i/>
          <w:sz w:val="20"/>
        </w:rPr>
        <w:t>Solicito copia del informe del tesorero municipal sobre el estado financiero, balances y flujo de recursos públicos.</w:t>
      </w:r>
    </w:p>
    <w:p w14:paraId="3E6E9905" w14:textId="77777777" w:rsidR="00E921C9" w:rsidRPr="00F250EE" w:rsidRDefault="00E921C9" w:rsidP="00332FA8">
      <w:pPr>
        <w:tabs>
          <w:tab w:val="left" w:pos="3105"/>
        </w:tabs>
        <w:spacing w:after="0" w:line="360" w:lineRule="auto"/>
        <w:ind w:left="567"/>
        <w:contextualSpacing/>
        <w:rPr>
          <w:rFonts w:ascii="Verdana" w:hAnsi="Verdana"/>
          <w:color w:val="000000"/>
          <w:sz w:val="20"/>
        </w:rPr>
      </w:pPr>
    </w:p>
    <w:p w14:paraId="0A674B93" w14:textId="0F28BA31" w:rsidR="00332FA8" w:rsidRDefault="00F250EE"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3DB15E55" w14:textId="77777777" w:rsidR="00332FA8" w:rsidRDefault="00332FA8" w:rsidP="00332FA8">
      <w:pPr>
        <w:spacing w:after="0" w:line="360" w:lineRule="auto"/>
        <w:ind w:left="567"/>
        <w:contextualSpacing/>
        <w:rPr>
          <w:rFonts w:eastAsia="Times New Roman" w:cs="Times New Roman"/>
          <w:i/>
          <w:color w:val="auto"/>
          <w:sz w:val="20"/>
        </w:rPr>
      </w:pPr>
    </w:p>
    <w:p w14:paraId="004B8524" w14:textId="468460B5" w:rsidR="00332FA8" w:rsidRPr="00332FA8" w:rsidRDefault="00FD2663" w:rsidP="00332FA8">
      <w:pPr>
        <w:spacing w:after="0" w:line="360" w:lineRule="auto"/>
        <w:ind w:left="567"/>
        <w:contextualSpacing/>
        <w:rPr>
          <w:rFonts w:eastAsia="Times New Roman" w:cs="Times New Roman"/>
          <w:i/>
          <w:color w:val="auto"/>
        </w:rPr>
      </w:pPr>
      <w:r>
        <w:rPr>
          <w:b/>
          <w:bCs/>
          <w:color w:val="auto"/>
          <w:szCs w:val="20"/>
        </w:rPr>
        <w:t>01456</w:t>
      </w:r>
      <w:r w:rsidR="00332FA8" w:rsidRPr="00332FA8">
        <w:rPr>
          <w:b/>
          <w:bCs/>
          <w:color w:val="auto"/>
          <w:szCs w:val="20"/>
        </w:rPr>
        <w:t>/TEPOTZOT/IP/2025</w:t>
      </w:r>
    </w:p>
    <w:p w14:paraId="433A40FE" w14:textId="77777777" w:rsidR="00F250EE" w:rsidRDefault="00F250EE" w:rsidP="00040526">
      <w:pPr>
        <w:spacing w:after="0" w:line="360" w:lineRule="auto"/>
        <w:ind w:left="567"/>
        <w:contextualSpacing/>
        <w:rPr>
          <w:rFonts w:eastAsia="Times New Roman" w:cs="Times New Roman"/>
          <w:i/>
          <w:color w:val="auto"/>
          <w:sz w:val="20"/>
        </w:rPr>
      </w:pPr>
    </w:p>
    <w:p w14:paraId="58814514" w14:textId="368EA168" w:rsidR="00332FA8" w:rsidRDefault="00332FA8" w:rsidP="00332FA8">
      <w:pPr>
        <w:tabs>
          <w:tab w:val="left" w:pos="3105"/>
        </w:tabs>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00E921C9" w:rsidRPr="00E921C9">
        <w:rPr>
          <w:rFonts w:cs="Tahoma"/>
          <w:bCs/>
          <w:i/>
          <w:sz w:val="20"/>
        </w:rPr>
        <w:t>Solicito la documentación que avala la elección, designación o nombramiento de autoridades auxiliares.</w:t>
      </w:r>
    </w:p>
    <w:p w14:paraId="2E4DD8F0" w14:textId="77777777" w:rsidR="00E921C9" w:rsidRPr="00F250EE" w:rsidRDefault="00E921C9" w:rsidP="00332FA8">
      <w:pPr>
        <w:tabs>
          <w:tab w:val="left" w:pos="3105"/>
        </w:tabs>
        <w:spacing w:after="0" w:line="360" w:lineRule="auto"/>
        <w:ind w:left="567"/>
        <w:contextualSpacing/>
        <w:rPr>
          <w:rFonts w:ascii="Verdana" w:hAnsi="Verdana"/>
          <w:color w:val="000000"/>
          <w:sz w:val="20"/>
        </w:rPr>
      </w:pPr>
    </w:p>
    <w:p w14:paraId="18E89457" w14:textId="071629E1" w:rsidR="00332FA8" w:rsidRDefault="00332FA8"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745ADFAE" w14:textId="77777777" w:rsidR="00332FA8" w:rsidRDefault="00332FA8" w:rsidP="00332FA8">
      <w:pPr>
        <w:spacing w:after="0" w:line="360" w:lineRule="auto"/>
        <w:contextualSpacing/>
        <w:rPr>
          <w:rFonts w:eastAsia="Times New Roman" w:cs="Times New Roman"/>
          <w:i/>
          <w:color w:val="auto"/>
          <w:sz w:val="20"/>
        </w:rPr>
      </w:pPr>
    </w:p>
    <w:p w14:paraId="5D4400FB" w14:textId="77777777" w:rsidR="00332FA8" w:rsidRPr="00F250EE" w:rsidRDefault="00332FA8" w:rsidP="00040526">
      <w:pPr>
        <w:spacing w:after="0" w:line="360" w:lineRule="auto"/>
        <w:ind w:left="567"/>
        <w:contextualSpacing/>
        <w:rPr>
          <w:rFonts w:eastAsia="Times New Roman" w:cs="Times New Roman"/>
          <w:i/>
          <w:color w:val="auto"/>
          <w:sz w:val="20"/>
        </w:rPr>
      </w:pPr>
    </w:p>
    <w:p w14:paraId="0DA243E2" w14:textId="7851579C" w:rsidR="00E22EA8" w:rsidRPr="00D05FA6" w:rsidRDefault="00E22EA8" w:rsidP="00040526">
      <w:pPr>
        <w:pStyle w:val="Ttulo2"/>
        <w:spacing w:before="0" w:after="0" w:line="360" w:lineRule="auto"/>
        <w:contextualSpacing/>
        <w:rPr>
          <w:sz w:val="22"/>
          <w:szCs w:val="22"/>
        </w:rPr>
      </w:pPr>
      <w:bookmarkStart w:id="7" w:name="_Toc222409067"/>
      <w:r w:rsidRPr="00D05FA6">
        <w:rPr>
          <w:sz w:val="22"/>
          <w:szCs w:val="22"/>
        </w:rPr>
        <w:t>V. Trámite de</w:t>
      </w:r>
      <w:r w:rsidR="00FA5C01" w:rsidRPr="00D05FA6">
        <w:rPr>
          <w:sz w:val="22"/>
          <w:szCs w:val="22"/>
        </w:rPr>
        <w:t xml:space="preserve"> </w:t>
      </w:r>
      <w:r w:rsidRPr="00D05FA6">
        <w:rPr>
          <w:sz w:val="22"/>
          <w:szCs w:val="22"/>
        </w:rPr>
        <w:t>l</w:t>
      </w:r>
      <w:r w:rsidR="00FA5C01" w:rsidRPr="00D05FA6">
        <w:rPr>
          <w:sz w:val="22"/>
          <w:szCs w:val="22"/>
        </w:rPr>
        <w:t>os</w:t>
      </w:r>
      <w:r w:rsidRPr="00D05FA6">
        <w:rPr>
          <w:sz w:val="22"/>
          <w:szCs w:val="22"/>
        </w:rPr>
        <w:t xml:space="preserve"> Recurso</w:t>
      </w:r>
      <w:r w:rsidR="00FA5C01" w:rsidRPr="00D05FA6">
        <w:rPr>
          <w:sz w:val="22"/>
          <w:szCs w:val="22"/>
        </w:rPr>
        <w:t>s</w:t>
      </w:r>
      <w:r w:rsidRPr="00D05FA6">
        <w:rPr>
          <w:sz w:val="22"/>
          <w:szCs w:val="22"/>
        </w:rPr>
        <w:t xml:space="preserve"> de Revisión ante este Instituto</w:t>
      </w:r>
      <w:bookmarkEnd w:id="7"/>
    </w:p>
    <w:p w14:paraId="2512F159" w14:textId="77777777" w:rsidR="009B2DAB" w:rsidRPr="00D05FA6" w:rsidRDefault="009B2DAB" w:rsidP="00040526">
      <w:pPr>
        <w:spacing w:after="0" w:line="360" w:lineRule="auto"/>
        <w:contextualSpacing/>
        <w:rPr>
          <w:b/>
          <w:bCs/>
        </w:rPr>
      </w:pPr>
    </w:p>
    <w:p w14:paraId="62C1984E" w14:textId="656569DB" w:rsidR="00FA5C01" w:rsidRPr="00D05FA6" w:rsidRDefault="00FA5C01" w:rsidP="00040526">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9554B7">
        <w:rPr>
          <w:rFonts w:cs="Tahoma"/>
        </w:rPr>
        <w:t>veinticuatro</w:t>
      </w:r>
      <w:r w:rsidR="00FD2663">
        <w:rPr>
          <w:rFonts w:cs="Tahoma"/>
        </w:rPr>
        <w:t xml:space="preserve"> y veinticinco</w:t>
      </w:r>
      <w:r w:rsidR="009554B7">
        <w:rPr>
          <w:rFonts w:cs="Tahoma"/>
        </w:rPr>
        <w:t xml:space="preserve"> de enero de dos mil veintiséis</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040526">
      <w:pPr>
        <w:spacing w:after="0" w:line="360" w:lineRule="auto"/>
        <w:contextualSpacing/>
        <w:rPr>
          <w:b/>
          <w:bCs/>
        </w:rPr>
      </w:pPr>
    </w:p>
    <w:p w14:paraId="791C0E36" w14:textId="231FF1BC" w:rsidR="00E22EA8" w:rsidRPr="00D05FA6" w:rsidRDefault="00E22EA8" w:rsidP="00040526">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9554B7">
        <w:t xml:space="preserve">treinta </w:t>
      </w:r>
      <w:r w:rsidR="00F250EE">
        <w:t>de enero</w:t>
      </w:r>
      <w:r w:rsidR="00EE2207" w:rsidRPr="00D05FA6">
        <w:t xml:space="preserve"> </w:t>
      </w:r>
      <w:r w:rsidR="00E64E18" w:rsidRPr="00D05FA6">
        <w:t xml:space="preserve">de dos mil </w:t>
      </w:r>
      <w:r w:rsidR="00F250EE">
        <w:t>veintiséis</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040526">
      <w:pPr>
        <w:spacing w:after="0" w:line="360" w:lineRule="auto"/>
        <w:contextualSpacing/>
      </w:pPr>
    </w:p>
    <w:p w14:paraId="51FE8A13" w14:textId="77777777" w:rsidR="00572C64" w:rsidRPr="00D05FA6" w:rsidRDefault="00572C64" w:rsidP="00040526">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040526">
      <w:pPr>
        <w:spacing w:after="0" w:line="360" w:lineRule="auto"/>
        <w:contextualSpacing/>
        <w:rPr>
          <w:rFonts w:cs="Tahoma"/>
        </w:rPr>
      </w:pPr>
    </w:p>
    <w:p w14:paraId="2E9E2BB1" w14:textId="44FFD837" w:rsidR="00C64BF3" w:rsidRDefault="00572C64" w:rsidP="00040526">
      <w:pPr>
        <w:spacing w:after="0" w:line="360" w:lineRule="auto"/>
        <w:contextualSpacing/>
        <w:rPr>
          <w:rFonts w:cs="Tahoma"/>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6E9ACC04" w14:textId="77777777" w:rsidR="0094364F" w:rsidRPr="00C51940" w:rsidRDefault="0094364F" w:rsidP="00040526">
      <w:pPr>
        <w:spacing w:after="0" w:line="360" w:lineRule="auto"/>
        <w:contextualSpacing/>
        <w:rPr>
          <w:rFonts w:cs="Tahoma"/>
        </w:rPr>
      </w:pPr>
    </w:p>
    <w:p w14:paraId="47423890" w14:textId="7311407F" w:rsidR="00FA5C01" w:rsidRPr="00F428DB" w:rsidRDefault="00FA5C01" w:rsidP="00040526">
      <w:pPr>
        <w:spacing w:after="0" w:line="360" w:lineRule="auto"/>
        <w:rPr>
          <w:b/>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9554B7">
        <w:rPr>
          <w:rFonts w:cs="Tahoma"/>
        </w:rPr>
        <w:t>doce de febrero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w:t>
      </w:r>
      <w:r w:rsidR="00FD2663" w:rsidRPr="00FD2663">
        <w:rPr>
          <w:rFonts w:cs="Tahoma"/>
          <w:b/>
          <w:bCs/>
        </w:rPr>
        <w:t>01046/INFOEM/IP/RR/2026, 01051/INFOEM/IP/RR/2026 01056/INFOEM/IP/RR/2026, 01061/INFOEM/IP/RR/2026 y 01066/INFOEM/IP/RR/2026</w:t>
      </w:r>
      <w:r w:rsidR="00C64BF3">
        <w:rPr>
          <w:b/>
        </w:rPr>
        <w:t>,</w:t>
      </w:r>
      <w:r w:rsidR="00C51940">
        <w:rPr>
          <w:b/>
        </w:rPr>
        <w:t xml:space="preserve"> </w:t>
      </w:r>
      <w:r w:rsidR="00C51940">
        <w:t xml:space="preserve">al </w:t>
      </w:r>
      <w:r w:rsidR="00FD2663">
        <w:rPr>
          <w:rFonts w:cs="Tahoma"/>
          <w:b/>
          <w:bCs/>
        </w:rPr>
        <w:t xml:space="preserve">01041/INFOEM/IP/RR/2026,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040526">
      <w:pPr>
        <w:spacing w:after="0" w:line="360" w:lineRule="auto"/>
        <w:contextualSpacing/>
        <w:rPr>
          <w:rFonts w:cs="Tahoma"/>
        </w:rPr>
      </w:pPr>
    </w:p>
    <w:p w14:paraId="341B96DD" w14:textId="26DD4C8D" w:rsidR="00E22EA8" w:rsidRPr="00D05FA6" w:rsidRDefault="00CD16BA" w:rsidP="00040526">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9554B7">
        <w:rPr>
          <w:rFonts w:cs="Tahoma"/>
        </w:rPr>
        <w:t>doce de febrero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040526">
      <w:pPr>
        <w:spacing w:after="0" w:line="360" w:lineRule="auto"/>
        <w:contextualSpacing/>
        <w:rPr>
          <w:b/>
          <w:bCs/>
          <w:lang w:val="es-ES"/>
        </w:rPr>
      </w:pPr>
    </w:p>
    <w:p w14:paraId="7CA87610" w14:textId="77777777" w:rsidR="005C690F" w:rsidRPr="00D05FA6" w:rsidRDefault="007D6307" w:rsidP="00040526">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40781C80" w14:textId="77777777" w:rsidR="00387DCC" w:rsidRDefault="00387DCC" w:rsidP="00040526">
      <w:pPr>
        <w:spacing w:after="0" w:line="360" w:lineRule="auto"/>
        <w:contextualSpacing/>
      </w:pPr>
    </w:p>
    <w:p w14:paraId="7B5A392E" w14:textId="77777777" w:rsidR="005C690F" w:rsidRPr="00D05FA6" w:rsidRDefault="00CD6238" w:rsidP="00040526">
      <w:pPr>
        <w:pStyle w:val="Ttulo1"/>
        <w:spacing w:before="0" w:after="0" w:line="360" w:lineRule="auto"/>
        <w:contextualSpacing/>
        <w:jc w:val="center"/>
        <w:rPr>
          <w:sz w:val="22"/>
          <w:szCs w:val="22"/>
        </w:rPr>
      </w:pPr>
      <w:bookmarkStart w:id="8" w:name="_Toc222409068"/>
      <w:r w:rsidRPr="00D05FA6">
        <w:rPr>
          <w:sz w:val="22"/>
          <w:szCs w:val="22"/>
        </w:rPr>
        <w:t>C O N S I D E R A N D O S</w:t>
      </w:r>
      <w:bookmarkEnd w:id="8"/>
    </w:p>
    <w:p w14:paraId="4F508AC7" w14:textId="77777777" w:rsidR="006F62BB" w:rsidRPr="00D05FA6" w:rsidRDefault="006F62BB" w:rsidP="00040526">
      <w:pPr>
        <w:spacing w:after="0" w:line="360" w:lineRule="auto"/>
        <w:contextualSpacing/>
        <w:rPr>
          <w:b/>
        </w:rPr>
      </w:pPr>
    </w:p>
    <w:p w14:paraId="5FE8D1E0" w14:textId="77777777" w:rsidR="005C690F" w:rsidRPr="00D05FA6" w:rsidRDefault="007D6307" w:rsidP="00040526">
      <w:pPr>
        <w:pStyle w:val="Ttulo2"/>
        <w:spacing w:before="0" w:after="0" w:line="360" w:lineRule="auto"/>
        <w:contextualSpacing/>
        <w:rPr>
          <w:sz w:val="22"/>
          <w:szCs w:val="22"/>
        </w:rPr>
      </w:pPr>
      <w:bookmarkStart w:id="9" w:name="_Toc222409069"/>
      <w:r w:rsidRPr="00D05FA6">
        <w:rPr>
          <w:sz w:val="22"/>
          <w:szCs w:val="22"/>
        </w:rPr>
        <w:t xml:space="preserve">PRIMERO. </w:t>
      </w:r>
      <w:r w:rsidR="00CD6238" w:rsidRPr="00D05FA6">
        <w:rPr>
          <w:sz w:val="22"/>
          <w:szCs w:val="22"/>
        </w:rPr>
        <w:t>Competencia</w:t>
      </w:r>
      <w:bookmarkEnd w:id="9"/>
    </w:p>
    <w:p w14:paraId="01C87990" w14:textId="77777777" w:rsidR="007A1ACB" w:rsidRPr="00D05FA6" w:rsidRDefault="007A1ACB" w:rsidP="00040526">
      <w:pPr>
        <w:spacing w:after="0" w:line="360" w:lineRule="auto"/>
        <w:contextualSpacing/>
        <w:rPr>
          <w:b/>
        </w:rPr>
      </w:pPr>
    </w:p>
    <w:p w14:paraId="02EC2E1B" w14:textId="77777777" w:rsidR="00E61B38" w:rsidRPr="00D05FA6" w:rsidRDefault="00E61B38" w:rsidP="00040526">
      <w:pPr>
        <w:spacing w:after="0" w:line="360" w:lineRule="auto"/>
        <w:contextualSpacing/>
        <w:rPr>
          <w:rFonts w:cs="Tahoma"/>
          <w:bCs/>
        </w:rPr>
      </w:pPr>
      <w:bookmarkStart w:id="10" w:name="_heading=h.30j0zll" w:colFirst="0" w:colLast="0"/>
      <w:bookmarkEnd w:id="10"/>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040526">
      <w:pPr>
        <w:spacing w:after="0" w:line="360" w:lineRule="auto"/>
        <w:contextualSpacing/>
        <w:rPr>
          <w:rFonts w:eastAsia="Times New Roman" w:cs="Tahoma"/>
          <w:bCs/>
          <w:lang w:eastAsia="es-ES"/>
        </w:rPr>
      </w:pPr>
    </w:p>
    <w:p w14:paraId="68FE6DE7" w14:textId="77777777" w:rsidR="005C690F" w:rsidRPr="00D05FA6" w:rsidRDefault="007D6307" w:rsidP="00040526">
      <w:pPr>
        <w:pStyle w:val="Ttulo2"/>
        <w:spacing w:before="0" w:after="0" w:line="360" w:lineRule="auto"/>
        <w:contextualSpacing/>
        <w:rPr>
          <w:sz w:val="22"/>
          <w:szCs w:val="22"/>
        </w:rPr>
      </w:pPr>
      <w:bookmarkStart w:id="11" w:name="_Toc222409070"/>
      <w:r w:rsidRPr="00D05FA6">
        <w:rPr>
          <w:sz w:val="22"/>
          <w:szCs w:val="22"/>
        </w:rPr>
        <w:t>SEGUNDO. Causales de</w:t>
      </w:r>
      <w:r w:rsidR="00CD6238" w:rsidRPr="00D05FA6">
        <w:rPr>
          <w:sz w:val="22"/>
          <w:szCs w:val="22"/>
        </w:rPr>
        <w:t xml:space="preserve"> improcedencia y sobreseimiento</w:t>
      </w:r>
      <w:bookmarkEnd w:id="11"/>
    </w:p>
    <w:p w14:paraId="03CB1E19" w14:textId="77777777" w:rsidR="005C690F" w:rsidRPr="00D05FA6" w:rsidRDefault="005C690F" w:rsidP="00040526">
      <w:pPr>
        <w:spacing w:after="0" w:line="360" w:lineRule="auto"/>
        <w:contextualSpacing/>
      </w:pPr>
    </w:p>
    <w:p w14:paraId="224E5D21" w14:textId="77777777" w:rsidR="005C690F" w:rsidRPr="00D05FA6" w:rsidRDefault="007D6307" w:rsidP="00040526">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040526">
      <w:pPr>
        <w:spacing w:after="0" w:line="360" w:lineRule="auto"/>
        <w:contextualSpacing/>
      </w:pPr>
    </w:p>
    <w:p w14:paraId="4131E37B" w14:textId="77777777" w:rsidR="005C690F" w:rsidRPr="00D05FA6" w:rsidRDefault="007D6307" w:rsidP="00040526">
      <w:pPr>
        <w:spacing w:after="0" w:line="360" w:lineRule="auto"/>
        <w:contextualSpacing/>
        <w:rPr>
          <w:b/>
        </w:rPr>
      </w:pPr>
      <w:r w:rsidRPr="00D05FA6">
        <w:rPr>
          <w:b/>
        </w:rPr>
        <w:t>Causales de improcedencia</w:t>
      </w:r>
    </w:p>
    <w:p w14:paraId="31F0CAC3" w14:textId="77777777" w:rsidR="005C690F" w:rsidRPr="00D05FA6" w:rsidRDefault="005C690F" w:rsidP="00040526">
      <w:pPr>
        <w:spacing w:after="0" w:line="360" w:lineRule="auto"/>
        <w:contextualSpacing/>
      </w:pPr>
    </w:p>
    <w:p w14:paraId="7D9F75F3" w14:textId="77777777" w:rsidR="005C690F" w:rsidRPr="00D05FA6" w:rsidRDefault="007D6307" w:rsidP="00040526">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040526">
      <w:pPr>
        <w:spacing w:after="0" w:line="360" w:lineRule="auto"/>
        <w:contextualSpacing/>
      </w:pPr>
    </w:p>
    <w:p w14:paraId="77AAA7B4" w14:textId="77777777" w:rsidR="003A208C" w:rsidRPr="00D05FA6" w:rsidRDefault="007D6307" w:rsidP="00040526">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040526">
      <w:pPr>
        <w:spacing w:after="0" w:line="360" w:lineRule="auto"/>
        <w:contextualSpacing/>
      </w:pPr>
    </w:p>
    <w:p w14:paraId="73294A10" w14:textId="77777777" w:rsidR="009A5186" w:rsidRPr="00D05FA6" w:rsidRDefault="009A5186" w:rsidP="00040526">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040526">
      <w:pPr>
        <w:spacing w:after="0" w:line="360" w:lineRule="auto"/>
        <w:contextualSpacing/>
        <w:rPr>
          <w:rFonts w:cs="Tahoma"/>
          <w:lang w:val="es-ES"/>
        </w:rPr>
      </w:pPr>
    </w:p>
    <w:p w14:paraId="55273B2A" w14:textId="77777777" w:rsidR="009A5186" w:rsidRPr="00D05FA6" w:rsidRDefault="009A5186" w:rsidP="00040526">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040526">
      <w:pPr>
        <w:spacing w:after="0" w:line="360" w:lineRule="auto"/>
        <w:contextualSpacing/>
        <w:rPr>
          <w:lang w:val="es-ES"/>
        </w:rPr>
      </w:pPr>
    </w:p>
    <w:p w14:paraId="1F527B18" w14:textId="77777777" w:rsidR="005C690F" w:rsidRPr="00D05FA6" w:rsidRDefault="007D6307" w:rsidP="00040526">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040526">
      <w:pPr>
        <w:spacing w:after="0" w:line="360" w:lineRule="auto"/>
        <w:contextualSpacing/>
      </w:pPr>
    </w:p>
    <w:p w14:paraId="1E4C4E28" w14:textId="77777777" w:rsidR="005C690F" w:rsidRPr="00D05FA6" w:rsidRDefault="007D6307" w:rsidP="00040526">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040526">
      <w:pPr>
        <w:spacing w:after="0" w:line="360" w:lineRule="auto"/>
        <w:contextualSpacing/>
      </w:pPr>
    </w:p>
    <w:p w14:paraId="09839DBD" w14:textId="77777777" w:rsidR="005C690F" w:rsidRPr="00D05FA6" w:rsidRDefault="007D6307" w:rsidP="00040526">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040526">
      <w:pPr>
        <w:spacing w:after="0" w:line="360" w:lineRule="auto"/>
        <w:contextualSpacing/>
      </w:pPr>
    </w:p>
    <w:p w14:paraId="54EBD118" w14:textId="77777777" w:rsidR="005C690F" w:rsidRPr="00D05FA6" w:rsidRDefault="007D6307" w:rsidP="00040526">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040526">
      <w:pPr>
        <w:spacing w:after="0" w:line="360" w:lineRule="auto"/>
        <w:contextualSpacing/>
        <w:rPr>
          <w:b/>
        </w:rPr>
      </w:pPr>
    </w:p>
    <w:p w14:paraId="18A3A9CB" w14:textId="77777777" w:rsidR="005C690F" w:rsidRPr="00D05FA6" w:rsidRDefault="007D6307" w:rsidP="00040526">
      <w:pPr>
        <w:pStyle w:val="Ttulo2"/>
        <w:spacing w:before="0" w:after="0" w:line="360" w:lineRule="auto"/>
        <w:contextualSpacing/>
        <w:rPr>
          <w:sz w:val="22"/>
          <w:szCs w:val="22"/>
        </w:rPr>
      </w:pPr>
      <w:bookmarkStart w:id="12" w:name="_Toc222409071"/>
      <w:r w:rsidRPr="00D05FA6">
        <w:rPr>
          <w:sz w:val="22"/>
          <w:szCs w:val="22"/>
        </w:rPr>
        <w:t>TERCERO. De</w:t>
      </w:r>
      <w:r w:rsidR="00CD6238" w:rsidRPr="00D05FA6">
        <w:rPr>
          <w:sz w:val="22"/>
          <w:szCs w:val="22"/>
        </w:rPr>
        <w:t>terminación de la Controversia</w:t>
      </w:r>
      <w:bookmarkEnd w:id="12"/>
    </w:p>
    <w:p w14:paraId="59B5924F" w14:textId="77777777" w:rsidR="00897A05" w:rsidRPr="00D05FA6" w:rsidRDefault="00897A05" w:rsidP="00040526">
      <w:pPr>
        <w:spacing w:after="0" w:line="360" w:lineRule="auto"/>
        <w:contextualSpacing/>
        <w:rPr>
          <w:b/>
        </w:rPr>
      </w:pPr>
    </w:p>
    <w:p w14:paraId="6968159E" w14:textId="77777777" w:rsidR="00040526" w:rsidRDefault="007C7BAF" w:rsidP="00040526">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2A8FC776" w14:textId="77777777" w:rsidR="00040526" w:rsidRDefault="00040526" w:rsidP="00040526">
      <w:pPr>
        <w:spacing w:after="0" w:line="360" w:lineRule="auto"/>
        <w:contextualSpacing/>
        <w:rPr>
          <w:rFonts w:cs="Tahoma"/>
        </w:rPr>
      </w:pPr>
    </w:p>
    <w:p w14:paraId="790B3ED5" w14:textId="59123533" w:rsidR="009A5186" w:rsidRPr="00D05FA6" w:rsidRDefault="009A5186" w:rsidP="00040526">
      <w:pPr>
        <w:spacing w:after="0" w:line="360" w:lineRule="auto"/>
        <w:contextualSpacing/>
        <w:rPr>
          <w:rFonts w:cs="Tahoma"/>
          <w:bCs/>
          <w:iCs/>
          <w:lang w:val="es-ES"/>
        </w:rPr>
      </w:pPr>
      <w:r w:rsidRPr="00D05FA6">
        <w:rPr>
          <w:rFonts w:cs="Tahoma"/>
          <w:bCs/>
          <w:iCs/>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cs="Tahoma"/>
          <w:bCs/>
          <w:iCs/>
          <w:shd w:val="clear" w:color="auto" w:fill="FFFFFF"/>
        </w:rPr>
        <w:t xml:space="preserve">. </w:t>
      </w:r>
      <w:r w:rsidRPr="00D05FA6">
        <w:rPr>
          <w:rFonts w:cs="Tahoma"/>
          <w:lang w:val="es-ES"/>
        </w:rPr>
        <w:t>Así las cosas, una vez admitido y notificado el Recurso de Revisión a las partes, estas</w:t>
      </w:r>
      <w:r w:rsidRPr="00D05FA6">
        <w:rPr>
          <w:rFonts w:cs="Tahoma"/>
          <w:bCs/>
          <w:iCs/>
          <w:lang w:val="es-ES" w:eastAsia="es-ES"/>
        </w:rPr>
        <w:t xml:space="preserve"> fueron omisas en realizar manifestaciones o alegatos.</w:t>
      </w:r>
    </w:p>
    <w:p w14:paraId="3F76599B" w14:textId="77777777" w:rsidR="009A5186" w:rsidRPr="00D05FA6" w:rsidRDefault="009A5186" w:rsidP="00040526">
      <w:pPr>
        <w:pStyle w:val="NormalWeb"/>
        <w:spacing w:after="0" w:line="360" w:lineRule="auto"/>
        <w:ind w:right="-28"/>
        <w:contextualSpacing/>
        <w:rPr>
          <w:rFonts w:ascii="Palatino Linotype" w:eastAsia="Calibri" w:hAnsi="Palatino Linotype" w:cs="Tahoma"/>
          <w:iCs/>
          <w:sz w:val="22"/>
          <w:szCs w:val="22"/>
          <w:lang w:val="es-ES"/>
        </w:rPr>
      </w:pPr>
    </w:p>
    <w:p w14:paraId="6AD83EB8" w14:textId="45FFD535" w:rsidR="009A5186" w:rsidRDefault="009A5186" w:rsidP="00040526">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recursal;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3D0DFE0" w14:textId="77777777" w:rsidR="00040526" w:rsidRPr="00D05FA6" w:rsidRDefault="00040526" w:rsidP="00040526">
      <w:pPr>
        <w:tabs>
          <w:tab w:val="left" w:pos="4962"/>
        </w:tabs>
        <w:spacing w:after="0" w:line="360" w:lineRule="auto"/>
        <w:contextualSpacing/>
        <w:rPr>
          <w:rFonts w:eastAsia="Calibri" w:cs="Tahoma"/>
          <w:bCs/>
        </w:rPr>
      </w:pPr>
    </w:p>
    <w:p w14:paraId="04EB0485" w14:textId="77777777" w:rsidR="005C690F" w:rsidRPr="00D05FA6" w:rsidRDefault="007D6307" w:rsidP="00040526">
      <w:pPr>
        <w:pStyle w:val="Ttulo2"/>
        <w:spacing w:before="0" w:after="0" w:line="360" w:lineRule="auto"/>
        <w:contextualSpacing/>
        <w:rPr>
          <w:sz w:val="22"/>
          <w:szCs w:val="22"/>
        </w:rPr>
      </w:pPr>
      <w:bookmarkStart w:id="13" w:name="_Toc222409072"/>
      <w:r w:rsidRPr="00D05FA6">
        <w:rPr>
          <w:sz w:val="22"/>
          <w:szCs w:val="22"/>
        </w:rPr>
        <w:t xml:space="preserve">CUARTO. Marco normativo aplicable en materia de transparencia y </w:t>
      </w:r>
      <w:r w:rsidR="00CD6238" w:rsidRPr="00D05FA6">
        <w:rPr>
          <w:sz w:val="22"/>
          <w:szCs w:val="22"/>
        </w:rPr>
        <w:t>acceso a la información pública</w:t>
      </w:r>
      <w:bookmarkEnd w:id="13"/>
    </w:p>
    <w:p w14:paraId="4719168B" w14:textId="77777777" w:rsidR="005C690F" w:rsidRPr="00D05FA6" w:rsidRDefault="005C690F" w:rsidP="00040526">
      <w:pPr>
        <w:spacing w:after="0" w:line="360" w:lineRule="auto"/>
        <w:contextualSpacing/>
      </w:pPr>
    </w:p>
    <w:p w14:paraId="28829D20" w14:textId="77777777" w:rsidR="005C690F" w:rsidRPr="00D05FA6" w:rsidRDefault="007D6307" w:rsidP="00040526">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040526">
      <w:pPr>
        <w:spacing w:after="0" w:line="360" w:lineRule="auto"/>
        <w:contextualSpacing/>
      </w:pPr>
    </w:p>
    <w:p w14:paraId="6DFD6297" w14:textId="77777777" w:rsidR="005C690F" w:rsidRPr="00D05FA6" w:rsidRDefault="007D6307" w:rsidP="00040526">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040526">
      <w:pPr>
        <w:spacing w:after="0" w:line="360" w:lineRule="auto"/>
        <w:contextualSpacing/>
      </w:pPr>
    </w:p>
    <w:p w14:paraId="4A8ED314" w14:textId="77777777" w:rsidR="005C690F" w:rsidRPr="00D05FA6" w:rsidRDefault="007D6307" w:rsidP="00040526">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040526">
      <w:pPr>
        <w:spacing w:after="0" w:line="360" w:lineRule="auto"/>
        <w:contextualSpacing/>
      </w:pPr>
    </w:p>
    <w:p w14:paraId="321BC72E" w14:textId="77777777" w:rsidR="005C690F" w:rsidRPr="00D05FA6" w:rsidRDefault="007D6307" w:rsidP="00040526">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040526">
      <w:pPr>
        <w:spacing w:after="0" w:line="360" w:lineRule="auto"/>
        <w:contextualSpacing/>
      </w:pPr>
    </w:p>
    <w:p w14:paraId="327E54EC" w14:textId="77777777" w:rsidR="005C690F" w:rsidRPr="00D05FA6" w:rsidRDefault="007D6307" w:rsidP="00040526">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040526">
      <w:pPr>
        <w:widowControl w:val="0"/>
        <w:spacing w:after="0" w:line="360" w:lineRule="auto"/>
        <w:contextualSpacing/>
      </w:pPr>
    </w:p>
    <w:p w14:paraId="1E9DFD91" w14:textId="5CCBDACE" w:rsidR="00E20E53" w:rsidRDefault="007D6307" w:rsidP="00040526">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040526">
      <w:pPr>
        <w:spacing w:after="0" w:line="360" w:lineRule="auto"/>
        <w:contextualSpacing/>
      </w:pPr>
    </w:p>
    <w:p w14:paraId="1D4BAB98" w14:textId="77777777" w:rsidR="005C690F" w:rsidRPr="00D05FA6" w:rsidRDefault="00CD6238" w:rsidP="00040526">
      <w:pPr>
        <w:pStyle w:val="Ttulo2"/>
        <w:spacing w:before="0" w:after="0" w:line="360" w:lineRule="auto"/>
        <w:contextualSpacing/>
        <w:rPr>
          <w:sz w:val="22"/>
          <w:szCs w:val="22"/>
        </w:rPr>
      </w:pPr>
      <w:bookmarkStart w:id="14" w:name="_Toc222409073"/>
      <w:r w:rsidRPr="00D05FA6">
        <w:rPr>
          <w:sz w:val="22"/>
          <w:szCs w:val="22"/>
        </w:rPr>
        <w:t>Q</w:t>
      </w:r>
      <w:r w:rsidR="0044017B" w:rsidRPr="00D05FA6">
        <w:rPr>
          <w:sz w:val="22"/>
          <w:szCs w:val="22"/>
        </w:rPr>
        <w:t>UINTO</w:t>
      </w:r>
      <w:r w:rsidRPr="00D05FA6">
        <w:rPr>
          <w:sz w:val="22"/>
          <w:szCs w:val="22"/>
        </w:rPr>
        <w:t>. Estudio de Fondo</w:t>
      </w:r>
      <w:bookmarkEnd w:id="14"/>
    </w:p>
    <w:p w14:paraId="7B02A1EF" w14:textId="77777777" w:rsidR="00A56228" w:rsidRPr="00D05FA6" w:rsidRDefault="00A56228" w:rsidP="00040526">
      <w:pPr>
        <w:spacing w:after="0" w:line="360" w:lineRule="auto"/>
        <w:contextualSpacing/>
        <w:rPr>
          <w:b/>
        </w:rPr>
      </w:pPr>
    </w:p>
    <w:p w14:paraId="2F0B451D" w14:textId="77777777" w:rsidR="00DF3B23" w:rsidRPr="00D05FA6" w:rsidRDefault="00DF3B23" w:rsidP="00040526">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040526">
      <w:pPr>
        <w:spacing w:after="0" w:line="360" w:lineRule="auto"/>
        <w:contextualSpacing/>
        <w:rPr>
          <w:rFonts w:cs="Tahoma"/>
          <w:iCs/>
        </w:rPr>
      </w:pPr>
    </w:p>
    <w:p w14:paraId="31A6F19C" w14:textId="1395FB3D" w:rsidR="00DF3B23" w:rsidRDefault="00DF3B23" w:rsidP="00040526">
      <w:pPr>
        <w:spacing w:after="0"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896B88A" w14:textId="77777777" w:rsidR="00C51940" w:rsidRPr="00D05FA6" w:rsidRDefault="00C51940" w:rsidP="00040526">
      <w:pPr>
        <w:spacing w:after="0" w:line="360" w:lineRule="auto"/>
        <w:contextualSpacing/>
        <w:rPr>
          <w:rFonts w:cs="Tahoma"/>
          <w:iCs/>
        </w:rPr>
      </w:pPr>
    </w:p>
    <w:p w14:paraId="6C8FB680"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040526">
      <w:pPr>
        <w:spacing w:after="0" w:line="360" w:lineRule="auto"/>
        <w:ind w:left="720"/>
        <w:contextualSpacing/>
        <w:rPr>
          <w:rFonts w:cs="Tahoma"/>
          <w:iCs/>
        </w:rPr>
      </w:pPr>
    </w:p>
    <w:p w14:paraId="5A51049F"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040526">
      <w:pPr>
        <w:pStyle w:val="Prrafodelista"/>
        <w:spacing w:line="360" w:lineRule="auto"/>
        <w:rPr>
          <w:rFonts w:cs="Tahoma"/>
          <w:iCs/>
          <w:szCs w:val="22"/>
        </w:rPr>
      </w:pPr>
    </w:p>
    <w:p w14:paraId="228356C7"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040526">
      <w:pPr>
        <w:spacing w:after="0" w:line="360" w:lineRule="auto"/>
        <w:contextualSpacing/>
        <w:rPr>
          <w:rFonts w:cs="Tahoma"/>
          <w:iCs/>
        </w:rPr>
      </w:pPr>
    </w:p>
    <w:p w14:paraId="06444838" w14:textId="77777777" w:rsidR="00DF3B23" w:rsidRPr="00D05FA6" w:rsidRDefault="00DF3B23" w:rsidP="00040526">
      <w:pPr>
        <w:spacing w:after="0"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040526">
      <w:pPr>
        <w:spacing w:after="0" w:line="360" w:lineRule="auto"/>
        <w:contextualSpacing/>
        <w:rPr>
          <w:rFonts w:cs="Tahoma"/>
          <w:iCs/>
        </w:rPr>
      </w:pPr>
    </w:p>
    <w:p w14:paraId="225A1210" w14:textId="77777777" w:rsidR="00DF3B23" w:rsidRPr="00D05FA6" w:rsidRDefault="00DF3B23" w:rsidP="00040526">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040526">
      <w:pPr>
        <w:spacing w:after="0" w:line="360" w:lineRule="auto"/>
        <w:contextualSpacing/>
        <w:rPr>
          <w:rFonts w:cs="Tahoma"/>
          <w:iCs/>
        </w:rPr>
      </w:pPr>
    </w:p>
    <w:p w14:paraId="1700B4E1" w14:textId="77777777" w:rsidR="00DF3B23" w:rsidRPr="00D05FA6" w:rsidRDefault="00DF3B23" w:rsidP="00040526">
      <w:pPr>
        <w:spacing w:after="0"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040526">
      <w:pPr>
        <w:spacing w:after="0" w:line="360" w:lineRule="auto"/>
        <w:contextualSpacing/>
        <w:rPr>
          <w:rFonts w:cs="Tahoma"/>
          <w:iCs/>
        </w:rPr>
      </w:pPr>
    </w:p>
    <w:p w14:paraId="425E9EF5"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040526">
      <w:pPr>
        <w:spacing w:after="0" w:line="360" w:lineRule="auto"/>
        <w:ind w:left="720"/>
        <w:contextualSpacing/>
        <w:rPr>
          <w:rFonts w:cs="Tahoma"/>
          <w:iCs/>
        </w:rPr>
      </w:pPr>
    </w:p>
    <w:p w14:paraId="3272B7A4"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040526">
      <w:pPr>
        <w:pStyle w:val="Prrafodelista"/>
        <w:spacing w:line="360" w:lineRule="auto"/>
        <w:rPr>
          <w:rFonts w:cs="Tahoma"/>
          <w:iCs/>
          <w:szCs w:val="22"/>
        </w:rPr>
      </w:pPr>
    </w:p>
    <w:p w14:paraId="58055119"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040526">
      <w:pPr>
        <w:pStyle w:val="Prrafodelista"/>
        <w:spacing w:line="360" w:lineRule="auto"/>
        <w:rPr>
          <w:rFonts w:cs="Tahoma"/>
          <w:iCs/>
          <w:szCs w:val="22"/>
        </w:rPr>
      </w:pPr>
    </w:p>
    <w:p w14:paraId="6292546F"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040526">
      <w:pPr>
        <w:spacing w:after="0" w:line="360" w:lineRule="auto"/>
        <w:contextualSpacing/>
        <w:rPr>
          <w:rFonts w:cs="Tahoma"/>
          <w:iCs/>
        </w:rPr>
      </w:pPr>
    </w:p>
    <w:p w14:paraId="70C53E26"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040526">
      <w:pPr>
        <w:pStyle w:val="Prrafodelista"/>
        <w:spacing w:line="360" w:lineRule="auto"/>
        <w:rPr>
          <w:rFonts w:cs="Tahoma"/>
          <w:iCs/>
          <w:szCs w:val="22"/>
        </w:rPr>
      </w:pPr>
    </w:p>
    <w:p w14:paraId="1F949CC2"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040526">
      <w:pPr>
        <w:spacing w:after="0" w:line="360" w:lineRule="auto"/>
        <w:contextualSpacing/>
        <w:rPr>
          <w:rFonts w:cs="Tahoma"/>
          <w:iCs/>
        </w:rPr>
      </w:pPr>
    </w:p>
    <w:p w14:paraId="13459184" w14:textId="7D6106D5" w:rsidR="00DF3B23" w:rsidRPr="00D05FA6" w:rsidRDefault="00DF3B23" w:rsidP="00040526">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no 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7D18B0">
        <w:rPr>
          <w:rFonts w:cs="Tahoma"/>
          <w:iCs/>
        </w:rPr>
        <w:t>veintiocho de noviembre</w:t>
      </w:r>
      <w:r w:rsidRPr="006240DE">
        <w:rPr>
          <w:rFonts w:cs="Tahoma"/>
          <w:iCs/>
        </w:rPr>
        <w:t xml:space="preserve"> de dos mil veinticinco.</w:t>
      </w:r>
    </w:p>
    <w:p w14:paraId="6EEC214F" w14:textId="77777777" w:rsidR="00DF3B23" w:rsidRPr="00D05FA6" w:rsidRDefault="00DF3B23" w:rsidP="00040526">
      <w:pPr>
        <w:spacing w:after="0" w:line="360" w:lineRule="auto"/>
        <w:contextualSpacing/>
        <w:rPr>
          <w:rFonts w:cs="Tahoma"/>
          <w:iCs/>
        </w:rPr>
      </w:pPr>
    </w:p>
    <w:p w14:paraId="73C6C1EA" w14:textId="1EB72A53" w:rsidR="00DF3B23" w:rsidRPr="00D05FA6" w:rsidRDefault="00DF3B23" w:rsidP="00040526">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7D18B0">
        <w:rPr>
          <w:rFonts w:cs="Tahoma"/>
          <w:iCs/>
        </w:rPr>
        <w:t>primero</w:t>
      </w:r>
      <w:r w:rsidR="00EC5603">
        <w:rPr>
          <w:rFonts w:cs="Tahoma"/>
          <w:iCs/>
        </w:rPr>
        <w:t xml:space="preserve"> </w:t>
      </w:r>
      <w:r w:rsidR="0045592C">
        <w:rPr>
          <w:rFonts w:cs="Tahoma"/>
          <w:iCs/>
        </w:rPr>
        <w:t>de diciembre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Pr="00E20E53">
        <w:rPr>
          <w:rFonts w:cs="Tahoma"/>
          <w:iCs/>
        </w:rPr>
        <w:t xml:space="preserve">, </w:t>
      </w:r>
      <w:r w:rsidR="009861D5">
        <w:rPr>
          <w:rFonts w:cs="Tahoma"/>
          <w:iCs/>
        </w:rPr>
        <w:t>establecidos en</w:t>
      </w:r>
      <w:r w:rsidRPr="00E20E53">
        <w:rPr>
          <w:rFonts w:cs="Tahoma"/>
          <w:iCs/>
        </w:rPr>
        <w:t xml:space="preserve"> el artículo, 3°, fracción X, de la Ley de Transparencia y Acceso a la Información Pública del Estado de México y Municipios y </w:t>
      </w:r>
      <w:bookmarkStart w:id="15" w:name="_Hlk65786947"/>
      <w:r w:rsidRPr="00E20E53">
        <w:rPr>
          <w:rFonts w:cs="Tahoma"/>
          <w:iCs/>
        </w:rPr>
        <w:t xml:space="preserve">el </w:t>
      </w:r>
      <w:r w:rsidRPr="00E20E53">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r w:rsidR="00CE60EC">
        <w:rPr>
          <w:rFonts w:cs="Tahoma"/>
          <w:iCs/>
          <w:lang w:val="es-ES"/>
        </w:rPr>
        <w:t xml:space="preserve"> y dos mil veintiséis.</w:t>
      </w:r>
    </w:p>
    <w:bookmarkEnd w:id="15"/>
    <w:p w14:paraId="2B0A35B4" w14:textId="77777777" w:rsidR="00DF3B23" w:rsidRPr="00D05FA6" w:rsidRDefault="00DF3B23" w:rsidP="00040526">
      <w:pPr>
        <w:spacing w:after="0" w:line="360" w:lineRule="auto"/>
        <w:contextualSpacing/>
        <w:rPr>
          <w:rFonts w:cs="Tahoma"/>
          <w:iCs/>
        </w:rPr>
      </w:pPr>
    </w:p>
    <w:p w14:paraId="2A401024" w14:textId="77777777" w:rsidR="00E20E53" w:rsidRDefault="00DF3B23" w:rsidP="00040526">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040526">
      <w:pPr>
        <w:spacing w:after="0" w:line="360" w:lineRule="auto"/>
        <w:contextualSpacing/>
        <w:rPr>
          <w:rFonts w:cs="Tahoma"/>
          <w:iCs/>
          <w:lang w:val="es-ES"/>
        </w:rPr>
      </w:pPr>
    </w:p>
    <w:p w14:paraId="3B317750" w14:textId="1F2C023E" w:rsidR="00847C02" w:rsidRPr="00C51940" w:rsidRDefault="006C6CE7" w:rsidP="00040526">
      <w:pPr>
        <w:spacing w:after="0" w:line="360" w:lineRule="auto"/>
        <w:contextualSpacing/>
        <w:rPr>
          <w:rFonts w:cs="Tahoma"/>
          <w:b/>
          <w:iCs/>
          <w:lang w:val="es-ES"/>
        </w:rPr>
      </w:pPr>
      <w:r w:rsidRPr="00C51940">
        <w:rPr>
          <w:rFonts w:cs="Tahoma"/>
          <w:b/>
          <w:iCs/>
          <w:lang w:val="es-ES"/>
        </w:rPr>
        <w:t xml:space="preserve">Revisión </w:t>
      </w:r>
      <w:r w:rsidR="0045592C">
        <w:rPr>
          <w:rFonts w:cs="Tahoma"/>
          <w:b/>
          <w:iCs/>
          <w:lang w:val="es-ES"/>
        </w:rPr>
        <w:t>01</w:t>
      </w:r>
      <w:r w:rsidR="007D18B0">
        <w:rPr>
          <w:rFonts w:cs="Tahoma"/>
          <w:b/>
          <w:iCs/>
          <w:lang w:val="es-ES"/>
        </w:rPr>
        <w:t>04</w:t>
      </w:r>
      <w:r w:rsidR="00C51940" w:rsidRPr="00C51940">
        <w:rPr>
          <w:rFonts w:cs="Tahoma"/>
          <w:b/>
          <w:iCs/>
          <w:lang w:val="es-ES"/>
        </w:rPr>
        <w:t>1/INFOEM/IP/RR/2026</w:t>
      </w:r>
      <w:r w:rsidR="0045592C">
        <w:rPr>
          <w:rFonts w:cs="Tahoma"/>
          <w:b/>
          <w:iCs/>
          <w:lang w:val="es-ES"/>
        </w:rPr>
        <w:t xml:space="preserve"> </w:t>
      </w:r>
    </w:p>
    <w:p w14:paraId="0B6CA6F6" w14:textId="77777777" w:rsidR="00E20E53" w:rsidRDefault="00E20E53" w:rsidP="00040526">
      <w:pPr>
        <w:spacing w:after="0" w:line="360" w:lineRule="auto"/>
        <w:contextualSpacing/>
        <w:rPr>
          <w:rFonts w:cs="Tahoma"/>
          <w:iCs/>
          <w:lang w:val="es-ES"/>
        </w:rPr>
      </w:pPr>
    </w:p>
    <w:p w14:paraId="672EDFF2" w14:textId="630361A2" w:rsidR="003C2BFC" w:rsidRPr="00D05FA6" w:rsidRDefault="007D18B0" w:rsidP="00040526">
      <w:pPr>
        <w:spacing w:after="0" w:line="360" w:lineRule="auto"/>
        <w:contextualSpacing/>
        <w:jc w:val="center"/>
        <w:rPr>
          <w:rFonts w:cs="Tahoma"/>
          <w:iCs/>
          <w:lang w:val="es-ES"/>
        </w:rPr>
      </w:pPr>
      <w:r w:rsidRPr="007D18B0">
        <w:rPr>
          <w:rFonts w:cs="Tahoma"/>
          <w:iCs/>
          <w:noProof/>
        </w:rPr>
        <w:drawing>
          <wp:inline distT="0" distB="0" distL="0" distR="0" wp14:anchorId="1D68AD51" wp14:editId="53CDAD94">
            <wp:extent cx="2791215" cy="2057687"/>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1215" cy="2057687"/>
                    </a:xfrm>
                    <a:prstGeom prst="rect">
                      <a:avLst/>
                    </a:prstGeom>
                  </pic:spPr>
                </pic:pic>
              </a:graphicData>
            </a:graphic>
          </wp:inline>
        </w:drawing>
      </w:r>
    </w:p>
    <w:p w14:paraId="1CFF5F03" w14:textId="77777777" w:rsidR="001462EA" w:rsidRPr="00D05FA6" w:rsidRDefault="001462EA" w:rsidP="00040526">
      <w:pPr>
        <w:spacing w:after="0" w:line="360" w:lineRule="auto"/>
        <w:contextualSpacing/>
        <w:rPr>
          <w:rFonts w:cs="Tahoma"/>
          <w:iCs/>
        </w:rPr>
      </w:pPr>
    </w:p>
    <w:p w14:paraId="0BECBDE0" w14:textId="12B94B4E" w:rsidR="00DF3B23" w:rsidRPr="00D05FA6" w:rsidRDefault="00DF3B23" w:rsidP="00040526">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7D18B0">
        <w:rPr>
          <w:rFonts w:cs="Tahoma"/>
          <w:iCs/>
        </w:rPr>
        <w:t>diecinueve de noviembre de dos mil veinticinco</w:t>
      </w:r>
      <w:r w:rsidRPr="00D05FA6">
        <w:rPr>
          <w:rFonts w:cs="Tahoma"/>
          <w:iCs/>
        </w:rPr>
        <w:t xml:space="preserve">,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040526">
      <w:pPr>
        <w:spacing w:after="0" w:line="360" w:lineRule="auto"/>
        <w:contextualSpacing/>
        <w:rPr>
          <w:rFonts w:cs="Tahoma"/>
          <w:iCs/>
        </w:rPr>
      </w:pPr>
    </w:p>
    <w:p w14:paraId="008ED518" w14:textId="77777777" w:rsidR="002335E7" w:rsidRPr="00647E3E" w:rsidRDefault="00DF3B23" w:rsidP="00040526">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040526">
      <w:pPr>
        <w:spacing w:after="0" w:line="360" w:lineRule="auto"/>
        <w:contextualSpacing/>
        <w:rPr>
          <w:rFonts w:eastAsia="Calibri" w:cs="Tahoma"/>
          <w:bCs/>
          <w:iCs/>
          <w:lang w:eastAsia="es-ES_tradnl"/>
        </w:rPr>
      </w:pPr>
    </w:p>
    <w:p w14:paraId="69CA4B63" w14:textId="4BF169C5" w:rsidR="002335E7" w:rsidRDefault="002335E7" w:rsidP="00040526">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26168C13" w14:textId="77777777" w:rsidR="00C51940" w:rsidRPr="00647E3E" w:rsidRDefault="00C51940" w:rsidP="00040526">
      <w:pPr>
        <w:spacing w:after="0" w:line="360" w:lineRule="auto"/>
        <w:contextualSpacing/>
        <w:rPr>
          <w:rFonts w:eastAsia="Calibri" w:cs="Tahoma"/>
          <w:iCs/>
          <w:lang w:val="es-ES" w:eastAsia="es-ES_tradnl"/>
        </w:rPr>
      </w:pPr>
    </w:p>
    <w:p w14:paraId="10BAF66A"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040526">
      <w:pPr>
        <w:spacing w:after="0" w:line="360" w:lineRule="auto"/>
        <w:contextualSpacing/>
        <w:rPr>
          <w:rFonts w:eastAsia="Calibri" w:cs="Tahoma"/>
          <w:bCs/>
          <w:iCs/>
          <w:lang w:val="es-ES" w:eastAsia="es-ES_tradnl"/>
        </w:rPr>
      </w:pPr>
    </w:p>
    <w:p w14:paraId="65868E74"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040526">
      <w:pPr>
        <w:spacing w:after="0" w:line="360" w:lineRule="auto"/>
        <w:contextualSpacing/>
        <w:rPr>
          <w:rFonts w:cs="Tahoma"/>
          <w:bCs/>
          <w:iCs/>
          <w:lang w:val="es-ES"/>
        </w:rPr>
      </w:pPr>
    </w:p>
    <w:p w14:paraId="723492CD" w14:textId="77777777" w:rsidR="002335E7" w:rsidRPr="000A49E2" w:rsidRDefault="002335E7" w:rsidP="00040526">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040526">
      <w:pPr>
        <w:spacing w:after="0" w:line="360" w:lineRule="auto"/>
        <w:contextualSpacing/>
        <w:rPr>
          <w:rFonts w:cs="Tahoma"/>
          <w:iCs/>
          <w:lang w:val="es-ES"/>
        </w:rPr>
      </w:pPr>
    </w:p>
    <w:p w14:paraId="5D5B5BC5" w14:textId="77777777" w:rsidR="002335E7" w:rsidRDefault="002335E7" w:rsidP="00040526">
      <w:pPr>
        <w:spacing w:after="0" w:line="360" w:lineRule="auto"/>
        <w:contextualSpacing/>
        <w:rPr>
          <w:rFonts w:cs="Tahoma"/>
          <w:bCs/>
          <w:iCs/>
          <w:lang w:val="es-ES"/>
        </w:rPr>
      </w:pPr>
      <w:bookmarkStart w:id="16"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6"/>
    </w:p>
    <w:p w14:paraId="15BBDB1C" w14:textId="77777777" w:rsidR="0045592C" w:rsidRDefault="0045592C" w:rsidP="00040526">
      <w:pPr>
        <w:spacing w:after="0" w:line="360" w:lineRule="auto"/>
        <w:contextualSpacing/>
        <w:rPr>
          <w:rFonts w:cs="Tahoma"/>
          <w:bCs/>
          <w:iCs/>
          <w:lang w:val="es-ES"/>
        </w:rPr>
      </w:pPr>
    </w:p>
    <w:p w14:paraId="62D176AB" w14:textId="77777777" w:rsidR="0045592C" w:rsidRPr="002335E7" w:rsidRDefault="0045592C" w:rsidP="00040526">
      <w:pPr>
        <w:spacing w:after="0" w:line="360" w:lineRule="auto"/>
        <w:contextualSpacing/>
        <w:rPr>
          <w:rFonts w:cs="Tahoma"/>
          <w:bCs/>
          <w:iCs/>
          <w:lang w:val="es-ES"/>
        </w:rPr>
      </w:pPr>
    </w:p>
    <w:p w14:paraId="14DC7D52" w14:textId="77777777" w:rsidR="00AE4C31" w:rsidRPr="00D05FA6" w:rsidRDefault="00AE4C31" w:rsidP="00040526">
      <w:pPr>
        <w:pStyle w:val="Ttulo2"/>
        <w:spacing w:before="0" w:after="0" w:line="360" w:lineRule="auto"/>
        <w:contextualSpacing/>
        <w:rPr>
          <w:sz w:val="22"/>
          <w:szCs w:val="22"/>
        </w:rPr>
      </w:pPr>
      <w:bookmarkStart w:id="17" w:name="_Toc189571937"/>
      <w:bookmarkStart w:id="18" w:name="_Toc222409074"/>
      <w:r w:rsidRPr="00D05FA6">
        <w:rPr>
          <w:sz w:val="22"/>
          <w:szCs w:val="22"/>
        </w:rPr>
        <w:t>SEXTO. Decisión</w:t>
      </w:r>
      <w:bookmarkEnd w:id="17"/>
      <w:bookmarkEnd w:id="18"/>
    </w:p>
    <w:p w14:paraId="69C063B7" w14:textId="77777777" w:rsidR="00AE4C31" w:rsidRPr="00D05FA6" w:rsidRDefault="00AE4C31" w:rsidP="00040526">
      <w:pPr>
        <w:spacing w:after="0" w:line="360" w:lineRule="auto"/>
        <w:contextualSpacing/>
        <w:rPr>
          <w:rFonts w:cs="Tahoma"/>
        </w:rPr>
      </w:pPr>
    </w:p>
    <w:p w14:paraId="34468E29" w14:textId="2298C117" w:rsidR="006240DE" w:rsidRPr="009861D5" w:rsidRDefault="00AE4C31" w:rsidP="00AC5AB5">
      <w:pPr>
        <w:spacing w:line="360" w:lineRule="auto"/>
        <w:contextualSpacing/>
      </w:pPr>
      <w:r w:rsidRPr="006240DE">
        <w:rPr>
          <w:rFonts w:cs="Tahoma"/>
        </w:rPr>
        <w:t xml:space="preserve">Con fundamento en el artículo 186, fracción IV, de la Ley de Transparencia y Acceso a la Información Pública del Estado de México y Municipios, este Instituto considera procedente </w:t>
      </w:r>
      <w:r w:rsidRPr="006240DE">
        <w:rPr>
          <w:rFonts w:cs="Tahoma"/>
          <w:b/>
          <w:bCs/>
        </w:rPr>
        <w:t>ORDENAR</w:t>
      </w:r>
      <w:r w:rsidRPr="006240DE">
        <w:rPr>
          <w:rFonts w:cs="Tahoma"/>
        </w:rPr>
        <w:t xml:space="preserve"> al Sujeto Obligado, a q</w:t>
      </w:r>
      <w:r w:rsidRPr="009861D5">
        <w:rPr>
          <w:rFonts w:cs="Tahoma"/>
        </w:rPr>
        <w:t xml:space="preserve">ue dé trámite y respuesta a las solicitudes de información pública con </w:t>
      </w:r>
      <w:r w:rsidR="00C51940" w:rsidRPr="009861D5">
        <w:rPr>
          <w:rFonts w:cs="Tahoma"/>
        </w:rPr>
        <w:t xml:space="preserve">número </w:t>
      </w:r>
      <w:r w:rsidR="007D18B0" w:rsidRPr="009861D5">
        <w:rPr>
          <w:color w:val="auto"/>
        </w:rPr>
        <w:t>01521/TEPOTZOT/IP/2025</w:t>
      </w:r>
      <w:r w:rsidR="00AC5AB5" w:rsidRPr="009861D5">
        <w:t xml:space="preserve">, </w:t>
      </w:r>
      <w:r w:rsidR="007D18B0" w:rsidRPr="009861D5">
        <w:rPr>
          <w:color w:val="auto"/>
        </w:rPr>
        <w:t>01515/TEPOTZOT/IP/2025</w:t>
      </w:r>
      <w:r w:rsidR="00AC5AB5" w:rsidRPr="009861D5">
        <w:t xml:space="preserve">, </w:t>
      </w:r>
      <w:r w:rsidR="007D18B0" w:rsidRPr="009861D5">
        <w:rPr>
          <w:color w:val="auto"/>
        </w:rPr>
        <w:t>01486/TEPOTZOT/IP/2025</w:t>
      </w:r>
      <w:r w:rsidR="00AC5AB5" w:rsidRPr="009861D5">
        <w:t xml:space="preserve">, </w:t>
      </w:r>
      <w:r w:rsidR="007D18B0" w:rsidRPr="009861D5">
        <w:rPr>
          <w:color w:val="auto"/>
        </w:rPr>
        <w:t xml:space="preserve">01476/TEPOTZOT/IP/2025, 01463/TEPOTZOT/IP/2025 </w:t>
      </w:r>
      <w:r w:rsidR="00AC5AB5" w:rsidRPr="009861D5">
        <w:t xml:space="preserve">y </w:t>
      </w:r>
      <w:r w:rsidR="007D18B0" w:rsidRPr="009861D5">
        <w:rPr>
          <w:color w:val="auto"/>
        </w:rPr>
        <w:t>01456/TEPOTZOT/IP/2025</w:t>
      </w:r>
      <w:r w:rsidR="002E6642" w:rsidRPr="009861D5">
        <w:rPr>
          <w:color w:val="auto"/>
        </w:rPr>
        <w:t>.</w:t>
      </w:r>
    </w:p>
    <w:p w14:paraId="4C1D6B31" w14:textId="77777777" w:rsidR="00F428DB" w:rsidRDefault="00F428DB" w:rsidP="00040526">
      <w:pPr>
        <w:spacing w:after="0" w:line="360" w:lineRule="auto"/>
        <w:contextualSpacing/>
        <w:rPr>
          <w:rFonts w:cs="Tahoma"/>
        </w:rPr>
      </w:pPr>
    </w:p>
    <w:p w14:paraId="40BDB409" w14:textId="77777777" w:rsidR="00AE4C31" w:rsidRPr="00D05FA6" w:rsidRDefault="00AE4C31" w:rsidP="00040526">
      <w:pPr>
        <w:keepNext/>
        <w:keepLines/>
        <w:spacing w:after="0" w:line="360" w:lineRule="auto"/>
        <w:contextualSpacing/>
        <w:jc w:val="left"/>
        <w:outlineLvl w:val="1"/>
        <w:rPr>
          <w:rFonts w:eastAsia="Yu Gothic Light" w:cs="Times New Roman"/>
          <w:b/>
          <w:color w:val="000000"/>
          <w:szCs w:val="26"/>
          <w:lang w:eastAsia="es-ES"/>
        </w:rPr>
      </w:pPr>
      <w:bookmarkStart w:id="19" w:name="_Toc189571938"/>
      <w:bookmarkStart w:id="20" w:name="_Toc222409075"/>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9"/>
      <w:bookmarkEnd w:id="20"/>
    </w:p>
    <w:p w14:paraId="48B08DAB" w14:textId="77777777" w:rsidR="00AE4C31" w:rsidRPr="00D05FA6" w:rsidRDefault="00AE4C31" w:rsidP="00040526">
      <w:pPr>
        <w:spacing w:after="0" w:line="360" w:lineRule="auto"/>
        <w:contextualSpacing/>
        <w:rPr>
          <w:rFonts w:eastAsia="Times New Roman" w:cs="Tahoma"/>
          <w:bCs/>
          <w:color w:val="auto"/>
          <w:lang w:eastAsia="es-ES"/>
        </w:rPr>
      </w:pPr>
    </w:p>
    <w:p w14:paraId="3837AF24"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040526">
      <w:pPr>
        <w:spacing w:after="0" w:line="360" w:lineRule="auto"/>
        <w:ind w:right="-93"/>
        <w:contextualSpacing/>
        <w:rPr>
          <w:rFonts w:eastAsia="Calibri" w:cs="Tahoma"/>
          <w:bCs/>
          <w:color w:val="auto"/>
          <w:lang w:eastAsia="en-US"/>
        </w:rPr>
      </w:pPr>
    </w:p>
    <w:p w14:paraId="53A1F010" w14:textId="650F920F" w:rsidR="00AE4C31"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9777E93" w14:textId="77777777" w:rsidR="00C51940" w:rsidRPr="00D05FA6" w:rsidRDefault="00C51940" w:rsidP="00040526">
      <w:pPr>
        <w:spacing w:after="0" w:line="360" w:lineRule="auto"/>
        <w:ind w:right="-93"/>
        <w:contextualSpacing/>
        <w:rPr>
          <w:rFonts w:eastAsia="Calibri" w:cs="Tahoma"/>
          <w:bCs/>
          <w:color w:val="auto"/>
          <w:lang w:eastAsia="en-US"/>
        </w:rPr>
      </w:pPr>
    </w:p>
    <w:p w14:paraId="06837BCB"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040526">
      <w:pPr>
        <w:spacing w:after="0" w:line="360" w:lineRule="auto"/>
        <w:ind w:right="-93"/>
        <w:contextualSpacing/>
        <w:rPr>
          <w:rFonts w:eastAsia="Calibri" w:cs="Tahoma"/>
          <w:bCs/>
          <w:color w:val="auto"/>
          <w:lang w:eastAsia="en-US"/>
        </w:rPr>
      </w:pPr>
    </w:p>
    <w:p w14:paraId="16E8A2CA" w14:textId="1636D288"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5B9D0AF"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Default="00AE4C31" w:rsidP="00040526">
      <w:pPr>
        <w:spacing w:after="0" w:line="360" w:lineRule="auto"/>
        <w:contextualSpacing/>
        <w:rPr>
          <w:rFonts w:eastAsia="Times New Roman" w:cs="Tahoma"/>
          <w:bCs/>
          <w:iCs/>
          <w:color w:val="auto"/>
          <w:lang w:val="es-ES" w:eastAsia="es-ES"/>
        </w:rPr>
      </w:pPr>
    </w:p>
    <w:p w14:paraId="5025206D" w14:textId="77777777" w:rsidR="002E6642" w:rsidRPr="00D05FA6" w:rsidRDefault="002E6642" w:rsidP="00040526">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040526">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040526">
      <w:pPr>
        <w:spacing w:after="0" w:line="360" w:lineRule="auto"/>
        <w:contextualSpacing/>
        <w:rPr>
          <w:rFonts w:eastAsia="Times New Roman" w:cs="Tahoma"/>
          <w:b/>
          <w:bCs/>
          <w:iCs/>
          <w:color w:val="auto"/>
          <w:lang w:val="es-ES" w:eastAsia="es-ES"/>
        </w:rPr>
      </w:pPr>
    </w:p>
    <w:p w14:paraId="3CC2E07C" w14:textId="3D88FDA8" w:rsidR="00AE4C31" w:rsidRDefault="00AE4C31" w:rsidP="00040526">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50376BC5" w14:textId="77777777" w:rsidR="006240DE" w:rsidRPr="00D05FA6" w:rsidRDefault="006240DE" w:rsidP="00040526">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040526">
      <w:pPr>
        <w:spacing w:after="0" w:line="360" w:lineRule="auto"/>
        <w:contextualSpacing/>
        <w:rPr>
          <w:rFonts w:eastAsia="Times New Roman" w:cs="Tahoma"/>
          <w:bCs/>
          <w:iCs/>
          <w:color w:val="auto"/>
          <w:lang w:eastAsia="es-ES"/>
        </w:rPr>
      </w:pPr>
    </w:p>
    <w:p w14:paraId="3542FBB5" w14:textId="77777777" w:rsidR="00AE4C31" w:rsidRPr="00D05FA6" w:rsidRDefault="00AE4C31" w:rsidP="00040526">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040526">
      <w:pPr>
        <w:spacing w:after="0" w:line="360" w:lineRule="auto"/>
        <w:contextualSpacing/>
        <w:rPr>
          <w:rFonts w:eastAsia="Calibri" w:cs="Times New Roman"/>
          <w:color w:val="000000"/>
          <w:lang w:eastAsia="en-US"/>
        </w:rPr>
      </w:pPr>
    </w:p>
    <w:p w14:paraId="723D189C"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040526">
      <w:pPr>
        <w:spacing w:after="0" w:line="360" w:lineRule="auto"/>
        <w:contextualSpacing/>
        <w:rPr>
          <w:rFonts w:eastAsia="Times New Roman" w:cs="Tahoma"/>
          <w:bCs/>
          <w:iCs/>
          <w:color w:val="auto"/>
          <w:lang w:eastAsia="es-ES"/>
        </w:rPr>
      </w:pPr>
    </w:p>
    <w:p w14:paraId="12FBD3A0" w14:textId="77777777" w:rsidR="00AE4C31" w:rsidRPr="00D05FA6" w:rsidRDefault="00AE4C31" w:rsidP="00040526">
      <w:pPr>
        <w:keepNext/>
        <w:keepLines/>
        <w:spacing w:after="0" w:line="360" w:lineRule="auto"/>
        <w:contextualSpacing/>
        <w:jc w:val="center"/>
        <w:outlineLvl w:val="0"/>
        <w:rPr>
          <w:rFonts w:eastAsia="Yu Gothic Light" w:cs="Times New Roman"/>
          <w:b/>
          <w:color w:val="000000"/>
          <w:szCs w:val="32"/>
          <w:lang w:eastAsia="es-ES"/>
        </w:rPr>
      </w:pPr>
      <w:bookmarkStart w:id="21" w:name="_Toc189571939"/>
      <w:bookmarkStart w:id="22" w:name="_Toc222409076"/>
      <w:r w:rsidRPr="00D05FA6">
        <w:rPr>
          <w:rFonts w:eastAsia="Yu Gothic Light" w:cs="Times New Roman"/>
          <w:b/>
          <w:color w:val="000000"/>
          <w:szCs w:val="32"/>
          <w:lang w:eastAsia="es-ES"/>
        </w:rPr>
        <w:t>R E S U E L V E</w:t>
      </w:r>
      <w:bookmarkEnd w:id="21"/>
      <w:bookmarkEnd w:id="22"/>
    </w:p>
    <w:p w14:paraId="61F25247" w14:textId="77777777" w:rsidR="00AE4C31" w:rsidRPr="00D05FA6" w:rsidRDefault="00AE4C31" w:rsidP="00040526">
      <w:pPr>
        <w:spacing w:after="0" w:line="360" w:lineRule="auto"/>
        <w:contextualSpacing/>
        <w:rPr>
          <w:rFonts w:eastAsia="Times New Roman" w:cs="Tahoma"/>
          <w:b/>
          <w:bCs/>
          <w:iCs/>
          <w:color w:val="auto"/>
          <w:lang w:eastAsia="es-ES"/>
        </w:rPr>
      </w:pPr>
    </w:p>
    <w:p w14:paraId="284B4DA1" w14:textId="1EB41F92" w:rsidR="00AE4C31" w:rsidRPr="00F428DB" w:rsidRDefault="00AE4C31" w:rsidP="00040526">
      <w:pPr>
        <w:spacing w:after="0" w:line="360" w:lineRule="auto"/>
        <w:rPr>
          <w:b/>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2E6642" w:rsidRPr="009861D5">
        <w:rPr>
          <w:rFonts w:cs="Tahoma"/>
          <w:bCs/>
        </w:rPr>
        <w:t>01041/INFOEM/IP/RR/2026, 01046/INFOEM/IP/RR/2026, 01051/INFOEM/IP/RR/2026 01056/INFOEM/IP/RR/2026, 01061/INFOEM/IP/RR/2026 y 01066/INFOEM/IP/RR/2026</w:t>
      </w:r>
      <w:r w:rsidR="00AC5AB5" w:rsidRPr="009861D5">
        <w:rPr>
          <w:rFonts w:cs="Tahoma"/>
          <w:bCs/>
        </w:rPr>
        <w:t xml:space="preserve">, </w:t>
      </w:r>
      <w:r w:rsidRPr="009861D5">
        <w:rPr>
          <w:rFonts w:eastAsia="Times New Roman" w:cs="Tahoma"/>
          <w:bCs/>
          <w:iCs/>
          <w:color w:val="auto"/>
          <w:lang w:eastAsia="es-ES"/>
        </w:rPr>
        <w:t>en términos de los considerandos QUINTO y SEXTO de la presente Resolución.</w:t>
      </w:r>
    </w:p>
    <w:p w14:paraId="4B77FB42" w14:textId="4FAFD7DC" w:rsidR="00E20E53" w:rsidRPr="00D05FA6" w:rsidRDefault="00E20E53" w:rsidP="00040526">
      <w:pPr>
        <w:spacing w:after="0" w:line="360" w:lineRule="auto"/>
        <w:contextualSpacing/>
        <w:rPr>
          <w:rFonts w:eastAsia="Times New Roman" w:cs="Tahoma"/>
          <w:bCs/>
          <w:iCs/>
          <w:color w:val="auto"/>
          <w:lang w:eastAsia="es-ES"/>
        </w:rPr>
      </w:pPr>
    </w:p>
    <w:p w14:paraId="19FB4210" w14:textId="00CB0969" w:rsidR="00AE4C31" w:rsidRPr="00F428DB" w:rsidRDefault="00AE4C31" w:rsidP="00040526">
      <w:pPr>
        <w:spacing w:after="0" w:line="360" w:lineRule="auto"/>
        <w:rPr>
          <w:b/>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2E6642" w:rsidRPr="002E6642">
        <w:rPr>
          <w:color w:val="auto"/>
        </w:rPr>
        <w:t>01521/TEPOTZOT/IP/2025, 01515/TEPOTZOT/IP/2025, 01486/TEPOTZOT/IP/2025, 01476/TEPOTZOT/IP/2025, 01463/TEPOTZOT/IP/2025 y 01456/TEPOTZOT/IP/2025</w:t>
      </w:r>
      <w:r w:rsidRPr="00D05FA6">
        <w:rPr>
          <w:rFonts w:eastAsia="Times New Roman" w:cs="Tahoma"/>
          <w:bCs/>
          <w:iCs/>
          <w:color w:val="auto"/>
          <w:lang w:val="es-ES" w:eastAsia="es-ES"/>
        </w:rPr>
        <w:t xml:space="preserve">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792E3F87" w14:textId="77777777" w:rsidR="006240DE" w:rsidRPr="00E20E53" w:rsidRDefault="006240DE" w:rsidP="00040526">
      <w:pPr>
        <w:spacing w:after="0" w:line="360" w:lineRule="auto"/>
        <w:contextualSpacing/>
        <w:rPr>
          <w:rFonts w:cs="Tahoma"/>
        </w:rPr>
      </w:pPr>
    </w:p>
    <w:p w14:paraId="57222558" w14:textId="77777777" w:rsidR="00AE4C31" w:rsidRPr="00D05FA6" w:rsidRDefault="00AE4C31" w:rsidP="00040526">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040526">
      <w:pPr>
        <w:spacing w:after="0" w:line="360" w:lineRule="auto"/>
        <w:contextualSpacing/>
        <w:rPr>
          <w:rFonts w:eastAsia="Times New Roman" w:cs="Tahoma"/>
          <w:bCs/>
          <w:iCs/>
          <w:color w:val="auto"/>
          <w:lang w:eastAsia="es-ES"/>
        </w:rPr>
      </w:pPr>
    </w:p>
    <w:p w14:paraId="0E5303A1"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040526">
      <w:pPr>
        <w:spacing w:after="0" w:line="360" w:lineRule="auto"/>
        <w:contextualSpacing/>
        <w:rPr>
          <w:rFonts w:eastAsia="Times New Roman" w:cs="Tahoma"/>
          <w:bCs/>
          <w:iCs/>
          <w:color w:val="auto"/>
          <w:lang w:eastAsia="es-ES"/>
        </w:rPr>
      </w:pPr>
    </w:p>
    <w:p w14:paraId="3493940A"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040526">
      <w:pPr>
        <w:spacing w:after="0" w:line="360" w:lineRule="auto"/>
        <w:contextualSpacing/>
        <w:rPr>
          <w:rFonts w:eastAsia="Times New Roman" w:cs="Tahoma"/>
          <w:bCs/>
          <w:iCs/>
          <w:color w:val="auto"/>
          <w:lang w:eastAsia="es-ES"/>
        </w:rPr>
      </w:pPr>
    </w:p>
    <w:p w14:paraId="39CDEFB2" w14:textId="77777777" w:rsidR="00AE4C31" w:rsidRPr="00D05FA6" w:rsidRDefault="00AE4C31" w:rsidP="00040526">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040526">
      <w:pPr>
        <w:spacing w:after="0" w:line="360" w:lineRule="auto"/>
        <w:contextualSpacing/>
        <w:rPr>
          <w:rFonts w:eastAsia="Times New Roman" w:cs="Tahoma"/>
          <w:b/>
          <w:bCs/>
          <w:iCs/>
          <w:color w:val="auto"/>
          <w:lang w:eastAsia="es-ES"/>
        </w:rPr>
      </w:pPr>
    </w:p>
    <w:p w14:paraId="14EDAB3E" w14:textId="495B74C1" w:rsidR="00023BBD" w:rsidRPr="00FA5C01" w:rsidRDefault="00023BBD" w:rsidP="00040526">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6B56">
        <w:rPr>
          <w:rFonts w:eastAsia="Calibri" w:cs="Tahoma"/>
          <w:bCs/>
        </w:rPr>
        <w:t>SEXTA</w:t>
      </w:r>
      <w:r w:rsidR="00B03A57" w:rsidRPr="00D05FA6">
        <w:rPr>
          <w:rFonts w:eastAsia="Calibri" w:cs="Tahoma"/>
          <w:bCs/>
        </w:rPr>
        <w:t xml:space="preserve"> </w:t>
      </w:r>
      <w:r w:rsidRPr="00D05FA6">
        <w:rPr>
          <w:rFonts w:eastAsia="Calibri" w:cs="Tahoma"/>
          <w:bCs/>
        </w:rPr>
        <w:t xml:space="preserve">SESIÓN ORDINARIA, CELEBRADA EL </w:t>
      </w:r>
      <w:r w:rsidR="00466B56">
        <w:rPr>
          <w:rFonts w:eastAsia="Calibri" w:cs="Tahoma"/>
          <w:bCs/>
        </w:rPr>
        <w:t>DIECIOCHO DE FEBRERO</w:t>
      </w:r>
      <w:r w:rsidR="006C6CE7">
        <w:rPr>
          <w:rFonts w:eastAsia="Calibri" w:cs="Tahoma"/>
          <w:bCs/>
        </w:rPr>
        <w:t xml:space="preserve">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040526">
      <w:pPr>
        <w:spacing w:after="0" w:line="360" w:lineRule="auto"/>
        <w:contextualSpacing/>
        <w:rPr>
          <w:rFonts w:cs="Tahoma"/>
          <w:b/>
          <w:bCs/>
        </w:rPr>
      </w:pPr>
    </w:p>
    <w:p w14:paraId="33333CAB" w14:textId="77777777" w:rsidR="006C4CE5" w:rsidRPr="00FA5C01" w:rsidRDefault="006C4CE5" w:rsidP="00040526">
      <w:pPr>
        <w:spacing w:after="0" w:line="360" w:lineRule="auto"/>
        <w:contextualSpacing/>
        <w:rPr>
          <w:rFonts w:cs="Tahoma"/>
          <w:b/>
          <w:bCs/>
        </w:rPr>
      </w:pPr>
    </w:p>
    <w:p w14:paraId="4FAB48A8" w14:textId="77777777" w:rsidR="001D4F21" w:rsidRPr="00FA5C01" w:rsidRDefault="001D4F21" w:rsidP="00040526">
      <w:pPr>
        <w:spacing w:after="0" w:line="360" w:lineRule="auto"/>
        <w:contextualSpacing/>
      </w:pPr>
    </w:p>
    <w:p w14:paraId="790F3B61" w14:textId="77777777" w:rsidR="001D4F21" w:rsidRDefault="001D4F21" w:rsidP="00040526">
      <w:pPr>
        <w:spacing w:after="0" w:line="360" w:lineRule="auto"/>
        <w:contextualSpacing/>
      </w:pPr>
    </w:p>
    <w:p w14:paraId="5865FD16" w14:textId="77777777" w:rsidR="00D52731" w:rsidRPr="00FA5C01" w:rsidRDefault="00D52731" w:rsidP="00040526">
      <w:pPr>
        <w:spacing w:after="0" w:line="360" w:lineRule="auto"/>
        <w:contextualSpacing/>
      </w:pPr>
    </w:p>
    <w:p w14:paraId="5BAB10C7" w14:textId="77777777" w:rsidR="00E864E9" w:rsidRPr="00FA5C01" w:rsidRDefault="00E864E9" w:rsidP="00040526">
      <w:pPr>
        <w:tabs>
          <w:tab w:val="right" w:pos="8931"/>
        </w:tabs>
        <w:spacing w:after="0" w:line="360" w:lineRule="auto"/>
        <w:contextualSpacing/>
      </w:pPr>
    </w:p>
    <w:p w14:paraId="4CAF8FB0" w14:textId="77777777" w:rsidR="00E864E9" w:rsidRPr="00FA5C01" w:rsidRDefault="00E864E9" w:rsidP="00040526">
      <w:pPr>
        <w:tabs>
          <w:tab w:val="right" w:pos="8931"/>
        </w:tabs>
        <w:spacing w:after="0" w:line="360" w:lineRule="auto"/>
        <w:contextualSpacing/>
      </w:pPr>
    </w:p>
    <w:p w14:paraId="06283446" w14:textId="77777777" w:rsidR="007B58B9" w:rsidRPr="00FA5C01" w:rsidRDefault="007B58B9" w:rsidP="00040526">
      <w:pPr>
        <w:spacing w:after="0" w:line="360" w:lineRule="auto"/>
        <w:contextualSpacing/>
      </w:pPr>
    </w:p>
    <w:p w14:paraId="4F6A1308" w14:textId="77777777" w:rsidR="00A37EDE" w:rsidRPr="00FA5C01" w:rsidRDefault="00A37EDE" w:rsidP="00040526">
      <w:pPr>
        <w:spacing w:after="0" w:line="360" w:lineRule="auto"/>
        <w:contextualSpacing/>
      </w:pPr>
    </w:p>
    <w:p w14:paraId="3368FD30" w14:textId="77777777" w:rsidR="00C457EF" w:rsidRPr="00FA5C01" w:rsidRDefault="00C457EF" w:rsidP="00040526">
      <w:pPr>
        <w:spacing w:after="0" w:line="360" w:lineRule="auto"/>
        <w:contextualSpacing/>
      </w:pPr>
    </w:p>
    <w:p w14:paraId="5DC5E7C3" w14:textId="77777777" w:rsidR="00C457EF" w:rsidRPr="00FA5C01" w:rsidRDefault="00C457EF" w:rsidP="00040526">
      <w:pPr>
        <w:spacing w:after="0" w:line="360" w:lineRule="auto"/>
        <w:contextualSpacing/>
      </w:pPr>
    </w:p>
    <w:p w14:paraId="0C590F11" w14:textId="77777777" w:rsidR="00C457EF" w:rsidRPr="00FA5C01" w:rsidRDefault="00C457EF" w:rsidP="00040526">
      <w:pPr>
        <w:spacing w:after="0" w:line="360" w:lineRule="auto"/>
        <w:contextualSpacing/>
      </w:pPr>
    </w:p>
    <w:p w14:paraId="4FA3AFE1" w14:textId="77777777" w:rsidR="00C457EF" w:rsidRPr="00FA5C01" w:rsidRDefault="00C457EF" w:rsidP="00040526">
      <w:pPr>
        <w:spacing w:after="0" w:line="360" w:lineRule="auto"/>
        <w:contextualSpacing/>
      </w:pPr>
    </w:p>
    <w:p w14:paraId="559F2720" w14:textId="77777777" w:rsidR="00C457EF" w:rsidRPr="00FA5C01" w:rsidRDefault="00C457EF" w:rsidP="00040526">
      <w:pPr>
        <w:spacing w:after="0" w:line="360" w:lineRule="auto"/>
        <w:contextualSpacing/>
      </w:pPr>
    </w:p>
    <w:p w14:paraId="55ACCF0A" w14:textId="77777777" w:rsidR="00C457EF" w:rsidRPr="00FA5C01" w:rsidRDefault="00C457EF" w:rsidP="00040526">
      <w:pPr>
        <w:spacing w:after="0" w:line="360" w:lineRule="auto"/>
        <w:contextualSpacing/>
      </w:pPr>
    </w:p>
    <w:p w14:paraId="618F995C" w14:textId="77777777" w:rsidR="00C457EF" w:rsidRPr="00FA5C01" w:rsidRDefault="00C457EF" w:rsidP="00040526">
      <w:pPr>
        <w:spacing w:after="0" w:line="360" w:lineRule="auto"/>
        <w:contextualSpacing/>
      </w:pPr>
    </w:p>
    <w:p w14:paraId="5CFB3962" w14:textId="77777777" w:rsidR="00C457EF" w:rsidRPr="00FA5C01" w:rsidRDefault="00C457EF" w:rsidP="00040526">
      <w:pPr>
        <w:spacing w:after="0" w:line="360" w:lineRule="auto"/>
        <w:contextualSpacing/>
      </w:pPr>
    </w:p>
    <w:p w14:paraId="2CD55213" w14:textId="77777777" w:rsidR="00C457EF" w:rsidRPr="00FA5C01" w:rsidRDefault="00C457EF" w:rsidP="00040526">
      <w:pPr>
        <w:spacing w:after="0" w:line="360" w:lineRule="auto"/>
        <w:contextualSpacing/>
      </w:pPr>
    </w:p>
    <w:p w14:paraId="0EBA64D8" w14:textId="77777777" w:rsidR="00C457EF" w:rsidRPr="00FA5C01" w:rsidRDefault="00C457EF" w:rsidP="00040526">
      <w:pPr>
        <w:spacing w:after="0" w:line="360" w:lineRule="auto"/>
        <w:contextualSpacing/>
      </w:pPr>
    </w:p>
    <w:p w14:paraId="1FBB5FF4" w14:textId="77777777" w:rsidR="00C457EF" w:rsidRPr="00FA5C01" w:rsidRDefault="00C457EF" w:rsidP="00040526">
      <w:pPr>
        <w:spacing w:after="0" w:line="360" w:lineRule="auto"/>
        <w:contextualSpacing/>
      </w:pPr>
    </w:p>
    <w:p w14:paraId="725CD0EE" w14:textId="77777777" w:rsidR="00C457EF" w:rsidRPr="00FA5C01" w:rsidRDefault="00C457EF" w:rsidP="00040526">
      <w:pPr>
        <w:spacing w:after="0" w:line="360" w:lineRule="auto"/>
        <w:contextualSpacing/>
      </w:pPr>
    </w:p>
    <w:p w14:paraId="6DC82AA0" w14:textId="77777777" w:rsidR="00C457EF" w:rsidRPr="00FA5C01" w:rsidRDefault="00C457EF" w:rsidP="00040526">
      <w:pPr>
        <w:spacing w:after="0" w:line="360" w:lineRule="auto"/>
        <w:contextualSpacing/>
      </w:pPr>
    </w:p>
    <w:p w14:paraId="3318392E" w14:textId="77777777" w:rsidR="00C457EF" w:rsidRPr="00FA5C01" w:rsidRDefault="00C457EF" w:rsidP="00040526">
      <w:pPr>
        <w:spacing w:after="0" w:line="360" w:lineRule="auto"/>
        <w:contextualSpacing/>
      </w:pPr>
    </w:p>
    <w:p w14:paraId="435679B2" w14:textId="77777777" w:rsidR="00C457EF" w:rsidRPr="00FA5C01" w:rsidRDefault="00C457EF" w:rsidP="00040526">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B02E8" w14:textId="77777777" w:rsidR="00972C4E" w:rsidRDefault="00972C4E">
      <w:pPr>
        <w:spacing w:after="0" w:line="240" w:lineRule="auto"/>
      </w:pPr>
      <w:r>
        <w:separator/>
      </w:r>
    </w:p>
  </w:endnote>
  <w:endnote w:type="continuationSeparator" w:id="0">
    <w:p w14:paraId="2BE550E0" w14:textId="77777777" w:rsidR="00972C4E" w:rsidRDefault="0097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45306">
      <w:rPr>
        <w:b/>
        <w:noProof/>
        <w:color w:val="000000"/>
        <w:sz w:val="24"/>
        <w:szCs w:val="24"/>
      </w:rPr>
      <w:t>30</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D6D36">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D6D36">
      <w:rPr>
        <w:b/>
        <w:noProof/>
        <w:color w:val="000000"/>
        <w:sz w:val="24"/>
        <w:szCs w:val="24"/>
      </w:rPr>
      <w:t>30</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72C4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72C4E">
      <w:rPr>
        <w:b/>
        <w:noProof/>
        <w:color w:val="000000"/>
        <w:sz w:val="24"/>
        <w:szCs w:val="24"/>
      </w:rPr>
      <w:t>1</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E7B3B" w14:textId="77777777" w:rsidR="00972C4E" w:rsidRDefault="00972C4E">
      <w:pPr>
        <w:spacing w:after="0" w:line="240" w:lineRule="auto"/>
      </w:pPr>
      <w:r>
        <w:separator/>
      </w:r>
    </w:p>
  </w:footnote>
  <w:footnote w:type="continuationSeparator" w:id="0">
    <w:p w14:paraId="51EE8671" w14:textId="77777777" w:rsidR="00972C4E" w:rsidRDefault="0097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972C4E">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972C4E">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98.55pt;margin-top:-115.1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694" w:type="dxa"/>
      <w:tblLayout w:type="fixed"/>
      <w:tblLook w:val="0400" w:firstRow="0" w:lastRow="0" w:firstColumn="0" w:lastColumn="0" w:noHBand="0" w:noVBand="1"/>
    </w:tblPr>
    <w:tblGrid>
      <w:gridCol w:w="2268"/>
      <w:gridCol w:w="4252"/>
    </w:tblGrid>
    <w:tr w:rsidR="00C50D58" w14:paraId="673DF667" w14:textId="77777777" w:rsidTr="0004052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54DC0476" w:rsidR="00E20E53" w:rsidRDefault="00C50D58" w:rsidP="00040526">
          <w:pPr>
            <w:tabs>
              <w:tab w:val="right" w:pos="8838"/>
            </w:tabs>
            <w:ind w:left="-108" w:right="-105"/>
            <w:jc w:val="left"/>
            <w:rPr>
              <w:b/>
            </w:rPr>
          </w:pPr>
          <w:r>
            <w:rPr>
              <w:b/>
            </w:rPr>
            <w:t>Recurso de Revisión:</w:t>
          </w:r>
        </w:p>
      </w:tc>
      <w:tc>
        <w:tcPr>
          <w:tcW w:w="4252" w:type="dxa"/>
        </w:tcPr>
        <w:p w14:paraId="22A29BEC" w14:textId="77777777" w:rsidR="00133971" w:rsidRDefault="00133971" w:rsidP="00133971">
          <w:pPr>
            <w:tabs>
              <w:tab w:val="right" w:pos="8838"/>
            </w:tabs>
            <w:ind w:left="-115" w:right="-111"/>
          </w:pPr>
          <w:r>
            <w:tab/>
          </w:r>
        </w:p>
        <w:p w14:paraId="17DF293E" w14:textId="0DB25C08" w:rsidR="00C50D58" w:rsidRPr="00EF0C39" w:rsidRDefault="00F250EE" w:rsidP="00917B9C">
          <w:pPr>
            <w:tabs>
              <w:tab w:val="right" w:pos="8838"/>
            </w:tabs>
            <w:ind w:left="-115" w:right="-111"/>
          </w:pPr>
          <w:r>
            <w:t>0</w:t>
          </w:r>
          <w:r w:rsidR="00917B9C">
            <w:t>1</w:t>
          </w:r>
          <w:r w:rsidR="00BF2216">
            <w:t>04</w:t>
          </w:r>
          <w:r>
            <w:t>1</w:t>
          </w:r>
          <w:r w:rsidR="00133971">
            <w:t>/INFOEM/IP/RR/202</w:t>
          </w:r>
          <w:r>
            <w:t>6</w:t>
          </w:r>
          <w:r w:rsidR="0099596E">
            <w:t xml:space="preserve"> </w:t>
          </w:r>
          <w:r w:rsidR="00426C03">
            <w:t>y acumulado</w:t>
          </w:r>
          <w:r w:rsidR="00652BD8">
            <w:t>s</w:t>
          </w:r>
        </w:p>
      </w:tc>
    </w:tr>
    <w:tr w:rsidR="00C50D58" w14:paraId="22EFCF1E" w14:textId="77777777" w:rsidTr="0004052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2"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4052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2" w:type="dxa"/>
        </w:tcPr>
        <w:p w14:paraId="6DD0CCC5" w14:textId="0450460E" w:rsidR="00C50D58" w:rsidRPr="00EF0C39" w:rsidRDefault="00917B9C" w:rsidP="00093A33">
          <w:pPr>
            <w:tabs>
              <w:tab w:val="right" w:pos="8838"/>
            </w:tabs>
            <w:ind w:left="-115" w:right="-170"/>
          </w:pPr>
          <w:r>
            <w:t xml:space="preserve"> </w:t>
          </w:r>
          <w:r w:rsidR="00C50D58"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2728734E" w:rsidR="00C50D58" w:rsidRDefault="00972C4E">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0.6pt;margin-top:-126.0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087" w:type="dxa"/>
      <w:tblInd w:w="2127" w:type="dxa"/>
      <w:tblLayout w:type="fixed"/>
      <w:tblLook w:val="0400" w:firstRow="0" w:lastRow="0" w:firstColumn="0" w:lastColumn="0" w:noHBand="0" w:noVBand="1"/>
    </w:tblPr>
    <w:tblGrid>
      <w:gridCol w:w="2551"/>
      <w:gridCol w:w="4536"/>
    </w:tblGrid>
    <w:tr w:rsidR="00C50D58" w14:paraId="7B021A3A" w14:textId="77777777" w:rsidTr="00040526">
      <w:trPr>
        <w:trHeight w:val="132"/>
      </w:trPr>
      <w:tc>
        <w:tcPr>
          <w:tcW w:w="2551" w:type="dxa"/>
        </w:tcPr>
        <w:p w14:paraId="312A987B" w14:textId="77777777" w:rsidR="00040526" w:rsidRDefault="00040526">
          <w:pPr>
            <w:tabs>
              <w:tab w:val="right" w:pos="8838"/>
            </w:tabs>
            <w:ind w:right="-105"/>
            <w:rPr>
              <w:b/>
            </w:rPr>
          </w:pPr>
        </w:p>
        <w:p w14:paraId="3DEA1545" w14:textId="7E4B7DEB" w:rsidR="00C50D58" w:rsidRDefault="00C50D58">
          <w:pPr>
            <w:tabs>
              <w:tab w:val="right" w:pos="8838"/>
            </w:tabs>
            <w:ind w:right="-105"/>
            <w:rPr>
              <w:b/>
            </w:rPr>
          </w:pPr>
          <w:r>
            <w:rPr>
              <w:b/>
            </w:rPr>
            <w:t>Recurso de Revisión:</w:t>
          </w:r>
        </w:p>
      </w:tc>
      <w:tc>
        <w:tcPr>
          <w:tcW w:w="4536" w:type="dxa"/>
        </w:tcPr>
        <w:p w14:paraId="0FD45AF9" w14:textId="77777777" w:rsidR="00040526" w:rsidRDefault="00F250EE" w:rsidP="00133971">
          <w:pPr>
            <w:ind w:left="42" w:hanging="42"/>
          </w:pPr>
          <w:r>
            <w:tab/>
          </w:r>
        </w:p>
        <w:p w14:paraId="583EC46B" w14:textId="2F1CCB21" w:rsidR="00C50D58" w:rsidRPr="00026C6B" w:rsidRDefault="00F250EE" w:rsidP="00917B9C">
          <w:pPr>
            <w:ind w:left="42" w:hanging="42"/>
          </w:pPr>
          <w:r>
            <w:t>0</w:t>
          </w:r>
          <w:r w:rsidR="00BF2216">
            <w:t>104</w:t>
          </w:r>
          <w:r w:rsidR="00917B9C">
            <w:t>1</w:t>
          </w:r>
          <w:r>
            <w:t>/INFOEM/IP/RR/2026</w:t>
          </w:r>
          <w:r w:rsidR="0099596E">
            <w:t xml:space="preserve"> </w:t>
          </w:r>
          <w:r w:rsidR="00426C03">
            <w:t>y acumulado</w:t>
          </w:r>
          <w:r w:rsidR="00652BD8">
            <w:t>s</w:t>
          </w:r>
        </w:p>
      </w:tc>
    </w:tr>
    <w:tr w:rsidR="00C50D58" w14:paraId="39FD768E" w14:textId="77777777" w:rsidTr="00040526">
      <w:trPr>
        <w:trHeight w:val="132"/>
      </w:trPr>
      <w:tc>
        <w:tcPr>
          <w:tcW w:w="2551" w:type="dxa"/>
        </w:tcPr>
        <w:p w14:paraId="1AB52FB7" w14:textId="77777777" w:rsidR="00C50D58" w:rsidRDefault="00C50D58">
          <w:pPr>
            <w:tabs>
              <w:tab w:val="left" w:pos="1875"/>
            </w:tabs>
            <w:ind w:right="-105"/>
            <w:rPr>
              <w:b/>
            </w:rPr>
          </w:pPr>
          <w:r>
            <w:rPr>
              <w:b/>
            </w:rPr>
            <w:t>Recurrente:</w:t>
          </w:r>
        </w:p>
      </w:tc>
      <w:tc>
        <w:tcPr>
          <w:tcW w:w="4536" w:type="dxa"/>
        </w:tcPr>
        <w:p w14:paraId="33F430B6" w14:textId="17D228C0" w:rsidR="00C50D58" w:rsidRPr="00EF0C39" w:rsidRDefault="009D6D36" w:rsidP="00530177">
          <w:r w:rsidRPr="009D6D36">
            <w:rPr>
              <w:highlight w:val="black"/>
            </w:rPr>
            <w:t>XXXXXXXXXXXXXXXXXXX</w:t>
          </w:r>
        </w:p>
      </w:tc>
    </w:tr>
    <w:tr w:rsidR="00C50D58" w14:paraId="55793EA6" w14:textId="77777777" w:rsidTr="00040526">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536" w:type="dxa"/>
        </w:tcPr>
        <w:p w14:paraId="3ABF3C4E" w14:textId="77777777" w:rsidR="00C50D58" w:rsidRPr="00026C6B" w:rsidRDefault="00010D49" w:rsidP="00530177">
          <w:r>
            <w:t>Ayuntamiento de Tepotzotlán</w:t>
          </w:r>
        </w:p>
      </w:tc>
    </w:tr>
    <w:tr w:rsidR="00C50D58" w14:paraId="645BB2CF" w14:textId="77777777" w:rsidTr="00040526">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536"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0526"/>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1D8"/>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3702"/>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E664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2FA8"/>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87DCC"/>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92C"/>
    <w:rsid w:val="00455EA5"/>
    <w:rsid w:val="00456B23"/>
    <w:rsid w:val="00461DF2"/>
    <w:rsid w:val="004649E0"/>
    <w:rsid w:val="00466B56"/>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46E"/>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8C7"/>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18B0"/>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674E2"/>
    <w:rsid w:val="008758D4"/>
    <w:rsid w:val="008766FD"/>
    <w:rsid w:val="00877B42"/>
    <w:rsid w:val="00880C05"/>
    <w:rsid w:val="00880C7E"/>
    <w:rsid w:val="00881288"/>
    <w:rsid w:val="0088400C"/>
    <w:rsid w:val="00884148"/>
    <w:rsid w:val="00884812"/>
    <w:rsid w:val="00884B61"/>
    <w:rsid w:val="008870EB"/>
    <w:rsid w:val="008932E1"/>
    <w:rsid w:val="00893474"/>
    <w:rsid w:val="00894A4D"/>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3B61"/>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17B9C"/>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364F"/>
    <w:rsid w:val="009448BC"/>
    <w:rsid w:val="00945CB8"/>
    <w:rsid w:val="009502F9"/>
    <w:rsid w:val="00950D76"/>
    <w:rsid w:val="00950ED4"/>
    <w:rsid w:val="0095477E"/>
    <w:rsid w:val="009554B7"/>
    <w:rsid w:val="0095571A"/>
    <w:rsid w:val="00956E0E"/>
    <w:rsid w:val="00957EED"/>
    <w:rsid w:val="00960DEA"/>
    <w:rsid w:val="00960E46"/>
    <w:rsid w:val="00962084"/>
    <w:rsid w:val="00962C51"/>
    <w:rsid w:val="00963E6F"/>
    <w:rsid w:val="009643D0"/>
    <w:rsid w:val="00965741"/>
    <w:rsid w:val="00966BF0"/>
    <w:rsid w:val="00972243"/>
    <w:rsid w:val="00972C4E"/>
    <w:rsid w:val="009739BA"/>
    <w:rsid w:val="00974325"/>
    <w:rsid w:val="0097583D"/>
    <w:rsid w:val="00976D6E"/>
    <w:rsid w:val="00977989"/>
    <w:rsid w:val="00983208"/>
    <w:rsid w:val="00983A37"/>
    <w:rsid w:val="00983F77"/>
    <w:rsid w:val="00984B99"/>
    <w:rsid w:val="009861D5"/>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6D36"/>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300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3B4E"/>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AB5"/>
    <w:rsid w:val="00AC5D01"/>
    <w:rsid w:val="00AC70CA"/>
    <w:rsid w:val="00AC7111"/>
    <w:rsid w:val="00AC7F78"/>
    <w:rsid w:val="00AD0E35"/>
    <w:rsid w:val="00AD3E0D"/>
    <w:rsid w:val="00AD468B"/>
    <w:rsid w:val="00AD4F7B"/>
    <w:rsid w:val="00AD7954"/>
    <w:rsid w:val="00AE23FB"/>
    <w:rsid w:val="00AE256C"/>
    <w:rsid w:val="00AE3566"/>
    <w:rsid w:val="00AE4A26"/>
    <w:rsid w:val="00AE4C31"/>
    <w:rsid w:val="00AE5058"/>
    <w:rsid w:val="00AE5695"/>
    <w:rsid w:val="00AF4BF2"/>
    <w:rsid w:val="00AF4DA4"/>
    <w:rsid w:val="00AF592A"/>
    <w:rsid w:val="00AF7546"/>
    <w:rsid w:val="00B00C4E"/>
    <w:rsid w:val="00B02796"/>
    <w:rsid w:val="00B02A3F"/>
    <w:rsid w:val="00B03235"/>
    <w:rsid w:val="00B03A57"/>
    <w:rsid w:val="00B0408D"/>
    <w:rsid w:val="00B0456D"/>
    <w:rsid w:val="00B04A35"/>
    <w:rsid w:val="00B04BE1"/>
    <w:rsid w:val="00B050D9"/>
    <w:rsid w:val="00B123FB"/>
    <w:rsid w:val="00B1247F"/>
    <w:rsid w:val="00B153FA"/>
    <w:rsid w:val="00B17104"/>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09D4"/>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6C69"/>
    <w:rsid w:val="00BE7092"/>
    <w:rsid w:val="00BE7118"/>
    <w:rsid w:val="00BE7ED3"/>
    <w:rsid w:val="00BF0C25"/>
    <w:rsid w:val="00BF2216"/>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940"/>
    <w:rsid w:val="00C51B7F"/>
    <w:rsid w:val="00C5235E"/>
    <w:rsid w:val="00C529B0"/>
    <w:rsid w:val="00C53D9F"/>
    <w:rsid w:val="00C540CA"/>
    <w:rsid w:val="00C556AB"/>
    <w:rsid w:val="00C560B8"/>
    <w:rsid w:val="00C56B62"/>
    <w:rsid w:val="00C60D14"/>
    <w:rsid w:val="00C64BF3"/>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50A3"/>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60EC"/>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C26"/>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345D"/>
    <w:rsid w:val="00E54144"/>
    <w:rsid w:val="00E547F7"/>
    <w:rsid w:val="00E548B1"/>
    <w:rsid w:val="00E57404"/>
    <w:rsid w:val="00E57A6E"/>
    <w:rsid w:val="00E610A8"/>
    <w:rsid w:val="00E61B38"/>
    <w:rsid w:val="00E64726"/>
    <w:rsid w:val="00E64BEF"/>
    <w:rsid w:val="00E64E18"/>
    <w:rsid w:val="00E66BEB"/>
    <w:rsid w:val="00E676E1"/>
    <w:rsid w:val="00E70C28"/>
    <w:rsid w:val="00E71771"/>
    <w:rsid w:val="00E73713"/>
    <w:rsid w:val="00E73985"/>
    <w:rsid w:val="00E7452D"/>
    <w:rsid w:val="00E74CB0"/>
    <w:rsid w:val="00E76EE9"/>
    <w:rsid w:val="00E81B7C"/>
    <w:rsid w:val="00E824C7"/>
    <w:rsid w:val="00E85AC5"/>
    <w:rsid w:val="00E864E9"/>
    <w:rsid w:val="00E909E3"/>
    <w:rsid w:val="00E91D41"/>
    <w:rsid w:val="00E921C9"/>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603"/>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EF73D0"/>
    <w:rsid w:val="00F028A5"/>
    <w:rsid w:val="00F02ACE"/>
    <w:rsid w:val="00F03463"/>
    <w:rsid w:val="00F03E2D"/>
    <w:rsid w:val="00F05082"/>
    <w:rsid w:val="00F0686E"/>
    <w:rsid w:val="00F06AF6"/>
    <w:rsid w:val="00F104DF"/>
    <w:rsid w:val="00F119DB"/>
    <w:rsid w:val="00F130B6"/>
    <w:rsid w:val="00F1474C"/>
    <w:rsid w:val="00F14814"/>
    <w:rsid w:val="00F16BEE"/>
    <w:rsid w:val="00F16F36"/>
    <w:rsid w:val="00F20567"/>
    <w:rsid w:val="00F20810"/>
    <w:rsid w:val="00F215CA"/>
    <w:rsid w:val="00F21BA6"/>
    <w:rsid w:val="00F24AD2"/>
    <w:rsid w:val="00F250EE"/>
    <w:rsid w:val="00F26C65"/>
    <w:rsid w:val="00F2760D"/>
    <w:rsid w:val="00F316B5"/>
    <w:rsid w:val="00F40343"/>
    <w:rsid w:val="00F42088"/>
    <w:rsid w:val="00F428DB"/>
    <w:rsid w:val="00F42AD8"/>
    <w:rsid w:val="00F43789"/>
    <w:rsid w:val="00F448C6"/>
    <w:rsid w:val="00F4530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2663"/>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0883">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63064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31263674">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97292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5642108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8EF786-59B0-4A37-9DF7-0A385C63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8214</Words>
  <Characters>45182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4</cp:revision>
  <cp:lastPrinted>2026-02-20T16:17:00Z</cp:lastPrinted>
  <dcterms:created xsi:type="dcterms:W3CDTF">2026-02-20T16:17:00Z</dcterms:created>
  <dcterms:modified xsi:type="dcterms:W3CDTF">2026-04-09T22:39:00Z</dcterms:modified>
</cp:coreProperties>
</file>