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0F225A"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0F225A">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0F225A">
        <w:rPr>
          <w:rFonts w:ascii="Palatino Linotype" w:eastAsia="Palatino Linotype" w:hAnsi="Palatino Linotype" w:cs="Palatino Linotype"/>
          <w:sz w:val="22"/>
          <w:szCs w:val="22"/>
        </w:rPr>
        <w:t>diecisiete</w:t>
      </w:r>
      <w:r w:rsidR="00032509" w:rsidRPr="000F225A">
        <w:rPr>
          <w:rFonts w:ascii="Palatino Linotype" w:eastAsia="Palatino Linotype" w:hAnsi="Palatino Linotype" w:cs="Palatino Linotype"/>
          <w:sz w:val="22"/>
          <w:szCs w:val="22"/>
        </w:rPr>
        <w:t xml:space="preserve"> de septiembre</w:t>
      </w:r>
      <w:r w:rsidR="00E55CFA" w:rsidRPr="000F225A">
        <w:rPr>
          <w:rFonts w:ascii="Palatino Linotype" w:eastAsia="Palatino Linotype" w:hAnsi="Palatino Linotype" w:cs="Palatino Linotype"/>
          <w:sz w:val="22"/>
          <w:szCs w:val="22"/>
        </w:rPr>
        <w:t xml:space="preserve"> de dos mil veintiséis</w:t>
      </w:r>
      <w:r w:rsidRPr="000F225A">
        <w:rPr>
          <w:rFonts w:ascii="Palatino Linotype" w:eastAsia="Palatino Linotype" w:hAnsi="Palatino Linotype" w:cs="Palatino Linotype"/>
          <w:sz w:val="22"/>
          <w:szCs w:val="22"/>
        </w:rPr>
        <w:t xml:space="preserve">. </w:t>
      </w:r>
    </w:p>
    <w:p w14:paraId="13FC4B2B" w14:textId="77777777" w:rsidR="00532AE4" w:rsidRPr="000F225A" w:rsidRDefault="00532AE4">
      <w:pPr>
        <w:spacing w:line="360" w:lineRule="auto"/>
        <w:jc w:val="both"/>
        <w:rPr>
          <w:rFonts w:ascii="Palatino Linotype" w:eastAsia="Palatino Linotype" w:hAnsi="Palatino Linotype" w:cs="Palatino Linotype"/>
          <w:b/>
          <w:sz w:val="22"/>
          <w:szCs w:val="22"/>
        </w:rPr>
      </w:pPr>
    </w:p>
    <w:p w14:paraId="50DC799A" w14:textId="07D3F07D"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Visto </w:t>
      </w:r>
      <w:r w:rsidRPr="000F225A">
        <w:rPr>
          <w:rFonts w:ascii="Palatino Linotype" w:eastAsia="Palatino Linotype" w:hAnsi="Palatino Linotype" w:cs="Palatino Linotype"/>
          <w:sz w:val="22"/>
          <w:szCs w:val="22"/>
        </w:rPr>
        <w:t xml:space="preserve">el expediente relativo al recurso de revisión </w:t>
      </w:r>
      <w:r w:rsidR="008C1E2D" w:rsidRPr="000F225A">
        <w:rPr>
          <w:rFonts w:ascii="Palatino Linotype" w:eastAsia="Palatino Linotype" w:hAnsi="Palatino Linotype" w:cs="Palatino Linotype"/>
          <w:b/>
          <w:sz w:val="22"/>
          <w:szCs w:val="22"/>
        </w:rPr>
        <w:t>0</w:t>
      </w:r>
      <w:r w:rsidR="000452F8" w:rsidRPr="000F225A">
        <w:rPr>
          <w:rFonts w:ascii="Palatino Linotype" w:eastAsia="Palatino Linotype" w:hAnsi="Palatino Linotype" w:cs="Palatino Linotype"/>
          <w:b/>
          <w:sz w:val="22"/>
          <w:szCs w:val="22"/>
        </w:rPr>
        <w:t>8054</w:t>
      </w:r>
      <w:r w:rsidR="000C05BE" w:rsidRPr="000F225A">
        <w:rPr>
          <w:rFonts w:ascii="Palatino Linotype" w:eastAsia="Palatino Linotype" w:hAnsi="Palatino Linotype" w:cs="Palatino Linotype"/>
          <w:b/>
          <w:sz w:val="22"/>
          <w:szCs w:val="22"/>
        </w:rPr>
        <w:t>/INFOEM/IP/RR/2026</w:t>
      </w:r>
      <w:r w:rsidRPr="000F225A">
        <w:rPr>
          <w:rFonts w:ascii="Palatino Linotype" w:eastAsia="Palatino Linotype" w:hAnsi="Palatino Linotype" w:cs="Palatino Linotype"/>
          <w:sz w:val="22"/>
          <w:szCs w:val="22"/>
        </w:rPr>
        <w:t xml:space="preserve">, </w:t>
      </w:r>
      <w:r w:rsidRPr="000F225A">
        <w:rPr>
          <w:rFonts w:ascii="Palatino Linotype" w:eastAsia="Palatino Linotype" w:hAnsi="Palatino Linotype" w:cs="Palatino Linotype"/>
        </w:rPr>
        <w:t xml:space="preserve">interpuesto </w:t>
      </w:r>
      <w:r w:rsidR="0061438F" w:rsidRPr="000F225A">
        <w:rPr>
          <w:rFonts w:ascii="Palatino Linotype" w:eastAsia="Palatino Linotype" w:hAnsi="Palatino Linotype" w:cs="Palatino Linotype"/>
        </w:rPr>
        <w:t xml:space="preserve">por </w:t>
      </w:r>
      <w:r w:rsidR="006377E9">
        <w:rPr>
          <w:rFonts w:ascii="Palatino Linotype" w:eastAsia="Palatino Linotype" w:hAnsi="Palatino Linotype" w:cs="Palatino Linotype"/>
          <w:b/>
          <w:sz w:val="21"/>
          <w:szCs w:val="21"/>
        </w:rPr>
        <w:t>XXXXXX XXXXX XXXXX</w:t>
      </w:r>
      <w:r w:rsidR="00AC2BDE" w:rsidRPr="000F225A">
        <w:rPr>
          <w:rFonts w:ascii="Palatino Linotype" w:eastAsia="Palatino Linotype" w:hAnsi="Palatino Linotype" w:cs="Palatino Linotype"/>
          <w:b/>
        </w:rPr>
        <w:t xml:space="preserve"> </w:t>
      </w:r>
      <w:r w:rsidRPr="000F225A">
        <w:rPr>
          <w:rFonts w:ascii="Palatino Linotype" w:eastAsia="Palatino Linotype" w:hAnsi="Palatino Linotype" w:cs="Palatino Linotype"/>
        </w:rPr>
        <w:t xml:space="preserve">en lo sucesivo la parte </w:t>
      </w:r>
      <w:r w:rsidRPr="000F225A">
        <w:rPr>
          <w:rFonts w:ascii="Palatino Linotype" w:eastAsia="Palatino Linotype" w:hAnsi="Palatino Linotype" w:cs="Palatino Linotype"/>
          <w:b/>
        </w:rPr>
        <w:t>RECURRENTE</w:t>
      </w:r>
      <w:r w:rsidRPr="000F225A">
        <w:rPr>
          <w:rFonts w:ascii="Palatino Linotype" w:eastAsia="Palatino Linotype" w:hAnsi="Palatino Linotype" w:cs="Palatino Linotype"/>
          <w:b/>
          <w:sz w:val="22"/>
          <w:szCs w:val="22"/>
        </w:rPr>
        <w:t xml:space="preserve">, </w:t>
      </w:r>
      <w:r w:rsidRPr="000F225A">
        <w:rPr>
          <w:rFonts w:ascii="Palatino Linotype" w:eastAsia="Palatino Linotype" w:hAnsi="Palatino Linotype" w:cs="Palatino Linotype"/>
          <w:sz w:val="22"/>
          <w:szCs w:val="22"/>
        </w:rPr>
        <w:t>en contra de la falta de respuesta a la solicitud de acceso a la información con número de folio</w:t>
      </w:r>
      <w:r w:rsidRPr="000F225A">
        <w:rPr>
          <w:rFonts w:ascii="Verdana" w:eastAsia="Verdana" w:hAnsi="Verdana" w:cs="Verdana"/>
          <w:b/>
          <w:sz w:val="22"/>
          <w:szCs w:val="22"/>
        </w:rPr>
        <w:t> </w:t>
      </w:r>
      <w:r w:rsidR="000452F8" w:rsidRPr="000F225A">
        <w:rPr>
          <w:rFonts w:ascii="Palatino Linotype" w:eastAsia="Palatino Linotype" w:hAnsi="Palatino Linotype" w:cs="Palatino Linotype"/>
          <w:b/>
        </w:rPr>
        <w:t>00093/AXAPUSCO/IP/2026</w:t>
      </w:r>
      <w:r w:rsidR="00EF743D" w:rsidRPr="000F225A">
        <w:rPr>
          <w:rFonts w:ascii="Palatino Linotype" w:eastAsia="Palatino Linotype" w:hAnsi="Palatino Linotype" w:cs="Palatino Linotype"/>
          <w:b/>
        </w:rPr>
        <w:t xml:space="preserve">, </w:t>
      </w:r>
      <w:r w:rsidRPr="000F225A">
        <w:rPr>
          <w:rFonts w:ascii="Palatino Linotype" w:eastAsia="Palatino Linotype" w:hAnsi="Palatino Linotype" w:cs="Palatino Linotype"/>
          <w:sz w:val="22"/>
          <w:szCs w:val="22"/>
        </w:rPr>
        <w:t xml:space="preserve">por parte del </w:t>
      </w:r>
      <w:r w:rsidR="00632571" w:rsidRPr="000F225A">
        <w:rPr>
          <w:rFonts w:ascii="Palatino Linotype" w:eastAsia="Palatino Linotype" w:hAnsi="Palatino Linotype" w:cs="Palatino Linotype"/>
          <w:b/>
          <w:sz w:val="22"/>
          <w:szCs w:val="22"/>
        </w:rPr>
        <w:t>Ayuntamiento de Axapusco</w:t>
      </w:r>
      <w:r w:rsidR="00390FDA" w:rsidRPr="000F225A">
        <w:rPr>
          <w:rFonts w:ascii="Palatino Linotype" w:eastAsia="Palatino Linotype" w:hAnsi="Palatino Linotype" w:cs="Palatino Linotype"/>
          <w:b/>
          <w:sz w:val="22"/>
          <w:szCs w:val="22"/>
        </w:rPr>
        <w:t>,</w:t>
      </w:r>
      <w:r w:rsidRPr="000F225A">
        <w:rPr>
          <w:rFonts w:ascii="Palatino Linotype" w:eastAsia="Palatino Linotype" w:hAnsi="Palatino Linotype" w:cs="Palatino Linotype"/>
          <w:sz w:val="22"/>
          <w:szCs w:val="22"/>
        </w:rPr>
        <w:t xml:space="preserve"> en lo sucesivo el </w:t>
      </w:r>
      <w:r w:rsidRPr="000F225A">
        <w:rPr>
          <w:rFonts w:ascii="Palatino Linotype" w:eastAsia="Palatino Linotype" w:hAnsi="Palatino Linotype" w:cs="Palatino Linotype"/>
          <w:b/>
          <w:sz w:val="22"/>
          <w:szCs w:val="22"/>
        </w:rPr>
        <w:t xml:space="preserve">SUJETO OBLIGADO; </w:t>
      </w:r>
      <w:r w:rsidRPr="000F225A">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0F225A"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A N T E C E D E N T E S:</w:t>
      </w:r>
    </w:p>
    <w:p w14:paraId="77D7A248" w14:textId="77777777" w:rsidR="00532AE4" w:rsidRPr="000F225A"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79F2ACB0"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1. Solicitud de acceso a la información. </w:t>
      </w:r>
      <w:r w:rsidR="00EE5E30" w:rsidRPr="000F225A">
        <w:rPr>
          <w:rFonts w:ascii="Palatino Linotype" w:eastAsia="Palatino Linotype" w:hAnsi="Palatino Linotype" w:cs="Palatino Linotype"/>
          <w:sz w:val="22"/>
          <w:szCs w:val="22"/>
        </w:rPr>
        <w:t xml:space="preserve">Con fecha </w:t>
      </w:r>
      <w:r w:rsidR="000452F8" w:rsidRPr="000F225A">
        <w:rPr>
          <w:rFonts w:ascii="Palatino Linotype" w:eastAsia="Palatino Linotype" w:hAnsi="Palatino Linotype" w:cs="Palatino Linotype"/>
          <w:b/>
          <w:sz w:val="22"/>
          <w:szCs w:val="22"/>
        </w:rPr>
        <w:t>diecisiete</w:t>
      </w:r>
      <w:r w:rsidR="009C6FBB" w:rsidRPr="000F225A">
        <w:rPr>
          <w:rFonts w:ascii="Palatino Linotype" w:eastAsia="Palatino Linotype" w:hAnsi="Palatino Linotype" w:cs="Palatino Linotype"/>
          <w:b/>
          <w:sz w:val="22"/>
          <w:szCs w:val="22"/>
        </w:rPr>
        <w:t xml:space="preserve"> </w:t>
      </w:r>
      <w:r w:rsidR="00150206" w:rsidRPr="000F225A">
        <w:rPr>
          <w:rFonts w:ascii="Palatino Linotype" w:eastAsia="Palatino Linotype" w:hAnsi="Palatino Linotype" w:cs="Palatino Linotype"/>
          <w:b/>
          <w:sz w:val="22"/>
          <w:szCs w:val="22"/>
        </w:rPr>
        <w:t>de julio</w:t>
      </w:r>
      <w:r w:rsidR="0084271D" w:rsidRPr="000F225A">
        <w:rPr>
          <w:rFonts w:ascii="Palatino Linotype" w:eastAsia="Palatino Linotype" w:hAnsi="Palatino Linotype" w:cs="Palatino Linotype"/>
          <w:b/>
          <w:sz w:val="22"/>
          <w:szCs w:val="22"/>
        </w:rPr>
        <w:t xml:space="preserve"> de dos mil veintiséis</w:t>
      </w:r>
      <w:r w:rsidRPr="000F225A">
        <w:rPr>
          <w:rFonts w:ascii="Palatino Linotype" w:eastAsia="Palatino Linotype" w:hAnsi="Palatino Linotype" w:cs="Palatino Linotype"/>
          <w:sz w:val="22"/>
          <w:szCs w:val="22"/>
        </w:rPr>
        <w:t xml:space="preserve">, la parte </w:t>
      </w:r>
      <w:r w:rsidRPr="000F225A">
        <w:rPr>
          <w:rFonts w:ascii="Palatino Linotype" w:eastAsia="Palatino Linotype" w:hAnsi="Palatino Linotype" w:cs="Palatino Linotype"/>
          <w:b/>
          <w:sz w:val="22"/>
          <w:szCs w:val="22"/>
        </w:rPr>
        <w:t xml:space="preserve">RECURRENTE </w:t>
      </w:r>
      <w:r w:rsidRPr="000F225A">
        <w:rPr>
          <w:rFonts w:ascii="Palatino Linotype" w:eastAsia="Palatino Linotype" w:hAnsi="Palatino Linotype" w:cs="Palatino Linotype"/>
          <w:sz w:val="22"/>
          <w:szCs w:val="22"/>
        </w:rPr>
        <w:t xml:space="preserve">formuló a través del Sistema de Acceso a la Información Mexiquense, en adelante </w:t>
      </w:r>
      <w:r w:rsidRPr="000F225A">
        <w:rPr>
          <w:rFonts w:ascii="Palatino Linotype" w:eastAsia="Palatino Linotype" w:hAnsi="Palatino Linotype" w:cs="Palatino Linotype"/>
          <w:b/>
          <w:sz w:val="22"/>
          <w:szCs w:val="22"/>
        </w:rPr>
        <w:t>SAIMEX,</w:t>
      </w:r>
      <w:r w:rsidRPr="000F225A">
        <w:rPr>
          <w:rFonts w:ascii="Palatino Linotype" w:eastAsia="Palatino Linotype" w:hAnsi="Palatino Linotype" w:cs="Palatino Linotype"/>
          <w:sz w:val="22"/>
          <w:szCs w:val="22"/>
        </w:rPr>
        <w:t xml:space="preserve"> solicitud de información al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requiriéndole lo siguiente:</w:t>
      </w:r>
    </w:p>
    <w:p w14:paraId="59CC0872" w14:textId="68200746" w:rsidR="009B6117" w:rsidRPr="000F225A" w:rsidRDefault="009B6117" w:rsidP="00724155">
      <w:pPr>
        <w:ind w:right="616"/>
        <w:jc w:val="both"/>
        <w:rPr>
          <w:rFonts w:ascii="Palatino Linotype" w:eastAsia="Palatino Linotype" w:hAnsi="Palatino Linotype" w:cs="Palatino Linotype"/>
          <w:i/>
          <w:sz w:val="22"/>
          <w:szCs w:val="22"/>
        </w:rPr>
      </w:pPr>
    </w:p>
    <w:p w14:paraId="0F87CB2C" w14:textId="1109A1CC" w:rsidR="00532AE4" w:rsidRPr="000F225A" w:rsidRDefault="0004402A" w:rsidP="00542ABE">
      <w:pPr>
        <w:ind w:left="851"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w:t>
      </w:r>
      <w:r w:rsidR="000452F8" w:rsidRPr="000F225A">
        <w:rPr>
          <w:rFonts w:ascii="Palatino Linotype" w:eastAsia="Palatino Linotype" w:hAnsi="Palatino Linotype" w:cs="Palatino Linotype"/>
          <w:i/>
          <w:sz w:val="22"/>
          <w:szCs w:val="22"/>
        </w:rPr>
        <w:t>CALENDARIO DE ACTIVIDADES Y LABORES APROBADO POR EL H. AYUNTAMIENTO PARA EL AÑO 2026</w:t>
      </w:r>
      <w:r w:rsidR="00137E5A" w:rsidRPr="000F225A">
        <w:rPr>
          <w:rFonts w:ascii="Palatino Linotype" w:eastAsia="Palatino Linotype" w:hAnsi="Palatino Linotype" w:cs="Palatino Linotype"/>
          <w:i/>
          <w:sz w:val="22"/>
          <w:szCs w:val="22"/>
        </w:rPr>
        <w:t xml:space="preserve">” </w:t>
      </w:r>
      <w:r w:rsidR="00A76F12" w:rsidRPr="000F225A">
        <w:rPr>
          <w:rFonts w:ascii="Palatino Linotype" w:eastAsia="Palatino Linotype" w:hAnsi="Palatino Linotype" w:cs="Palatino Linotype"/>
          <w:i/>
          <w:sz w:val="22"/>
          <w:szCs w:val="22"/>
        </w:rPr>
        <w:t>(Sic)</w:t>
      </w:r>
      <w:r w:rsidR="00CE1553" w:rsidRPr="000F225A">
        <w:rPr>
          <w:rFonts w:ascii="Palatino Linotype" w:eastAsia="Palatino Linotype" w:hAnsi="Palatino Linotype" w:cs="Palatino Linotype"/>
          <w:b/>
          <w:sz w:val="22"/>
          <w:szCs w:val="22"/>
        </w:rPr>
        <w:tab/>
      </w:r>
    </w:p>
    <w:p w14:paraId="6697AE7A" w14:textId="77777777" w:rsidR="00147A44" w:rsidRPr="000F225A"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0F225A" w:rsidRDefault="00A76F12" w:rsidP="00FD5905">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Modalidad elegida para la entrega de la información: </w:t>
      </w:r>
      <w:r w:rsidRPr="000F225A">
        <w:rPr>
          <w:rFonts w:ascii="Palatino Linotype" w:eastAsia="Palatino Linotype" w:hAnsi="Palatino Linotype" w:cs="Palatino Linotype"/>
          <w:sz w:val="22"/>
          <w:szCs w:val="22"/>
        </w:rPr>
        <w:t>a través del SAIMEX.</w:t>
      </w:r>
    </w:p>
    <w:p w14:paraId="1227E94F" w14:textId="77777777" w:rsidR="00D60C04" w:rsidRPr="000F225A"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0F225A" w:rsidRDefault="00FD5905">
      <w:pPr>
        <w:spacing w:line="360" w:lineRule="auto"/>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2</w:t>
      </w:r>
      <w:r w:rsidR="00D763D8" w:rsidRPr="000F225A">
        <w:rPr>
          <w:rFonts w:ascii="Palatino Linotype" w:eastAsia="Palatino Linotype" w:hAnsi="Palatino Linotype" w:cs="Palatino Linotype"/>
          <w:b/>
          <w:sz w:val="22"/>
          <w:szCs w:val="22"/>
        </w:rPr>
        <w:t xml:space="preserve">. </w:t>
      </w:r>
      <w:r w:rsidR="00A76F12" w:rsidRPr="000F225A">
        <w:rPr>
          <w:rFonts w:ascii="Palatino Linotype" w:eastAsia="Palatino Linotype" w:hAnsi="Palatino Linotype" w:cs="Palatino Linotype"/>
          <w:b/>
          <w:sz w:val="22"/>
          <w:szCs w:val="22"/>
        </w:rPr>
        <w:t xml:space="preserve">Respuesta. </w:t>
      </w:r>
      <w:r w:rsidR="00A76F12" w:rsidRPr="000F225A">
        <w:rPr>
          <w:rFonts w:ascii="Palatino Linotype" w:eastAsia="Palatino Linotype" w:hAnsi="Palatino Linotype" w:cs="Palatino Linotype"/>
          <w:sz w:val="22"/>
          <w:szCs w:val="22"/>
        </w:rPr>
        <w:t xml:space="preserve">El </w:t>
      </w:r>
      <w:r w:rsidR="00A76F12" w:rsidRPr="000F225A">
        <w:rPr>
          <w:rFonts w:ascii="Palatino Linotype" w:eastAsia="Palatino Linotype" w:hAnsi="Palatino Linotype" w:cs="Palatino Linotype"/>
          <w:b/>
          <w:sz w:val="22"/>
          <w:szCs w:val="22"/>
        </w:rPr>
        <w:t xml:space="preserve">SUJETO OBLIGADO </w:t>
      </w:r>
      <w:r w:rsidR="00A76F12" w:rsidRPr="000F225A">
        <w:rPr>
          <w:rFonts w:ascii="Palatino Linotype" w:eastAsia="Palatino Linotype" w:hAnsi="Palatino Linotype" w:cs="Palatino Linotype"/>
          <w:sz w:val="22"/>
          <w:szCs w:val="22"/>
        </w:rPr>
        <w:t xml:space="preserve">fue omiso en proporcionar respuesta. </w:t>
      </w:r>
    </w:p>
    <w:p w14:paraId="66730054"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64E077EC" w14:textId="5E56C449" w:rsidR="00532AE4" w:rsidRPr="000F225A" w:rsidRDefault="00FD5905">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lastRenderedPageBreak/>
        <w:t>3</w:t>
      </w:r>
      <w:r w:rsidR="00A01FAB" w:rsidRPr="000F225A">
        <w:rPr>
          <w:rFonts w:ascii="Palatino Linotype" w:eastAsia="Palatino Linotype" w:hAnsi="Palatino Linotype" w:cs="Palatino Linotype"/>
          <w:b/>
          <w:sz w:val="22"/>
          <w:szCs w:val="22"/>
        </w:rPr>
        <w:t>.</w:t>
      </w:r>
      <w:r w:rsidR="00A76F12" w:rsidRPr="000F225A">
        <w:rPr>
          <w:rFonts w:ascii="Palatino Linotype" w:eastAsia="Palatino Linotype" w:hAnsi="Palatino Linotype" w:cs="Palatino Linotype"/>
          <w:b/>
          <w:sz w:val="22"/>
          <w:szCs w:val="22"/>
        </w:rPr>
        <w:t xml:space="preserve">Interposición del recurso de revisión. </w:t>
      </w:r>
      <w:r w:rsidR="00A76F12" w:rsidRPr="000F225A">
        <w:rPr>
          <w:rFonts w:ascii="Palatino Linotype" w:eastAsia="Palatino Linotype" w:hAnsi="Palatino Linotype" w:cs="Palatino Linotype"/>
          <w:sz w:val="22"/>
          <w:szCs w:val="22"/>
        </w:rPr>
        <w:t xml:space="preserve">Inconforme la parte solicitante con la falta de respuesta del </w:t>
      </w:r>
      <w:r w:rsidR="00A76F12" w:rsidRPr="000F225A">
        <w:rPr>
          <w:rFonts w:ascii="Palatino Linotype" w:eastAsia="Palatino Linotype" w:hAnsi="Palatino Linotype" w:cs="Palatino Linotype"/>
          <w:b/>
          <w:sz w:val="22"/>
          <w:szCs w:val="22"/>
        </w:rPr>
        <w:t>SUJETO OBLIGADO</w:t>
      </w:r>
      <w:r w:rsidR="00A76F12" w:rsidRPr="000F225A">
        <w:rPr>
          <w:rFonts w:ascii="Palatino Linotype" w:eastAsia="Palatino Linotype" w:hAnsi="Palatino Linotype" w:cs="Palatino Linotype"/>
          <w:sz w:val="22"/>
          <w:szCs w:val="22"/>
        </w:rPr>
        <w:t xml:space="preserve">, interpuso recurso de revisión a través del SAIMEX en fecha </w:t>
      </w:r>
      <w:r w:rsidR="009C6FBB" w:rsidRPr="000F225A">
        <w:rPr>
          <w:rFonts w:ascii="Palatino Linotype" w:eastAsia="Palatino Linotype" w:hAnsi="Palatino Linotype" w:cs="Palatino Linotype"/>
          <w:b/>
          <w:sz w:val="22"/>
          <w:szCs w:val="22"/>
        </w:rPr>
        <w:t>veinticuatro</w:t>
      </w:r>
      <w:r w:rsidR="00326E2A" w:rsidRPr="000F225A">
        <w:rPr>
          <w:rFonts w:ascii="Palatino Linotype" w:eastAsia="Palatino Linotype" w:hAnsi="Palatino Linotype" w:cs="Palatino Linotype"/>
          <w:b/>
          <w:sz w:val="22"/>
          <w:szCs w:val="22"/>
        </w:rPr>
        <w:t xml:space="preserve"> de agosto</w:t>
      </w:r>
      <w:r w:rsidR="00401731" w:rsidRPr="000F225A">
        <w:rPr>
          <w:rFonts w:ascii="Palatino Linotype" w:eastAsia="Palatino Linotype" w:hAnsi="Palatino Linotype" w:cs="Palatino Linotype"/>
          <w:b/>
          <w:sz w:val="22"/>
          <w:szCs w:val="22"/>
        </w:rPr>
        <w:t xml:space="preserve"> de dos mil veintiséis</w:t>
      </w:r>
      <w:r w:rsidR="00A76F12" w:rsidRPr="000F225A">
        <w:rPr>
          <w:rFonts w:ascii="Palatino Linotype" w:eastAsia="Palatino Linotype" w:hAnsi="Palatino Linotype" w:cs="Palatino Linotype"/>
          <w:sz w:val="22"/>
          <w:szCs w:val="22"/>
        </w:rPr>
        <w:t>, expresando lo siguiente:</w:t>
      </w:r>
    </w:p>
    <w:p w14:paraId="126577AC"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9ACBA47" w14:textId="78B40704" w:rsidR="00532AE4" w:rsidRPr="000F225A" w:rsidRDefault="00A76F12">
      <w:pPr>
        <w:spacing w:line="360"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sz w:val="22"/>
          <w:szCs w:val="22"/>
        </w:rPr>
        <w:t>a) Acto impugnado</w:t>
      </w:r>
      <w:r w:rsidRPr="000F225A">
        <w:rPr>
          <w:rFonts w:ascii="Palatino Linotype" w:eastAsia="Palatino Linotype" w:hAnsi="Palatino Linotype" w:cs="Palatino Linotype"/>
          <w:b/>
          <w:i/>
          <w:sz w:val="22"/>
          <w:szCs w:val="22"/>
        </w:rPr>
        <w:t xml:space="preserve">. </w:t>
      </w:r>
      <w:r w:rsidR="00EB74FD" w:rsidRPr="000F225A">
        <w:rPr>
          <w:rFonts w:ascii="Palatino Linotype" w:eastAsia="Palatino Linotype" w:hAnsi="Palatino Linotype" w:cs="Palatino Linotype"/>
          <w:i/>
          <w:sz w:val="22"/>
          <w:szCs w:val="22"/>
        </w:rPr>
        <w:t>“</w:t>
      </w:r>
      <w:r w:rsidR="000452F8" w:rsidRPr="000F225A">
        <w:rPr>
          <w:rFonts w:ascii="Palatino Linotype" w:eastAsia="Palatino Linotype" w:hAnsi="Palatino Linotype" w:cs="Palatino Linotype"/>
          <w:i/>
          <w:sz w:val="22"/>
          <w:szCs w:val="22"/>
        </w:rPr>
        <w:t>NO SE CONTESTA LA SOLICITUD</w:t>
      </w:r>
      <w:r w:rsidR="009B6117" w:rsidRPr="000F225A">
        <w:rPr>
          <w:rFonts w:ascii="Palatino Linotype" w:eastAsia="Palatino Linotype" w:hAnsi="Palatino Linotype" w:cs="Palatino Linotype"/>
          <w:i/>
          <w:sz w:val="22"/>
          <w:szCs w:val="22"/>
        </w:rPr>
        <w:t xml:space="preserve">” </w:t>
      </w:r>
      <w:r w:rsidRPr="000F225A">
        <w:rPr>
          <w:rFonts w:ascii="Palatino Linotype" w:eastAsia="Palatino Linotype" w:hAnsi="Palatino Linotype" w:cs="Palatino Linotype"/>
          <w:i/>
          <w:sz w:val="22"/>
          <w:szCs w:val="22"/>
        </w:rPr>
        <w:t>(Sic)</w:t>
      </w:r>
    </w:p>
    <w:p w14:paraId="527329DB" w14:textId="77777777" w:rsidR="00532AE4" w:rsidRPr="000F225A" w:rsidRDefault="00532AE4">
      <w:pPr>
        <w:spacing w:line="360" w:lineRule="auto"/>
        <w:ind w:left="567" w:right="616"/>
        <w:rPr>
          <w:rFonts w:ascii="Palatino Linotype" w:eastAsia="Palatino Linotype" w:hAnsi="Palatino Linotype" w:cs="Palatino Linotype"/>
          <w:b/>
          <w:sz w:val="22"/>
          <w:szCs w:val="22"/>
        </w:rPr>
      </w:pPr>
    </w:p>
    <w:p w14:paraId="27199E43" w14:textId="7AC2C838" w:rsidR="00532AE4" w:rsidRPr="000F225A" w:rsidRDefault="00A76F12">
      <w:pPr>
        <w:spacing w:line="360"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sz w:val="22"/>
          <w:szCs w:val="22"/>
        </w:rPr>
        <w:t xml:space="preserve">b) Motivos de inconformidad. </w:t>
      </w:r>
      <w:r w:rsidRPr="000F225A">
        <w:rPr>
          <w:rFonts w:ascii="Palatino Linotype" w:eastAsia="Palatino Linotype" w:hAnsi="Palatino Linotype" w:cs="Palatino Linotype"/>
          <w:i/>
          <w:sz w:val="22"/>
          <w:szCs w:val="22"/>
        </w:rPr>
        <w:t>“</w:t>
      </w:r>
      <w:r w:rsidR="000452F8" w:rsidRPr="000F225A">
        <w:rPr>
          <w:rFonts w:ascii="Palatino Linotype" w:eastAsia="Palatino Linotype" w:hAnsi="Palatino Linotype" w:cs="Palatino Linotype"/>
          <w:i/>
          <w:sz w:val="22"/>
          <w:szCs w:val="22"/>
        </w:rPr>
        <w:t xml:space="preserve">NO SE RESPONDE A LA SOLIICTUD EN LOS TIEMPOS </w:t>
      </w:r>
      <w:proofErr w:type="gramStart"/>
      <w:r w:rsidR="000452F8" w:rsidRPr="000F225A">
        <w:rPr>
          <w:rFonts w:ascii="Palatino Linotype" w:eastAsia="Palatino Linotype" w:hAnsi="Palatino Linotype" w:cs="Palatino Linotype"/>
          <w:i/>
          <w:sz w:val="22"/>
          <w:szCs w:val="22"/>
        </w:rPr>
        <w:t>PREVISTOS</w:t>
      </w:r>
      <w:r w:rsidR="002D134E" w:rsidRPr="000F225A">
        <w:rPr>
          <w:rFonts w:ascii="Palatino Linotype" w:eastAsia="Palatino Linotype" w:hAnsi="Palatino Linotype" w:cs="Palatino Linotype"/>
          <w:i/>
          <w:sz w:val="22"/>
          <w:szCs w:val="22"/>
        </w:rPr>
        <w:t>”</w:t>
      </w:r>
      <w:r w:rsidRPr="000F225A">
        <w:rPr>
          <w:rFonts w:ascii="Palatino Linotype" w:eastAsia="Palatino Linotype" w:hAnsi="Palatino Linotype" w:cs="Palatino Linotype"/>
          <w:i/>
          <w:sz w:val="22"/>
          <w:szCs w:val="22"/>
        </w:rPr>
        <w:t>(</w:t>
      </w:r>
      <w:proofErr w:type="gramEnd"/>
      <w:r w:rsidRPr="000F225A">
        <w:rPr>
          <w:rFonts w:ascii="Palatino Linotype" w:eastAsia="Palatino Linotype" w:hAnsi="Palatino Linotype" w:cs="Palatino Linotype"/>
          <w:i/>
          <w:sz w:val="22"/>
          <w:szCs w:val="22"/>
        </w:rPr>
        <w:t>Sic)</w:t>
      </w:r>
    </w:p>
    <w:p w14:paraId="1CD932CE" w14:textId="0DD1EB9D" w:rsidR="00532AE4" w:rsidRPr="000F225A"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0F225A" w:rsidRDefault="00A01FAB">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4</w:t>
      </w:r>
      <w:r w:rsidR="00A76F12" w:rsidRPr="000F225A">
        <w:rPr>
          <w:rFonts w:ascii="Palatino Linotype" w:eastAsia="Palatino Linotype" w:hAnsi="Palatino Linotype" w:cs="Palatino Linotype"/>
          <w:b/>
          <w:sz w:val="22"/>
          <w:szCs w:val="22"/>
        </w:rPr>
        <w:t xml:space="preserve">. Turno. </w:t>
      </w:r>
      <w:r w:rsidR="00A76F12" w:rsidRPr="000F225A">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0F225A">
        <w:rPr>
          <w:rFonts w:ascii="Palatino Linotype" w:eastAsia="Palatino Linotype" w:hAnsi="Palatino Linotype" w:cs="Palatino Linotype"/>
          <w:b/>
          <w:sz w:val="22"/>
          <w:szCs w:val="22"/>
        </w:rPr>
        <w:t>Guadalupe Ramírez Peña</w:t>
      </w:r>
      <w:r w:rsidR="00A76F12" w:rsidRPr="000F225A">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0F225A" w:rsidRDefault="00285CBA">
      <w:pPr>
        <w:spacing w:line="360" w:lineRule="auto"/>
        <w:jc w:val="both"/>
        <w:rPr>
          <w:rFonts w:ascii="Palatino Linotype" w:eastAsia="Palatino Linotype" w:hAnsi="Palatino Linotype" w:cs="Palatino Linotype"/>
          <w:sz w:val="22"/>
          <w:szCs w:val="22"/>
        </w:rPr>
      </w:pPr>
    </w:p>
    <w:p w14:paraId="6F47DF3C" w14:textId="0E8C577C" w:rsidR="00532AE4" w:rsidRPr="000F225A" w:rsidRDefault="00417D9F">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5</w:t>
      </w:r>
      <w:r w:rsidR="00A76F12" w:rsidRPr="000F225A">
        <w:rPr>
          <w:rFonts w:ascii="Palatino Linotype" w:eastAsia="Palatino Linotype" w:hAnsi="Palatino Linotype" w:cs="Palatino Linotype"/>
          <w:b/>
          <w:sz w:val="22"/>
          <w:szCs w:val="22"/>
        </w:rPr>
        <w:t xml:space="preserve">. Admisión. </w:t>
      </w:r>
      <w:r w:rsidR="003E2501" w:rsidRPr="000F225A">
        <w:rPr>
          <w:rFonts w:ascii="Palatino Linotype" w:eastAsia="Palatino Linotype" w:hAnsi="Palatino Linotype" w:cs="Palatino Linotype"/>
          <w:sz w:val="22"/>
          <w:szCs w:val="22"/>
        </w:rPr>
        <w:t>En</w:t>
      </w:r>
      <w:r w:rsidR="000F363F" w:rsidRPr="000F225A">
        <w:rPr>
          <w:rFonts w:ascii="Palatino Linotype" w:eastAsia="Palatino Linotype" w:hAnsi="Palatino Linotype" w:cs="Palatino Linotype"/>
          <w:sz w:val="22"/>
          <w:szCs w:val="22"/>
        </w:rPr>
        <w:t xml:space="preserve"> </w:t>
      </w:r>
      <w:r w:rsidR="00A8506B" w:rsidRPr="000F225A">
        <w:rPr>
          <w:rFonts w:ascii="Palatino Linotype" w:eastAsia="Palatino Linotype" w:hAnsi="Palatino Linotype" w:cs="Palatino Linotype"/>
          <w:sz w:val="22"/>
          <w:szCs w:val="22"/>
        </w:rPr>
        <w:t xml:space="preserve">fecha </w:t>
      </w:r>
      <w:r w:rsidR="009C6FBB" w:rsidRPr="000F225A">
        <w:rPr>
          <w:rFonts w:ascii="Palatino Linotype" w:eastAsia="Palatino Linotype" w:hAnsi="Palatino Linotype" w:cs="Palatino Linotype"/>
          <w:b/>
          <w:sz w:val="22"/>
          <w:szCs w:val="22"/>
        </w:rPr>
        <w:t>veinticinco de agosto</w:t>
      </w:r>
      <w:r w:rsidR="003E2501" w:rsidRPr="000F225A">
        <w:rPr>
          <w:rFonts w:ascii="Palatino Linotype" w:eastAsia="Palatino Linotype" w:hAnsi="Palatino Linotype" w:cs="Palatino Linotype"/>
          <w:b/>
          <w:sz w:val="22"/>
          <w:szCs w:val="22"/>
        </w:rPr>
        <w:t xml:space="preserve"> de dos mil veintiséis</w:t>
      </w:r>
      <w:r w:rsidR="00044D36" w:rsidRPr="000F225A">
        <w:rPr>
          <w:rFonts w:ascii="Palatino Linotype" w:eastAsia="Palatino Linotype" w:hAnsi="Palatino Linotype" w:cs="Palatino Linotype"/>
          <w:sz w:val="22"/>
          <w:szCs w:val="22"/>
        </w:rPr>
        <w:t xml:space="preserve">, </w:t>
      </w:r>
      <w:r w:rsidR="00A76F12" w:rsidRPr="000F225A">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0F225A" w:rsidRDefault="00417D9F">
      <w:pPr>
        <w:widowControl w:val="0"/>
        <w:spacing w:line="360" w:lineRule="auto"/>
        <w:ind w:right="49"/>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6</w:t>
      </w:r>
      <w:r w:rsidR="00A76F12" w:rsidRPr="000F225A">
        <w:rPr>
          <w:rFonts w:ascii="Palatino Linotype" w:eastAsia="Palatino Linotype" w:hAnsi="Palatino Linotype" w:cs="Palatino Linotype"/>
          <w:b/>
          <w:sz w:val="22"/>
          <w:szCs w:val="22"/>
        </w:rPr>
        <w:t>. Manifestaciones</w:t>
      </w:r>
      <w:r w:rsidR="008B25A4" w:rsidRPr="000F225A">
        <w:rPr>
          <w:rFonts w:ascii="Palatino Linotype" w:eastAsia="Palatino Linotype" w:hAnsi="Palatino Linotype" w:cs="Palatino Linotype"/>
          <w:sz w:val="22"/>
          <w:szCs w:val="22"/>
        </w:rPr>
        <w:t xml:space="preserve">. </w:t>
      </w:r>
      <w:r w:rsidR="006614E2" w:rsidRPr="000F225A">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2E4A4406" w:rsidR="006614E2" w:rsidRPr="000F225A" w:rsidRDefault="000452F8">
      <w:pPr>
        <w:spacing w:line="360" w:lineRule="auto"/>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noProof/>
          <w:sz w:val="22"/>
          <w:szCs w:val="22"/>
          <w:lang w:val="es-MX"/>
        </w:rPr>
        <w:drawing>
          <wp:inline distT="0" distB="0" distL="0" distR="0" wp14:anchorId="722060C2" wp14:editId="1D6F3DD7">
            <wp:extent cx="5612130" cy="13970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397000"/>
                    </a:xfrm>
                    <a:prstGeom prst="rect">
                      <a:avLst/>
                    </a:prstGeom>
                  </pic:spPr>
                </pic:pic>
              </a:graphicData>
            </a:graphic>
          </wp:inline>
        </w:drawing>
      </w:r>
    </w:p>
    <w:p w14:paraId="59D90F90" w14:textId="77777777" w:rsidR="006614E2" w:rsidRPr="000F225A" w:rsidRDefault="006614E2">
      <w:pPr>
        <w:spacing w:line="360" w:lineRule="auto"/>
        <w:jc w:val="both"/>
        <w:rPr>
          <w:rFonts w:ascii="Palatino Linotype" w:eastAsia="Palatino Linotype" w:hAnsi="Palatino Linotype" w:cs="Palatino Linotype"/>
          <w:b/>
          <w:sz w:val="22"/>
          <w:szCs w:val="22"/>
        </w:rPr>
      </w:pPr>
    </w:p>
    <w:p w14:paraId="2DD31F10" w14:textId="200D60F9" w:rsidR="00532AE4" w:rsidRPr="000F225A" w:rsidRDefault="00417D9F">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lastRenderedPageBreak/>
        <w:t>7</w:t>
      </w:r>
      <w:r w:rsidR="00A76F12" w:rsidRPr="000F225A">
        <w:rPr>
          <w:rFonts w:ascii="Palatino Linotype" w:eastAsia="Palatino Linotype" w:hAnsi="Palatino Linotype" w:cs="Palatino Linotype"/>
          <w:b/>
          <w:sz w:val="22"/>
          <w:szCs w:val="22"/>
        </w:rPr>
        <w:t xml:space="preserve">. Cierre de instrucción. </w:t>
      </w:r>
      <w:r w:rsidR="00A76F12" w:rsidRPr="000F225A">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9C6FBB" w:rsidRPr="000F225A">
        <w:rPr>
          <w:rFonts w:ascii="Palatino Linotype" w:eastAsia="Palatino Linotype" w:hAnsi="Palatino Linotype" w:cs="Palatino Linotype"/>
          <w:b/>
          <w:sz w:val="22"/>
          <w:szCs w:val="22"/>
        </w:rPr>
        <w:t>nueve</w:t>
      </w:r>
      <w:r w:rsidR="00726B4A" w:rsidRPr="000F225A">
        <w:rPr>
          <w:rFonts w:ascii="Palatino Linotype" w:eastAsia="Palatino Linotype" w:hAnsi="Palatino Linotype" w:cs="Palatino Linotype"/>
          <w:b/>
          <w:sz w:val="22"/>
          <w:szCs w:val="22"/>
        </w:rPr>
        <w:t xml:space="preserve"> </w:t>
      </w:r>
      <w:r w:rsidR="008E5D58" w:rsidRPr="000F225A">
        <w:rPr>
          <w:rFonts w:ascii="Palatino Linotype" w:eastAsia="Palatino Linotype" w:hAnsi="Palatino Linotype" w:cs="Palatino Linotype"/>
          <w:b/>
          <w:sz w:val="22"/>
          <w:szCs w:val="22"/>
        </w:rPr>
        <w:t>de septiembre</w:t>
      </w:r>
      <w:r w:rsidR="007E7839" w:rsidRPr="000F225A">
        <w:rPr>
          <w:rFonts w:ascii="Palatino Linotype" w:eastAsia="Palatino Linotype" w:hAnsi="Palatino Linotype" w:cs="Palatino Linotype"/>
          <w:b/>
          <w:sz w:val="22"/>
          <w:szCs w:val="22"/>
        </w:rPr>
        <w:t xml:space="preserve"> de dos mil veintiséis</w:t>
      </w:r>
      <w:r w:rsidR="00A76F12" w:rsidRPr="000F225A">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0F225A" w:rsidRDefault="00A76F12">
      <w:pPr>
        <w:widowControl w:val="0"/>
        <w:spacing w:line="360" w:lineRule="auto"/>
        <w:jc w:val="center"/>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II. C O N S I D E R A N D O S</w:t>
      </w:r>
    </w:p>
    <w:p w14:paraId="04E1DD04" w14:textId="77777777" w:rsidR="00532AE4" w:rsidRPr="000F225A"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0F225A" w:rsidRDefault="00A76F12" w:rsidP="005231DC">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Primero. Competencia.</w:t>
      </w:r>
      <w:r w:rsidRPr="000F225A">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0F225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0F225A">
        <w:rPr>
          <w:rFonts w:ascii="Palatino Linotype" w:eastAsia="Palatino Linotype" w:hAnsi="Palatino Linotype" w:cs="Palatino Linotype"/>
          <w:sz w:val="22"/>
          <w:szCs w:val="22"/>
        </w:rPr>
        <w:t>;</w:t>
      </w:r>
      <w:r w:rsidR="005231DC" w:rsidRPr="000F225A">
        <w:rPr>
          <w:rFonts w:ascii="Palatino Linotype" w:eastAsia="Palatino Linotype" w:hAnsi="Palatino Linotype" w:cs="Palatino Linotype"/>
          <w:sz w:val="22"/>
          <w:szCs w:val="22"/>
        </w:rPr>
        <w:t xml:space="preserve"> </w:t>
      </w:r>
      <w:r w:rsidRPr="000F225A">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Segundo. Oportunidad y Procedibilidad del Recurso de Revisión. </w:t>
      </w:r>
      <w:r w:rsidRPr="000F225A">
        <w:rPr>
          <w:rFonts w:ascii="Palatino Linotype" w:eastAsia="Palatino Linotype" w:hAnsi="Palatino Linotype" w:cs="Palatino Linotype"/>
          <w:sz w:val="22"/>
          <w:szCs w:val="22"/>
        </w:rPr>
        <w:t>Por cuanto hace a la oportunidad del recurso de revisión</w:t>
      </w:r>
      <w:r w:rsidRPr="000F225A">
        <w:rPr>
          <w:rFonts w:ascii="Palatino Linotype" w:eastAsia="Palatino Linotype" w:hAnsi="Palatino Linotype" w:cs="Palatino Linotype"/>
          <w:b/>
          <w:sz w:val="22"/>
          <w:szCs w:val="22"/>
        </w:rPr>
        <w:t xml:space="preserve"> </w:t>
      </w:r>
      <w:r w:rsidRPr="000F225A">
        <w:rPr>
          <w:rFonts w:ascii="Palatino Linotype" w:eastAsia="Palatino Linotype" w:hAnsi="Palatino Linotype" w:cs="Palatino Linotype"/>
          <w:sz w:val="22"/>
          <w:szCs w:val="22"/>
        </w:rPr>
        <w:t xml:space="preserve">es necesario considerar lo previsto en los artículos 163, </w:t>
      </w:r>
      <w:r w:rsidRPr="000F225A">
        <w:rPr>
          <w:rFonts w:ascii="Palatino Linotype" w:eastAsia="Palatino Linotype" w:hAnsi="Palatino Linotype" w:cs="Palatino Linotype"/>
          <w:sz w:val="22"/>
          <w:szCs w:val="22"/>
        </w:rPr>
        <w:lastRenderedPageBreak/>
        <w:t>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Derivado de lo anterior, se constituye la figura jurídica de la </w:t>
      </w:r>
      <w:r w:rsidRPr="000F225A">
        <w:rPr>
          <w:rFonts w:ascii="Palatino Linotype" w:eastAsia="Palatino Linotype" w:hAnsi="Palatino Linotype" w:cs="Palatino Linotype"/>
          <w:b/>
          <w:sz w:val="22"/>
          <w:szCs w:val="22"/>
        </w:rPr>
        <w:t>NEGATIVA FICTA</w:t>
      </w:r>
      <w:r w:rsidRPr="000F225A">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De tal manera, en el presente recurso de revisión se actualizó la negativa ficta por parte del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al no haber respondido a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Si a ello se le suma lo previsto en el párrafo segundo del artículo 178, párrafo segundo</w:t>
      </w:r>
      <w:r w:rsidRPr="000F225A">
        <w:rPr>
          <w:rFonts w:ascii="Palatino Linotype" w:eastAsia="Palatino Linotype" w:hAnsi="Palatino Linotype" w:cs="Palatino Linotype"/>
          <w:sz w:val="22"/>
          <w:szCs w:val="22"/>
          <w:vertAlign w:val="superscript"/>
        </w:rPr>
        <w:footnoteReference w:id="1"/>
      </w:r>
      <w:r w:rsidRPr="000F225A">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0F225A" w:rsidRDefault="00532AE4">
      <w:pPr>
        <w:spacing w:line="360" w:lineRule="auto"/>
        <w:jc w:val="both"/>
        <w:rPr>
          <w:i/>
          <w:sz w:val="22"/>
          <w:szCs w:val="22"/>
        </w:rPr>
      </w:pPr>
    </w:p>
    <w:p w14:paraId="4BB01BE0" w14:textId="77777777" w:rsidR="00532AE4" w:rsidRPr="000F225A" w:rsidRDefault="00A76F12">
      <w:pPr>
        <w:ind w:left="567" w:right="616"/>
        <w:jc w:val="both"/>
        <w:rPr>
          <w:rFonts w:ascii="Palatino Linotype" w:eastAsia="Palatino Linotype" w:hAnsi="Palatino Linotype" w:cs="Palatino Linotype"/>
          <w:b/>
          <w:i/>
          <w:sz w:val="22"/>
          <w:szCs w:val="22"/>
        </w:rPr>
      </w:pPr>
      <w:r w:rsidRPr="000F225A">
        <w:rPr>
          <w:rFonts w:ascii="Palatino Linotype" w:eastAsia="Palatino Linotype" w:hAnsi="Palatino Linotype" w:cs="Palatino Linotype"/>
          <w:i/>
          <w:sz w:val="22"/>
          <w:szCs w:val="22"/>
        </w:rPr>
        <w:t>“</w:t>
      </w:r>
      <w:r w:rsidRPr="000F225A">
        <w:rPr>
          <w:rFonts w:ascii="Palatino Linotype" w:eastAsia="Palatino Linotype" w:hAnsi="Palatino Linotype" w:cs="Palatino Linotype"/>
          <w:b/>
          <w:i/>
          <w:sz w:val="22"/>
          <w:szCs w:val="22"/>
        </w:rPr>
        <w:t>CRITERIO 0001-15 NEGATIVA FICTA. PLAZO PARA INTERPONER EL RECURSO DE REVISIÓN TRATÁNDOSE DE</w:t>
      </w:r>
      <w:r w:rsidRPr="000F225A">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0F225A" w:rsidRDefault="00532AE4">
      <w:pPr>
        <w:ind w:left="567" w:right="851"/>
        <w:jc w:val="both"/>
        <w:rPr>
          <w:rFonts w:ascii="Palatino Linotype" w:eastAsia="Palatino Linotype" w:hAnsi="Palatino Linotype" w:cs="Palatino Linotype"/>
          <w:i/>
          <w:sz w:val="22"/>
          <w:szCs w:val="22"/>
        </w:rPr>
      </w:pPr>
    </w:p>
    <w:p w14:paraId="76E26C4F" w14:textId="169CE5C8" w:rsidR="00532AE4" w:rsidRPr="000F225A"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0F225A">
        <w:rPr>
          <w:rFonts w:ascii="Palatino Linotype" w:eastAsia="Palatino Linotype" w:hAnsi="Palatino Linotype" w:cs="Palatino Linotype"/>
          <w:b/>
          <w:sz w:val="22"/>
          <w:szCs w:val="22"/>
        </w:rPr>
        <w:t>EL</w:t>
      </w:r>
      <w:r w:rsidRPr="000F225A">
        <w:rPr>
          <w:rFonts w:ascii="Palatino Linotype" w:eastAsia="Palatino Linotype" w:hAnsi="Palatino Linotype" w:cs="Palatino Linotype"/>
          <w:sz w:val="22"/>
          <w:szCs w:val="22"/>
        </w:rPr>
        <w:t xml:space="preserve"> </w:t>
      </w:r>
      <w:r w:rsidRPr="000F225A">
        <w:rPr>
          <w:rFonts w:ascii="Palatino Linotype" w:eastAsia="Palatino Linotype" w:hAnsi="Palatino Linotype" w:cs="Palatino Linotype"/>
          <w:b/>
          <w:sz w:val="22"/>
          <w:szCs w:val="22"/>
        </w:rPr>
        <w:t>SAIMEX</w:t>
      </w:r>
      <w:r w:rsidRPr="000F225A">
        <w:rPr>
          <w:rFonts w:ascii="Palatino Linotype" w:eastAsia="Palatino Linotype" w:hAnsi="Palatino Linotype" w:cs="Palatino Linotype"/>
          <w:sz w:val="22"/>
          <w:szCs w:val="22"/>
        </w:rPr>
        <w:t>.</w:t>
      </w:r>
    </w:p>
    <w:p w14:paraId="1C27DB56" w14:textId="40163621" w:rsidR="00B503D1" w:rsidRPr="000F225A"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0F225A" w:rsidRDefault="00A76F12">
      <w:pPr>
        <w:ind w:left="567" w:right="616"/>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i/>
          <w:sz w:val="22"/>
          <w:szCs w:val="22"/>
        </w:rPr>
        <w:lastRenderedPageBreak/>
        <w:t>“</w:t>
      </w:r>
      <w:r w:rsidRPr="000F225A">
        <w:rPr>
          <w:rFonts w:ascii="Palatino Linotype" w:eastAsia="Palatino Linotype" w:hAnsi="Palatino Linotype" w:cs="Palatino Linotype"/>
          <w:b/>
          <w:sz w:val="22"/>
          <w:szCs w:val="22"/>
        </w:rPr>
        <w:t>Artículo 179.</w:t>
      </w:r>
      <w:r w:rsidRPr="000F225A">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0F225A">
        <w:rPr>
          <w:rFonts w:ascii="Palatino Linotype" w:eastAsia="Palatino Linotype" w:hAnsi="Palatino Linotype" w:cs="Palatino Linotype"/>
          <w:sz w:val="22"/>
          <w:szCs w:val="22"/>
        </w:rPr>
        <w:t> </w:t>
      </w:r>
    </w:p>
    <w:p w14:paraId="7ACAE181" w14:textId="77777777" w:rsidR="00532AE4" w:rsidRPr="000F225A" w:rsidRDefault="00A76F12">
      <w:pPr>
        <w:ind w:left="567" w:right="616"/>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w:t>
      </w:r>
    </w:p>
    <w:p w14:paraId="543A0FF7" w14:textId="77777777" w:rsidR="00532AE4" w:rsidRPr="000F225A" w:rsidRDefault="00A76F12">
      <w:pPr>
        <w:numPr>
          <w:ilvl w:val="0"/>
          <w:numId w:val="4"/>
        </w:numPr>
        <w:ind w:left="567" w:right="616" w:firstLine="0"/>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0F225A"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0F225A" w:rsidRDefault="00A76F12">
      <w:pPr>
        <w:tabs>
          <w:tab w:val="left" w:pos="8647"/>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Tercero. Materia de la revisión. </w:t>
      </w:r>
      <w:r w:rsidRPr="000F225A">
        <w:rPr>
          <w:rFonts w:ascii="Palatino Linotype" w:eastAsia="Palatino Linotype" w:hAnsi="Palatino Linotype" w:cs="Palatino Linotype"/>
          <w:sz w:val="22"/>
          <w:szCs w:val="22"/>
        </w:rPr>
        <w:t xml:space="preserve">Este Organismo Garante procede del análisis de los agravios hechos valer por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0F225A"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Cuarto. Estudio del asunto. </w:t>
      </w:r>
      <w:r w:rsidRPr="000F225A">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0F225A">
        <w:rPr>
          <w:rFonts w:ascii="Palatino Linotype" w:eastAsia="Palatino Linotype" w:hAnsi="Palatino Linotype" w:cs="Palatino Linotype"/>
          <w:b/>
          <w:sz w:val="22"/>
          <w:szCs w:val="22"/>
        </w:rPr>
        <w:t xml:space="preserve">Sujeto Obligado </w:t>
      </w:r>
      <w:r w:rsidRPr="000F225A">
        <w:rPr>
          <w:rFonts w:ascii="Palatino Linotype" w:eastAsia="Palatino Linotype" w:hAnsi="Palatino Linotype" w:cs="Palatino Linotype"/>
          <w:sz w:val="22"/>
          <w:szCs w:val="22"/>
        </w:rPr>
        <w:t xml:space="preserve">no dio respuesta a la solicitud de información planteada por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xml:space="preserve">, lo que se traduce como la configuración de la </w:t>
      </w:r>
      <w:r w:rsidRPr="000F225A">
        <w:rPr>
          <w:rFonts w:ascii="Palatino Linotype" w:eastAsia="Palatino Linotype" w:hAnsi="Palatino Linotype" w:cs="Palatino Linotype"/>
          <w:b/>
          <w:sz w:val="22"/>
          <w:szCs w:val="22"/>
        </w:rPr>
        <w:t>negativa ficta</w:t>
      </w:r>
      <w:r w:rsidRPr="000F225A">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xml:space="preserve">, se advierte que requirió al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le proporcionara, información consistente en lo siguiente:</w:t>
      </w:r>
    </w:p>
    <w:p w14:paraId="35279DFB" w14:textId="03D491E3" w:rsidR="00532AE4" w:rsidRPr="000F225A" w:rsidRDefault="00B82C51" w:rsidP="00542ABE">
      <w:pPr>
        <w:ind w:left="851" w:right="850"/>
        <w:jc w:val="both"/>
        <w:rPr>
          <w:rFonts w:ascii="Palatino Linotype" w:eastAsia="Palatino Linotype" w:hAnsi="Palatino Linotype"/>
          <w:i/>
          <w:sz w:val="22"/>
          <w:szCs w:val="22"/>
        </w:rPr>
      </w:pPr>
      <w:r w:rsidRPr="000F225A">
        <w:rPr>
          <w:rFonts w:ascii="Palatino Linotype" w:eastAsia="Palatino Linotype" w:hAnsi="Palatino Linotype"/>
          <w:i/>
          <w:sz w:val="22"/>
          <w:szCs w:val="22"/>
        </w:rPr>
        <w:t>“</w:t>
      </w:r>
      <w:r w:rsidR="000452F8" w:rsidRPr="000F225A">
        <w:rPr>
          <w:rFonts w:ascii="Palatino Linotype" w:eastAsia="Palatino Linotype" w:hAnsi="Palatino Linotype"/>
          <w:i/>
          <w:sz w:val="22"/>
          <w:szCs w:val="22"/>
        </w:rPr>
        <w:t>CALENDARIO DE ACTIVIDADES Y LABORES APROBADO POR EL H. AYUNTAMIENTO PARA EL AÑO 2026</w:t>
      </w:r>
      <w:r w:rsidR="009C3B23" w:rsidRPr="000F225A">
        <w:rPr>
          <w:rFonts w:ascii="Palatino Linotype" w:eastAsia="Palatino Linotype" w:hAnsi="Palatino Linotype"/>
          <w:i/>
          <w:sz w:val="22"/>
          <w:szCs w:val="22"/>
        </w:rPr>
        <w:t>”</w:t>
      </w:r>
      <w:r w:rsidR="00223CD6" w:rsidRPr="000F225A">
        <w:rPr>
          <w:rFonts w:ascii="Palatino Linotype" w:eastAsia="Palatino Linotype" w:hAnsi="Palatino Linotype"/>
          <w:i/>
          <w:sz w:val="22"/>
          <w:szCs w:val="22"/>
        </w:rPr>
        <w:t xml:space="preserve"> (</w:t>
      </w:r>
      <w:r w:rsidR="00A76F12" w:rsidRPr="000F225A">
        <w:rPr>
          <w:rFonts w:ascii="Palatino Linotype" w:eastAsia="Palatino Linotype" w:hAnsi="Palatino Linotype"/>
          <w:i/>
          <w:sz w:val="22"/>
          <w:szCs w:val="22"/>
        </w:rPr>
        <w:t>Sic)</w:t>
      </w:r>
    </w:p>
    <w:p w14:paraId="4BE46D97" w14:textId="77777777" w:rsidR="00532AE4" w:rsidRPr="000F225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Precisado lo anterior, se procede al análisis del presente recurso, así como al contenido íntegro de las actuaciones que obran en el expediente electrónico, para así estar en posibilidad este Organismo Garante de dictar el fallo correspondiente conforme a derecho, tomando en </w:t>
      </w:r>
      <w:r w:rsidRPr="000F225A">
        <w:rPr>
          <w:rFonts w:ascii="Palatino Linotype" w:eastAsia="Palatino Linotype" w:hAnsi="Palatino Linotype" w:cs="Palatino Linotype"/>
          <w:sz w:val="22"/>
          <w:szCs w:val="22"/>
        </w:rPr>
        <w:lastRenderedPageBreak/>
        <w:t>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0F225A" w:rsidRDefault="00A76F12">
      <w:pPr>
        <w:tabs>
          <w:tab w:val="left" w:pos="709"/>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0F225A"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0F225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0F225A">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0F225A"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0F225A">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0F225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0F225A">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0F225A"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w:t>
      </w:r>
    </w:p>
    <w:p w14:paraId="54E0C206"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“Artículo 6o.</w:t>
      </w:r>
    </w:p>
    <w:p w14:paraId="4D803AB1"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w:t>
      </w:r>
    </w:p>
    <w:p w14:paraId="4B588253"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lastRenderedPageBreak/>
        <w:t xml:space="preserve">A. Para el ejercicio del derecho de acceso a la información, la Federación y </w:t>
      </w:r>
      <w:r w:rsidRPr="000F225A">
        <w:rPr>
          <w:rFonts w:ascii="Palatino Linotype" w:eastAsia="Palatino Linotype" w:hAnsi="Palatino Linotype" w:cs="Palatino Linotype"/>
          <w:b/>
          <w:i/>
          <w:sz w:val="22"/>
          <w:szCs w:val="22"/>
          <w:u w:val="single"/>
        </w:rPr>
        <w:t>las entidades federativas</w:t>
      </w:r>
      <w:r w:rsidRPr="000F225A">
        <w:rPr>
          <w:rFonts w:ascii="Palatino Linotype" w:eastAsia="Palatino Linotype" w:hAnsi="Palatino Linotype" w:cs="Palatino Linotype"/>
          <w:b/>
          <w:i/>
          <w:sz w:val="22"/>
          <w:szCs w:val="22"/>
        </w:rPr>
        <w:t>,</w:t>
      </w:r>
      <w:r w:rsidRPr="000F225A">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 </w:t>
      </w:r>
      <w:r w:rsidRPr="000F225A">
        <w:rPr>
          <w:rFonts w:ascii="Palatino Linotype" w:eastAsia="Palatino Linotype" w:hAnsi="Palatino Linotype" w:cs="Palatino Linotype"/>
          <w:b/>
          <w:i/>
          <w:sz w:val="22"/>
          <w:szCs w:val="22"/>
          <w:u w:val="single"/>
        </w:rPr>
        <w:t>Toda la información en posesión de cualquier autoridad, entidad, órgano y organismo de los Poderes</w:t>
      </w:r>
      <w:r w:rsidRPr="000F225A">
        <w:rPr>
          <w:rFonts w:ascii="Palatino Linotype" w:eastAsia="Palatino Linotype" w:hAnsi="Palatino Linotype" w:cs="Palatino Linotype"/>
          <w:i/>
          <w:sz w:val="22"/>
          <w:szCs w:val="22"/>
        </w:rPr>
        <w:t xml:space="preserve"> Ejecutivo, Legislativo </w:t>
      </w:r>
      <w:r w:rsidRPr="000F225A">
        <w:rPr>
          <w:rFonts w:ascii="Palatino Linotype" w:eastAsia="Palatino Linotype" w:hAnsi="Palatino Linotype" w:cs="Palatino Linotype"/>
          <w:b/>
          <w:i/>
          <w:sz w:val="22"/>
          <w:szCs w:val="22"/>
          <w:u w:val="single"/>
        </w:rPr>
        <w:t>y Judicial</w:t>
      </w:r>
      <w:r w:rsidRPr="000F225A">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0F225A">
        <w:rPr>
          <w:rFonts w:ascii="Palatino Linotype" w:eastAsia="Palatino Linotype" w:hAnsi="Palatino Linotype" w:cs="Palatino Linotype"/>
          <w:b/>
          <w:i/>
          <w:sz w:val="22"/>
          <w:szCs w:val="22"/>
        </w:rPr>
        <w:t>es pública y sólo podrá ser reservada temporalmente por razones de interés público y seguridad nacional,</w:t>
      </w:r>
      <w:r w:rsidRPr="000F225A">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0F225A" w:rsidRDefault="00A76F12">
      <w:pPr>
        <w:spacing w:line="276" w:lineRule="auto"/>
        <w:ind w:left="567" w:right="851"/>
        <w:jc w:val="both"/>
        <w:rPr>
          <w:rFonts w:ascii="Palatino Linotype" w:eastAsia="Palatino Linotype" w:hAnsi="Palatino Linotype" w:cs="Palatino Linotype"/>
          <w:b/>
          <w:i/>
          <w:sz w:val="22"/>
          <w:szCs w:val="22"/>
        </w:rPr>
      </w:pPr>
      <w:r w:rsidRPr="000F225A">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III. </w:t>
      </w:r>
      <w:r w:rsidRPr="000F225A">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0F225A">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IV.</w:t>
      </w:r>
      <w:r w:rsidRPr="000F225A">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0F225A" w:rsidRDefault="00A76F12">
      <w:pPr>
        <w:spacing w:line="276" w:lineRule="auto"/>
        <w:ind w:left="567" w:right="851"/>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V. </w:t>
      </w:r>
      <w:r w:rsidRPr="000F225A">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0F225A"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0F225A"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0F225A" w:rsidRDefault="00A76F12">
      <w:pPr>
        <w:tabs>
          <w:tab w:val="left" w:pos="709"/>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w:t>
      </w:r>
      <w:r w:rsidRPr="000F225A">
        <w:rPr>
          <w:rFonts w:ascii="Palatino Linotype" w:eastAsia="Palatino Linotype" w:hAnsi="Palatino Linotype" w:cs="Palatino Linotype"/>
          <w:sz w:val="22"/>
          <w:szCs w:val="22"/>
        </w:rPr>
        <w:lastRenderedPageBreak/>
        <w:t>la información que posean con las excepciones enmarcadas, para lo cual queda demostrado que los Sujetos Obligados deben cumplir con dichos dispositivos legales.</w:t>
      </w:r>
    </w:p>
    <w:p w14:paraId="4AB4CE50" w14:textId="77777777" w:rsidR="00532AE4" w:rsidRPr="000F225A"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w:t>
      </w:r>
      <w:r w:rsidRPr="000F225A">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0F225A">
        <w:rPr>
          <w:rFonts w:ascii="Palatino Linotype" w:eastAsia="Palatino Linotype" w:hAnsi="Palatino Linotype" w:cs="Palatino Linotype"/>
          <w:i/>
          <w:sz w:val="22"/>
          <w:szCs w:val="22"/>
        </w:rPr>
        <w:t>:</w:t>
      </w:r>
    </w:p>
    <w:p w14:paraId="275F2B94"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0F225A">
        <w:rPr>
          <w:rFonts w:ascii="Palatino Linotype" w:eastAsia="Palatino Linotype" w:hAnsi="Palatino Linotype" w:cs="Palatino Linotype"/>
          <w:b/>
          <w:i/>
          <w:sz w:val="22"/>
          <w:szCs w:val="22"/>
        </w:rPr>
        <w:t>I.</w:t>
      </w:r>
      <w:r w:rsidRPr="000F225A">
        <w:rPr>
          <w:rFonts w:ascii="Palatino Linotype" w:eastAsia="Palatino Linotype" w:hAnsi="Palatino Linotype" w:cs="Palatino Linotype"/>
          <w:i/>
          <w:sz w:val="22"/>
          <w:szCs w:val="22"/>
        </w:rPr>
        <w:t xml:space="preserve"> El Poder Ejecutivo del Estado de México, las dependencias, organismos auxiliares,</w:t>
      </w:r>
      <w:r w:rsidRPr="000F225A">
        <w:rPr>
          <w:rFonts w:ascii="Palatino Linotype" w:eastAsia="Palatino Linotype" w:hAnsi="Palatino Linotype" w:cs="Palatino Linotype"/>
          <w:b/>
          <w:i/>
          <w:sz w:val="22"/>
          <w:szCs w:val="22"/>
        </w:rPr>
        <w:t xml:space="preserve"> </w:t>
      </w:r>
      <w:r w:rsidRPr="000F225A">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II.</w:t>
      </w:r>
      <w:r w:rsidRPr="000F225A">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III.</w:t>
      </w:r>
      <w:r w:rsidRPr="000F225A">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0F225A">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V.</w:t>
      </w:r>
      <w:r w:rsidRPr="000F225A">
        <w:rPr>
          <w:rFonts w:ascii="Palatino Linotype" w:eastAsia="Palatino Linotype" w:hAnsi="Palatino Linotype" w:cs="Palatino Linotype"/>
          <w:i/>
          <w:sz w:val="22"/>
          <w:szCs w:val="22"/>
        </w:rPr>
        <w:t xml:space="preserve"> Los órganos autónomos;</w:t>
      </w:r>
    </w:p>
    <w:p w14:paraId="47FBCC3D"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VI.</w:t>
      </w:r>
      <w:r w:rsidRPr="000F225A">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VII.</w:t>
      </w:r>
      <w:r w:rsidRPr="000F225A">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VIII.</w:t>
      </w:r>
      <w:r w:rsidRPr="000F225A">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IX.</w:t>
      </w:r>
      <w:r w:rsidRPr="000F225A">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X.</w:t>
      </w:r>
      <w:r w:rsidRPr="000F225A">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XI.</w:t>
      </w:r>
      <w:r w:rsidRPr="000F225A">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0F225A"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lastRenderedPageBreak/>
        <w:t>Los servidores públicos deberán transparentar sus acciones, así como garantizar y respetar el derecho de acceso a la información pública</w:t>
      </w:r>
      <w:r w:rsidRPr="000F225A">
        <w:rPr>
          <w:rFonts w:ascii="Palatino Linotype" w:eastAsia="Palatino Linotype" w:hAnsi="Palatino Linotype" w:cs="Palatino Linotype"/>
          <w:i/>
          <w:sz w:val="22"/>
          <w:szCs w:val="22"/>
        </w:rPr>
        <w:t>.”</w:t>
      </w:r>
    </w:p>
    <w:p w14:paraId="6AA3AC33"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0F225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0F225A"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0F225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lastRenderedPageBreak/>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0F225A"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0F225A"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Sirve de sustento a lo anterior, el precepto legal en cita:</w:t>
      </w:r>
    </w:p>
    <w:p w14:paraId="0E6F8D37"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0F225A" w:rsidRDefault="00A76F12">
      <w:pPr>
        <w:spacing w:line="276" w:lineRule="auto"/>
        <w:ind w:left="567" w:right="902"/>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w:t>
      </w:r>
      <w:r w:rsidRPr="000F225A">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0F225A">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0F225A" w:rsidRDefault="00A76F12">
      <w:pPr>
        <w:spacing w:line="276" w:lineRule="auto"/>
        <w:ind w:left="567" w:right="902"/>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 xml:space="preserve">Excepcionalmente, el plazo referido en el párrafo anterior podrá ampliarse hasta por siete días hábiles más, siempre y cuando existan razones fundadas y motivadas, las cuales deberán ser aprobadas por el Comité de Transparencia, mediante la emisión de </w:t>
      </w:r>
      <w:r w:rsidRPr="000F225A">
        <w:rPr>
          <w:rFonts w:ascii="Palatino Linotype" w:eastAsia="Palatino Linotype" w:hAnsi="Palatino Linotype" w:cs="Palatino Linotype"/>
          <w:i/>
          <w:sz w:val="22"/>
          <w:szCs w:val="22"/>
        </w:rPr>
        <w:lastRenderedPageBreak/>
        <w:t>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0F225A"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mérito de lo expuesto, es claro que en este caso 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0F225A">
        <w:rPr>
          <w:rFonts w:ascii="Palatino Linotype" w:eastAsia="Palatino Linotype" w:hAnsi="Palatino Linotype" w:cs="Palatino Linotype"/>
          <w:b/>
          <w:sz w:val="22"/>
          <w:szCs w:val="22"/>
        </w:rPr>
        <w:t>el Sujeto Obligado</w:t>
      </w:r>
      <w:r w:rsidRPr="000F225A">
        <w:rPr>
          <w:rFonts w:ascii="Palatino Linotype" w:eastAsia="Palatino Linotype" w:hAnsi="Palatino Linotype" w:cs="Palatino Linotype"/>
          <w:sz w:val="22"/>
          <w:szCs w:val="22"/>
        </w:rPr>
        <w:t>; por lo que, en caso de no atender de manera positiva</w:t>
      </w:r>
      <w:r w:rsidRPr="000F225A">
        <w:rPr>
          <w:rFonts w:ascii="Palatino Linotype" w:eastAsia="Palatino Linotype" w:hAnsi="Palatino Linotype" w:cs="Palatino Linotype"/>
          <w:sz w:val="22"/>
          <w:szCs w:val="22"/>
          <w:vertAlign w:val="superscript"/>
        </w:rPr>
        <w:footnoteReference w:id="2"/>
      </w:r>
      <w:r w:rsidRPr="000F225A">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0F225A"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De la clasificación de la información.</w:t>
      </w:r>
    </w:p>
    <w:p w14:paraId="7CB72775" w14:textId="77777777" w:rsidR="00532AE4" w:rsidRPr="000F225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0F225A" w:rsidRDefault="00A76F12">
      <w:pPr>
        <w:spacing w:line="360" w:lineRule="auto"/>
        <w:ind w:right="5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lastRenderedPageBreak/>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0F225A"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0F225A" w:rsidRDefault="00A76F12">
      <w:pPr>
        <w:spacing w:line="276" w:lineRule="auto"/>
        <w:ind w:left="851" w:right="900"/>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“Artículo 91. </w:t>
      </w:r>
      <w:r w:rsidRPr="000F225A">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0F225A"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0F225A"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“Artículo 140. </w:t>
      </w:r>
      <w:r w:rsidRPr="000F225A">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 </w:t>
      </w:r>
      <w:r w:rsidRPr="000F225A">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II. </w:t>
      </w:r>
      <w:r w:rsidRPr="000F225A">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lastRenderedPageBreak/>
        <w:t xml:space="preserve">III. </w:t>
      </w:r>
      <w:r w:rsidRPr="000F225A">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IV. </w:t>
      </w:r>
      <w:r w:rsidRPr="000F225A">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V. </w:t>
      </w:r>
      <w:r w:rsidRPr="000F225A">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1. </w:t>
      </w:r>
      <w:r w:rsidRPr="000F225A">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2. </w:t>
      </w:r>
      <w:r w:rsidRPr="000F225A">
        <w:rPr>
          <w:rFonts w:ascii="Palatino Linotype" w:eastAsia="Palatino Linotype" w:hAnsi="Palatino Linotype" w:cs="Palatino Linotype"/>
          <w:i/>
          <w:sz w:val="22"/>
          <w:szCs w:val="22"/>
        </w:rPr>
        <w:t>La recaudación de las contribuciones.</w:t>
      </w:r>
    </w:p>
    <w:p w14:paraId="4CD54AA9"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VI. </w:t>
      </w:r>
      <w:r w:rsidRPr="000F225A">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VII. </w:t>
      </w:r>
      <w:r w:rsidRPr="000F225A">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VIII</w:t>
      </w:r>
      <w:r w:rsidRPr="000F225A">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0F225A">
        <w:rPr>
          <w:rFonts w:ascii="Palatino Linotype" w:eastAsia="Palatino Linotype" w:hAnsi="Palatino Linotype" w:cs="Palatino Linotype"/>
          <w:b/>
          <w:i/>
          <w:sz w:val="22"/>
          <w:szCs w:val="22"/>
        </w:rPr>
        <w:t>;</w:t>
      </w:r>
    </w:p>
    <w:p w14:paraId="20A105A2"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IX. </w:t>
      </w:r>
      <w:r w:rsidRPr="000F225A">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X. </w:t>
      </w:r>
      <w:r w:rsidRPr="000F225A">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XI. </w:t>
      </w:r>
      <w:r w:rsidRPr="000F225A">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lastRenderedPageBreak/>
        <w:t>(…)</w:t>
      </w:r>
    </w:p>
    <w:p w14:paraId="7E7180B7"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Artículo 143. </w:t>
      </w:r>
      <w:r w:rsidRPr="000F225A">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 </w:t>
      </w:r>
      <w:r w:rsidRPr="000F225A">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II. </w:t>
      </w:r>
      <w:r w:rsidRPr="000F225A">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III. </w:t>
      </w:r>
      <w:r w:rsidRPr="000F225A">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0F225A"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0F225A"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0F225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Se reciba una solicitud de acceso a la información;</w:t>
      </w:r>
    </w:p>
    <w:p w14:paraId="54E32C40" w14:textId="77777777" w:rsidR="00532AE4" w:rsidRPr="000F225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Se determine mediante resolución de autoridad competente; y/o</w:t>
      </w:r>
    </w:p>
    <w:p w14:paraId="2A2574F5" w14:textId="77777777" w:rsidR="00532AE4" w:rsidRPr="000F225A"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0F225A"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0F225A" w:rsidRDefault="00A76F12">
      <w:pPr>
        <w:spacing w:line="360" w:lineRule="auto"/>
        <w:ind w:right="5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cuando clasifique algún documento o información, ya sea todo o en parte, atienda lo dispuesto por la Ley de la materia, </w:t>
      </w:r>
      <w:r w:rsidRPr="000F225A">
        <w:rPr>
          <w:rFonts w:ascii="Palatino Linotype" w:eastAsia="Palatino Linotype" w:hAnsi="Palatino Linotype" w:cs="Palatino Linotype"/>
          <w:sz w:val="22"/>
          <w:szCs w:val="22"/>
        </w:rPr>
        <w:lastRenderedPageBreak/>
        <w:t xml:space="preserve">siendo que dicha clasificación es un trabajo en conjunto tanto de los Servidores Públicos Habilitados, de las Unidades de Transparencia y del Comité de Transparencia del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0F225A">
        <w:rPr>
          <w:rFonts w:ascii="Palatino Linotype" w:eastAsia="Palatino Linotype" w:hAnsi="Palatino Linotype" w:cs="Palatino Linotype"/>
          <w:sz w:val="22"/>
          <w:szCs w:val="22"/>
          <w:vertAlign w:val="superscript"/>
        </w:rPr>
        <w:footnoteReference w:id="3"/>
      </w:r>
      <w:r w:rsidRPr="000F225A">
        <w:rPr>
          <w:rFonts w:ascii="Palatino Linotype" w:eastAsia="Palatino Linotype" w:hAnsi="Palatino Linotype" w:cs="Palatino Linotype"/>
          <w:sz w:val="22"/>
          <w:szCs w:val="22"/>
        </w:rPr>
        <w:t>, 53 fracción X</w:t>
      </w:r>
      <w:r w:rsidRPr="000F225A">
        <w:rPr>
          <w:rFonts w:ascii="Palatino Linotype" w:eastAsia="Palatino Linotype" w:hAnsi="Palatino Linotype" w:cs="Palatino Linotype"/>
          <w:sz w:val="22"/>
          <w:szCs w:val="22"/>
          <w:vertAlign w:val="superscript"/>
        </w:rPr>
        <w:footnoteReference w:id="4"/>
      </w:r>
      <w:r w:rsidRPr="000F225A">
        <w:rPr>
          <w:rFonts w:ascii="Palatino Linotype" w:eastAsia="Palatino Linotype" w:hAnsi="Palatino Linotype" w:cs="Palatino Linotype"/>
          <w:sz w:val="22"/>
          <w:szCs w:val="22"/>
        </w:rPr>
        <w:t>, y 49 fracciones II y VIII</w:t>
      </w:r>
      <w:r w:rsidRPr="000F225A">
        <w:rPr>
          <w:rFonts w:ascii="Palatino Linotype" w:eastAsia="Palatino Linotype" w:hAnsi="Palatino Linotype" w:cs="Palatino Linotype"/>
          <w:sz w:val="22"/>
          <w:szCs w:val="22"/>
          <w:vertAlign w:val="superscript"/>
        </w:rPr>
        <w:footnoteReference w:id="5"/>
      </w:r>
      <w:r w:rsidRPr="000F225A">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0F225A"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Bajo tales consideraciones, este Organismo Garante no omite señalar que, si 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advierte que la información solicitada contiene </w:t>
      </w:r>
      <w:r w:rsidRPr="000F225A">
        <w:rPr>
          <w:rFonts w:ascii="Palatino Linotype" w:eastAsia="Palatino Linotype" w:hAnsi="Palatino Linotype" w:cs="Palatino Linotype"/>
          <w:b/>
          <w:sz w:val="22"/>
          <w:szCs w:val="22"/>
        </w:rPr>
        <w:t>datos personales</w:t>
      </w:r>
      <w:r w:rsidRPr="000F225A">
        <w:rPr>
          <w:rFonts w:ascii="Palatino Linotype" w:eastAsia="Palatino Linotype" w:hAnsi="Palatino Linotype" w:cs="Palatino Linotype"/>
          <w:sz w:val="22"/>
          <w:szCs w:val="22"/>
        </w:rPr>
        <w:t xml:space="preserve"> que sean susceptibles de ser </w:t>
      </w:r>
      <w:r w:rsidRPr="000F225A">
        <w:rPr>
          <w:rFonts w:ascii="Palatino Linotype" w:eastAsia="Palatino Linotype" w:hAnsi="Palatino Linotype" w:cs="Palatino Linotype"/>
          <w:b/>
          <w:sz w:val="22"/>
          <w:szCs w:val="22"/>
        </w:rPr>
        <w:t xml:space="preserve">clasificados como confidenciales, </w:t>
      </w:r>
      <w:r w:rsidRPr="000F225A">
        <w:rPr>
          <w:rFonts w:ascii="Palatino Linotype" w:eastAsia="Palatino Linotype" w:hAnsi="Palatino Linotype" w:cs="Palatino Linotype"/>
          <w:sz w:val="22"/>
          <w:szCs w:val="22"/>
        </w:rPr>
        <w:t>o, si por otro lado</w:t>
      </w:r>
      <w:r w:rsidRPr="000F225A">
        <w:rPr>
          <w:rFonts w:ascii="Palatino Linotype" w:eastAsia="Palatino Linotype" w:hAnsi="Palatino Linotype" w:cs="Palatino Linotype"/>
          <w:b/>
          <w:sz w:val="22"/>
          <w:szCs w:val="22"/>
        </w:rPr>
        <w:t>, por su propia y especial naturaleza,</w:t>
      </w:r>
      <w:r w:rsidRPr="000F225A">
        <w:rPr>
          <w:rFonts w:ascii="Palatino Linotype" w:eastAsia="Palatino Linotype" w:hAnsi="Palatino Linotype" w:cs="Palatino Linotype"/>
          <w:sz w:val="22"/>
          <w:szCs w:val="22"/>
        </w:rPr>
        <w:t xml:space="preserve"> encuadra en alguno de los </w:t>
      </w:r>
      <w:r w:rsidRPr="000F225A">
        <w:rPr>
          <w:rFonts w:ascii="Palatino Linotype" w:eastAsia="Palatino Linotype" w:hAnsi="Palatino Linotype" w:cs="Palatino Linotype"/>
          <w:b/>
          <w:sz w:val="22"/>
          <w:szCs w:val="22"/>
        </w:rPr>
        <w:t>supuestos de reserva o de confidencialidad en su totalidad</w:t>
      </w:r>
      <w:r w:rsidRPr="000F225A">
        <w:rPr>
          <w:rFonts w:ascii="Palatino Linotype" w:eastAsia="Palatino Linotype" w:hAnsi="Palatino Linotype" w:cs="Palatino Linotype"/>
          <w:sz w:val="22"/>
          <w:szCs w:val="22"/>
        </w:rPr>
        <w:t>, deberá emitir, un</w:t>
      </w:r>
      <w:r w:rsidRPr="000F225A">
        <w:rPr>
          <w:rFonts w:ascii="Palatino Linotype" w:eastAsia="Palatino Linotype" w:hAnsi="Palatino Linotype" w:cs="Palatino Linotype"/>
          <w:b/>
          <w:sz w:val="22"/>
          <w:szCs w:val="22"/>
        </w:rPr>
        <w:t xml:space="preserve"> Acuerdo de Clasificación </w:t>
      </w:r>
      <w:r w:rsidRPr="000F225A">
        <w:rPr>
          <w:rFonts w:ascii="Palatino Linotype" w:eastAsia="Palatino Linotype" w:hAnsi="Palatino Linotype" w:cs="Palatino Linotype"/>
          <w:sz w:val="22"/>
          <w:szCs w:val="22"/>
        </w:rPr>
        <w:t>debidamente fundado y motivado que</w:t>
      </w:r>
      <w:r w:rsidRPr="000F225A">
        <w:rPr>
          <w:rFonts w:ascii="Palatino Linotype" w:eastAsia="Palatino Linotype" w:hAnsi="Palatino Linotype" w:cs="Palatino Linotype"/>
          <w:b/>
          <w:sz w:val="22"/>
          <w:szCs w:val="22"/>
        </w:rPr>
        <w:t xml:space="preserve"> sustente la clasificación parcial, a través de la versión pública que emita,</w:t>
      </w:r>
      <w:r w:rsidRPr="000F225A">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0F225A"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De la clasificación parcial de la información.</w:t>
      </w:r>
    </w:p>
    <w:p w14:paraId="6CDBD4F4" w14:textId="77777777" w:rsidR="00532AE4" w:rsidRPr="000F225A"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lastRenderedPageBreak/>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0F225A"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De la clasificación de información como reservada.</w:t>
      </w:r>
    </w:p>
    <w:p w14:paraId="2F50165E" w14:textId="77777777" w:rsidR="00532AE4" w:rsidRPr="000F225A"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0F225A" w:rsidRDefault="00A76F12">
      <w:pPr>
        <w:spacing w:line="360" w:lineRule="auto"/>
        <w:ind w:right="5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0F225A"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w:t>
      </w:r>
      <w:r w:rsidRPr="000F225A">
        <w:rPr>
          <w:rFonts w:ascii="Palatino Linotype" w:eastAsia="Palatino Linotype" w:hAnsi="Palatino Linotype" w:cs="Palatino Linotype"/>
          <w:sz w:val="22"/>
          <w:szCs w:val="22"/>
        </w:rPr>
        <w:lastRenderedPageBreak/>
        <w:t xml:space="preserve">Transparencia y Acceso a la Información pública del Estado de México y Municipios, para lo cual, los Sujetos Obligados deberán considerar que: </w:t>
      </w:r>
    </w:p>
    <w:p w14:paraId="13C920F9"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0F225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La divulgación de la información representa un </w:t>
      </w:r>
      <w:r w:rsidRPr="000F225A">
        <w:rPr>
          <w:rFonts w:ascii="Palatino Linotype" w:eastAsia="Palatino Linotype" w:hAnsi="Palatino Linotype" w:cs="Palatino Linotype"/>
          <w:b/>
          <w:sz w:val="22"/>
          <w:szCs w:val="22"/>
        </w:rPr>
        <w:t>riesgo real, demostrable e identificable del perjuicio significativo al interés público o a la seguridad pública</w:t>
      </w:r>
      <w:r w:rsidRPr="000F225A">
        <w:rPr>
          <w:rFonts w:ascii="Palatino Linotype" w:eastAsia="Palatino Linotype" w:hAnsi="Palatino Linotype" w:cs="Palatino Linotype"/>
          <w:sz w:val="22"/>
          <w:szCs w:val="22"/>
        </w:rPr>
        <w:t>;</w:t>
      </w:r>
    </w:p>
    <w:p w14:paraId="4FC20933" w14:textId="77777777" w:rsidR="00532AE4" w:rsidRPr="000F225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0F225A"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0F225A"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Siendo pertinente aclarar que, la información que se clasifica bajo la premisa de reservada, </w:t>
      </w:r>
      <w:r w:rsidRPr="000F225A">
        <w:rPr>
          <w:rFonts w:ascii="Palatino Linotype" w:eastAsia="Palatino Linotype" w:hAnsi="Palatino Linotype" w:cs="Palatino Linotype"/>
          <w:b/>
          <w:sz w:val="22"/>
          <w:szCs w:val="22"/>
        </w:rPr>
        <w:t>no pierde el carácter de pública</w:t>
      </w:r>
      <w:r w:rsidRPr="000F225A">
        <w:rPr>
          <w:rFonts w:ascii="Palatino Linotype" w:eastAsia="Palatino Linotype" w:hAnsi="Palatino Linotype" w:cs="Palatino Linotype"/>
          <w:sz w:val="22"/>
          <w:szCs w:val="22"/>
        </w:rPr>
        <w:t xml:space="preserve">, sino que </w:t>
      </w:r>
      <w:r w:rsidRPr="000F225A">
        <w:rPr>
          <w:rFonts w:ascii="Palatino Linotype" w:eastAsia="Palatino Linotype" w:hAnsi="Palatino Linotype" w:cs="Palatino Linotype"/>
          <w:b/>
          <w:sz w:val="22"/>
          <w:szCs w:val="22"/>
        </w:rPr>
        <w:t>se reserva temporalmente</w:t>
      </w:r>
      <w:r w:rsidRPr="000F225A">
        <w:rPr>
          <w:rFonts w:ascii="Palatino Linotype" w:eastAsia="Palatino Linotype" w:hAnsi="Palatino Linotype" w:cs="Palatino Linotype"/>
          <w:sz w:val="22"/>
          <w:szCs w:val="22"/>
        </w:rPr>
        <w:t xml:space="preserve"> </w:t>
      </w:r>
      <w:r w:rsidRPr="000F225A">
        <w:rPr>
          <w:rFonts w:ascii="Palatino Linotype" w:eastAsia="Palatino Linotype" w:hAnsi="Palatino Linotype" w:cs="Palatino Linotype"/>
          <w:b/>
          <w:sz w:val="22"/>
          <w:szCs w:val="22"/>
        </w:rPr>
        <w:t>del conocimiento público</w:t>
      </w:r>
      <w:r w:rsidRPr="000F225A">
        <w:rPr>
          <w:rFonts w:ascii="Palatino Linotype" w:eastAsia="Palatino Linotype" w:hAnsi="Palatino Linotype" w:cs="Palatino Linotype"/>
          <w:sz w:val="22"/>
          <w:szCs w:val="22"/>
        </w:rPr>
        <w:t xml:space="preserve">, es decir, que, </w:t>
      </w:r>
      <w:r w:rsidRPr="000F225A">
        <w:rPr>
          <w:rFonts w:ascii="Palatino Linotype" w:eastAsia="Palatino Linotype" w:hAnsi="Palatino Linotype" w:cs="Palatino Linotype"/>
          <w:b/>
          <w:sz w:val="22"/>
          <w:szCs w:val="22"/>
        </w:rPr>
        <w:t>por un tiempo determinado</w:t>
      </w:r>
      <w:r w:rsidRPr="000F225A">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0F225A"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0F225A"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0F225A" w:rsidRDefault="00A76F12">
      <w:pPr>
        <w:tabs>
          <w:tab w:val="left" w:pos="709"/>
        </w:tabs>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w:t>
      </w:r>
      <w:r w:rsidRPr="000F225A">
        <w:rPr>
          <w:rFonts w:ascii="Palatino Linotype" w:eastAsia="Palatino Linotype" w:hAnsi="Palatino Linotype" w:cs="Palatino Linotype"/>
          <w:sz w:val="22"/>
          <w:szCs w:val="22"/>
        </w:rPr>
        <w:lastRenderedPageBreak/>
        <w:t>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0F225A"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0F225A" w:rsidRDefault="00A76F12">
      <w:pPr>
        <w:spacing w:line="360" w:lineRule="auto"/>
        <w:ind w:right="5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0F225A">
        <w:rPr>
          <w:rFonts w:ascii="Palatino Linotype" w:eastAsia="Palatino Linotype" w:hAnsi="Palatino Linotype" w:cs="Palatino Linotype"/>
          <w:sz w:val="22"/>
          <w:szCs w:val="22"/>
          <w:vertAlign w:val="superscript"/>
        </w:rPr>
        <w:footnoteReference w:id="6"/>
      </w:r>
      <w:r w:rsidRPr="000F225A">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0F225A"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0F225A"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De la declaratoria de inexistencia de la información</w:t>
      </w:r>
      <w:r w:rsidRPr="000F225A">
        <w:rPr>
          <w:rFonts w:ascii="Palatino Linotype" w:eastAsia="Palatino Linotype" w:hAnsi="Palatino Linotype" w:cs="Palatino Linotype"/>
          <w:sz w:val="22"/>
          <w:szCs w:val="22"/>
        </w:rPr>
        <w:t>.</w:t>
      </w:r>
    </w:p>
    <w:p w14:paraId="2CE06287" w14:textId="77777777" w:rsidR="00532AE4" w:rsidRPr="000F225A"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Por otro lado, estima prudente señalar al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lastRenderedPageBreak/>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0F225A" w:rsidRDefault="00A76F12">
      <w:pPr>
        <w:spacing w:line="276" w:lineRule="auto"/>
        <w:ind w:left="567" w:right="902"/>
        <w:jc w:val="both"/>
        <w:rPr>
          <w:rFonts w:ascii="Palatino Linotype" w:eastAsia="Palatino Linotype" w:hAnsi="Palatino Linotype" w:cs="Palatino Linotype"/>
          <w:i/>
          <w:sz w:val="22"/>
          <w:szCs w:val="22"/>
        </w:rPr>
      </w:pPr>
      <w:r w:rsidRPr="000F225A">
        <w:rPr>
          <w:rFonts w:ascii="Palatino Linotype" w:eastAsia="Palatino Linotype" w:hAnsi="Palatino Linotype" w:cs="Palatino Linotype"/>
          <w:b/>
          <w:i/>
          <w:sz w:val="22"/>
          <w:szCs w:val="22"/>
        </w:rPr>
        <w:t xml:space="preserve">“INEXISTENCIA DE LA INFORMACIÓN. SUPUESTOS PARA EMITIR LA RESOLUCIÓN DE LA. </w:t>
      </w:r>
      <w:r w:rsidRPr="000F225A">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w:t>
      </w:r>
      <w:r w:rsidRPr="000F225A">
        <w:rPr>
          <w:rFonts w:ascii="Palatino Linotype" w:eastAsia="Palatino Linotype" w:hAnsi="Palatino Linotype" w:cs="Palatino Linotype"/>
          <w:i/>
          <w:sz w:val="22"/>
          <w:szCs w:val="22"/>
        </w:rPr>
        <w:lastRenderedPageBreak/>
        <w:t>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0F225A"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 xml:space="preserve">En mérito de todo lo expuesto, ante lo </w:t>
      </w:r>
      <w:r w:rsidRPr="000F225A">
        <w:rPr>
          <w:rFonts w:ascii="Palatino Linotype" w:eastAsia="Palatino Linotype" w:hAnsi="Palatino Linotype" w:cs="Palatino Linotype"/>
          <w:b/>
          <w:sz w:val="22"/>
          <w:szCs w:val="22"/>
        </w:rPr>
        <w:t>FUNDADO</w:t>
      </w:r>
      <w:r w:rsidRPr="000F225A">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0F225A">
        <w:rPr>
          <w:rFonts w:ascii="Palatino Linotype" w:eastAsia="Palatino Linotype" w:hAnsi="Palatino Linotype" w:cs="Palatino Linotype"/>
          <w:b/>
          <w:sz w:val="22"/>
          <w:szCs w:val="22"/>
        </w:rPr>
        <w:t>ORDENAR</w:t>
      </w:r>
      <w:r w:rsidRPr="000F225A">
        <w:rPr>
          <w:rFonts w:ascii="Palatino Linotype" w:eastAsia="Palatino Linotype" w:hAnsi="Palatino Linotype" w:cs="Palatino Linotype"/>
          <w:sz w:val="22"/>
          <w:szCs w:val="22"/>
        </w:rPr>
        <w:t xml:space="preserve"> al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0F225A" w:rsidRDefault="00A76F12">
      <w:pPr>
        <w:spacing w:line="360" w:lineRule="auto"/>
        <w:ind w:right="49"/>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sz w:val="22"/>
          <w:szCs w:val="22"/>
        </w:rPr>
        <w:t>Finalmente, es de señalar que, como ya se mencionó el</w:t>
      </w:r>
      <w:r w:rsidRPr="000F225A">
        <w:rPr>
          <w:rFonts w:ascii="Palatino Linotype" w:eastAsia="Palatino Linotype" w:hAnsi="Palatino Linotype" w:cs="Palatino Linotype"/>
          <w:b/>
          <w:sz w:val="22"/>
          <w:szCs w:val="22"/>
        </w:rPr>
        <w:t xml:space="preserve"> Sujeto Obligado</w:t>
      </w:r>
      <w:r w:rsidRPr="000F225A">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0F225A">
        <w:rPr>
          <w:rFonts w:ascii="Palatino Linotype" w:eastAsia="Palatino Linotype" w:hAnsi="Palatino Linotype" w:cs="Palatino Linotype"/>
          <w:b/>
          <w:sz w:val="22"/>
          <w:szCs w:val="22"/>
        </w:rPr>
        <w:t xml:space="preserve"> </w:t>
      </w:r>
      <w:r w:rsidRPr="000F225A">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0F225A"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0F225A"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0F225A">
        <w:rPr>
          <w:rFonts w:ascii="Palatino Linotype" w:eastAsia="Palatino Linotype" w:hAnsi="Palatino Linotype" w:cs="Palatino Linotype"/>
          <w:sz w:val="22"/>
          <w:szCs w:val="22"/>
        </w:rPr>
        <w:t xml:space="preserve">Así, con fundamento en lo prescrito en los artículos </w:t>
      </w:r>
      <w:r w:rsidR="009100C5" w:rsidRPr="000F225A">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0F225A">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0F225A"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0F225A"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lastRenderedPageBreak/>
        <w:t>III. R E S U E L V E</w:t>
      </w:r>
    </w:p>
    <w:p w14:paraId="170B47A5" w14:textId="77777777" w:rsidR="00532AE4" w:rsidRPr="000F225A"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0F225A" w:rsidRDefault="00A76F12">
      <w:pPr>
        <w:spacing w:line="360" w:lineRule="auto"/>
        <w:ind w:right="49"/>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Primero. </w:t>
      </w:r>
      <w:r w:rsidRPr="000F225A">
        <w:rPr>
          <w:rFonts w:ascii="Palatino Linotype" w:eastAsia="Palatino Linotype" w:hAnsi="Palatino Linotype" w:cs="Palatino Linotype"/>
          <w:sz w:val="22"/>
          <w:szCs w:val="22"/>
        </w:rPr>
        <w:t xml:space="preserve">Resultan </w:t>
      </w:r>
      <w:r w:rsidRPr="000F225A">
        <w:rPr>
          <w:rFonts w:ascii="Palatino Linotype" w:eastAsia="Palatino Linotype" w:hAnsi="Palatino Linotype" w:cs="Palatino Linotype"/>
          <w:b/>
          <w:sz w:val="22"/>
          <w:szCs w:val="22"/>
        </w:rPr>
        <w:t>FUNDADOS</w:t>
      </w:r>
      <w:r w:rsidRPr="000F225A">
        <w:rPr>
          <w:rFonts w:ascii="Palatino Linotype" w:eastAsia="Palatino Linotype" w:hAnsi="Palatino Linotype" w:cs="Palatino Linotype"/>
          <w:sz w:val="22"/>
          <w:szCs w:val="22"/>
        </w:rPr>
        <w:t xml:space="preserve"> los motivos de inconformidad de la parte </w:t>
      </w:r>
      <w:r w:rsidRPr="000F225A">
        <w:rPr>
          <w:rFonts w:ascii="Palatino Linotype" w:eastAsia="Palatino Linotype" w:hAnsi="Palatino Linotype" w:cs="Palatino Linotype"/>
          <w:b/>
          <w:sz w:val="22"/>
          <w:szCs w:val="22"/>
        </w:rPr>
        <w:t>Recurrente</w:t>
      </w:r>
      <w:r w:rsidRPr="000F225A">
        <w:rPr>
          <w:rFonts w:ascii="Palatino Linotype" w:eastAsia="Palatino Linotype" w:hAnsi="Palatino Linotype" w:cs="Palatino Linotype"/>
          <w:sz w:val="22"/>
          <w:szCs w:val="22"/>
        </w:rPr>
        <w:t xml:space="preserve">, en términos del </w:t>
      </w:r>
      <w:r w:rsidRPr="000F225A">
        <w:rPr>
          <w:rFonts w:ascii="Palatino Linotype" w:eastAsia="Palatino Linotype" w:hAnsi="Palatino Linotype" w:cs="Palatino Linotype"/>
          <w:b/>
          <w:sz w:val="22"/>
          <w:szCs w:val="22"/>
        </w:rPr>
        <w:t>Considerando Cuarto</w:t>
      </w:r>
      <w:r w:rsidRPr="000F225A">
        <w:rPr>
          <w:rFonts w:ascii="Palatino Linotype" w:eastAsia="Palatino Linotype" w:hAnsi="Palatino Linotype" w:cs="Palatino Linotype"/>
          <w:sz w:val="22"/>
          <w:szCs w:val="22"/>
        </w:rPr>
        <w:t xml:space="preserve"> de la presente resolución.</w:t>
      </w:r>
    </w:p>
    <w:p w14:paraId="6A06B418" w14:textId="77777777" w:rsidR="00532AE4" w:rsidRPr="000F225A" w:rsidRDefault="00532AE4">
      <w:pPr>
        <w:spacing w:line="360" w:lineRule="auto"/>
        <w:ind w:right="49"/>
        <w:jc w:val="both"/>
        <w:rPr>
          <w:rFonts w:ascii="Palatino Linotype" w:eastAsia="Palatino Linotype" w:hAnsi="Palatino Linotype" w:cs="Palatino Linotype"/>
          <w:sz w:val="22"/>
          <w:szCs w:val="22"/>
        </w:rPr>
      </w:pPr>
    </w:p>
    <w:p w14:paraId="1E37E133" w14:textId="210DF1D8" w:rsidR="00532AE4" w:rsidRPr="000F225A"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0F225A">
        <w:rPr>
          <w:rFonts w:ascii="Palatino Linotype" w:eastAsia="Palatino Linotype" w:hAnsi="Palatino Linotype" w:cs="Palatino Linotype"/>
          <w:b/>
          <w:sz w:val="22"/>
          <w:szCs w:val="22"/>
        </w:rPr>
        <w:t>Segundo.</w:t>
      </w:r>
      <w:r w:rsidRPr="000F225A">
        <w:rPr>
          <w:rFonts w:ascii="Palatino Linotype" w:eastAsia="Palatino Linotype" w:hAnsi="Palatino Linotype" w:cs="Palatino Linotype"/>
          <w:sz w:val="22"/>
          <w:szCs w:val="22"/>
        </w:rPr>
        <w:t xml:space="preserve"> Se</w:t>
      </w:r>
      <w:r w:rsidRPr="000F225A">
        <w:rPr>
          <w:rFonts w:ascii="Palatino Linotype" w:eastAsia="Palatino Linotype" w:hAnsi="Palatino Linotype" w:cs="Palatino Linotype"/>
          <w:b/>
          <w:sz w:val="22"/>
          <w:szCs w:val="22"/>
        </w:rPr>
        <w:t xml:space="preserve"> Ordena </w:t>
      </w:r>
      <w:r w:rsidRPr="000F225A">
        <w:rPr>
          <w:rFonts w:ascii="Palatino Linotype" w:eastAsia="Palatino Linotype" w:hAnsi="Palatino Linotype" w:cs="Palatino Linotype"/>
          <w:sz w:val="22"/>
          <w:szCs w:val="22"/>
        </w:rPr>
        <w:t xml:space="preserve">al </w:t>
      </w:r>
      <w:r w:rsidRPr="000F225A">
        <w:rPr>
          <w:rFonts w:ascii="Palatino Linotype" w:eastAsia="Palatino Linotype" w:hAnsi="Palatino Linotype" w:cs="Palatino Linotype"/>
          <w:b/>
          <w:sz w:val="22"/>
          <w:szCs w:val="22"/>
        </w:rPr>
        <w:t xml:space="preserve">Sujeto Obligado </w:t>
      </w:r>
      <w:r w:rsidRPr="000F225A">
        <w:rPr>
          <w:rFonts w:ascii="Palatino Linotype" w:eastAsia="Palatino Linotype" w:hAnsi="Palatino Linotype" w:cs="Palatino Linotype"/>
          <w:sz w:val="22"/>
          <w:szCs w:val="22"/>
        </w:rPr>
        <w:t xml:space="preserve">dé trámite, vía </w:t>
      </w:r>
      <w:r w:rsidRPr="000F225A">
        <w:rPr>
          <w:rFonts w:ascii="Palatino Linotype" w:eastAsia="Palatino Linotype" w:hAnsi="Palatino Linotype" w:cs="Palatino Linotype"/>
          <w:b/>
          <w:sz w:val="22"/>
          <w:szCs w:val="22"/>
        </w:rPr>
        <w:t xml:space="preserve">Sistema de Acceso a la Información Mexiquense </w:t>
      </w:r>
      <w:r w:rsidRPr="000F225A">
        <w:rPr>
          <w:rFonts w:ascii="Palatino Linotype" w:eastAsia="Palatino Linotype" w:hAnsi="Palatino Linotype" w:cs="Palatino Linotype"/>
          <w:sz w:val="22"/>
          <w:szCs w:val="22"/>
        </w:rPr>
        <w:t xml:space="preserve">a la solicitud de acceso a la información pública </w:t>
      </w:r>
      <w:r w:rsidR="00D144C8" w:rsidRPr="000F225A">
        <w:rPr>
          <w:rFonts w:ascii="Palatino Linotype" w:eastAsia="Palatino Linotype" w:hAnsi="Palatino Linotype" w:cs="Palatino Linotype"/>
          <w:b/>
          <w:sz w:val="22"/>
          <w:szCs w:val="22"/>
        </w:rPr>
        <w:t xml:space="preserve"> </w:t>
      </w:r>
      <w:r w:rsidR="005D3CA2" w:rsidRPr="000F225A">
        <w:rPr>
          <w:rFonts w:ascii="Palatino Linotype" w:eastAsia="Palatino Linotype" w:hAnsi="Palatino Linotype" w:cs="Palatino Linotype"/>
          <w:b/>
          <w:sz w:val="22"/>
          <w:szCs w:val="22"/>
        </w:rPr>
        <w:t xml:space="preserve"> </w:t>
      </w:r>
      <w:r w:rsidR="000452F8" w:rsidRPr="000F225A">
        <w:rPr>
          <w:rFonts w:ascii="Palatino Linotype" w:eastAsia="Palatino Linotype" w:hAnsi="Palatino Linotype" w:cs="Palatino Linotype"/>
          <w:b/>
          <w:sz w:val="22"/>
          <w:szCs w:val="22"/>
        </w:rPr>
        <w:t xml:space="preserve">00093/AXAPUSCO/IP/2026 </w:t>
      </w:r>
      <w:r w:rsidRPr="000F225A">
        <w:rPr>
          <w:rFonts w:ascii="Palatino Linotype" w:eastAsia="Palatino Linotype" w:hAnsi="Palatino Linotype" w:cs="Palatino Linotype"/>
          <w:sz w:val="22"/>
          <w:szCs w:val="22"/>
        </w:rPr>
        <w:t xml:space="preserve">que dio origen al recurso de revisión </w:t>
      </w:r>
      <w:r w:rsidR="00AE446C" w:rsidRPr="000F225A">
        <w:rPr>
          <w:rFonts w:ascii="Palatino Linotype" w:eastAsia="Palatino Linotype" w:hAnsi="Palatino Linotype" w:cs="Palatino Linotype"/>
          <w:b/>
          <w:sz w:val="22"/>
          <w:szCs w:val="22"/>
        </w:rPr>
        <w:t>0</w:t>
      </w:r>
      <w:r w:rsidR="000452F8" w:rsidRPr="000F225A">
        <w:rPr>
          <w:rFonts w:ascii="Palatino Linotype" w:eastAsia="Palatino Linotype" w:hAnsi="Palatino Linotype" w:cs="Palatino Linotype"/>
          <w:b/>
          <w:sz w:val="22"/>
          <w:szCs w:val="22"/>
        </w:rPr>
        <w:t>8054</w:t>
      </w:r>
      <w:r w:rsidR="000F4794" w:rsidRPr="000F225A">
        <w:rPr>
          <w:rFonts w:ascii="Palatino Linotype" w:eastAsia="Palatino Linotype" w:hAnsi="Palatino Linotype" w:cs="Palatino Linotype"/>
          <w:b/>
          <w:sz w:val="22"/>
          <w:szCs w:val="22"/>
        </w:rPr>
        <w:t xml:space="preserve">/INFOEM/IP/RR/2026 </w:t>
      </w:r>
      <w:r w:rsidRPr="000F225A">
        <w:rPr>
          <w:rFonts w:ascii="Palatino Linotype" w:eastAsia="Palatino Linotype" w:hAnsi="Palatino Linotype" w:cs="Palatino Linotype"/>
          <w:sz w:val="22"/>
          <w:szCs w:val="22"/>
        </w:rPr>
        <w:t xml:space="preserve">en términos del </w:t>
      </w:r>
      <w:r w:rsidRPr="000F225A">
        <w:rPr>
          <w:rFonts w:ascii="Palatino Linotype" w:eastAsia="Palatino Linotype" w:hAnsi="Palatino Linotype" w:cs="Palatino Linotype"/>
          <w:b/>
          <w:sz w:val="22"/>
          <w:szCs w:val="22"/>
        </w:rPr>
        <w:t>Considerando Cuarto</w:t>
      </w:r>
      <w:r w:rsidRPr="000F225A">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0F225A"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0F225A">
        <w:rPr>
          <w:rFonts w:ascii="Palatino Linotype" w:eastAsia="Palatino Linotype" w:hAnsi="Palatino Linotype" w:cs="Palatino Linotype"/>
          <w:b/>
          <w:sz w:val="22"/>
          <w:szCs w:val="22"/>
        </w:rPr>
        <w:t>Tercero.</w:t>
      </w:r>
      <w:r w:rsidRPr="000F225A">
        <w:rPr>
          <w:rFonts w:ascii="Palatino Linotype" w:eastAsia="Palatino Linotype" w:hAnsi="Palatino Linotype" w:cs="Palatino Linotype"/>
          <w:sz w:val="22"/>
          <w:szCs w:val="22"/>
        </w:rPr>
        <w:t xml:space="preserve"> </w:t>
      </w:r>
      <w:r w:rsidRPr="000F225A">
        <w:rPr>
          <w:rFonts w:ascii="Palatino Linotype" w:eastAsia="Palatino Linotype" w:hAnsi="Palatino Linotype" w:cs="Palatino Linotype"/>
          <w:b/>
          <w:sz w:val="22"/>
          <w:szCs w:val="22"/>
        </w:rPr>
        <w:t xml:space="preserve">Notifíquese vía Sistema de Acceso a la Información Mexiquense </w:t>
      </w:r>
      <w:r w:rsidRPr="000F225A">
        <w:rPr>
          <w:rFonts w:ascii="Palatino Linotype" w:eastAsia="Palatino Linotype" w:hAnsi="Palatino Linotype" w:cs="Palatino Linotype"/>
          <w:sz w:val="22"/>
          <w:szCs w:val="22"/>
        </w:rPr>
        <w:t>la presente resolución al T</w:t>
      </w:r>
      <w:r w:rsidRPr="000F225A">
        <w:rPr>
          <w:rFonts w:ascii="Palatino Linotype" w:eastAsia="Palatino Linotype" w:hAnsi="Palatino Linotype" w:cs="Palatino Linotype"/>
          <w:b/>
          <w:sz w:val="22"/>
          <w:szCs w:val="22"/>
        </w:rPr>
        <w:t xml:space="preserve">itular de la Unidad de Transparencia </w:t>
      </w:r>
      <w:r w:rsidRPr="000F225A">
        <w:rPr>
          <w:rFonts w:ascii="Palatino Linotype" w:eastAsia="Palatino Linotype" w:hAnsi="Palatino Linotype" w:cs="Palatino Linotype"/>
          <w:sz w:val="22"/>
          <w:szCs w:val="22"/>
        </w:rPr>
        <w:t xml:space="preserve">del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0F225A"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Cuarto. Notifíquese</w:t>
      </w:r>
      <w:r w:rsidRPr="000F225A">
        <w:rPr>
          <w:rFonts w:ascii="Palatino Linotype" w:eastAsia="Palatino Linotype" w:hAnsi="Palatino Linotype" w:cs="Palatino Linotype"/>
          <w:sz w:val="22"/>
          <w:szCs w:val="22"/>
        </w:rPr>
        <w:t>,</w:t>
      </w:r>
      <w:r w:rsidRPr="000F225A">
        <w:rPr>
          <w:rFonts w:ascii="Palatino Linotype" w:eastAsia="Palatino Linotype" w:hAnsi="Palatino Linotype" w:cs="Palatino Linotype"/>
          <w:b/>
          <w:sz w:val="22"/>
          <w:szCs w:val="22"/>
        </w:rPr>
        <w:t xml:space="preserve"> </w:t>
      </w:r>
      <w:r w:rsidRPr="000F225A">
        <w:rPr>
          <w:rFonts w:ascii="Palatino Linotype" w:eastAsia="Palatino Linotype" w:hAnsi="Palatino Linotype" w:cs="Palatino Linotype"/>
          <w:sz w:val="22"/>
          <w:szCs w:val="22"/>
        </w:rPr>
        <w:t xml:space="preserve">vía </w:t>
      </w:r>
      <w:r w:rsidRPr="000F225A">
        <w:rPr>
          <w:rFonts w:ascii="Palatino Linotype" w:eastAsia="Palatino Linotype" w:hAnsi="Palatino Linotype" w:cs="Palatino Linotype"/>
          <w:b/>
          <w:sz w:val="22"/>
          <w:szCs w:val="22"/>
        </w:rPr>
        <w:t>Sistema de Acceso a la Información Mexiquense</w:t>
      </w:r>
      <w:r w:rsidRPr="000F225A">
        <w:rPr>
          <w:rFonts w:ascii="Palatino Linotype" w:eastAsia="Palatino Linotype" w:hAnsi="Palatino Linotype" w:cs="Palatino Linotype"/>
          <w:sz w:val="22"/>
          <w:szCs w:val="22"/>
        </w:rPr>
        <w:t xml:space="preserve">, a la parte </w:t>
      </w:r>
      <w:r w:rsidRPr="000F225A">
        <w:rPr>
          <w:rFonts w:ascii="Palatino Linotype" w:eastAsia="Palatino Linotype" w:hAnsi="Palatino Linotype" w:cs="Palatino Linotype"/>
          <w:b/>
          <w:sz w:val="22"/>
          <w:szCs w:val="22"/>
        </w:rPr>
        <w:t xml:space="preserve">Recurrente </w:t>
      </w:r>
      <w:r w:rsidRPr="000F225A">
        <w:rPr>
          <w:rFonts w:ascii="Palatino Linotype" w:eastAsia="Palatino Linotype" w:hAnsi="Palatino Linotype" w:cs="Palatino Linotype"/>
          <w:sz w:val="22"/>
          <w:szCs w:val="22"/>
        </w:rPr>
        <w:t xml:space="preserve">la presente resolución, así como, que de conformidad con lo establecido en el artículo 196 de la Ley de Transparencia y Acceso a la Información Pública del Estado de México </w:t>
      </w:r>
      <w:r w:rsidRPr="000F225A">
        <w:rPr>
          <w:rFonts w:ascii="Palatino Linotype" w:eastAsia="Palatino Linotype" w:hAnsi="Palatino Linotype" w:cs="Palatino Linotype"/>
          <w:sz w:val="22"/>
          <w:szCs w:val="22"/>
        </w:rPr>
        <w:lastRenderedPageBreak/>
        <w:t>y Municipios, en caso de que considere que le causa algún perjuicio podrá impugnarla vía Juicio de Amparo en los términos de las leyes aplicables.</w:t>
      </w:r>
    </w:p>
    <w:p w14:paraId="2589B82F" w14:textId="77777777" w:rsidR="00532AE4" w:rsidRPr="000F225A"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0F225A" w:rsidRDefault="00A76F12">
      <w:pPr>
        <w:spacing w:line="360" w:lineRule="auto"/>
        <w:jc w:val="both"/>
        <w:rPr>
          <w:rFonts w:ascii="Palatino Linotype" w:eastAsia="Palatino Linotype" w:hAnsi="Palatino Linotype" w:cs="Palatino Linotype"/>
          <w:sz w:val="22"/>
          <w:szCs w:val="22"/>
        </w:rPr>
      </w:pPr>
      <w:r w:rsidRPr="000F225A">
        <w:rPr>
          <w:rFonts w:ascii="Palatino Linotype" w:eastAsia="Palatino Linotype" w:hAnsi="Palatino Linotype" w:cs="Palatino Linotype"/>
          <w:b/>
          <w:sz w:val="22"/>
          <w:szCs w:val="22"/>
        </w:rPr>
        <w:t xml:space="preserve">Quinto. Notifíquese </w:t>
      </w:r>
      <w:r w:rsidRPr="000F225A">
        <w:rPr>
          <w:rFonts w:ascii="Palatino Linotype" w:eastAsia="Palatino Linotype" w:hAnsi="Palatino Linotype" w:cs="Palatino Linotype"/>
          <w:sz w:val="22"/>
          <w:szCs w:val="22"/>
        </w:rPr>
        <w:t xml:space="preserve">a la parte </w:t>
      </w:r>
      <w:r w:rsidRPr="000F225A">
        <w:rPr>
          <w:rFonts w:ascii="Palatino Linotype" w:eastAsia="Palatino Linotype" w:hAnsi="Palatino Linotype" w:cs="Palatino Linotype"/>
          <w:b/>
          <w:sz w:val="22"/>
          <w:szCs w:val="22"/>
        </w:rPr>
        <w:t xml:space="preserve">Recurrente </w:t>
      </w:r>
      <w:r w:rsidRPr="000F225A">
        <w:rPr>
          <w:rFonts w:ascii="Palatino Linotype" w:eastAsia="Palatino Linotype" w:hAnsi="Palatino Linotype" w:cs="Palatino Linotype"/>
          <w:sz w:val="22"/>
          <w:szCs w:val="22"/>
        </w:rPr>
        <w:t xml:space="preserve">que la respuesta que dé el </w:t>
      </w:r>
      <w:r w:rsidRPr="000F225A">
        <w:rPr>
          <w:rFonts w:ascii="Palatino Linotype" w:eastAsia="Palatino Linotype" w:hAnsi="Palatino Linotype" w:cs="Palatino Linotype"/>
          <w:b/>
          <w:sz w:val="22"/>
          <w:szCs w:val="22"/>
        </w:rPr>
        <w:t>Sujeto Obligado</w:t>
      </w:r>
      <w:r w:rsidRPr="000F225A">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0F225A"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0F225A" w:rsidRDefault="00A76F12">
      <w:pPr>
        <w:spacing w:line="360" w:lineRule="auto"/>
        <w:jc w:val="both"/>
        <w:rPr>
          <w:rFonts w:ascii="Palatino Linotype" w:eastAsia="Palatino Linotype" w:hAnsi="Palatino Linotype" w:cs="Palatino Linotype"/>
          <w:b/>
          <w:sz w:val="22"/>
          <w:szCs w:val="22"/>
        </w:rPr>
      </w:pPr>
      <w:r w:rsidRPr="000F225A">
        <w:rPr>
          <w:rFonts w:ascii="Palatino Linotype" w:eastAsia="Palatino Linotype" w:hAnsi="Palatino Linotype" w:cs="Palatino Linotype"/>
          <w:b/>
          <w:sz w:val="22"/>
          <w:szCs w:val="22"/>
        </w:rPr>
        <w:t xml:space="preserve">Sexto. Gírese </w:t>
      </w:r>
      <w:r w:rsidRPr="000F225A">
        <w:rPr>
          <w:rFonts w:ascii="Palatino Linotype" w:eastAsia="Palatino Linotype" w:hAnsi="Palatino Linotype" w:cs="Palatino Linotype"/>
          <w:sz w:val="22"/>
          <w:szCs w:val="22"/>
        </w:rPr>
        <w:t xml:space="preserve">oficio a la </w:t>
      </w:r>
      <w:r w:rsidRPr="000F225A">
        <w:rPr>
          <w:rFonts w:ascii="Palatino Linotype" w:eastAsia="Palatino Linotype" w:hAnsi="Palatino Linotype" w:cs="Palatino Linotype"/>
          <w:b/>
          <w:sz w:val="22"/>
          <w:szCs w:val="22"/>
        </w:rPr>
        <w:t>Secretaría Técnica del Pleno</w:t>
      </w:r>
      <w:r w:rsidRPr="000F225A">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0F225A">
        <w:rPr>
          <w:rFonts w:ascii="Palatino Linotype" w:eastAsia="Palatino Linotype" w:hAnsi="Palatino Linotype" w:cs="Palatino Linotype"/>
          <w:b/>
          <w:sz w:val="22"/>
          <w:szCs w:val="22"/>
        </w:rPr>
        <w:t xml:space="preserve"> </w:t>
      </w:r>
      <w:r w:rsidRPr="000F225A">
        <w:rPr>
          <w:rFonts w:ascii="Palatino Linotype" w:eastAsia="Palatino Linotype" w:hAnsi="Palatino Linotype" w:cs="Palatino Linotype"/>
          <w:sz w:val="22"/>
          <w:szCs w:val="22"/>
        </w:rPr>
        <w:t>de la presente resolución.</w:t>
      </w:r>
      <w:r w:rsidRPr="000F225A">
        <w:rPr>
          <w:rFonts w:ascii="Palatino Linotype" w:eastAsia="Palatino Linotype" w:hAnsi="Palatino Linotype" w:cs="Palatino Linotype"/>
          <w:b/>
          <w:sz w:val="22"/>
          <w:szCs w:val="22"/>
        </w:rPr>
        <w:t xml:space="preserve"> </w:t>
      </w:r>
    </w:p>
    <w:p w14:paraId="7F049394" w14:textId="77777777" w:rsidR="00532AE4" w:rsidRPr="000F225A"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542ABE" w:rsidRDefault="00A76F12">
      <w:pPr>
        <w:spacing w:line="360" w:lineRule="auto"/>
        <w:ind w:right="49"/>
        <w:jc w:val="both"/>
        <w:rPr>
          <w:rFonts w:ascii="Palatino Linotype" w:eastAsia="Palatino Linotype" w:hAnsi="Palatino Linotype" w:cs="Palatino Linotype"/>
          <w:sz w:val="22"/>
          <w:szCs w:val="22"/>
        </w:rPr>
        <w:sectPr w:rsidR="00532AE4" w:rsidRPr="00542ABE" w:rsidSect="00542ABE">
          <w:headerReference w:type="default" r:id="rId10"/>
          <w:footerReference w:type="default" r:id="rId11"/>
          <w:headerReference w:type="first" r:id="rId12"/>
          <w:footerReference w:type="first" r:id="rId13"/>
          <w:pgSz w:w="12240" w:h="15840"/>
          <w:pgMar w:top="1985" w:right="1467" w:bottom="1701" w:left="1701" w:header="709" w:footer="709" w:gutter="0"/>
          <w:pgNumType w:start="1"/>
          <w:cols w:space="720"/>
          <w:titlePg/>
        </w:sectPr>
      </w:pPr>
      <w:bookmarkStart w:id="5" w:name="_heading=h.1fob9te" w:colFirst="0" w:colLast="0"/>
      <w:bookmarkEnd w:id="5"/>
      <w:r w:rsidRPr="000F225A">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0F225A">
        <w:rPr>
          <w:rFonts w:ascii="Palatino Linotype" w:eastAsia="Palatino Linotype" w:hAnsi="Palatino Linotype" w:cs="Palatino Linotype"/>
          <w:sz w:val="22"/>
          <w:szCs w:val="22"/>
        </w:rPr>
        <w:t xml:space="preserve">MEJÍA AYALA </w:t>
      </w:r>
      <w:r w:rsidRPr="000F225A">
        <w:rPr>
          <w:rFonts w:ascii="Palatino Linotype" w:eastAsia="Palatino Linotype" w:hAnsi="Palatino Linotype" w:cs="Palatino Linotype"/>
          <w:sz w:val="22"/>
          <w:szCs w:val="22"/>
        </w:rPr>
        <w:t xml:space="preserve">Y GUADALUPE RAMÍREZ PEÑA; EN LA </w:t>
      </w:r>
      <w:r w:rsidR="00135C3B" w:rsidRPr="000F225A">
        <w:rPr>
          <w:rFonts w:ascii="Palatino Linotype" w:eastAsia="Palatino Linotype" w:hAnsi="Palatino Linotype" w:cs="Palatino Linotype"/>
          <w:sz w:val="22"/>
          <w:szCs w:val="22"/>
        </w:rPr>
        <w:t>TR</w:t>
      </w:r>
      <w:r w:rsidR="00C36278" w:rsidRPr="000F225A">
        <w:rPr>
          <w:rFonts w:ascii="Palatino Linotype" w:eastAsia="Palatino Linotype" w:hAnsi="Palatino Linotype" w:cs="Palatino Linotype"/>
          <w:sz w:val="22"/>
          <w:szCs w:val="22"/>
        </w:rPr>
        <w:t xml:space="preserve">IGÉSIMA </w:t>
      </w:r>
      <w:r w:rsidR="00AE3DD5" w:rsidRPr="000F225A">
        <w:rPr>
          <w:rFonts w:ascii="Palatino Linotype" w:eastAsia="Palatino Linotype" w:hAnsi="Palatino Linotype" w:cs="Palatino Linotype"/>
          <w:sz w:val="22"/>
          <w:szCs w:val="22"/>
        </w:rPr>
        <w:t>TERC</w:t>
      </w:r>
      <w:r w:rsidR="003D2CDB" w:rsidRPr="000F225A">
        <w:rPr>
          <w:rFonts w:ascii="Palatino Linotype" w:eastAsia="Palatino Linotype" w:hAnsi="Palatino Linotype" w:cs="Palatino Linotype"/>
          <w:sz w:val="22"/>
          <w:szCs w:val="22"/>
        </w:rPr>
        <w:t xml:space="preserve">ERA </w:t>
      </w:r>
      <w:r w:rsidRPr="000F225A">
        <w:rPr>
          <w:rFonts w:ascii="Palatino Linotype" w:eastAsia="Palatino Linotype" w:hAnsi="Palatino Linotype" w:cs="Palatino Linotype"/>
          <w:sz w:val="22"/>
          <w:szCs w:val="22"/>
        </w:rPr>
        <w:t xml:space="preserve">SESIÓN ORDINARIA CELEBRADA EL </w:t>
      </w:r>
      <w:r w:rsidR="00AE3DD5" w:rsidRPr="000F225A">
        <w:rPr>
          <w:rFonts w:ascii="Palatino Linotype" w:eastAsia="Palatino Linotype" w:hAnsi="Palatino Linotype" w:cs="Palatino Linotype"/>
          <w:sz w:val="22"/>
          <w:szCs w:val="22"/>
        </w:rPr>
        <w:t>DIECISIETE</w:t>
      </w:r>
      <w:r w:rsidR="003D2CDB" w:rsidRPr="000F225A">
        <w:rPr>
          <w:rFonts w:ascii="Palatino Linotype" w:eastAsia="Palatino Linotype" w:hAnsi="Palatino Linotype" w:cs="Palatino Linotype"/>
          <w:sz w:val="22"/>
          <w:szCs w:val="22"/>
        </w:rPr>
        <w:t xml:space="preserve"> DE SEPTIEMBRE</w:t>
      </w:r>
      <w:r w:rsidR="00DF5516" w:rsidRPr="000F225A">
        <w:rPr>
          <w:rFonts w:ascii="Palatino Linotype" w:eastAsia="Palatino Linotype" w:hAnsi="Palatino Linotype" w:cs="Palatino Linotype"/>
          <w:sz w:val="22"/>
          <w:szCs w:val="22"/>
        </w:rPr>
        <w:t xml:space="preserve"> DE DOS MIL VEINTISÉIS</w:t>
      </w:r>
      <w:r w:rsidRPr="000F225A">
        <w:rPr>
          <w:rFonts w:ascii="Palatino Linotype" w:eastAsia="Palatino Linotype" w:hAnsi="Palatino Linotype" w:cs="Palatino Linotype"/>
          <w:sz w:val="22"/>
          <w:szCs w:val="22"/>
        </w:rPr>
        <w:t>, ANTE EL SECRETARIO TÉCNICO DEL PLENO ALEXIS TAPIA RAMÍREZ.</w:t>
      </w:r>
      <w:r w:rsidRPr="00542ABE">
        <w:rPr>
          <w:rFonts w:ascii="Palatino Linotype" w:eastAsia="Palatino Linotype" w:hAnsi="Palatino Linotype" w:cs="Palatino Linotype"/>
          <w:sz w:val="22"/>
          <w:szCs w:val="22"/>
        </w:rPr>
        <w:t xml:space="preserve"> </w:t>
      </w:r>
    </w:p>
    <w:p w14:paraId="74E02134" w14:textId="77777777" w:rsidR="00532AE4" w:rsidRPr="00542ABE"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542ABE" w:rsidRDefault="00532AE4">
      <w:pPr>
        <w:rPr>
          <w:sz w:val="22"/>
          <w:szCs w:val="22"/>
        </w:rPr>
      </w:pPr>
    </w:p>
    <w:sectPr w:rsidR="00532AE4" w:rsidRPr="00542ABE">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1A335" w14:textId="77777777" w:rsidR="00596F70" w:rsidRDefault="00596F70">
      <w:r>
        <w:separator/>
      </w:r>
    </w:p>
  </w:endnote>
  <w:endnote w:type="continuationSeparator" w:id="0">
    <w:p w14:paraId="6B5ED05C" w14:textId="77777777" w:rsidR="00596F70" w:rsidRDefault="0059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667CE7DE"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0F225A">
      <w:rPr>
        <w:rFonts w:ascii="Arial" w:eastAsia="Arial" w:hAnsi="Arial" w:cs="Arial"/>
        <w:b/>
        <w:noProof/>
        <w:color w:val="000000"/>
        <w:sz w:val="20"/>
        <w:szCs w:val="20"/>
      </w:rPr>
      <w:t>22</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0F225A">
      <w:rPr>
        <w:rFonts w:ascii="Arial" w:eastAsia="Arial" w:hAnsi="Arial" w:cs="Arial"/>
        <w:b/>
        <w:noProof/>
        <w:color w:val="000000"/>
        <w:sz w:val="20"/>
        <w:szCs w:val="20"/>
      </w:rPr>
      <w:t>24</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2E7F1AB7"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0F225A">
      <w:rPr>
        <w:rFonts w:ascii="Arial" w:eastAsia="Arial" w:hAnsi="Arial" w:cs="Arial"/>
        <w:b/>
        <w:noProof/>
        <w:color w:val="000000"/>
        <w:sz w:val="20"/>
        <w:szCs w:val="20"/>
      </w:rPr>
      <w:t>24</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0F225A">
      <w:rPr>
        <w:rFonts w:ascii="Arial" w:eastAsia="Arial" w:hAnsi="Arial" w:cs="Arial"/>
        <w:b/>
        <w:noProof/>
        <w:color w:val="000000"/>
        <w:sz w:val="20"/>
        <w:szCs w:val="20"/>
      </w:rPr>
      <w:t>24</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6358E" w14:textId="77777777" w:rsidR="00596F70" w:rsidRDefault="00596F70">
      <w:r>
        <w:separator/>
      </w:r>
    </w:p>
  </w:footnote>
  <w:footnote w:type="continuationSeparator" w:id="0">
    <w:p w14:paraId="4E55B0E7" w14:textId="77777777" w:rsidR="00596F70" w:rsidRDefault="00596F70">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7255EB33"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0452F8">
            <w:rPr>
              <w:rFonts w:ascii="Palatino Linotype" w:eastAsia="Palatino Linotype" w:hAnsi="Palatino Linotype" w:cs="Palatino Linotype"/>
              <w:b/>
              <w:sz w:val="21"/>
              <w:szCs w:val="21"/>
            </w:rPr>
            <w:t>8054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AD0BDA4" w:rsidR="00532AE4" w:rsidRDefault="00632571" w:rsidP="0015020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4691D387">
          <wp:simplePos x="0" y="0"/>
          <wp:positionH relativeFrom="column">
            <wp:posOffset>-655955</wp:posOffset>
          </wp:positionH>
          <wp:positionV relativeFrom="paragraph">
            <wp:posOffset>-341630</wp:posOffset>
          </wp:positionV>
          <wp:extent cx="7635875" cy="9943465"/>
          <wp:effectExtent l="0" t="0" r="0" b="0"/>
          <wp:wrapNone/>
          <wp:docPr id="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5203733B" w:rsidR="00532AE4" w:rsidRDefault="008C1E2D" w:rsidP="005A2F6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23CBF">
            <w:rPr>
              <w:rFonts w:ascii="Palatino Linotype" w:eastAsia="Palatino Linotype" w:hAnsi="Palatino Linotype" w:cs="Palatino Linotype"/>
              <w:b/>
              <w:sz w:val="21"/>
              <w:szCs w:val="21"/>
            </w:rPr>
            <w:t>80</w:t>
          </w:r>
          <w:r w:rsidR="000452F8">
            <w:rPr>
              <w:rFonts w:ascii="Palatino Linotype" w:eastAsia="Palatino Linotype" w:hAnsi="Palatino Linotype" w:cs="Palatino Linotype"/>
              <w:b/>
              <w:sz w:val="21"/>
              <w:szCs w:val="21"/>
            </w:rPr>
            <w:t>54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31CC96B3" w:rsidR="00532AE4" w:rsidRDefault="006377E9">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1A676264" w:rsidR="00532AE4" w:rsidRDefault="00632571" w:rsidP="0015020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Axapusco</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21488213">
    <w:abstractNumId w:val="2"/>
  </w:num>
  <w:num w:numId="2" w16cid:durableId="54597302">
    <w:abstractNumId w:val="4"/>
  </w:num>
  <w:num w:numId="3" w16cid:durableId="993989420">
    <w:abstractNumId w:val="0"/>
  </w:num>
  <w:num w:numId="4" w16cid:durableId="1485197221">
    <w:abstractNumId w:val="1"/>
  </w:num>
  <w:num w:numId="5" w16cid:durableId="433672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2F8"/>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25A"/>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3CBF"/>
    <w:rsid w:val="00525777"/>
    <w:rsid w:val="00532AE4"/>
    <w:rsid w:val="00541B43"/>
    <w:rsid w:val="00542ABE"/>
    <w:rsid w:val="00555E04"/>
    <w:rsid w:val="00567D0D"/>
    <w:rsid w:val="00572156"/>
    <w:rsid w:val="00593431"/>
    <w:rsid w:val="00596F70"/>
    <w:rsid w:val="005A0442"/>
    <w:rsid w:val="005A2F67"/>
    <w:rsid w:val="005A647F"/>
    <w:rsid w:val="005A75D6"/>
    <w:rsid w:val="005A79AC"/>
    <w:rsid w:val="005D3CA2"/>
    <w:rsid w:val="005F2D09"/>
    <w:rsid w:val="005F71E2"/>
    <w:rsid w:val="00603092"/>
    <w:rsid w:val="00607257"/>
    <w:rsid w:val="0061438F"/>
    <w:rsid w:val="00620310"/>
    <w:rsid w:val="0062466E"/>
    <w:rsid w:val="00632571"/>
    <w:rsid w:val="00633D0E"/>
    <w:rsid w:val="006377E9"/>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6B4A"/>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1247"/>
    <w:rsid w:val="009B4D3E"/>
    <w:rsid w:val="009B6117"/>
    <w:rsid w:val="009C1099"/>
    <w:rsid w:val="009C1EF4"/>
    <w:rsid w:val="009C3B23"/>
    <w:rsid w:val="009C43AD"/>
    <w:rsid w:val="009C5489"/>
    <w:rsid w:val="009C6FBB"/>
    <w:rsid w:val="009D197C"/>
    <w:rsid w:val="009D7C8B"/>
    <w:rsid w:val="009E503C"/>
    <w:rsid w:val="00A01FAB"/>
    <w:rsid w:val="00A14A96"/>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935CE"/>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055F"/>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020DA"/>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438ACF66-8B74-4907-8B05-E239D843847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6370</Words>
  <Characters>35036</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2026-09-18T20:18:00Z</cp:lastPrinted>
  <dcterms:created xsi:type="dcterms:W3CDTF">2026-09-22T20:21:00Z</dcterms:created>
  <dcterms:modified xsi:type="dcterms:W3CDTF">2026-09-22T20:21:00Z</dcterms:modified>
</cp:coreProperties>
</file>